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7575" w14:textId="77777777" w:rsidR="008C4E6E" w:rsidRDefault="008C4E6E">
      <w:pPr>
        <w:spacing w:before="1100" w:after="60" w:line="300" w:lineRule="auto"/>
        <w:jc w:val="center"/>
      </w:pPr>
    </w:p>
    <w:p w14:paraId="0D0FF016" w14:textId="77777777" w:rsidR="008C4E6E" w:rsidRDefault="00000000">
      <w:pPr>
        <w:spacing w:after="60" w:line="300" w:lineRule="auto"/>
        <w:jc w:val="center"/>
      </w:pPr>
      <w:r>
        <w:rPr>
          <w:rFonts w:ascii="Calibri Light" w:hAnsi="Calibri Light" w:cs="Calibri Light"/>
          <w:caps/>
          <w:color w:val="6E8A96"/>
          <w:sz w:val="18"/>
          <w:szCs w:val="18"/>
        </w:rPr>
        <w:t>NEGOTIATING INSTRUMENT FOR AUTHORIZED PARTICIPANTS</w:t>
      </w:r>
    </w:p>
    <w:p w14:paraId="377A22A8" w14:textId="77777777" w:rsidR="008C4E6E" w:rsidRDefault="008C4E6E">
      <w:pPr>
        <w:pBdr>
          <w:bottom w:val="single" w:sz="8" w:space="1" w:color="1F4E5F"/>
        </w:pBdr>
        <w:spacing w:before="500" w:after="60"/>
        <w:ind w:left="2200" w:right="2200"/>
      </w:pPr>
    </w:p>
    <w:p w14:paraId="63905661" w14:textId="77777777" w:rsidR="008C4E6E" w:rsidRDefault="00000000">
      <w:pPr>
        <w:spacing w:before="420" w:after="60" w:line="300" w:lineRule="auto"/>
        <w:jc w:val="center"/>
      </w:pPr>
      <w:r>
        <w:rPr>
          <w:rFonts w:ascii="Calibri Light" w:hAnsi="Calibri Light" w:cs="Calibri Light"/>
          <w:b/>
          <w:color w:val="1F4E5F"/>
          <w:sz w:val="72"/>
          <w:szCs w:val="72"/>
        </w:rPr>
        <w:t>THE HORMUZ</w:t>
      </w:r>
    </w:p>
    <w:p w14:paraId="334EAECA" w14:textId="77777777" w:rsidR="008C4E6E" w:rsidRDefault="00000000">
      <w:pPr>
        <w:spacing w:before="60" w:after="60" w:line="300" w:lineRule="auto"/>
        <w:jc w:val="center"/>
      </w:pPr>
      <w:r>
        <w:rPr>
          <w:rFonts w:ascii="Calibri Light" w:hAnsi="Calibri Light" w:cs="Calibri Light"/>
          <w:b/>
          <w:color w:val="1F4E5F"/>
          <w:sz w:val="60"/>
          <w:szCs w:val="60"/>
        </w:rPr>
        <w:t>COVENANT OF CALM WATERS</w:t>
      </w:r>
    </w:p>
    <w:p w14:paraId="6C945645" w14:textId="77777777" w:rsidR="008C4E6E" w:rsidRDefault="008C4E6E">
      <w:pPr>
        <w:pBdr>
          <w:bottom w:val="single" w:sz="8" w:space="1" w:color="1F4E5F"/>
        </w:pBdr>
        <w:spacing w:before="340" w:after="60"/>
        <w:ind w:left="2200" w:right="2200"/>
      </w:pPr>
    </w:p>
    <w:p w14:paraId="11BE7B92" w14:textId="77777777" w:rsidR="008C4E6E" w:rsidRDefault="00000000">
      <w:pPr>
        <w:spacing w:before="340" w:after="60" w:line="300" w:lineRule="auto"/>
        <w:jc w:val="center"/>
      </w:pPr>
      <w:r>
        <w:rPr>
          <w:rFonts w:ascii="Calibri Light" w:hAnsi="Calibri Light" w:cs="Calibri Light"/>
          <w:sz w:val="24"/>
        </w:rPr>
        <w:t>A Layered Architecture for the Safety, Free Transit, and Cooperative</w:t>
      </w:r>
    </w:p>
    <w:p w14:paraId="53975619" w14:textId="77777777" w:rsidR="008C4E6E" w:rsidRDefault="00000000">
      <w:pPr>
        <w:spacing w:after="60" w:line="300" w:lineRule="auto"/>
        <w:jc w:val="center"/>
      </w:pPr>
      <w:r>
        <w:rPr>
          <w:rFonts w:ascii="Calibri Light" w:hAnsi="Calibri Light" w:cs="Calibri Light"/>
          <w:sz w:val="24"/>
        </w:rPr>
        <w:t>Stewardship of the Strait of Hormuz</w:t>
      </w:r>
    </w:p>
    <w:p w14:paraId="6FCED08D" w14:textId="77777777" w:rsidR="008C4E6E" w:rsidRDefault="00000000">
      <w:pPr>
        <w:spacing w:before="160" w:after="60" w:line="300" w:lineRule="auto"/>
        <w:jc w:val="center"/>
      </w:pPr>
      <w:r>
        <w:rPr>
          <w:rFonts w:ascii="Calibri Light" w:hAnsi="Calibri Light" w:cs="Calibri Light"/>
          <w:color w:val="6E8A96"/>
          <w:sz w:val="21"/>
          <w:szCs w:val="21"/>
        </w:rPr>
        <w:t>From Micro-Exercises to a Permanent Charter, in One Instrument</w:t>
      </w:r>
    </w:p>
    <w:p w14:paraId="6C239866" w14:textId="77777777" w:rsidR="008C4E6E" w:rsidRDefault="008C4E6E">
      <w:pPr>
        <w:spacing w:before="800" w:after="60" w:line="300" w:lineRule="auto"/>
        <w:jc w:val="center"/>
      </w:pPr>
    </w:p>
    <w:p w14:paraId="2C9A5F8A" w14:textId="77777777" w:rsidR="008C4E6E" w:rsidRDefault="00000000">
      <w:pPr>
        <w:spacing w:before="200" w:after="60" w:line="300" w:lineRule="auto"/>
        <w:jc w:val="center"/>
      </w:pPr>
      <w:r>
        <w:rPr>
          <w:rFonts w:ascii="Calibri Light" w:hAnsi="Calibri Light" w:cs="Calibri Light"/>
          <w:sz w:val="21"/>
          <w:szCs w:val="21"/>
        </w:rPr>
        <w:t>The Islamic Republic of Iran and the Sultanate of Oman as Founding Parties</w:t>
      </w:r>
    </w:p>
    <w:p w14:paraId="39500CEC" w14:textId="77777777" w:rsidR="008C4E6E" w:rsidRDefault="00000000">
      <w:pPr>
        <w:spacing w:before="80" w:after="60" w:line="300" w:lineRule="auto"/>
        <w:jc w:val="center"/>
      </w:pPr>
      <w:r>
        <w:rPr>
          <w:rFonts w:ascii="Calibri Light" w:hAnsi="Calibri Light" w:cs="Calibri Light"/>
          <w:sz w:val="21"/>
          <w:szCs w:val="21"/>
        </w:rPr>
        <w:t>with the Endorsement of the United States of America</w:t>
      </w:r>
    </w:p>
    <w:p w14:paraId="4F0C80C4" w14:textId="77777777" w:rsidR="008C4E6E" w:rsidRDefault="00000000">
      <w:pPr>
        <w:spacing w:before="380" w:after="60" w:line="300" w:lineRule="auto"/>
        <w:jc w:val="center"/>
      </w:pPr>
      <w:r>
        <w:rPr>
          <w:rFonts w:ascii="Calibri Light" w:hAnsi="Calibri Light" w:cs="Calibri Light"/>
          <w:color w:val="6E8A96"/>
          <w:sz w:val="19"/>
          <w:szCs w:val="19"/>
        </w:rPr>
        <w:t>Mediator of Record: The Sultanate of Oman</w:t>
      </w:r>
    </w:p>
    <w:p w14:paraId="2DB4C089" w14:textId="77777777" w:rsidR="008C4E6E" w:rsidRDefault="00000000">
      <w:pPr>
        <w:spacing w:before="60" w:after="60" w:line="300" w:lineRule="auto"/>
        <w:jc w:val="center"/>
      </w:pPr>
      <w:r>
        <w:rPr>
          <w:rFonts w:ascii="Calibri Light" w:hAnsi="Calibri Light" w:cs="Calibri Light"/>
          <w:color w:val="6E8A96"/>
          <w:sz w:val="19"/>
          <w:szCs w:val="19"/>
        </w:rPr>
        <w:t>Neutral Administrator and Depositary: The Swiss Confederation</w:t>
      </w:r>
    </w:p>
    <w:p w14:paraId="0A4B1FBD" w14:textId="77777777" w:rsidR="008C4E6E" w:rsidRDefault="00000000">
      <w:pPr>
        <w:spacing w:before="60" w:after="60" w:line="300" w:lineRule="auto"/>
        <w:jc w:val="center"/>
      </w:pPr>
      <w:r>
        <w:rPr>
          <w:rFonts w:ascii="Calibri Light" w:hAnsi="Calibri Light" w:cs="Calibri Light"/>
          <w:color w:val="6E8A96"/>
          <w:sz w:val="19"/>
          <w:szCs w:val="19"/>
        </w:rPr>
        <w:t>Muscat  |  12 August 2026  |  Version 2.0 (Crisis Acceleration Edition)</w:t>
      </w:r>
    </w:p>
    <w:p w14:paraId="7F0D5293" w14:textId="77777777" w:rsidR="008C4E6E" w:rsidRDefault="00000000">
      <w:pPr>
        <w:spacing w:before="380" w:after="60" w:line="300" w:lineRule="auto"/>
        <w:jc w:val="center"/>
      </w:pPr>
      <w:r>
        <w:rPr>
          <w:rFonts w:ascii="Calibri Light" w:hAnsi="Calibri Light" w:cs="Calibri Light"/>
          <w:color w:val="6E8A96"/>
          <w:sz w:val="17"/>
          <w:szCs w:val="17"/>
        </w:rPr>
        <w:t>Drafted in strict adherence to the Immutable Present-Tense Matrix</w:t>
      </w:r>
    </w:p>
    <w:p w14:paraId="3D25C518" w14:textId="77777777" w:rsidR="008C4E6E" w:rsidRDefault="008C4E6E">
      <w:pPr>
        <w:sectPr w:rsidR="008C4E6E">
          <w:pgSz w:w="11906" w:h="16838"/>
          <w:pgMar w:top="1440" w:right="1440" w:bottom="1440" w:left="1440" w:header="720" w:footer="720" w:gutter="0"/>
          <w:pgBorders>
            <w:top w:val="double" w:sz="12" w:space="24" w:color="1F4E5F"/>
            <w:left w:val="double" w:sz="12" w:space="24" w:color="1F4E5F"/>
            <w:bottom w:val="double" w:sz="12" w:space="24" w:color="1F4E5F"/>
            <w:right w:val="double" w:sz="12" w:space="24" w:color="1F4E5F"/>
          </w:pgBorders>
          <w:cols w:space="720"/>
        </w:sectPr>
      </w:pPr>
    </w:p>
    <w:p w14:paraId="6D06EE93" w14:textId="77777777" w:rsidR="008C4E6E" w:rsidRDefault="00000000">
      <w:pPr>
        <w:spacing w:before="200" w:after="200"/>
      </w:pPr>
      <w:r>
        <w:rPr>
          <w:rFonts w:ascii="Calibri Light" w:hAnsi="Calibri Light" w:cs="Calibri Light"/>
          <w:b/>
          <w:color w:val="1F4E5F"/>
          <w:sz w:val="32"/>
          <w:szCs w:val="32"/>
        </w:rPr>
        <w:lastRenderedPageBreak/>
        <w:t>Table of Contents</w:t>
      </w:r>
    </w:p>
    <w:p w14:paraId="6FDB3D7E" w14:textId="2D32780B" w:rsidR="00DC7476" w:rsidRDefault="00000000">
      <w:pPr>
        <w:pStyle w:val="TOC1"/>
        <w:rPr>
          <w:rFonts w:asciiTheme="minorHAnsi" w:hAnsiTheme="minorHAnsi"/>
          <w:noProof/>
          <w:color w:val="auto"/>
          <w:sz w:val="24"/>
        </w:rPr>
      </w:pPr>
      <w:r>
        <w:fldChar w:fldCharType="begin"/>
      </w:r>
      <w:r>
        <w:instrText xml:space="preserve"> TOC \o "1-2" \h \z \u </w:instrText>
      </w:r>
      <w:r>
        <w:fldChar w:fldCharType="separate"/>
      </w:r>
      <w:hyperlink w:anchor="_Toc237650556" w:history="1">
        <w:r w:rsidR="00DC7476" w:rsidRPr="00E734D9">
          <w:rPr>
            <w:rStyle w:val="Hyperlink"/>
            <w:rFonts w:cs="Calibri Light"/>
            <w:noProof/>
          </w:rPr>
          <w:t>Document Control</w:t>
        </w:r>
        <w:r w:rsidR="00DC7476">
          <w:rPr>
            <w:noProof/>
            <w:webHidden/>
          </w:rPr>
          <w:tab/>
        </w:r>
        <w:r w:rsidR="00DC7476">
          <w:rPr>
            <w:noProof/>
            <w:webHidden/>
          </w:rPr>
          <w:fldChar w:fldCharType="begin"/>
        </w:r>
        <w:r w:rsidR="00DC7476">
          <w:rPr>
            <w:noProof/>
            <w:webHidden/>
          </w:rPr>
          <w:instrText xml:space="preserve"> PAGEREF _Toc237650556 \h </w:instrText>
        </w:r>
        <w:r w:rsidR="00DC7476">
          <w:rPr>
            <w:noProof/>
            <w:webHidden/>
          </w:rPr>
        </w:r>
        <w:r w:rsidR="00DC7476">
          <w:rPr>
            <w:noProof/>
            <w:webHidden/>
          </w:rPr>
          <w:fldChar w:fldCharType="separate"/>
        </w:r>
        <w:r w:rsidR="00DC7476">
          <w:rPr>
            <w:noProof/>
            <w:webHidden/>
          </w:rPr>
          <w:t>6</w:t>
        </w:r>
        <w:r w:rsidR="00DC7476">
          <w:rPr>
            <w:noProof/>
            <w:webHidden/>
          </w:rPr>
          <w:fldChar w:fldCharType="end"/>
        </w:r>
      </w:hyperlink>
    </w:p>
    <w:p w14:paraId="48D30E6C" w14:textId="5B30392F" w:rsidR="00DC7476" w:rsidRDefault="00DC7476">
      <w:pPr>
        <w:pStyle w:val="TOC2"/>
        <w:rPr>
          <w:rFonts w:asciiTheme="minorHAnsi" w:hAnsiTheme="minorHAnsi"/>
          <w:noProof/>
          <w:color w:val="auto"/>
          <w:sz w:val="24"/>
        </w:rPr>
      </w:pPr>
      <w:hyperlink w:anchor="_Toc237650557" w:history="1">
        <w:r w:rsidRPr="00E734D9">
          <w:rPr>
            <w:rStyle w:val="Hyperlink"/>
            <w:rFonts w:cs="Calibri Light"/>
            <w:noProof/>
          </w:rPr>
          <w:t>Drafting Discipline</w:t>
        </w:r>
        <w:r>
          <w:rPr>
            <w:noProof/>
            <w:webHidden/>
          </w:rPr>
          <w:tab/>
        </w:r>
        <w:r>
          <w:rPr>
            <w:noProof/>
            <w:webHidden/>
          </w:rPr>
          <w:fldChar w:fldCharType="begin"/>
        </w:r>
        <w:r>
          <w:rPr>
            <w:noProof/>
            <w:webHidden/>
          </w:rPr>
          <w:instrText xml:space="preserve"> PAGEREF _Toc237650557 \h </w:instrText>
        </w:r>
        <w:r>
          <w:rPr>
            <w:noProof/>
            <w:webHidden/>
          </w:rPr>
        </w:r>
        <w:r>
          <w:rPr>
            <w:noProof/>
            <w:webHidden/>
          </w:rPr>
          <w:fldChar w:fldCharType="separate"/>
        </w:r>
        <w:r>
          <w:rPr>
            <w:noProof/>
            <w:webHidden/>
          </w:rPr>
          <w:t>7</w:t>
        </w:r>
        <w:r>
          <w:rPr>
            <w:noProof/>
            <w:webHidden/>
          </w:rPr>
          <w:fldChar w:fldCharType="end"/>
        </w:r>
      </w:hyperlink>
    </w:p>
    <w:p w14:paraId="63DD249E" w14:textId="207E08CF" w:rsidR="00DC7476" w:rsidRDefault="00DC7476">
      <w:pPr>
        <w:pStyle w:val="TOC2"/>
        <w:rPr>
          <w:rFonts w:asciiTheme="minorHAnsi" w:hAnsiTheme="minorHAnsi"/>
          <w:noProof/>
          <w:color w:val="auto"/>
          <w:sz w:val="24"/>
        </w:rPr>
      </w:pPr>
      <w:hyperlink w:anchor="_Toc237650558" w:history="1">
        <w:r w:rsidRPr="00E734D9">
          <w:rPr>
            <w:rStyle w:val="Hyperlink"/>
            <w:rFonts w:cs="Calibri Light"/>
            <w:noProof/>
          </w:rPr>
          <w:t>How to Read This Covenant</w:t>
        </w:r>
        <w:r>
          <w:rPr>
            <w:noProof/>
            <w:webHidden/>
          </w:rPr>
          <w:tab/>
        </w:r>
        <w:r>
          <w:rPr>
            <w:noProof/>
            <w:webHidden/>
          </w:rPr>
          <w:fldChar w:fldCharType="begin"/>
        </w:r>
        <w:r>
          <w:rPr>
            <w:noProof/>
            <w:webHidden/>
          </w:rPr>
          <w:instrText xml:space="preserve"> PAGEREF _Toc237650558 \h </w:instrText>
        </w:r>
        <w:r>
          <w:rPr>
            <w:noProof/>
            <w:webHidden/>
          </w:rPr>
        </w:r>
        <w:r>
          <w:rPr>
            <w:noProof/>
            <w:webHidden/>
          </w:rPr>
          <w:fldChar w:fldCharType="separate"/>
        </w:r>
        <w:r>
          <w:rPr>
            <w:noProof/>
            <w:webHidden/>
          </w:rPr>
          <w:t>8</w:t>
        </w:r>
        <w:r>
          <w:rPr>
            <w:noProof/>
            <w:webHidden/>
          </w:rPr>
          <w:fldChar w:fldCharType="end"/>
        </w:r>
      </w:hyperlink>
    </w:p>
    <w:p w14:paraId="35D2A401" w14:textId="01DB147E" w:rsidR="00DC7476" w:rsidRDefault="00DC7476">
      <w:pPr>
        <w:pStyle w:val="TOC1"/>
        <w:rPr>
          <w:rFonts w:asciiTheme="minorHAnsi" w:hAnsiTheme="minorHAnsi"/>
          <w:noProof/>
          <w:color w:val="auto"/>
          <w:sz w:val="24"/>
        </w:rPr>
      </w:pPr>
      <w:hyperlink w:anchor="_Toc237650559" w:history="1">
        <w:r w:rsidRPr="00E734D9">
          <w:rPr>
            <w:rStyle w:val="Hyperlink"/>
            <w:rFonts w:cs="Calibri Light"/>
            <w:noProof/>
          </w:rPr>
          <w:t>The Declaration of Calm Waters</w:t>
        </w:r>
        <w:r>
          <w:rPr>
            <w:noProof/>
            <w:webHidden/>
          </w:rPr>
          <w:tab/>
        </w:r>
        <w:r>
          <w:rPr>
            <w:noProof/>
            <w:webHidden/>
          </w:rPr>
          <w:fldChar w:fldCharType="begin"/>
        </w:r>
        <w:r>
          <w:rPr>
            <w:noProof/>
            <w:webHidden/>
          </w:rPr>
          <w:instrText xml:space="preserve"> PAGEREF _Toc237650559 \h </w:instrText>
        </w:r>
        <w:r>
          <w:rPr>
            <w:noProof/>
            <w:webHidden/>
          </w:rPr>
        </w:r>
        <w:r>
          <w:rPr>
            <w:noProof/>
            <w:webHidden/>
          </w:rPr>
          <w:fldChar w:fldCharType="separate"/>
        </w:r>
        <w:r>
          <w:rPr>
            <w:noProof/>
            <w:webHidden/>
          </w:rPr>
          <w:t>9</w:t>
        </w:r>
        <w:r>
          <w:rPr>
            <w:noProof/>
            <w:webHidden/>
          </w:rPr>
          <w:fldChar w:fldCharType="end"/>
        </w:r>
      </w:hyperlink>
    </w:p>
    <w:p w14:paraId="6CEA95B3" w14:textId="44E458E1" w:rsidR="00DC7476" w:rsidRDefault="00DC7476">
      <w:pPr>
        <w:pStyle w:val="TOC1"/>
        <w:rPr>
          <w:rFonts w:asciiTheme="minorHAnsi" w:hAnsiTheme="minorHAnsi"/>
          <w:noProof/>
          <w:color w:val="auto"/>
          <w:sz w:val="24"/>
        </w:rPr>
      </w:pPr>
      <w:hyperlink w:anchor="_Toc237650560" w:history="1">
        <w:r w:rsidRPr="00E734D9">
          <w:rPr>
            <w:rStyle w:val="Hyperlink"/>
            <w:rFonts w:cs="Calibri Light"/>
            <w:noProof/>
          </w:rPr>
          <w:t>Preamble: The Moment of August 2026</w:t>
        </w:r>
        <w:r>
          <w:rPr>
            <w:noProof/>
            <w:webHidden/>
          </w:rPr>
          <w:tab/>
        </w:r>
        <w:r>
          <w:rPr>
            <w:noProof/>
            <w:webHidden/>
          </w:rPr>
          <w:fldChar w:fldCharType="begin"/>
        </w:r>
        <w:r>
          <w:rPr>
            <w:noProof/>
            <w:webHidden/>
          </w:rPr>
          <w:instrText xml:space="preserve"> PAGEREF _Toc237650560 \h </w:instrText>
        </w:r>
        <w:r>
          <w:rPr>
            <w:noProof/>
            <w:webHidden/>
          </w:rPr>
        </w:r>
        <w:r>
          <w:rPr>
            <w:noProof/>
            <w:webHidden/>
          </w:rPr>
          <w:fldChar w:fldCharType="separate"/>
        </w:r>
        <w:r>
          <w:rPr>
            <w:noProof/>
            <w:webHidden/>
          </w:rPr>
          <w:t>10</w:t>
        </w:r>
        <w:r>
          <w:rPr>
            <w:noProof/>
            <w:webHidden/>
          </w:rPr>
          <w:fldChar w:fldCharType="end"/>
        </w:r>
      </w:hyperlink>
    </w:p>
    <w:p w14:paraId="7E7DDDF9" w14:textId="3B1F2A0E" w:rsidR="00DC7476" w:rsidRDefault="00DC7476">
      <w:pPr>
        <w:pStyle w:val="TOC1"/>
        <w:rPr>
          <w:rFonts w:asciiTheme="minorHAnsi" w:hAnsiTheme="minorHAnsi"/>
          <w:noProof/>
          <w:color w:val="auto"/>
          <w:sz w:val="24"/>
        </w:rPr>
      </w:pPr>
      <w:hyperlink w:anchor="_Toc237650561" w:history="1">
        <w:r w:rsidRPr="00E734D9">
          <w:rPr>
            <w:rStyle w:val="Hyperlink"/>
            <w:rFonts w:cs="Calibri Light"/>
            <w:noProof/>
          </w:rPr>
          <w:t>Part 0: The Legal Ladder</w:t>
        </w:r>
        <w:r>
          <w:rPr>
            <w:noProof/>
            <w:webHidden/>
          </w:rPr>
          <w:tab/>
        </w:r>
        <w:r>
          <w:rPr>
            <w:noProof/>
            <w:webHidden/>
          </w:rPr>
          <w:fldChar w:fldCharType="begin"/>
        </w:r>
        <w:r>
          <w:rPr>
            <w:noProof/>
            <w:webHidden/>
          </w:rPr>
          <w:instrText xml:space="preserve"> PAGEREF _Toc237650561 \h </w:instrText>
        </w:r>
        <w:r>
          <w:rPr>
            <w:noProof/>
            <w:webHidden/>
          </w:rPr>
        </w:r>
        <w:r>
          <w:rPr>
            <w:noProof/>
            <w:webHidden/>
          </w:rPr>
          <w:fldChar w:fldCharType="separate"/>
        </w:r>
        <w:r>
          <w:rPr>
            <w:noProof/>
            <w:webHidden/>
          </w:rPr>
          <w:t>11</w:t>
        </w:r>
        <w:r>
          <w:rPr>
            <w:noProof/>
            <w:webHidden/>
          </w:rPr>
          <w:fldChar w:fldCharType="end"/>
        </w:r>
      </w:hyperlink>
    </w:p>
    <w:p w14:paraId="3DB993AA" w14:textId="6B7174DA" w:rsidR="00DC7476" w:rsidRDefault="00DC7476">
      <w:pPr>
        <w:pStyle w:val="TOC2"/>
        <w:rPr>
          <w:rFonts w:asciiTheme="minorHAnsi" w:hAnsiTheme="minorHAnsi"/>
          <w:noProof/>
          <w:color w:val="auto"/>
          <w:sz w:val="24"/>
        </w:rPr>
      </w:pPr>
      <w:hyperlink w:anchor="_Toc237650562" w:history="1">
        <w:r w:rsidRPr="00E734D9">
          <w:rPr>
            <w:rStyle w:val="Hyperlink"/>
            <w:rFonts w:cs="Calibri Light"/>
            <w:noProof/>
          </w:rPr>
          <w:t>Article 0.1: The Escalating Commitment Doctrine</w:t>
        </w:r>
        <w:r>
          <w:rPr>
            <w:noProof/>
            <w:webHidden/>
          </w:rPr>
          <w:tab/>
        </w:r>
        <w:r>
          <w:rPr>
            <w:noProof/>
            <w:webHidden/>
          </w:rPr>
          <w:fldChar w:fldCharType="begin"/>
        </w:r>
        <w:r>
          <w:rPr>
            <w:noProof/>
            <w:webHidden/>
          </w:rPr>
          <w:instrText xml:space="preserve"> PAGEREF _Toc237650562 \h </w:instrText>
        </w:r>
        <w:r>
          <w:rPr>
            <w:noProof/>
            <w:webHidden/>
          </w:rPr>
        </w:r>
        <w:r>
          <w:rPr>
            <w:noProof/>
            <w:webHidden/>
          </w:rPr>
          <w:fldChar w:fldCharType="separate"/>
        </w:r>
        <w:r>
          <w:rPr>
            <w:noProof/>
            <w:webHidden/>
          </w:rPr>
          <w:t>11</w:t>
        </w:r>
        <w:r>
          <w:rPr>
            <w:noProof/>
            <w:webHidden/>
          </w:rPr>
          <w:fldChar w:fldCharType="end"/>
        </w:r>
      </w:hyperlink>
    </w:p>
    <w:p w14:paraId="1362C47E" w14:textId="6C435402" w:rsidR="00DC7476" w:rsidRDefault="00DC7476">
      <w:pPr>
        <w:pStyle w:val="TOC2"/>
        <w:rPr>
          <w:rFonts w:asciiTheme="minorHAnsi" w:hAnsiTheme="minorHAnsi"/>
          <w:noProof/>
          <w:color w:val="auto"/>
          <w:sz w:val="24"/>
        </w:rPr>
      </w:pPr>
      <w:hyperlink w:anchor="_Toc237650563" w:history="1">
        <w:r w:rsidRPr="00E734D9">
          <w:rPr>
            <w:rStyle w:val="Hyperlink"/>
            <w:rFonts w:cs="Calibri Light"/>
            <w:noProof/>
          </w:rPr>
          <w:t>Article 0.2: The Hierarchy of Commitments</w:t>
        </w:r>
        <w:r>
          <w:rPr>
            <w:noProof/>
            <w:webHidden/>
          </w:rPr>
          <w:tab/>
        </w:r>
        <w:r>
          <w:rPr>
            <w:noProof/>
            <w:webHidden/>
          </w:rPr>
          <w:fldChar w:fldCharType="begin"/>
        </w:r>
        <w:r>
          <w:rPr>
            <w:noProof/>
            <w:webHidden/>
          </w:rPr>
          <w:instrText xml:space="preserve"> PAGEREF _Toc237650563 \h </w:instrText>
        </w:r>
        <w:r>
          <w:rPr>
            <w:noProof/>
            <w:webHidden/>
          </w:rPr>
        </w:r>
        <w:r>
          <w:rPr>
            <w:noProof/>
            <w:webHidden/>
          </w:rPr>
          <w:fldChar w:fldCharType="separate"/>
        </w:r>
        <w:r>
          <w:rPr>
            <w:noProof/>
            <w:webHidden/>
          </w:rPr>
          <w:t>12</w:t>
        </w:r>
        <w:r>
          <w:rPr>
            <w:noProof/>
            <w:webHidden/>
          </w:rPr>
          <w:fldChar w:fldCharType="end"/>
        </w:r>
      </w:hyperlink>
    </w:p>
    <w:p w14:paraId="4F18C02F" w14:textId="465138B2" w:rsidR="00DC7476" w:rsidRDefault="00DC7476">
      <w:pPr>
        <w:pStyle w:val="TOC2"/>
        <w:rPr>
          <w:rFonts w:asciiTheme="minorHAnsi" w:hAnsiTheme="minorHAnsi"/>
          <w:noProof/>
          <w:color w:val="auto"/>
          <w:sz w:val="24"/>
        </w:rPr>
      </w:pPr>
      <w:hyperlink w:anchor="_Toc237650564" w:history="1">
        <w:r w:rsidRPr="00E734D9">
          <w:rPr>
            <w:rStyle w:val="Hyperlink"/>
            <w:rFonts w:cs="Calibri Light"/>
            <w:noProof/>
          </w:rPr>
          <w:t>Article 0.3: The No-Surprise Legal Transition</w:t>
        </w:r>
        <w:r>
          <w:rPr>
            <w:noProof/>
            <w:webHidden/>
          </w:rPr>
          <w:tab/>
        </w:r>
        <w:r>
          <w:rPr>
            <w:noProof/>
            <w:webHidden/>
          </w:rPr>
          <w:fldChar w:fldCharType="begin"/>
        </w:r>
        <w:r>
          <w:rPr>
            <w:noProof/>
            <w:webHidden/>
          </w:rPr>
          <w:instrText xml:space="preserve"> PAGEREF _Toc237650564 \h </w:instrText>
        </w:r>
        <w:r>
          <w:rPr>
            <w:noProof/>
            <w:webHidden/>
          </w:rPr>
        </w:r>
        <w:r>
          <w:rPr>
            <w:noProof/>
            <w:webHidden/>
          </w:rPr>
          <w:fldChar w:fldCharType="separate"/>
        </w:r>
        <w:r>
          <w:rPr>
            <w:noProof/>
            <w:webHidden/>
          </w:rPr>
          <w:t>13</w:t>
        </w:r>
        <w:r>
          <w:rPr>
            <w:noProof/>
            <w:webHidden/>
          </w:rPr>
          <w:fldChar w:fldCharType="end"/>
        </w:r>
      </w:hyperlink>
    </w:p>
    <w:p w14:paraId="03919D93" w14:textId="4B34C442" w:rsidR="00DC7476" w:rsidRDefault="00DC7476">
      <w:pPr>
        <w:pStyle w:val="TOC1"/>
        <w:rPr>
          <w:rFonts w:asciiTheme="minorHAnsi" w:hAnsiTheme="minorHAnsi"/>
          <w:noProof/>
          <w:color w:val="auto"/>
          <w:sz w:val="24"/>
        </w:rPr>
      </w:pPr>
      <w:hyperlink w:anchor="_Toc237650565" w:history="1">
        <w:r w:rsidRPr="00E734D9">
          <w:rPr>
            <w:rStyle w:val="Hyperlink"/>
            <w:rFonts w:cs="Calibri Light"/>
            <w:noProof/>
          </w:rPr>
          <w:t>Part I: Foundations</w:t>
        </w:r>
        <w:r>
          <w:rPr>
            <w:noProof/>
            <w:webHidden/>
          </w:rPr>
          <w:tab/>
        </w:r>
        <w:r>
          <w:rPr>
            <w:noProof/>
            <w:webHidden/>
          </w:rPr>
          <w:fldChar w:fldCharType="begin"/>
        </w:r>
        <w:r>
          <w:rPr>
            <w:noProof/>
            <w:webHidden/>
          </w:rPr>
          <w:instrText xml:space="preserve"> PAGEREF _Toc237650565 \h </w:instrText>
        </w:r>
        <w:r>
          <w:rPr>
            <w:noProof/>
            <w:webHidden/>
          </w:rPr>
        </w:r>
        <w:r>
          <w:rPr>
            <w:noProof/>
            <w:webHidden/>
          </w:rPr>
          <w:fldChar w:fldCharType="separate"/>
        </w:r>
        <w:r>
          <w:rPr>
            <w:noProof/>
            <w:webHidden/>
          </w:rPr>
          <w:t>14</w:t>
        </w:r>
        <w:r>
          <w:rPr>
            <w:noProof/>
            <w:webHidden/>
          </w:rPr>
          <w:fldChar w:fldCharType="end"/>
        </w:r>
      </w:hyperlink>
    </w:p>
    <w:p w14:paraId="0456C35C" w14:textId="1045691A" w:rsidR="00DC7476" w:rsidRDefault="00DC7476">
      <w:pPr>
        <w:pStyle w:val="TOC2"/>
        <w:rPr>
          <w:rFonts w:asciiTheme="minorHAnsi" w:hAnsiTheme="minorHAnsi"/>
          <w:noProof/>
          <w:color w:val="auto"/>
          <w:sz w:val="24"/>
        </w:rPr>
      </w:pPr>
      <w:hyperlink w:anchor="_Toc237650566" w:history="1">
        <w:r w:rsidRPr="00E734D9">
          <w:rPr>
            <w:rStyle w:val="Hyperlink"/>
            <w:rFonts w:cs="Calibri Light"/>
            <w:noProof/>
          </w:rPr>
          <w:t>Article 1: Establishment, Purpose, and Scope</w:t>
        </w:r>
        <w:r>
          <w:rPr>
            <w:noProof/>
            <w:webHidden/>
          </w:rPr>
          <w:tab/>
        </w:r>
        <w:r>
          <w:rPr>
            <w:noProof/>
            <w:webHidden/>
          </w:rPr>
          <w:fldChar w:fldCharType="begin"/>
        </w:r>
        <w:r>
          <w:rPr>
            <w:noProof/>
            <w:webHidden/>
          </w:rPr>
          <w:instrText xml:space="preserve"> PAGEREF _Toc237650566 \h </w:instrText>
        </w:r>
        <w:r>
          <w:rPr>
            <w:noProof/>
            <w:webHidden/>
          </w:rPr>
        </w:r>
        <w:r>
          <w:rPr>
            <w:noProof/>
            <w:webHidden/>
          </w:rPr>
          <w:fldChar w:fldCharType="separate"/>
        </w:r>
        <w:r>
          <w:rPr>
            <w:noProof/>
            <w:webHidden/>
          </w:rPr>
          <w:t>14</w:t>
        </w:r>
        <w:r>
          <w:rPr>
            <w:noProof/>
            <w:webHidden/>
          </w:rPr>
          <w:fldChar w:fldCharType="end"/>
        </w:r>
      </w:hyperlink>
    </w:p>
    <w:p w14:paraId="0F914152" w14:textId="41676871" w:rsidR="00DC7476" w:rsidRDefault="00DC7476">
      <w:pPr>
        <w:pStyle w:val="TOC2"/>
        <w:rPr>
          <w:rFonts w:asciiTheme="minorHAnsi" w:hAnsiTheme="minorHAnsi"/>
          <w:noProof/>
          <w:color w:val="auto"/>
          <w:sz w:val="24"/>
        </w:rPr>
      </w:pPr>
      <w:hyperlink w:anchor="_Toc237650567" w:history="1">
        <w:r w:rsidRPr="00E734D9">
          <w:rPr>
            <w:rStyle w:val="Hyperlink"/>
            <w:rFonts w:cs="Calibri Light"/>
            <w:noProof/>
          </w:rPr>
          <w:t>Article 2: The Participation Architecture</w:t>
        </w:r>
        <w:r>
          <w:rPr>
            <w:noProof/>
            <w:webHidden/>
          </w:rPr>
          <w:tab/>
        </w:r>
        <w:r>
          <w:rPr>
            <w:noProof/>
            <w:webHidden/>
          </w:rPr>
          <w:fldChar w:fldCharType="begin"/>
        </w:r>
        <w:r>
          <w:rPr>
            <w:noProof/>
            <w:webHidden/>
          </w:rPr>
          <w:instrText xml:space="preserve"> PAGEREF _Toc237650567 \h </w:instrText>
        </w:r>
        <w:r>
          <w:rPr>
            <w:noProof/>
            <w:webHidden/>
          </w:rPr>
        </w:r>
        <w:r>
          <w:rPr>
            <w:noProof/>
            <w:webHidden/>
          </w:rPr>
          <w:fldChar w:fldCharType="separate"/>
        </w:r>
        <w:r>
          <w:rPr>
            <w:noProof/>
            <w:webHidden/>
          </w:rPr>
          <w:t>15</w:t>
        </w:r>
        <w:r>
          <w:rPr>
            <w:noProof/>
            <w:webHidden/>
          </w:rPr>
          <w:fldChar w:fldCharType="end"/>
        </w:r>
      </w:hyperlink>
    </w:p>
    <w:p w14:paraId="5283904C" w14:textId="2C6F7811" w:rsidR="00DC7476" w:rsidRDefault="00DC7476">
      <w:pPr>
        <w:pStyle w:val="TOC2"/>
        <w:rPr>
          <w:rFonts w:asciiTheme="minorHAnsi" w:hAnsiTheme="minorHAnsi"/>
          <w:noProof/>
          <w:color w:val="auto"/>
          <w:sz w:val="24"/>
        </w:rPr>
      </w:pPr>
      <w:hyperlink w:anchor="_Toc237650568" w:history="1">
        <w:r w:rsidRPr="00E734D9">
          <w:rPr>
            <w:rStyle w:val="Hyperlink"/>
            <w:rFonts w:cs="Calibri Light"/>
            <w:noProof/>
          </w:rPr>
          <w:t>Article 3: Legal Foundations</w:t>
        </w:r>
        <w:r>
          <w:rPr>
            <w:noProof/>
            <w:webHidden/>
          </w:rPr>
          <w:tab/>
        </w:r>
        <w:r>
          <w:rPr>
            <w:noProof/>
            <w:webHidden/>
          </w:rPr>
          <w:fldChar w:fldCharType="begin"/>
        </w:r>
        <w:r>
          <w:rPr>
            <w:noProof/>
            <w:webHidden/>
          </w:rPr>
          <w:instrText xml:space="preserve"> PAGEREF _Toc237650568 \h </w:instrText>
        </w:r>
        <w:r>
          <w:rPr>
            <w:noProof/>
            <w:webHidden/>
          </w:rPr>
        </w:r>
        <w:r>
          <w:rPr>
            <w:noProof/>
            <w:webHidden/>
          </w:rPr>
          <w:fldChar w:fldCharType="separate"/>
        </w:r>
        <w:r>
          <w:rPr>
            <w:noProof/>
            <w:webHidden/>
          </w:rPr>
          <w:t>16</w:t>
        </w:r>
        <w:r>
          <w:rPr>
            <w:noProof/>
            <w:webHidden/>
          </w:rPr>
          <w:fldChar w:fldCharType="end"/>
        </w:r>
      </w:hyperlink>
    </w:p>
    <w:p w14:paraId="1C43A594" w14:textId="6FFDB016" w:rsidR="00DC7476" w:rsidRDefault="00DC7476">
      <w:pPr>
        <w:pStyle w:val="TOC2"/>
        <w:rPr>
          <w:rFonts w:asciiTheme="minorHAnsi" w:hAnsiTheme="minorHAnsi"/>
          <w:noProof/>
          <w:color w:val="auto"/>
          <w:sz w:val="24"/>
        </w:rPr>
      </w:pPr>
      <w:hyperlink w:anchor="_Toc237650569" w:history="1">
        <w:r w:rsidRPr="00E734D9">
          <w:rPr>
            <w:rStyle w:val="Hyperlink"/>
            <w:rFonts w:cs="Calibri Light"/>
            <w:noProof/>
          </w:rPr>
          <w:t>Article 4: Core Operating Principles</w:t>
        </w:r>
        <w:r>
          <w:rPr>
            <w:noProof/>
            <w:webHidden/>
          </w:rPr>
          <w:tab/>
        </w:r>
        <w:r>
          <w:rPr>
            <w:noProof/>
            <w:webHidden/>
          </w:rPr>
          <w:fldChar w:fldCharType="begin"/>
        </w:r>
        <w:r>
          <w:rPr>
            <w:noProof/>
            <w:webHidden/>
          </w:rPr>
          <w:instrText xml:space="preserve"> PAGEREF _Toc237650569 \h </w:instrText>
        </w:r>
        <w:r>
          <w:rPr>
            <w:noProof/>
            <w:webHidden/>
          </w:rPr>
        </w:r>
        <w:r>
          <w:rPr>
            <w:noProof/>
            <w:webHidden/>
          </w:rPr>
          <w:fldChar w:fldCharType="separate"/>
        </w:r>
        <w:r>
          <w:rPr>
            <w:noProof/>
            <w:webHidden/>
          </w:rPr>
          <w:t>17</w:t>
        </w:r>
        <w:r>
          <w:rPr>
            <w:noProof/>
            <w:webHidden/>
          </w:rPr>
          <w:fldChar w:fldCharType="end"/>
        </w:r>
      </w:hyperlink>
    </w:p>
    <w:p w14:paraId="6A33DCCE" w14:textId="6524D360" w:rsidR="00DC7476" w:rsidRDefault="00DC7476">
      <w:pPr>
        <w:pStyle w:val="TOC2"/>
        <w:rPr>
          <w:rFonts w:asciiTheme="minorHAnsi" w:hAnsiTheme="minorHAnsi"/>
          <w:noProof/>
          <w:color w:val="auto"/>
          <w:sz w:val="24"/>
        </w:rPr>
      </w:pPr>
      <w:hyperlink w:anchor="_Toc237650570" w:history="1">
        <w:r w:rsidRPr="00E734D9">
          <w:rPr>
            <w:rStyle w:val="Hyperlink"/>
            <w:rFonts w:cs="Calibri Light"/>
            <w:noProof/>
          </w:rPr>
          <w:t>Article 5: The Standing Continuity Guarantee</w:t>
        </w:r>
        <w:r>
          <w:rPr>
            <w:noProof/>
            <w:webHidden/>
          </w:rPr>
          <w:tab/>
        </w:r>
        <w:r>
          <w:rPr>
            <w:noProof/>
            <w:webHidden/>
          </w:rPr>
          <w:fldChar w:fldCharType="begin"/>
        </w:r>
        <w:r>
          <w:rPr>
            <w:noProof/>
            <w:webHidden/>
          </w:rPr>
          <w:instrText xml:space="preserve"> PAGEREF _Toc237650570 \h </w:instrText>
        </w:r>
        <w:r>
          <w:rPr>
            <w:noProof/>
            <w:webHidden/>
          </w:rPr>
        </w:r>
        <w:r>
          <w:rPr>
            <w:noProof/>
            <w:webHidden/>
          </w:rPr>
          <w:fldChar w:fldCharType="separate"/>
        </w:r>
        <w:r>
          <w:rPr>
            <w:noProof/>
            <w:webHidden/>
          </w:rPr>
          <w:t>18</w:t>
        </w:r>
        <w:r>
          <w:rPr>
            <w:noProof/>
            <w:webHidden/>
          </w:rPr>
          <w:fldChar w:fldCharType="end"/>
        </w:r>
      </w:hyperlink>
    </w:p>
    <w:p w14:paraId="62AAB3F5" w14:textId="061E6FB9" w:rsidR="00DC7476" w:rsidRDefault="00DC7476">
      <w:pPr>
        <w:pStyle w:val="TOC2"/>
        <w:rPr>
          <w:rFonts w:asciiTheme="minorHAnsi" w:hAnsiTheme="minorHAnsi"/>
          <w:noProof/>
          <w:color w:val="auto"/>
          <w:sz w:val="24"/>
        </w:rPr>
      </w:pPr>
      <w:hyperlink w:anchor="_Toc237650571" w:history="1">
        <w:r w:rsidRPr="00E734D9">
          <w:rPr>
            <w:rStyle w:val="Hyperlink"/>
            <w:rFonts w:cs="Calibri Light"/>
            <w:noProof/>
          </w:rPr>
          <w:t>Article 6: The Layered Activation Doctrine</w:t>
        </w:r>
        <w:r>
          <w:rPr>
            <w:noProof/>
            <w:webHidden/>
          </w:rPr>
          <w:tab/>
        </w:r>
        <w:r>
          <w:rPr>
            <w:noProof/>
            <w:webHidden/>
          </w:rPr>
          <w:fldChar w:fldCharType="begin"/>
        </w:r>
        <w:r>
          <w:rPr>
            <w:noProof/>
            <w:webHidden/>
          </w:rPr>
          <w:instrText xml:space="preserve"> PAGEREF _Toc237650571 \h </w:instrText>
        </w:r>
        <w:r>
          <w:rPr>
            <w:noProof/>
            <w:webHidden/>
          </w:rPr>
        </w:r>
        <w:r>
          <w:rPr>
            <w:noProof/>
            <w:webHidden/>
          </w:rPr>
          <w:fldChar w:fldCharType="separate"/>
        </w:r>
        <w:r>
          <w:rPr>
            <w:noProof/>
            <w:webHidden/>
          </w:rPr>
          <w:t>19</w:t>
        </w:r>
        <w:r>
          <w:rPr>
            <w:noProof/>
            <w:webHidden/>
          </w:rPr>
          <w:fldChar w:fldCharType="end"/>
        </w:r>
      </w:hyperlink>
    </w:p>
    <w:p w14:paraId="49C6B823" w14:textId="1273CEB2" w:rsidR="00DC7476" w:rsidRDefault="00DC7476">
      <w:pPr>
        <w:pStyle w:val="TOC2"/>
        <w:rPr>
          <w:rFonts w:asciiTheme="minorHAnsi" w:hAnsiTheme="minorHAnsi"/>
          <w:noProof/>
          <w:color w:val="auto"/>
          <w:sz w:val="24"/>
        </w:rPr>
      </w:pPr>
      <w:hyperlink w:anchor="_Toc237650572" w:history="1">
        <w:r w:rsidRPr="00E734D9">
          <w:rPr>
            <w:rStyle w:val="Hyperlink"/>
            <w:rFonts w:cs="Calibri Light"/>
            <w:noProof/>
          </w:rPr>
          <w:t>Article 7: Definitions and Interpretation</w:t>
        </w:r>
        <w:r>
          <w:rPr>
            <w:noProof/>
            <w:webHidden/>
          </w:rPr>
          <w:tab/>
        </w:r>
        <w:r>
          <w:rPr>
            <w:noProof/>
            <w:webHidden/>
          </w:rPr>
          <w:fldChar w:fldCharType="begin"/>
        </w:r>
        <w:r>
          <w:rPr>
            <w:noProof/>
            <w:webHidden/>
          </w:rPr>
          <w:instrText xml:space="preserve"> PAGEREF _Toc237650572 \h </w:instrText>
        </w:r>
        <w:r>
          <w:rPr>
            <w:noProof/>
            <w:webHidden/>
          </w:rPr>
        </w:r>
        <w:r>
          <w:rPr>
            <w:noProof/>
            <w:webHidden/>
          </w:rPr>
          <w:fldChar w:fldCharType="separate"/>
        </w:r>
        <w:r>
          <w:rPr>
            <w:noProof/>
            <w:webHidden/>
          </w:rPr>
          <w:t>21</w:t>
        </w:r>
        <w:r>
          <w:rPr>
            <w:noProof/>
            <w:webHidden/>
          </w:rPr>
          <w:fldChar w:fldCharType="end"/>
        </w:r>
      </w:hyperlink>
    </w:p>
    <w:p w14:paraId="6792F366" w14:textId="7D5B237D" w:rsidR="00DC7476" w:rsidRDefault="00DC7476">
      <w:pPr>
        <w:pStyle w:val="TOC2"/>
        <w:rPr>
          <w:rFonts w:asciiTheme="minorHAnsi" w:hAnsiTheme="minorHAnsi"/>
          <w:noProof/>
          <w:color w:val="auto"/>
          <w:sz w:val="24"/>
        </w:rPr>
      </w:pPr>
      <w:hyperlink w:anchor="_Toc237650573" w:history="1">
        <w:r w:rsidRPr="00E734D9">
          <w:rPr>
            <w:rStyle w:val="Hyperlink"/>
            <w:rFonts w:cs="Calibri Light"/>
            <w:noProof/>
          </w:rPr>
          <w:t>Article 8: The Red Lines Register and the Perimeter Test</w:t>
        </w:r>
        <w:r>
          <w:rPr>
            <w:noProof/>
            <w:webHidden/>
          </w:rPr>
          <w:tab/>
        </w:r>
        <w:r>
          <w:rPr>
            <w:noProof/>
            <w:webHidden/>
          </w:rPr>
          <w:fldChar w:fldCharType="begin"/>
        </w:r>
        <w:r>
          <w:rPr>
            <w:noProof/>
            <w:webHidden/>
          </w:rPr>
          <w:instrText xml:space="preserve"> PAGEREF _Toc237650573 \h </w:instrText>
        </w:r>
        <w:r>
          <w:rPr>
            <w:noProof/>
            <w:webHidden/>
          </w:rPr>
        </w:r>
        <w:r>
          <w:rPr>
            <w:noProof/>
            <w:webHidden/>
          </w:rPr>
          <w:fldChar w:fldCharType="separate"/>
        </w:r>
        <w:r>
          <w:rPr>
            <w:noProof/>
            <w:webHidden/>
          </w:rPr>
          <w:t>23</w:t>
        </w:r>
        <w:r>
          <w:rPr>
            <w:noProof/>
            <w:webHidden/>
          </w:rPr>
          <w:fldChar w:fldCharType="end"/>
        </w:r>
      </w:hyperlink>
    </w:p>
    <w:p w14:paraId="0B908459" w14:textId="7F2BB342" w:rsidR="00DC7476" w:rsidRDefault="00DC7476">
      <w:pPr>
        <w:pStyle w:val="TOC1"/>
        <w:rPr>
          <w:rFonts w:asciiTheme="minorHAnsi" w:hAnsiTheme="minorHAnsi"/>
          <w:noProof/>
          <w:color w:val="auto"/>
          <w:sz w:val="24"/>
        </w:rPr>
      </w:pPr>
      <w:hyperlink w:anchor="_Toc237650574" w:history="1">
        <w:r w:rsidRPr="00E734D9">
          <w:rPr>
            <w:rStyle w:val="Hyperlink"/>
            <w:rFonts w:cs="Calibri Light"/>
            <w:noProof/>
          </w:rPr>
          <w:t>Part II: Layer One: The Micro-Exercises</w:t>
        </w:r>
        <w:r>
          <w:rPr>
            <w:noProof/>
            <w:webHidden/>
          </w:rPr>
          <w:tab/>
        </w:r>
        <w:r>
          <w:rPr>
            <w:noProof/>
            <w:webHidden/>
          </w:rPr>
          <w:fldChar w:fldCharType="begin"/>
        </w:r>
        <w:r>
          <w:rPr>
            <w:noProof/>
            <w:webHidden/>
          </w:rPr>
          <w:instrText xml:space="preserve"> PAGEREF _Toc237650574 \h </w:instrText>
        </w:r>
        <w:r>
          <w:rPr>
            <w:noProof/>
            <w:webHidden/>
          </w:rPr>
        </w:r>
        <w:r>
          <w:rPr>
            <w:noProof/>
            <w:webHidden/>
          </w:rPr>
          <w:fldChar w:fldCharType="separate"/>
        </w:r>
        <w:r>
          <w:rPr>
            <w:noProof/>
            <w:webHidden/>
          </w:rPr>
          <w:t>24</w:t>
        </w:r>
        <w:r>
          <w:rPr>
            <w:noProof/>
            <w:webHidden/>
          </w:rPr>
          <w:fldChar w:fldCharType="end"/>
        </w:r>
      </w:hyperlink>
    </w:p>
    <w:p w14:paraId="4231FA36" w14:textId="034E230B" w:rsidR="00DC7476" w:rsidRDefault="00DC7476">
      <w:pPr>
        <w:pStyle w:val="TOC2"/>
        <w:rPr>
          <w:rFonts w:asciiTheme="minorHAnsi" w:hAnsiTheme="minorHAnsi"/>
          <w:noProof/>
          <w:color w:val="auto"/>
          <w:sz w:val="24"/>
        </w:rPr>
      </w:pPr>
      <w:hyperlink w:anchor="_Toc237650575" w:history="1">
        <w:r w:rsidRPr="00E734D9">
          <w:rPr>
            <w:rStyle w:val="Hyperlink"/>
            <w:rFonts w:cs="Calibri Light"/>
            <w:noProof/>
          </w:rPr>
          <w:t>Article 9: The Micro-Exercise Method</w:t>
        </w:r>
        <w:r>
          <w:rPr>
            <w:noProof/>
            <w:webHidden/>
          </w:rPr>
          <w:tab/>
        </w:r>
        <w:r>
          <w:rPr>
            <w:noProof/>
            <w:webHidden/>
          </w:rPr>
          <w:fldChar w:fldCharType="begin"/>
        </w:r>
        <w:r>
          <w:rPr>
            <w:noProof/>
            <w:webHidden/>
          </w:rPr>
          <w:instrText xml:space="preserve"> PAGEREF _Toc237650575 \h </w:instrText>
        </w:r>
        <w:r>
          <w:rPr>
            <w:noProof/>
            <w:webHidden/>
          </w:rPr>
        </w:r>
        <w:r>
          <w:rPr>
            <w:noProof/>
            <w:webHidden/>
          </w:rPr>
          <w:fldChar w:fldCharType="separate"/>
        </w:r>
        <w:r>
          <w:rPr>
            <w:noProof/>
            <w:webHidden/>
          </w:rPr>
          <w:t>24</w:t>
        </w:r>
        <w:r>
          <w:rPr>
            <w:noProof/>
            <w:webHidden/>
          </w:rPr>
          <w:fldChar w:fldCharType="end"/>
        </w:r>
      </w:hyperlink>
    </w:p>
    <w:p w14:paraId="1258C615" w14:textId="75AD6446" w:rsidR="00DC7476" w:rsidRDefault="00DC7476">
      <w:pPr>
        <w:pStyle w:val="TOC2"/>
        <w:rPr>
          <w:rFonts w:asciiTheme="minorHAnsi" w:hAnsiTheme="minorHAnsi"/>
          <w:noProof/>
          <w:color w:val="auto"/>
          <w:sz w:val="24"/>
        </w:rPr>
      </w:pPr>
      <w:hyperlink w:anchor="_Toc237650576" w:history="1">
        <w:r w:rsidRPr="00E734D9">
          <w:rPr>
            <w:rStyle w:val="Hyperlink"/>
            <w:rFonts w:cs="Calibri Light"/>
            <w:noProof/>
          </w:rPr>
          <w:t>Article 10: Cluster A: Visibility and Predictability (Exercises A-1 to A-10)</w:t>
        </w:r>
        <w:r>
          <w:rPr>
            <w:noProof/>
            <w:webHidden/>
          </w:rPr>
          <w:tab/>
        </w:r>
        <w:r>
          <w:rPr>
            <w:noProof/>
            <w:webHidden/>
          </w:rPr>
          <w:fldChar w:fldCharType="begin"/>
        </w:r>
        <w:r>
          <w:rPr>
            <w:noProof/>
            <w:webHidden/>
          </w:rPr>
          <w:instrText xml:space="preserve"> PAGEREF _Toc237650576 \h </w:instrText>
        </w:r>
        <w:r>
          <w:rPr>
            <w:noProof/>
            <w:webHidden/>
          </w:rPr>
        </w:r>
        <w:r>
          <w:rPr>
            <w:noProof/>
            <w:webHidden/>
          </w:rPr>
          <w:fldChar w:fldCharType="separate"/>
        </w:r>
        <w:r>
          <w:rPr>
            <w:noProof/>
            <w:webHidden/>
          </w:rPr>
          <w:t>25</w:t>
        </w:r>
        <w:r>
          <w:rPr>
            <w:noProof/>
            <w:webHidden/>
          </w:rPr>
          <w:fldChar w:fldCharType="end"/>
        </w:r>
      </w:hyperlink>
    </w:p>
    <w:p w14:paraId="72B3CCA6" w14:textId="73EAFD52" w:rsidR="00DC7476" w:rsidRDefault="00DC7476">
      <w:pPr>
        <w:pStyle w:val="TOC2"/>
        <w:rPr>
          <w:rFonts w:asciiTheme="minorHAnsi" w:hAnsiTheme="minorHAnsi"/>
          <w:noProof/>
          <w:color w:val="auto"/>
          <w:sz w:val="24"/>
        </w:rPr>
      </w:pPr>
      <w:hyperlink w:anchor="_Toc237650577" w:history="1">
        <w:r w:rsidRPr="00E734D9">
          <w:rPr>
            <w:rStyle w:val="Hyperlink"/>
            <w:rFonts w:cs="Calibri Light"/>
            <w:noProof/>
          </w:rPr>
          <w:t>Article 11: Cluster B: Micro-Routing and Movement Safety (Exercises B-1 to B-10)</w:t>
        </w:r>
        <w:r>
          <w:rPr>
            <w:noProof/>
            <w:webHidden/>
          </w:rPr>
          <w:tab/>
        </w:r>
        <w:r>
          <w:rPr>
            <w:noProof/>
            <w:webHidden/>
          </w:rPr>
          <w:fldChar w:fldCharType="begin"/>
        </w:r>
        <w:r>
          <w:rPr>
            <w:noProof/>
            <w:webHidden/>
          </w:rPr>
          <w:instrText xml:space="preserve"> PAGEREF _Toc237650577 \h </w:instrText>
        </w:r>
        <w:r>
          <w:rPr>
            <w:noProof/>
            <w:webHidden/>
          </w:rPr>
        </w:r>
        <w:r>
          <w:rPr>
            <w:noProof/>
            <w:webHidden/>
          </w:rPr>
          <w:fldChar w:fldCharType="separate"/>
        </w:r>
        <w:r>
          <w:rPr>
            <w:noProof/>
            <w:webHidden/>
          </w:rPr>
          <w:t>26</w:t>
        </w:r>
        <w:r>
          <w:rPr>
            <w:noProof/>
            <w:webHidden/>
          </w:rPr>
          <w:fldChar w:fldCharType="end"/>
        </w:r>
      </w:hyperlink>
    </w:p>
    <w:p w14:paraId="76BEDEE8" w14:textId="73745AC7" w:rsidR="00DC7476" w:rsidRDefault="00DC7476">
      <w:pPr>
        <w:pStyle w:val="TOC2"/>
        <w:rPr>
          <w:rFonts w:asciiTheme="minorHAnsi" w:hAnsiTheme="minorHAnsi"/>
          <w:noProof/>
          <w:color w:val="auto"/>
          <w:sz w:val="24"/>
        </w:rPr>
      </w:pPr>
      <w:hyperlink w:anchor="_Toc237650578" w:history="1">
        <w:r w:rsidRPr="00E734D9">
          <w:rPr>
            <w:rStyle w:val="Hyperlink"/>
            <w:rFonts w:cs="Calibri Light"/>
            <w:noProof/>
          </w:rPr>
          <w:t>Article 12: Cluster C: Micro-Alerts and Incident Reduction (Exercises C-1 to C-10)</w:t>
        </w:r>
        <w:r>
          <w:rPr>
            <w:noProof/>
            <w:webHidden/>
          </w:rPr>
          <w:tab/>
        </w:r>
        <w:r>
          <w:rPr>
            <w:noProof/>
            <w:webHidden/>
          </w:rPr>
          <w:fldChar w:fldCharType="begin"/>
        </w:r>
        <w:r>
          <w:rPr>
            <w:noProof/>
            <w:webHidden/>
          </w:rPr>
          <w:instrText xml:space="preserve"> PAGEREF _Toc237650578 \h </w:instrText>
        </w:r>
        <w:r>
          <w:rPr>
            <w:noProof/>
            <w:webHidden/>
          </w:rPr>
        </w:r>
        <w:r>
          <w:rPr>
            <w:noProof/>
            <w:webHidden/>
          </w:rPr>
          <w:fldChar w:fldCharType="separate"/>
        </w:r>
        <w:r>
          <w:rPr>
            <w:noProof/>
            <w:webHidden/>
          </w:rPr>
          <w:t>28</w:t>
        </w:r>
        <w:r>
          <w:rPr>
            <w:noProof/>
            <w:webHidden/>
          </w:rPr>
          <w:fldChar w:fldCharType="end"/>
        </w:r>
      </w:hyperlink>
    </w:p>
    <w:p w14:paraId="137A6BFC" w14:textId="0867654C" w:rsidR="00DC7476" w:rsidRDefault="00DC7476">
      <w:pPr>
        <w:pStyle w:val="TOC2"/>
        <w:rPr>
          <w:rFonts w:asciiTheme="minorHAnsi" w:hAnsiTheme="minorHAnsi"/>
          <w:noProof/>
          <w:color w:val="auto"/>
          <w:sz w:val="24"/>
        </w:rPr>
      </w:pPr>
      <w:hyperlink w:anchor="_Toc237650579" w:history="1">
        <w:r w:rsidRPr="00E734D9">
          <w:rPr>
            <w:rStyle w:val="Hyperlink"/>
            <w:rFonts w:cs="Calibri Light"/>
            <w:noProof/>
          </w:rPr>
          <w:t>Article 13: Cluster D: Micro-Response and Repair Coordination (Exercises D-1 to D-10)</w:t>
        </w:r>
        <w:r>
          <w:rPr>
            <w:noProof/>
            <w:webHidden/>
          </w:rPr>
          <w:tab/>
        </w:r>
        <w:r>
          <w:rPr>
            <w:noProof/>
            <w:webHidden/>
          </w:rPr>
          <w:fldChar w:fldCharType="begin"/>
        </w:r>
        <w:r>
          <w:rPr>
            <w:noProof/>
            <w:webHidden/>
          </w:rPr>
          <w:instrText xml:space="preserve"> PAGEREF _Toc237650579 \h </w:instrText>
        </w:r>
        <w:r>
          <w:rPr>
            <w:noProof/>
            <w:webHidden/>
          </w:rPr>
        </w:r>
        <w:r>
          <w:rPr>
            <w:noProof/>
            <w:webHidden/>
          </w:rPr>
          <w:fldChar w:fldCharType="separate"/>
        </w:r>
        <w:r>
          <w:rPr>
            <w:noProof/>
            <w:webHidden/>
          </w:rPr>
          <w:t>29</w:t>
        </w:r>
        <w:r>
          <w:rPr>
            <w:noProof/>
            <w:webHidden/>
          </w:rPr>
          <w:fldChar w:fldCharType="end"/>
        </w:r>
      </w:hyperlink>
    </w:p>
    <w:p w14:paraId="5A8D6635" w14:textId="50DCDB72" w:rsidR="00DC7476" w:rsidRDefault="00DC7476">
      <w:pPr>
        <w:pStyle w:val="TOC2"/>
        <w:rPr>
          <w:rFonts w:asciiTheme="minorHAnsi" w:hAnsiTheme="minorHAnsi"/>
          <w:noProof/>
          <w:color w:val="auto"/>
          <w:sz w:val="24"/>
        </w:rPr>
      </w:pPr>
      <w:hyperlink w:anchor="_Toc237650580" w:history="1">
        <w:r w:rsidRPr="00E734D9">
          <w:rPr>
            <w:rStyle w:val="Hyperlink"/>
            <w:rFonts w:cs="Calibri Light"/>
            <w:noProof/>
          </w:rPr>
          <w:t>Article 14: Cluster E: Micro-Governance and Simulation (Exercises E-1 to E-10)</w:t>
        </w:r>
        <w:r>
          <w:rPr>
            <w:noProof/>
            <w:webHidden/>
          </w:rPr>
          <w:tab/>
        </w:r>
        <w:r>
          <w:rPr>
            <w:noProof/>
            <w:webHidden/>
          </w:rPr>
          <w:fldChar w:fldCharType="begin"/>
        </w:r>
        <w:r>
          <w:rPr>
            <w:noProof/>
            <w:webHidden/>
          </w:rPr>
          <w:instrText xml:space="preserve"> PAGEREF _Toc237650580 \h </w:instrText>
        </w:r>
        <w:r>
          <w:rPr>
            <w:noProof/>
            <w:webHidden/>
          </w:rPr>
        </w:r>
        <w:r>
          <w:rPr>
            <w:noProof/>
            <w:webHidden/>
          </w:rPr>
          <w:fldChar w:fldCharType="separate"/>
        </w:r>
        <w:r>
          <w:rPr>
            <w:noProof/>
            <w:webHidden/>
          </w:rPr>
          <w:t>30</w:t>
        </w:r>
        <w:r>
          <w:rPr>
            <w:noProof/>
            <w:webHidden/>
          </w:rPr>
          <w:fldChar w:fldCharType="end"/>
        </w:r>
      </w:hyperlink>
    </w:p>
    <w:p w14:paraId="7D96D9EA" w14:textId="596A1F83" w:rsidR="00DC7476" w:rsidRDefault="00DC7476">
      <w:pPr>
        <w:pStyle w:val="TOC2"/>
        <w:rPr>
          <w:rFonts w:asciiTheme="minorHAnsi" w:hAnsiTheme="minorHAnsi"/>
          <w:noProof/>
          <w:color w:val="auto"/>
          <w:sz w:val="24"/>
        </w:rPr>
      </w:pPr>
      <w:hyperlink w:anchor="_Toc237650581" w:history="1">
        <w:r w:rsidRPr="00E734D9">
          <w:rPr>
            <w:rStyle w:val="Hyperlink"/>
            <w:rFonts w:cs="Calibri Light"/>
            <w:noProof/>
          </w:rPr>
          <w:t>Article 15: Gate One: From Exercises to Protocols</w:t>
        </w:r>
        <w:r>
          <w:rPr>
            <w:noProof/>
            <w:webHidden/>
          </w:rPr>
          <w:tab/>
        </w:r>
        <w:r>
          <w:rPr>
            <w:noProof/>
            <w:webHidden/>
          </w:rPr>
          <w:fldChar w:fldCharType="begin"/>
        </w:r>
        <w:r>
          <w:rPr>
            <w:noProof/>
            <w:webHidden/>
          </w:rPr>
          <w:instrText xml:space="preserve"> PAGEREF _Toc237650581 \h </w:instrText>
        </w:r>
        <w:r>
          <w:rPr>
            <w:noProof/>
            <w:webHidden/>
          </w:rPr>
        </w:r>
        <w:r>
          <w:rPr>
            <w:noProof/>
            <w:webHidden/>
          </w:rPr>
          <w:fldChar w:fldCharType="separate"/>
        </w:r>
        <w:r>
          <w:rPr>
            <w:noProof/>
            <w:webHidden/>
          </w:rPr>
          <w:t>31</w:t>
        </w:r>
        <w:r>
          <w:rPr>
            <w:noProof/>
            <w:webHidden/>
          </w:rPr>
          <w:fldChar w:fldCharType="end"/>
        </w:r>
      </w:hyperlink>
    </w:p>
    <w:p w14:paraId="1F32DDF8" w14:textId="775E4840" w:rsidR="00DC7476" w:rsidRDefault="00DC7476">
      <w:pPr>
        <w:pStyle w:val="TOC1"/>
        <w:rPr>
          <w:rFonts w:asciiTheme="minorHAnsi" w:hAnsiTheme="minorHAnsi"/>
          <w:noProof/>
          <w:color w:val="auto"/>
          <w:sz w:val="24"/>
        </w:rPr>
      </w:pPr>
      <w:hyperlink w:anchor="_Toc237650582" w:history="1">
        <w:r w:rsidRPr="00E734D9">
          <w:rPr>
            <w:rStyle w:val="Hyperlink"/>
            <w:rFonts w:cs="Calibri Light"/>
            <w:noProof/>
          </w:rPr>
          <w:t>Part III: Layer Two: The Meso-Protocols</w:t>
        </w:r>
        <w:r>
          <w:rPr>
            <w:noProof/>
            <w:webHidden/>
          </w:rPr>
          <w:tab/>
        </w:r>
        <w:r>
          <w:rPr>
            <w:noProof/>
            <w:webHidden/>
          </w:rPr>
          <w:fldChar w:fldCharType="begin"/>
        </w:r>
        <w:r>
          <w:rPr>
            <w:noProof/>
            <w:webHidden/>
          </w:rPr>
          <w:instrText xml:space="preserve"> PAGEREF _Toc237650582 \h </w:instrText>
        </w:r>
        <w:r>
          <w:rPr>
            <w:noProof/>
            <w:webHidden/>
          </w:rPr>
        </w:r>
        <w:r>
          <w:rPr>
            <w:noProof/>
            <w:webHidden/>
          </w:rPr>
          <w:fldChar w:fldCharType="separate"/>
        </w:r>
        <w:r>
          <w:rPr>
            <w:noProof/>
            <w:webHidden/>
          </w:rPr>
          <w:t>33</w:t>
        </w:r>
        <w:r>
          <w:rPr>
            <w:noProof/>
            <w:webHidden/>
          </w:rPr>
          <w:fldChar w:fldCharType="end"/>
        </w:r>
      </w:hyperlink>
    </w:p>
    <w:p w14:paraId="7D7A4596" w14:textId="563F75AA" w:rsidR="00DC7476" w:rsidRDefault="00DC7476">
      <w:pPr>
        <w:pStyle w:val="TOC2"/>
        <w:rPr>
          <w:rFonts w:asciiTheme="minorHAnsi" w:hAnsiTheme="minorHAnsi"/>
          <w:noProof/>
          <w:color w:val="auto"/>
          <w:sz w:val="24"/>
        </w:rPr>
      </w:pPr>
      <w:hyperlink w:anchor="_Toc237650583" w:history="1">
        <w:r w:rsidRPr="00E734D9">
          <w:rPr>
            <w:rStyle w:val="Hyperlink"/>
            <w:rFonts w:cs="Calibri Light"/>
            <w:noProof/>
          </w:rPr>
          <w:t>Article 16: The Pilot Corridor Program</w:t>
        </w:r>
        <w:r>
          <w:rPr>
            <w:noProof/>
            <w:webHidden/>
          </w:rPr>
          <w:tab/>
        </w:r>
        <w:r>
          <w:rPr>
            <w:noProof/>
            <w:webHidden/>
          </w:rPr>
          <w:fldChar w:fldCharType="begin"/>
        </w:r>
        <w:r>
          <w:rPr>
            <w:noProof/>
            <w:webHidden/>
          </w:rPr>
          <w:instrText xml:space="preserve"> PAGEREF _Toc237650583 \h </w:instrText>
        </w:r>
        <w:r>
          <w:rPr>
            <w:noProof/>
            <w:webHidden/>
          </w:rPr>
        </w:r>
        <w:r>
          <w:rPr>
            <w:noProof/>
            <w:webHidden/>
          </w:rPr>
          <w:fldChar w:fldCharType="separate"/>
        </w:r>
        <w:r>
          <w:rPr>
            <w:noProof/>
            <w:webHidden/>
          </w:rPr>
          <w:t>33</w:t>
        </w:r>
        <w:r>
          <w:rPr>
            <w:noProof/>
            <w:webHidden/>
          </w:rPr>
          <w:fldChar w:fldCharType="end"/>
        </w:r>
      </w:hyperlink>
    </w:p>
    <w:p w14:paraId="56CC8B2B" w14:textId="08D4525F" w:rsidR="00DC7476" w:rsidRDefault="00DC7476">
      <w:pPr>
        <w:pStyle w:val="TOC2"/>
        <w:rPr>
          <w:rFonts w:asciiTheme="minorHAnsi" w:hAnsiTheme="minorHAnsi"/>
          <w:noProof/>
          <w:color w:val="auto"/>
          <w:sz w:val="24"/>
        </w:rPr>
      </w:pPr>
      <w:hyperlink w:anchor="_Toc237650584" w:history="1">
        <w:r w:rsidRPr="00E734D9">
          <w:rPr>
            <w:rStyle w:val="Hyperlink"/>
            <w:rFonts w:cs="Calibri Light"/>
            <w:noProof/>
          </w:rPr>
          <w:t>Article 17: Routing Advisories and Calm-Sea Windows</w:t>
        </w:r>
        <w:r>
          <w:rPr>
            <w:noProof/>
            <w:webHidden/>
          </w:rPr>
          <w:tab/>
        </w:r>
        <w:r>
          <w:rPr>
            <w:noProof/>
            <w:webHidden/>
          </w:rPr>
          <w:fldChar w:fldCharType="begin"/>
        </w:r>
        <w:r>
          <w:rPr>
            <w:noProof/>
            <w:webHidden/>
          </w:rPr>
          <w:instrText xml:space="preserve"> PAGEREF _Toc237650584 \h </w:instrText>
        </w:r>
        <w:r>
          <w:rPr>
            <w:noProof/>
            <w:webHidden/>
          </w:rPr>
        </w:r>
        <w:r>
          <w:rPr>
            <w:noProof/>
            <w:webHidden/>
          </w:rPr>
          <w:fldChar w:fldCharType="separate"/>
        </w:r>
        <w:r>
          <w:rPr>
            <w:noProof/>
            <w:webHidden/>
          </w:rPr>
          <w:t>33</w:t>
        </w:r>
        <w:r>
          <w:rPr>
            <w:noProof/>
            <w:webHidden/>
          </w:rPr>
          <w:fldChar w:fldCharType="end"/>
        </w:r>
      </w:hyperlink>
    </w:p>
    <w:p w14:paraId="0003DE3F" w14:textId="52E7573C" w:rsidR="00DC7476" w:rsidRDefault="00DC7476">
      <w:pPr>
        <w:pStyle w:val="TOC2"/>
        <w:rPr>
          <w:rFonts w:asciiTheme="minorHAnsi" w:hAnsiTheme="minorHAnsi"/>
          <w:noProof/>
          <w:color w:val="auto"/>
          <w:sz w:val="24"/>
        </w:rPr>
      </w:pPr>
      <w:hyperlink w:anchor="_Toc237650585" w:history="1">
        <w:r w:rsidRPr="00E734D9">
          <w:rPr>
            <w:rStyle w:val="Hyperlink"/>
            <w:rFonts w:cs="Calibri Light"/>
            <w:noProof/>
          </w:rPr>
          <w:t>Article 18: The Common Channel and the Signal Framework</w:t>
        </w:r>
        <w:r>
          <w:rPr>
            <w:noProof/>
            <w:webHidden/>
          </w:rPr>
          <w:tab/>
        </w:r>
        <w:r>
          <w:rPr>
            <w:noProof/>
            <w:webHidden/>
          </w:rPr>
          <w:fldChar w:fldCharType="begin"/>
        </w:r>
        <w:r>
          <w:rPr>
            <w:noProof/>
            <w:webHidden/>
          </w:rPr>
          <w:instrText xml:space="preserve"> PAGEREF _Toc237650585 \h </w:instrText>
        </w:r>
        <w:r>
          <w:rPr>
            <w:noProof/>
            <w:webHidden/>
          </w:rPr>
        </w:r>
        <w:r>
          <w:rPr>
            <w:noProof/>
            <w:webHidden/>
          </w:rPr>
          <w:fldChar w:fldCharType="separate"/>
        </w:r>
        <w:r>
          <w:rPr>
            <w:noProof/>
            <w:webHidden/>
          </w:rPr>
          <w:t>34</w:t>
        </w:r>
        <w:r>
          <w:rPr>
            <w:noProof/>
            <w:webHidden/>
          </w:rPr>
          <w:fldChar w:fldCharType="end"/>
        </w:r>
      </w:hyperlink>
    </w:p>
    <w:p w14:paraId="2F71C066" w14:textId="7B7AED48" w:rsidR="00DC7476" w:rsidRDefault="00DC7476">
      <w:pPr>
        <w:pStyle w:val="TOC2"/>
        <w:rPr>
          <w:rFonts w:asciiTheme="minorHAnsi" w:hAnsiTheme="minorHAnsi"/>
          <w:noProof/>
          <w:color w:val="auto"/>
          <w:sz w:val="24"/>
        </w:rPr>
      </w:pPr>
      <w:hyperlink w:anchor="_Toc237650586" w:history="1">
        <w:r w:rsidRPr="00E734D9">
          <w:rPr>
            <w:rStyle w:val="Hyperlink"/>
            <w:rFonts w:cs="Calibri Light"/>
            <w:noProof/>
          </w:rPr>
          <w:t>Article 19: The Vessel-Intent Form and the Standing Logbook</w:t>
        </w:r>
        <w:r>
          <w:rPr>
            <w:noProof/>
            <w:webHidden/>
          </w:rPr>
          <w:tab/>
        </w:r>
        <w:r>
          <w:rPr>
            <w:noProof/>
            <w:webHidden/>
          </w:rPr>
          <w:fldChar w:fldCharType="begin"/>
        </w:r>
        <w:r>
          <w:rPr>
            <w:noProof/>
            <w:webHidden/>
          </w:rPr>
          <w:instrText xml:space="preserve"> PAGEREF _Toc237650586 \h </w:instrText>
        </w:r>
        <w:r>
          <w:rPr>
            <w:noProof/>
            <w:webHidden/>
          </w:rPr>
        </w:r>
        <w:r>
          <w:rPr>
            <w:noProof/>
            <w:webHidden/>
          </w:rPr>
          <w:fldChar w:fldCharType="separate"/>
        </w:r>
        <w:r>
          <w:rPr>
            <w:noProof/>
            <w:webHidden/>
          </w:rPr>
          <w:t>35</w:t>
        </w:r>
        <w:r>
          <w:rPr>
            <w:noProof/>
            <w:webHidden/>
          </w:rPr>
          <w:fldChar w:fldCharType="end"/>
        </w:r>
      </w:hyperlink>
    </w:p>
    <w:p w14:paraId="39EED4A9" w14:textId="002729F8" w:rsidR="00DC7476" w:rsidRDefault="00DC7476">
      <w:pPr>
        <w:pStyle w:val="TOC2"/>
        <w:rPr>
          <w:rFonts w:asciiTheme="minorHAnsi" w:hAnsiTheme="minorHAnsi"/>
          <w:noProof/>
          <w:color w:val="auto"/>
          <w:sz w:val="24"/>
        </w:rPr>
      </w:pPr>
      <w:hyperlink w:anchor="_Toc237650587" w:history="1">
        <w:r w:rsidRPr="00E734D9">
          <w:rPr>
            <w:rStyle w:val="Hyperlink"/>
            <w:rFonts w:cs="Calibri Light"/>
            <w:noProof/>
          </w:rPr>
          <w:t>Article 20: Gate Two: From Protocols to Systems</w:t>
        </w:r>
        <w:r>
          <w:rPr>
            <w:noProof/>
            <w:webHidden/>
          </w:rPr>
          <w:tab/>
        </w:r>
        <w:r>
          <w:rPr>
            <w:noProof/>
            <w:webHidden/>
          </w:rPr>
          <w:fldChar w:fldCharType="begin"/>
        </w:r>
        <w:r>
          <w:rPr>
            <w:noProof/>
            <w:webHidden/>
          </w:rPr>
          <w:instrText xml:space="preserve"> PAGEREF _Toc237650587 \h </w:instrText>
        </w:r>
        <w:r>
          <w:rPr>
            <w:noProof/>
            <w:webHidden/>
          </w:rPr>
        </w:r>
        <w:r>
          <w:rPr>
            <w:noProof/>
            <w:webHidden/>
          </w:rPr>
          <w:fldChar w:fldCharType="separate"/>
        </w:r>
        <w:r>
          <w:rPr>
            <w:noProof/>
            <w:webHidden/>
          </w:rPr>
          <w:t>35</w:t>
        </w:r>
        <w:r>
          <w:rPr>
            <w:noProof/>
            <w:webHidden/>
          </w:rPr>
          <w:fldChar w:fldCharType="end"/>
        </w:r>
      </w:hyperlink>
    </w:p>
    <w:p w14:paraId="1A612343" w14:textId="01B350FC" w:rsidR="00DC7476" w:rsidRDefault="00DC7476">
      <w:pPr>
        <w:pStyle w:val="TOC1"/>
        <w:rPr>
          <w:rFonts w:asciiTheme="minorHAnsi" w:hAnsiTheme="minorHAnsi"/>
          <w:noProof/>
          <w:color w:val="auto"/>
          <w:sz w:val="24"/>
        </w:rPr>
      </w:pPr>
      <w:hyperlink w:anchor="_Toc237650588" w:history="1">
        <w:r w:rsidRPr="00E734D9">
          <w:rPr>
            <w:rStyle w:val="Hyperlink"/>
            <w:rFonts w:cs="Calibri Light"/>
            <w:noProof/>
          </w:rPr>
          <w:t>Part IV: Layer Three: The Meso-Systems</w:t>
        </w:r>
        <w:r>
          <w:rPr>
            <w:noProof/>
            <w:webHidden/>
          </w:rPr>
          <w:tab/>
        </w:r>
        <w:r>
          <w:rPr>
            <w:noProof/>
            <w:webHidden/>
          </w:rPr>
          <w:fldChar w:fldCharType="begin"/>
        </w:r>
        <w:r>
          <w:rPr>
            <w:noProof/>
            <w:webHidden/>
          </w:rPr>
          <w:instrText xml:space="preserve"> PAGEREF _Toc237650588 \h </w:instrText>
        </w:r>
        <w:r>
          <w:rPr>
            <w:noProof/>
            <w:webHidden/>
          </w:rPr>
        </w:r>
        <w:r>
          <w:rPr>
            <w:noProof/>
            <w:webHidden/>
          </w:rPr>
          <w:fldChar w:fldCharType="separate"/>
        </w:r>
        <w:r>
          <w:rPr>
            <w:noProof/>
            <w:webHidden/>
          </w:rPr>
          <w:t>36</w:t>
        </w:r>
        <w:r>
          <w:rPr>
            <w:noProof/>
            <w:webHidden/>
          </w:rPr>
          <w:fldChar w:fldCharType="end"/>
        </w:r>
      </w:hyperlink>
    </w:p>
    <w:p w14:paraId="1B9284A1" w14:textId="616288CD" w:rsidR="00DC7476" w:rsidRDefault="00DC7476">
      <w:pPr>
        <w:pStyle w:val="TOC2"/>
        <w:rPr>
          <w:rFonts w:asciiTheme="minorHAnsi" w:hAnsiTheme="minorHAnsi"/>
          <w:noProof/>
          <w:color w:val="auto"/>
          <w:sz w:val="24"/>
        </w:rPr>
      </w:pPr>
      <w:hyperlink w:anchor="_Toc237650589" w:history="1">
        <w:r w:rsidRPr="00E734D9">
          <w:rPr>
            <w:rStyle w:val="Hyperlink"/>
            <w:rFonts w:cs="Calibri Light"/>
            <w:noProof/>
          </w:rPr>
          <w:t>Article 21: The Incident-Alert Mesh</w:t>
        </w:r>
        <w:r>
          <w:rPr>
            <w:noProof/>
            <w:webHidden/>
          </w:rPr>
          <w:tab/>
        </w:r>
        <w:r>
          <w:rPr>
            <w:noProof/>
            <w:webHidden/>
          </w:rPr>
          <w:fldChar w:fldCharType="begin"/>
        </w:r>
        <w:r>
          <w:rPr>
            <w:noProof/>
            <w:webHidden/>
          </w:rPr>
          <w:instrText xml:space="preserve"> PAGEREF _Toc237650589 \h </w:instrText>
        </w:r>
        <w:r>
          <w:rPr>
            <w:noProof/>
            <w:webHidden/>
          </w:rPr>
        </w:r>
        <w:r>
          <w:rPr>
            <w:noProof/>
            <w:webHidden/>
          </w:rPr>
          <w:fldChar w:fldCharType="separate"/>
        </w:r>
        <w:r>
          <w:rPr>
            <w:noProof/>
            <w:webHidden/>
          </w:rPr>
          <w:t>36</w:t>
        </w:r>
        <w:r>
          <w:rPr>
            <w:noProof/>
            <w:webHidden/>
          </w:rPr>
          <w:fldChar w:fldCharType="end"/>
        </w:r>
      </w:hyperlink>
    </w:p>
    <w:p w14:paraId="5EF6CC4F" w14:textId="21689DB0" w:rsidR="00DC7476" w:rsidRDefault="00DC7476">
      <w:pPr>
        <w:pStyle w:val="TOC2"/>
        <w:rPr>
          <w:rFonts w:asciiTheme="minorHAnsi" w:hAnsiTheme="minorHAnsi"/>
          <w:noProof/>
          <w:color w:val="auto"/>
          <w:sz w:val="24"/>
        </w:rPr>
      </w:pPr>
      <w:hyperlink w:anchor="_Toc237650590" w:history="1">
        <w:r w:rsidRPr="00E734D9">
          <w:rPr>
            <w:rStyle w:val="Hyperlink"/>
            <w:rFonts w:cs="Calibri Light"/>
            <w:noProof/>
          </w:rPr>
          <w:t>Article 22: The Joint Drift-Prediction and Hazard Model</w:t>
        </w:r>
        <w:r>
          <w:rPr>
            <w:noProof/>
            <w:webHidden/>
          </w:rPr>
          <w:tab/>
        </w:r>
        <w:r>
          <w:rPr>
            <w:noProof/>
            <w:webHidden/>
          </w:rPr>
          <w:fldChar w:fldCharType="begin"/>
        </w:r>
        <w:r>
          <w:rPr>
            <w:noProof/>
            <w:webHidden/>
          </w:rPr>
          <w:instrText xml:space="preserve"> PAGEREF _Toc237650590 \h </w:instrText>
        </w:r>
        <w:r>
          <w:rPr>
            <w:noProof/>
            <w:webHidden/>
          </w:rPr>
        </w:r>
        <w:r>
          <w:rPr>
            <w:noProof/>
            <w:webHidden/>
          </w:rPr>
          <w:fldChar w:fldCharType="separate"/>
        </w:r>
        <w:r>
          <w:rPr>
            <w:noProof/>
            <w:webHidden/>
          </w:rPr>
          <w:t>37</w:t>
        </w:r>
        <w:r>
          <w:rPr>
            <w:noProof/>
            <w:webHidden/>
          </w:rPr>
          <w:fldChar w:fldCharType="end"/>
        </w:r>
      </w:hyperlink>
    </w:p>
    <w:p w14:paraId="3D08D8E7" w14:textId="6437861C" w:rsidR="00DC7476" w:rsidRDefault="00DC7476">
      <w:pPr>
        <w:pStyle w:val="TOC2"/>
        <w:rPr>
          <w:rFonts w:asciiTheme="minorHAnsi" w:hAnsiTheme="minorHAnsi"/>
          <w:noProof/>
          <w:color w:val="auto"/>
          <w:sz w:val="24"/>
        </w:rPr>
      </w:pPr>
      <w:hyperlink w:anchor="_Toc237650591" w:history="1">
        <w:r w:rsidRPr="00E734D9">
          <w:rPr>
            <w:rStyle w:val="Hyperlink"/>
            <w:rFonts w:cs="Calibri Light"/>
            <w:noProof/>
          </w:rPr>
          <w:t>Article 23: The Response Mesh</w:t>
        </w:r>
        <w:r>
          <w:rPr>
            <w:noProof/>
            <w:webHidden/>
          </w:rPr>
          <w:tab/>
        </w:r>
        <w:r>
          <w:rPr>
            <w:noProof/>
            <w:webHidden/>
          </w:rPr>
          <w:fldChar w:fldCharType="begin"/>
        </w:r>
        <w:r>
          <w:rPr>
            <w:noProof/>
            <w:webHidden/>
          </w:rPr>
          <w:instrText xml:space="preserve"> PAGEREF _Toc237650591 \h </w:instrText>
        </w:r>
        <w:r>
          <w:rPr>
            <w:noProof/>
            <w:webHidden/>
          </w:rPr>
        </w:r>
        <w:r>
          <w:rPr>
            <w:noProof/>
            <w:webHidden/>
          </w:rPr>
          <w:fldChar w:fldCharType="separate"/>
        </w:r>
        <w:r>
          <w:rPr>
            <w:noProof/>
            <w:webHidden/>
          </w:rPr>
          <w:t>37</w:t>
        </w:r>
        <w:r>
          <w:rPr>
            <w:noProof/>
            <w:webHidden/>
          </w:rPr>
          <w:fldChar w:fldCharType="end"/>
        </w:r>
      </w:hyperlink>
    </w:p>
    <w:p w14:paraId="1775E678" w14:textId="23E544B7" w:rsidR="00DC7476" w:rsidRDefault="00DC7476">
      <w:pPr>
        <w:pStyle w:val="TOC2"/>
        <w:rPr>
          <w:rFonts w:asciiTheme="minorHAnsi" w:hAnsiTheme="minorHAnsi"/>
          <w:noProof/>
          <w:color w:val="auto"/>
          <w:sz w:val="24"/>
        </w:rPr>
      </w:pPr>
      <w:hyperlink w:anchor="_Toc237650592" w:history="1">
        <w:r w:rsidRPr="00E734D9">
          <w:rPr>
            <w:rStyle w:val="Hyperlink"/>
            <w:rFonts w:cs="Calibri Light"/>
            <w:noProof/>
          </w:rPr>
          <w:t>Article 24: The Shared Weather and Hazard Service</w:t>
        </w:r>
        <w:r>
          <w:rPr>
            <w:noProof/>
            <w:webHidden/>
          </w:rPr>
          <w:tab/>
        </w:r>
        <w:r>
          <w:rPr>
            <w:noProof/>
            <w:webHidden/>
          </w:rPr>
          <w:fldChar w:fldCharType="begin"/>
        </w:r>
        <w:r>
          <w:rPr>
            <w:noProof/>
            <w:webHidden/>
          </w:rPr>
          <w:instrText xml:space="preserve"> PAGEREF _Toc237650592 \h </w:instrText>
        </w:r>
        <w:r>
          <w:rPr>
            <w:noProof/>
            <w:webHidden/>
          </w:rPr>
        </w:r>
        <w:r>
          <w:rPr>
            <w:noProof/>
            <w:webHidden/>
          </w:rPr>
          <w:fldChar w:fldCharType="separate"/>
        </w:r>
        <w:r>
          <w:rPr>
            <w:noProof/>
            <w:webHidden/>
          </w:rPr>
          <w:t>38</w:t>
        </w:r>
        <w:r>
          <w:rPr>
            <w:noProof/>
            <w:webHidden/>
          </w:rPr>
          <w:fldChar w:fldCharType="end"/>
        </w:r>
      </w:hyperlink>
    </w:p>
    <w:p w14:paraId="21174730" w14:textId="1DF97422" w:rsidR="00DC7476" w:rsidRDefault="00DC7476">
      <w:pPr>
        <w:pStyle w:val="TOC2"/>
        <w:rPr>
          <w:rFonts w:asciiTheme="minorHAnsi" w:hAnsiTheme="minorHAnsi"/>
          <w:noProof/>
          <w:color w:val="auto"/>
          <w:sz w:val="24"/>
        </w:rPr>
      </w:pPr>
      <w:hyperlink w:anchor="_Toc237650593" w:history="1">
        <w:r w:rsidRPr="00E734D9">
          <w:rPr>
            <w:rStyle w:val="Hyperlink"/>
            <w:rFonts w:cs="Calibri Light"/>
            <w:noProof/>
          </w:rPr>
          <w:t>Article 25: Gate Three: From Systems to Institutions</w:t>
        </w:r>
        <w:r>
          <w:rPr>
            <w:noProof/>
            <w:webHidden/>
          </w:rPr>
          <w:tab/>
        </w:r>
        <w:r>
          <w:rPr>
            <w:noProof/>
            <w:webHidden/>
          </w:rPr>
          <w:fldChar w:fldCharType="begin"/>
        </w:r>
        <w:r>
          <w:rPr>
            <w:noProof/>
            <w:webHidden/>
          </w:rPr>
          <w:instrText xml:space="preserve"> PAGEREF _Toc237650593 \h </w:instrText>
        </w:r>
        <w:r>
          <w:rPr>
            <w:noProof/>
            <w:webHidden/>
          </w:rPr>
        </w:r>
        <w:r>
          <w:rPr>
            <w:noProof/>
            <w:webHidden/>
          </w:rPr>
          <w:fldChar w:fldCharType="separate"/>
        </w:r>
        <w:r>
          <w:rPr>
            <w:noProof/>
            <w:webHidden/>
          </w:rPr>
          <w:t>38</w:t>
        </w:r>
        <w:r>
          <w:rPr>
            <w:noProof/>
            <w:webHidden/>
          </w:rPr>
          <w:fldChar w:fldCharType="end"/>
        </w:r>
      </w:hyperlink>
    </w:p>
    <w:p w14:paraId="1512BBC1" w14:textId="54E38293" w:rsidR="00DC7476" w:rsidRDefault="00DC7476">
      <w:pPr>
        <w:pStyle w:val="TOC1"/>
        <w:rPr>
          <w:rFonts w:asciiTheme="minorHAnsi" w:hAnsiTheme="minorHAnsi"/>
          <w:noProof/>
          <w:color w:val="auto"/>
          <w:sz w:val="24"/>
        </w:rPr>
      </w:pPr>
      <w:hyperlink w:anchor="_Toc237650594" w:history="1">
        <w:r w:rsidRPr="00E734D9">
          <w:rPr>
            <w:rStyle w:val="Hyperlink"/>
            <w:rFonts w:cs="Calibri Light"/>
            <w:noProof/>
          </w:rPr>
          <w:t>Part V: Layer Four: The Proto-Governance</w:t>
        </w:r>
        <w:r>
          <w:rPr>
            <w:noProof/>
            <w:webHidden/>
          </w:rPr>
          <w:tab/>
        </w:r>
        <w:r>
          <w:rPr>
            <w:noProof/>
            <w:webHidden/>
          </w:rPr>
          <w:fldChar w:fldCharType="begin"/>
        </w:r>
        <w:r>
          <w:rPr>
            <w:noProof/>
            <w:webHidden/>
          </w:rPr>
          <w:instrText xml:space="preserve"> PAGEREF _Toc237650594 \h </w:instrText>
        </w:r>
        <w:r>
          <w:rPr>
            <w:noProof/>
            <w:webHidden/>
          </w:rPr>
        </w:r>
        <w:r>
          <w:rPr>
            <w:noProof/>
            <w:webHidden/>
          </w:rPr>
          <w:fldChar w:fldCharType="separate"/>
        </w:r>
        <w:r>
          <w:rPr>
            <w:noProof/>
            <w:webHidden/>
          </w:rPr>
          <w:t>39</w:t>
        </w:r>
        <w:r>
          <w:rPr>
            <w:noProof/>
            <w:webHidden/>
          </w:rPr>
          <w:fldChar w:fldCharType="end"/>
        </w:r>
      </w:hyperlink>
    </w:p>
    <w:p w14:paraId="0AB9A140" w14:textId="4038C5E5" w:rsidR="00DC7476" w:rsidRDefault="00DC7476">
      <w:pPr>
        <w:pStyle w:val="TOC2"/>
        <w:rPr>
          <w:rFonts w:asciiTheme="minorHAnsi" w:hAnsiTheme="minorHAnsi"/>
          <w:noProof/>
          <w:color w:val="auto"/>
          <w:sz w:val="24"/>
        </w:rPr>
      </w:pPr>
      <w:hyperlink w:anchor="_Toc237650595" w:history="1">
        <w:r w:rsidRPr="00E734D9">
          <w:rPr>
            <w:rStyle w:val="Hyperlink"/>
            <w:rFonts w:cs="Calibri Light"/>
            <w:noProof/>
          </w:rPr>
          <w:t>Article 26: The Calm Waters Cell</w:t>
        </w:r>
        <w:r>
          <w:rPr>
            <w:noProof/>
            <w:webHidden/>
          </w:rPr>
          <w:tab/>
        </w:r>
        <w:r>
          <w:rPr>
            <w:noProof/>
            <w:webHidden/>
          </w:rPr>
          <w:fldChar w:fldCharType="begin"/>
        </w:r>
        <w:r>
          <w:rPr>
            <w:noProof/>
            <w:webHidden/>
          </w:rPr>
          <w:instrText xml:space="preserve"> PAGEREF _Toc237650595 \h </w:instrText>
        </w:r>
        <w:r>
          <w:rPr>
            <w:noProof/>
            <w:webHidden/>
          </w:rPr>
        </w:r>
        <w:r>
          <w:rPr>
            <w:noProof/>
            <w:webHidden/>
          </w:rPr>
          <w:fldChar w:fldCharType="separate"/>
        </w:r>
        <w:r>
          <w:rPr>
            <w:noProof/>
            <w:webHidden/>
          </w:rPr>
          <w:t>39</w:t>
        </w:r>
        <w:r>
          <w:rPr>
            <w:noProof/>
            <w:webHidden/>
          </w:rPr>
          <w:fldChar w:fldCharType="end"/>
        </w:r>
      </w:hyperlink>
    </w:p>
    <w:p w14:paraId="0E6BC854" w14:textId="4A320C20" w:rsidR="00DC7476" w:rsidRDefault="00DC7476">
      <w:pPr>
        <w:pStyle w:val="TOC2"/>
        <w:rPr>
          <w:rFonts w:asciiTheme="minorHAnsi" w:hAnsiTheme="minorHAnsi"/>
          <w:noProof/>
          <w:color w:val="auto"/>
          <w:sz w:val="24"/>
        </w:rPr>
      </w:pPr>
      <w:hyperlink w:anchor="_Toc237650596" w:history="1">
        <w:r w:rsidRPr="00E734D9">
          <w:rPr>
            <w:rStyle w:val="Hyperlink"/>
            <w:rFonts w:cs="Calibri Light"/>
            <w:noProof/>
          </w:rPr>
          <w:t>Article 27: The Joint Coordination Desk</w:t>
        </w:r>
        <w:r>
          <w:rPr>
            <w:noProof/>
            <w:webHidden/>
          </w:rPr>
          <w:tab/>
        </w:r>
        <w:r>
          <w:rPr>
            <w:noProof/>
            <w:webHidden/>
          </w:rPr>
          <w:fldChar w:fldCharType="begin"/>
        </w:r>
        <w:r>
          <w:rPr>
            <w:noProof/>
            <w:webHidden/>
          </w:rPr>
          <w:instrText xml:space="preserve"> PAGEREF _Toc237650596 \h </w:instrText>
        </w:r>
        <w:r>
          <w:rPr>
            <w:noProof/>
            <w:webHidden/>
          </w:rPr>
        </w:r>
        <w:r>
          <w:rPr>
            <w:noProof/>
            <w:webHidden/>
          </w:rPr>
          <w:fldChar w:fldCharType="separate"/>
        </w:r>
        <w:r>
          <w:rPr>
            <w:noProof/>
            <w:webHidden/>
          </w:rPr>
          <w:t>39</w:t>
        </w:r>
        <w:r>
          <w:rPr>
            <w:noProof/>
            <w:webHidden/>
          </w:rPr>
          <w:fldChar w:fldCharType="end"/>
        </w:r>
      </w:hyperlink>
    </w:p>
    <w:p w14:paraId="57F0FB35" w14:textId="366C6C91" w:rsidR="00DC7476" w:rsidRDefault="00DC7476">
      <w:pPr>
        <w:pStyle w:val="TOC2"/>
        <w:rPr>
          <w:rFonts w:asciiTheme="minorHAnsi" w:hAnsiTheme="minorHAnsi"/>
          <w:noProof/>
          <w:color w:val="auto"/>
          <w:sz w:val="24"/>
        </w:rPr>
      </w:pPr>
      <w:hyperlink w:anchor="_Toc237650597" w:history="1">
        <w:r w:rsidRPr="00E734D9">
          <w:rPr>
            <w:rStyle w:val="Hyperlink"/>
            <w:rFonts w:cs="Calibri Light"/>
            <w:noProof/>
          </w:rPr>
          <w:t>Article 28: The Quarterly Review Cycle</w:t>
        </w:r>
        <w:r>
          <w:rPr>
            <w:noProof/>
            <w:webHidden/>
          </w:rPr>
          <w:tab/>
        </w:r>
        <w:r>
          <w:rPr>
            <w:noProof/>
            <w:webHidden/>
          </w:rPr>
          <w:fldChar w:fldCharType="begin"/>
        </w:r>
        <w:r>
          <w:rPr>
            <w:noProof/>
            <w:webHidden/>
          </w:rPr>
          <w:instrText xml:space="preserve"> PAGEREF _Toc237650597 \h </w:instrText>
        </w:r>
        <w:r>
          <w:rPr>
            <w:noProof/>
            <w:webHidden/>
          </w:rPr>
        </w:r>
        <w:r>
          <w:rPr>
            <w:noProof/>
            <w:webHidden/>
          </w:rPr>
          <w:fldChar w:fldCharType="separate"/>
        </w:r>
        <w:r>
          <w:rPr>
            <w:noProof/>
            <w:webHidden/>
          </w:rPr>
          <w:t>40</w:t>
        </w:r>
        <w:r>
          <w:rPr>
            <w:noProof/>
            <w:webHidden/>
          </w:rPr>
          <w:fldChar w:fldCharType="end"/>
        </w:r>
      </w:hyperlink>
    </w:p>
    <w:p w14:paraId="52E1FF0A" w14:textId="74991D35" w:rsidR="00DC7476" w:rsidRDefault="00DC7476">
      <w:pPr>
        <w:pStyle w:val="TOC2"/>
        <w:rPr>
          <w:rFonts w:asciiTheme="minorHAnsi" w:hAnsiTheme="minorHAnsi"/>
          <w:noProof/>
          <w:color w:val="auto"/>
          <w:sz w:val="24"/>
        </w:rPr>
      </w:pPr>
      <w:hyperlink w:anchor="_Toc237650598" w:history="1">
        <w:r w:rsidRPr="00E734D9">
          <w:rPr>
            <w:rStyle w:val="Hyperlink"/>
            <w:rFonts w:cs="Calibri Light"/>
            <w:noProof/>
          </w:rPr>
          <w:t>Article 29: Crisis-Mode Coordination</w:t>
        </w:r>
        <w:r>
          <w:rPr>
            <w:noProof/>
            <w:webHidden/>
          </w:rPr>
          <w:tab/>
        </w:r>
        <w:r>
          <w:rPr>
            <w:noProof/>
            <w:webHidden/>
          </w:rPr>
          <w:fldChar w:fldCharType="begin"/>
        </w:r>
        <w:r>
          <w:rPr>
            <w:noProof/>
            <w:webHidden/>
          </w:rPr>
          <w:instrText xml:space="preserve"> PAGEREF _Toc237650598 \h </w:instrText>
        </w:r>
        <w:r>
          <w:rPr>
            <w:noProof/>
            <w:webHidden/>
          </w:rPr>
        </w:r>
        <w:r>
          <w:rPr>
            <w:noProof/>
            <w:webHidden/>
          </w:rPr>
          <w:fldChar w:fldCharType="separate"/>
        </w:r>
        <w:r>
          <w:rPr>
            <w:noProof/>
            <w:webHidden/>
          </w:rPr>
          <w:t>40</w:t>
        </w:r>
        <w:r>
          <w:rPr>
            <w:noProof/>
            <w:webHidden/>
          </w:rPr>
          <w:fldChar w:fldCharType="end"/>
        </w:r>
      </w:hyperlink>
    </w:p>
    <w:p w14:paraId="4301F3DB" w14:textId="45494176" w:rsidR="00DC7476" w:rsidRDefault="00DC7476">
      <w:pPr>
        <w:pStyle w:val="TOC2"/>
        <w:rPr>
          <w:rFonts w:asciiTheme="minorHAnsi" w:hAnsiTheme="minorHAnsi"/>
          <w:noProof/>
          <w:color w:val="auto"/>
          <w:sz w:val="24"/>
        </w:rPr>
      </w:pPr>
      <w:hyperlink w:anchor="_Toc237650599" w:history="1">
        <w:r w:rsidRPr="00E734D9">
          <w:rPr>
            <w:rStyle w:val="Hyperlink"/>
            <w:rFonts w:cs="Calibri Light"/>
            <w:noProof/>
          </w:rPr>
          <w:t>Article 30: Gate Four: From Institutions to Simulation</w:t>
        </w:r>
        <w:r>
          <w:rPr>
            <w:noProof/>
            <w:webHidden/>
          </w:rPr>
          <w:tab/>
        </w:r>
        <w:r>
          <w:rPr>
            <w:noProof/>
            <w:webHidden/>
          </w:rPr>
          <w:fldChar w:fldCharType="begin"/>
        </w:r>
        <w:r>
          <w:rPr>
            <w:noProof/>
            <w:webHidden/>
          </w:rPr>
          <w:instrText xml:space="preserve"> PAGEREF _Toc237650599 \h </w:instrText>
        </w:r>
        <w:r>
          <w:rPr>
            <w:noProof/>
            <w:webHidden/>
          </w:rPr>
        </w:r>
        <w:r>
          <w:rPr>
            <w:noProof/>
            <w:webHidden/>
          </w:rPr>
          <w:fldChar w:fldCharType="separate"/>
        </w:r>
        <w:r>
          <w:rPr>
            <w:noProof/>
            <w:webHidden/>
          </w:rPr>
          <w:t>41</w:t>
        </w:r>
        <w:r>
          <w:rPr>
            <w:noProof/>
            <w:webHidden/>
          </w:rPr>
          <w:fldChar w:fldCharType="end"/>
        </w:r>
      </w:hyperlink>
    </w:p>
    <w:p w14:paraId="3CF4EE80" w14:textId="76B71085" w:rsidR="00DC7476" w:rsidRDefault="00DC7476">
      <w:pPr>
        <w:pStyle w:val="TOC1"/>
        <w:rPr>
          <w:rFonts w:asciiTheme="minorHAnsi" w:hAnsiTheme="minorHAnsi"/>
          <w:noProof/>
          <w:color w:val="auto"/>
          <w:sz w:val="24"/>
        </w:rPr>
      </w:pPr>
      <w:hyperlink w:anchor="_Toc237650600" w:history="1">
        <w:r w:rsidRPr="00E734D9">
          <w:rPr>
            <w:rStyle w:val="Hyperlink"/>
            <w:rFonts w:cs="Calibri Light"/>
            <w:noProof/>
          </w:rPr>
          <w:t>Part VI: Layer Five: The Simulation Layer</w:t>
        </w:r>
        <w:r>
          <w:rPr>
            <w:noProof/>
            <w:webHidden/>
          </w:rPr>
          <w:tab/>
        </w:r>
        <w:r>
          <w:rPr>
            <w:noProof/>
            <w:webHidden/>
          </w:rPr>
          <w:fldChar w:fldCharType="begin"/>
        </w:r>
        <w:r>
          <w:rPr>
            <w:noProof/>
            <w:webHidden/>
          </w:rPr>
          <w:instrText xml:space="preserve"> PAGEREF _Toc237650600 \h </w:instrText>
        </w:r>
        <w:r>
          <w:rPr>
            <w:noProof/>
            <w:webHidden/>
          </w:rPr>
        </w:r>
        <w:r>
          <w:rPr>
            <w:noProof/>
            <w:webHidden/>
          </w:rPr>
          <w:fldChar w:fldCharType="separate"/>
        </w:r>
        <w:r>
          <w:rPr>
            <w:noProof/>
            <w:webHidden/>
          </w:rPr>
          <w:t>41</w:t>
        </w:r>
        <w:r>
          <w:rPr>
            <w:noProof/>
            <w:webHidden/>
          </w:rPr>
          <w:fldChar w:fldCharType="end"/>
        </w:r>
      </w:hyperlink>
    </w:p>
    <w:p w14:paraId="1B6E8B74" w14:textId="24393A09" w:rsidR="00DC7476" w:rsidRDefault="00DC7476">
      <w:pPr>
        <w:pStyle w:val="TOC2"/>
        <w:rPr>
          <w:rFonts w:asciiTheme="minorHAnsi" w:hAnsiTheme="minorHAnsi"/>
          <w:noProof/>
          <w:color w:val="auto"/>
          <w:sz w:val="24"/>
        </w:rPr>
      </w:pPr>
      <w:hyperlink w:anchor="_Toc237650601" w:history="1">
        <w:r w:rsidRPr="00E734D9">
          <w:rPr>
            <w:rStyle w:val="Hyperlink"/>
            <w:rFonts w:cs="Calibri Light"/>
            <w:noProof/>
          </w:rPr>
          <w:t>Article 31: The Simulation Rule</w:t>
        </w:r>
        <w:r>
          <w:rPr>
            <w:noProof/>
            <w:webHidden/>
          </w:rPr>
          <w:tab/>
        </w:r>
        <w:r>
          <w:rPr>
            <w:noProof/>
            <w:webHidden/>
          </w:rPr>
          <w:fldChar w:fldCharType="begin"/>
        </w:r>
        <w:r>
          <w:rPr>
            <w:noProof/>
            <w:webHidden/>
          </w:rPr>
          <w:instrText xml:space="preserve"> PAGEREF _Toc237650601 \h </w:instrText>
        </w:r>
        <w:r>
          <w:rPr>
            <w:noProof/>
            <w:webHidden/>
          </w:rPr>
        </w:r>
        <w:r>
          <w:rPr>
            <w:noProof/>
            <w:webHidden/>
          </w:rPr>
          <w:fldChar w:fldCharType="separate"/>
        </w:r>
        <w:r>
          <w:rPr>
            <w:noProof/>
            <w:webHidden/>
          </w:rPr>
          <w:t>41</w:t>
        </w:r>
        <w:r>
          <w:rPr>
            <w:noProof/>
            <w:webHidden/>
          </w:rPr>
          <w:fldChar w:fldCharType="end"/>
        </w:r>
      </w:hyperlink>
    </w:p>
    <w:p w14:paraId="7AE8AAA4" w14:textId="7F784CC4" w:rsidR="00DC7476" w:rsidRDefault="00DC7476">
      <w:pPr>
        <w:pStyle w:val="TOC2"/>
        <w:rPr>
          <w:rFonts w:asciiTheme="minorHAnsi" w:hAnsiTheme="minorHAnsi"/>
          <w:noProof/>
          <w:color w:val="auto"/>
          <w:sz w:val="24"/>
        </w:rPr>
      </w:pPr>
      <w:hyperlink w:anchor="_Toc237650602" w:history="1">
        <w:r w:rsidRPr="00E734D9">
          <w:rPr>
            <w:rStyle w:val="Hyperlink"/>
            <w:rFonts w:cs="Calibri Light"/>
            <w:noProof/>
          </w:rPr>
          <w:t>Article 32: The Fee Simulation</w:t>
        </w:r>
        <w:r>
          <w:rPr>
            <w:noProof/>
            <w:webHidden/>
          </w:rPr>
          <w:tab/>
        </w:r>
        <w:r>
          <w:rPr>
            <w:noProof/>
            <w:webHidden/>
          </w:rPr>
          <w:fldChar w:fldCharType="begin"/>
        </w:r>
        <w:r>
          <w:rPr>
            <w:noProof/>
            <w:webHidden/>
          </w:rPr>
          <w:instrText xml:space="preserve"> PAGEREF _Toc237650602 \h </w:instrText>
        </w:r>
        <w:r>
          <w:rPr>
            <w:noProof/>
            <w:webHidden/>
          </w:rPr>
        </w:r>
        <w:r>
          <w:rPr>
            <w:noProof/>
            <w:webHidden/>
          </w:rPr>
          <w:fldChar w:fldCharType="separate"/>
        </w:r>
        <w:r>
          <w:rPr>
            <w:noProof/>
            <w:webHidden/>
          </w:rPr>
          <w:t>42</w:t>
        </w:r>
        <w:r>
          <w:rPr>
            <w:noProof/>
            <w:webHidden/>
          </w:rPr>
          <w:fldChar w:fldCharType="end"/>
        </w:r>
      </w:hyperlink>
    </w:p>
    <w:p w14:paraId="4AE75D0C" w14:textId="5C5E7FA2" w:rsidR="00DC7476" w:rsidRDefault="00DC7476">
      <w:pPr>
        <w:pStyle w:val="TOC2"/>
        <w:rPr>
          <w:rFonts w:asciiTheme="minorHAnsi" w:hAnsiTheme="minorHAnsi"/>
          <w:noProof/>
          <w:color w:val="auto"/>
          <w:sz w:val="24"/>
        </w:rPr>
      </w:pPr>
      <w:hyperlink w:anchor="_Toc237650603" w:history="1">
        <w:r w:rsidRPr="00E734D9">
          <w:rPr>
            <w:rStyle w:val="Hyperlink"/>
            <w:rFonts w:cs="Calibri Light"/>
            <w:noProof/>
          </w:rPr>
          <w:t>Article 33: The Corridor-Expansion and Traffic Simulations</w:t>
        </w:r>
        <w:r>
          <w:rPr>
            <w:noProof/>
            <w:webHidden/>
          </w:rPr>
          <w:tab/>
        </w:r>
        <w:r>
          <w:rPr>
            <w:noProof/>
            <w:webHidden/>
          </w:rPr>
          <w:fldChar w:fldCharType="begin"/>
        </w:r>
        <w:r>
          <w:rPr>
            <w:noProof/>
            <w:webHidden/>
          </w:rPr>
          <w:instrText xml:space="preserve"> PAGEREF _Toc237650603 \h </w:instrText>
        </w:r>
        <w:r>
          <w:rPr>
            <w:noProof/>
            <w:webHidden/>
          </w:rPr>
        </w:r>
        <w:r>
          <w:rPr>
            <w:noProof/>
            <w:webHidden/>
          </w:rPr>
          <w:fldChar w:fldCharType="separate"/>
        </w:r>
        <w:r>
          <w:rPr>
            <w:noProof/>
            <w:webHidden/>
          </w:rPr>
          <w:t>43</w:t>
        </w:r>
        <w:r>
          <w:rPr>
            <w:noProof/>
            <w:webHidden/>
          </w:rPr>
          <w:fldChar w:fldCharType="end"/>
        </w:r>
      </w:hyperlink>
    </w:p>
    <w:p w14:paraId="28E97EC9" w14:textId="08E2263D" w:rsidR="00DC7476" w:rsidRDefault="00DC7476">
      <w:pPr>
        <w:pStyle w:val="TOC2"/>
        <w:rPr>
          <w:rFonts w:asciiTheme="minorHAnsi" w:hAnsiTheme="minorHAnsi"/>
          <w:noProof/>
          <w:color w:val="auto"/>
          <w:sz w:val="24"/>
        </w:rPr>
      </w:pPr>
      <w:hyperlink w:anchor="_Toc237650604" w:history="1">
        <w:r w:rsidRPr="00E734D9">
          <w:rPr>
            <w:rStyle w:val="Hyperlink"/>
            <w:rFonts w:cs="Calibri Light"/>
            <w:noProof/>
          </w:rPr>
          <w:t>Article 34: The Insurance and Market Impact Model</w:t>
        </w:r>
        <w:r>
          <w:rPr>
            <w:noProof/>
            <w:webHidden/>
          </w:rPr>
          <w:tab/>
        </w:r>
        <w:r>
          <w:rPr>
            <w:noProof/>
            <w:webHidden/>
          </w:rPr>
          <w:fldChar w:fldCharType="begin"/>
        </w:r>
        <w:r>
          <w:rPr>
            <w:noProof/>
            <w:webHidden/>
          </w:rPr>
          <w:instrText xml:space="preserve"> PAGEREF _Toc237650604 \h </w:instrText>
        </w:r>
        <w:r>
          <w:rPr>
            <w:noProof/>
            <w:webHidden/>
          </w:rPr>
        </w:r>
        <w:r>
          <w:rPr>
            <w:noProof/>
            <w:webHidden/>
          </w:rPr>
          <w:fldChar w:fldCharType="separate"/>
        </w:r>
        <w:r>
          <w:rPr>
            <w:noProof/>
            <w:webHidden/>
          </w:rPr>
          <w:t>43</w:t>
        </w:r>
        <w:r>
          <w:rPr>
            <w:noProof/>
            <w:webHidden/>
          </w:rPr>
          <w:fldChar w:fldCharType="end"/>
        </w:r>
      </w:hyperlink>
    </w:p>
    <w:p w14:paraId="20B1AE4D" w14:textId="7A7985ED" w:rsidR="00DC7476" w:rsidRDefault="00DC7476">
      <w:pPr>
        <w:pStyle w:val="TOC2"/>
        <w:rPr>
          <w:rFonts w:asciiTheme="minorHAnsi" w:hAnsiTheme="minorHAnsi"/>
          <w:noProof/>
          <w:color w:val="auto"/>
          <w:sz w:val="24"/>
        </w:rPr>
      </w:pPr>
      <w:hyperlink w:anchor="_Toc237650605" w:history="1">
        <w:r w:rsidRPr="00E734D9">
          <w:rPr>
            <w:rStyle w:val="Hyperlink"/>
            <w:rFonts w:cs="Calibri Light"/>
            <w:noProof/>
          </w:rPr>
          <w:t>Article 35: From Simulation to Settlement</w:t>
        </w:r>
        <w:r>
          <w:rPr>
            <w:noProof/>
            <w:webHidden/>
          </w:rPr>
          <w:tab/>
        </w:r>
        <w:r>
          <w:rPr>
            <w:noProof/>
            <w:webHidden/>
          </w:rPr>
          <w:fldChar w:fldCharType="begin"/>
        </w:r>
        <w:r>
          <w:rPr>
            <w:noProof/>
            <w:webHidden/>
          </w:rPr>
          <w:instrText xml:space="preserve"> PAGEREF _Toc237650605 \h </w:instrText>
        </w:r>
        <w:r>
          <w:rPr>
            <w:noProof/>
            <w:webHidden/>
          </w:rPr>
        </w:r>
        <w:r>
          <w:rPr>
            <w:noProof/>
            <w:webHidden/>
          </w:rPr>
          <w:fldChar w:fldCharType="separate"/>
        </w:r>
        <w:r>
          <w:rPr>
            <w:noProof/>
            <w:webHidden/>
          </w:rPr>
          <w:t>43</w:t>
        </w:r>
        <w:r>
          <w:rPr>
            <w:noProof/>
            <w:webHidden/>
          </w:rPr>
          <w:fldChar w:fldCharType="end"/>
        </w:r>
      </w:hyperlink>
    </w:p>
    <w:p w14:paraId="5B788C2C" w14:textId="4949EF8C" w:rsidR="00DC7476" w:rsidRDefault="00DC7476">
      <w:pPr>
        <w:pStyle w:val="TOC2"/>
        <w:rPr>
          <w:rFonts w:asciiTheme="minorHAnsi" w:hAnsiTheme="minorHAnsi"/>
          <w:noProof/>
          <w:color w:val="auto"/>
          <w:sz w:val="24"/>
        </w:rPr>
      </w:pPr>
      <w:hyperlink w:anchor="_Toc237650606" w:history="1">
        <w:r w:rsidRPr="00E734D9">
          <w:rPr>
            <w:rStyle w:val="Hyperlink"/>
            <w:rFonts w:cs="Calibri Light"/>
            <w:noProof/>
          </w:rPr>
          <w:t>Article 36: Gate Five: From Simulation to Integration</w:t>
        </w:r>
        <w:r>
          <w:rPr>
            <w:noProof/>
            <w:webHidden/>
          </w:rPr>
          <w:tab/>
        </w:r>
        <w:r>
          <w:rPr>
            <w:noProof/>
            <w:webHidden/>
          </w:rPr>
          <w:fldChar w:fldCharType="begin"/>
        </w:r>
        <w:r>
          <w:rPr>
            <w:noProof/>
            <w:webHidden/>
          </w:rPr>
          <w:instrText xml:space="preserve"> PAGEREF _Toc237650606 \h </w:instrText>
        </w:r>
        <w:r>
          <w:rPr>
            <w:noProof/>
            <w:webHidden/>
          </w:rPr>
        </w:r>
        <w:r>
          <w:rPr>
            <w:noProof/>
            <w:webHidden/>
          </w:rPr>
          <w:fldChar w:fldCharType="separate"/>
        </w:r>
        <w:r>
          <w:rPr>
            <w:noProof/>
            <w:webHidden/>
          </w:rPr>
          <w:t>44</w:t>
        </w:r>
        <w:r>
          <w:rPr>
            <w:noProof/>
            <w:webHidden/>
          </w:rPr>
          <w:fldChar w:fldCharType="end"/>
        </w:r>
      </w:hyperlink>
    </w:p>
    <w:p w14:paraId="3AA669C6" w14:textId="6CFEF47B" w:rsidR="00DC7476" w:rsidRDefault="00DC7476">
      <w:pPr>
        <w:pStyle w:val="TOC1"/>
        <w:rPr>
          <w:rFonts w:asciiTheme="minorHAnsi" w:hAnsiTheme="minorHAnsi"/>
          <w:noProof/>
          <w:color w:val="auto"/>
          <w:sz w:val="24"/>
        </w:rPr>
      </w:pPr>
      <w:hyperlink w:anchor="_Toc237650607" w:history="1">
        <w:r w:rsidRPr="00E734D9">
          <w:rPr>
            <w:rStyle w:val="Hyperlink"/>
            <w:rFonts w:cs="Calibri Light"/>
            <w:noProof/>
          </w:rPr>
          <w:t>Part VII: Layer Six: The Integration</w:t>
        </w:r>
        <w:r>
          <w:rPr>
            <w:noProof/>
            <w:webHidden/>
          </w:rPr>
          <w:tab/>
        </w:r>
        <w:r>
          <w:rPr>
            <w:noProof/>
            <w:webHidden/>
          </w:rPr>
          <w:fldChar w:fldCharType="begin"/>
        </w:r>
        <w:r>
          <w:rPr>
            <w:noProof/>
            <w:webHidden/>
          </w:rPr>
          <w:instrText xml:space="preserve"> PAGEREF _Toc237650607 \h </w:instrText>
        </w:r>
        <w:r>
          <w:rPr>
            <w:noProof/>
            <w:webHidden/>
          </w:rPr>
        </w:r>
        <w:r>
          <w:rPr>
            <w:noProof/>
            <w:webHidden/>
          </w:rPr>
          <w:fldChar w:fldCharType="separate"/>
        </w:r>
        <w:r>
          <w:rPr>
            <w:noProof/>
            <w:webHidden/>
          </w:rPr>
          <w:t>45</w:t>
        </w:r>
        <w:r>
          <w:rPr>
            <w:noProof/>
            <w:webHidden/>
          </w:rPr>
          <w:fldChar w:fldCharType="end"/>
        </w:r>
      </w:hyperlink>
    </w:p>
    <w:p w14:paraId="1D349917" w14:textId="7A08C297" w:rsidR="00DC7476" w:rsidRDefault="00DC7476">
      <w:pPr>
        <w:pStyle w:val="TOC2"/>
        <w:rPr>
          <w:rFonts w:asciiTheme="minorHAnsi" w:hAnsiTheme="minorHAnsi"/>
          <w:noProof/>
          <w:color w:val="auto"/>
          <w:sz w:val="24"/>
        </w:rPr>
      </w:pPr>
      <w:hyperlink w:anchor="_Toc237650608" w:history="1">
        <w:r w:rsidRPr="00E734D9">
          <w:rPr>
            <w:rStyle w:val="Hyperlink"/>
            <w:rFonts w:cs="Calibri Light"/>
            <w:noProof/>
          </w:rPr>
          <w:t>Article 37: The Five Integrations</w:t>
        </w:r>
        <w:r>
          <w:rPr>
            <w:noProof/>
            <w:webHidden/>
          </w:rPr>
          <w:tab/>
        </w:r>
        <w:r>
          <w:rPr>
            <w:noProof/>
            <w:webHidden/>
          </w:rPr>
          <w:fldChar w:fldCharType="begin"/>
        </w:r>
        <w:r>
          <w:rPr>
            <w:noProof/>
            <w:webHidden/>
          </w:rPr>
          <w:instrText xml:space="preserve"> PAGEREF _Toc237650608 \h </w:instrText>
        </w:r>
        <w:r>
          <w:rPr>
            <w:noProof/>
            <w:webHidden/>
          </w:rPr>
        </w:r>
        <w:r>
          <w:rPr>
            <w:noProof/>
            <w:webHidden/>
          </w:rPr>
          <w:fldChar w:fldCharType="separate"/>
        </w:r>
        <w:r>
          <w:rPr>
            <w:noProof/>
            <w:webHidden/>
          </w:rPr>
          <w:t>45</w:t>
        </w:r>
        <w:r>
          <w:rPr>
            <w:noProof/>
            <w:webHidden/>
          </w:rPr>
          <w:fldChar w:fldCharType="end"/>
        </w:r>
      </w:hyperlink>
    </w:p>
    <w:p w14:paraId="05E1B7C3" w14:textId="472BFE55" w:rsidR="00DC7476" w:rsidRDefault="00DC7476">
      <w:pPr>
        <w:pStyle w:val="TOC2"/>
        <w:rPr>
          <w:rFonts w:asciiTheme="minorHAnsi" w:hAnsiTheme="minorHAnsi"/>
          <w:noProof/>
          <w:color w:val="auto"/>
          <w:sz w:val="24"/>
        </w:rPr>
      </w:pPr>
      <w:hyperlink w:anchor="_Toc237650609" w:history="1">
        <w:r w:rsidRPr="00E734D9">
          <w:rPr>
            <w:rStyle w:val="Hyperlink"/>
            <w:rFonts w:cs="Calibri Light"/>
            <w:noProof/>
          </w:rPr>
          <w:t>Article 38: The Synchronized Indivisible Event</w:t>
        </w:r>
        <w:r>
          <w:rPr>
            <w:noProof/>
            <w:webHidden/>
          </w:rPr>
          <w:tab/>
        </w:r>
        <w:r>
          <w:rPr>
            <w:noProof/>
            <w:webHidden/>
          </w:rPr>
          <w:fldChar w:fldCharType="begin"/>
        </w:r>
        <w:r>
          <w:rPr>
            <w:noProof/>
            <w:webHidden/>
          </w:rPr>
          <w:instrText xml:space="preserve"> PAGEREF _Toc237650609 \h </w:instrText>
        </w:r>
        <w:r>
          <w:rPr>
            <w:noProof/>
            <w:webHidden/>
          </w:rPr>
        </w:r>
        <w:r>
          <w:rPr>
            <w:noProof/>
            <w:webHidden/>
          </w:rPr>
          <w:fldChar w:fldCharType="separate"/>
        </w:r>
        <w:r>
          <w:rPr>
            <w:noProof/>
            <w:webHidden/>
          </w:rPr>
          <w:t>46</w:t>
        </w:r>
        <w:r>
          <w:rPr>
            <w:noProof/>
            <w:webHidden/>
          </w:rPr>
          <w:fldChar w:fldCharType="end"/>
        </w:r>
      </w:hyperlink>
    </w:p>
    <w:p w14:paraId="3F53745A" w14:textId="1C4A01B8" w:rsidR="00DC7476" w:rsidRDefault="00DC7476">
      <w:pPr>
        <w:pStyle w:val="TOC2"/>
        <w:rPr>
          <w:rFonts w:asciiTheme="minorHAnsi" w:hAnsiTheme="minorHAnsi"/>
          <w:noProof/>
          <w:color w:val="auto"/>
          <w:sz w:val="24"/>
        </w:rPr>
      </w:pPr>
      <w:hyperlink w:anchor="_Toc237650610" w:history="1">
        <w:r w:rsidRPr="00E734D9">
          <w:rPr>
            <w:rStyle w:val="Hyperlink"/>
            <w:rFonts w:cs="Calibri Light"/>
            <w:noProof/>
          </w:rPr>
          <w:t>Article 39: The Open Strait Package</w:t>
        </w:r>
        <w:r>
          <w:rPr>
            <w:noProof/>
            <w:webHidden/>
          </w:rPr>
          <w:tab/>
        </w:r>
        <w:r>
          <w:rPr>
            <w:noProof/>
            <w:webHidden/>
          </w:rPr>
          <w:fldChar w:fldCharType="begin"/>
        </w:r>
        <w:r>
          <w:rPr>
            <w:noProof/>
            <w:webHidden/>
          </w:rPr>
          <w:instrText xml:space="preserve"> PAGEREF _Toc237650610 \h </w:instrText>
        </w:r>
        <w:r>
          <w:rPr>
            <w:noProof/>
            <w:webHidden/>
          </w:rPr>
        </w:r>
        <w:r>
          <w:rPr>
            <w:noProof/>
            <w:webHidden/>
          </w:rPr>
          <w:fldChar w:fldCharType="separate"/>
        </w:r>
        <w:r>
          <w:rPr>
            <w:noProof/>
            <w:webHidden/>
          </w:rPr>
          <w:t>47</w:t>
        </w:r>
        <w:r>
          <w:rPr>
            <w:noProof/>
            <w:webHidden/>
          </w:rPr>
          <w:fldChar w:fldCharType="end"/>
        </w:r>
      </w:hyperlink>
    </w:p>
    <w:p w14:paraId="7FA38997" w14:textId="0C8E801A" w:rsidR="00DC7476" w:rsidRDefault="00DC7476">
      <w:pPr>
        <w:pStyle w:val="TOC2"/>
        <w:rPr>
          <w:rFonts w:asciiTheme="minorHAnsi" w:hAnsiTheme="minorHAnsi"/>
          <w:noProof/>
          <w:color w:val="auto"/>
          <w:sz w:val="24"/>
        </w:rPr>
      </w:pPr>
      <w:hyperlink w:anchor="_Toc237650611" w:history="1">
        <w:r w:rsidRPr="00E734D9">
          <w:rPr>
            <w:rStyle w:val="Hyperlink"/>
            <w:rFonts w:cs="Calibri Light"/>
            <w:noProof/>
          </w:rPr>
          <w:t>Article 40: Gate Six: The Stability Audit</w:t>
        </w:r>
        <w:r>
          <w:rPr>
            <w:noProof/>
            <w:webHidden/>
          </w:rPr>
          <w:tab/>
        </w:r>
        <w:r>
          <w:rPr>
            <w:noProof/>
            <w:webHidden/>
          </w:rPr>
          <w:fldChar w:fldCharType="begin"/>
        </w:r>
        <w:r>
          <w:rPr>
            <w:noProof/>
            <w:webHidden/>
          </w:rPr>
          <w:instrText xml:space="preserve"> PAGEREF _Toc237650611 \h </w:instrText>
        </w:r>
        <w:r>
          <w:rPr>
            <w:noProof/>
            <w:webHidden/>
          </w:rPr>
        </w:r>
        <w:r>
          <w:rPr>
            <w:noProof/>
            <w:webHidden/>
          </w:rPr>
          <w:fldChar w:fldCharType="separate"/>
        </w:r>
        <w:r>
          <w:rPr>
            <w:noProof/>
            <w:webHidden/>
          </w:rPr>
          <w:t>47</w:t>
        </w:r>
        <w:r>
          <w:rPr>
            <w:noProof/>
            <w:webHidden/>
          </w:rPr>
          <w:fldChar w:fldCharType="end"/>
        </w:r>
      </w:hyperlink>
    </w:p>
    <w:p w14:paraId="3FE27172" w14:textId="75A2F8FE" w:rsidR="00DC7476" w:rsidRDefault="00DC7476">
      <w:pPr>
        <w:pStyle w:val="TOC1"/>
        <w:rPr>
          <w:rFonts w:asciiTheme="minorHAnsi" w:hAnsiTheme="minorHAnsi"/>
          <w:noProof/>
          <w:color w:val="auto"/>
          <w:sz w:val="24"/>
        </w:rPr>
      </w:pPr>
      <w:hyperlink w:anchor="_Toc237650612" w:history="1">
        <w:r w:rsidRPr="00E734D9">
          <w:rPr>
            <w:rStyle w:val="Hyperlink"/>
            <w:rFonts w:cs="Calibri Light"/>
            <w:noProof/>
          </w:rPr>
          <w:t>Part VIII: Layer Seven: The Final Charter</w:t>
        </w:r>
        <w:r>
          <w:rPr>
            <w:noProof/>
            <w:webHidden/>
          </w:rPr>
          <w:tab/>
        </w:r>
        <w:r>
          <w:rPr>
            <w:noProof/>
            <w:webHidden/>
          </w:rPr>
          <w:fldChar w:fldCharType="begin"/>
        </w:r>
        <w:r>
          <w:rPr>
            <w:noProof/>
            <w:webHidden/>
          </w:rPr>
          <w:instrText xml:space="preserve"> PAGEREF _Toc237650612 \h </w:instrText>
        </w:r>
        <w:r>
          <w:rPr>
            <w:noProof/>
            <w:webHidden/>
          </w:rPr>
        </w:r>
        <w:r>
          <w:rPr>
            <w:noProof/>
            <w:webHidden/>
          </w:rPr>
          <w:fldChar w:fldCharType="separate"/>
        </w:r>
        <w:r>
          <w:rPr>
            <w:noProof/>
            <w:webHidden/>
          </w:rPr>
          <w:t>48</w:t>
        </w:r>
        <w:r>
          <w:rPr>
            <w:noProof/>
            <w:webHidden/>
          </w:rPr>
          <w:fldChar w:fldCharType="end"/>
        </w:r>
      </w:hyperlink>
    </w:p>
    <w:p w14:paraId="6D270B89" w14:textId="44C87CB5" w:rsidR="00DC7476" w:rsidRDefault="00DC7476">
      <w:pPr>
        <w:pStyle w:val="TOC2"/>
        <w:rPr>
          <w:rFonts w:asciiTheme="minorHAnsi" w:hAnsiTheme="minorHAnsi"/>
          <w:noProof/>
          <w:color w:val="auto"/>
          <w:sz w:val="24"/>
        </w:rPr>
      </w:pPr>
      <w:hyperlink w:anchor="_Toc237650613" w:history="1">
        <w:r w:rsidRPr="00E734D9">
          <w:rPr>
            <w:rStyle w:val="Hyperlink"/>
            <w:rFonts w:cs="Calibri Light"/>
            <w:noProof/>
          </w:rPr>
          <w:t>Article 41: The Governance Area and the Three Corridors</w:t>
        </w:r>
        <w:r>
          <w:rPr>
            <w:noProof/>
            <w:webHidden/>
          </w:rPr>
          <w:tab/>
        </w:r>
        <w:r>
          <w:rPr>
            <w:noProof/>
            <w:webHidden/>
          </w:rPr>
          <w:fldChar w:fldCharType="begin"/>
        </w:r>
        <w:r>
          <w:rPr>
            <w:noProof/>
            <w:webHidden/>
          </w:rPr>
          <w:instrText xml:space="preserve"> PAGEREF _Toc237650613 \h </w:instrText>
        </w:r>
        <w:r>
          <w:rPr>
            <w:noProof/>
            <w:webHidden/>
          </w:rPr>
        </w:r>
        <w:r>
          <w:rPr>
            <w:noProof/>
            <w:webHidden/>
          </w:rPr>
          <w:fldChar w:fldCharType="separate"/>
        </w:r>
        <w:r>
          <w:rPr>
            <w:noProof/>
            <w:webHidden/>
          </w:rPr>
          <w:t>48</w:t>
        </w:r>
        <w:r>
          <w:rPr>
            <w:noProof/>
            <w:webHidden/>
          </w:rPr>
          <w:fldChar w:fldCharType="end"/>
        </w:r>
      </w:hyperlink>
    </w:p>
    <w:p w14:paraId="0DF280E8" w14:textId="724C361A" w:rsidR="00DC7476" w:rsidRDefault="00DC7476">
      <w:pPr>
        <w:pStyle w:val="TOC2"/>
        <w:rPr>
          <w:rFonts w:asciiTheme="minorHAnsi" w:hAnsiTheme="minorHAnsi"/>
          <w:noProof/>
          <w:color w:val="auto"/>
          <w:sz w:val="24"/>
        </w:rPr>
      </w:pPr>
      <w:hyperlink w:anchor="_Toc237650614" w:history="1">
        <w:r w:rsidRPr="00E734D9">
          <w:rPr>
            <w:rStyle w:val="Hyperlink"/>
            <w:rFonts w:cs="Calibri Light"/>
            <w:noProof/>
          </w:rPr>
          <w:t>Article 42: Vessel Classification and Passage Rules</w:t>
        </w:r>
        <w:r>
          <w:rPr>
            <w:noProof/>
            <w:webHidden/>
          </w:rPr>
          <w:tab/>
        </w:r>
        <w:r>
          <w:rPr>
            <w:noProof/>
            <w:webHidden/>
          </w:rPr>
          <w:fldChar w:fldCharType="begin"/>
        </w:r>
        <w:r>
          <w:rPr>
            <w:noProof/>
            <w:webHidden/>
          </w:rPr>
          <w:instrText xml:space="preserve"> PAGEREF _Toc237650614 \h </w:instrText>
        </w:r>
        <w:r>
          <w:rPr>
            <w:noProof/>
            <w:webHidden/>
          </w:rPr>
        </w:r>
        <w:r>
          <w:rPr>
            <w:noProof/>
            <w:webHidden/>
          </w:rPr>
          <w:fldChar w:fldCharType="separate"/>
        </w:r>
        <w:r>
          <w:rPr>
            <w:noProof/>
            <w:webHidden/>
          </w:rPr>
          <w:t>50</w:t>
        </w:r>
        <w:r>
          <w:rPr>
            <w:noProof/>
            <w:webHidden/>
          </w:rPr>
          <w:fldChar w:fldCharType="end"/>
        </w:r>
      </w:hyperlink>
    </w:p>
    <w:p w14:paraId="2B47FAC1" w14:textId="3B6906BE" w:rsidR="00DC7476" w:rsidRDefault="00DC7476">
      <w:pPr>
        <w:pStyle w:val="TOC2"/>
        <w:rPr>
          <w:rFonts w:asciiTheme="minorHAnsi" w:hAnsiTheme="minorHAnsi"/>
          <w:noProof/>
          <w:color w:val="auto"/>
          <w:sz w:val="24"/>
        </w:rPr>
      </w:pPr>
      <w:hyperlink w:anchor="_Toc237650615" w:history="1">
        <w:r w:rsidRPr="00E734D9">
          <w:rPr>
            <w:rStyle w:val="Hyperlink"/>
            <w:rFonts w:cs="Calibri Light"/>
            <w:noProof/>
          </w:rPr>
          <w:t>Article 43: The Notification Protocol</w:t>
        </w:r>
        <w:r>
          <w:rPr>
            <w:noProof/>
            <w:webHidden/>
          </w:rPr>
          <w:tab/>
        </w:r>
        <w:r>
          <w:rPr>
            <w:noProof/>
            <w:webHidden/>
          </w:rPr>
          <w:fldChar w:fldCharType="begin"/>
        </w:r>
        <w:r>
          <w:rPr>
            <w:noProof/>
            <w:webHidden/>
          </w:rPr>
          <w:instrText xml:space="preserve"> PAGEREF _Toc237650615 \h </w:instrText>
        </w:r>
        <w:r>
          <w:rPr>
            <w:noProof/>
            <w:webHidden/>
          </w:rPr>
        </w:r>
        <w:r>
          <w:rPr>
            <w:noProof/>
            <w:webHidden/>
          </w:rPr>
          <w:fldChar w:fldCharType="separate"/>
        </w:r>
        <w:r>
          <w:rPr>
            <w:noProof/>
            <w:webHidden/>
          </w:rPr>
          <w:t>50</w:t>
        </w:r>
        <w:r>
          <w:rPr>
            <w:noProof/>
            <w:webHidden/>
          </w:rPr>
          <w:fldChar w:fldCharType="end"/>
        </w:r>
      </w:hyperlink>
    </w:p>
    <w:p w14:paraId="036B99FB" w14:textId="43FB7310" w:rsidR="00DC7476" w:rsidRDefault="00DC7476">
      <w:pPr>
        <w:pStyle w:val="TOC2"/>
        <w:rPr>
          <w:rFonts w:asciiTheme="minorHAnsi" w:hAnsiTheme="minorHAnsi"/>
          <w:noProof/>
          <w:color w:val="auto"/>
          <w:sz w:val="24"/>
        </w:rPr>
      </w:pPr>
      <w:hyperlink w:anchor="_Toc237650616" w:history="1">
        <w:r w:rsidRPr="00E734D9">
          <w:rPr>
            <w:rStyle w:val="Hyperlink"/>
            <w:rFonts w:cs="Calibri Light"/>
            <w:noProof/>
          </w:rPr>
          <w:t>Article 44: Flow States and the Open Water Bulletin</w:t>
        </w:r>
        <w:r>
          <w:rPr>
            <w:noProof/>
            <w:webHidden/>
          </w:rPr>
          <w:tab/>
        </w:r>
        <w:r>
          <w:rPr>
            <w:noProof/>
            <w:webHidden/>
          </w:rPr>
          <w:fldChar w:fldCharType="begin"/>
        </w:r>
        <w:r>
          <w:rPr>
            <w:noProof/>
            <w:webHidden/>
          </w:rPr>
          <w:instrText xml:space="preserve"> PAGEREF _Toc237650616 \h </w:instrText>
        </w:r>
        <w:r>
          <w:rPr>
            <w:noProof/>
            <w:webHidden/>
          </w:rPr>
        </w:r>
        <w:r>
          <w:rPr>
            <w:noProof/>
            <w:webHidden/>
          </w:rPr>
          <w:fldChar w:fldCharType="separate"/>
        </w:r>
        <w:r>
          <w:rPr>
            <w:noProof/>
            <w:webHidden/>
          </w:rPr>
          <w:t>52</w:t>
        </w:r>
        <w:r>
          <w:rPr>
            <w:noProof/>
            <w:webHidden/>
          </w:rPr>
          <w:fldChar w:fldCharType="end"/>
        </w:r>
      </w:hyperlink>
    </w:p>
    <w:p w14:paraId="51FED9D2" w14:textId="01DFE30E" w:rsidR="00DC7476" w:rsidRDefault="00DC7476">
      <w:pPr>
        <w:pStyle w:val="TOC2"/>
        <w:rPr>
          <w:rFonts w:asciiTheme="minorHAnsi" w:hAnsiTheme="minorHAnsi"/>
          <w:noProof/>
          <w:color w:val="auto"/>
          <w:sz w:val="24"/>
        </w:rPr>
      </w:pPr>
      <w:hyperlink w:anchor="_Toc237650617" w:history="1">
        <w:r w:rsidRPr="00E734D9">
          <w:rPr>
            <w:rStyle w:val="Hyperlink"/>
            <w:rFonts w:cs="Calibri Light"/>
            <w:noProof/>
          </w:rPr>
          <w:t>Article 45: The Absolute Non-Interdiction Protocol</w:t>
        </w:r>
        <w:r>
          <w:rPr>
            <w:noProof/>
            <w:webHidden/>
          </w:rPr>
          <w:tab/>
        </w:r>
        <w:r>
          <w:rPr>
            <w:noProof/>
            <w:webHidden/>
          </w:rPr>
          <w:fldChar w:fldCharType="begin"/>
        </w:r>
        <w:r>
          <w:rPr>
            <w:noProof/>
            <w:webHidden/>
          </w:rPr>
          <w:instrText xml:space="preserve"> PAGEREF _Toc237650617 \h </w:instrText>
        </w:r>
        <w:r>
          <w:rPr>
            <w:noProof/>
            <w:webHidden/>
          </w:rPr>
        </w:r>
        <w:r>
          <w:rPr>
            <w:noProof/>
            <w:webHidden/>
          </w:rPr>
          <w:fldChar w:fldCharType="separate"/>
        </w:r>
        <w:r>
          <w:rPr>
            <w:noProof/>
            <w:webHidden/>
          </w:rPr>
          <w:t>52</w:t>
        </w:r>
        <w:r>
          <w:rPr>
            <w:noProof/>
            <w:webHidden/>
          </w:rPr>
          <w:fldChar w:fldCharType="end"/>
        </w:r>
      </w:hyperlink>
    </w:p>
    <w:p w14:paraId="38F72A80" w14:textId="413947DA" w:rsidR="00DC7476" w:rsidRDefault="00DC7476">
      <w:pPr>
        <w:pStyle w:val="TOC2"/>
        <w:rPr>
          <w:rFonts w:asciiTheme="minorHAnsi" w:hAnsiTheme="minorHAnsi"/>
          <w:noProof/>
          <w:color w:val="auto"/>
          <w:sz w:val="24"/>
        </w:rPr>
      </w:pPr>
      <w:hyperlink w:anchor="_Toc237650618" w:history="1">
        <w:r w:rsidRPr="00E734D9">
          <w:rPr>
            <w:rStyle w:val="Hyperlink"/>
            <w:rFonts w:cs="Calibri Light"/>
            <w:noProof/>
          </w:rPr>
          <w:t>Article 46: The Mine Exclusion and the Joint Survey</w:t>
        </w:r>
        <w:r>
          <w:rPr>
            <w:noProof/>
            <w:webHidden/>
          </w:rPr>
          <w:tab/>
        </w:r>
        <w:r>
          <w:rPr>
            <w:noProof/>
            <w:webHidden/>
          </w:rPr>
          <w:fldChar w:fldCharType="begin"/>
        </w:r>
        <w:r>
          <w:rPr>
            <w:noProof/>
            <w:webHidden/>
          </w:rPr>
          <w:instrText xml:space="preserve"> PAGEREF _Toc237650618 \h </w:instrText>
        </w:r>
        <w:r>
          <w:rPr>
            <w:noProof/>
            <w:webHidden/>
          </w:rPr>
        </w:r>
        <w:r>
          <w:rPr>
            <w:noProof/>
            <w:webHidden/>
          </w:rPr>
          <w:fldChar w:fldCharType="separate"/>
        </w:r>
        <w:r>
          <w:rPr>
            <w:noProof/>
            <w:webHidden/>
          </w:rPr>
          <w:t>53</w:t>
        </w:r>
        <w:r>
          <w:rPr>
            <w:noProof/>
            <w:webHidden/>
          </w:rPr>
          <w:fldChar w:fldCharType="end"/>
        </w:r>
      </w:hyperlink>
    </w:p>
    <w:p w14:paraId="7D2648D6" w14:textId="327CD8AB" w:rsidR="00DC7476" w:rsidRDefault="00DC7476">
      <w:pPr>
        <w:pStyle w:val="TOC2"/>
        <w:rPr>
          <w:rFonts w:asciiTheme="minorHAnsi" w:hAnsiTheme="minorHAnsi"/>
          <w:noProof/>
          <w:color w:val="auto"/>
          <w:sz w:val="24"/>
        </w:rPr>
      </w:pPr>
      <w:hyperlink w:anchor="_Toc237650619" w:history="1">
        <w:r w:rsidRPr="00E734D9">
          <w:rPr>
            <w:rStyle w:val="Hyperlink"/>
            <w:rFonts w:cs="Calibri Light"/>
            <w:noProof/>
          </w:rPr>
          <w:t>Article 47: Standoff Geometry and De-confliction</w:t>
        </w:r>
        <w:r>
          <w:rPr>
            <w:noProof/>
            <w:webHidden/>
          </w:rPr>
          <w:tab/>
        </w:r>
        <w:r>
          <w:rPr>
            <w:noProof/>
            <w:webHidden/>
          </w:rPr>
          <w:fldChar w:fldCharType="begin"/>
        </w:r>
        <w:r>
          <w:rPr>
            <w:noProof/>
            <w:webHidden/>
          </w:rPr>
          <w:instrText xml:space="preserve"> PAGEREF _Toc237650619 \h </w:instrText>
        </w:r>
        <w:r>
          <w:rPr>
            <w:noProof/>
            <w:webHidden/>
          </w:rPr>
        </w:r>
        <w:r>
          <w:rPr>
            <w:noProof/>
            <w:webHidden/>
          </w:rPr>
          <w:fldChar w:fldCharType="separate"/>
        </w:r>
        <w:r>
          <w:rPr>
            <w:noProof/>
            <w:webHidden/>
          </w:rPr>
          <w:t>54</w:t>
        </w:r>
        <w:r>
          <w:rPr>
            <w:noProof/>
            <w:webHidden/>
          </w:rPr>
          <w:fldChar w:fldCharType="end"/>
        </w:r>
      </w:hyperlink>
    </w:p>
    <w:p w14:paraId="40C53FDD" w14:textId="21A889B1" w:rsidR="00DC7476" w:rsidRDefault="00DC7476">
      <w:pPr>
        <w:pStyle w:val="TOC2"/>
        <w:rPr>
          <w:rFonts w:asciiTheme="minorHAnsi" w:hAnsiTheme="minorHAnsi"/>
          <w:noProof/>
          <w:color w:val="auto"/>
          <w:sz w:val="24"/>
        </w:rPr>
      </w:pPr>
      <w:hyperlink w:anchor="_Toc237650620" w:history="1">
        <w:r w:rsidRPr="00E734D9">
          <w:rPr>
            <w:rStyle w:val="Hyperlink"/>
            <w:rFonts w:cs="Calibri Light"/>
            <w:noProof/>
          </w:rPr>
          <w:t>Article 48: The Institutions of the Charter</w:t>
        </w:r>
        <w:r>
          <w:rPr>
            <w:noProof/>
            <w:webHidden/>
          </w:rPr>
          <w:tab/>
        </w:r>
        <w:r>
          <w:rPr>
            <w:noProof/>
            <w:webHidden/>
          </w:rPr>
          <w:fldChar w:fldCharType="begin"/>
        </w:r>
        <w:r>
          <w:rPr>
            <w:noProof/>
            <w:webHidden/>
          </w:rPr>
          <w:instrText xml:space="preserve"> PAGEREF _Toc237650620 \h </w:instrText>
        </w:r>
        <w:r>
          <w:rPr>
            <w:noProof/>
            <w:webHidden/>
          </w:rPr>
        </w:r>
        <w:r>
          <w:rPr>
            <w:noProof/>
            <w:webHidden/>
          </w:rPr>
          <w:fldChar w:fldCharType="separate"/>
        </w:r>
        <w:r>
          <w:rPr>
            <w:noProof/>
            <w:webHidden/>
          </w:rPr>
          <w:t>56</w:t>
        </w:r>
        <w:r>
          <w:rPr>
            <w:noProof/>
            <w:webHidden/>
          </w:rPr>
          <w:fldChar w:fldCharType="end"/>
        </w:r>
      </w:hyperlink>
    </w:p>
    <w:p w14:paraId="6A2FE084" w14:textId="61946DB2" w:rsidR="00DC7476" w:rsidRDefault="00DC7476">
      <w:pPr>
        <w:pStyle w:val="TOC2"/>
        <w:rPr>
          <w:rFonts w:asciiTheme="minorHAnsi" w:hAnsiTheme="minorHAnsi"/>
          <w:noProof/>
          <w:color w:val="auto"/>
          <w:sz w:val="24"/>
        </w:rPr>
      </w:pPr>
      <w:hyperlink w:anchor="_Toc237650621" w:history="1">
        <w:r w:rsidRPr="00E734D9">
          <w:rPr>
            <w:rStyle w:val="Hyperlink"/>
            <w:noProof/>
          </w:rPr>
          <w:t>Article 49: The Twin Key Rule</w:t>
        </w:r>
        <w:r>
          <w:rPr>
            <w:noProof/>
            <w:webHidden/>
          </w:rPr>
          <w:tab/>
        </w:r>
        <w:r>
          <w:rPr>
            <w:noProof/>
            <w:webHidden/>
          </w:rPr>
          <w:fldChar w:fldCharType="begin"/>
        </w:r>
        <w:r>
          <w:rPr>
            <w:noProof/>
            <w:webHidden/>
          </w:rPr>
          <w:instrText xml:space="preserve"> PAGEREF _Toc237650621 \h </w:instrText>
        </w:r>
        <w:r>
          <w:rPr>
            <w:noProof/>
            <w:webHidden/>
          </w:rPr>
        </w:r>
        <w:r>
          <w:rPr>
            <w:noProof/>
            <w:webHidden/>
          </w:rPr>
          <w:fldChar w:fldCharType="separate"/>
        </w:r>
        <w:r>
          <w:rPr>
            <w:noProof/>
            <w:webHidden/>
          </w:rPr>
          <w:t>57</w:t>
        </w:r>
        <w:r>
          <w:rPr>
            <w:noProof/>
            <w:webHidden/>
          </w:rPr>
          <w:fldChar w:fldCharType="end"/>
        </w:r>
      </w:hyperlink>
    </w:p>
    <w:p w14:paraId="49C522FC" w14:textId="60BAABF9" w:rsidR="00DC7476" w:rsidRDefault="00DC7476">
      <w:pPr>
        <w:pStyle w:val="TOC2"/>
        <w:rPr>
          <w:rFonts w:asciiTheme="minorHAnsi" w:hAnsiTheme="minorHAnsi"/>
          <w:noProof/>
          <w:color w:val="auto"/>
          <w:sz w:val="24"/>
        </w:rPr>
      </w:pPr>
      <w:hyperlink w:anchor="_Toc237650622" w:history="1">
        <w:r w:rsidRPr="00E734D9">
          <w:rPr>
            <w:rStyle w:val="Hyperlink"/>
            <w:noProof/>
          </w:rPr>
          <w:t>Article 50: The Zero-Toll Rule and the Service Distinction</w:t>
        </w:r>
        <w:r>
          <w:rPr>
            <w:noProof/>
            <w:webHidden/>
          </w:rPr>
          <w:tab/>
        </w:r>
        <w:r>
          <w:rPr>
            <w:noProof/>
            <w:webHidden/>
          </w:rPr>
          <w:fldChar w:fldCharType="begin"/>
        </w:r>
        <w:r>
          <w:rPr>
            <w:noProof/>
            <w:webHidden/>
          </w:rPr>
          <w:instrText xml:space="preserve"> PAGEREF _Toc237650622 \h </w:instrText>
        </w:r>
        <w:r>
          <w:rPr>
            <w:noProof/>
            <w:webHidden/>
          </w:rPr>
        </w:r>
        <w:r>
          <w:rPr>
            <w:noProof/>
            <w:webHidden/>
          </w:rPr>
          <w:fldChar w:fldCharType="separate"/>
        </w:r>
        <w:r>
          <w:rPr>
            <w:noProof/>
            <w:webHidden/>
          </w:rPr>
          <w:t>57</w:t>
        </w:r>
        <w:r>
          <w:rPr>
            <w:noProof/>
            <w:webHidden/>
          </w:rPr>
          <w:fldChar w:fldCharType="end"/>
        </w:r>
      </w:hyperlink>
    </w:p>
    <w:p w14:paraId="2ADC0121" w14:textId="4B47C1A3" w:rsidR="00DC7476" w:rsidRDefault="00DC7476">
      <w:pPr>
        <w:pStyle w:val="TOC2"/>
        <w:rPr>
          <w:rFonts w:asciiTheme="minorHAnsi" w:hAnsiTheme="minorHAnsi"/>
          <w:noProof/>
          <w:color w:val="auto"/>
          <w:sz w:val="24"/>
        </w:rPr>
      </w:pPr>
      <w:hyperlink w:anchor="_Toc237650623" w:history="1">
        <w:r w:rsidRPr="00E734D9">
          <w:rPr>
            <w:rStyle w:val="Hyperlink"/>
            <w:noProof/>
          </w:rPr>
          <w:t>Article 51: The Calm Waters Fund</w:t>
        </w:r>
        <w:r>
          <w:rPr>
            <w:noProof/>
            <w:webHidden/>
          </w:rPr>
          <w:tab/>
        </w:r>
        <w:r>
          <w:rPr>
            <w:noProof/>
            <w:webHidden/>
          </w:rPr>
          <w:fldChar w:fldCharType="begin"/>
        </w:r>
        <w:r>
          <w:rPr>
            <w:noProof/>
            <w:webHidden/>
          </w:rPr>
          <w:instrText xml:space="preserve"> PAGEREF _Toc237650623 \h </w:instrText>
        </w:r>
        <w:r>
          <w:rPr>
            <w:noProof/>
            <w:webHidden/>
          </w:rPr>
        </w:r>
        <w:r>
          <w:rPr>
            <w:noProof/>
            <w:webHidden/>
          </w:rPr>
          <w:fldChar w:fldCharType="separate"/>
        </w:r>
        <w:r>
          <w:rPr>
            <w:noProof/>
            <w:webHidden/>
          </w:rPr>
          <w:t>58</w:t>
        </w:r>
        <w:r>
          <w:rPr>
            <w:noProof/>
            <w:webHidden/>
          </w:rPr>
          <w:fldChar w:fldCharType="end"/>
        </w:r>
      </w:hyperlink>
    </w:p>
    <w:p w14:paraId="552411D3" w14:textId="139B42E6" w:rsidR="00DC7476" w:rsidRDefault="00DC7476">
      <w:pPr>
        <w:pStyle w:val="TOC2"/>
        <w:rPr>
          <w:rFonts w:asciiTheme="minorHAnsi" w:hAnsiTheme="minorHAnsi"/>
          <w:noProof/>
          <w:color w:val="auto"/>
          <w:sz w:val="24"/>
        </w:rPr>
      </w:pPr>
      <w:hyperlink w:anchor="_Toc237650624" w:history="1">
        <w:r w:rsidRPr="00E734D9">
          <w:rPr>
            <w:rStyle w:val="Hyperlink"/>
            <w:noProof/>
          </w:rPr>
          <w:t>Article 52: The Sanctions-Compliance Firewall and Anti-Circumvention</w:t>
        </w:r>
        <w:r>
          <w:rPr>
            <w:noProof/>
            <w:webHidden/>
          </w:rPr>
          <w:tab/>
        </w:r>
        <w:r>
          <w:rPr>
            <w:noProof/>
            <w:webHidden/>
          </w:rPr>
          <w:fldChar w:fldCharType="begin"/>
        </w:r>
        <w:r>
          <w:rPr>
            <w:noProof/>
            <w:webHidden/>
          </w:rPr>
          <w:instrText xml:space="preserve"> PAGEREF _Toc237650624 \h </w:instrText>
        </w:r>
        <w:r>
          <w:rPr>
            <w:noProof/>
            <w:webHidden/>
          </w:rPr>
        </w:r>
        <w:r>
          <w:rPr>
            <w:noProof/>
            <w:webHidden/>
          </w:rPr>
          <w:fldChar w:fldCharType="separate"/>
        </w:r>
        <w:r>
          <w:rPr>
            <w:noProof/>
            <w:webHidden/>
          </w:rPr>
          <w:t>59</w:t>
        </w:r>
        <w:r>
          <w:rPr>
            <w:noProof/>
            <w:webHidden/>
          </w:rPr>
          <w:fldChar w:fldCharType="end"/>
        </w:r>
      </w:hyperlink>
    </w:p>
    <w:p w14:paraId="63CCA663" w14:textId="40A61963" w:rsidR="00DC7476" w:rsidRDefault="00DC7476">
      <w:pPr>
        <w:pStyle w:val="TOC2"/>
        <w:rPr>
          <w:rFonts w:asciiTheme="minorHAnsi" w:hAnsiTheme="minorHAnsi"/>
          <w:noProof/>
          <w:color w:val="auto"/>
          <w:sz w:val="24"/>
        </w:rPr>
      </w:pPr>
      <w:hyperlink w:anchor="_Toc237650625" w:history="1">
        <w:r w:rsidRPr="00E734D9">
          <w:rPr>
            <w:rStyle w:val="Hyperlink"/>
            <w:noProof/>
          </w:rPr>
          <w:t>Article 53: Verification: The Human Anchor and the Convergence Standard</w:t>
        </w:r>
        <w:r>
          <w:rPr>
            <w:noProof/>
            <w:webHidden/>
          </w:rPr>
          <w:tab/>
        </w:r>
        <w:r>
          <w:rPr>
            <w:noProof/>
            <w:webHidden/>
          </w:rPr>
          <w:fldChar w:fldCharType="begin"/>
        </w:r>
        <w:r>
          <w:rPr>
            <w:noProof/>
            <w:webHidden/>
          </w:rPr>
          <w:instrText xml:space="preserve"> PAGEREF _Toc237650625 \h </w:instrText>
        </w:r>
        <w:r>
          <w:rPr>
            <w:noProof/>
            <w:webHidden/>
          </w:rPr>
        </w:r>
        <w:r>
          <w:rPr>
            <w:noProof/>
            <w:webHidden/>
          </w:rPr>
          <w:fldChar w:fldCharType="separate"/>
        </w:r>
        <w:r>
          <w:rPr>
            <w:noProof/>
            <w:webHidden/>
          </w:rPr>
          <w:t>60</w:t>
        </w:r>
        <w:r>
          <w:rPr>
            <w:noProof/>
            <w:webHidden/>
          </w:rPr>
          <w:fldChar w:fldCharType="end"/>
        </w:r>
      </w:hyperlink>
    </w:p>
    <w:p w14:paraId="3D1822E5" w14:textId="179A80F6" w:rsidR="00DC7476" w:rsidRDefault="00DC7476">
      <w:pPr>
        <w:pStyle w:val="TOC2"/>
        <w:rPr>
          <w:rFonts w:asciiTheme="minorHAnsi" w:hAnsiTheme="minorHAnsi"/>
          <w:noProof/>
          <w:color w:val="auto"/>
          <w:sz w:val="24"/>
        </w:rPr>
      </w:pPr>
      <w:hyperlink w:anchor="_Toc237650626" w:history="1">
        <w:r w:rsidRPr="00E734D9">
          <w:rPr>
            <w:rStyle w:val="Hyperlink"/>
            <w:noProof/>
          </w:rPr>
          <w:t>Article 54: The Compliance Engine</w:t>
        </w:r>
        <w:r>
          <w:rPr>
            <w:noProof/>
            <w:webHidden/>
          </w:rPr>
          <w:tab/>
        </w:r>
        <w:r>
          <w:rPr>
            <w:noProof/>
            <w:webHidden/>
          </w:rPr>
          <w:fldChar w:fldCharType="begin"/>
        </w:r>
        <w:r>
          <w:rPr>
            <w:noProof/>
            <w:webHidden/>
          </w:rPr>
          <w:instrText xml:space="preserve"> PAGEREF _Toc237650626 \h </w:instrText>
        </w:r>
        <w:r>
          <w:rPr>
            <w:noProof/>
            <w:webHidden/>
          </w:rPr>
        </w:r>
        <w:r>
          <w:rPr>
            <w:noProof/>
            <w:webHidden/>
          </w:rPr>
          <w:fldChar w:fldCharType="separate"/>
        </w:r>
        <w:r>
          <w:rPr>
            <w:noProof/>
            <w:webHidden/>
          </w:rPr>
          <w:t>61</w:t>
        </w:r>
        <w:r>
          <w:rPr>
            <w:noProof/>
            <w:webHidden/>
          </w:rPr>
          <w:fldChar w:fldCharType="end"/>
        </w:r>
      </w:hyperlink>
    </w:p>
    <w:p w14:paraId="61FF797D" w14:textId="73EF1703" w:rsidR="00DC7476" w:rsidRDefault="00DC7476">
      <w:pPr>
        <w:pStyle w:val="TOC2"/>
        <w:rPr>
          <w:rFonts w:asciiTheme="minorHAnsi" w:hAnsiTheme="minorHAnsi"/>
          <w:noProof/>
          <w:color w:val="auto"/>
          <w:sz w:val="24"/>
        </w:rPr>
      </w:pPr>
      <w:hyperlink w:anchor="_Toc237650627" w:history="1">
        <w:r w:rsidRPr="00E734D9">
          <w:rPr>
            <w:rStyle w:val="Hyperlink"/>
            <w:noProof/>
          </w:rPr>
          <w:t>Article 55: Spoiler and Shock Hardening: The Stillwater Watch</w:t>
        </w:r>
        <w:r>
          <w:rPr>
            <w:noProof/>
            <w:webHidden/>
          </w:rPr>
          <w:tab/>
        </w:r>
        <w:r>
          <w:rPr>
            <w:noProof/>
            <w:webHidden/>
          </w:rPr>
          <w:fldChar w:fldCharType="begin"/>
        </w:r>
        <w:r>
          <w:rPr>
            <w:noProof/>
            <w:webHidden/>
          </w:rPr>
          <w:instrText xml:space="preserve"> PAGEREF _Toc237650627 \h </w:instrText>
        </w:r>
        <w:r>
          <w:rPr>
            <w:noProof/>
            <w:webHidden/>
          </w:rPr>
        </w:r>
        <w:r>
          <w:rPr>
            <w:noProof/>
            <w:webHidden/>
          </w:rPr>
          <w:fldChar w:fldCharType="separate"/>
        </w:r>
        <w:r>
          <w:rPr>
            <w:noProof/>
            <w:webHidden/>
          </w:rPr>
          <w:t>62</w:t>
        </w:r>
        <w:r>
          <w:rPr>
            <w:noProof/>
            <w:webHidden/>
          </w:rPr>
          <w:fldChar w:fldCharType="end"/>
        </w:r>
      </w:hyperlink>
    </w:p>
    <w:p w14:paraId="20E4A97F" w14:textId="20C3F060" w:rsidR="00DC7476" w:rsidRDefault="00DC7476">
      <w:pPr>
        <w:pStyle w:val="TOC2"/>
        <w:rPr>
          <w:rFonts w:asciiTheme="minorHAnsi" w:hAnsiTheme="minorHAnsi"/>
          <w:noProof/>
          <w:color w:val="auto"/>
          <w:sz w:val="24"/>
        </w:rPr>
      </w:pPr>
      <w:hyperlink w:anchor="_Toc237650628" w:history="1">
        <w:r w:rsidRPr="00E734D9">
          <w:rPr>
            <w:rStyle w:val="Hyperlink"/>
            <w:noProof/>
          </w:rPr>
          <w:t>Article 56: Synchronized Relief and the Regional Interface</w:t>
        </w:r>
        <w:r>
          <w:rPr>
            <w:noProof/>
            <w:webHidden/>
          </w:rPr>
          <w:tab/>
        </w:r>
        <w:r>
          <w:rPr>
            <w:noProof/>
            <w:webHidden/>
          </w:rPr>
          <w:fldChar w:fldCharType="begin"/>
        </w:r>
        <w:r>
          <w:rPr>
            <w:noProof/>
            <w:webHidden/>
          </w:rPr>
          <w:instrText xml:space="preserve"> PAGEREF _Toc237650628 \h </w:instrText>
        </w:r>
        <w:r>
          <w:rPr>
            <w:noProof/>
            <w:webHidden/>
          </w:rPr>
        </w:r>
        <w:r>
          <w:rPr>
            <w:noProof/>
            <w:webHidden/>
          </w:rPr>
          <w:fldChar w:fldCharType="separate"/>
        </w:r>
        <w:r>
          <w:rPr>
            <w:noProof/>
            <w:webHidden/>
          </w:rPr>
          <w:t>63</w:t>
        </w:r>
        <w:r>
          <w:rPr>
            <w:noProof/>
            <w:webHidden/>
          </w:rPr>
          <w:fldChar w:fldCharType="end"/>
        </w:r>
      </w:hyperlink>
    </w:p>
    <w:p w14:paraId="7F4734FD" w14:textId="6ED1B31C" w:rsidR="00DC7476" w:rsidRDefault="00DC7476">
      <w:pPr>
        <w:pStyle w:val="TOC2"/>
        <w:rPr>
          <w:rFonts w:asciiTheme="minorHAnsi" w:hAnsiTheme="minorHAnsi"/>
          <w:noProof/>
          <w:color w:val="auto"/>
          <w:sz w:val="24"/>
        </w:rPr>
      </w:pPr>
      <w:hyperlink w:anchor="_Toc237650629" w:history="1">
        <w:r w:rsidRPr="00E734D9">
          <w:rPr>
            <w:rStyle w:val="Hyperlink"/>
            <w:rFonts w:cs="Calibri Light"/>
            <w:noProof/>
          </w:rPr>
          <w:t>Article 57: Accession, Observer Status, and Endorsing Stakeholders</w:t>
        </w:r>
        <w:r>
          <w:rPr>
            <w:noProof/>
            <w:webHidden/>
          </w:rPr>
          <w:tab/>
        </w:r>
        <w:r>
          <w:rPr>
            <w:noProof/>
            <w:webHidden/>
          </w:rPr>
          <w:fldChar w:fldCharType="begin"/>
        </w:r>
        <w:r>
          <w:rPr>
            <w:noProof/>
            <w:webHidden/>
          </w:rPr>
          <w:instrText xml:space="preserve"> PAGEREF _Toc237650629 \h </w:instrText>
        </w:r>
        <w:r>
          <w:rPr>
            <w:noProof/>
            <w:webHidden/>
          </w:rPr>
        </w:r>
        <w:r>
          <w:rPr>
            <w:noProof/>
            <w:webHidden/>
          </w:rPr>
          <w:fldChar w:fldCharType="separate"/>
        </w:r>
        <w:r>
          <w:rPr>
            <w:noProof/>
            <w:webHidden/>
          </w:rPr>
          <w:t>64</w:t>
        </w:r>
        <w:r>
          <w:rPr>
            <w:noProof/>
            <w:webHidden/>
          </w:rPr>
          <w:fldChar w:fldCharType="end"/>
        </w:r>
      </w:hyperlink>
    </w:p>
    <w:p w14:paraId="69C8D587" w14:textId="5CF7DC0A" w:rsidR="00DC7476" w:rsidRDefault="00DC7476">
      <w:pPr>
        <w:pStyle w:val="TOC2"/>
        <w:rPr>
          <w:rFonts w:asciiTheme="minorHAnsi" w:hAnsiTheme="minorHAnsi"/>
          <w:noProof/>
          <w:color w:val="auto"/>
          <w:sz w:val="24"/>
        </w:rPr>
      </w:pPr>
      <w:hyperlink w:anchor="_Toc237650630" w:history="1">
        <w:r w:rsidRPr="00E734D9">
          <w:rPr>
            <w:rStyle w:val="Hyperlink"/>
            <w:rFonts w:cs="Calibri Light"/>
            <w:noProof/>
          </w:rPr>
          <w:t>Article 58: Dispute Resolution</w:t>
        </w:r>
        <w:r>
          <w:rPr>
            <w:noProof/>
            <w:webHidden/>
          </w:rPr>
          <w:tab/>
        </w:r>
        <w:r>
          <w:rPr>
            <w:noProof/>
            <w:webHidden/>
          </w:rPr>
          <w:fldChar w:fldCharType="begin"/>
        </w:r>
        <w:r>
          <w:rPr>
            <w:noProof/>
            <w:webHidden/>
          </w:rPr>
          <w:instrText xml:space="preserve"> PAGEREF _Toc237650630 \h </w:instrText>
        </w:r>
        <w:r>
          <w:rPr>
            <w:noProof/>
            <w:webHidden/>
          </w:rPr>
        </w:r>
        <w:r>
          <w:rPr>
            <w:noProof/>
            <w:webHidden/>
          </w:rPr>
          <w:fldChar w:fldCharType="separate"/>
        </w:r>
        <w:r>
          <w:rPr>
            <w:noProof/>
            <w:webHidden/>
          </w:rPr>
          <w:t>65</w:t>
        </w:r>
        <w:r>
          <w:rPr>
            <w:noProof/>
            <w:webHidden/>
          </w:rPr>
          <w:fldChar w:fldCharType="end"/>
        </w:r>
      </w:hyperlink>
    </w:p>
    <w:p w14:paraId="58B4938D" w14:textId="32986D5A" w:rsidR="00DC7476" w:rsidRDefault="00DC7476">
      <w:pPr>
        <w:pStyle w:val="TOC2"/>
        <w:rPr>
          <w:rFonts w:asciiTheme="minorHAnsi" w:hAnsiTheme="minorHAnsi"/>
          <w:noProof/>
          <w:color w:val="auto"/>
          <w:sz w:val="24"/>
        </w:rPr>
      </w:pPr>
      <w:hyperlink w:anchor="_Toc237650631" w:history="1">
        <w:r w:rsidRPr="00E734D9">
          <w:rPr>
            <w:rStyle w:val="Hyperlink"/>
            <w:rFonts w:cs="Calibri Light"/>
            <w:noProof/>
          </w:rPr>
          <w:t>Article 59: Continuity, Dormancy, Amendment, Withdrawal, and Entry into Force</w:t>
        </w:r>
        <w:r>
          <w:rPr>
            <w:noProof/>
            <w:webHidden/>
          </w:rPr>
          <w:tab/>
        </w:r>
        <w:r>
          <w:rPr>
            <w:noProof/>
            <w:webHidden/>
          </w:rPr>
          <w:fldChar w:fldCharType="begin"/>
        </w:r>
        <w:r>
          <w:rPr>
            <w:noProof/>
            <w:webHidden/>
          </w:rPr>
          <w:instrText xml:space="preserve"> PAGEREF _Toc237650631 \h </w:instrText>
        </w:r>
        <w:r>
          <w:rPr>
            <w:noProof/>
            <w:webHidden/>
          </w:rPr>
        </w:r>
        <w:r>
          <w:rPr>
            <w:noProof/>
            <w:webHidden/>
          </w:rPr>
          <w:fldChar w:fldCharType="separate"/>
        </w:r>
        <w:r>
          <w:rPr>
            <w:noProof/>
            <w:webHidden/>
          </w:rPr>
          <w:t>65</w:t>
        </w:r>
        <w:r>
          <w:rPr>
            <w:noProof/>
            <w:webHidden/>
          </w:rPr>
          <w:fldChar w:fldCharType="end"/>
        </w:r>
      </w:hyperlink>
    </w:p>
    <w:p w14:paraId="228D7D90" w14:textId="6F9D8375" w:rsidR="00DC7476" w:rsidRDefault="00DC7476">
      <w:pPr>
        <w:pStyle w:val="TOC1"/>
        <w:rPr>
          <w:rFonts w:asciiTheme="minorHAnsi" w:hAnsiTheme="minorHAnsi"/>
          <w:noProof/>
          <w:color w:val="auto"/>
          <w:sz w:val="24"/>
        </w:rPr>
      </w:pPr>
      <w:hyperlink w:anchor="_Toc237650632" w:history="1">
        <w:r w:rsidRPr="00E734D9">
          <w:rPr>
            <w:rStyle w:val="Hyperlink"/>
            <w:rFonts w:cs="Calibri Light"/>
            <w:noProof/>
          </w:rPr>
          <w:t>Signature and Endorsement</w:t>
        </w:r>
        <w:r>
          <w:rPr>
            <w:noProof/>
            <w:webHidden/>
          </w:rPr>
          <w:tab/>
        </w:r>
        <w:r>
          <w:rPr>
            <w:noProof/>
            <w:webHidden/>
          </w:rPr>
          <w:fldChar w:fldCharType="begin"/>
        </w:r>
        <w:r>
          <w:rPr>
            <w:noProof/>
            <w:webHidden/>
          </w:rPr>
          <w:instrText xml:space="preserve"> PAGEREF _Toc237650632 \h </w:instrText>
        </w:r>
        <w:r>
          <w:rPr>
            <w:noProof/>
            <w:webHidden/>
          </w:rPr>
        </w:r>
        <w:r>
          <w:rPr>
            <w:noProof/>
            <w:webHidden/>
          </w:rPr>
          <w:fldChar w:fldCharType="separate"/>
        </w:r>
        <w:r>
          <w:rPr>
            <w:noProof/>
            <w:webHidden/>
          </w:rPr>
          <w:t>66</w:t>
        </w:r>
        <w:r>
          <w:rPr>
            <w:noProof/>
            <w:webHidden/>
          </w:rPr>
          <w:fldChar w:fldCharType="end"/>
        </w:r>
      </w:hyperlink>
    </w:p>
    <w:p w14:paraId="2916C206" w14:textId="27732D43" w:rsidR="00DC7476" w:rsidRDefault="00DC7476">
      <w:pPr>
        <w:pStyle w:val="TOC1"/>
        <w:rPr>
          <w:rFonts w:asciiTheme="minorHAnsi" w:hAnsiTheme="minorHAnsi"/>
          <w:noProof/>
          <w:color w:val="auto"/>
          <w:sz w:val="24"/>
        </w:rPr>
      </w:pPr>
      <w:hyperlink w:anchor="_Toc237650633" w:history="1">
        <w:r w:rsidRPr="00E734D9">
          <w:rPr>
            <w:rStyle w:val="Hyperlink"/>
            <w:rFonts w:cs="Calibri Light"/>
            <w:noProof/>
          </w:rPr>
          <w:t>Annex A: Corridor Geometry and Coordinates</w:t>
        </w:r>
        <w:r>
          <w:rPr>
            <w:noProof/>
            <w:webHidden/>
          </w:rPr>
          <w:tab/>
        </w:r>
        <w:r>
          <w:rPr>
            <w:noProof/>
            <w:webHidden/>
          </w:rPr>
          <w:fldChar w:fldCharType="begin"/>
        </w:r>
        <w:r>
          <w:rPr>
            <w:noProof/>
            <w:webHidden/>
          </w:rPr>
          <w:instrText xml:space="preserve"> PAGEREF _Toc237650633 \h </w:instrText>
        </w:r>
        <w:r>
          <w:rPr>
            <w:noProof/>
            <w:webHidden/>
          </w:rPr>
        </w:r>
        <w:r>
          <w:rPr>
            <w:noProof/>
            <w:webHidden/>
          </w:rPr>
          <w:fldChar w:fldCharType="separate"/>
        </w:r>
        <w:r>
          <w:rPr>
            <w:noProof/>
            <w:webHidden/>
          </w:rPr>
          <w:t>68</w:t>
        </w:r>
        <w:r>
          <w:rPr>
            <w:noProof/>
            <w:webHidden/>
          </w:rPr>
          <w:fldChar w:fldCharType="end"/>
        </w:r>
      </w:hyperlink>
    </w:p>
    <w:p w14:paraId="691E294F" w14:textId="68073761" w:rsidR="00DC7476" w:rsidRDefault="00DC7476">
      <w:pPr>
        <w:pStyle w:val="TOC2"/>
        <w:rPr>
          <w:rFonts w:asciiTheme="minorHAnsi" w:hAnsiTheme="minorHAnsi"/>
          <w:noProof/>
          <w:color w:val="auto"/>
          <w:sz w:val="24"/>
        </w:rPr>
      </w:pPr>
      <w:hyperlink w:anchor="_Toc237650634" w:history="1">
        <w:r w:rsidRPr="00E734D9">
          <w:rPr>
            <w:rStyle w:val="Hyperlink"/>
            <w:rFonts w:cs="Calibri Light"/>
            <w:noProof/>
          </w:rPr>
          <w:t>A.1 The Governance Area</w:t>
        </w:r>
        <w:r>
          <w:rPr>
            <w:noProof/>
            <w:webHidden/>
          </w:rPr>
          <w:tab/>
        </w:r>
        <w:r>
          <w:rPr>
            <w:noProof/>
            <w:webHidden/>
          </w:rPr>
          <w:fldChar w:fldCharType="begin"/>
        </w:r>
        <w:r>
          <w:rPr>
            <w:noProof/>
            <w:webHidden/>
          </w:rPr>
          <w:instrText xml:space="preserve"> PAGEREF _Toc237650634 \h </w:instrText>
        </w:r>
        <w:r>
          <w:rPr>
            <w:noProof/>
            <w:webHidden/>
          </w:rPr>
        </w:r>
        <w:r>
          <w:rPr>
            <w:noProof/>
            <w:webHidden/>
          </w:rPr>
          <w:fldChar w:fldCharType="separate"/>
        </w:r>
        <w:r>
          <w:rPr>
            <w:noProof/>
            <w:webHidden/>
          </w:rPr>
          <w:t>68</w:t>
        </w:r>
        <w:r>
          <w:rPr>
            <w:noProof/>
            <w:webHidden/>
          </w:rPr>
          <w:fldChar w:fldCharType="end"/>
        </w:r>
      </w:hyperlink>
    </w:p>
    <w:p w14:paraId="4523A054" w14:textId="11DCB5B4" w:rsidR="00DC7476" w:rsidRDefault="00DC7476">
      <w:pPr>
        <w:pStyle w:val="TOC2"/>
        <w:rPr>
          <w:rFonts w:asciiTheme="minorHAnsi" w:hAnsiTheme="minorHAnsi"/>
          <w:noProof/>
          <w:color w:val="auto"/>
          <w:sz w:val="24"/>
        </w:rPr>
      </w:pPr>
      <w:hyperlink w:anchor="_Toc237650635" w:history="1">
        <w:r w:rsidRPr="00E734D9">
          <w:rPr>
            <w:rStyle w:val="Hyperlink"/>
            <w:rFonts w:cs="Calibri Light"/>
            <w:noProof/>
          </w:rPr>
          <w:t>A.2 Corridor One: Southern Assurance (outbound)</w:t>
        </w:r>
        <w:r>
          <w:rPr>
            <w:noProof/>
            <w:webHidden/>
          </w:rPr>
          <w:tab/>
        </w:r>
        <w:r>
          <w:rPr>
            <w:noProof/>
            <w:webHidden/>
          </w:rPr>
          <w:fldChar w:fldCharType="begin"/>
        </w:r>
        <w:r>
          <w:rPr>
            <w:noProof/>
            <w:webHidden/>
          </w:rPr>
          <w:instrText xml:space="preserve"> PAGEREF _Toc237650635 \h </w:instrText>
        </w:r>
        <w:r>
          <w:rPr>
            <w:noProof/>
            <w:webHidden/>
          </w:rPr>
        </w:r>
        <w:r>
          <w:rPr>
            <w:noProof/>
            <w:webHidden/>
          </w:rPr>
          <w:fldChar w:fldCharType="separate"/>
        </w:r>
        <w:r>
          <w:rPr>
            <w:noProof/>
            <w:webHidden/>
          </w:rPr>
          <w:t>68</w:t>
        </w:r>
        <w:r>
          <w:rPr>
            <w:noProof/>
            <w:webHidden/>
          </w:rPr>
          <w:fldChar w:fldCharType="end"/>
        </w:r>
      </w:hyperlink>
    </w:p>
    <w:p w14:paraId="02CA8E30" w14:textId="613E15F9" w:rsidR="00DC7476" w:rsidRDefault="00DC7476">
      <w:pPr>
        <w:pStyle w:val="TOC2"/>
        <w:rPr>
          <w:rFonts w:asciiTheme="minorHAnsi" w:hAnsiTheme="minorHAnsi"/>
          <w:noProof/>
          <w:color w:val="auto"/>
          <w:sz w:val="24"/>
        </w:rPr>
      </w:pPr>
      <w:hyperlink w:anchor="_Toc237650636" w:history="1">
        <w:r w:rsidRPr="00E734D9">
          <w:rPr>
            <w:rStyle w:val="Hyperlink"/>
            <w:rFonts w:cs="Calibri Light"/>
            <w:noProof/>
          </w:rPr>
          <w:t>A.3 Corridor Two: Northern Coordination (inbound)</w:t>
        </w:r>
        <w:r>
          <w:rPr>
            <w:noProof/>
            <w:webHidden/>
          </w:rPr>
          <w:tab/>
        </w:r>
        <w:r>
          <w:rPr>
            <w:noProof/>
            <w:webHidden/>
          </w:rPr>
          <w:fldChar w:fldCharType="begin"/>
        </w:r>
        <w:r>
          <w:rPr>
            <w:noProof/>
            <w:webHidden/>
          </w:rPr>
          <w:instrText xml:space="preserve"> PAGEREF _Toc237650636 \h </w:instrText>
        </w:r>
        <w:r>
          <w:rPr>
            <w:noProof/>
            <w:webHidden/>
          </w:rPr>
        </w:r>
        <w:r>
          <w:rPr>
            <w:noProof/>
            <w:webHidden/>
          </w:rPr>
          <w:fldChar w:fldCharType="separate"/>
        </w:r>
        <w:r>
          <w:rPr>
            <w:noProof/>
            <w:webHidden/>
          </w:rPr>
          <w:t>68</w:t>
        </w:r>
        <w:r>
          <w:rPr>
            <w:noProof/>
            <w:webHidden/>
          </w:rPr>
          <w:fldChar w:fldCharType="end"/>
        </w:r>
      </w:hyperlink>
    </w:p>
    <w:p w14:paraId="2FBD687B" w14:textId="486B38AE" w:rsidR="00DC7476" w:rsidRDefault="00DC7476">
      <w:pPr>
        <w:pStyle w:val="TOC2"/>
        <w:rPr>
          <w:rFonts w:asciiTheme="minorHAnsi" w:hAnsiTheme="minorHAnsi"/>
          <w:noProof/>
          <w:color w:val="auto"/>
          <w:sz w:val="24"/>
        </w:rPr>
      </w:pPr>
      <w:hyperlink w:anchor="_Toc237650637" w:history="1">
        <w:r w:rsidRPr="00E734D9">
          <w:rPr>
            <w:rStyle w:val="Hyperlink"/>
            <w:rFonts w:cs="Calibri Light"/>
            <w:noProof/>
          </w:rPr>
          <w:t>A.4 Corridor Three: Central Assurance Lane (two-way, after certification)</w:t>
        </w:r>
        <w:r>
          <w:rPr>
            <w:noProof/>
            <w:webHidden/>
          </w:rPr>
          <w:tab/>
        </w:r>
        <w:r>
          <w:rPr>
            <w:noProof/>
            <w:webHidden/>
          </w:rPr>
          <w:fldChar w:fldCharType="begin"/>
        </w:r>
        <w:r>
          <w:rPr>
            <w:noProof/>
            <w:webHidden/>
          </w:rPr>
          <w:instrText xml:space="preserve"> PAGEREF _Toc237650637 \h </w:instrText>
        </w:r>
        <w:r>
          <w:rPr>
            <w:noProof/>
            <w:webHidden/>
          </w:rPr>
        </w:r>
        <w:r>
          <w:rPr>
            <w:noProof/>
            <w:webHidden/>
          </w:rPr>
          <w:fldChar w:fldCharType="separate"/>
        </w:r>
        <w:r>
          <w:rPr>
            <w:noProof/>
            <w:webHidden/>
          </w:rPr>
          <w:t>69</w:t>
        </w:r>
        <w:r>
          <w:rPr>
            <w:noProof/>
            <w:webHidden/>
          </w:rPr>
          <w:fldChar w:fldCharType="end"/>
        </w:r>
      </w:hyperlink>
    </w:p>
    <w:p w14:paraId="105E1480" w14:textId="09D6ED32" w:rsidR="00DC7476" w:rsidRDefault="00DC7476">
      <w:pPr>
        <w:pStyle w:val="TOC2"/>
        <w:rPr>
          <w:rFonts w:asciiTheme="minorHAnsi" w:hAnsiTheme="minorHAnsi"/>
          <w:noProof/>
          <w:color w:val="auto"/>
          <w:sz w:val="24"/>
        </w:rPr>
      </w:pPr>
      <w:hyperlink w:anchor="_Toc237650638" w:history="1">
        <w:r w:rsidRPr="00E734D9">
          <w:rPr>
            <w:rStyle w:val="Hyperlink"/>
            <w:rFonts w:cs="Calibri Light"/>
            <w:noProof/>
          </w:rPr>
          <w:t>A.5 Anchorages, Exercise Zones, and Survey Zones</w:t>
        </w:r>
        <w:r>
          <w:rPr>
            <w:noProof/>
            <w:webHidden/>
          </w:rPr>
          <w:tab/>
        </w:r>
        <w:r>
          <w:rPr>
            <w:noProof/>
            <w:webHidden/>
          </w:rPr>
          <w:fldChar w:fldCharType="begin"/>
        </w:r>
        <w:r>
          <w:rPr>
            <w:noProof/>
            <w:webHidden/>
          </w:rPr>
          <w:instrText xml:space="preserve"> PAGEREF _Toc237650638 \h </w:instrText>
        </w:r>
        <w:r>
          <w:rPr>
            <w:noProof/>
            <w:webHidden/>
          </w:rPr>
        </w:r>
        <w:r>
          <w:rPr>
            <w:noProof/>
            <w:webHidden/>
          </w:rPr>
          <w:fldChar w:fldCharType="separate"/>
        </w:r>
        <w:r>
          <w:rPr>
            <w:noProof/>
            <w:webHidden/>
          </w:rPr>
          <w:t>69</w:t>
        </w:r>
        <w:r>
          <w:rPr>
            <w:noProof/>
            <w:webHidden/>
          </w:rPr>
          <w:fldChar w:fldCharType="end"/>
        </w:r>
      </w:hyperlink>
    </w:p>
    <w:p w14:paraId="04452681" w14:textId="2910178C" w:rsidR="00DC7476" w:rsidRDefault="00DC7476">
      <w:pPr>
        <w:pStyle w:val="TOC2"/>
        <w:rPr>
          <w:rFonts w:asciiTheme="minorHAnsi" w:hAnsiTheme="minorHAnsi"/>
          <w:noProof/>
          <w:color w:val="auto"/>
          <w:sz w:val="24"/>
        </w:rPr>
      </w:pPr>
      <w:hyperlink w:anchor="_Toc237650639" w:history="1">
        <w:r w:rsidRPr="00E734D9">
          <w:rPr>
            <w:rStyle w:val="Hyperlink"/>
            <w:rFonts w:cs="Calibri Light"/>
            <w:noProof/>
          </w:rPr>
          <w:t>A.6 Light Characteristics of the Principal Eastern Entrance Marks</w:t>
        </w:r>
        <w:r>
          <w:rPr>
            <w:noProof/>
            <w:webHidden/>
          </w:rPr>
          <w:tab/>
        </w:r>
        <w:r>
          <w:rPr>
            <w:noProof/>
            <w:webHidden/>
          </w:rPr>
          <w:fldChar w:fldCharType="begin"/>
        </w:r>
        <w:r>
          <w:rPr>
            <w:noProof/>
            <w:webHidden/>
          </w:rPr>
          <w:instrText xml:space="preserve"> PAGEREF _Toc237650639 \h </w:instrText>
        </w:r>
        <w:r>
          <w:rPr>
            <w:noProof/>
            <w:webHidden/>
          </w:rPr>
        </w:r>
        <w:r>
          <w:rPr>
            <w:noProof/>
            <w:webHidden/>
          </w:rPr>
          <w:fldChar w:fldCharType="separate"/>
        </w:r>
        <w:r>
          <w:rPr>
            <w:noProof/>
            <w:webHidden/>
          </w:rPr>
          <w:t>70</w:t>
        </w:r>
        <w:r>
          <w:rPr>
            <w:noProof/>
            <w:webHidden/>
          </w:rPr>
          <w:fldChar w:fldCharType="end"/>
        </w:r>
      </w:hyperlink>
    </w:p>
    <w:p w14:paraId="6BE2D896" w14:textId="40C95741" w:rsidR="00DC7476" w:rsidRDefault="00DC7476">
      <w:pPr>
        <w:pStyle w:val="TOC1"/>
        <w:rPr>
          <w:rFonts w:asciiTheme="minorHAnsi" w:hAnsiTheme="minorHAnsi"/>
          <w:noProof/>
          <w:color w:val="auto"/>
          <w:sz w:val="24"/>
        </w:rPr>
      </w:pPr>
      <w:hyperlink w:anchor="_Toc237650640" w:history="1">
        <w:r w:rsidRPr="00E734D9">
          <w:rPr>
            <w:rStyle w:val="Hyperlink"/>
            <w:rFonts w:cs="Calibri Light"/>
            <w:noProof/>
          </w:rPr>
          <w:t>Annex B: The Micro-Exercise Catalog</w:t>
        </w:r>
        <w:r>
          <w:rPr>
            <w:noProof/>
            <w:webHidden/>
          </w:rPr>
          <w:tab/>
        </w:r>
        <w:r>
          <w:rPr>
            <w:noProof/>
            <w:webHidden/>
          </w:rPr>
          <w:fldChar w:fldCharType="begin"/>
        </w:r>
        <w:r>
          <w:rPr>
            <w:noProof/>
            <w:webHidden/>
          </w:rPr>
          <w:instrText xml:space="preserve"> PAGEREF _Toc237650640 \h </w:instrText>
        </w:r>
        <w:r>
          <w:rPr>
            <w:noProof/>
            <w:webHidden/>
          </w:rPr>
        </w:r>
        <w:r>
          <w:rPr>
            <w:noProof/>
            <w:webHidden/>
          </w:rPr>
          <w:fldChar w:fldCharType="separate"/>
        </w:r>
        <w:r>
          <w:rPr>
            <w:noProof/>
            <w:webHidden/>
          </w:rPr>
          <w:t>70</w:t>
        </w:r>
        <w:r>
          <w:rPr>
            <w:noProof/>
            <w:webHidden/>
          </w:rPr>
          <w:fldChar w:fldCharType="end"/>
        </w:r>
      </w:hyperlink>
    </w:p>
    <w:p w14:paraId="789BD565" w14:textId="3A32909F" w:rsidR="00DC7476" w:rsidRDefault="00DC7476">
      <w:pPr>
        <w:pStyle w:val="TOC1"/>
        <w:rPr>
          <w:rFonts w:asciiTheme="minorHAnsi" w:hAnsiTheme="minorHAnsi"/>
          <w:noProof/>
          <w:color w:val="auto"/>
          <w:sz w:val="24"/>
        </w:rPr>
      </w:pPr>
      <w:hyperlink w:anchor="_Toc237650641" w:history="1">
        <w:r w:rsidRPr="00E734D9">
          <w:rPr>
            <w:rStyle w:val="Hyperlink"/>
            <w:rFonts w:cs="Calibri Light"/>
            <w:noProof/>
          </w:rPr>
          <w:t>Annex C: The Calm Waters Fund Charter and Rate Card</w:t>
        </w:r>
        <w:r>
          <w:rPr>
            <w:noProof/>
            <w:webHidden/>
          </w:rPr>
          <w:tab/>
        </w:r>
        <w:r>
          <w:rPr>
            <w:noProof/>
            <w:webHidden/>
          </w:rPr>
          <w:fldChar w:fldCharType="begin"/>
        </w:r>
        <w:r>
          <w:rPr>
            <w:noProof/>
            <w:webHidden/>
          </w:rPr>
          <w:instrText xml:space="preserve"> PAGEREF _Toc237650641 \h </w:instrText>
        </w:r>
        <w:r>
          <w:rPr>
            <w:noProof/>
            <w:webHidden/>
          </w:rPr>
        </w:r>
        <w:r>
          <w:rPr>
            <w:noProof/>
            <w:webHidden/>
          </w:rPr>
          <w:fldChar w:fldCharType="separate"/>
        </w:r>
        <w:r>
          <w:rPr>
            <w:noProof/>
            <w:webHidden/>
          </w:rPr>
          <w:t>72</w:t>
        </w:r>
        <w:r>
          <w:rPr>
            <w:noProof/>
            <w:webHidden/>
          </w:rPr>
          <w:fldChar w:fldCharType="end"/>
        </w:r>
      </w:hyperlink>
    </w:p>
    <w:p w14:paraId="0D567AE8" w14:textId="5F55CC8C" w:rsidR="00DC7476" w:rsidRDefault="00DC7476">
      <w:pPr>
        <w:pStyle w:val="TOC2"/>
        <w:rPr>
          <w:rFonts w:asciiTheme="minorHAnsi" w:hAnsiTheme="minorHAnsi"/>
          <w:noProof/>
          <w:color w:val="auto"/>
          <w:sz w:val="24"/>
        </w:rPr>
      </w:pPr>
      <w:hyperlink w:anchor="_Toc237650642" w:history="1">
        <w:r w:rsidRPr="00E734D9">
          <w:rPr>
            <w:rStyle w:val="Hyperlink"/>
            <w:rFonts w:cs="Calibri Light"/>
            <w:noProof/>
          </w:rPr>
          <w:t>C.1 Charter Essentials</w:t>
        </w:r>
        <w:r>
          <w:rPr>
            <w:noProof/>
            <w:webHidden/>
          </w:rPr>
          <w:tab/>
        </w:r>
        <w:r>
          <w:rPr>
            <w:noProof/>
            <w:webHidden/>
          </w:rPr>
          <w:fldChar w:fldCharType="begin"/>
        </w:r>
        <w:r>
          <w:rPr>
            <w:noProof/>
            <w:webHidden/>
          </w:rPr>
          <w:instrText xml:space="preserve"> PAGEREF _Toc237650642 \h </w:instrText>
        </w:r>
        <w:r>
          <w:rPr>
            <w:noProof/>
            <w:webHidden/>
          </w:rPr>
        </w:r>
        <w:r>
          <w:rPr>
            <w:noProof/>
            <w:webHidden/>
          </w:rPr>
          <w:fldChar w:fldCharType="separate"/>
        </w:r>
        <w:r>
          <w:rPr>
            <w:noProof/>
            <w:webHidden/>
          </w:rPr>
          <w:t>72</w:t>
        </w:r>
        <w:r>
          <w:rPr>
            <w:noProof/>
            <w:webHidden/>
          </w:rPr>
          <w:fldChar w:fldCharType="end"/>
        </w:r>
      </w:hyperlink>
    </w:p>
    <w:p w14:paraId="49B5C975" w14:textId="636F82DA" w:rsidR="00DC7476" w:rsidRDefault="00DC7476">
      <w:pPr>
        <w:pStyle w:val="TOC2"/>
        <w:rPr>
          <w:rFonts w:asciiTheme="minorHAnsi" w:hAnsiTheme="minorHAnsi"/>
          <w:noProof/>
          <w:color w:val="auto"/>
          <w:sz w:val="24"/>
        </w:rPr>
      </w:pPr>
      <w:hyperlink w:anchor="_Toc237650643" w:history="1">
        <w:r w:rsidRPr="00E734D9">
          <w:rPr>
            <w:rStyle w:val="Hyperlink"/>
            <w:rFonts w:cs="Calibri Light"/>
            <w:noProof/>
          </w:rPr>
          <w:t>C.2 Rate Card (cost-based, reviewed every six months)</w:t>
        </w:r>
        <w:r>
          <w:rPr>
            <w:noProof/>
            <w:webHidden/>
          </w:rPr>
          <w:tab/>
        </w:r>
        <w:r>
          <w:rPr>
            <w:noProof/>
            <w:webHidden/>
          </w:rPr>
          <w:fldChar w:fldCharType="begin"/>
        </w:r>
        <w:r>
          <w:rPr>
            <w:noProof/>
            <w:webHidden/>
          </w:rPr>
          <w:instrText xml:space="preserve"> PAGEREF _Toc237650643 \h </w:instrText>
        </w:r>
        <w:r>
          <w:rPr>
            <w:noProof/>
            <w:webHidden/>
          </w:rPr>
        </w:r>
        <w:r>
          <w:rPr>
            <w:noProof/>
            <w:webHidden/>
          </w:rPr>
          <w:fldChar w:fldCharType="separate"/>
        </w:r>
        <w:r>
          <w:rPr>
            <w:noProof/>
            <w:webHidden/>
          </w:rPr>
          <w:t>73</w:t>
        </w:r>
        <w:r>
          <w:rPr>
            <w:noProof/>
            <w:webHidden/>
          </w:rPr>
          <w:fldChar w:fldCharType="end"/>
        </w:r>
      </w:hyperlink>
    </w:p>
    <w:p w14:paraId="5DFE69AA" w14:textId="20CE0315" w:rsidR="00DC7476" w:rsidRDefault="00DC7476">
      <w:pPr>
        <w:pStyle w:val="TOC2"/>
        <w:rPr>
          <w:rFonts w:asciiTheme="minorHAnsi" w:hAnsiTheme="minorHAnsi"/>
          <w:noProof/>
          <w:color w:val="auto"/>
          <w:sz w:val="24"/>
        </w:rPr>
      </w:pPr>
      <w:hyperlink w:anchor="_Toc237650644" w:history="1">
        <w:r w:rsidRPr="00E734D9">
          <w:rPr>
            <w:rStyle w:val="Hyperlink"/>
            <w:rFonts w:cs="Calibri Light"/>
            <w:noProof/>
          </w:rPr>
          <w:t>C.3 The Development Windows</w:t>
        </w:r>
        <w:r>
          <w:rPr>
            <w:noProof/>
            <w:webHidden/>
          </w:rPr>
          <w:tab/>
        </w:r>
        <w:r>
          <w:rPr>
            <w:noProof/>
            <w:webHidden/>
          </w:rPr>
          <w:fldChar w:fldCharType="begin"/>
        </w:r>
        <w:r>
          <w:rPr>
            <w:noProof/>
            <w:webHidden/>
          </w:rPr>
          <w:instrText xml:space="preserve"> PAGEREF _Toc237650644 \h </w:instrText>
        </w:r>
        <w:r>
          <w:rPr>
            <w:noProof/>
            <w:webHidden/>
          </w:rPr>
        </w:r>
        <w:r>
          <w:rPr>
            <w:noProof/>
            <w:webHidden/>
          </w:rPr>
          <w:fldChar w:fldCharType="separate"/>
        </w:r>
        <w:r>
          <w:rPr>
            <w:noProof/>
            <w:webHidden/>
          </w:rPr>
          <w:t>74</w:t>
        </w:r>
        <w:r>
          <w:rPr>
            <w:noProof/>
            <w:webHidden/>
          </w:rPr>
          <w:fldChar w:fldCharType="end"/>
        </w:r>
      </w:hyperlink>
    </w:p>
    <w:p w14:paraId="042888A3" w14:textId="60CC4FCE" w:rsidR="00DC7476" w:rsidRDefault="00DC7476">
      <w:pPr>
        <w:pStyle w:val="TOC2"/>
        <w:rPr>
          <w:rFonts w:asciiTheme="minorHAnsi" w:hAnsiTheme="minorHAnsi"/>
          <w:noProof/>
          <w:color w:val="auto"/>
          <w:sz w:val="24"/>
        </w:rPr>
      </w:pPr>
      <w:hyperlink w:anchor="_Toc237650645" w:history="1">
        <w:r w:rsidRPr="00E734D9">
          <w:rPr>
            <w:rStyle w:val="Hyperlink"/>
            <w:rFonts w:cs="Calibri Light"/>
            <w:noProof/>
          </w:rPr>
          <w:t>C.4 Payment Flow</w:t>
        </w:r>
        <w:r>
          <w:rPr>
            <w:noProof/>
            <w:webHidden/>
          </w:rPr>
          <w:tab/>
        </w:r>
        <w:r>
          <w:rPr>
            <w:noProof/>
            <w:webHidden/>
          </w:rPr>
          <w:fldChar w:fldCharType="begin"/>
        </w:r>
        <w:r>
          <w:rPr>
            <w:noProof/>
            <w:webHidden/>
          </w:rPr>
          <w:instrText xml:space="preserve"> PAGEREF _Toc237650645 \h </w:instrText>
        </w:r>
        <w:r>
          <w:rPr>
            <w:noProof/>
            <w:webHidden/>
          </w:rPr>
        </w:r>
        <w:r>
          <w:rPr>
            <w:noProof/>
            <w:webHidden/>
          </w:rPr>
          <w:fldChar w:fldCharType="separate"/>
        </w:r>
        <w:r>
          <w:rPr>
            <w:noProof/>
            <w:webHidden/>
          </w:rPr>
          <w:t>74</w:t>
        </w:r>
        <w:r>
          <w:rPr>
            <w:noProof/>
            <w:webHidden/>
          </w:rPr>
          <w:fldChar w:fldCharType="end"/>
        </w:r>
      </w:hyperlink>
    </w:p>
    <w:p w14:paraId="220E7B95" w14:textId="4462607A" w:rsidR="00DC7476" w:rsidRDefault="00DC7476">
      <w:pPr>
        <w:pStyle w:val="TOC1"/>
        <w:rPr>
          <w:rFonts w:asciiTheme="minorHAnsi" w:hAnsiTheme="minorHAnsi"/>
          <w:noProof/>
          <w:color w:val="auto"/>
          <w:sz w:val="24"/>
        </w:rPr>
      </w:pPr>
      <w:hyperlink w:anchor="_Toc237650646" w:history="1">
        <w:r w:rsidRPr="00E734D9">
          <w:rPr>
            <w:rStyle w:val="Hyperlink"/>
            <w:rFonts w:cs="Calibri Light"/>
            <w:noProof/>
          </w:rPr>
          <w:t>Annex D: Communications, Formats, and Protocols</w:t>
        </w:r>
        <w:r>
          <w:rPr>
            <w:noProof/>
            <w:webHidden/>
          </w:rPr>
          <w:tab/>
        </w:r>
        <w:r>
          <w:rPr>
            <w:noProof/>
            <w:webHidden/>
          </w:rPr>
          <w:fldChar w:fldCharType="begin"/>
        </w:r>
        <w:r>
          <w:rPr>
            <w:noProof/>
            <w:webHidden/>
          </w:rPr>
          <w:instrText xml:space="preserve"> PAGEREF _Toc237650646 \h </w:instrText>
        </w:r>
        <w:r>
          <w:rPr>
            <w:noProof/>
            <w:webHidden/>
          </w:rPr>
        </w:r>
        <w:r>
          <w:rPr>
            <w:noProof/>
            <w:webHidden/>
          </w:rPr>
          <w:fldChar w:fldCharType="separate"/>
        </w:r>
        <w:r>
          <w:rPr>
            <w:noProof/>
            <w:webHidden/>
          </w:rPr>
          <w:t>74</w:t>
        </w:r>
        <w:r>
          <w:rPr>
            <w:noProof/>
            <w:webHidden/>
          </w:rPr>
          <w:fldChar w:fldCharType="end"/>
        </w:r>
      </w:hyperlink>
    </w:p>
    <w:p w14:paraId="20A7B69B" w14:textId="082F5DB0" w:rsidR="00DC7476" w:rsidRDefault="00DC7476">
      <w:pPr>
        <w:pStyle w:val="TOC2"/>
        <w:rPr>
          <w:rFonts w:asciiTheme="minorHAnsi" w:hAnsiTheme="minorHAnsi"/>
          <w:noProof/>
          <w:color w:val="auto"/>
          <w:sz w:val="24"/>
        </w:rPr>
      </w:pPr>
      <w:hyperlink w:anchor="_Toc237650647" w:history="1">
        <w:r w:rsidRPr="00E734D9">
          <w:rPr>
            <w:rStyle w:val="Hyperlink"/>
            <w:rFonts w:cs="Calibri Light"/>
            <w:noProof/>
          </w:rPr>
          <w:t>D.1 Radio Plan</w:t>
        </w:r>
        <w:r>
          <w:rPr>
            <w:noProof/>
            <w:webHidden/>
          </w:rPr>
          <w:tab/>
        </w:r>
        <w:r>
          <w:rPr>
            <w:noProof/>
            <w:webHidden/>
          </w:rPr>
          <w:fldChar w:fldCharType="begin"/>
        </w:r>
        <w:r>
          <w:rPr>
            <w:noProof/>
            <w:webHidden/>
          </w:rPr>
          <w:instrText xml:space="preserve"> PAGEREF _Toc237650647 \h </w:instrText>
        </w:r>
        <w:r>
          <w:rPr>
            <w:noProof/>
            <w:webHidden/>
          </w:rPr>
        </w:r>
        <w:r>
          <w:rPr>
            <w:noProof/>
            <w:webHidden/>
          </w:rPr>
          <w:fldChar w:fldCharType="separate"/>
        </w:r>
        <w:r>
          <w:rPr>
            <w:noProof/>
            <w:webHidden/>
          </w:rPr>
          <w:t>74</w:t>
        </w:r>
        <w:r>
          <w:rPr>
            <w:noProof/>
            <w:webHidden/>
          </w:rPr>
          <w:fldChar w:fldCharType="end"/>
        </w:r>
      </w:hyperlink>
    </w:p>
    <w:p w14:paraId="5D1529FB" w14:textId="0EBA0C02" w:rsidR="00DC7476" w:rsidRDefault="00DC7476">
      <w:pPr>
        <w:pStyle w:val="TOC2"/>
        <w:rPr>
          <w:rFonts w:asciiTheme="minorHAnsi" w:hAnsiTheme="minorHAnsi"/>
          <w:noProof/>
          <w:color w:val="auto"/>
          <w:sz w:val="24"/>
        </w:rPr>
      </w:pPr>
      <w:hyperlink w:anchor="_Toc237650648" w:history="1">
        <w:r w:rsidRPr="00E734D9">
          <w:rPr>
            <w:rStyle w:val="Hyperlink"/>
            <w:rFonts w:cs="Calibri Light"/>
            <w:noProof/>
          </w:rPr>
          <w:t>D.2 Hotline Protocol</w:t>
        </w:r>
        <w:r>
          <w:rPr>
            <w:noProof/>
            <w:webHidden/>
          </w:rPr>
          <w:tab/>
        </w:r>
        <w:r>
          <w:rPr>
            <w:noProof/>
            <w:webHidden/>
          </w:rPr>
          <w:fldChar w:fldCharType="begin"/>
        </w:r>
        <w:r>
          <w:rPr>
            <w:noProof/>
            <w:webHidden/>
          </w:rPr>
          <w:instrText xml:space="preserve"> PAGEREF _Toc237650648 \h </w:instrText>
        </w:r>
        <w:r>
          <w:rPr>
            <w:noProof/>
            <w:webHidden/>
          </w:rPr>
        </w:r>
        <w:r>
          <w:rPr>
            <w:noProof/>
            <w:webHidden/>
          </w:rPr>
          <w:fldChar w:fldCharType="separate"/>
        </w:r>
        <w:r>
          <w:rPr>
            <w:noProof/>
            <w:webHidden/>
          </w:rPr>
          <w:t>75</w:t>
        </w:r>
        <w:r>
          <w:rPr>
            <w:noProof/>
            <w:webHidden/>
          </w:rPr>
          <w:fldChar w:fldCharType="end"/>
        </w:r>
      </w:hyperlink>
    </w:p>
    <w:p w14:paraId="0FF85B94" w14:textId="3D10394D" w:rsidR="00DC7476" w:rsidRDefault="00DC7476">
      <w:pPr>
        <w:pStyle w:val="TOC2"/>
        <w:rPr>
          <w:rFonts w:asciiTheme="minorHAnsi" w:hAnsiTheme="minorHAnsi"/>
          <w:noProof/>
          <w:color w:val="auto"/>
          <w:sz w:val="24"/>
        </w:rPr>
      </w:pPr>
      <w:hyperlink w:anchor="_Toc237650649" w:history="1">
        <w:r w:rsidRPr="00E734D9">
          <w:rPr>
            <w:rStyle w:val="Hyperlink"/>
            <w:rFonts w:cs="Calibri Light"/>
            <w:noProof/>
          </w:rPr>
          <w:t>D.3 The Incident Ladder</w:t>
        </w:r>
        <w:r>
          <w:rPr>
            <w:noProof/>
            <w:webHidden/>
          </w:rPr>
          <w:tab/>
        </w:r>
        <w:r>
          <w:rPr>
            <w:noProof/>
            <w:webHidden/>
          </w:rPr>
          <w:fldChar w:fldCharType="begin"/>
        </w:r>
        <w:r>
          <w:rPr>
            <w:noProof/>
            <w:webHidden/>
          </w:rPr>
          <w:instrText xml:space="preserve"> PAGEREF _Toc237650649 \h </w:instrText>
        </w:r>
        <w:r>
          <w:rPr>
            <w:noProof/>
            <w:webHidden/>
          </w:rPr>
        </w:r>
        <w:r>
          <w:rPr>
            <w:noProof/>
            <w:webHidden/>
          </w:rPr>
          <w:fldChar w:fldCharType="separate"/>
        </w:r>
        <w:r>
          <w:rPr>
            <w:noProof/>
            <w:webHidden/>
          </w:rPr>
          <w:t>75</w:t>
        </w:r>
        <w:r>
          <w:rPr>
            <w:noProof/>
            <w:webHidden/>
          </w:rPr>
          <w:fldChar w:fldCharType="end"/>
        </w:r>
      </w:hyperlink>
    </w:p>
    <w:p w14:paraId="45DDE4A1" w14:textId="0657A08C" w:rsidR="00DC7476" w:rsidRDefault="00DC7476">
      <w:pPr>
        <w:pStyle w:val="TOC2"/>
        <w:rPr>
          <w:rFonts w:asciiTheme="minorHAnsi" w:hAnsiTheme="minorHAnsi"/>
          <w:noProof/>
          <w:color w:val="auto"/>
          <w:sz w:val="24"/>
        </w:rPr>
      </w:pPr>
      <w:hyperlink w:anchor="_Toc237650650" w:history="1">
        <w:r w:rsidRPr="00E734D9">
          <w:rPr>
            <w:rStyle w:val="Hyperlink"/>
            <w:rFonts w:cs="Calibri Light"/>
            <w:noProof/>
          </w:rPr>
          <w:t>D.4 The Alert Formats</w:t>
        </w:r>
        <w:r>
          <w:rPr>
            <w:noProof/>
            <w:webHidden/>
          </w:rPr>
          <w:tab/>
        </w:r>
        <w:r>
          <w:rPr>
            <w:noProof/>
            <w:webHidden/>
          </w:rPr>
          <w:fldChar w:fldCharType="begin"/>
        </w:r>
        <w:r>
          <w:rPr>
            <w:noProof/>
            <w:webHidden/>
          </w:rPr>
          <w:instrText xml:space="preserve"> PAGEREF _Toc237650650 \h </w:instrText>
        </w:r>
        <w:r>
          <w:rPr>
            <w:noProof/>
            <w:webHidden/>
          </w:rPr>
        </w:r>
        <w:r>
          <w:rPr>
            <w:noProof/>
            <w:webHidden/>
          </w:rPr>
          <w:fldChar w:fldCharType="separate"/>
        </w:r>
        <w:r>
          <w:rPr>
            <w:noProof/>
            <w:webHidden/>
          </w:rPr>
          <w:t>75</w:t>
        </w:r>
        <w:r>
          <w:rPr>
            <w:noProof/>
            <w:webHidden/>
          </w:rPr>
          <w:fldChar w:fldCharType="end"/>
        </w:r>
      </w:hyperlink>
    </w:p>
    <w:p w14:paraId="6C98C03D" w14:textId="00F1581C" w:rsidR="00DC7476" w:rsidRDefault="00DC7476">
      <w:pPr>
        <w:pStyle w:val="TOC2"/>
        <w:rPr>
          <w:rFonts w:asciiTheme="minorHAnsi" w:hAnsiTheme="minorHAnsi"/>
          <w:noProof/>
          <w:color w:val="auto"/>
          <w:sz w:val="24"/>
        </w:rPr>
      </w:pPr>
      <w:hyperlink w:anchor="_Toc237650651" w:history="1">
        <w:r w:rsidRPr="00E734D9">
          <w:rPr>
            <w:rStyle w:val="Hyperlink"/>
            <w:rFonts w:cs="Calibri Light"/>
            <w:noProof/>
          </w:rPr>
          <w:t>D.5 The Standing Agendas</w:t>
        </w:r>
        <w:r>
          <w:rPr>
            <w:noProof/>
            <w:webHidden/>
          </w:rPr>
          <w:tab/>
        </w:r>
        <w:r>
          <w:rPr>
            <w:noProof/>
            <w:webHidden/>
          </w:rPr>
          <w:fldChar w:fldCharType="begin"/>
        </w:r>
        <w:r>
          <w:rPr>
            <w:noProof/>
            <w:webHidden/>
          </w:rPr>
          <w:instrText xml:space="preserve"> PAGEREF _Toc237650651 \h </w:instrText>
        </w:r>
        <w:r>
          <w:rPr>
            <w:noProof/>
            <w:webHidden/>
          </w:rPr>
        </w:r>
        <w:r>
          <w:rPr>
            <w:noProof/>
            <w:webHidden/>
          </w:rPr>
          <w:fldChar w:fldCharType="separate"/>
        </w:r>
        <w:r>
          <w:rPr>
            <w:noProof/>
            <w:webHidden/>
          </w:rPr>
          <w:t>75</w:t>
        </w:r>
        <w:r>
          <w:rPr>
            <w:noProof/>
            <w:webHidden/>
          </w:rPr>
          <w:fldChar w:fldCharType="end"/>
        </w:r>
      </w:hyperlink>
    </w:p>
    <w:p w14:paraId="3B13D680" w14:textId="056C7E9A" w:rsidR="00DC7476" w:rsidRDefault="00DC7476">
      <w:pPr>
        <w:pStyle w:val="TOC2"/>
        <w:rPr>
          <w:rFonts w:asciiTheme="minorHAnsi" w:hAnsiTheme="minorHAnsi"/>
          <w:noProof/>
          <w:color w:val="auto"/>
          <w:sz w:val="24"/>
        </w:rPr>
      </w:pPr>
      <w:hyperlink w:anchor="_Toc237650652" w:history="1">
        <w:r w:rsidRPr="00E734D9">
          <w:rPr>
            <w:rStyle w:val="Hyperlink"/>
            <w:rFonts w:cs="Calibri Light"/>
            <w:noProof/>
          </w:rPr>
          <w:t>D.6 Identity and Hospitality</w:t>
        </w:r>
        <w:r>
          <w:rPr>
            <w:noProof/>
            <w:webHidden/>
          </w:rPr>
          <w:tab/>
        </w:r>
        <w:r>
          <w:rPr>
            <w:noProof/>
            <w:webHidden/>
          </w:rPr>
          <w:fldChar w:fldCharType="begin"/>
        </w:r>
        <w:r>
          <w:rPr>
            <w:noProof/>
            <w:webHidden/>
          </w:rPr>
          <w:instrText xml:space="preserve"> PAGEREF _Toc237650652 \h </w:instrText>
        </w:r>
        <w:r>
          <w:rPr>
            <w:noProof/>
            <w:webHidden/>
          </w:rPr>
        </w:r>
        <w:r>
          <w:rPr>
            <w:noProof/>
            <w:webHidden/>
          </w:rPr>
          <w:fldChar w:fldCharType="separate"/>
        </w:r>
        <w:r>
          <w:rPr>
            <w:noProof/>
            <w:webHidden/>
          </w:rPr>
          <w:t>76</w:t>
        </w:r>
        <w:r>
          <w:rPr>
            <w:noProof/>
            <w:webHidden/>
          </w:rPr>
          <w:fldChar w:fldCharType="end"/>
        </w:r>
      </w:hyperlink>
    </w:p>
    <w:p w14:paraId="0318CD89" w14:textId="258D4661" w:rsidR="00DC7476" w:rsidRDefault="00DC7476">
      <w:pPr>
        <w:pStyle w:val="TOC2"/>
        <w:rPr>
          <w:rFonts w:asciiTheme="minorHAnsi" w:hAnsiTheme="minorHAnsi"/>
          <w:noProof/>
          <w:color w:val="auto"/>
          <w:sz w:val="24"/>
        </w:rPr>
      </w:pPr>
      <w:hyperlink w:anchor="_Toc237650653" w:history="1">
        <w:r w:rsidRPr="00E734D9">
          <w:rPr>
            <w:rStyle w:val="Hyperlink"/>
            <w:rFonts w:cs="Calibri Light"/>
            <w:noProof/>
          </w:rPr>
          <w:t>D.7 The Mariners' Handbook</w:t>
        </w:r>
        <w:r>
          <w:rPr>
            <w:noProof/>
            <w:webHidden/>
          </w:rPr>
          <w:tab/>
        </w:r>
        <w:r>
          <w:rPr>
            <w:noProof/>
            <w:webHidden/>
          </w:rPr>
          <w:fldChar w:fldCharType="begin"/>
        </w:r>
        <w:r>
          <w:rPr>
            <w:noProof/>
            <w:webHidden/>
          </w:rPr>
          <w:instrText xml:space="preserve"> PAGEREF _Toc237650653 \h </w:instrText>
        </w:r>
        <w:r>
          <w:rPr>
            <w:noProof/>
            <w:webHidden/>
          </w:rPr>
        </w:r>
        <w:r>
          <w:rPr>
            <w:noProof/>
            <w:webHidden/>
          </w:rPr>
          <w:fldChar w:fldCharType="separate"/>
        </w:r>
        <w:r>
          <w:rPr>
            <w:noProof/>
            <w:webHidden/>
          </w:rPr>
          <w:t>76</w:t>
        </w:r>
        <w:r>
          <w:rPr>
            <w:noProof/>
            <w:webHidden/>
          </w:rPr>
          <w:fldChar w:fldCharType="end"/>
        </w:r>
      </w:hyperlink>
    </w:p>
    <w:p w14:paraId="6991BCDC" w14:textId="05F8AD55" w:rsidR="00DC7476" w:rsidRDefault="00DC7476">
      <w:pPr>
        <w:pStyle w:val="TOC1"/>
        <w:rPr>
          <w:rFonts w:asciiTheme="minorHAnsi" w:hAnsiTheme="minorHAnsi"/>
          <w:noProof/>
          <w:color w:val="auto"/>
          <w:sz w:val="24"/>
        </w:rPr>
      </w:pPr>
      <w:hyperlink w:anchor="_Toc237650654" w:history="1">
        <w:r w:rsidRPr="00E734D9">
          <w:rPr>
            <w:rStyle w:val="Hyperlink"/>
            <w:rFonts w:cs="Calibri Light"/>
            <w:noProof/>
          </w:rPr>
          <w:t>Annex E: The Master Timeline, Gating Thresholds, and Consequence Schedule</w:t>
        </w:r>
        <w:r>
          <w:rPr>
            <w:noProof/>
            <w:webHidden/>
          </w:rPr>
          <w:tab/>
        </w:r>
        <w:r>
          <w:rPr>
            <w:noProof/>
            <w:webHidden/>
          </w:rPr>
          <w:fldChar w:fldCharType="begin"/>
        </w:r>
        <w:r>
          <w:rPr>
            <w:noProof/>
            <w:webHidden/>
          </w:rPr>
          <w:instrText xml:space="preserve"> PAGEREF _Toc237650654 \h </w:instrText>
        </w:r>
        <w:r>
          <w:rPr>
            <w:noProof/>
            <w:webHidden/>
          </w:rPr>
        </w:r>
        <w:r>
          <w:rPr>
            <w:noProof/>
            <w:webHidden/>
          </w:rPr>
          <w:fldChar w:fldCharType="separate"/>
        </w:r>
        <w:r>
          <w:rPr>
            <w:noProof/>
            <w:webHidden/>
          </w:rPr>
          <w:t>76</w:t>
        </w:r>
        <w:r>
          <w:rPr>
            <w:noProof/>
            <w:webHidden/>
          </w:rPr>
          <w:fldChar w:fldCharType="end"/>
        </w:r>
      </w:hyperlink>
    </w:p>
    <w:p w14:paraId="170737B1" w14:textId="13A0A8DD" w:rsidR="00DC7476" w:rsidRDefault="00DC7476">
      <w:pPr>
        <w:pStyle w:val="TOC2"/>
        <w:rPr>
          <w:rFonts w:asciiTheme="minorHAnsi" w:hAnsiTheme="minorHAnsi"/>
          <w:noProof/>
          <w:color w:val="auto"/>
          <w:sz w:val="24"/>
        </w:rPr>
      </w:pPr>
      <w:hyperlink w:anchor="_Toc237650655" w:history="1">
        <w:r w:rsidRPr="00E734D9">
          <w:rPr>
            <w:rStyle w:val="Hyperlink"/>
            <w:rFonts w:cs="Calibri Light"/>
            <w:noProof/>
          </w:rPr>
          <w:t>E.1 The Master Timeline</w:t>
        </w:r>
        <w:r>
          <w:rPr>
            <w:noProof/>
            <w:webHidden/>
          </w:rPr>
          <w:tab/>
        </w:r>
        <w:r>
          <w:rPr>
            <w:noProof/>
            <w:webHidden/>
          </w:rPr>
          <w:fldChar w:fldCharType="begin"/>
        </w:r>
        <w:r>
          <w:rPr>
            <w:noProof/>
            <w:webHidden/>
          </w:rPr>
          <w:instrText xml:space="preserve"> PAGEREF _Toc237650655 \h </w:instrText>
        </w:r>
        <w:r>
          <w:rPr>
            <w:noProof/>
            <w:webHidden/>
          </w:rPr>
        </w:r>
        <w:r>
          <w:rPr>
            <w:noProof/>
            <w:webHidden/>
          </w:rPr>
          <w:fldChar w:fldCharType="separate"/>
        </w:r>
        <w:r>
          <w:rPr>
            <w:noProof/>
            <w:webHidden/>
          </w:rPr>
          <w:t>76</w:t>
        </w:r>
        <w:r>
          <w:rPr>
            <w:noProof/>
            <w:webHidden/>
          </w:rPr>
          <w:fldChar w:fldCharType="end"/>
        </w:r>
      </w:hyperlink>
    </w:p>
    <w:p w14:paraId="0AF03DC5" w14:textId="28341AA8" w:rsidR="00DC7476" w:rsidRDefault="00DC7476">
      <w:pPr>
        <w:pStyle w:val="TOC2"/>
        <w:rPr>
          <w:rFonts w:asciiTheme="minorHAnsi" w:hAnsiTheme="minorHAnsi"/>
          <w:noProof/>
          <w:color w:val="auto"/>
          <w:sz w:val="24"/>
        </w:rPr>
      </w:pPr>
      <w:hyperlink w:anchor="_Toc237650656" w:history="1">
        <w:r w:rsidRPr="00E734D9">
          <w:rPr>
            <w:rStyle w:val="Hyperlink"/>
            <w:rFonts w:cs="Calibri Light"/>
            <w:noProof/>
          </w:rPr>
          <w:t>E.2 The Gating Table</w:t>
        </w:r>
        <w:r>
          <w:rPr>
            <w:noProof/>
            <w:webHidden/>
          </w:rPr>
          <w:tab/>
        </w:r>
        <w:r>
          <w:rPr>
            <w:noProof/>
            <w:webHidden/>
          </w:rPr>
          <w:fldChar w:fldCharType="begin"/>
        </w:r>
        <w:r>
          <w:rPr>
            <w:noProof/>
            <w:webHidden/>
          </w:rPr>
          <w:instrText xml:space="preserve"> PAGEREF _Toc237650656 \h </w:instrText>
        </w:r>
        <w:r>
          <w:rPr>
            <w:noProof/>
            <w:webHidden/>
          </w:rPr>
        </w:r>
        <w:r>
          <w:rPr>
            <w:noProof/>
            <w:webHidden/>
          </w:rPr>
          <w:fldChar w:fldCharType="separate"/>
        </w:r>
        <w:r>
          <w:rPr>
            <w:noProof/>
            <w:webHidden/>
          </w:rPr>
          <w:t>77</w:t>
        </w:r>
        <w:r>
          <w:rPr>
            <w:noProof/>
            <w:webHidden/>
          </w:rPr>
          <w:fldChar w:fldCharType="end"/>
        </w:r>
      </w:hyperlink>
    </w:p>
    <w:p w14:paraId="3D7E7872" w14:textId="07621E33" w:rsidR="00DC7476" w:rsidRDefault="00DC7476">
      <w:pPr>
        <w:pStyle w:val="TOC2"/>
        <w:rPr>
          <w:rFonts w:asciiTheme="minorHAnsi" w:hAnsiTheme="minorHAnsi"/>
          <w:noProof/>
          <w:color w:val="auto"/>
          <w:sz w:val="24"/>
        </w:rPr>
      </w:pPr>
      <w:hyperlink w:anchor="_Toc237650657" w:history="1">
        <w:r w:rsidRPr="00E734D9">
          <w:rPr>
            <w:rStyle w:val="Hyperlink"/>
            <w:rFonts w:cs="Calibri Light"/>
            <w:noProof/>
          </w:rPr>
          <w:t>E.3 The Event Script (Synchronized Indivisible Hour)</w:t>
        </w:r>
        <w:r>
          <w:rPr>
            <w:noProof/>
            <w:webHidden/>
          </w:rPr>
          <w:tab/>
        </w:r>
        <w:r>
          <w:rPr>
            <w:noProof/>
            <w:webHidden/>
          </w:rPr>
          <w:fldChar w:fldCharType="begin"/>
        </w:r>
        <w:r>
          <w:rPr>
            <w:noProof/>
            <w:webHidden/>
          </w:rPr>
          <w:instrText xml:space="preserve"> PAGEREF _Toc237650657 \h </w:instrText>
        </w:r>
        <w:r>
          <w:rPr>
            <w:noProof/>
            <w:webHidden/>
          </w:rPr>
        </w:r>
        <w:r>
          <w:rPr>
            <w:noProof/>
            <w:webHidden/>
          </w:rPr>
          <w:fldChar w:fldCharType="separate"/>
        </w:r>
        <w:r>
          <w:rPr>
            <w:noProof/>
            <w:webHidden/>
          </w:rPr>
          <w:t>78</w:t>
        </w:r>
        <w:r>
          <w:rPr>
            <w:noProof/>
            <w:webHidden/>
          </w:rPr>
          <w:fldChar w:fldCharType="end"/>
        </w:r>
      </w:hyperlink>
    </w:p>
    <w:p w14:paraId="37DF8B00" w14:textId="17681EBE" w:rsidR="00DC7476" w:rsidRDefault="00DC7476">
      <w:pPr>
        <w:pStyle w:val="TOC2"/>
        <w:rPr>
          <w:rFonts w:asciiTheme="minorHAnsi" w:hAnsiTheme="minorHAnsi"/>
          <w:noProof/>
          <w:color w:val="auto"/>
          <w:sz w:val="24"/>
        </w:rPr>
      </w:pPr>
      <w:hyperlink w:anchor="_Toc237650658" w:history="1">
        <w:r w:rsidRPr="00E734D9">
          <w:rPr>
            <w:rStyle w:val="Hyperlink"/>
            <w:rFonts w:cs="Calibri Light"/>
            <w:noProof/>
          </w:rPr>
          <w:t>E.4 The Consequence Schedule</w:t>
        </w:r>
        <w:r>
          <w:rPr>
            <w:noProof/>
            <w:webHidden/>
          </w:rPr>
          <w:tab/>
        </w:r>
        <w:r>
          <w:rPr>
            <w:noProof/>
            <w:webHidden/>
          </w:rPr>
          <w:fldChar w:fldCharType="begin"/>
        </w:r>
        <w:r>
          <w:rPr>
            <w:noProof/>
            <w:webHidden/>
          </w:rPr>
          <w:instrText xml:space="preserve"> PAGEREF _Toc237650658 \h </w:instrText>
        </w:r>
        <w:r>
          <w:rPr>
            <w:noProof/>
            <w:webHidden/>
          </w:rPr>
        </w:r>
        <w:r>
          <w:rPr>
            <w:noProof/>
            <w:webHidden/>
          </w:rPr>
          <w:fldChar w:fldCharType="separate"/>
        </w:r>
        <w:r>
          <w:rPr>
            <w:noProof/>
            <w:webHidden/>
          </w:rPr>
          <w:t>79</w:t>
        </w:r>
        <w:r>
          <w:rPr>
            <w:noProof/>
            <w:webHidden/>
          </w:rPr>
          <w:fldChar w:fldCharType="end"/>
        </w:r>
      </w:hyperlink>
    </w:p>
    <w:p w14:paraId="15E453D2" w14:textId="36770AB1" w:rsidR="00DC7476" w:rsidRDefault="00DC7476">
      <w:pPr>
        <w:pStyle w:val="TOC2"/>
        <w:rPr>
          <w:rFonts w:asciiTheme="minorHAnsi" w:hAnsiTheme="minorHAnsi"/>
          <w:noProof/>
          <w:color w:val="auto"/>
          <w:sz w:val="24"/>
        </w:rPr>
      </w:pPr>
      <w:hyperlink w:anchor="_Toc237650659" w:history="1">
        <w:r w:rsidRPr="00E734D9">
          <w:rPr>
            <w:rStyle w:val="Hyperlink"/>
            <w:rFonts w:cs="Calibri Light"/>
            <w:noProof/>
          </w:rPr>
          <w:t>E.5 Stability Audit Thresholds</w:t>
        </w:r>
        <w:r>
          <w:rPr>
            <w:noProof/>
            <w:webHidden/>
          </w:rPr>
          <w:tab/>
        </w:r>
        <w:r>
          <w:rPr>
            <w:noProof/>
            <w:webHidden/>
          </w:rPr>
          <w:fldChar w:fldCharType="begin"/>
        </w:r>
        <w:r>
          <w:rPr>
            <w:noProof/>
            <w:webHidden/>
          </w:rPr>
          <w:instrText xml:space="preserve"> PAGEREF _Toc237650659 \h </w:instrText>
        </w:r>
        <w:r>
          <w:rPr>
            <w:noProof/>
            <w:webHidden/>
          </w:rPr>
        </w:r>
        <w:r>
          <w:rPr>
            <w:noProof/>
            <w:webHidden/>
          </w:rPr>
          <w:fldChar w:fldCharType="separate"/>
        </w:r>
        <w:r>
          <w:rPr>
            <w:noProof/>
            <w:webHidden/>
          </w:rPr>
          <w:t>80</w:t>
        </w:r>
        <w:r>
          <w:rPr>
            <w:noProof/>
            <w:webHidden/>
          </w:rPr>
          <w:fldChar w:fldCharType="end"/>
        </w:r>
      </w:hyperlink>
    </w:p>
    <w:p w14:paraId="73706A70" w14:textId="69205749" w:rsidR="00DC7476" w:rsidRDefault="00DC7476">
      <w:pPr>
        <w:pStyle w:val="TOC1"/>
        <w:rPr>
          <w:rFonts w:asciiTheme="minorHAnsi" w:hAnsiTheme="minorHAnsi"/>
          <w:noProof/>
          <w:color w:val="auto"/>
          <w:sz w:val="24"/>
        </w:rPr>
      </w:pPr>
      <w:hyperlink w:anchor="_Toc237650660" w:history="1">
        <w:r w:rsidRPr="00E734D9">
          <w:rPr>
            <w:rStyle w:val="Hyperlink"/>
            <w:rFonts w:cs="Calibri"/>
            <w:noProof/>
          </w:rPr>
          <w:t>Annex F: The Red Lines Register</w:t>
        </w:r>
        <w:r>
          <w:rPr>
            <w:noProof/>
            <w:webHidden/>
          </w:rPr>
          <w:tab/>
        </w:r>
        <w:r>
          <w:rPr>
            <w:noProof/>
            <w:webHidden/>
          </w:rPr>
          <w:fldChar w:fldCharType="begin"/>
        </w:r>
        <w:r>
          <w:rPr>
            <w:noProof/>
            <w:webHidden/>
          </w:rPr>
          <w:instrText xml:space="preserve"> PAGEREF _Toc237650660 \h </w:instrText>
        </w:r>
        <w:r>
          <w:rPr>
            <w:noProof/>
            <w:webHidden/>
          </w:rPr>
        </w:r>
        <w:r>
          <w:rPr>
            <w:noProof/>
            <w:webHidden/>
          </w:rPr>
          <w:fldChar w:fldCharType="separate"/>
        </w:r>
        <w:r>
          <w:rPr>
            <w:noProof/>
            <w:webHidden/>
          </w:rPr>
          <w:t>82</w:t>
        </w:r>
        <w:r>
          <w:rPr>
            <w:noProof/>
            <w:webHidden/>
          </w:rPr>
          <w:fldChar w:fldCharType="end"/>
        </w:r>
      </w:hyperlink>
    </w:p>
    <w:p w14:paraId="3AB05202" w14:textId="541A09E1" w:rsidR="00DC7476" w:rsidRDefault="00DC7476">
      <w:pPr>
        <w:pStyle w:val="TOC1"/>
        <w:rPr>
          <w:rFonts w:asciiTheme="minorHAnsi" w:hAnsiTheme="minorHAnsi"/>
          <w:noProof/>
          <w:color w:val="auto"/>
          <w:sz w:val="24"/>
        </w:rPr>
      </w:pPr>
      <w:hyperlink w:anchor="_Toc237650661" w:history="1">
        <w:r w:rsidRPr="00E734D9">
          <w:rPr>
            <w:rStyle w:val="Hyperlink"/>
            <w:rFonts w:cs="Calibri"/>
            <w:noProof/>
          </w:rPr>
          <w:t>Annex G: The Demand Reconciliation Register</w:t>
        </w:r>
        <w:r>
          <w:rPr>
            <w:noProof/>
            <w:webHidden/>
          </w:rPr>
          <w:tab/>
        </w:r>
        <w:r>
          <w:rPr>
            <w:noProof/>
            <w:webHidden/>
          </w:rPr>
          <w:fldChar w:fldCharType="begin"/>
        </w:r>
        <w:r>
          <w:rPr>
            <w:noProof/>
            <w:webHidden/>
          </w:rPr>
          <w:instrText xml:space="preserve"> PAGEREF _Toc237650661 \h </w:instrText>
        </w:r>
        <w:r>
          <w:rPr>
            <w:noProof/>
            <w:webHidden/>
          </w:rPr>
        </w:r>
        <w:r>
          <w:rPr>
            <w:noProof/>
            <w:webHidden/>
          </w:rPr>
          <w:fldChar w:fldCharType="separate"/>
        </w:r>
        <w:r>
          <w:rPr>
            <w:noProof/>
            <w:webHidden/>
          </w:rPr>
          <w:t>84</w:t>
        </w:r>
        <w:r>
          <w:rPr>
            <w:noProof/>
            <w:webHidden/>
          </w:rPr>
          <w:fldChar w:fldCharType="end"/>
        </w:r>
      </w:hyperlink>
    </w:p>
    <w:p w14:paraId="1946F25E" w14:textId="5C987E36" w:rsidR="00DC7476" w:rsidRDefault="00DC7476">
      <w:pPr>
        <w:pStyle w:val="TOC2"/>
        <w:rPr>
          <w:rFonts w:asciiTheme="minorHAnsi" w:hAnsiTheme="minorHAnsi"/>
          <w:noProof/>
          <w:color w:val="auto"/>
          <w:sz w:val="24"/>
        </w:rPr>
      </w:pPr>
      <w:hyperlink w:anchor="_Toc237650662" w:history="1">
        <w:r w:rsidRPr="00E734D9">
          <w:rPr>
            <w:rStyle w:val="Hyperlink"/>
            <w:rFonts w:cs="Calibri Light"/>
            <w:noProof/>
          </w:rPr>
          <w:t>G.1 The United States</w:t>
        </w:r>
        <w:r>
          <w:rPr>
            <w:noProof/>
            <w:webHidden/>
          </w:rPr>
          <w:tab/>
        </w:r>
        <w:r>
          <w:rPr>
            <w:noProof/>
            <w:webHidden/>
          </w:rPr>
          <w:fldChar w:fldCharType="begin"/>
        </w:r>
        <w:r>
          <w:rPr>
            <w:noProof/>
            <w:webHidden/>
          </w:rPr>
          <w:instrText xml:space="preserve"> PAGEREF _Toc237650662 \h </w:instrText>
        </w:r>
        <w:r>
          <w:rPr>
            <w:noProof/>
            <w:webHidden/>
          </w:rPr>
        </w:r>
        <w:r>
          <w:rPr>
            <w:noProof/>
            <w:webHidden/>
          </w:rPr>
          <w:fldChar w:fldCharType="separate"/>
        </w:r>
        <w:r>
          <w:rPr>
            <w:noProof/>
            <w:webHidden/>
          </w:rPr>
          <w:t>84</w:t>
        </w:r>
        <w:r>
          <w:rPr>
            <w:noProof/>
            <w:webHidden/>
          </w:rPr>
          <w:fldChar w:fldCharType="end"/>
        </w:r>
      </w:hyperlink>
    </w:p>
    <w:p w14:paraId="51CCB93E" w14:textId="5BE42B46" w:rsidR="00DC7476" w:rsidRDefault="00DC7476">
      <w:pPr>
        <w:pStyle w:val="TOC2"/>
        <w:rPr>
          <w:rFonts w:asciiTheme="minorHAnsi" w:hAnsiTheme="minorHAnsi"/>
          <w:noProof/>
          <w:color w:val="auto"/>
          <w:sz w:val="24"/>
        </w:rPr>
      </w:pPr>
      <w:hyperlink w:anchor="_Toc237650663" w:history="1">
        <w:r w:rsidRPr="00E734D9">
          <w:rPr>
            <w:rStyle w:val="Hyperlink"/>
            <w:rFonts w:cs="Calibri Light"/>
            <w:noProof/>
          </w:rPr>
          <w:t>G.2 The Islamic Republic of Iran</w:t>
        </w:r>
        <w:r>
          <w:rPr>
            <w:noProof/>
            <w:webHidden/>
          </w:rPr>
          <w:tab/>
        </w:r>
        <w:r>
          <w:rPr>
            <w:noProof/>
            <w:webHidden/>
          </w:rPr>
          <w:fldChar w:fldCharType="begin"/>
        </w:r>
        <w:r>
          <w:rPr>
            <w:noProof/>
            <w:webHidden/>
          </w:rPr>
          <w:instrText xml:space="preserve"> PAGEREF _Toc237650663 \h </w:instrText>
        </w:r>
        <w:r>
          <w:rPr>
            <w:noProof/>
            <w:webHidden/>
          </w:rPr>
        </w:r>
        <w:r>
          <w:rPr>
            <w:noProof/>
            <w:webHidden/>
          </w:rPr>
          <w:fldChar w:fldCharType="separate"/>
        </w:r>
        <w:r>
          <w:rPr>
            <w:noProof/>
            <w:webHidden/>
          </w:rPr>
          <w:t>85</w:t>
        </w:r>
        <w:r>
          <w:rPr>
            <w:noProof/>
            <w:webHidden/>
          </w:rPr>
          <w:fldChar w:fldCharType="end"/>
        </w:r>
      </w:hyperlink>
    </w:p>
    <w:p w14:paraId="35EB6919" w14:textId="196EBA96" w:rsidR="00DC7476" w:rsidRDefault="00DC7476">
      <w:pPr>
        <w:pStyle w:val="TOC2"/>
        <w:rPr>
          <w:rFonts w:asciiTheme="minorHAnsi" w:hAnsiTheme="minorHAnsi"/>
          <w:noProof/>
          <w:color w:val="auto"/>
          <w:sz w:val="24"/>
        </w:rPr>
      </w:pPr>
      <w:hyperlink w:anchor="_Toc237650664" w:history="1">
        <w:r w:rsidRPr="00E734D9">
          <w:rPr>
            <w:rStyle w:val="Hyperlink"/>
            <w:rFonts w:cs="Calibri Light"/>
            <w:noProof/>
          </w:rPr>
          <w:t>G.3 The Sultanate of Oman</w:t>
        </w:r>
        <w:r>
          <w:rPr>
            <w:noProof/>
            <w:webHidden/>
          </w:rPr>
          <w:tab/>
        </w:r>
        <w:r>
          <w:rPr>
            <w:noProof/>
            <w:webHidden/>
          </w:rPr>
          <w:fldChar w:fldCharType="begin"/>
        </w:r>
        <w:r>
          <w:rPr>
            <w:noProof/>
            <w:webHidden/>
          </w:rPr>
          <w:instrText xml:space="preserve"> PAGEREF _Toc237650664 \h </w:instrText>
        </w:r>
        <w:r>
          <w:rPr>
            <w:noProof/>
            <w:webHidden/>
          </w:rPr>
        </w:r>
        <w:r>
          <w:rPr>
            <w:noProof/>
            <w:webHidden/>
          </w:rPr>
          <w:fldChar w:fldCharType="separate"/>
        </w:r>
        <w:r>
          <w:rPr>
            <w:noProof/>
            <w:webHidden/>
          </w:rPr>
          <w:t>86</w:t>
        </w:r>
        <w:r>
          <w:rPr>
            <w:noProof/>
            <w:webHidden/>
          </w:rPr>
          <w:fldChar w:fldCharType="end"/>
        </w:r>
      </w:hyperlink>
    </w:p>
    <w:p w14:paraId="232BBB4D" w14:textId="2C486602" w:rsidR="00DC7476" w:rsidRDefault="00DC7476">
      <w:pPr>
        <w:pStyle w:val="TOC2"/>
        <w:rPr>
          <w:rFonts w:asciiTheme="minorHAnsi" w:hAnsiTheme="minorHAnsi"/>
          <w:noProof/>
          <w:color w:val="auto"/>
          <w:sz w:val="24"/>
        </w:rPr>
      </w:pPr>
      <w:hyperlink w:anchor="_Toc237650665" w:history="1">
        <w:r w:rsidRPr="00E734D9">
          <w:rPr>
            <w:rStyle w:val="Hyperlink"/>
            <w:rFonts w:cs="Calibri Light"/>
            <w:noProof/>
          </w:rPr>
          <w:t>G.4 The Gulf Cooperation Council States and Iraq</w:t>
        </w:r>
        <w:r>
          <w:rPr>
            <w:noProof/>
            <w:webHidden/>
          </w:rPr>
          <w:tab/>
        </w:r>
        <w:r>
          <w:rPr>
            <w:noProof/>
            <w:webHidden/>
          </w:rPr>
          <w:fldChar w:fldCharType="begin"/>
        </w:r>
        <w:r>
          <w:rPr>
            <w:noProof/>
            <w:webHidden/>
          </w:rPr>
          <w:instrText xml:space="preserve"> PAGEREF _Toc237650665 \h </w:instrText>
        </w:r>
        <w:r>
          <w:rPr>
            <w:noProof/>
            <w:webHidden/>
          </w:rPr>
        </w:r>
        <w:r>
          <w:rPr>
            <w:noProof/>
            <w:webHidden/>
          </w:rPr>
          <w:fldChar w:fldCharType="separate"/>
        </w:r>
        <w:r>
          <w:rPr>
            <w:noProof/>
            <w:webHidden/>
          </w:rPr>
          <w:t>87</w:t>
        </w:r>
        <w:r>
          <w:rPr>
            <w:noProof/>
            <w:webHidden/>
          </w:rPr>
          <w:fldChar w:fldCharType="end"/>
        </w:r>
      </w:hyperlink>
    </w:p>
    <w:p w14:paraId="5FBD3CEE" w14:textId="34B93017" w:rsidR="00DC7476" w:rsidRDefault="00DC7476">
      <w:pPr>
        <w:pStyle w:val="TOC2"/>
        <w:rPr>
          <w:rFonts w:asciiTheme="minorHAnsi" w:hAnsiTheme="minorHAnsi"/>
          <w:noProof/>
          <w:color w:val="auto"/>
          <w:sz w:val="24"/>
        </w:rPr>
      </w:pPr>
      <w:hyperlink w:anchor="_Toc237650666" w:history="1">
        <w:r w:rsidRPr="00E734D9">
          <w:rPr>
            <w:rStyle w:val="Hyperlink"/>
            <w:rFonts w:cs="Calibri Light"/>
            <w:noProof/>
          </w:rPr>
          <w:t>G.5 The European States and Maritime Bodies</w:t>
        </w:r>
        <w:r>
          <w:rPr>
            <w:noProof/>
            <w:webHidden/>
          </w:rPr>
          <w:tab/>
        </w:r>
        <w:r>
          <w:rPr>
            <w:noProof/>
            <w:webHidden/>
          </w:rPr>
          <w:fldChar w:fldCharType="begin"/>
        </w:r>
        <w:r>
          <w:rPr>
            <w:noProof/>
            <w:webHidden/>
          </w:rPr>
          <w:instrText xml:space="preserve"> PAGEREF _Toc237650666 \h </w:instrText>
        </w:r>
        <w:r>
          <w:rPr>
            <w:noProof/>
            <w:webHidden/>
          </w:rPr>
        </w:r>
        <w:r>
          <w:rPr>
            <w:noProof/>
            <w:webHidden/>
          </w:rPr>
          <w:fldChar w:fldCharType="separate"/>
        </w:r>
        <w:r>
          <w:rPr>
            <w:noProof/>
            <w:webHidden/>
          </w:rPr>
          <w:t>87</w:t>
        </w:r>
        <w:r>
          <w:rPr>
            <w:noProof/>
            <w:webHidden/>
          </w:rPr>
          <w:fldChar w:fldCharType="end"/>
        </w:r>
      </w:hyperlink>
    </w:p>
    <w:p w14:paraId="79D76CFF" w14:textId="47D12AD6" w:rsidR="00DC7476" w:rsidRDefault="00DC7476">
      <w:pPr>
        <w:pStyle w:val="TOC2"/>
        <w:rPr>
          <w:rFonts w:asciiTheme="minorHAnsi" w:hAnsiTheme="minorHAnsi"/>
          <w:noProof/>
          <w:color w:val="auto"/>
          <w:sz w:val="24"/>
        </w:rPr>
      </w:pPr>
      <w:hyperlink w:anchor="_Toc237650667" w:history="1">
        <w:r w:rsidRPr="00E734D9">
          <w:rPr>
            <w:rStyle w:val="Hyperlink"/>
            <w:rFonts w:cs="Calibri Light"/>
            <w:noProof/>
          </w:rPr>
          <w:t>G.6 The Shipping and Insurance Industries</w:t>
        </w:r>
        <w:r>
          <w:rPr>
            <w:noProof/>
            <w:webHidden/>
          </w:rPr>
          <w:tab/>
        </w:r>
        <w:r>
          <w:rPr>
            <w:noProof/>
            <w:webHidden/>
          </w:rPr>
          <w:fldChar w:fldCharType="begin"/>
        </w:r>
        <w:r>
          <w:rPr>
            <w:noProof/>
            <w:webHidden/>
          </w:rPr>
          <w:instrText xml:space="preserve"> PAGEREF _Toc237650667 \h </w:instrText>
        </w:r>
        <w:r>
          <w:rPr>
            <w:noProof/>
            <w:webHidden/>
          </w:rPr>
        </w:r>
        <w:r>
          <w:rPr>
            <w:noProof/>
            <w:webHidden/>
          </w:rPr>
          <w:fldChar w:fldCharType="separate"/>
        </w:r>
        <w:r>
          <w:rPr>
            <w:noProof/>
            <w:webHidden/>
          </w:rPr>
          <w:t>87</w:t>
        </w:r>
        <w:r>
          <w:rPr>
            <w:noProof/>
            <w:webHidden/>
          </w:rPr>
          <w:fldChar w:fldCharType="end"/>
        </w:r>
      </w:hyperlink>
    </w:p>
    <w:p w14:paraId="587D5A1D" w14:textId="4D27A10E" w:rsidR="00DC7476" w:rsidRDefault="00DC7476">
      <w:pPr>
        <w:pStyle w:val="TOC2"/>
        <w:rPr>
          <w:rFonts w:asciiTheme="minorHAnsi" w:hAnsiTheme="minorHAnsi"/>
          <w:noProof/>
          <w:color w:val="auto"/>
          <w:sz w:val="24"/>
        </w:rPr>
      </w:pPr>
      <w:hyperlink w:anchor="_Toc237650668" w:history="1">
        <w:r w:rsidRPr="00E734D9">
          <w:rPr>
            <w:rStyle w:val="Hyperlink"/>
            <w:rFonts w:cs="Calibri Light"/>
            <w:noProof/>
          </w:rPr>
          <w:t>G.7 Demands Outside This Covenant</w:t>
        </w:r>
        <w:r>
          <w:rPr>
            <w:noProof/>
            <w:webHidden/>
          </w:rPr>
          <w:tab/>
        </w:r>
        <w:r>
          <w:rPr>
            <w:noProof/>
            <w:webHidden/>
          </w:rPr>
          <w:fldChar w:fldCharType="begin"/>
        </w:r>
        <w:r>
          <w:rPr>
            <w:noProof/>
            <w:webHidden/>
          </w:rPr>
          <w:instrText xml:space="preserve"> PAGEREF _Toc237650668 \h </w:instrText>
        </w:r>
        <w:r>
          <w:rPr>
            <w:noProof/>
            <w:webHidden/>
          </w:rPr>
        </w:r>
        <w:r>
          <w:rPr>
            <w:noProof/>
            <w:webHidden/>
          </w:rPr>
          <w:fldChar w:fldCharType="separate"/>
        </w:r>
        <w:r>
          <w:rPr>
            <w:noProof/>
            <w:webHidden/>
          </w:rPr>
          <w:t>87</w:t>
        </w:r>
        <w:r>
          <w:rPr>
            <w:noProof/>
            <w:webHidden/>
          </w:rPr>
          <w:fldChar w:fldCharType="end"/>
        </w:r>
      </w:hyperlink>
    </w:p>
    <w:p w14:paraId="5BF6DE87" w14:textId="1E229626" w:rsidR="00DC7476" w:rsidRDefault="00DC7476">
      <w:pPr>
        <w:pStyle w:val="TOC1"/>
        <w:rPr>
          <w:rFonts w:asciiTheme="minorHAnsi" w:hAnsiTheme="minorHAnsi"/>
          <w:noProof/>
          <w:color w:val="auto"/>
          <w:sz w:val="24"/>
        </w:rPr>
      </w:pPr>
      <w:hyperlink w:anchor="_Toc237650669" w:history="1">
        <w:r w:rsidRPr="00E734D9">
          <w:rPr>
            <w:rStyle w:val="Hyperlink"/>
            <w:rFonts w:cs="Calibri"/>
            <w:noProof/>
          </w:rPr>
          <w:t>Annex H: Model Public Statements and Holding Statements</w:t>
        </w:r>
        <w:r>
          <w:rPr>
            <w:noProof/>
            <w:webHidden/>
          </w:rPr>
          <w:tab/>
        </w:r>
        <w:r>
          <w:rPr>
            <w:noProof/>
            <w:webHidden/>
          </w:rPr>
          <w:fldChar w:fldCharType="begin"/>
        </w:r>
        <w:r>
          <w:rPr>
            <w:noProof/>
            <w:webHidden/>
          </w:rPr>
          <w:instrText xml:space="preserve"> PAGEREF _Toc237650669 \h </w:instrText>
        </w:r>
        <w:r>
          <w:rPr>
            <w:noProof/>
            <w:webHidden/>
          </w:rPr>
        </w:r>
        <w:r>
          <w:rPr>
            <w:noProof/>
            <w:webHidden/>
          </w:rPr>
          <w:fldChar w:fldCharType="separate"/>
        </w:r>
        <w:r>
          <w:rPr>
            <w:noProof/>
            <w:webHidden/>
          </w:rPr>
          <w:t>88</w:t>
        </w:r>
        <w:r>
          <w:rPr>
            <w:noProof/>
            <w:webHidden/>
          </w:rPr>
          <w:fldChar w:fldCharType="end"/>
        </w:r>
      </w:hyperlink>
    </w:p>
    <w:p w14:paraId="28C3D2A3" w14:textId="4AA6B06D" w:rsidR="00DC7476" w:rsidRDefault="00DC7476">
      <w:pPr>
        <w:pStyle w:val="TOC2"/>
        <w:rPr>
          <w:rFonts w:asciiTheme="minorHAnsi" w:hAnsiTheme="minorHAnsi"/>
          <w:noProof/>
          <w:color w:val="auto"/>
          <w:sz w:val="24"/>
        </w:rPr>
      </w:pPr>
      <w:hyperlink w:anchor="_Toc237650670" w:history="1">
        <w:r w:rsidRPr="00E734D9">
          <w:rPr>
            <w:rStyle w:val="Hyperlink"/>
            <w:rFonts w:cs="Calibri Light"/>
            <w:noProof/>
          </w:rPr>
          <w:t>H.1 The Synchronized Indivisible Event</w:t>
        </w:r>
        <w:r>
          <w:rPr>
            <w:noProof/>
            <w:webHidden/>
          </w:rPr>
          <w:tab/>
        </w:r>
        <w:r>
          <w:rPr>
            <w:noProof/>
            <w:webHidden/>
          </w:rPr>
          <w:fldChar w:fldCharType="begin"/>
        </w:r>
        <w:r>
          <w:rPr>
            <w:noProof/>
            <w:webHidden/>
          </w:rPr>
          <w:instrText xml:space="preserve"> PAGEREF _Toc237650670 \h </w:instrText>
        </w:r>
        <w:r>
          <w:rPr>
            <w:noProof/>
            <w:webHidden/>
          </w:rPr>
        </w:r>
        <w:r>
          <w:rPr>
            <w:noProof/>
            <w:webHidden/>
          </w:rPr>
          <w:fldChar w:fldCharType="separate"/>
        </w:r>
        <w:r>
          <w:rPr>
            <w:noProof/>
            <w:webHidden/>
          </w:rPr>
          <w:t>88</w:t>
        </w:r>
        <w:r>
          <w:rPr>
            <w:noProof/>
            <w:webHidden/>
          </w:rPr>
          <w:fldChar w:fldCharType="end"/>
        </w:r>
      </w:hyperlink>
    </w:p>
    <w:p w14:paraId="7B7478C6" w14:textId="48E341F1" w:rsidR="00DC7476" w:rsidRDefault="00DC7476">
      <w:pPr>
        <w:pStyle w:val="TOC2"/>
        <w:rPr>
          <w:rFonts w:asciiTheme="minorHAnsi" w:hAnsiTheme="minorHAnsi"/>
          <w:noProof/>
          <w:color w:val="auto"/>
          <w:sz w:val="24"/>
        </w:rPr>
      </w:pPr>
      <w:hyperlink w:anchor="_Toc237650671" w:history="1">
        <w:r w:rsidRPr="00E734D9">
          <w:rPr>
            <w:rStyle w:val="Hyperlink"/>
            <w:rFonts w:cs="Calibri Light"/>
            <w:noProof/>
          </w:rPr>
          <w:t>H.2 Holding Statements (First Forty-Eight Hours After an Incident)</w:t>
        </w:r>
        <w:r>
          <w:rPr>
            <w:noProof/>
            <w:webHidden/>
          </w:rPr>
          <w:tab/>
        </w:r>
        <w:r>
          <w:rPr>
            <w:noProof/>
            <w:webHidden/>
          </w:rPr>
          <w:fldChar w:fldCharType="begin"/>
        </w:r>
        <w:r>
          <w:rPr>
            <w:noProof/>
            <w:webHidden/>
          </w:rPr>
          <w:instrText xml:space="preserve"> PAGEREF _Toc237650671 \h </w:instrText>
        </w:r>
        <w:r>
          <w:rPr>
            <w:noProof/>
            <w:webHidden/>
          </w:rPr>
        </w:r>
        <w:r>
          <w:rPr>
            <w:noProof/>
            <w:webHidden/>
          </w:rPr>
          <w:fldChar w:fldCharType="separate"/>
        </w:r>
        <w:r>
          <w:rPr>
            <w:noProof/>
            <w:webHidden/>
          </w:rPr>
          <w:t>88</w:t>
        </w:r>
        <w:r>
          <w:rPr>
            <w:noProof/>
            <w:webHidden/>
          </w:rPr>
          <w:fldChar w:fldCharType="end"/>
        </w:r>
      </w:hyperlink>
    </w:p>
    <w:p w14:paraId="3E4A41A9" w14:textId="423C8384" w:rsidR="00DC7476" w:rsidRDefault="00DC7476">
      <w:pPr>
        <w:pStyle w:val="TOC2"/>
        <w:rPr>
          <w:rFonts w:asciiTheme="minorHAnsi" w:hAnsiTheme="minorHAnsi"/>
          <w:noProof/>
          <w:color w:val="auto"/>
          <w:sz w:val="24"/>
        </w:rPr>
      </w:pPr>
      <w:hyperlink w:anchor="_Toc237650672" w:history="1">
        <w:r w:rsidRPr="00E734D9">
          <w:rPr>
            <w:rStyle w:val="Hyperlink"/>
            <w:rFonts w:cs="Calibri Light"/>
            <w:noProof/>
          </w:rPr>
          <w:t>H.3 Gate Certifications</w:t>
        </w:r>
        <w:r>
          <w:rPr>
            <w:noProof/>
            <w:webHidden/>
          </w:rPr>
          <w:tab/>
        </w:r>
        <w:r>
          <w:rPr>
            <w:noProof/>
            <w:webHidden/>
          </w:rPr>
          <w:fldChar w:fldCharType="begin"/>
        </w:r>
        <w:r>
          <w:rPr>
            <w:noProof/>
            <w:webHidden/>
          </w:rPr>
          <w:instrText xml:space="preserve"> PAGEREF _Toc237650672 \h </w:instrText>
        </w:r>
        <w:r>
          <w:rPr>
            <w:noProof/>
            <w:webHidden/>
          </w:rPr>
        </w:r>
        <w:r>
          <w:rPr>
            <w:noProof/>
            <w:webHidden/>
          </w:rPr>
          <w:fldChar w:fldCharType="separate"/>
        </w:r>
        <w:r>
          <w:rPr>
            <w:noProof/>
            <w:webHidden/>
          </w:rPr>
          <w:t>88</w:t>
        </w:r>
        <w:r>
          <w:rPr>
            <w:noProof/>
            <w:webHidden/>
          </w:rPr>
          <w:fldChar w:fldCharType="end"/>
        </w:r>
      </w:hyperlink>
    </w:p>
    <w:p w14:paraId="41C5C271" w14:textId="38E65844" w:rsidR="00DC7476" w:rsidRDefault="00DC7476">
      <w:pPr>
        <w:pStyle w:val="TOC1"/>
        <w:rPr>
          <w:rFonts w:asciiTheme="minorHAnsi" w:hAnsiTheme="minorHAnsi"/>
          <w:noProof/>
          <w:color w:val="auto"/>
          <w:sz w:val="24"/>
        </w:rPr>
      </w:pPr>
      <w:hyperlink w:anchor="_Toc237650673" w:history="1">
        <w:r w:rsidRPr="00E734D9">
          <w:rPr>
            <w:rStyle w:val="Hyperlink"/>
            <w:rFonts w:eastAsia="Calibri" w:cs="Calibri"/>
            <w:noProof/>
          </w:rPr>
          <w:t>Annex I: Glossary and Neutral Terminology</w:t>
        </w:r>
        <w:r>
          <w:rPr>
            <w:noProof/>
            <w:webHidden/>
          </w:rPr>
          <w:tab/>
        </w:r>
        <w:r>
          <w:rPr>
            <w:noProof/>
            <w:webHidden/>
          </w:rPr>
          <w:fldChar w:fldCharType="begin"/>
        </w:r>
        <w:r>
          <w:rPr>
            <w:noProof/>
            <w:webHidden/>
          </w:rPr>
          <w:instrText xml:space="preserve"> PAGEREF _Toc237650673 \h </w:instrText>
        </w:r>
        <w:r>
          <w:rPr>
            <w:noProof/>
            <w:webHidden/>
          </w:rPr>
        </w:r>
        <w:r>
          <w:rPr>
            <w:noProof/>
            <w:webHidden/>
          </w:rPr>
          <w:fldChar w:fldCharType="separate"/>
        </w:r>
        <w:r>
          <w:rPr>
            <w:noProof/>
            <w:webHidden/>
          </w:rPr>
          <w:t>88</w:t>
        </w:r>
        <w:r>
          <w:rPr>
            <w:noProof/>
            <w:webHidden/>
          </w:rPr>
          <w:fldChar w:fldCharType="end"/>
        </w:r>
      </w:hyperlink>
    </w:p>
    <w:p w14:paraId="5AC13EEB" w14:textId="3E150B1B" w:rsidR="00DC7476" w:rsidRDefault="00DC7476">
      <w:pPr>
        <w:pStyle w:val="TOC1"/>
        <w:rPr>
          <w:rFonts w:asciiTheme="minorHAnsi" w:hAnsiTheme="minorHAnsi"/>
          <w:noProof/>
          <w:color w:val="auto"/>
          <w:sz w:val="24"/>
        </w:rPr>
      </w:pPr>
      <w:hyperlink w:anchor="_Toc237650674" w:history="1">
        <w:r w:rsidRPr="00E734D9">
          <w:rPr>
            <w:rStyle w:val="Hyperlink"/>
            <w:rFonts w:eastAsia="Calibri" w:cs="Calibri"/>
            <w:noProof/>
          </w:rPr>
          <w:t>Annex J: Source Frameworks and Method Note</w:t>
        </w:r>
        <w:r>
          <w:rPr>
            <w:noProof/>
            <w:webHidden/>
          </w:rPr>
          <w:tab/>
        </w:r>
        <w:r>
          <w:rPr>
            <w:noProof/>
            <w:webHidden/>
          </w:rPr>
          <w:fldChar w:fldCharType="begin"/>
        </w:r>
        <w:r>
          <w:rPr>
            <w:noProof/>
            <w:webHidden/>
          </w:rPr>
          <w:instrText xml:space="preserve"> PAGEREF _Toc237650674 \h </w:instrText>
        </w:r>
        <w:r>
          <w:rPr>
            <w:noProof/>
            <w:webHidden/>
          </w:rPr>
        </w:r>
        <w:r>
          <w:rPr>
            <w:noProof/>
            <w:webHidden/>
          </w:rPr>
          <w:fldChar w:fldCharType="separate"/>
        </w:r>
        <w:r>
          <w:rPr>
            <w:noProof/>
            <w:webHidden/>
          </w:rPr>
          <w:t>90</w:t>
        </w:r>
        <w:r>
          <w:rPr>
            <w:noProof/>
            <w:webHidden/>
          </w:rPr>
          <w:fldChar w:fldCharType="end"/>
        </w:r>
      </w:hyperlink>
    </w:p>
    <w:p w14:paraId="42979D5B" w14:textId="6CF19CBC" w:rsidR="00DC7476" w:rsidRDefault="00DC7476">
      <w:pPr>
        <w:pStyle w:val="TOC1"/>
        <w:rPr>
          <w:rFonts w:asciiTheme="minorHAnsi" w:hAnsiTheme="minorHAnsi"/>
          <w:noProof/>
          <w:color w:val="auto"/>
          <w:sz w:val="24"/>
        </w:rPr>
      </w:pPr>
      <w:hyperlink w:anchor="_Toc237650675" w:history="1">
        <w:r w:rsidRPr="00E734D9">
          <w:rPr>
            <w:rStyle w:val="Hyperlink"/>
            <w:rFonts w:eastAsia="Calibri" w:cs="Calibri"/>
            <w:noProof/>
          </w:rPr>
          <w:t>Annex K: The Signature and Commitment Roadmap</w:t>
        </w:r>
        <w:r>
          <w:rPr>
            <w:noProof/>
            <w:webHidden/>
          </w:rPr>
          <w:tab/>
        </w:r>
        <w:r>
          <w:rPr>
            <w:noProof/>
            <w:webHidden/>
          </w:rPr>
          <w:fldChar w:fldCharType="begin"/>
        </w:r>
        <w:r>
          <w:rPr>
            <w:noProof/>
            <w:webHidden/>
          </w:rPr>
          <w:instrText xml:space="preserve"> PAGEREF _Toc237650675 \h </w:instrText>
        </w:r>
        <w:r>
          <w:rPr>
            <w:noProof/>
            <w:webHidden/>
          </w:rPr>
        </w:r>
        <w:r>
          <w:rPr>
            <w:noProof/>
            <w:webHidden/>
          </w:rPr>
          <w:fldChar w:fldCharType="separate"/>
        </w:r>
        <w:r>
          <w:rPr>
            <w:noProof/>
            <w:webHidden/>
          </w:rPr>
          <w:t>91</w:t>
        </w:r>
        <w:r>
          <w:rPr>
            <w:noProof/>
            <w:webHidden/>
          </w:rPr>
          <w:fldChar w:fldCharType="end"/>
        </w:r>
      </w:hyperlink>
    </w:p>
    <w:p w14:paraId="4D7C79AF" w14:textId="62E13F3B" w:rsidR="00DC7476" w:rsidRDefault="00DC7476">
      <w:pPr>
        <w:pStyle w:val="TOC1"/>
        <w:rPr>
          <w:rFonts w:asciiTheme="minorHAnsi" w:hAnsiTheme="minorHAnsi"/>
          <w:noProof/>
          <w:color w:val="auto"/>
          <w:sz w:val="24"/>
        </w:rPr>
      </w:pPr>
      <w:hyperlink w:anchor="_Toc237650676" w:history="1">
        <w:r w:rsidRPr="00E734D9">
          <w:rPr>
            <w:rStyle w:val="Hyperlink"/>
            <w:rFonts w:eastAsia="Calibri" w:cs="Calibri"/>
            <w:noProof/>
          </w:rPr>
          <w:t>Annex L: The Acceleration Concordance</w:t>
        </w:r>
        <w:r>
          <w:rPr>
            <w:noProof/>
            <w:webHidden/>
          </w:rPr>
          <w:tab/>
        </w:r>
        <w:r>
          <w:rPr>
            <w:noProof/>
            <w:webHidden/>
          </w:rPr>
          <w:fldChar w:fldCharType="begin"/>
        </w:r>
        <w:r>
          <w:rPr>
            <w:noProof/>
            <w:webHidden/>
          </w:rPr>
          <w:instrText xml:space="preserve"> PAGEREF _Toc237650676 \h </w:instrText>
        </w:r>
        <w:r>
          <w:rPr>
            <w:noProof/>
            <w:webHidden/>
          </w:rPr>
        </w:r>
        <w:r>
          <w:rPr>
            <w:noProof/>
            <w:webHidden/>
          </w:rPr>
          <w:fldChar w:fldCharType="separate"/>
        </w:r>
        <w:r>
          <w:rPr>
            <w:noProof/>
            <w:webHidden/>
          </w:rPr>
          <w:t>92</w:t>
        </w:r>
        <w:r>
          <w:rPr>
            <w:noProof/>
            <w:webHidden/>
          </w:rPr>
          <w:fldChar w:fldCharType="end"/>
        </w:r>
      </w:hyperlink>
    </w:p>
    <w:p w14:paraId="12073DC7" w14:textId="3B550F4F" w:rsidR="008C4E6E" w:rsidRDefault="00000000">
      <w:r>
        <w:fldChar w:fldCharType="end"/>
      </w:r>
    </w:p>
    <w:p w14:paraId="3AD9B045" w14:textId="77777777" w:rsidR="008C4E6E" w:rsidRDefault="00000000">
      <w:pPr>
        <w:spacing w:before="200"/>
      </w:pPr>
      <w:r>
        <w:rPr>
          <w:rFonts w:cs="Calibri"/>
          <w:i/>
          <w:color w:val="6E8A96"/>
          <w:sz w:val="17"/>
          <w:szCs w:val="17"/>
        </w:rPr>
        <w:t>Right-click the table and select Update Field in Microsoft Word to refresh page numbers.</w:t>
      </w:r>
    </w:p>
    <w:p w14:paraId="4C4C0AA7" w14:textId="77777777" w:rsidR="008C4E6E" w:rsidRDefault="008C4E6E">
      <w:pPr>
        <w:sectPr w:rsidR="008C4E6E">
          <w:headerReference w:type="default" r:id="rId6"/>
          <w:footerReference w:type="default" r:id="rId7"/>
          <w:pgSz w:w="11906" w:h="16838"/>
          <w:pgMar w:top="1440" w:right="1300" w:bottom="1440" w:left="1300" w:header="720" w:footer="720" w:gutter="0"/>
          <w:cols w:space="720"/>
        </w:sectPr>
      </w:pPr>
    </w:p>
    <w:p w14:paraId="1C417C5E" w14:textId="77777777" w:rsidR="008C4E6E" w:rsidRDefault="00000000">
      <w:pPr>
        <w:pStyle w:val="Heading1"/>
      </w:pPr>
      <w:bookmarkStart w:id="0" w:name="_Toc237650556"/>
      <w:r>
        <w:rPr>
          <w:rFonts w:cs="Calibri Light"/>
          <w:szCs w:val="36"/>
        </w:rPr>
        <w:lastRenderedPageBreak/>
        <w:t>Document Control</w:t>
      </w:r>
      <w:bookmarkEnd w:id="0"/>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2C1EA784"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174CD182" w14:textId="77777777" w:rsidR="008C4E6E" w:rsidRDefault="00000000">
            <w:pPr>
              <w:spacing w:before="20" w:after="20" w:line="290" w:lineRule="auto"/>
              <w:jc w:val="left"/>
            </w:pPr>
            <w:r>
              <w:rPr>
                <w:rFonts w:cs="Calibri"/>
                <w:b/>
                <w:color w:val="1F4E5F"/>
                <w:sz w:val="19"/>
                <w:szCs w:val="19"/>
              </w:rPr>
              <w:t>Field</w:t>
            </w:r>
          </w:p>
        </w:tc>
        <w:tc>
          <w:tcPr>
            <w:tcW w:w="4675" w:type="dxa"/>
            <w:shd w:val="clear" w:color="auto" w:fill="E4EEF1"/>
            <w:tcMar>
              <w:top w:w="60" w:type="dxa"/>
              <w:left w:w="100" w:type="dxa"/>
              <w:bottom w:w="60" w:type="dxa"/>
              <w:right w:w="100" w:type="dxa"/>
            </w:tcMar>
          </w:tcPr>
          <w:p w14:paraId="790E13E8" w14:textId="77777777" w:rsidR="008C4E6E" w:rsidRDefault="00000000">
            <w:pPr>
              <w:spacing w:before="20" w:after="20" w:line="290" w:lineRule="auto"/>
              <w:jc w:val="left"/>
            </w:pPr>
            <w:r>
              <w:rPr>
                <w:rFonts w:cs="Calibri"/>
                <w:b/>
                <w:color w:val="1F4E5F"/>
                <w:sz w:val="19"/>
                <w:szCs w:val="19"/>
              </w:rPr>
              <w:t>Entry</w:t>
            </w:r>
          </w:p>
        </w:tc>
      </w:tr>
      <w:tr w:rsidR="008C4E6E" w14:paraId="7DB3AE0E" w14:textId="77777777">
        <w:tblPrEx>
          <w:tblCellMar>
            <w:top w:w="0" w:type="dxa"/>
            <w:bottom w:w="0" w:type="dxa"/>
          </w:tblCellMar>
        </w:tblPrEx>
        <w:tc>
          <w:tcPr>
            <w:tcW w:w="4675" w:type="dxa"/>
            <w:tcMar>
              <w:top w:w="60" w:type="dxa"/>
              <w:left w:w="100" w:type="dxa"/>
              <w:bottom w:w="60" w:type="dxa"/>
              <w:right w:w="100" w:type="dxa"/>
            </w:tcMar>
          </w:tcPr>
          <w:p w14:paraId="2F0D2CB9" w14:textId="77777777" w:rsidR="008C4E6E" w:rsidRDefault="00000000">
            <w:pPr>
              <w:spacing w:before="20" w:after="20" w:line="290" w:lineRule="auto"/>
              <w:jc w:val="left"/>
            </w:pPr>
            <w:r>
              <w:rPr>
                <w:rFonts w:cs="Calibri"/>
                <w:sz w:val="19"/>
                <w:szCs w:val="19"/>
              </w:rPr>
              <w:t>Instrument</w:t>
            </w:r>
          </w:p>
        </w:tc>
        <w:tc>
          <w:tcPr>
            <w:tcW w:w="4675" w:type="dxa"/>
            <w:tcMar>
              <w:top w:w="60" w:type="dxa"/>
              <w:left w:w="100" w:type="dxa"/>
              <w:bottom w:w="60" w:type="dxa"/>
              <w:right w:w="100" w:type="dxa"/>
            </w:tcMar>
          </w:tcPr>
          <w:p w14:paraId="277990C5" w14:textId="77777777" w:rsidR="008C4E6E" w:rsidRDefault="00000000">
            <w:pPr>
              <w:spacing w:before="20" w:after="20" w:line="290" w:lineRule="auto"/>
              <w:jc w:val="left"/>
            </w:pPr>
            <w:r>
              <w:rPr>
                <w:rFonts w:cs="Calibri"/>
                <w:sz w:val="19"/>
                <w:szCs w:val="19"/>
              </w:rPr>
              <w:t>The Hormuz Covenant of Calm Waters, Version 2.0 (Crisis Acceleration Edition)</w:t>
            </w:r>
          </w:p>
        </w:tc>
      </w:tr>
      <w:tr w:rsidR="008C4E6E" w14:paraId="6313450E" w14:textId="77777777">
        <w:tblPrEx>
          <w:tblCellMar>
            <w:top w:w="0" w:type="dxa"/>
            <w:bottom w:w="0" w:type="dxa"/>
          </w:tblCellMar>
        </w:tblPrEx>
        <w:tc>
          <w:tcPr>
            <w:tcW w:w="4675" w:type="dxa"/>
            <w:tcMar>
              <w:top w:w="60" w:type="dxa"/>
              <w:left w:w="100" w:type="dxa"/>
              <w:bottom w:w="60" w:type="dxa"/>
              <w:right w:w="100" w:type="dxa"/>
            </w:tcMar>
          </w:tcPr>
          <w:p w14:paraId="71293CC7" w14:textId="77777777" w:rsidR="008C4E6E" w:rsidRDefault="00000000">
            <w:pPr>
              <w:spacing w:before="20" w:after="20" w:line="290" w:lineRule="auto"/>
              <w:jc w:val="left"/>
            </w:pPr>
            <w:r>
              <w:rPr>
                <w:rFonts w:cs="Calibri"/>
                <w:sz w:val="19"/>
                <w:szCs w:val="19"/>
              </w:rPr>
              <w:t>Short title</w:t>
            </w:r>
          </w:p>
        </w:tc>
        <w:tc>
          <w:tcPr>
            <w:tcW w:w="4675" w:type="dxa"/>
            <w:tcMar>
              <w:top w:w="60" w:type="dxa"/>
              <w:left w:w="100" w:type="dxa"/>
              <w:bottom w:w="60" w:type="dxa"/>
              <w:right w:w="100" w:type="dxa"/>
            </w:tcMar>
          </w:tcPr>
          <w:p w14:paraId="560D9B7F" w14:textId="77777777" w:rsidR="008C4E6E" w:rsidRDefault="00000000">
            <w:pPr>
              <w:spacing w:before="20" w:after="20" w:line="290" w:lineRule="auto"/>
              <w:jc w:val="left"/>
            </w:pPr>
            <w:r>
              <w:rPr>
                <w:rFonts w:cs="Calibri"/>
                <w:sz w:val="19"/>
                <w:szCs w:val="19"/>
              </w:rPr>
              <w:t>The Covenant</w:t>
            </w:r>
          </w:p>
        </w:tc>
      </w:tr>
      <w:tr w:rsidR="008C4E6E" w14:paraId="4DC276E6" w14:textId="77777777">
        <w:tblPrEx>
          <w:tblCellMar>
            <w:top w:w="0" w:type="dxa"/>
            <w:bottom w:w="0" w:type="dxa"/>
          </w:tblCellMar>
        </w:tblPrEx>
        <w:tc>
          <w:tcPr>
            <w:tcW w:w="4675" w:type="dxa"/>
            <w:tcMar>
              <w:top w:w="60" w:type="dxa"/>
              <w:left w:w="100" w:type="dxa"/>
              <w:bottom w:w="60" w:type="dxa"/>
              <w:right w:w="100" w:type="dxa"/>
            </w:tcMar>
          </w:tcPr>
          <w:p w14:paraId="754D15D4" w14:textId="77777777" w:rsidR="008C4E6E" w:rsidRDefault="00000000">
            <w:pPr>
              <w:spacing w:before="20" w:after="20" w:line="290" w:lineRule="auto"/>
              <w:jc w:val="left"/>
            </w:pPr>
            <w:r>
              <w:rPr>
                <w:rFonts w:cs="Calibri"/>
                <w:sz w:val="19"/>
                <w:szCs w:val="19"/>
              </w:rPr>
              <w:t>Instrument class</w:t>
            </w:r>
          </w:p>
        </w:tc>
        <w:tc>
          <w:tcPr>
            <w:tcW w:w="4675" w:type="dxa"/>
            <w:tcMar>
              <w:top w:w="60" w:type="dxa"/>
              <w:left w:w="100" w:type="dxa"/>
              <w:bottom w:w="60" w:type="dxa"/>
              <w:right w:w="100" w:type="dxa"/>
            </w:tcMar>
          </w:tcPr>
          <w:p w14:paraId="294B6DDD" w14:textId="77777777" w:rsidR="008C4E6E" w:rsidRDefault="00000000">
            <w:pPr>
              <w:spacing w:before="20" w:after="20" w:line="290" w:lineRule="auto"/>
              <w:jc w:val="left"/>
            </w:pPr>
            <w:r>
              <w:rPr>
                <w:rFonts w:cs="Calibri"/>
                <w:sz w:val="19"/>
                <w:szCs w:val="19"/>
              </w:rPr>
              <w:t>Layered negotiating and operating instrument; seven layers in one text; no sunset</w:t>
            </w:r>
          </w:p>
        </w:tc>
      </w:tr>
      <w:tr w:rsidR="008C4E6E" w14:paraId="77656A41" w14:textId="77777777">
        <w:tblPrEx>
          <w:tblCellMar>
            <w:top w:w="0" w:type="dxa"/>
            <w:bottom w:w="0" w:type="dxa"/>
          </w:tblCellMar>
        </w:tblPrEx>
        <w:tc>
          <w:tcPr>
            <w:tcW w:w="4675" w:type="dxa"/>
            <w:tcMar>
              <w:top w:w="60" w:type="dxa"/>
              <w:left w:w="100" w:type="dxa"/>
              <w:bottom w:w="60" w:type="dxa"/>
              <w:right w:w="100" w:type="dxa"/>
            </w:tcMar>
          </w:tcPr>
          <w:p w14:paraId="38583790" w14:textId="77777777" w:rsidR="008C4E6E" w:rsidRDefault="00000000">
            <w:pPr>
              <w:spacing w:before="20" w:after="20" w:line="290" w:lineRule="auto"/>
              <w:jc w:val="left"/>
            </w:pPr>
            <w:r>
              <w:rPr>
                <w:rFonts w:cs="Calibri"/>
                <w:sz w:val="19"/>
                <w:szCs w:val="19"/>
              </w:rPr>
              <w:t>Founding Parties</w:t>
            </w:r>
          </w:p>
        </w:tc>
        <w:tc>
          <w:tcPr>
            <w:tcW w:w="4675" w:type="dxa"/>
            <w:tcMar>
              <w:top w:w="60" w:type="dxa"/>
              <w:left w:w="100" w:type="dxa"/>
              <w:bottom w:w="60" w:type="dxa"/>
              <w:right w:w="100" w:type="dxa"/>
            </w:tcMar>
          </w:tcPr>
          <w:p w14:paraId="2B585945" w14:textId="77777777" w:rsidR="008C4E6E" w:rsidRDefault="00000000">
            <w:pPr>
              <w:spacing w:before="20" w:after="20" w:line="290" w:lineRule="auto"/>
              <w:jc w:val="left"/>
            </w:pPr>
            <w:r>
              <w:rPr>
                <w:rFonts w:cs="Calibri"/>
                <w:sz w:val="19"/>
                <w:szCs w:val="19"/>
              </w:rPr>
              <w:t>The Islamic Republic of Iran and the Sultanate of Oman</w:t>
            </w:r>
          </w:p>
        </w:tc>
      </w:tr>
      <w:tr w:rsidR="008C4E6E" w14:paraId="79015E2E" w14:textId="77777777">
        <w:tblPrEx>
          <w:tblCellMar>
            <w:top w:w="0" w:type="dxa"/>
            <w:bottom w:w="0" w:type="dxa"/>
          </w:tblCellMar>
        </w:tblPrEx>
        <w:tc>
          <w:tcPr>
            <w:tcW w:w="4675" w:type="dxa"/>
            <w:tcMar>
              <w:top w:w="60" w:type="dxa"/>
              <w:left w:w="100" w:type="dxa"/>
              <w:bottom w:w="60" w:type="dxa"/>
              <w:right w:w="100" w:type="dxa"/>
            </w:tcMar>
          </w:tcPr>
          <w:p w14:paraId="08AA36AE" w14:textId="77777777" w:rsidR="008C4E6E" w:rsidRDefault="00000000">
            <w:pPr>
              <w:spacing w:before="20" w:after="20" w:line="290" w:lineRule="auto"/>
              <w:jc w:val="left"/>
            </w:pPr>
            <w:r>
              <w:rPr>
                <w:rFonts w:cs="Calibri"/>
                <w:sz w:val="19"/>
                <w:szCs w:val="19"/>
              </w:rPr>
              <w:t>Endorsing Stakeholder</w:t>
            </w:r>
          </w:p>
        </w:tc>
        <w:tc>
          <w:tcPr>
            <w:tcW w:w="4675" w:type="dxa"/>
            <w:tcMar>
              <w:top w:w="60" w:type="dxa"/>
              <w:left w:w="100" w:type="dxa"/>
              <w:bottom w:w="60" w:type="dxa"/>
              <w:right w:w="100" w:type="dxa"/>
            </w:tcMar>
          </w:tcPr>
          <w:p w14:paraId="05005674" w14:textId="77777777" w:rsidR="008C4E6E" w:rsidRDefault="00000000">
            <w:pPr>
              <w:spacing w:before="20" w:after="20" w:line="290" w:lineRule="auto"/>
              <w:jc w:val="left"/>
            </w:pPr>
            <w:r>
              <w:rPr>
                <w:rFonts w:cs="Calibri"/>
                <w:sz w:val="19"/>
                <w:szCs w:val="19"/>
              </w:rPr>
              <w:t>The United States of America (non-voting)</w:t>
            </w:r>
          </w:p>
        </w:tc>
      </w:tr>
      <w:tr w:rsidR="008C4E6E" w14:paraId="60CC5A25" w14:textId="77777777">
        <w:tblPrEx>
          <w:tblCellMar>
            <w:top w:w="0" w:type="dxa"/>
            <w:bottom w:w="0" w:type="dxa"/>
          </w:tblCellMar>
        </w:tblPrEx>
        <w:tc>
          <w:tcPr>
            <w:tcW w:w="4675" w:type="dxa"/>
            <w:tcMar>
              <w:top w:w="60" w:type="dxa"/>
              <w:left w:w="100" w:type="dxa"/>
              <w:bottom w:w="60" w:type="dxa"/>
              <w:right w:w="100" w:type="dxa"/>
            </w:tcMar>
          </w:tcPr>
          <w:p w14:paraId="4486F3D6" w14:textId="77777777" w:rsidR="008C4E6E" w:rsidRDefault="00000000">
            <w:pPr>
              <w:spacing w:before="20" w:after="20" w:line="290" w:lineRule="auto"/>
              <w:jc w:val="left"/>
            </w:pPr>
            <w:r>
              <w:rPr>
                <w:rFonts w:cs="Calibri"/>
                <w:sz w:val="19"/>
                <w:szCs w:val="19"/>
              </w:rPr>
              <w:t>Mediator of Record</w:t>
            </w:r>
          </w:p>
        </w:tc>
        <w:tc>
          <w:tcPr>
            <w:tcW w:w="4675" w:type="dxa"/>
            <w:tcMar>
              <w:top w:w="60" w:type="dxa"/>
              <w:left w:w="100" w:type="dxa"/>
              <w:bottom w:w="60" w:type="dxa"/>
              <w:right w:w="100" w:type="dxa"/>
            </w:tcMar>
          </w:tcPr>
          <w:p w14:paraId="08452C97" w14:textId="77777777" w:rsidR="008C4E6E" w:rsidRDefault="00000000">
            <w:pPr>
              <w:spacing w:before="20" w:after="20" w:line="290" w:lineRule="auto"/>
              <w:jc w:val="left"/>
            </w:pPr>
            <w:r>
              <w:rPr>
                <w:rFonts w:cs="Calibri"/>
                <w:sz w:val="19"/>
                <w:szCs w:val="19"/>
              </w:rPr>
              <w:t>The Sultanate of Oman</w:t>
            </w:r>
          </w:p>
        </w:tc>
      </w:tr>
      <w:tr w:rsidR="008C4E6E" w14:paraId="3B093FD3" w14:textId="77777777">
        <w:tblPrEx>
          <w:tblCellMar>
            <w:top w:w="0" w:type="dxa"/>
            <w:bottom w:w="0" w:type="dxa"/>
          </w:tblCellMar>
        </w:tblPrEx>
        <w:tc>
          <w:tcPr>
            <w:tcW w:w="4675" w:type="dxa"/>
            <w:tcMar>
              <w:top w:w="60" w:type="dxa"/>
              <w:left w:w="100" w:type="dxa"/>
              <w:bottom w:w="60" w:type="dxa"/>
              <w:right w:w="100" w:type="dxa"/>
            </w:tcMar>
          </w:tcPr>
          <w:p w14:paraId="1AAB2D9D" w14:textId="77777777" w:rsidR="008C4E6E" w:rsidRDefault="00000000">
            <w:pPr>
              <w:spacing w:before="20" w:after="20" w:line="290" w:lineRule="auto"/>
              <w:jc w:val="left"/>
            </w:pPr>
            <w:r>
              <w:rPr>
                <w:rFonts w:cs="Calibri"/>
                <w:sz w:val="19"/>
                <w:szCs w:val="19"/>
              </w:rPr>
              <w:t>Facilitators</w:t>
            </w:r>
          </w:p>
        </w:tc>
        <w:tc>
          <w:tcPr>
            <w:tcW w:w="4675" w:type="dxa"/>
            <w:tcMar>
              <w:top w:w="60" w:type="dxa"/>
              <w:left w:w="100" w:type="dxa"/>
              <w:bottom w:w="60" w:type="dxa"/>
              <w:right w:w="100" w:type="dxa"/>
            </w:tcMar>
          </w:tcPr>
          <w:p w14:paraId="3401904A" w14:textId="77777777" w:rsidR="008C4E6E" w:rsidRDefault="00000000">
            <w:pPr>
              <w:spacing w:before="20" w:after="20" w:line="290" w:lineRule="auto"/>
              <w:jc w:val="left"/>
            </w:pPr>
            <w:r>
              <w:rPr>
                <w:rFonts w:cs="Calibri"/>
                <w:sz w:val="19"/>
                <w:szCs w:val="19"/>
              </w:rPr>
              <w:t>The State of Qatar (mediation); the Islamic Republic of Pakistan (good offices); the Swiss Confederation (depositary, record, and fund administration)</w:t>
            </w:r>
          </w:p>
        </w:tc>
      </w:tr>
      <w:tr w:rsidR="008C4E6E" w14:paraId="14D344DC" w14:textId="77777777">
        <w:tblPrEx>
          <w:tblCellMar>
            <w:top w:w="0" w:type="dxa"/>
            <w:bottom w:w="0" w:type="dxa"/>
          </w:tblCellMar>
        </w:tblPrEx>
        <w:tc>
          <w:tcPr>
            <w:tcW w:w="4675" w:type="dxa"/>
            <w:tcMar>
              <w:top w:w="60" w:type="dxa"/>
              <w:left w:w="100" w:type="dxa"/>
              <w:bottom w:w="60" w:type="dxa"/>
              <w:right w:w="100" w:type="dxa"/>
            </w:tcMar>
          </w:tcPr>
          <w:p w14:paraId="6CE24C6E" w14:textId="77777777" w:rsidR="008C4E6E" w:rsidRDefault="00000000">
            <w:pPr>
              <w:spacing w:before="20" w:after="20" w:line="290" w:lineRule="auto"/>
              <w:jc w:val="left"/>
            </w:pPr>
            <w:r>
              <w:rPr>
                <w:rFonts w:cs="Calibri"/>
                <w:sz w:val="19"/>
                <w:szCs w:val="19"/>
              </w:rPr>
              <w:t>Technical concurrence</w:t>
            </w:r>
          </w:p>
        </w:tc>
        <w:tc>
          <w:tcPr>
            <w:tcW w:w="4675" w:type="dxa"/>
            <w:tcMar>
              <w:top w:w="60" w:type="dxa"/>
              <w:left w:w="100" w:type="dxa"/>
              <w:bottom w:w="60" w:type="dxa"/>
              <w:right w:w="100" w:type="dxa"/>
            </w:tcMar>
          </w:tcPr>
          <w:p w14:paraId="409AFC71" w14:textId="77777777" w:rsidR="008C4E6E" w:rsidRDefault="00000000">
            <w:pPr>
              <w:spacing w:before="20" w:after="20" w:line="290" w:lineRule="auto"/>
              <w:jc w:val="left"/>
            </w:pPr>
            <w:r>
              <w:rPr>
                <w:rFonts w:cs="Calibri"/>
                <w:sz w:val="19"/>
                <w:szCs w:val="19"/>
              </w:rPr>
              <w:t>International Maritime Organization; International Hydrographic Organization; United Nations Mine Action Service</w:t>
            </w:r>
          </w:p>
        </w:tc>
      </w:tr>
      <w:tr w:rsidR="008C4E6E" w14:paraId="3EC0F8A9" w14:textId="77777777">
        <w:tblPrEx>
          <w:tblCellMar>
            <w:top w:w="0" w:type="dxa"/>
            <w:bottom w:w="0" w:type="dxa"/>
          </w:tblCellMar>
        </w:tblPrEx>
        <w:tc>
          <w:tcPr>
            <w:tcW w:w="4675" w:type="dxa"/>
            <w:tcMar>
              <w:top w:w="60" w:type="dxa"/>
              <w:left w:w="100" w:type="dxa"/>
              <w:bottom w:w="60" w:type="dxa"/>
              <w:right w:w="100" w:type="dxa"/>
            </w:tcMar>
          </w:tcPr>
          <w:p w14:paraId="08055C2E" w14:textId="77777777" w:rsidR="008C4E6E" w:rsidRDefault="00000000">
            <w:pPr>
              <w:spacing w:before="20" w:after="20" w:line="290" w:lineRule="auto"/>
              <w:jc w:val="left"/>
            </w:pPr>
            <w:r>
              <w:rPr>
                <w:rFonts w:cs="Calibri"/>
                <w:sz w:val="19"/>
                <w:szCs w:val="19"/>
              </w:rPr>
              <w:t>Seat</w:t>
            </w:r>
          </w:p>
        </w:tc>
        <w:tc>
          <w:tcPr>
            <w:tcW w:w="4675" w:type="dxa"/>
            <w:tcMar>
              <w:top w:w="60" w:type="dxa"/>
              <w:left w:w="100" w:type="dxa"/>
              <w:bottom w:w="60" w:type="dxa"/>
              <w:right w:w="100" w:type="dxa"/>
            </w:tcMar>
          </w:tcPr>
          <w:p w14:paraId="50AE0349" w14:textId="77777777" w:rsidR="008C4E6E" w:rsidRDefault="00000000">
            <w:pPr>
              <w:spacing w:before="20" w:after="20" w:line="290" w:lineRule="auto"/>
              <w:jc w:val="left"/>
            </w:pPr>
            <w:r>
              <w:rPr>
                <w:rFonts w:cs="Calibri"/>
                <w:sz w:val="19"/>
                <w:szCs w:val="19"/>
              </w:rPr>
              <w:t>The Calm Waters Center, Muscat, with the Mirror Facility of Equal Rank at Bandar Abbas</w:t>
            </w:r>
          </w:p>
        </w:tc>
      </w:tr>
      <w:tr w:rsidR="008C4E6E" w14:paraId="508AF175" w14:textId="77777777">
        <w:tblPrEx>
          <w:tblCellMar>
            <w:top w:w="0" w:type="dxa"/>
            <w:bottom w:w="0" w:type="dxa"/>
          </w:tblCellMar>
        </w:tblPrEx>
        <w:tc>
          <w:tcPr>
            <w:tcW w:w="4675" w:type="dxa"/>
            <w:tcMar>
              <w:top w:w="60" w:type="dxa"/>
              <w:left w:w="100" w:type="dxa"/>
              <w:bottom w:w="60" w:type="dxa"/>
              <w:right w:w="100" w:type="dxa"/>
            </w:tcMar>
          </w:tcPr>
          <w:p w14:paraId="0C104FE0" w14:textId="77777777" w:rsidR="008C4E6E" w:rsidRDefault="00000000">
            <w:pPr>
              <w:spacing w:before="20" w:after="20" w:line="290" w:lineRule="auto"/>
              <w:jc w:val="left"/>
            </w:pPr>
            <w:r>
              <w:rPr>
                <w:rFonts w:cs="Calibri"/>
                <w:sz w:val="19"/>
                <w:szCs w:val="19"/>
              </w:rPr>
              <w:t>Date</w:t>
            </w:r>
          </w:p>
        </w:tc>
        <w:tc>
          <w:tcPr>
            <w:tcW w:w="4675" w:type="dxa"/>
            <w:tcMar>
              <w:top w:w="60" w:type="dxa"/>
              <w:left w:w="100" w:type="dxa"/>
              <w:bottom w:w="60" w:type="dxa"/>
              <w:right w:w="100" w:type="dxa"/>
            </w:tcMar>
          </w:tcPr>
          <w:p w14:paraId="68D50E1A" w14:textId="77777777" w:rsidR="008C4E6E" w:rsidRDefault="00000000">
            <w:pPr>
              <w:spacing w:before="20" w:after="20" w:line="290" w:lineRule="auto"/>
              <w:jc w:val="left"/>
            </w:pPr>
            <w:r>
              <w:rPr>
                <w:rFonts w:cs="Calibri"/>
                <w:sz w:val="19"/>
                <w:szCs w:val="19"/>
              </w:rPr>
              <w:t>12 August 2026</w:t>
            </w:r>
          </w:p>
        </w:tc>
      </w:tr>
      <w:tr w:rsidR="008C4E6E" w14:paraId="6EC53A57" w14:textId="77777777">
        <w:tblPrEx>
          <w:tblCellMar>
            <w:top w:w="0" w:type="dxa"/>
            <w:bottom w:w="0" w:type="dxa"/>
          </w:tblCellMar>
        </w:tblPrEx>
        <w:tc>
          <w:tcPr>
            <w:tcW w:w="4675" w:type="dxa"/>
            <w:tcMar>
              <w:top w:w="60" w:type="dxa"/>
              <w:left w:w="100" w:type="dxa"/>
              <w:bottom w:w="60" w:type="dxa"/>
              <w:right w:w="100" w:type="dxa"/>
            </w:tcMar>
          </w:tcPr>
          <w:p w14:paraId="7D5DF290" w14:textId="77777777" w:rsidR="008C4E6E" w:rsidRDefault="00000000">
            <w:pPr>
              <w:spacing w:before="20" w:after="20" w:line="290" w:lineRule="auto"/>
              <w:jc w:val="left"/>
            </w:pPr>
            <w:r>
              <w:rPr>
                <w:rFonts w:cs="Calibri"/>
                <w:sz w:val="19"/>
                <w:szCs w:val="19"/>
              </w:rPr>
              <w:t>Anchor instruments</w:t>
            </w:r>
          </w:p>
        </w:tc>
        <w:tc>
          <w:tcPr>
            <w:tcW w:w="4675" w:type="dxa"/>
            <w:tcMar>
              <w:top w:w="60" w:type="dxa"/>
              <w:left w:w="100" w:type="dxa"/>
              <w:bottom w:w="60" w:type="dxa"/>
              <w:right w:w="100" w:type="dxa"/>
            </w:tcMar>
          </w:tcPr>
          <w:p w14:paraId="182F6F15" w14:textId="77777777" w:rsidR="008C4E6E" w:rsidRDefault="00000000">
            <w:pPr>
              <w:spacing w:before="20" w:after="20" w:line="290" w:lineRule="auto"/>
              <w:jc w:val="left"/>
            </w:pPr>
            <w:r>
              <w:rPr>
                <w:rFonts w:cs="Calibri"/>
                <w:sz w:val="19"/>
                <w:szCs w:val="19"/>
              </w:rPr>
              <w:t>The Islamabad Memorandum of Understanding of June 2026; the Iran-Oman route understanding of August 2026; the Omani regional mechanism proposal of 28 July 2026; the Iran-Oman draft arrangement on joint management of the Strait, in final review, August 2026</w:t>
            </w:r>
          </w:p>
        </w:tc>
      </w:tr>
      <w:tr w:rsidR="008C4E6E" w14:paraId="1B60B6A8" w14:textId="77777777">
        <w:tblPrEx>
          <w:tblCellMar>
            <w:top w:w="0" w:type="dxa"/>
            <w:bottom w:w="0" w:type="dxa"/>
          </w:tblCellMar>
        </w:tblPrEx>
        <w:tc>
          <w:tcPr>
            <w:tcW w:w="4675" w:type="dxa"/>
            <w:tcMar>
              <w:top w:w="60" w:type="dxa"/>
              <w:left w:w="100" w:type="dxa"/>
              <w:bottom w:w="60" w:type="dxa"/>
              <w:right w:w="100" w:type="dxa"/>
            </w:tcMar>
          </w:tcPr>
          <w:p w14:paraId="1F5C00E9" w14:textId="77777777" w:rsidR="008C4E6E" w:rsidRDefault="00000000">
            <w:pPr>
              <w:spacing w:before="20" w:after="20" w:line="290" w:lineRule="auto"/>
              <w:jc w:val="left"/>
            </w:pPr>
            <w:r>
              <w:rPr>
                <w:rFonts w:cs="Calibri"/>
                <w:sz w:val="19"/>
                <w:szCs w:val="19"/>
              </w:rPr>
              <w:t>Working language</w:t>
            </w:r>
          </w:p>
        </w:tc>
        <w:tc>
          <w:tcPr>
            <w:tcW w:w="4675" w:type="dxa"/>
            <w:tcMar>
              <w:top w:w="60" w:type="dxa"/>
              <w:left w:w="100" w:type="dxa"/>
              <w:bottom w:w="60" w:type="dxa"/>
              <w:right w:w="100" w:type="dxa"/>
            </w:tcMar>
          </w:tcPr>
          <w:p w14:paraId="279BB44D" w14:textId="77777777" w:rsidR="008C4E6E" w:rsidRDefault="00000000">
            <w:pPr>
              <w:spacing w:before="20" w:after="20" w:line="290" w:lineRule="auto"/>
              <w:jc w:val="left"/>
            </w:pPr>
            <w:r>
              <w:rPr>
                <w:rFonts w:cs="Calibri"/>
                <w:sz w:val="19"/>
                <w:szCs w:val="19"/>
              </w:rPr>
              <w:t>English; Farsi and Arabic equally authoritative for the Founding Parties</w:t>
            </w:r>
          </w:p>
        </w:tc>
      </w:tr>
      <w:tr w:rsidR="008C4E6E" w14:paraId="7857E43A" w14:textId="77777777">
        <w:tblPrEx>
          <w:tblCellMar>
            <w:top w:w="0" w:type="dxa"/>
            <w:bottom w:w="0" w:type="dxa"/>
          </w:tblCellMar>
        </w:tblPrEx>
        <w:tc>
          <w:tcPr>
            <w:tcW w:w="4675" w:type="dxa"/>
            <w:tcMar>
              <w:top w:w="60" w:type="dxa"/>
              <w:left w:w="100" w:type="dxa"/>
              <w:bottom w:w="60" w:type="dxa"/>
              <w:right w:w="100" w:type="dxa"/>
            </w:tcMar>
          </w:tcPr>
          <w:p w14:paraId="684C05D9" w14:textId="77777777" w:rsidR="008C4E6E" w:rsidRDefault="00000000">
            <w:pPr>
              <w:spacing w:before="20" w:after="20" w:line="290" w:lineRule="auto"/>
              <w:jc w:val="left"/>
            </w:pPr>
            <w:r>
              <w:rPr>
                <w:rFonts w:cs="Calibri"/>
                <w:sz w:val="19"/>
                <w:szCs w:val="19"/>
              </w:rPr>
              <w:t>Custodian of record</w:t>
            </w:r>
          </w:p>
        </w:tc>
        <w:tc>
          <w:tcPr>
            <w:tcW w:w="4675" w:type="dxa"/>
            <w:tcMar>
              <w:top w:w="60" w:type="dxa"/>
              <w:left w:w="100" w:type="dxa"/>
              <w:bottom w:w="60" w:type="dxa"/>
              <w:right w:w="100" w:type="dxa"/>
            </w:tcMar>
          </w:tcPr>
          <w:p w14:paraId="47894639" w14:textId="77777777" w:rsidR="008C4E6E" w:rsidRDefault="00000000">
            <w:pPr>
              <w:spacing w:before="20" w:after="20" w:line="290" w:lineRule="auto"/>
              <w:jc w:val="left"/>
            </w:pPr>
            <w:r>
              <w:rPr>
                <w:rFonts w:cs="Calibri"/>
                <w:sz w:val="19"/>
                <w:szCs w:val="19"/>
              </w:rPr>
              <w:t>The Calm Waters Center, Muscat, with mirror custody at Bandar Abbas</w:t>
            </w:r>
          </w:p>
        </w:tc>
      </w:tr>
      <w:tr w:rsidR="008C4E6E" w14:paraId="702567ED" w14:textId="77777777">
        <w:tblPrEx>
          <w:tblCellMar>
            <w:top w:w="0" w:type="dxa"/>
            <w:bottom w:w="0" w:type="dxa"/>
          </w:tblCellMar>
        </w:tblPrEx>
        <w:tc>
          <w:tcPr>
            <w:tcW w:w="4675" w:type="dxa"/>
            <w:tcMar>
              <w:top w:w="60" w:type="dxa"/>
              <w:left w:w="100" w:type="dxa"/>
              <w:bottom w:w="60" w:type="dxa"/>
              <w:right w:w="100" w:type="dxa"/>
            </w:tcMar>
          </w:tcPr>
          <w:p w14:paraId="5EDB7802" w14:textId="77777777" w:rsidR="008C4E6E" w:rsidRDefault="00000000">
            <w:pPr>
              <w:spacing w:before="20" w:after="20" w:line="290" w:lineRule="auto"/>
              <w:jc w:val="left"/>
            </w:pPr>
            <w:r>
              <w:rPr>
                <w:rFonts w:cs="Calibri"/>
                <w:sz w:val="19"/>
                <w:szCs w:val="19"/>
              </w:rPr>
              <w:t>Continuity rule</w:t>
            </w:r>
          </w:p>
        </w:tc>
        <w:tc>
          <w:tcPr>
            <w:tcW w:w="4675" w:type="dxa"/>
            <w:tcMar>
              <w:top w:w="60" w:type="dxa"/>
              <w:left w:w="100" w:type="dxa"/>
              <w:bottom w:w="60" w:type="dxa"/>
              <w:right w:w="100" w:type="dxa"/>
            </w:tcMar>
          </w:tcPr>
          <w:p w14:paraId="2497D725" w14:textId="77777777" w:rsidR="008C4E6E" w:rsidRDefault="00000000">
            <w:pPr>
              <w:spacing w:before="20" w:after="20" w:line="290" w:lineRule="auto"/>
              <w:jc w:val="left"/>
            </w:pPr>
            <w:r>
              <w:rPr>
                <w:rFonts w:cs="Calibri"/>
                <w:sz w:val="19"/>
                <w:szCs w:val="19"/>
              </w:rPr>
              <w:t>The Standing Continuity Guarantee: nothing in this Covenant expires, lapses, or dissolves by the passage of time alone</w:t>
            </w:r>
          </w:p>
        </w:tc>
      </w:tr>
      <w:tr w:rsidR="008C4E6E" w14:paraId="3E9A0AFA" w14:textId="77777777">
        <w:tblPrEx>
          <w:tblCellMar>
            <w:top w:w="0" w:type="dxa"/>
            <w:bottom w:w="0" w:type="dxa"/>
          </w:tblCellMar>
        </w:tblPrEx>
        <w:tc>
          <w:tcPr>
            <w:tcW w:w="4675" w:type="dxa"/>
            <w:tcMar>
              <w:top w:w="60" w:type="dxa"/>
              <w:left w:w="100" w:type="dxa"/>
              <w:bottom w:w="60" w:type="dxa"/>
              <w:right w:w="100" w:type="dxa"/>
            </w:tcMar>
          </w:tcPr>
          <w:p w14:paraId="6610E5DB" w14:textId="77777777" w:rsidR="008C4E6E" w:rsidRDefault="00000000">
            <w:pPr>
              <w:spacing w:before="20" w:after="20" w:line="290" w:lineRule="auto"/>
              <w:jc w:val="left"/>
            </w:pPr>
            <w:r>
              <w:rPr>
                <w:rFonts w:cs="Calibri"/>
                <w:sz w:val="19"/>
                <w:szCs w:val="19"/>
              </w:rPr>
              <w:t>Simplicity rule</w:t>
            </w:r>
          </w:p>
        </w:tc>
        <w:tc>
          <w:tcPr>
            <w:tcW w:w="4675" w:type="dxa"/>
            <w:tcMar>
              <w:top w:w="60" w:type="dxa"/>
              <w:left w:w="100" w:type="dxa"/>
              <w:bottom w:w="60" w:type="dxa"/>
              <w:right w:w="100" w:type="dxa"/>
            </w:tcMar>
          </w:tcPr>
          <w:p w14:paraId="314EFF04" w14:textId="77777777" w:rsidR="008C4E6E" w:rsidRDefault="00000000">
            <w:pPr>
              <w:spacing w:before="20" w:after="20" w:line="290" w:lineRule="auto"/>
              <w:jc w:val="left"/>
            </w:pPr>
            <w:r>
              <w:rPr>
                <w:rFonts w:cs="Calibri"/>
                <w:sz w:val="19"/>
                <w:szCs w:val="19"/>
              </w:rPr>
              <w:t>No mechanism in this Covenant contains more than five steps, and every mariner-facing procedure fits on one page</w:t>
            </w:r>
          </w:p>
        </w:tc>
      </w:tr>
      <w:tr w:rsidR="008C4E6E" w14:paraId="6267F472" w14:textId="77777777">
        <w:tblPrEx>
          <w:tblCellMar>
            <w:top w:w="0" w:type="dxa"/>
            <w:bottom w:w="0" w:type="dxa"/>
          </w:tblCellMar>
        </w:tblPrEx>
        <w:tc>
          <w:tcPr>
            <w:tcW w:w="4675" w:type="dxa"/>
            <w:tcMar>
              <w:top w:w="60" w:type="dxa"/>
              <w:left w:w="100" w:type="dxa"/>
              <w:bottom w:w="60" w:type="dxa"/>
              <w:right w:w="100" w:type="dxa"/>
            </w:tcMar>
          </w:tcPr>
          <w:p w14:paraId="36A40072" w14:textId="77777777" w:rsidR="008C4E6E" w:rsidRDefault="00000000">
            <w:pPr>
              <w:spacing w:before="20" w:after="20" w:line="290" w:lineRule="auto"/>
              <w:jc w:val="left"/>
            </w:pPr>
            <w:r>
              <w:rPr>
                <w:rFonts w:cs="Calibri"/>
                <w:sz w:val="19"/>
                <w:szCs w:val="19"/>
              </w:rPr>
              <w:t>Layering rule</w:t>
            </w:r>
          </w:p>
        </w:tc>
        <w:tc>
          <w:tcPr>
            <w:tcW w:w="4675" w:type="dxa"/>
            <w:tcMar>
              <w:top w:w="60" w:type="dxa"/>
              <w:left w:w="100" w:type="dxa"/>
              <w:bottom w:w="60" w:type="dxa"/>
              <w:right w:w="100" w:type="dxa"/>
            </w:tcMar>
          </w:tcPr>
          <w:p w14:paraId="4CB1F745" w14:textId="77777777" w:rsidR="008C4E6E" w:rsidRDefault="00000000">
            <w:pPr>
              <w:spacing w:before="20" w:after="20" w:line="290" w:lineRule="auto"/>
              <w:jc w:val="left"/>
            </w:pPr>
            <w:r>
              <w:rPr>
                <w:rFonts w:cs="Calibri"/>
                <w:sz w:val="19"/>
                <w:szCs w:val="19"/>
              </w:rPr>
              <w:t>Every layer activates on proof, never on promise: a layer unlocks only after the previous layer demonstrates measurable stability</w:t>
            </w:r>
          </w:p>
        </w:tc>
      </w:tr>
      <w:tr w:rsidR="008C4E6E" w14:paraId="3AB5CE3F" w14:textId="77777777">
        <w:tblPrEx>
          <w:tblCellMar>
            <w:top w:w="0" w:type="dxa"/>
            <w:bottom w:w="0" w:type="dxa"/>
          </w:tblCellMar>
        </w:tblPrEx>
        <w:tc>
          <w:tcPr>
            <w:tcW w:w="4675" w:type="dxa"/>
            <w:tcMar>
              <w:top w:w="60" w:type="dxa"/>
              <w:left w:w="100" w:type="dxa"/>
              <w:bottom w:w="60" w:type="dxa"/>
              <w:right w:w="100" w:type="dxa"/>
            </w:tcMar>
          </w:tcPr>
          <w:p w14:paraId="4919A636" w14:textId="77777777" w:rsidR="008C4E6E" w:rsidRDefault="00000000">
            <w:pPr>
              <w:spacing w:before="20" w:after="20" w:line="290" w:lineRule="auto"/>
              <w:jc w:val="left"/>
            </w:pPr>
            <w:r>
              <w:rPr>
                <w:rFonts w:cs="Calibri"/>
                <w:sz w:val="19"/>
                <w:szCs w:val="19"/>
              </w:rPr>
              <w:lastRenderedPageBreak/>
              <w:t>Supersedes</w:t>
            </w:r>
          </w:p>
        </w:tc>
        <w:tc>
          <w:tcPr>
            <w:tcW w:w="4675" w:type="dxa"/>
            <w:tcMar>
              <w:top w:w="60" w:type="dxa"/>
              <w:left w:w="100" w:type="dxa"/>
              <w:bottom w:w="60" w:type="dxa"/>
              <w:right w:w="100" w:type="dxa"/>
            </w:tcMar>
          </w:tcPr>
          <w:p w14:paraId="780A3590" w14:textId="77777777" w:rsidR="008C4E6E" w:rsidRDefault="00000000">
            <w:pPr>
              <w:spacing w:before="20" w:after="20" w:line="290" w:lineRule="auto"/>
              <w:jc w:val="left"/>
            </w:pPr>
            <w:r>
              <w:rPr>
                <w:rFonts w:cs="Calibri"/>
                <w:sz w:val="19"/>
                <w:szCs w:val="19"/>
              </w:rPr>
              <w:t>No instrument; the Covenant consolidates the family of frameworks listed at Annex J and carries them from paper to water</w:t>
            </w:r>
          </w:p>
        </w:tc>
      </w:tr>
      <w:tr w:rsidR="008C4E6E" w14:paraId="52F7F771" w14:textId="77777777">
        <w:tblPrEx>
          <w:tblCellMar>
            <w:top w:w="0" w:type="dxa"/>
            <w:bottom w:w="0" w:type="dxa"/>
          </w:tblCellMar>
        </w:tblPrEx>
        <w:tc>
          <w:tcPr>
            <w:tcW w:w="4675" w:type="dxa"/>
            <w:tcMar>
              <w:top w:w="60" w:type="dxa"/>
              <w:left w:w="100" w:type="dxa"/>
              <w:bottom w:w="60" w:type="dxa"/>
              <w:right w:w="100" w:type="dxa"/>
            </w:tcMar>
          </w:tcPr>
          <w:p w14:paraId="6BB62751" w14:textId="77777777" w:rsidR="008C4E6E" w:rsidRDefault="00000000">
            <w:pPr>
              <w:spacing w:before="20" w:after="20" w:line="290" w:lineRule="auto"/>
              <w:jc w:val="left"/>
            </w:pPr>
            <w:r>
              <w:rPr>
                <w:rFonts w:cs="Calibri"/>
                <w:sz w:val="19"/>
                <w:szCs w:val="19"/>
              </w:rPr>
              <w:t>Revision of record</w:t>
            </w:r>
          </w:p>
        </w:tc>
        <w:tc>
          <w:tcPr>
            <w:tcW w:w="4675" w:type="dxa"/>
            <w:tcMar>
              <w:top w:w="60" w:type="dxa"/>
              <w:left w:w="100" w:type="dxa"/>
              <w:bottom w:w="60" w:type="dxa"/>
              <w:right w:w="100" w:type="dxa"/>
            </w:tcMar>
          </w:tcPr>
          <w:p w14:paraId="460F45DD" w14:textId="77777777" w:rsidR="008C4E6E" w:rsidRDefault="00000000">
            <w:pPr>
              <w:spacing w:before="20" w:after="20" w:line="290" w:lineRule="auto"/>
              <w:jc w:val="left"/>
            </w:pPr>
            <w:r>
              <w:rPr>
                <w:rFonts w:cs="Calibri"/>
                <w:sz w:val="19"/>
                <w:szCs w:val="19"/>
              </w:rPr>
              <w:t>Version 2.0, 12 August 2026, the Crisis Acceleration Edition: adds the Concurrent Activation Doctrine and the Emergency Acceleration Clause (Articles 6.9 and 6.10), the Crisis Entry Protocol (Article 6.11), the Intermediary Bridge (Article 2.9), the Fast-Track Corridor and the Early Fee Simulation (Articles 18.5 and 18.6), the three-pulse Synchronized Indivisible Event (Article 38.7), the crisis-era authority transition (Article 41.8), the Humanitarian Bridge (Article 43.8), the Synchronized Relief Track and the Claims Ledger (Articles 56.5 and 56.6), the False-Flag Forensic Protocol (Article 37.7), the Private Sector Confidence Trigger (Article 34.4), the Gulf accession fast-track (Article 57.1), the language reconciliation rule (Article 7.4), parliamentary notification (Article 59.8), reconstitution from dormancy (Article 5.7), the accelerated master timeline (Annex E), and the Acceleration Concordance (Annex L). This edition builds on Version 1.1 of August 2026 in full and preserves every one of its institutions.</w:t>
            </w:r>
          </w:p>
        </w:tc>
      </w:tr>
    </w:tbl>
    <w:p w14:paraId="0DDC80D2" w14:textId="77777777" w:rsidR="008C4E6E" w:rsidRDefault="008C4E6E">
      <w:pPr>
        <w:spacing w:after="80"/>
      </w:pPr>
    </w:p>
    <w:p w14:paraId="5F46B8CD" w14:textId="77777777" w:rsidR="008C4E6E" w:rsidRDefault="00000000">
      <w:pPr>
        <w:spacing w:before="40" w:after="200"/>
        <w:jc w:val="left"/>
      </w:pPr>
      <w:r>
        <w:rPr>
          <w:rFonts w:cs="Calibri"/>
          <w:i/>
          <w:color w:val="6E8A96"/>
          <w:sz w:val="19"/>
          <w:szCs w:val="19"/>
        </w:rPr>
        <w:t>Document control table. The custodian maintains this table; version increments record technical corrections and structural revisions of record.</w:t>
      </w:r>
    </w:p>
    <w:p w14:paraId="372C7960" w14:textId="77777777" w:rsidR="008C4E6E" w:rsidRDefault="00000000">
      <w:pPr>
        <w:pStyle w:val="Heading2"/>
      </w:pPr>
      <w:bookmarkStart w:id="1" w:name="_Toc237650557"/>
      <w:r>
        <w:rPr>
          <w:rFonts w:cs="Calibri Light"/>
          <w:szCs w:val="28"/>
        </w:rPr>
        <w:t>Drafting Discipline</w:t>
      </w:r>
      <w:bookmarkEnd w:id="1"/>
    </w:p>
    <w:p w14:paraId="403916BD" w14:textId="77777777" w:rsidR="008C4E6E" w:rsidRDefault="00000000">
      <w:r>
        <w:rPr>
          <w:rFonts w:cs="Calibri"/>
          <w:szCs w:val="22"/>
        </w:rPr>
        <w:t>This Covenant follows a strict drafting discipline called the Immutable Present-Tense Matrix. The discipline exists for one reason: an operational text that ships read under stress, at night, by officers whose first language differs, performs only when every sentence states what is, what happens, and who acts. Ambiguity in a strait governance text costs lives, ships, and markets within days. The interruption of the June Memorandum in July 2026 proved that lesson in public. The discipline removes the ambiguity.</w:t>
      </w:r>
    </w:p>
    <w:p w14:paraId="692A39B5" w14:textId="77777777" w:rsidR="008C4E6E" w:rsidRDefault="00000000">
      <w:pPr>
        <w:spacing w:after="100" w:line="310" w:lineRule="auto"/>
        <w:ind w:left="430" w:hanging="230"/>
      </w:pPr>
      <w:r>
        <w:rPr>
          <w:rFonts w:cs="Calibri"/>
          <w:color w:val="1F4E5F"/>
          <w:szCs w:val="22"/>
        </w:rPr>
        <w:t xml:space="preserve">•  </w:t>
      </w:r>
      <w:r>
        <w:rPr>
          <w:rFonts w:cs="Calibri"/>
          <w:szCs w:val="22"/>
        </w:rPr>
        <w:t>Every obligation reads in the active present tense. The text states what a participant does, not what a participant promises to do at some future time.</w:t>
      </w:r>
    </w:p>
    <w:p w14:paraId="13F4C7EC" w14:textId="77777777" w:rsidR="008C4E6E" w:rsidRDefault="00000000">
      <w:pPr>
        <w:spacing w:after="100" w:line="310" w:lineRule="auto"/>
        <w:ind w:left="430" w:hanging="230"/>
      </w:pPr>
      <w:r>
        <w:rPr>
          <w:rFonts w:cs="Calibri"/>
          <w:color w:val="1F4E5F"/>
          <w:szCs w:val="22"/>
        </w:rPr>
        <w:t xml:space="preserve">•  </w:t>
      </w:r>
      <w:r>
        <w:rPr>
          <w:rFonts w:cs="Calibri"/>
          <w:szCs w:val="22"/>
        </w:rPr>
        <w:t>The six banned modal auxiliaries of treaty drafting do not appear anywhere in this instrument. Operative effect never depends on a modal verb.</w:t>
      </w:r>
    </w:p>
    <w:p w14:paraId="30A6632E" w14:textId="77777777" w:rsidR="008C4E6E" w:rsidRDefault="00000000">
      <w:pPr>
        <w:spacing w:after="100" w:line="310" w:lineRule="auto"/>
        <w:ind w:left="430" w:hanging="230"/>
      </w:pPr>
      <w:r>
        <w:rPr>
          <w:rFonts w:cs="Calibri"/>
          <w:color w:val="1F4E5F"/>
          <w:szCs w:val="22"/>
        </w:rPr>
        <w:t xml:space="preserve">•  </w:t>
      </w:r>
      <w:r>
        <w:rPr>
          <w:rFonts w:cs="Calibri"/>
          <w:szCs w:val="22"/>
        </w:rPr>
        <w:t>Prohibitions attach to the framework architecture where the restraint is mutual, and to named actors where the duty is specific. No unilateral restraint hides inside a general sentence, and no clause frames one party's conduct as a favor to another.</w:t>
      </w:r>
    </w:p>
    <w:p w14:paraId="7A37A942" w14:textId="77777777" w:rsidR="008C4E6E" w:rsidRDefault="00000000">
      <w:pPr>
        <w:spacing w:after="100" w:line="310" w:lineRule="auto"/>
        <w:ind w:left="430" w:hanging="230"/>
      </w:pPr>
      <w:r>
        <w:rPr>
          <w:rFonts w:cs="Calibri"/>
          <w:color w:val="1F4E5F"/>
          <w:szCs w:val="22"/>
        </w:rPr>
        <w:lastRenderedPageBreak/>
        <w:t xml:space="preserve">•  </w:t>
      </w:r>
      <w:r>
        <w:rPr>
          <w:rFonts w:cs="Calibri"/>
          <w:szCs w:val="22"/>
        </w:rPr>
        <w:t>The text uses no em dashes. A comma, a colon, or a period carries the pause.</w:t>
      </w:r>
    </w:p>
    <w:p w14:paraId="4465491B" w14:textId="77777777" w:rsidR="008C4E6E" w:rsidRDefault="00000000">
      <w:pPr>
        <w:spacing w:after="100" w:line="310" w:lineRule="auto"/>
        <w:ind w:left="430" w:hanging="230"/>
      </w:pPr>
      <w:r>
        <w:rPr>
          <w:rFonts w:cs="Calibri"/>
          <w:color w:val="1F4E5F"/>
          <w:szCs w:val="22"/>
        </w:rPr>
        <w:t xml:space="preserve">•  </w:t>
      </w:r>
      <w:r>
        <w:rPr>
          <w:rFonts w:cs="Calibri"/>
          <w:szCs w:val="22"/>
        </w:rPr>
        <w:t>Where a condition triggers a consequence, the trigger fires in the present tense: when X occurs, Y follows. No discretion sits inside an automatic step.</w:t>
      </w:r>
    </w:p>
    <w:p w14:paraId="7CB25BA9" w14:textId="77777777" w:rsidR="008C4E6E" w:rsidRDefault="00000000">
      <w:pPr>
        <w:spacing w:after="100" w:line="310" w:lineRule="auto"/>
        <w:ind w:left="430" w:hanging="230"/>
      </w:pPr>
      <w:r>
        <w:rPr>
          <w:rFonts w:cs="Calibri"/>
          <w:color w:val="1F4E5F"/>
          <w:szCs w:val="22"/>
        </w:rPr>
        <w:t xml:space="preserve">•  </w:t>
      </w:r>
      <w:r>
        <w:rPr>
          <w:rFonts w:cs="Calibri"/>
          <w:szCs w:val="22"/>
        </w:rPr>
        <w:t>Every sentence carries a clear, active subject performing a direct action. The passive voice appears nowhere in this instrument.</w:t>
      </w:r>
    </w:p>
    <w:p w14:paraId="61734DD7" w14:textId="77777777" w:rsidR="008C4E6E" w:rsidRDefault="00000000">
      <w:r>
        <w:rPr>
          <w:rFonts w:cs="Calibri"/>
          <w:szCs w:val="22"/>
        </w:rPr>
        <w:t>Examples of the register: The Desk issues an acknowledgment within thirty minutes. Silence constitutes consent. The framework architecture excludes kinetic enforcement mechanisms. A participant is prohibited from charging any charge for passage. Corridor activation and blockade termination execute as one event in one hour.</w:t>
      </w:r>
    </w:p>
    <w:p w14:paraId="1F7E1D3B" w14:textId="77777777" w:rsidR="008C4E6E" w:rsidRDefault="00000000">
      <w:r>
        <w:rPr>
          <w:rFonts w:cs="Calibri"/>
          <w:szCs w:val="22"/>
        </w:rPr>
        <w:t>Any conflict between a numbered clause and a narrative paragraph resolves in favor of the numbered clause. Any conflict between this Covenant and a national instruction resolves through the hotline and the Calm Waters Center, never through unilateral action inside the Governance Area.</w:t>
      </w:r>
    </w:p>
    <w:p w14:paraId="44341808" w14:textId="77777777" w:rsidR="008C4E6E" w:rsidRDefault="00000000">
      <w:pPr>
        <w:pStyle w:val="Heading2"/>
      </w:pPr>
      <w:bookmarkStart w:id="2" w:name="_Toc237650558"/>
      <w:r>
        <w:rPr>
          <w:rFonts w:cs="Calibri Light"/>
          <w:szCs w:val="28"/>
        </w:rPr>
        <w:t>How to Read This Covenant</w:t>
      </w:r>
      <w:bookmarkEnd w:id="2"/>
    </w:p>
    <w:p w14:paraId="1D8ABC35" w14:textId="77777777" w:rsidR="008C4E6E" w:rsidRDefault="00000000">
      <w:r>
        <w:rPr>
          <w:rFonts w:cs="Calibri"/>
          <w:szCs w:val="22"/>
        </w:rPr>
        <w:t>This instrument contains a Declaration of Calm Waters, a Preamble, the Legal Ladder of Part 0, a main body of fifty-nine Articles organized in eight Parts, and twelve operative Annexes. The eight Parts form seven layers of one architecture, running from the smallest reversible micro-exercise to the permanent charter, and the layers sit in one document because a negotiator never hands the parties a map in pieces.</w:t>
      </w:r>
    </w:p>
    <w:p w14:paraId="6E62F3CD" w14:textId="77777777" w:rsidR="008C4E6E" w:rsidRDefault="00000000">
      <w:r>
        <w:rPr>
          <w:rFonts w:cs="Calibri"/>
          <w:szCs w:val="22"/>
        </w:rPr>
        <w:t>A reader who has fifteen minutes reads the Declaration of Calm Waters, the Legal Ladder of Part 0, Article 6, and the Master Timeline at Annex E. A political principal reads Articles 0.2, 6, 38, 50, and Annexes G and K. A watch officer reads Articles 16 to 24 and Annexes A and D. A finance officer reads Articles 31, 32, 35, 50 to 52, and Annex C. A drafter checking red lines reads Annex F and applies the Perimeter Test of Article 8. A negotiator racing the crisis clock reads Articles 6.9 to 6.11, 18.5, and 38.7, and Annexes E and L.</w:t>
      </w:r>
    </w:p>
    <w:p w14:paraId="652FE24D" w14:textId="77777777" w:rsidR="008C4E6E" w:rsidRDefault="00000000">
      <w:r>
        <w:rPr>
          <w:rFonts w:cs="Calibri"/>
          <w:szCs w:val="22"/>
        </w:rPr>
        <w:t>The layering rule governs the whole text: every layer activates on proof, never on promise. Layer One costs nothing and concedes nothing. Each later layer exists in this document from the first day, but sleeps until the gate before it opens. The parties therefore negotiate the entire architecture once, in the calm of a conference room, and the water itself decides the timing. This design removes the two questions that killed earlier rounds: who moves first, and who trusts first. The architecture moves both sides together, and it substitutes measurement for trust.</w:t>
      </w:r>
    </w:p>
    <w:p w14:paraId="79099449" w14:textId="77777777" w:rsidR="008C4E6E" w:rsidRDefault="00000000">
      <w:pPr>
        <w:pStyle w:val="Heading1"/>
      </w:pPr>
      <w:bookmarkStart w:id="3" w:name="_Toc237650559"/>
      <w:r>
        <w:rPr>
          <w:rFonts w:cs="Calibri Light"/>
          <w:szCs w:val="36"/>
        </w:rPr>
        <w:lastRenderedPageBreak/>
        <w:t>The Declaration of Calm Waters</w:t>
      </w:r>
      <w:bookmarkEnd w:id="3"/>
    </w:p>
    <w:p w14:paraId="7F8ABF6F" w14:textId="77777777" w:rsidR="008C4E6E" w:rsidRDefault="00000000">
      <w:r>
        <w:rPr>
          <w:rFonts w:cs="Calibri"/>
          <w:szCs w:val="22"/>
        </w:rPr>
        <w:t>The participants set down sixteen lines. Every article in this Covenant serves these lines, and no measure under this Covenant crosses them. Each line names a red line held by at least one participant; the full register, with holders and design consequences, stands at Annex F.</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9506"/>
      </w:tblGrid>
      <w:tr w:rsidR="008C4E6E" w14:paraId="6D8AED4E" w14:textId="77777777">
        <w:tblPrEx>
          <w:tblCellMar>
            <w:top w:w="0" w:type="dxa"/>
            <w:bottom w:w="0" w:type="dxa"/>
          </w:tblCellMar>
        </w:tblPrEx>
        <w:trPr>
          <w:tblHeader/>
        </w:trPr>
        <w:tc>
          <w:tcPr>
            <w:tcW w:w="9350" w:type="dxa"/>
            <w:shd w:val="clear" w:color="auto" w:fill="E4EEF1"/>
            <w:tcMar>
              <w:top w:w="60" w:type="dxa"/>
              <w:left w:w="100" w:type="dxa"/>
              <w:bottom w:w="60" w:type="dxa"/>
              <w:right w:w="100" w:type="dxa"/>
            </w:tcMar>
          </w:tcPr>
          <w:p w14:paraId="08DEFC8A" w14:textId="77777777" w:rsidR="008C4E6E" w:rsidRDefault="00000000">
            <w:pPr>
              <w:spacing w:before="20" w:after="20" w:line="290" w:lineRule="auto"/>
              <w:jc w:val="left"/>
            </w:pPr>
            <w:r>
              <w:rPr>
                <w:rFonts w:cs="Calibri"/>
                <w:b/>
                <w:color w:val="1F4E5F"/>
                <w:sz w:val="19"/>
                <w:szCs w:val="19"/>
              </w:rPr>
              <w:t>The Sixteen Lines</w:t>
            </w:r>
          </w:p>
        </w:tc>
      </w:tr>
      <w:tr w:rsidR="008C4E6E" w14:paraId="039FA0F3" w14:textId="77777777">
        <w:tblPrEx>
          <w:tblCellMar>
            <w:top w:w="0" w:type="dxa"/>
            <w:bottom w:w="0" w:type="dxa"/>
          </w:tblCellMar>
        </w:tblPrEx>
        <w:tc>
          <w:tcPr>
            <w:tcW w:w="9350" w:type="dxa"/>
            <w:tcMar>
              <w:top w:w="60" w:type="dxa"/>
              <w:left w:w="100" w:type="dxa"/>
              <w:bottom w:w="60" w:type="dxa"/>
              <w:right w:w="100" w:type="dxa"/>
            </w:tcMar>
          </w:tcPr>
          <w:p w14:paraId="05BECBDD" w14:textId="77777777" w:rsidR="008C4E6E" w:rsidRDefault="00000000">
            <w:pPr>
              <w:spacing w:before="20" w:after="20" w:line="290" w:lineRule="auto"/>
              <w:jc w:val="left"/>
            </w:pPr>
            <w:r>
              <w:rPr>
                <w:rFonts w:cs="Calibri"/>
                <w:sz w:val="19"/>
                <w:szCs w:val="19"/>
              </w:rPr>
              <w:t>1. The Strait of Hormuz stays open. No state closes it, blocks it, or slows it.</w:t>
            </w:r>
          </w:p>
        </w:tc>
      </w:tr>
      <w:tr w:rsidR="008C4E6E" w14:paraId="57E3855D" w14:textId="77777777">
        <w:tblPrEx>
          <w:tblCellMar>
            <w:top w:w="0" w:type="dxa"/>
            <w:bottom w:w="0" w:type="dxa"/>
          </w:tblCellMar>
        </w:tblPrEx>
        <w:tc>
          <w:tcPr>
            <w:tcW w:w="9350" w:type="dxa"/>
            <w:tcMar>
              <w:top w:w="60" w:type="dxa"/>
              <w:left w:w="100" w:type="dxa"/>
              <w:bottom w:w="60" w:type="dxa"/>
              <w:right w:w="100" w:type="dxa"/>
            </w:tcMar>
          </w:tcPr>
          <w:p w14:paraId="1DEE3E94" w14:textId="77777777" w:rsidR="008C4E6E" w:rsidRDefault="00000000">
            <w:pPr>
              <w:spacing w:before="20" w:after="20" w:line="290" w:lineRule="auto"/>
              <w:jc w:val="left"/>
            </w:pPr>
            <w:r>
              <w:rPr>
                <w:rFonts w:cs="Calibri"/>
                <w:sz w:val="19"/>
                <w:szCs w:val="19"/>
              </w:rPr>
              <w:t>2. Transit carries no charge, in any corridor, for any vessel, ever. No toll, tariff, fee, duty, levy, or charge of any kind attaches to the act of passage, under any name and under any flow state.</w:t>
            </w:r>
          </w:p>
        </w:tc>
      </w:tr>
      <w:tr w:rsidR="008C4E6E" w14:paraId="226DAA9A" w14:textId="77777777">
        <w:tblPrEx>
          <w:tblCellMar>
            <w:top w:w="0" w:type="dxa"/>
            <w:bottom w:w="0" w:type="dxa"/>
          </w:tblCellMar>
        </w:tblPrEx>
        <w:tc>
          <w:tcPr>
            <w:tcW w:w="9350" w:type="dxa"/>
            <w:tcMar>
              <w:top w:w="60" w:type="dxa"/>
              <w:left w:w="100" w:type="dxa"/>
              <w:bottom w:w="60" w:type="dxa"/>
              <w:right w:w="100" w:type="dxa"/>
            </w:tcMar>
          </w:tcPr>
          <w:p w14:paraId="4E801335" w14:textId="77777777" w:rsidR="008C4E6E" w:rsidRDefault="00000000">
            <w:pPr>
              <w:spacing w:before="20" w:after="20" w:line="290" w:lineRule="auto"/>
              <w:jc w:val="left"/>
            </w:pPr>
            <w:r>
              <w:rPr>
                <w:rFonts w:cs="Calibri"/>
                <w:sz w:val="19"/>
                <w:szCs w:val="19"/>
              </w:rPr>
              <w:t>3. Real services carry real costs, and coastal states recover the audited cost of verified services from a multilateral fund under neutral administration. No shipper pays any state directly for anything connected to passage.</w:t>
            </w:r>
          </w:p>
        </w:tc>
      </w:tr>
      <w:tr w:rsidR="008C4E6E" w14:paraId="1ED7BCA7" w14:textId="77777777">
        <w:tblPrEx>
          <w:tblCellMar>
            <w:top w:w="0" w:type="dxa"/>
            <w:bottom w:w="0" w:type="dxa"/>
          </w:tblCellMar>
        </w:tblPrEx>
        <w:tc>
          <w:tcPr>
            <w:tcW w:w="9350" w:type="dxa"/>
            <w:tcMar>
              <w:top w:w="60" w:type="dxa"/>
              <w:left w:w="100" w:type="dxa"/>
              <w:bottom w:w="60" w:type="dxa"/>
              <w:right w:w="100" w:type="dxa"/>
            </w:tcMar>
          </w:tcPr>
          <w:p w14:paraId="6436A152" w14:textId="77777777" w:rsidR="008C4E6E" w:rsidRDefault="00000000">
            <w:pPr>
              <w:spacing w:before="20" w:after="20" w:line="290" w:lineRule="auto"/>
              <w:jc w:val="left"/>
            </w:pPr>
            <w:r>
              <w:rPr>
                <w:rFonts w:cs="Calibri"/>
                <w:sz w:val="19"/>
                <w:szCs w:val="19"/>
              </w:rPr>
              <w:t>4. No warship boards, inspects, diverts, or delays a commercial vessel inside the corridors. Commercial transit operates under an absolute non-interdiction protocol within the framework.</w:t>
            </w:r>
          </w:p>
        </w:tc>
      </w:tr>
      <w:tr w:rsidR="008C4E6E" w14:paraId="56B63B64" w14:textId="77777777">
        <w:tblPrEx>
          <w:tblCellMar>
            <w:top w:w="0" w:type="dxa"/>
            <w:bottom w:w="0" w:type="dxa"/>
          </w:tblCellMar>
        </w:tblPrEx>
        <w:tc>
          <w:tcPr>
            <w:tcW w:w="9350" w:type="dxa"/>
            <w:tcMar>
              <w:top w:w="60" w:type="dxa"/>
              <w:left w:w="100" w:type="dxa"/>
              <w:bottom w:w="60" w:type="dxa"/>
              <w:right w:w="100" w:type="dxa"/>
            </w:tcMar>
          </w:tcPr>
          <w:p w14:paraId="556D21CB" w14:textId="77777777" w:rsidR="008C4E6E" w:rsidRDefault="00000000">
            <w:pPr>
              <w:spacing w:before="20" w:after="20" w:line="290" w:lineRule="auto"/>
              <w:jc w:val="left"/>
            </w:pPr>
            <w:r>
              <w:rPr>
                <w:rFonts w:cs="Calibri"/>
                <w:sz w:val="19"/>
                <w:szCs w:val="19"/>
              </w:rPr>
              <w:t>5. No state places mines in the Strait. Mines in the water come out of the water on a verified schedule.</w:t>
            </w:r>
          </w:p>
        </w:tc>
      </w:tr>
      <w:tr w:rsidR="008C4E6E" w14:paraId="3B99DD25" w14:textId="77777777">
        <w:tblPrEx>
          <w:tblCellMar>
            <w:top w:w="0" w:type="dxa"/>
            <w:bottom w:w="0" w:type="dxa"/>
          </w:tblCellMar>
        </w:tblPrEx>
        <w:tc>
          <w:tcPr>
            <w:tcW w:w="9350" w:type="dxa"/>
            <w:tcMar>
              <w:top w:w="60" w:type="dxa"/>
              <w:left w:w="100" w:type="dxa"/>
              <w:bottom w:w="60" w:type="dxa"/>
              <w:right w:w="100" w:type="dxa"/>
            </w:tcMar>
          </w:tcPr>
          <w:p w14:paraId="28115295" w14:textId="77777777" w:rsidR="008C4E6E" w:rsidRDefault="00000000">
            <w:pPr>
              <w:spacing w:before="20" w:after="20" w:line="290" w:lineRule="auto"/>
              <w:jc w:val="left"/>
            </w:pPr>
            <w:r>
              <w:rPr>
                <w:rFonts w:cs="Calibri"/>
                <w:sz w:val="19"/>
                <w:szCs w:val="19"/>
              </w:rPr>
              <w:t>6. Iranian sovereignty over Iranian waters stands. Omani sovereignty over Omani waters stands. This Covenant allocates functions, never title, and prejudges no boundary or claim.</w:t>
            </w:r>
          </w:p>
        </w:tc>
      </w:tr>
      <w:tr w:rsidR="008C4E6E" w14:paraId="715A41BC" w14:textId="77777777">
        <w:tblPrEx>
          <w:tblCellMar>
            <w:top w:w="0" w:type="dxa"/>
            <w:bottom w:w="0" w:type="dxa"/>
          </w:tblCellMar>
        </w:tblPrEx>
        <w:tc>
          <w:tcPr>
            <w:tcW w:w="9350" w:type="dxa"/>
            <w:tcMar>
              <w:top w:w="60" w:type="dxa"/>
              <w:left w:w="100" w:type="dxa"/>
              <w:bottom w:w="60" w:type="dxa"/>
              <w:right w:w="100" w:type="dxa"/>
            </w:tcMar>
          </w:tcPr>
          <w:p w14:paraId="18C5A511" w14:textId="77777777" w:rsidR="008C4E6E" w:rsidRDefault="00000000">
            <w:pPr>
              <w:spacing w:before="20" w:after="20" w:line="290" w:lineRule="auto"/>
              <w:jc w:val="left"/>
            </w:pPr>
            <w:r>
              <w:rPr>
                <w:rFonts w:cs="Calibri"/>
                <w:sz w:val="19"/>
                <w:szCs w:val="19"/>
              </w:rPr>
              <w:t>7. No participant holds a unilateral veto over transit, and no participant governs the Strait alone. Every consequential action carries two concurring keys. Transit flows through rules, not through permission.</w:t>
            </w:r>
          </w:p>
        </w:tc>
      </w:tr>
      <w:tr w:rsidR="008C4E6E" w14:paraId="31DF5A38" w14:textId="77777777">
        <w:tblPrEx>
          <w:tblCellMar>
            <w:top w:w="0" w:type="dxa"/>
            <w:bottom w:w="0" w:type="dxa"/>
          </w:tblCellMar>
        </w:tblPrEx>
        <w:tc>
          <w:tcPr>
            <w:tcW w:w="9350" w:type="dxa"/>
            <w:tcMar>
              <w:top w:w="60" w:type="dxa"/>
              <w:left w:w="100" w:type="dxa"/>
              <w:bottom w:w="60" w:type="dxa"/>
              <w:right w:w="100" w:type="dxa"/>
            </w:tcMar>
          </w:tcPr>
          <w:p w14:paraId="2E98AADB" w14:textId="77777777" w:rsidR="008C4E6E" w:rsidRDefault="00000000">
            <w:pPr>
              <w:spacing w:before="20" w:after="20" w:line="290" w:lineRule="auto"/>
              <w:jc w:val="left"/>
            </w:pPr>
            <w:r>
              <w:rPr>
                <w:rFonts w:cs="Calibri"/>
                <w:sz w:val="19"/>
                <w:szCs w:val="19"/>
              </w:rPr>
              <w:t>8. No external state or body commands any element of this Covenant. Endorsing Stakeholders observe, monitor, de-conflict, and contribute; they never command.</w:t>
            </w:r>
          </w:p>
        </w:tc>
      </w:tr>
      <w:tr w:rsidR="008C4E6E" w14:paraId="48B5DBF3" w14:textId="77777777">
        <w:tblPrEx>
          <w:tblCellMar>
            <w:top w:w="0" w:type="dxa"/>
            <w:bottom w:w="0" w:type="dxa"/>
          </w:tblCellMar>
        </w:tblPrEx>
        <w:tc>
          <w:tcPr>
            <w:tcW w:w="9350" w:type="dxa"/>
            <w:tcMar>
              <w:top w:w="60" w:type="dxa"/>
              <w:left w:w="100" w:type="dxa"/>
              <w:bottom w:w="60" w:type="dxa"/>
              <w:right w:w="100" w:type="dxa"/>
            </w:tcMar>
          </w:tcPr>
          <w:p w14:paraId="6094D4D5" w14:textId="77777777" w:rsidR="008C4E6E" w:rsidRDefault="00000000">
            <w:pPr>
              <w:spacing w:before="20" w:after="20" w:line="290" w:lineRule="auto"/>
              <w:jc w:val="left"/>
            </w:pPr>
            <w:r>
              <w:rPr>
                <w:rFonts w:cs="Calibri"/>
                <w:sz w:val="19"/>
                <w:szCs w:val="19"/>
              </w:rPr>
              <w:t>9. The blockade of Iranian ports terminates in synchronization with corridor activation, in one event, in one hour, on a published script.</w:t>
            </w:r>
          </w:p>
        </w:tc>
      </w:tr>
      <w:tr w:rsidR="008C4E6E" w14:paraId="0BA94A83" w14:textId="77777777">
        <w:tblPrEx>
          <w:tblCellMar>
            <w:top w:w="0" w:type="dxa"/>
            <w:bottom w:w="0" w:type="dxa"/>
          </w:tblCellMar>
        </w:tblPrEx>
        <w:tc>
          <w:tcPr>
            <w:tcW w:w="9350" w:type="dxa"/>
            <w:tcMar>
              <w:top w:w="60" w:type="dxa"/>
              <w:left w:w="100" w:type="dxa"/>
              <w:bottom w:w="60" w:type="dxa"/>
              <w:right w:w="100" w:type="dxa"/>
            </w:tcMar>
          </w:tcPr>
          <w:p w14:paraId="03C3DAB0" w14:textId="77777777" w:rsidR="008C4E6E" w:rsidRDefault="00000000">
            <w:pPr>
              <w:spacing w:before="20" w:after="20" w:line="290" w:lineRule="auto"/>
              <w:jc w:val="left"/>
            </w:pPr>
            <w:r>
              <w:rPr>
                <w:rFonts w:cs="Calibri"/>
                <w:sz w:val="19"/>
                <w:szCs w:val="19"/>
              </w:rPr>
              <w:t>10. The permission machinery of the crisis period ends on activation. Notification produces acknowledgment, never approval.</w:t>
            </w:r>
          </w:p>
        </w:tc>
      </w:tr>
      <w:tr w:rsidR="008C4E6E" w14:paraId="1CC56FAB" w14:textId="77777777">
        <w:tblPrEx>
          <w:tblCellMar>
            <w:top w:w="0" w:type="dxa"/>
            <w:bottom w:w="0" w:type="dxa"/>
          </w:tblCellMar>
        </w:tblPrEx>
        <w:tc>
          <w:tcPr>
            <w:tcW w:w="9350" w:type="dxa"/>
            <w:tcMar>
              <w:top w:w="60" w:type="dxa"/>
              <w:left w:w="100" w:type="dxa"/>
              <w:bottom w:w="60" w:type="dxa"/>
              <w:right w:w="100" w:type="dxa"/>
            </w:tcMar>
          </w:tcPr>
          <w:p w14:paraId="789C3C62" w14:textId="77777777" w:rsidR="008C4E6E" w:rsidRDefault="00000000">
            <w:pPr>
              <w:spacing w:before="20" w:after="20" w:line="290" w:lineRule="auto"/>
              <w:jc w:val="left"/>
            </w:pPr>
            <w:r>
              <w:rPr>
                <w:rFonts w:cs="Calibri"/>
                <w:sz w:val="19"/>
                <w:szCs w:val="19"/>
              </w:rPr>
              <w:t>11. Humanitarian cargo moves first, always, under every flow state, without inspection delay.</w:t>
            </w:r>
          </w:p>
        </w:tc>
      </w:tr>
      <w:tr w:rsidR="008C4E6E" w14:paraId="556FB533" w14:textId="77777777">
        <w:tblPrEx>
          <w:tblCellMar>
            <w:top w:w="0" w:type="dxa"/>
            <w:bottom w:w="0" w:type="dxa"/>
          </w:tblCellMar>
        </w:tblPrEx>
        <w:tc>
          <w:tcPr>
            <w:tcW w:w="9350" w:type="dxa"/>
            <w:tcMar>
              <w:top w:w="60" w:type="dxa"/>
              <w:left w:w="100" w:type="dxa"/>
              <w:bottom w:w="60" w:type="dxa"/>
              <w:right w:w="100" w:type="dxa"/>
            </w:tcMar>
          </w:tcPr>
          <w:p w14:paraId="5D59B488" w14:textId="77777777" w:rsidR="008C4E6E" w:rsidRDefault="00000000">
            <w:pPr>
              <w:spacing w:before="20" w:after="20" w:line="290" w:lineRule="auto"/>
              <w:jc w:val="left"/>
            </w:pPr>
            <w:r>
              <w:rPr>
                <w:rFonts w:cs="Calibri"/>
                <w:sz w:val="19"/>
                <w:szCs w:val="19"/>
              </w:rPr>
              <w:t>12. Verification runs on a human anchor: named officers, paired across flags, on the water and on the record. No finding of fact rests on a single input.</w:t>
            </w:r>
          </w:p>
        </w:tc>
      </w:tr>
      <w:tr w:rsidR="008C4E6E" w14:paraId="14A24A4E" w14:textId="77777777">
        <w:tblPrEx>
          <w:tblCellMar>
            <w:top w:w="0" w:type="dxa"/>
            <w:bottom w:w="0" w:type="dxa"/>
          </w:tblCellMar>
        </w:tblPrEx>
        <w:tc>
          <w:tcPr>
            <w:tcW w:w="9350" w:type="dxa"/>
            <w:tcMar>
              <w:top w:w="60" w:type="dxa"/>
              <w:left w:w="100" w:type="dxa"/>
              <w:bottom w:w="60" w:type="dxa"/>
              <w:right w:w="100" w:type="dxa"/>
            </w:tcMar>
          </w:tcPr>
          <w:p w14:paraId="39873FAB" w14:textId="77777777" w:rsidR="008C4E6E" w:rsidRDefault="00000000">
            <w:pPr>
              <w:spacing w:before="20" w:after="20" w:line="290" w:lineRule="auto"/>
              <w:jc w:val="left"/>
            </w:pPr>
            <w:r>
              <w:rPr>
                <w:rFonts w:cs="Calibri"/>
                <w:sz w:val="19"/>
                <w:szCs w:val="19"/>
              </w:rPr>
              <w:t>13. Every layer activates on proof and every consequence reverses on verified performance. One error costs days, not the system. Sabotage costs standing. No provision of this Covenant escalates to force by itself.</w:t>
            </w:r>
          </w:p>
        </w:tc>
      </w:tr>
      <w:tr w:rsidR="008C4E6E" w14:paraId="4EFE293F" w14:textId="77777777">
        <w:tblPrEx>
          <w:tblCellMar>
            <w:top w:w="0" w:type="dxa"/>
            <w:bottom w:w="0" w:type="dxa"/>
          </w:tblCellMar>
        </w:tblPrEx>
        <w:tc>
          <w:tcPr>
            <w:tcW w:w="9350" w:type="dxa"/>
            <w:tcMar>
              <w:top w:w="60" w:type="dxa"/>
              <w:left w:w="100" w:type="dxa"/>
              <w:bottom w:w="60" w:type="dxa"/>
              <w:right w:w="100" w:type="dxa"/>
            </w:tcMar>
          </w:tcPr>
          <w:p w14:paraId="31095B3E" w14:textId="77777777" w:rsidR="008C4E6E" w:rsidRDefault="00000000">
            <w:pPr>
              <w:spacing w:before="20" w:after="20" w:line="290" w:lineRule="auto"/>
              <w:jc w:val="left"/>
            </w:pPr>
            <w:r>
              <w:rPr>
                <w:rFonts w:cs="Calibri"/>
                <w:sz w:val="19"/>
                <w:szCs w:val="19"/>
              </w:rPr>
              <w:t>14. The assets, data, and channels of this Covenant never support kinetic action, targeting, or sanctions enforcement by any actor. Data serves safety and verification, never intelligence.</w:t>
            </w:r>
          </w:p>
        </w:tc>
      </w:tr>
      <w:tr w:rsidR="008C4E6E" w14:paraId="0397B2A8" w14:textId="77777777">
        <w:tblPrEx>
          <w:tblCellMar>
            <w:top w:w="0" w:type="dxa"/>
            <w:bottom w:w="0" w:type="dxa"/>
          </w:tblCellMar>
        </w:tblPrEx>
        <w:tc>
          <w:tcPr>
            <w:tcW w:w="9350" w:type="dxa"/>
            <w:tcMar>
              <w:top w:w="60" w:type="dxa"/>
              <w:left w:w="100" w:type="dxa"/>
              <w:bottom w:w="60" w:type="dxa"/>
              <w:right w:w="100" w:type="dxa"/>
            </w:tcMar>
          </w:tcPr>
          <w:p w14:paraId="078139EB" w14:textId="77777777" w:rsidR="008C4E6E" w:rsidRDefault="00000000">
            <w:pPr>
              <w:spacing w:before="20" w:after="20" w:line="290" w:lineRule="auto"/>
              <w:jc w:val="left"/>
            </w:pPr>
            <w:r>
              <w:rPr>
                <w:rFonts w:cs="Calibri"/>
                <w:sz w:val="19"/>
                <w:szCs w:val="19"/>
              </w:rPr>
              <w:t>15. Every participant holds the right to walk away by deliberate, noticed act. Participation persists through performance, not through penalty.</w:t>
            </w:r>
          </w:p>
        </w:tc>
      </w:tr>
      <w:tr w:rsidR="008C4E6E" w14:paraId="37D515CF" w14:textId="77777777">
        <w:tblPrEx>
          <w:tblCellMar>
            <w:top w:w="0" w:type="dxa"/>
            <w:bottom w:w="0" w:type="dxa"/>
          </w:tblCellMar>
        </w:tblPrEx>
        <w:tc>
          <w:tcPr>
            <w:tcW w:w="9350" w:type="dxa"/>
            <w:tcMar>
              <w:top w:w="60" w:type="dxa"/>
              <w:left w:w="100" w:type="dxa"/>
              <w:bottom w:w="60" w:type="dxa"/>
              <w:right w:w="100" w:type="dxa"/>
            </w:tcMar>
          </w:tcPr>
          <w:p w14:paraId="6DAD990A" w14:textId="77777777" w:rsidR="008C4E6E" w:rsidRDefault="00000000">
            <w:pPr>
              <w:spacing w:before="20" w:after="20" w:line="290" w:lineRule="auto"/>
              <w:jc w:val="left"/>
            </w:pPr>
            <w:r>
              <w:rPr>
                <w:rFonts w:cs="Calibri"/>
                <w:sz w:val="19"/>
                <w:szCs w:val="19"/>
              </w:rPr>
              <w:t>16. This Covenant has no sunset. It stands until a successor instrument replaces it, and it stands on its own if none does.</w:t>
            </w:r>
          </w:p>
        </w:tc>
      </w:tr>
    </w:tbl>
    <w:p w14:paraId="04B285BD" w14:textId="77777777" w:rsidR="008C4E6E" w:rsidRDefault="008C4E6E">
      <w:pPr>
        <w:spacing w:after="80"/>
      </w:pPr>
    </w:p>
    <w:p w14:paraId="4FC1477A" w14:textId="77777777" w:rsidR="008C4E6E" w:rsidRDefault="00000000">
      <w:pPr>
        <w:spacing w:before="40" w:after="200"/>
        <w:jc w:val="left"/>
      </w:pPr>
      <w:r>
        <w:rPr>
          <w:rFonts w:cs="Calibri"/>
          <w:i/>
          <w:color w:val="6E8A96"/>
          <w:sz w:val="19"/>
          <w:szCs w:val="19"/>
        </w:rPr>
        <w:t>The Declaration guides interpretation. Where a clause admits two readings, the reading that keeps all sixteen lines intact prevails.</w:t>
      </w:r>
    </w:p>
    <w:p w14:paraId="44DFE66A" w14:textId="77777777" w:rsidR="008C4E6E" w:rsidRDefault="00000000">
      <w:pPr>
        <w:pStyle w:val="Heading1"/>
      </w:pPr>
      <w:bookmarkStart w:id="4" w:name="_Toc237650560"/>
      <w:r>
        <w:rPr>
          <w:rFonts w:cs="Calibri Light"/>
          <w:szCs w:val="36"/>
        </w:rPr>
        <w:lastRenderedPageBreak/>
        <w:t>Preamble: The Moment of August 2026</w:t>
      </w:r>
      <w:bookmarkEnd w:id="4"/>
    </w:p>
    <w:p w14:paraId="5C975B34" w14:textId="77777777" w:rsidR="008C4E6E" w:rsidRDefault="00000000">
      <w:r>
        <w:rPr>
          <w:rFonts w:cs="Calibri"/>
          <w:szCs w:val="22"/>
        </w:rPr>
        <w:t>In the second week of August 2026 the Strait of Hormuz stands at the narrowest point of a five-month war, and at the widest opening of a diplomatic window. Iranian and Omani negotiators hold a completed draft arrangement on joint management of the Strait: inbound traffic coordinates through Iranian waters, outbound traffic coordinates through Omani waters, and the geographic coordinates of the route stand agreed between the two coastal states. The arrangement awaits final political approval in Tehran, and Tehran now conditions the reopening of the Strait on the correction of the blockade, on the end of strikes and threats, and on respect for the June Memorandum. Washington calls a deal imminent and rejects any charge on passage in any form. Messages between the two capitals travel through intermediaries in Muscat, Doha, and Islamabad. Traffic through the Strait runs at fewer than ten vessels a day against a pre-war norm of about one hundred and ten, a naval blockade has redirected more than forty commercial vessels since the middle of July, and thousands of mariners wait on anchored ships. The sixty-day window of the Islamabad Memorandum closes on 17 August 2026.</w:t>
      </w:r>
    </w:p>
    <w:p w14:paraId="3592CCE8" w14:textId="77777777" w:rsidR="008C4E6E" w:rsidRDefault="00000000">
      <w:r>
        <w:rPr>
          <w:rFonts w:cs="Calibri"/>
          <w:szCs w:val="22"/>
        </w:rPr>
        <w:t>The same week exposed the three questions that still divide the parties. First, the fee question: Iran asserts a right to compensation for services it provides to shipping, and insists it seeks no toll on passage; the United States rejects any charge on passage in any form and warns third states against facilitating collection; eight international shipping associations protest any fee at the point of transit. Second, the sequence question: Iran conditions full reopening on the end of the American blockade of its ports, the end of threats, and respect for the June Memorandum; the United States conditions relief on restored, safe, toll-free navigation. Third, the authority question: Iran insists the Strait never returns to being an unmanaged waterway and claims recognition of its management role; the United States and the Gulf states reject unilateral control by any one state.</w:t>
      </w:r>
    </w:p>
    <w:p w14:paraId="5BCBB327" w14:textId="77777777" w:rsidR="008C4E6E" w:rsidRDefault="00000000">
      <w:r>
        <w:rPr>
          <w:rFonts w:cs="Calibri"/>
          <w:szCs w:val="22"/>
        </w:rPr>
        <w:t>This Covenant answers all three questions with one design. It answers the fee question with the service distinction that maritime law and the Malacca practice supply: passage is free, services carry audited cost recovery through a neutral multilateral fund, and no ship pays any state at the point of passage. It answers the sequence question with synchronization: every Iranian step and every American step execute as paired events on one published clock, so no side moves first and no side trusts first. It answers the authority question with function rather than title: each coastal state performs recognized management functions in its own waters, every consequential action carries two keys, and no external power commands anything. The architecture holds every red line at once because it assigns each function to the actor positioned to perform it without crossing another participant's line.</w:t>
      </w:r>
    </w:p>
    <w:p w14:paraId="30A4B4F6" w14:textId="77777777" w:rsidR="008C4E6E" w:rsidRDefault="00000000">
      <w:r>
        <w:rPr>
          <w:rFonts w:cs="Calibri"/>
          <w:szCs w:val="22"/>
        </w:rPr>
        <w:t xml:space="preserve">This Covenant answers two lessons the crisis taught in blood and freight rates. The first lesson: a governance system that arrives complete on one day arrives brittle. Ships, insurers, officers, and publics trust what they watch working. The second lesson: a governance system that arrives in eighteen months arrives after the window closes. The diplomatic openings of 2026 measured themselves in days. This instrument therefore grows the system in seven layers, from micro-exercises to a permanent charter, </w:t>
      </w:r>
      <w:r>
        <w:rPr>
          <w:rFonts w:cs="Calibri"/>
          <w:szCs w:val="22"/>
        </w:rPr>
        <w:lastRenderedPageBreak/>
        <w:t>and it runs those layers concurrently under the Concurrent Activation Doctrine of Article 6.9, so that proof accumulates in parallel and the full architecture stands inside one hundred and twenty days.</w:t>
      </w:r>
    </w:p>
    <w:p w14:paraId="39BF1A62" w14:textId="77777777" w:rsidR="008C4E6E" w:rsidRDefault="00000000">
      <w:r>
        <w:rPr>
          <w:rFonts w:cs="Calibri"/>
          <w:szCs w:val="22"/>
        </w:rPr>
        <w:t>The positions of the capitals converge more than the communiques admit. Washington insists on freedom of navigation, on zero tolls under any name, on verification, on an end to attacks on shipping, and on a reopening measured in days. Tehran insists on respect for its sovereignty, on recognition of its management role in its own waters, on lawful compensation for real services, on an end to the blockade and the strikes, and on acknowledgment of the violations it records. Tehran also insists, and Washington accepts in practice, that the two governments address each other through intermediaries rather than across a table. Muscat insists on neutrality, on a joint structure, and on quiet process. The Gulf states insist on predictability and a seat at the table. The industry insists on cost certainty and honest risk data. This Covenant gives each capital its core requirement without asking any capital to surrender its red line, and it lets every capital talk to the architecture even when it does not talk to its adversary.</w:t>
      </w:r>
    </w:p>
    <w:p w14:paraId="7363F358" w14:textId="77777777" w:rsidR="008C4E6E" w:rsidRDefault="00000000">
      <w:r>
        <w:rPr>
          <w:rFonts w:cs="Calibri"/>
          <w:szCs w:val="22"/>
        </w:rPr>
        <w:t>The Strait has connected the Gulf to the world for as long as ships have sailed. This Covenant keeps that connection open, lawful, and calm, and it hands the region a system built from proof rather than promise.</w:t>
      </w:r>
    </w:p>
    <w:p w14:paraId="5C7B7DB0" w14:textId="77777777" w:rsidR="008C4E6E" w:rsidRDefault="00000000">
      <w:pPr>
        <w:pStyle w:val="Heading1"/>
      </w:pPr>
      <w:bookmarkStart w:id="5" w:name="_Toc237650561"/>
      <w:r>
        <w:rPr>
          <w:rFonts w:cs="Calibri Light"/>
          <w:szCs w:val="36"/>
        </w:rPr>
        <w:t>Part 0: The Legal Ladder</w:t>
      </w:r>
      <w:bookmarkEnd w:id="5"/>
    </w:p>
    <w:p w14:paraId="0891B98F" w14:textId="77777777" w:rsidR="008C4E6E" w:rsidRDefault="00000000">
      <w:r>
        <w:rPr>
          <w:rFonts w:cs="Calibri"/>
          <w:szCs w:val="22"/>
        </w:rPr>
        <w:t>This Part defines the legal character of every commitment in this Covenant, and it stands before Part I because every later article reads against it. The Covenant is one operational instrument and one legal instrument at the same time: its legal obligations escalate in lockstep with its operational layers, and each commitment arrives in a size its signatory actually carries.</w:t>
      </w:r>
    </w:p>
    <w:p w14:paraId="598856A6" w14:textId="77777777" w:rsidR="008C4E6E" w:rsidRDefault="00000000">
      <w:pPr>
        <w:pStyle w:val="Heading2"/>
      </w:pPr>
      <w:bookmarkStart w:id="6" w:name="_Toc237650562"/>
      <w:r>
        <w:rPr>
          <w:rFonts w:cs="Calibri Light"/>
          <w:szCs w:val="28"/>
        </w:rPr>
        <w:t>Article 0.1: The Escalating Commitment Doctrine</w:t>
      </w:r>
      <w:bookmarkEnd w:id="6"/>
    </w:p>
    <w:p w14:paraId="5E7104E1" w14:textId="77777777" w:rsidR="008C4E6E" w:rsidRDefault="00000000">
      <w:r>
        <w:rPr>
          <w:rFonts w:cs="Calibri"/>
          <w:b/>
          <w:szCs w:val="22"/>
        </w:rPr>
        <w:t>0.1.1</w:t>
      </w:r>
      <w:r>
        <w:rPr>
          <w:rFonts w:cs="Calibri"/>
          <w:szCs w:val="22"/>
        </w:rPr>
        <w:t xml:space="preserve"> One instrument, two natures. The Covenant operates as one instrument in two natures: operational and legal. Its legal obligations escalate in lockstep with its operational layers. A participant's legal commitment at any moment extends only to the layers that stand activated, and no further.</w:t>
      </w:r>
    </w:p>
    <w:p w14:paraId="30D51F21" w14:textId="77777777" w:rsidR="008C4E6E" w:rsidRDefault="00000000">
      <w:r>
        <w:rPr>
          <w:rFonts w:cs="Calibri"/>
          <w:b/>
          <w:szCs w:val="22"/>
        </w:rPr>
        <w:t>0.1.2</w:t>
      </w:r>
      <w:r>
        <w:rPr>
          <w:rFonts w:cs="Calibri"/>
          <w:szCs w:val="22"/>
        </w:rPr>
        <w:t xml:space="preserve"> Testing the water. A leader who initials this Covenant on Day 0 commits to Layer One alone: data sharing and communications. That leader states the truth to any parliament, council, or public: we are testing the water. Each later layer asks for a larger commitment only after the earlier layers demonstrate success in practice.</w:t>
      </w:r>
    </w:p>
    <w:p w14:paraId="7B180456" w14:textId="77777777" w:rsidR="008C4E6E" w:rsidRDefault="00000000">
      <w:r>
        <w:rPr>
          <w:rFonts w:cs="Calibri"/>
          <w:b/>
          <w:szCs w:val="22"/>
        </w:rPr>
        <w:t>0.1.3</w:t>
      </w:r>
      <w:r>
        <w:rPr>
          <w:rFonts w:cs="Calibri"/>
          <w:szCs w:val="22"/>
        </w:rPr>
        <w:t xml:space="preserve"> Certificates of completion. The architecture lets participants test, prove, and build trust before they make irreversible commitments. No Head of State or Government signs anything until Layer Seven, and by that day the system has run under measurement for up to two years. A principal at the summit does not buy a promise; a principal signs a certificate of completion for work already done.</w:t>
      </w:r>
    </w:p>
    <w:p w14:paraId="636B3ECB" w14:textId="77777777" w:rsidR="008C4E6E" w:rsidRDefault="00000000">
      <w:pPr>
        <w:pStyle w:val="Heading2"/>
      </w:pPr>
      <w:bookmarkStart w:id="7" w:name="_Toc237650563"/>
      <w:r>
        <w:rPr>
          <w:rFonts w:cs="Calibri Light"/>
          <w:szCs w:val="28"/>
        </w:rPr>
        <w:lastRenderedPageBreak/>
        <w:t>Article 0.2: The Hierarchy of Commitments</w:t>
      </w:r>
      <w:bookmarkEnd w:id="7"/>
    </w:p>
    <w:p w14:paraId="2454CCC9" w14:textId="77777777" w:rsidR="008C4E6E" w:rsidRDefault="00000000">
      <w:r>
        <w:rPr>
          <w:rFonts w:cs="Calibri"/>
          <w:b/>
          <w:szCs w:val="22"/>
        </w:rPr>
        <w:t>0.2.1</w:t>
      </w:r>
      <w:r>
        <w:rPr>
          <w:rFonts w:cs="Calibri"/>
          <w:szCs w:val="22"/>
        </w:rPr>
        <w:t xml:space="preserve"> The ladder. Each layer carries a defined legal status, a defined mode of acceptance, and a defined rule of reversibility, as the following table states.</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2376"/>
        <w:gridCol w:w="2376"/>
        <w:gridCol w:w="2376"/>
        <w:gridCol w:w="2378"/>
      </w:tblGrid>
      <w:tr w:rsidR="008C4E6E" w14:paraId="41B6C560" w14:textId="77777777">
        <w:tblPrEx>
          <w:tblCellMar>
            <w:top w:w="0" w:type="dxa"/>
            <w:bottom w:w="0" w:type="dxa"/>
          </w:tblCellMar>
        </w:tblPrEx>
        <w:trPr>
          <w:tblHeader/>
        </w:trPr>
        <w:tc>
          <w:tcPr>
            <w:tcW w:w="2337" w:type="dxa"/>
            <w:shd w:val="clear" w:color="auto" w:fill="E4EEF1"/>
            <w:tcMar>
              <w:top w:w="60" w:type="dxa"/>
              <w:left w:w="100" w:type="dxa"/>
              <w:bottom w:w="60" w:type="dxa"/>
              <w:right w:w="100" w:type="dxa"/>
            </w:tcMar>
          </w:tcPr>
          <w:p w14:paraId="64410918" w14:textId="77777777" w:rsidR="008C4E6E" w:rsidRDefault="00000000">
            <w:pPr>
              <w:spacing w:before="20" w:after="20" w:line="290" w:lineRule="auto"/>
              <w:jc w:val="left"/>
            </w:pPr>
            <w:r>
              <w:rPr>
                <w:rFonts w:cs="Calibri"/>
                <w:b/>
                <w:color w:val="1F4E5F"/>
                <w:sz w:val="19"/>
                <w:szCs w:val="19"/>
              </w:rPr>
              <w:t>Layer</w:t>
            </w:r>
          </w:p>
        </w:tc>
        <w:tc>
          <w:tcPr>
            <w:tcW w:w="2337" w:type="dxa"/>
            <w:shd w:val="clear" w:color="auto" w:fill="E4EEF1"/>
            <w:tcMar>
              <w:top w:w="60" w:type="dxa"/>
              <w:left w:w="100" w:type="dxa"/>
              <w:bottom w:w="60" w:type="dxa"/>
              <w:right w:w="100" w:type="dxa"/>
            </w:tcMar>
          </w:tcPr>
          <w:p w14:paraId="2E06C1E6" w14:textId="77777777" w:rsidR="008C4E6E" w:rsidRDefault="00000000">
            <w:pPr>
              <w:spacing w:before="20" w:after="20" w:line="290" w:lineRule="auto"/>
              <w:jc w:val="left"/>
            </w:pPr>
            <w:r>
              <w:rPr>
                <w:rFonts w:cs="Calibri"/>
                <w:b/>
                <w:color w:val="1F4E5F"/>
                <w:sz w:val="19"/>
                <w:szCs w:val="19"/>
              </w:rPr>
              <w:t>Legal status</w:t>
            </w:r>
          </w:p>
        </w:tc>
        <w:tc>
          <w:tcPr>
            <w:tcW w:w="2337" w:type="dxa"/>
            <w:shd w:val="clear" w:color="auto" w:fill="E4EEF1"/>
            <w:tcMar>
              <w:top w:w="60" w:type="dxa"/>
              <w:left w:w="100" w:type="dxa"/>
              <w:bottom w:w="60" w:type="dxa"/>
              <w:right w:w="100" w:type="dxa"/>
            </w:tcMar>
          </w:tcPr>
          <w:p w14:paraId="544968C6" w14:textId="77777777" w:rsidR="008C4E6E" w:rsidRDefault="00000000">
            <w:pPr>
              <w:spacing w:before="20" w:after="20" w:line="290" w:lineRule="auto"/>
              <w:jc w:val="left"/>
            </w:pPr>
            <w:r>
              <w:rPr>
                <w:rFonts w:cs="Calibri"/>
                <w:b/>
                <w:color w:val="1F4E5F"/>
                <w:sz w:val="19"/>
                <w:szCs w:val="19"/>
              </w:rPr>
              <w:t>Mode of acceptance</w:t>
            </w:r>
          </w:p>
        </w:tc>
        <w:tc>
          <w:tcPr>
            <w:tcW w:w="2339" w:type="dxa"/>
            <w:shd w:val="clear" w:color="auto" w:fill="E4EEF1"/>
            <w:tcMar>
              <w:top w:w="60" w:type="dxa"/>
              <w:left w:w="100" w:type="dxa"/>
              <w:bottom w:w="60" w:type="dxa"/>
              <w:right w:w="100" w:type="dxa"/>
            </w:tcMar>
          </w:tcPr>
          <w:p w14:paraId="1F455411" w14:textId="77777777" w:rsidR="008C4E6E" w:rsidRDefault="00000000">
            <w:pPr>
              <w:spacing w:before="20" w:after="20" w:line="290" w:lineRule="auto"/>
              <w:jc w:val="left"/>
            </w:pPr>
            <w:r>
              <w:rPr>
                <w:rFonts w:cs="Calibri"/>
                <w:b/>
                <w:color w:val="1F4E5F"/>
                <w:sz w:val="19"/>
                <w:szCs w:val="19"/>
              </w:rPr>
              <w:t>Reversibility</w:t>
            </w:r>
          </w:p>
        </w:tc>
      </w:tr>
      <w:tr w:rsidR="008C4E6E" w14:paraId="4EEFD476" w14:textId="77777777">
        <w:tblPrEx>
          <w:tblCellMar>
            <w:top w:w="0" w:type="dxa"/>
            <w:bottom w:w="0" w:type="dxa"/>
          </w:tblCellMar>
        </w:tblPrEx>
        <w:tc>
          <w:tcPr>
            <w:tcW w:w="2337" w:type="dxa"/>
            <w:tcMar>
              <w:top w:w="60" w:type="dxa"/>
              <w:left w:w="100" w:type="dxa"/>
              <w:bottom w:w="60" w:type="dxa"/>
              <w:right w:w="100" w:type="dxa"/>
            </w:tcMar>
          </w:tcPr>
          <w:p w14:paraId="1BBECC5E" w14:textId="77777777" w:rsidR="008C4E6E" w:rsidRDefault="00000000">
            <w:pPr>
              <w:spacing w:before="20" w:after="20" w:line="290" w:lineRule="auto"/>
              <w:jc w:val="left"/>
            </w:pPr>
            <w:r>
              <w:rPr>
                <w:rFonts w:cs="Calibri"/>
                <w:sz w:val="19"/>
                <w:szCs w:val="19"/>
              </w:rPr>
              <w:t>Layer One: the Calm Waters Initialling</w:t>
            </w:r>
          </w:p>
        </w:tc>
        <w:tc>
          <w:tcPr>
            <w:tcW w:w="2337" w:type="dxa"/>
            <w:tcMar>
              <w:top w:w="60" w:type="dxa"/>
              <w:left w:w="100" w:type="dxa"/>
              <w:bottom w:w="60" w:type="dxa"/>
              <w:right w:w="100" w:type="dxa"/>
            </w:tcMar>
          </w:tcPr>
          <w:p w14:paraId="01B2F97C" w14:textId="77777777" w:rsidR="008C4E6E" w:rsidRDefault="00000000">
            <w:pPr>
              <w:spacing w:before="20" w:after="20" w:line="290" w:lineRule="auto"/>
              <w:jc w:val="left"/>
            </w:pPr>
            <w:r>
              <w:rPr>
                <w:rFonts w:cs="Calibri"/>
                <w:sz w:val="19"/>
                <w:szCs w:val="19"/>
              </w:rPr>
              <w:t>Administrative Letter of Intent</w:t>
            </w:r>
          </w:p>
        </w:tc>
        <w:tc>
          <w:tcPr>
            <w:tcW w:w="2337" w:type="dxa"/>
            <w:tcMar>
              <w:top w:w="60" w:type="dxa"/>
              <w:left w:w="100" w:type="dxa"/>
              <w:bottom w:w="60" w:type="dxa"/>
              <w:right w:w="100" w:type="dxa"/>
            </w:tcMar>
          </w:tcPr>
          <w:p w14:paraId="4A19BA86" w14:textId="77777777" w:rsidR="008C4E6E" w:rsidRDefault="00000000">
            <w:pPr>
              <w:spacing w:before="20" w:after="20" w:line="290" w:lineRule="auto"/>
              <w:jc w:val="left"/>
            </w:pPr>
            <w:r>
              <w:rPr>
                <w:rFonts w:cs="Calibri"/>
                <w:sz w:val="19"/>
                <w:szCs w:val="19"/>
              </w:rPr>
              <w:t>Signed by the designated Liaison Officers, senior civil servants; no minister or head of state signs</w:t>
            </w:r>
          </w:p>
        </w:tc>
        <w:tc>
          <w:tcPr>
            <w:tcW w:w="2339" w:type="dxa"/>
            <w:tcMar>
              <w:top w:w="60" w:type="dxa"/>
              <w:left w:w="100" w:type="dxa"/>
              <w:bottom w:w="60" w:type="dxa"/>
              <w:right w:w="100" w:type="dxa"/>
            </w:tcMar>
          </w:tcPr>
          <w:p w14:paraId="58159487" w14:textId="77777777" w:rsidR="008C4E6E" w:rsidRDefault="00000000">
            <w:pPr>
              <w:spacing w:before="20" w:after="20" w:line="290" w:lineRule="auto"/>
              <w:jc w:val="left"/>
            </w:pPr>
            <w:r>
              <w:rPr>
                <w:rFonts w:cs="Calibri"/>
                <w:sz w:val="19"/>
                <w:szCs w:val="19"/>
              </w:rPr>
              <w:t>Reversible on 72 hours' notice</w:t>
            </w:r>
          </w:p>
        </w:tc>
      </w:tr>
      <w:tr w:rsidR="008C4E6E" w14:paraId="30B84AC1" w14:textId="77777777">
        <w:tblPrEx>
          <w:tblCellMar>
            <w:top w:w="0" w:type="dxa"/>
            <w:bottom w:w="0" w:type="dxa"/>
          </w:tblCellMar>
        </w:tblPrEx>
        <w:tc>
          <w:tcPr>
            <w:tcW w:w="2337" w:type="dxa"/>
            <w:tcMar>
              <w:top w:w="60" w:type="dxa"/>
              <w:left w:w="100" w:type="dxa"/>
              <w:bottom w:w="60" w:type="dxa"/>
              <w:right w:w="100" w:type="dxa"/>
            </w:tcMar>
          </w:tcPr>
          <w:p w14:paraId="61B68F67" w14:textId="77777777" w:rsidR="008C4E6E" w:rsidRDefault="00000000">
            <w:pPr>
              <w:spacing w:before="20" w:after="20" w:line="290" w:lineRule="auto"/>
              <w:jc w:val="left"/>
            </w:pPr>
            <w:r>
              <w:rPr>
                <w:rFonts w:cs="Calibri"/>
                <w:sz w:val="19"/>
                <w:szCs w:val="19"/>
              </w:rPr>
              <w:t>Layer Two: the Predictability Protocol</w:t>
            </w:r>
          </w:p>
        </w:tc>
        <w:tc>
          <w:tcPr>
            <w:tcW w:w="2337" w:type="dxa"/>
            <w:tcMar>
              <w:top w:w="60" w:type="dxa"/>
              <w:left w:w="100" w:type="dxa"/>
              <w:bottom w:w="60" w:type="dxa"/>
              <w:right w:w="100" w:type="dxa"/>
            </w:tcMar>
          </w:tcPr>
          <w:p w14:paraId="33A848C5" w14:textId="77777777" w:rsidR="008C4E6E" w:rsidRDefault="00000000">
            <w:pPr>
              <w:spacing w:before="20" w:after="20" w:line="290" w:lineRule="auto"/>
              <w:jc w:val="left"/>
            </w:pPr>
            <w:r>
              <w:rPr>
                <w:rFonts w:cs="Calibri"/>
                <w:sz w:val="19"/>
                <w:szCs w:val="19"/>
              </w:rPr>
              <w:t>Executive Memorandum of Understanding, non-binding</w:t>
            </w:r>
          </w:p>
        </w:tc>
        <w:tc>
          <w:tcPr>
            <w:tcW w:w="2337" w:type="dxa"/>
            <w:tcMar>
              <w:top w:w="60" w:type="dxa"/>
              <w:left w:w="100" w:type="dxa"/>
              <w:bottom w:w="60" w:type="dxa"/>
              <w:right w:w="100" w:type="dxa"/>
            </w:tcMar>
          </w:tcPr>
          <w:p w14:paraId="59FC8C0D" w14:textId="77777777" w:rsidR="008C4E6E" w:rsidRDefault="00000000">
            <w:pPr>
              <w:spacing w:before="20" w:after="20" w:line="290" w:lineRule="auto"/>
              <w:jc w:val="left"/>
            </w:pPr>
            <w:r>
              <w:rPr>
                <w:rFonts w:cs="Calibri"/>
                <w:sz w:val="19"/>
                <w:szCs w:val="19"/>
              </w:rPr>
              <w:t>Signed by the Directors of Maritime Affairs</w:t>
            </w:r>
          </w:p>
        </w:tc>
        <w:tc>
          <w:tcPr>
            <w:tcW w:w="2339" w:type="dxa"/>
            <w:tcMar>
              <w:top w:w="60" w:type="dxa"/>
              <w:left w:w="100" w:type="dxa"/>
              <w:bottom w:w="60" w:type="dxa"/>
              <w:right w:w="100" w:type="dxa"/>
            </w:tcMar>
          </w:tcPr>
          <w:p w14:paraId="4895AA6F" w14:textId="77777777" w:rsidR="008C4E6E" w:rsidRDefault="00000000">
            <w:pPr>
              <w:spacing w:before="20" w:after="20" w:line="290" w:lineRule="auto"/>
              <w:jc w:val="left"/>
            </w:pPr>
            <w:r>
              <w:rPr>
                <w:rFonts w:cs="Calibri"/>
                <w:sz w:val="19"/>
                <w:szCs w:val="19"/>
              </w:rPr>
              <w:t>Reversible on 30 days' notice</w:t>
            </w:r>
          </w:p>
        </w:tc>
      </w:tr>
      <w:tr w:rsidR="008C4E6E" w14:paraId="333C422C" w14:textId="77777777">
        <w:tblPrEx>
          <w:tblCellMar>
            <w:top w:w="0" w:type="dxa"/>
            <w:bottom w:w="0" w:type="dxa"/>
          </w:tblCellMar>
        </w:tblPrEx>
        <w:tc>
          <w:tcPr>
            <w:tcW w:w="2337" w:type="dxa"/>
            <w:tcMar>
              <w:top w:w="60" w:type="dxa"/>
              <w:left w:w="100" w:type="dxa"/>
              <w:bottom w:w="60" w:type="dxa"/>
              <w:right w:w="100" w:type="dxa"/>
            </w:tcMar>
          </w:tcPr>
          <w:p w14:paraId="29188D34" w14:textId="77777777" w:rsidR="008C4E6E" w:rsidRDefault="00000000">
            <w:pPr>
              <w:spacing w:before="20" w:after="20" w:line="290" w:lineRule="auto"/>
              <w:jc w:val="left"/>
            </w:pPr>
            <w:r>
              <w:rPr>
                <w:rFonts w:cs="Calibri"/>
                <w:sz w:val="19"/>
                <w:szCs w:val="19"/>
              </w:rPr>
              <w:t>Layer Three: the Safety Mesh Understanding</w:t>
            </w:r>
          </w:p>
        </w:tc>
        <w:tc>
          <w:tcPr>
            <w:tcW w:w="2337" w:type="dxa"/>
            <w:tcMar>
              <w:top w:w="60" w:type="dxa"/>
              <w:left w:w="100" w:type="dxa"/>
              <w:bottom w:w="60" w:type="dxa"/>
              <w:right w:w="100" w:type="dxa"/>
            </w:tcMar>
          </w:tcPr>
          <w:p w14:paraId="2DEDDB7C" w14:textId="77777777" w:rsidR="008C4E6E" w:rsidRDefault="00000000">
            <w:pPr>
              <w:spacing w:before="20" w:after="20" w:line="290" w:lineRule="auto"/>
              <w:jc w:val="left"/>
            </w:pPr>
            <w:r>
              <w:rPr>
                <w:rFonts w:cs="Calibri"/>
                <w:sz w:val="19"/>
                <w:szCs w:val="19"/>
              </w:rPr>
              <w:t>Administrative Arrangement, binding within the agencies</w:t>
            </w:r>
          </w:p>
        </w:tc>
        <w:tc>
          <w:tcPr>
            <w:tcW w:w="2337" w:type="dxa"/>
            <w:tcMar>
              <w:top w:w="60" w:type="dxa"/>
              <w:left w:w="100" w:type="dxa"/>
              <w:bottom w:w="60" w:type="dxa"/>
              <w:right w:w="100" w:type="dxa"/>
            </w:tcMar>
          </w:tcPr>
          <w:p w14:paraId="1909E47D" w14:textId="77777777" w:rsidR="008C4E6E" w:rsidRDefault="00000000">
            <w:pPr>
              <w:spacing w:before="20" w:after="20" w:line="290" w:lineRule="auto"/>
              <w:jc w:val="left"/>
            </w:pPr>
            <w:r>
              <w:rPr>
                <w:rFonts w:cs="Calibri"/>
                <w:sz w:val="19"/>
                <w:szCs w:val="19"/>
              </w:rPr>
              <w:t>Signed by the Heads of Coast Guard and Hydrographic Offices</w:t>
            </w:r>
          </w:p>
        </w:tc>
        <w:tc>
          <w:tcPr>
            <w:tcW w:w="2339" w:type="dxa"/>
            <w:tcMar>
              <w:top w:w="60" w:type="dxa"/>
              <w:left w:w="100" w:type="dxa"/>
              <w:bottom w:w="60" w:type="dxa"/>
              <w:right w:w="100" w:type="dxa"/>
            </w:tcMar>
          </w:tcPr>
          <w:p w14:paraId="2B8F4AFB" w14:textId="77777777" w:rsidR="008C4E6E" w:rsidRDefault="00000000">
            <w:pPr>
              <w:spacing w:before="20" w:after="20" w:line="290" w:lineRule="auto"/>
              <w:jc w:val="left"/>
            </w:pPr>
            <w:r>
              <w:rPr>
                <w:rFonts w:cs="Calibri"/>
                <w:sz w:val="19"/>
                <w:szCs w:val="19"/>
              </w:rPr>
              <w:t>Reversible by joint decision of the signatory agency heads</w:t>
            </w:r>
          </w:p>
        </w:tc>
      </w:tr>
      <w:tr w:rsidR="008C4E6E" w14:paraId="63D91118" w14:textId="77777777">
        <w:tblPrEx>
          <w:tblCellMar>
            <w:top w:w="0" w:type="dxa"/>
            <w:bottom w:w="0" w:type="dxa"/>
          </w:tblCellMar>
        </w:tblPrEx>
        <w:tc>
          <w:tcPr>
            <w:tcW w:w="2337" w:type="dxa"/>
            <w:tcMar>
              <w:top w:w="60" w:type="dxa"/>
              <w:left w:w="100" w:type="dxa"/>
              <w:bottom w:w="60" w:type="dxa"/>
              <w:right w:w="100" w:type="dxa"/>
            </w:tcMar>
          </w:tcPr>
          <w:p w14:paraId="29C3544C" w14:textId="77777777" w:rsidR="008C4E6E" w:rsidRDefault="00000000">
            <w:pPr>
              <w:spacing w:before="20" w:after="20" w:line="290" w:lineRule="auto"/>
              <w:jc w:val="left"/>
            </w:pPr>
            <w:r>
              <w:rPr>
                <w:rFonts w:cs="Calibri"/>
                <w:sz w:val="19"/>
                <w:szCs w:val="19"/>
              </w:rPr>
              <w:t>Layer Four: the Institutional Agreement</w:t>
            </w:r>
          </w:p>
        </w:tc>
        <w:tc>
          <w:tcPr>
            <w:tcW w:w="2337" w:type="dxa"/>
            <w:tcMar>
              <w:top w:w="60" w:type="dxa"/>
              <w:left w:w="100" w:type="dxa"/>
              <w:bottom w:w="60" w:type="dxa"/>
              <w:right w:w="100" w:type="dxa"/>
            </w:tcMar>
          </w:tcPr>
          <w:p w14:paraId="4585B7EF" w14:textId="77777777" w:rsidR="008C4E6E" w:rsidRDefault="00000000">
            <w:pPr>
              <w:spacing w:before="20" w:after="20" w:line="290" w:lineRule="auto"/>
              <w:jc w:val="left"/>
            </w:pPr>
            <w:r>
              <w:rPr>
                <w:rFonts w:cs="Calibri"/>
                <w:sz w:val="19"/>
                <w:szCs w:val="19"/>
              </w:rPr>
              <w:t>Inter-Governmental Memorandum of Understanding</w:t>
            </w:r>
          </w:p>
        </w:tc>
        <w:tc>
          <w:tcPr>
            <w:tcW w:w="2337" w:type="dxa"/>
            <w:tcMar>
              <w:top w:w="60" w:type="dxa"/>
              <w:left w:w="100" w:type="dxa"/>
              <w:bottom w:w="60" w:type="dxa"/>
              <w:right w:w="100" w:type="dxa"/>
            </w:tcMar>
          </w:tcPr>
          <w:p w14:paraId="35EE1AE0" w14:textId="77777777" w:rsidR="008C4E6E" w:rsidRDefault="00000000">
            <w:pPr>
              <w:spacing w:before="20" w:after="20" w:line="290" w:lineRule="auto"/>
              <w:jc w:val="left"/>
            </w:pPr>
            <w:r>
              <w:rPr>
                <w:rFonts w:cs="Calibri"/>
                <w:sz w:val="19"/>
                <w:szCs w:val="19"/>
              </w:rPr>
              <w:t>Signed by the Foreign Ministers</w:t>
            </w:r>
          </w:p>
        </w:tc>
        <w:tc>
          <w:tcPr>
            <w:tcW w:w="2339" w:type="dxa"/>
            <w:tcMar>
              <w:top w:w="60" w:type="dxa"/>
              <w:left w:w="100" w:type="dxa"/>
              <w:bottom w:w="60" w:type="dxa"/>
              <w:right w:w="100" w:type="dxa"/>
            </w:tcMar>
          </w:tcPr>
          <w:p w14:paraId="0A89CF0E" w14:textId="77777777" w:rsidR="008C4E6E" w:rsidRDefault="00000000">
            <w:pPr>
              <w:spacing w:before="20" w:after="20" w:line="290" w:lineRule="auto"/>
              <w:jc w:val="left"/>
            </w:pPr>
            <w:r>
              <w:rPr>
                <w:rFonts w:cs="Calibri"/>
                <w:sz w:val="19"/>
                <w:szCs w:val="19"/>
              </w:rPr>
              <w:t>Reversible on 90 days' written notice from either Founding Party</w:t>
            </w:r>
          </w:p>
        </w:tc>
      </w:tr>
      <w:tr w:rsidR="008C4E6E" w14:paraId="1A47756D" w14:textId="77777777">
        <w:tblPrEx>
          <w:tblCellMar>
            <w:top w:w="0" w:type="dxa"/>
            <w:bottom w:w="0" w:type="dxa"/>
          </w:tblCellMar>
        </w:tblPrEx>
        <w:tc>
          <w:tcPr>
            <w:tcW w:w="2337" w:type="dxa"/>
            <w:tcMar>
              <w:top w:w="60" w:type="dxa"/>
              <w:left w:w="100" w:type="dxa"/>
              <w:bottom w:w="60" w:type="dxa"/>
              <w:right w:w="100" w:type="dxa"/>
            </w:tcMar>
          </w:tcPr>
          <w:p w14:paraId="1971AABA" w14:textId="77777777" w:rsidR="008C4E6E" w:rsidRDefault="00000000">
            <w:pPr>
              <w:spacing w:before="20" w:after="20" w:line="290" w:lineRule="auto"/>
              <w:jc w:val="left"/>
            </w:pPr>
            <w:r>
              <w:rPr>
                <w:rFonts w:cs="Calibri"/>
                <w:sz w:val="19"/>
                <w:szCs w:val="19"/>
              </w:rPr>
              <w:t>Layer Five: the Financial Understanding</w:t>
            </w:r>
          </w:p>
        </w:tc>
        <w:tc>
          <w:tcPr>
            <w:tcW w:w="2337" w:type="dxa"/>
            <w:tcMar>
              <w:top w:w="60" w:type="dxa"/>
              <w:left w:w="100" w:type="dxa"/>
              <w:bottom w:w="60" w:type="dxa"/>
              <w:right w:w="100" w:type="dxa"/>
            </w:tcMar>
          </w:tcPr>
          <w:p w14:paraId="38AF4F5A" w14:textId="77777777" w:rsidR="008C4E6E" w:rsidRDefault="00000000">
            <w:pPr>
              <w:spacing w:before="20" w:after="20" w:line="290" w:lineRule="auto"/>
              <w:jc w:val="left"/>
            </w:pPr>
            <w:r>
              <w:rPr>
                <w:rFonts w:cs="Calibri"/>
                <w:sz w:val="19"/>
                <w:szCs w:val="19"/>
              </w:rPr>
              <w:t>Political Declaration and Simulation Compact</w:t>
            </w:r>
          </w:p>
        </w:tc>
        <w:tc>
          <w:tcPr>
            <w:tcW w:w="2337" w:type="dxa"/>
            <w:tcMar>
              <w:top w:w="60" w:type="dxa"/>
              <w:left w:w="100" w:type="dxa"/>
              <w:bottom w:w="60" w:type="dxa"/>
              <w:right w:w="100" w:type="dxa"/>
            </w:tcMar>
          </w:tcPr>
          <w:p w14:paraId="388408DC" w14:textId="77777777" w:rsidR="008C4E6E" w:rsidRDefault="00000000">
            <w:pPr>
              <w:spacing w:before="20" w:after="20" w:line="290" w:lineRule="auto"/>
              <w:jc w:val="left"/>
            </w:pPr>
            <w:r>
              <w:rPr>
                <w:rFonts w:cs="Calibri"/>
                <w:sz w:val="19"/>
                <w:szCs w:val="19"/>
              </w:rPr>
              <w:t>Signed by the Foreign Ministers and witnessed by the Industry Panel</w:t>
            </w:r>
          </w:p>
        </w:tc>
        <w:tc>
          <w:tcPr>
            <w:tcW w:w="2339" w:type="dxa"/>
            <w:tcMar>
              <w:top w:w="60" w:type="dxa"/>
              <w:left w:w="100" w:type="dxa"/>
              <w:bottom w:w="60" w:type="dxa"/>
              <w:right w:w="100" w:type="dxa"/>
            </w:tcMar>
          </w:tcPr>
          <w:p w14:paraId="3C54BF9B" w14:textId="77777777" w:rsidR="008C4E6E" w:rsidRDefault="00000000">
            <w:pPr>
              <w:spacing w:before="20" w:after="20" w:line="290" w:lineRule="auto"/>
              <w:jc w:val="left"/>
            </w:pPr>
            <w:r>
              <w:rPr>
                <w:rFonts w:cs="Calibri"/>
                <w:sz w:val="19"/>
                <w:szCs w:val="19"/>
              </w:rPr>
              <w:t>The simulation binds no outcome; the commitment to accept its findings as the basis for negotiation stands</w:t>
            </w:r>
          </w:p>
        </w:tc>
      </w:tr>
      <w:tr w:rsidR="008C4E6E" w14:paraId="4DAC0835" w14:textId="77777777">
        <w:tblPrEx>
          <w:tblCellMar>
            <w:top w:w="0" w:type="dxa"/>
            <w:bottom w:w="0" w:type="dxa"/>
          </w:tblCellMar>
        </w:tblPrEx>
        <w:tc>
          <w:tcPr>
            <w:tcW w:w="2337" w:type="dxa"/>
            <w:tcMar>
              <w:top w:w="60" w:type="dxa"/>
              <w:left w:w="100" w:type="dxa"/>
              <w:bottom w:w="60" w:type="dxa"/>
              <w:right w:w="100" w:type="dxa"/>
            </w:tcMar>
          </w:tcPr>
          <w:p w14:paraId="4270A174" w14:textId="77777777" w:rsidR="008C4E6E" w:rsidRDefault="00000000">
            <w:pPr>
              <w:spacing w:before="20" w:after="20" w:line="290" w:lineRule="auto"/>
              <w:jc w:val="left"/>
            </w:pPr>
            <w:r>
              <w:rPr>
                <w:rFonts w:cs="Calibri"/>
                <w:sz w:val="19"/>
                <w:szCs w:val="19"/>
              </w:rPr>
              <w:t>Layer Six: the Integration Accord</w:t>
            </w:r>
          </w:p>
        </w:tc>
        <w:tc>
          <w:tcPr>
            <w:tcW w:w="2337" w:type="dxa"/>
            <w:tcMar>
              <w:top w:w="60" w:type="dxa"/>
              <w:left w:w="100" w:type="dxa"/>
              <w:bottom w:w="60" w:type="dxa"/>
              <w:right w:w="100" w:type="dxa"/>
            </w:tcMar>
          </w:tcPr>
          <w:p w14:paraId="75EEA439" w14:textId="77777777" w:rsidR="008C4E6E" w:rsidRDefault="00000000">
            <w:pPr>
              <w:spacing w:before="20" w:after="20" w:line="290" w:lineRule="auto"/>
              <w:jc w:val="left"/>
            </w:pPr>
            <w:r>
              <w:rPr>
                <w:rFonts w:cs="Calibri"/>
                <w:sz w:val="19"/>
                <w:szCs w:val="19"/>
              </w:rPr>
              <w:t>Conditional Binding Agreement</w:t>
            </w:r>
          </w:p>
        </w:tc>
        <w:tc>
          <w:tcPr>
            <w:tcW w:w="2337" w:type="dxa"/>
            <w:tcMar>
              <w:top w:w="60" w:type="dxa"/>
              <w:left w:w="100" w:type="dxa"/>
              <w:bottom w:w="60" w:type="dxa"/>
              <w:right w:w="100" w:type="dxa"/>
            </w:tcMar>
          </w:tcPr>
          <w:p w14:paraId="5F1F0AAD" w14:textId="77777777" w:rsidR="008C4E6E" w:rsidRDefault="00000000">
            <w:pPr>
              <w:spacing w:before="20" w:after="20" w:line="290" w:lineRule="auto"/>
              <w:jc w:val="left"/>
            </w:pPr>
            <w:r>
              <w:rPr>
                <w:rFonts w:cs="Calibri"/>
                <w:sz w:val="19"/>
                <w:szCs w:val="19"/>
              </w:rPr>
              <w:t>Activates automatically upon certification of the Stability Audit; no new signature</w:t>
            </w:r>
          </w:p>
        </w:tc>
        <w:tc>
          <w:tcPr>
            <w:tcW w:w="2339" w:type="dxa"/>
            <w:tcMar>
              <w:top w:w="60" w:type="dxa"/>
              <w:left w:w="100" w:type="dxa"/>
              <w:bottom w:w="60" w:type="dxa"/>
              <w:right w:w="100" w:type="dxa"/>
            </w:tcMar>
          </w:tcPr>
          <w:p w14:paraId="44E9854F" w14:textId="77777777" w:rsidR="008C4E6E" w:rsidRDefault="00000000">
            <w:pPr>
              <w:spacing w:before="20" w:after="20" w:line="290" w:lineRule="auto"/>
              <w:jc w:val="left"/>
            </w:pPr>
            <w:r>
              <w:rPr>
                <w:rFonts w:cs="Calibri"/>
                <w:sz w:val="19"/>
                <w:szCs w:val="19"/>
              </w:rPr>
              <w:t>Not reversible; it triggers the final treaty process</w:t>
            </w:r>
          </w:p>
        </w:tc>
      </w:tr>
      <w:tr w:rsidR="008C4E6E" w14:paraId="5816DC4E" w14:textId="77777777">
        <w:tblPrEx>
          <w:tblCellMar>
            <w:top w:w="0" w:type="dxa"/>
            <w:bottom w:w="0" w:type="dxa"/>
          </w:tblCellMar>
        </w:tblPrEx>
        <w:tc>
          <w:tcPr>
            <w:tcW w:w="2337" w:type="dxa"/>
            <w:tcMar>
              <w:top w:w="60" w:type="dxa"/>
              <w:left w:w="100" w:type="dxa"/>
              <w:bottom w:w="60" w:type="dxa"/>
              <w:right w:w="100" w:type="dxa"/>
            </w:tcMar>
          </w:tcPr>
          <w:p w14:paraId="5BC3B14B" w14:textId="77777777" w:rsidR="008C4E6E" w:rsidRDefault="00000000">
            <w:pPr>
              <w:spacing w:before="20" w:after="20" w:line="290" w:lineRule="auto"/>
              <w:jc w:val="left"/>
            </w:pPr>
            <w:r>
              <w:rPr>
                <w:rFonts w:cs="Calibri"/>
                <w:sz w:val="19"/>
                <w:szCs w:val="19"/>
              </w:rPr>
              <w:t>Layer Seven: the Final Charter</w:t>
            </w:r>
          </w:p>
        </w:tc>
        <w:tc>
          <w:tcPr>
            <w:tcW w:w="2337" w:type="dxa"/>
            <w:tcMar>
              <w:top w:w="60" w:type="dxa"/>
              <w:left w:w="100" w:type="dxa"/>
              <w:bottom w:w="60" w:type="dxa"/>
              <w:right w:w="100" w:type="dxa"/>
            </w:tcMar>
          </w:tcPr>
          <w:p w14:paraId="7D75747E" w14:textId="77777777" w:rsidR="008C4E6E" w:rsidRDefault="00000000">
            <w:pPr>
              <w:spacing w:before="20" w:after="20" w:line="290" w:lineRule="auto"/>
              <w:jc w:val="left"/>
            </w:pPr>
            <w:r>
              <w:rPr>
                <w:rFonts w:cs="Calibri"/>
                <w:sz w:val="19"/>
                <w:szCs w:val="19"/>
              </w:rPr>
              <w:t>Binding International Treaty</w:t>
            </w:r>
          </w:p>
        </w:tc>
        <w:tc>
          <w:tcPr>
            <w:tcW w:w="2337" w:type="dxa"/>
            <w:tcMar>
              <w:top w:w="60" w:type="dxa"/>
              <w:left w:w="100" w:type="dxa"/>
              <w:bottom w:w="60" w:type="dxa"/>
              <w:right w:w="100" w:type="dxa"/>
            </w:tcMar>
          </w:tcPr>
          <w:p w14:paraId="1E02F558" w14:textId="77777777" w:rsidR="008C4E6E" w:rsidRDefault="00000000">
            <w:pPr>
              <w:spacing w:before="20" w:after="20" w:line="290" w:lineRule="auto"/>
              <w:jc w:val="left"/>
            </w:pPr>
            <w:r>
              <w:rPr>
                <w:rFonts w:cs="Calibri"/>
                <w:sz w:val="19"/>
                <w:szCs w:val="19"/>
              </w:rPr>
              <w:t>Signed by the Heads of State or Government at the summit on the day of the Synchronized Indivisible Event</w:t>
            </w:r>
          </w:p>
        </w:tc>
        <w:tc>
          <w:tcPr>
            <w:tcW w:w="2339" w:type="dxa"/>
            <w:tcMar>
              <w:top w:w="60" w:type="dxa"/>
              <w:left w:w="100" w:type="dxa"/>
              <w:bottom w:w="60" w:type="dxa"/>
              <w:right w:w="100" w:type="dxa"/>
            </w:tcMar>
          </w:tcPr>
          <w:p w14:paraId="728AF646" w14:textId="77777777" w:rsidR="008C4E6E" w:rsidRDefault="00000000">
            <w:pPr>
              <w:spacing w:before="20" w:after="20" w:line="290" w:lineRule="auto"/>
              <w:jc w:val="left"/>
            </w:pPr>
            <w:r>
              <w:rPr>
                <w:rFonts w:cs="Calibri"/>
                <w:sz w:val="19"/>
                <w:szCs w:val="19"/>
              </w:rPr>
              <w:t>Withdrawal on 90 days' written notice under Article 59</w:t>
            </w:r>
          </w:p>
        </w:tc>
      </w:tr>
    </w:tbl>
    <w:p w14:paraId="000E865D" w14:textId="77777777" w:rsidR="008C4E6E" w:rsidRDefault="008C4E6E">
      <w:pPr>
        <w:spacing w:after="80"/>
      </w:pPr>
    </w:p>
    <w:p w14:paraId="48455216" w14:textId="77777777" w:rsidR="008C4E6E" w:rsidRDefault="00000000">
      <w:r>
        <w:rPr>
          <w:rFonts w:cs="Calibri"/>
          <w:b/>
          <w:szCs w:val="22"/>
        </w:rPr>
        <w:t>0.2.2</w:t>
      </w:r>
      <w:r>
        <w:rPr>
          <w:rFonts w:cs="Calibri"/>
          <w:szCs w:val="22"/>
        </w:rPr>
        <w:t xml:space="preserve"> Matched authority. A signature at any layer commits the signatory's own level of authority and no higher level. A Coast Guard chief signs an administrative arrangement without parliamentary approval. A Foreign Minister signs an inter-governmental memorandum. Only a Head of State or Government signs the Final Charter. Domestic approval moves faster at every lower rung, and by the time the Foreign Ministers sign at Layer Four, the system has already run for a year in practice.</w:t>
      </w:r>
    </w:p>
    <w:p w14:paraId="266AE798" w14:textId="77777777" w:rsidR="008C4E6E" w:rsidRDefault="00000000">
      <w:r>
        <w:rPr>
          <w:rFonts w:cs="Calibri"/>
          <w:b/>
          <w:szCs w:val="22"/>
        </w:rPr>
        <w:t>0.2.3</w:t>
      </w:r>
      <w:r>
        <w:rPr>
          <w:rFonts w:cs="Calibri"/>
          <w:szCs w:val="22"/>
        </w:rPr>
        <w:t xml:space="preserve"> Proportionate response. The escalatory structure of the ladder calibrates the response to any breach. A Tier 3 incident in Layer One or Layer Two presents a minor administrative problem; the same act in Layer Seven presents a major treaty breach. The compliance engine of Article 54 applies this proportionality in every determination, and the weight of every finding grows as the layers escalate.</w:t>
      </w:r>
    </w:p>
    <w:p w14:paraId="6E436BE9" w14:textId="77777777" w:rsidR="008C4E6E" w:rsidRDefault="00000000">
      <w:pPr>
        <w:pStyle w:val="Heading2"/>
      </w:pPr>
      <w:bookmarkStart w:id="8" w:name="_Toc237650564"/>
      <w:r>
        <w:rPr>
          <w:rFonts w:cs="Calibri Light"/>
          <w:szCs w:val="28"/>
        </w:rPr>
        <w:lastRenderedPageBreak/>
        <w:t>Article 0.3: The No-Surprise Legal Transition</w:t>
      </w:r>
      <w:bookmarkEnd w:id="8"/>
    </w:p>
    <w:p w14:paraId="2B8FC49A" w14:textId="77777777" w:rsidR="008C4E6E" w:rsidRDefault="00000000">
      <w:r>
        <w:rPr>
          <w:rFonts w:cs="Calibri"/>
          <w:b/>
          <w:szCs w:val="22"/>
        </w:rPr>
        <w:t>0.3.1</w:t>
      </w:r>
      <w:r>
        <w:rPr>
          <w:rFonts w:cs="Calibri"/>
          <w:szCs w:val="22"/>
        </w:rPr>
        <w:t xml:space="preserve"> Stated consequences. Each Gate article, Articles 15, 20, 25, 30, 36, and 40, states the operational conditions for the next layer and the legal status the next layer acquires upon activation.</w:t>
      </w:r>
    </w:p>
    <w:p w14:paraId="457624A2" w14:textId="77777777" w:rsidR="008C4E6E" w:rsidRDefault="00000000">
      <w:r>
        <w:rPr>
          <w:rFonts w:cs="Calibri"/>
          <w:b/>
          <w:szCs w:val="22"/>
        </w:rPr>
        <w:t>0.3.2</w:t>
      </w:r>
      <w:r>
        <w:rPr>
          <w:rFonts w:cs="Calibri"/>
          <w:szCs w:val="22"/>
        </w:rPr>
        <w:t xml:space="preserve"> Published status. The Registry publishes the legal status of every active layer in real time. No participant discovers a legal obligation after the fact; every obligation announces itself before it binds.</w:t>
      </w:r>
    </w:p>
    <w:p w14:paraId="606828C6" w14:textId="77777777" w:rsidR="008C4E6E" w:rsidRDefault="00000000">
      <w:r>
        <w:rPr>
          <w:rFonts w:cs="Calibri"/>
          <w:b/>
          <w:szCs w:val="22"/>
        </w:rPr>
        <w:t>0.3.3</w:t>
      </w:r>
      <w:r>
        <w:rPr>
          <w:rFonts w:cs="Calibri"/>
          <w:szCs w:val="22"/>
        </w:rPr>
        <w:t xml:space="preserve"> The Signature Roadmap. Annex K tabulates the sequence: which instrument each gate executes, who signs it, and what legal effect follows.</w:t>
      </w:r>
    </w:p>
    <w:p w14:paraId="16F1308A" w14:textId="77777777" w:rsidR="008C4E6E" w:rsidRDefault="00000000">
      <w:r>
        <w:br w:type="page"/>
      </w:r>
    </w:p>
    <w:p w14:paraId="3DDFD43B" w14:textId="77777777" w:rsidR="008C4E6E" w:rsidRDefault="00000000">
      <w:pPr>
        <w:pStyle w:val="Heading1"/>
      </w:pPr>
      <w:bookmarkStart w:id="9" w:name="_Toc237650565"/>
      <w:r>
        <w:rPr>
          <w:rFonts w:cs="Calibri Light"/>
          <w:szCs w:val="36"/>
        </w:rPr>
        <w:lastRenderedPageBreak/>
        <w:t>Part I: Foundations</w:t>
      </w:r>
      <w:bookmarkEnd w:id="9"/>
    </w:p>
    <w:p w14:paraId="4EDDBAD1" w14:textId="77777777" w:rsidR="008C4E6E" w:rsidRDefault="00000000">
      <w:r>
        <w:rPr>
          <w:rFonts w:cs="Calibri"/>
          <w:szCs w:val="22"/>
        </w:rPr>
        <w:t>This Part establishes what the Covenant is, who sits in it, what law it rests on, and the two doctrines that govern everything that follows: the Standing Continuity Guarantee, which keeps the system alive, and the Layered Activation Doctrine, which grows it safely. A reader who understands Articles 5 and 6 understands the whole instrument.</w:t>
      </w:r>
    </w:p>
    <w:p w14:paraId="2B54C688" w14:textId="77777777" w:rsidR="008C4E6E" w:rsidRDefault="00000000">
      <w:pPr>
        <w:pStyle w:val="Heading2"/>
      </w:pPr>
      <w:bookmarkStart w:id="10" w:name="_Toc237650566"/>
      <w:r>
        <w:rPr>
          <w:rFonts w:cs="Calibri Light"/>
          <w:szCs w:val="28"/>
        </w:rPr>
        <w:t>Article 1: Establishment, Purpose, and Scope</w:t>
      </w:r>
      <w:bookmarkEnd w:id="10"/>
    </w:p>
    <w:p w14:paraId="6E512ABE" w14:textId="77777777" w:rsidR="008C4E6E" w:rsidRDefault="00000000">
      <w:r>
        <w:rPr>
          <w:rFonts w:cs="Calibri"/>
          <w:b/>
          <w:szCs w:val="22"/>
        </w:rPr>
        <w:t>1.1</w:t>
      </w:r>
      <w:r>
        <w:rPr>
          <w:rFonts w:cs="Calibri"/>
          <w:szCs w:val="22"/>
        </w:rPr>
        <w:t xml:space="preserve"> The Islamic Republic of Iran and the Sultanate of Oman establish the Hormuz Covenant of Calm Waters as a layered operating architecture for the governance, safety, and free transit of the Strait of Hormuz. The Covenant enters into force in two stages: Layers One and Two activate on signature, and each subsequent layer activates on the certified satisfaction of the gate conditions of Article 6.</w:t>
      </w:r>
    </w:p>
    <w:p w14:paraId="3AE1A4F9" w14:textId="77777777" w:rsidR="008C4E6E" w:rsidRDefault="00000000">
      <w:r>
        <w:rPr>
          <w:rFonts w:cs="Calibri"/>
          <w:b/>
          <w:szCs w:val="22"/>
        </w:rPr>
        <w:t>1.2</w:t>
      </w:r>
      <w:r>
        <w:rPr>
          <w:rFonts w:cs="Calibri"/>
          <w:szCs w:val="22"/>
        </w:rPr>
        <w:t xml:space="preserve"> The Covenant performs three functions and no others: it keeps commercial transit moving, it keeps hazards out of the water, and it keeps politics out of the control room. A measure that serves none of these functions falls outside this Covenant.</w:t>
      </w:r>
    </w:p>
    <w:p w14:paraId="7D82B84C" w14:textId="77777777" w:rsidR="008C4E6E" w:rsidRDefault="00000000">
      <w:r>
        <w:rPr>
          <w:rFonts w:cs="Calibri"/>
          <w:b/>
          <w:szCs w:val="22"/>
        </w:rPr>
        <w:t>1.3</w:t>
      </w:r>
      <w:r>
        <w:rPr>
          <w:rFonts w:cs="Calibri"/>
          <w:szCs w:val="22"/>
        </w:rPr>
        <w:t xml:space="preserve"> The Covenant applies to the Governance Area defined in Article 41 and Annex A. It covers commercial transit, hazard survey and clearance, incident management, verification, the services that support transit, the institutions that run them, and the layered pathway that builds them.</w:t>
      </w:r>
    </w:p>
    <w:p w14:paraId="1AE545A1" w14:textId="77777777" w:rsidR="008C4E6E" w:rsidRDefault="00000000">
      <w:r>
        <w:rPr>
          <w:rFonts w:cs="Calibri"/>
          <w:b/>
          <w:szCs w:val="22"/>
        </w:rPr>
        <w:t>1.4</w:t>
      </w:r>
      <w:r>
        <w:rPr>
          <w:rFonts w:cs="Calibri"/>
          <w:szCs w:val="22"/>
        </w:rPr>
        <w:t xml:space="preserve"> The Covenant is one instrument in seven layers. Layer One comprises micro-exercises; Layer Two, meso-protocols; Layer Three, meso-systems; Layer Four, proto-governance; Layer Five, simulation; Layer Six, integration; Layer Seven, the permanent charter. Every layer binds the participants from signature as a matter of commitment, and operates from the activation of its gate as a matter of practice.</w:t>
      </w:r>
    </w:p>
    <w:p w14:paraId="68ACFB71" w14:textId="77777777" w:rsidR="008C4E6E" w:rsidRDefault="00000000">
      <w:r>
        <w:rPr>
          <w:rFonts w:cs="Calibri"/>
          <w:b/>
          <w:szCs w:val="22"/>
        </w:rPr>
        <w:t>1.5</w:t>
      </w:r>
      <w:r>
        <w:rPr>
          <w:rFonts w:cs="Calibri"/>
          <w:szCs w:val="22"/>
        </w:rPr>
        <w:t xml:space="preserve"> The Covenant is self-contained. Its bodies, budgets, procedures, and records stand alone, and the failure or delay of any other negotiation track leaves this Covenant intact. The nuclear file of any state, the military balance outside the Governance Area, every maritime boundary question, and the political constitution of any state lie outside this Covenant by deliberate design. The architecture separates the management of the waterway from every other file, and that separation constitutes one of its core safeguards.</w:t>
      </w:r>
    </w:p>
    <w:p w14:paraId="4F37029B" w14:textId="77777777" w:rsidR="008C4E6E" w:rsidRDefault="00000000">
      <w:r>
        <w:rPr>
          <w:rFonts w:cs="Calibri"/>
          <w:b/>
          <w:szCs w:val="22"/>
        </w:rPr>
        <w:t>1.6</w:t>
      </w:r>
      <w:r>
        <w:rPr>
          <w:rFonts w:cs="Calibri"/>
          <w:szCs w:val="22"/>
        </w:rPr>
        <w:t xml:space="preserve"> The Covenant binds its participants as a matter of sovereign commitment. Each participant acts through its own legal order, and each participant brings its domestic arrangements into conformity with the activated layers within thirty days of each activation.</w:t>
      </w:r>
    </w:p>
    <w:p w14:paraId="0C6BC503" w14:textId="77777777" w:rsidR="008C4E6E" w:rsidRDefault="00000000">
      <w:r>
        <w:rPr>
          <w:rFonts w:cs="Calibri"/>
          <w:b/>
          <w:szCs w:val="22"/>
        </w:rPr>
        <w:t>1.7</w:t>
      </w:r>
      <w:r>
        <w:rPr>
          <w:rFonts w:cs="Calibri"/>
          <w:szCs w:val="22"/>
        </w:rPr>
        <w:t xml:space="preserve"> No provision of this Covenant derogates from the humanitarian absolute, and no emergency, dispute, review, or dormant period suspends the movement of humanitarian cargo.</w:t>
      </w:r>
    </w:p>
    <w:p w14:paraId="1D71A942" w14:textId="77777777" w:rsidR="008C4E6E" w:rsidRDefault="00000000">
      <w:pPr>
        <w:pStyle w:val="Heading2"/>
      </w:pPr>
      <w:bookmarkStart w:id="11" w:name="_Toc237650567"/>
      <w:r>
        <w:rPr>
          <w:rFonts w:cs="Calibri Light"/>
          <w:szCs w:val="28"/>
        </w:rPr>
        <w:lastRenderedPageBreak/>
        <w:t>Article 2: The Participation Architecture</w:t>
      </w:r>
      <w:bookmarkEnd w:id="11"/>
    </w:p>
    <w:p w14:paraId="2C77000D" w14:textId="77777777" w:rsidR="008C4E6E" w:rsidRDefault="00000000">
      <w:r>
        <w:rPr>
          <w:rFonts w:cs="Calibri"/>
          <w:szCs w:val="22"/>
        </w:rPr>
        <w:t>The architecture assigns every function to the actor that performs it without crossing another participant's red line. Seats carry published rights and published limits, and the table below is the complete statement of both.</w:t>
      </w:r>
    </w:p>
    <w:p w14:paraId="6C49B99A" w14:textId="77777777" w:rsidR="008C4E6E" w:rsidRDefault="00000000">
      <w:r>
        <w:rPr>
          <w:rFonts w:cs="Calibri"/>
          <w:b/>
          <w:szCs w:val="22"/>
        </w:rPr>
        <w:t>2.1</w:t>
      </w:r>
      <w:r>
        <w:rPr>
          <w:rFonts w:cs="Calibri"/>
          <w:szCs w:val="22"/>
        </w:rPr>
        <w:t xml:space="preserve"> Founding Parties: the Islamic Republic of Iran and the Sultanate of Oman. The Founding Parties hold the Twin Key over restricted decisions, co-chair the institutions, perform the corridor functions of Article 41 in their respective waters, and carry the obligations of coastal states under this Covenant.</w:t>
      </w:r>
    </w:p>
    <w:p w14:paraId="636242B4" w14:textId="77777777" w:rsidR="008C4E6E" w:rsidRDefault="00000000">
      <w:r>
        <w:rPr>
          <w:rFonts w:cs="Calibri"/>
          <w:b/>
          <w:szCs w:val="22"/>
        </w:rPr>
        <w:t>2.2</w:t>
      </w:r>
      <w:r>
        <w:rPr>
          <w:rFonts w:cs="Calibri"/>
          <w:szCs w:val="22"/>
        </w:rPr>
        <w:t xml:space="preserve"> Endorsing Stakeholder: the United States of America. The United States endorses the Covenant, maintains the standstill and the synchronized relief schedule of Article 38, holds monitoring access to the Shared Registry, and operates the de-confliction channel of Article 47. The Endorsing Stakeholder holds no command role, no governance vote, and no boarding or inspection function inside the Governance Area.</w:t>
      </w:r>
    </w:p>
    <w:p w14:paraId="4BA5D3AC" w14:textId="77777777" w:rsidR="008C4E6E" w:rsidRDefault="00000000">
      <w:r>
        <w:rPr>
          <w:rFonts w:cs="Calibri"/>
          <w:b/>
          <w:szCs w:val="22"/>
        </w:rPr>
        <w:t>2.3</w:t>
      </w:r>
      <w:r>
        <w:rPr>
          <w:rFonts w:cs="Calibri"/>
          <w:szCs w:val="22"/>
        </w:rPr>
        <w:t xml:space="preserve"> Observer Members: the member states of the Gulf Cooperation Council and the Republic of Iraq. Observer Members hold seats at the Calm Waters Commission, contribute watch pairs under Article 48, receive the full fused picture, and accede to fuller status under Article 57.</w:t>
      </w:r>
    </w:p>
    <w:p w14:paraId="33B656FC" w14:textId="77777777" w:rsidR="008C4E6E" w:rsidRDefault="00000000">
      <w:r>
        <w:rPr>
          <w:rFonts w:cs="Calibri"/>
          <w:b/>
          <w:szCs w:val="22"/>
        </w:rPr>
        <w:t>2.4</w:t>
      </w:r>
      <w:r>
        <w:rPr>
          <w:rFonts w:cs="Calibri"/>
          <w:szCs w:val="22"/>
        </w:rPr>
        <w:t xml:space="preserve"> Technical Participants: the International Maritime Organization, the International Hydrographic Organization, and the United Nations Mine Action Service. Technical Participants review navigational measures, register coordinates and notices through their standard processes, support survey and clearance, and hold no vote.</w:t>
      </w:r>
    </w:p>
    <w:p w14:paraId="7533D1CB" w14:textId="77777777" w:rsidR="008C4E6E" w:rsidRDefault="00000000">
      <w:r>
        <w:rPr>
          <w:rFonts w:cs="Calibri"/>
          <w:b/>
          <w:szCs w:val="22"/>
        </w:rPr>
        <w:t>2.5</w:t>
      </w:r>
      <w:r>
        <w:rPr>
          <w:rFonts w:cs="Calibri"/>
          <w:szCs w:val="22"/>
        </w:rPr>
        <w:t xml:space="preserve"> Contributing Participants: the French Republic, the United Kingdom, and partner states contributing mine countermeasure vessels, survey capability, or funding under Article 46. Contributing Participants operate under United Nations coordination and at the invitation of both Founding Parties, and hold no other function inside the Governance Area.</w:t>
      </w:r>
    </w:p>
    <w:p w14:paraId="60044730" w14:textId="77777777" w:rsidR="008C4E6E" w:rsidRDefault="00000000">
      <w:r>
        <w:rPr>
          <w:rFonts w:cs="Calibri"/>
          <w:b/>
          <w:szCs w:val="22"/>
        </w:rPr>
        <w:t>2.6</w:t>
      </w:r>
      <w:r>
        <w:rPr>
          <w:rFonts w:cs="Calibri"/>
          <w:szCs w:val="22"/>
        </w:rPr>
        <w:t xml:space="preserve"> Facilitators: the State of Qatar holds the mediation function; the Islamic Republic of Pakistan holds good offices; the Swiss Confederation holds the functions of depositary, record keeper, and administrator of the Calm Waters Fund.</w:t>
      </w:r>
    </w:p>
    <w:p w14:paraId="1F2BF2C0" w14:textId="77777777" w:rsidR="008C4E6E" w:rsidRDefault="00000000">
      <w:r>
        <w:rPr>
          <w:rFonts w:cs="Calibri"/>
          <w:b/>
          <w:szCs w:val="22"/>
        </w:rPr>
        <w:t>2.7</w:t>
      </w:r>
      <w:r>
        <w:rPr>
          <w:rFonts w:cs="Calibri"/>
          <w:szCs w:val="22"/>
        </w:rPr>
        <w:t xml:space="preserve"> Industry Panel: a standing advisory panel of shipping associations, protection and indemnity clubs, war-risk underwriters, and energy charterers, convened under Article 48.</w:t>
      </w:r>
    </w:p>
    <w:p w14:paraId="740C8251" w14:textId="77777777" w:rsidR="008C4E6E" w:rsidRDefault="00000000">
      <w:r>
        <w:rPr>
          <w:rFonts w:cs="Calibri"/>
          <w:b/>
          <w:szCs w:val="22"/>
        </w:rPr>
        <w:t>2.8</w:t>
      </w:r>
      <w:r>
        <w:rPr>
          <w:rFonts w:cs="Calibri"/>
          <w:szCs w:val="22"/>
        </w:rPr>
        <w:t xml:space="preserve"> Every participant acts through named liaison officers registered in the Shared Registry. An unregistered instruction carries no force under this Covenant.</w:t>
      </w:r>
    </w:p>
    <w:p w14:paraId="1EF06413" w14:textId="77777777" w:rsidR="008C4E6E" w:rsidRDefault="00000000">
      <w:r>
        <w:rPr>
          <w:rFonts w:cs="Calibri"/>
          <w:b/>
          <w:szCs w:val="22"/>
        </w:rPr>
        <w:t>2.9</w:t>
      </w:r>
      <w:r>
        <w:rPr>
          <w:rFonts w:cs="Calibri"/>
          <w:szCs w:val="22"/>
        </w:rPr>
        <w:t xml:space="preserve"> The Intermediary Bridge. No provision of this Covenant conditions any step on direct contact between any two participants. Every instrument, notice, certification, and message under this Covenant travels through the Mediator of Record, the facilitators, the Registry, or the hotline, at the election of the sending participant. A message delivered through the Intermediary Bridge carries the same force as </w:t>
      </w:r>
      <w:r>
        <w:rPr>
          <w:rFonts w:cs="Calibri"/>
          <w:szCs w:val="22"/>
        </w:rPr>
        <w:lastRenderedPageBreak/>
        <w:t>a message delivered directly. The architecture thereby absorbs the working method of the crisis diplomacy of 2026, in which every consequential message between Washington and Tehran passed through Muscat, Doha, or Islamabad.</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72313013"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073BF01E" w14:textId="77777777" w:rsidR="008C4E6E" w:rsidRDefault="00000000">
            <w:pPr>
              <w:spacing w:before="20" w:after="20" w:line="290" w:lineRule="auto"/>
              <w:jc w:val="left"/>
            </w:pPr>
            <w:r>
              <w:rPr>
                <w:rFonts w:cs="Calibri"/>
                <w:b/>
                <w:color w:val="1F4E5F"/>
                <w:sz w:val="19"/>
                <w:szCs w:val="19"/>
              </w:rPr>
              <w:t>Seat</w:t>
            </w:r>
          </w:p>
        </w:tc>
        <w:tc>
          <w:tcPr>
            <w:tcW w:w="3116" w:type="dxa"/>
            <w:shd w:val="clear" w:color="auto" w:fill="E4EEF1"/>
            <w:tcMar>
              <w:top w:w="60" w:type="dxa"/>
              <w:left w:w="100" w:type="dxa"/>
              <w:bottom w:w="60" w:type="dxa"/>
              <w:right w:w="100" w:type="dxa"/>
            </w:tcMar>
          </w:tcPr>
          <w:p w14:paraId="21775FC1" w14:textId="77777777" w:rsidR="008C4E6E" w:rsidRDefault="00000000">
            <w:pPr>
              <w:spacing w:before="20" w:after="20" w:line="290" w:lineRule="auto"/>
              <w:jc w:val="left"/>
            </w:pPr>
            <w:r>
              <w:rPr>
                <w:rFonts w:cs="Calibri"/>
                <w:b/>
                <w:color w:val="1F4E5F"/>
                <w:sz w:val="19"/>
                <w:szCs w:val="19"/>
              </w:rPr>
              <w:t>Held by</w:t>
            </w:r>
          </w:p>
        </w:tc>
        <w:tc>
          <w:tcPr>
            <w:tcW w:w="3118" w:type="dxa"/>
            <w:shd w:val="clear" w:color="auto" w:fill="E4EEF1"/>
            <w:tcMar>
              <w:top w:w="60" w:type="dxa"/>
              <w:left w:w="100" w:type="dxa"/>
              <w:bottom w:w="60" w:type="dxa"/>
              <w:right w:w="100" w:type="dxa"/>
            </w:tcMar>
          </w:tcPr>
          <w:p w14:paraId="7BA13312" w14:textId="77777777" w:rsidR="008C4E6E" w:rsidRDefault="00000000">
            <w:pPr>
              <w:spacing w:before="20" w:after="20" w:line="290" w:lineRule="auto"/>
              <w:jc w:val="left"/>
            </w:pPr>
            <w:r>
              <w:rPr>
                <w:rFonts w:cs="Calibri"/>
                <w:b/>
                <w:color w:val="1F4E5F"/>
                <w:sz w:val="19"/>
                <w:szCs w:val="19"/>
              </w:rPr>
              <w:t>Core functions and limits</w:t>
            </w:r>
          </w:p>
        </w:tc>
      </w:tr>
      <w:tr w:rsidR="008C4E6E" w14:paraId="2D526883" w14:textId="77777777">
        <w:tblPrEx>
          <w:tblCellMar>
            <w:top w:w="0" w:type="dxa"/>
            <w:bottom w:w="0" w:type="dxa"/>
          </w:tblCellMar>
        </w:tblPrEx>
        <w:tc>
          <w:tcPr>
            <w:tcW w:w="3116" w:type="dxa"/>
            <w:tcMar>
              <w:top w:w="60" w:type="dxa"/>
              <w:left w:w="100" w:type="dxa"/>
              <w:bottom w:w="60" w:type="dxa"/>
              <w:right w:w="100" w:type="dxa"/>
            </w:tcMar>
          </w:tcPr>
          <w:p w14:paraId="640E3087" w14:textId="77777777" w:rsidR="008C4E6E" w:rsidRDefault="00000000">
            <w:pPr>
              <w:spacing w:before="20" w:after="20" w:line="290" w:lineRule="auto"/>
              <w:jc w:val="left"/>
            </w:pPr>
            <w:r>
              <w:rPr>
                <w:rFonts w:cs="Calibri"/>
                <w:sz w:val="19"/>
                <w:szCs w:val="19"/>
              </w:rPr>
              <w:t>Founding Parties</w:t>
            </w:r>
          </w:p>
        </w:tc>
        <w:tc>
          <w:tcPr>
            <w:tcW w:w="3116" w:type="dxa"/>
            <w:tcMar>
              <w:top w:w="60" w:type="dxa"/>
              <w:left w:w="100" w:type="dxa"/>
              <w:bottom w:w="60" w:type="dxa"/>
              <w:right w:w="100" w:type="dxa"/>
            </w:tcMar>
          </w:tcPr>
          <w:p w14:paraId="0F688CFA" w14:textId="77777777" w:rsidR="008C4E6E" w:rsidRDefault="00000000">
            <w:pPr>
              <w:spacing w:before="20" w:after="20" w:line="290" w:lineRule="auto"/>
              <w:jc w:val="left"/>
            </w:pPr>
            <w:r>
              <w:rPr>
                <w:rFonts w:cs="Calibri"/>
                <w:sz w:val="19"/>
                <w:szCs w:val="19"/>
              </w:rPr>
              <w:t>Iran; Oman</w:t>
            </w:r>
          </w:p>
        </w:tc>
        <w:tc>
          <w:tcPr>
            <w:tcW w:w="3118" w:type="dxa"/>
            <w:tcMar>
              <w:top w:w="60" w:type="dxa"/>
              <w:left w:w="100" w:type="dxa"/>
              <w:bottom w:w="60" w:type="dxa"/>
              <w:right w:w="100" w:type="dxa"/>
            </w:tcMar>
          </w:tcPr>
          <w:p w14:paraId="38F515CF" w14:textId="77777777" w:rsidR="008C4E6E" w:rsidRDefault="00000000">
            <w:pPr>
              <w:spacing w:before="20" w:after="20" w:line="290" w:lineRule="auto"/>
              <w:jc w:val="left"/>
            </w:pPr>
            <w:r>
              <w:rPr>
                <w:rFonts w:cs="Calibri"/>
                <w:sz w:val="19"/>
                <w:szCs w:val="19"/>
              </w:rPr>
              <w:t>Twin Key over restricted decisions; corridor functions in own waters; survey co-leadership; hotline principals</w:t>
            </w:r>
          </w:p>
        </w:tc>
      </w:tr>
      <w:tr w:rsidR="008C4E6E" w14:paraId="272AB300" w14:textId="77777777">
        <w:tblPrEx>
          <w:tblCellMar>
            <w:top w:w="0" w:type="dxa"/>
            <w:bottom w:w="0" w:type="dxa"/>
          </w:tblCellMar>
        </w:tblPrEx>
        <w:tc>
          <w:tcPr>
            <w:tcW w:w="3116" w:type="dxa"/>
            <w:tcMar>
              <w:top w:w="60" w:type="dxa"/>
              <w:left w:w="100" w:type="dxa"/>
              <w:bottom w:w="60" w:type="dxa"/>
              <w:right w:w="100" w:type="dxa"/>
            </w:tcMar>
          </w:tcPr>
          <w:p w14:paraId="4D8039EA" w14:textId="77777777" w:rsidR="008C4E6E" w:rsidRDefault="00000000">
            <w:pPr>
              <w:spacing w:before="20" w:after="20" w:line="290" w:lineRule="auto"/>
              <w:jc w:val="left"/>
            </w:pPr>
            <w:r>
              <w:rPr>
                <w:rFonts w:cs="Calibri"/>
                <w:sz w:val="19"/>
                <w:szCs w:val="19"/>
              </w:rPr>
              <w:t>Endorsing Stakeholder</w:t>
            </w:r>
          </w:p>
        </w:tc>
        <w:tc>
          <w:tcPr>
            <w:tcW w:w="3116" w:type="dxa"/>
            <w:tcMar>
              <w:top w:w="60" w:type="dxa"/>
              <w:left w:w="100" w:type="dxa"/>
              <w:bottom w:w="60" w:type="dxa"/>
              <w:right w:w="100" w:type="dxa"/>
            </w:tcMar>
          </w:tcPr>
          <w:p w14:paraId="4B3A950F" w14:textId="77777777" w:rsidR="008C4E6E" w:rsidRDefault="00000000">
            <w:pPr>
              <w:spacing w:before="20" w:after="20" w:line="290" w:lineRule="auto"/>
              <w:jc w:val="left"/>
            </w:pPr>
            <w:r>
              <w:rPr>
                <w:rFonts w:cs="Calibri"/>
                <w:sz w:val="19"/>
                <w:szCs w:val="19"/>
              </w:rPr>
              <w:t>United States</w:t>
            </w:r>
          </w:p>
        </w:tc>
        <w:tc>
          <w:tcPr>
            <w:tcW w:w="3118" w:type="dxa"/>
            <w:tcMar>
              <w:top w:w="60" w:type="dxa"/>
              <w:left w:w="100" w:type="dxa"/>
              <w:bottom w:w="60" w:type="dxa"/>
              <w:right w:w="100" w:type="dxa"/>
            </w:tcMar>
          </w:tcPr>
          <w:p w14:paraId="21752C21" w14:textId="77777777" w:rsidR="008C4E6E" w:rsidRDefault="00000000">
            <w:pPr>
              <w:spacing w:before="20" w:after="20" w:line="290" w:lineRule="auto"/>
              <w:jc w:val="left"/>
            </w:pPr>
            <w:r>
              <w:rPr>
                <w:rFonts w:cs="Calibri"/>
                <w:sz w:val="19"/>
                <w:szCs w:val="19"/>
              </w:rPr>
              <w:t>Standstill and synchronized relief; monitoring access; de-confliction; no command, no vote, no boarding</w:t>
            </w:r>
          </w:p>
        </w:tc>
      </w:tr>
      <w:tr w:rsidR="008C4E6E" w14:paraId="627DDE32" w14:textId="77777777">
        <w:tblPrEx>
          <w:tblCellMar>
            <w:top w:w="0" w:type="dxa"/>
            <w:bottom w:w="0" w:type="dxa"/>
          </w:tblCellMar>
        </w:tblPrEx>
        <w:tc>
          <w:tcPr>
            <w:tcW w:w="3116" w:type="dxa"/>
            <w:tcMar>
              <w:top w:w="60" w:type="dxa"/>
              <w:left w:w="100" w:type="dxa"/>
              <w:bottom w:w="60" w:type="dxa"/>
              <w:right w:w="100" w:type="dxa"/>
            </w:tcMar>
          </w:tcPr>
          <w:p w14:paraId="2C21C5A4" w14:textId="77777777" w:rsidR="008C4E6E" w:rsidRDefault="00000000">
            <w:pPr>
              <w:spacing w:before="20" w:after="20" w:line="290" w:lineRule="auto"/>
              <w:jc w:val="left"/>
            </w:pPr>
            <w:r>
              <w:rPr>
                <w:rFonts w:cs="Calibri"/>
                <w:sz w:val="19"/>
                <w:szCs w:val="19"/>
              </w:rPr>
              <w:t>Observer Members</w:t>
            </w:r>
          </w:p>
        </w:tc>
        <w:tc>
          <w:tcPr>
            <w:tcW w:w="3116" w:type="dxa"/>
            <w:tcMar>
              <w:top w:w="60" w:type="dxa"/>
              <w:left w:w="100" w:type="dxa"/>
              <w:bottom w:w="60" w:type="dxa"/>
              <w:right w:w="100" w:type="dxa"/>
            </w:tcMar>
          </w:tcPr>
          <w:p w14:paraId="26A7F8B9" w14:textId="77777777" w:rsidR="008C4E6E" w:rsidRDefault="00000000">
            <w:pPr>
              <w:spacing w:before="20" w:after="20" w:line="290" w:lineRule="auto"/>
              <w:jc w:val="left"/>
            </w:pPr>
            <w:r>
              <w:rPr>
                <w:rFonts w:cs="Calibri"/>
                <w:sz w:val="19"/>
                <w:szCs w:val="19"/>
              </w:rPr>
              <w:t>GCC states; Iraq</w:t>
            </w:r>
          </w:p>
        </w:tc>
        <w:tc>
          <w:tcPr>
            <w:tcW w:w="3118" w:type="dxa"/>
            <w:tcMar>
              <w:top w:w="60" w:type="dxa"/>
              <w:left w:w="100" w:type="dxa"/>
              <w:bottom w:w="60" w:type="dxa"/>
              <w:right w:w="100" w:type="dxa"/>
            </w:tcMar>
          </w:tcPr>
          <w:p w14:paraId="14FDAA60" w14:textId="77777777" w:rsidR="008C4E6E" w:rsidRDefault="00000000">
            <w:pPr>
              <w:spacing w:before="20" w:after="20" w:line="290" w:lineRule="auto"/>
              <w:jc w:val="left"/>
            </w:pPr>
            <w:r>
              <w:rPr>
                <w:rFonts w:cs="Calibri"/>
                <w:sz w:val="19"/>
                <w:szCs w:val="19"/>
              </w:rPr>
              <w:t>Commission seats; watch pairs; fused picture access; accession pathway</w:t>
            </w:r>
          </w:p>
        </w:tc>
      </w:tr>
      <w:tr w:rsidR="008C4E6E" w14:paraId="585FC4F4" w14:textId="77777777">
        <w:tblPrEx>
          <w:tblCellMar>
            <w:top w:w="0" w:type="dxa"/>
            <w:bottom w:w="0" w:type="dxa"/>
          </w:tblCellMar>
        </w:tblPrEx>
        <w:tc>
          <w:tcPr>
            <w:tcW w:w="3116" w:type="dxa"/>
            <w:tcMar>
              <w:top w:w="60" w:type="dxa"/>
              <w:left w:w="100" w:type="dxa"/>
              <w:bottom w:w="60" w:type="dxa"/>
              <w:right w:w="100" w:type="dxa"/>
            </w:tcMar>
          </w:tcPr>
          <w:p w14:paraId="11C1FC48" w14:textId="77777777" w:rsidR="008C4E6E" w:rsidRDefault="00000000">
            <w:pPr>
              <w:spacing w:before="20" w:after="20" w:line="290" w:lineRule="auto"/>
              <w:jc w:val="left"/>
            </w:pPr>
            <w:r>
              <w:rPr>
                <w:rFonts w:cs="Calibri"/>
                <w:sz w:val="19"/>
                <w:szCs w:val="19"/>
              </w:rPr>
              <w:t>Technical Participants</w:t>
            </w:r>
          </w:p>
        </w:tc>
        <w:tc>
          <w:tcPr>
            <w:tcW w:w="3116" w:type="dxa"/>
            <w:tcMar>
              <w:top w:w="60" w:type="dxa"/>
              <w:left w:w="100" w:type="dxa"/>
              <w:bottom w:w="60" w:type="dxa"/>
              <w:right w:w="100" w:type="dxa"/>
            </w:tcMar>
          </w:tcPr>
          <w:p w14:paraId="59F82102" w14:textId="77777777" w:rsidR="008C4E6E" w:rsidRDefault="00000000">
            <w:pPr>
              <w:spacing w:before="20" w:after="20" w:line="290" w:lineRule="auto"/>
              <w:jc w:val="left"/>
            </w:pPr>
            <w:r>
              <w:rPr>
                <w:rFonts w:cs="Calibri"/>
                <w:sz w:val="19"/>
                <w:szCs w:val="19"/>
              </w:rPr>
              <w:t>IMO; IHO; UNMAS</w:t>
            </w:r>
          </w:p>
        </w:tc>
        <w:tc>
          <w:tcPr>
            <w:tcW w:w="3118" w:type="dxa"/>
            <w:tcMar>
              <w:top w:w="60" w:type="dxa"/>
              <w:left w:w="100" w:type="dxa"/>
              <w:bottom w:w="60" w:type="dxa"/>
              <w:right w:w="100" w:type="dxa"/>
            </w:tcMar>
          </w:tcPr>
          <w:p w14:paraId="1F17352D" w14:textId="77777777" w:rsidR="008C4E6E" w:rsidRDefault="00000000">
            <w:pPr>
              <w:spacing w:before="20" w:after="20" w:line="290" w:lineRule="auto"/>
              <w:jc w:val="left"/>
            </w:pPr>
            <w:r>
              <w:rPr>
                <w:rFonts w:cs="Calibri"/>
                <w:sz w:val="19"/>
                <w:szCs w:val="19"/>
              </w:rPr>
              <w:t>Navigational review; registration; survey support; no vote</w:t>
            </w:r>
          </w:p>
        </w:tc>
      </w:tr>
      <w:tr w:rsidR="008C4E6E" w14:paraId="1756A921" w14:textId="77777777">
        <w:tblPrEx>
          <w:tblCellMar>
            <w:top w:w="0" w:type="dxa"/>
            <w:bottom w:w="0" w:type="dxa"/>
          </w:tblCellMar>
        </w:tblPrEx>
        <w:tc>
          <w:tcPr>
            <w:tcW w:w="3116" w:type="dxa"/>
            <w:tcMar>
              <w:top w:w="60" w:type="dxa"/>
              <w:left w:w="100" w:type="dxa"/>
              <w:bottom w:w="60" w:type="dxa"/>
              <w:right w:w="100" w:type="dxa"/>
            </w:tcMar>
          </w:tcPr>
          <w:p w14:paraId="6D13BB06" w14:textId="77777777" w:rsidR="008C4E6E" w:rsidRDefault="00000000">
            <w:pPr>
              <w:spacing w:before="20" w:after="20" w:line="290" w:lineRule="auto"/>
              <w:jc w:val="left"/>
            </w:pPr>
            <w:r>
              <w:rPr>
                <w:rFonts w:cs="Calibri"/>
                <w:sz w:val="19"/>
                <w:szCs w:val="19"/>
              </w:rPr>
              <w:t>Contributing Participants</w:t>
            </w:r>
          </w:p>
        </w:tc>
        <w:tc>
          <w:tcPr>
            <w:tcW w:w="3116" w:type="dxa"/>
            <w:tcMar>
              <w:top w:w="60" w:type="dxa"/>
              <w:left w:w="100" w:type="dxa"/>
              <w:bottom w:w="60" w:type="dxa"/>
              <w:right w:w="100" w:type="dxa"/>
            </w:tcMar>
          </w:tcPr>
          <w:p w14:paraId="28FAD516" w14:textId="77777777" w:rsidR="008C4E6E" w:rsidRDefault="00000000">
            <w:pPr>
              <w:spacing w:before="20" w:after="20" w:line="290" w:lineRule="auto"/>
              <w:jc w:val="left"/>
            </w:pPr>
            <w:r>
              <w:rPr>
                <w:rFonts w:cs="Calibri"/>
                <w:sz w:val="19"/>
                <w:szCs w:val="19"/>
              </w:rPr>
              <w:t>France; United Kingdom; partners</w:t>
            </w:r>
          </w:p>
        </w:tc>
        <w:tc>
          <w:tcPr>
            <w:tcW w:w="3118" w:type="dxa"/>
            <w:tcMar>
              <w:top w:w="60" w:type="dxa"/>
              <w:left w:w="100" w:type="dxa"/>
              <w:bottom w:w="60" w:type="dxa"/>
              <w:right w:w="100" w:type="dxa"/>
            </w:tcMar>
          </w:tcPr>
          <w:p w14:paraId="39CD62DE" w14:textId="77777777" w:rsidR="008C4E6E" w:rsidRDefault="00000000">
            <w:pPr>
              <w:spacing w:before="20" w:after="20" w:line="290" w:lineRule="auto"/>
              <w:jc w:val="left"/>
            </w:pPr>
            <w:r>
              <w:rPr>
                <w:rFonts w:cs="Calibri"/>
                <w:sz w:val="19"/>
                <w:szCs w:val="19"/>
              </w:rPr>
              <w:t>Mine countermeasures and survey under UN coordination, by invitation; no other function</w:t>
            </w:r>
          </w:p>
        </w:tc>
      </w:tr>
      <w:tr w:rsidR="008C4E6E" w14:paraId="49AEC12E" w14:textId="77777777">
        <w:tblPrEx>
          <w:tblCellMar>
            <w:top w:w="0" w:type="dxa"/>
            <w:bottom w:w="0" w:type="dxa"/>
          </w:tblCellMar>
        </w:tblPrEx>
        <w:tc>
          <w:tcPr>
            <w:tcW w:w="3116" w:type="dxa"/>
            <w:tcMar>
              <w:top w:w="60" w:type="dxa"/>
              <w:left w:w="100" w:type="dxa"/>
              <w:bottom w:w="60" w:type="dxa"/>
              <w:right w:w="100" w:type="dxa"/>
            </w:tcMar>
          </w:tcPr>
          <w:p w14:paraId="72A31F97" w14:textId="77777777" w:rsidR="008C4E6E" w:rsidRDefault="00000000">
            <w:pPr>
              <w:spacing w:before="20" w:after="20" w:line="290" w:lineRule="auto"/>
              <w:jc w:val="left"/>
            </w:pPr>
            <w:r>
              <w:rPr>
                <w:rFonts w:cs="Calibri"/>
                <w:sz w:val="19"/>
                <w:szCs w:val="19"/>
              </w:rPr>
              <w:t>Facilitators</w:t>
            </w:r>
          </w:p>
        </w:tc>
        <w:tc>
          <w:tcPr>
            <w:tcW w:w="3116" w:type="dxa"/>
            <w:tcMar>
              <w:top w:w="60" w:type="dxa"/>
              <w:left w:w="100" w:type="dxa"/>
              <w:bottom w:w="60" w:type="dxa"/>
              <w:right w:w="100" w:type="dxa"/>
            </w:tcMar>
          </w:tcPr>
          <w:p w14:paraId="76FFE46E" w14:textId="77777777" w:rsidR="008C4E6E" w:rsidRDefault="00000000">
            <w:pPr>
              <w:spacing w:before="20" w:after="20" w:line="290" w:lineRule="auto"/>
              <w:jc w:val="left"/>
            </w:pPr>
            <w:r>
              <w:rPr>
                <w:rFonts w:cs="Calibri"/>
                <w:sz w:val="19"/>
                <w:szCs w:val="19"/>
              </w:rPr>
              <w:t>Qatar; Pakistan; Switzerland</w:t>
            </w:r>
          </w:p>
        </w:tc>
        <w:tc>
          <w:tcPr>
            <w:tcW w:w="3118" w:type="dxa"/>
            <w:tcMar>
              <w:top w:w="60" w:type="dxa"/>
              <w:left w:w="100" w:type="dxa"/>
              <w:bottom w:w="60" w:type="dxa"/>
              <w:right w:w="100" w:type="dxa"/>
            </w:tcMar>
          </w:tcPr>
          <w:p w14:paraId="51EB4479" w14:textId="77777777" w:rsidR="008C4E6E" w:rsidRDefault="00000000">
            <w:pPr>
              <w:spacing w:before="20" w:after="20" w:line="290" w:lineRule="auto"/>
              <w:jc w:val="left"/>
            </w:pPr>
            <w:r>
              <w:rPr>
                <w:rFonts w:cs="Calibri"/>
                <w:sz w:val="19"/>
                <w:szCs w:val="19"/>
              </w:rPr>
              <w:t>Mediation; good offices; depositary; record; fund administration</w:t>
            </w:r>
          </w:p>
        </w:tc>
      </w:tr>
      <w:tr w:rsidR="008C4E6E" w14:paraId="11F015DB" w14:textId="77777777">
        <w:tblPrEx>
          <w:tblCellMar>
            <w:top w:w="0" w:type="dxa"/>
            <w:bottom w:w="0" w:type="dxa"/>
          </w:tblCellMar>
        </w:tblPrEx>
        <w:tc>
          <w:tcPr>
            <w:tcW w:w="3116" w:type="dxa"/>
            <w:tcMar>
              <w:top w:w="60" w:type="dxa"/>
              <w:left w:w="100" w:type="dxa"/>
              <w:bottom w:w="60" w:type="dxa"/>
              <w:right w:w="100" w:type="dxa"/>
            </w:tcMar>
          </w:tcPr>
          <w:p w14:paraId="5035D8C7" w14:textId="77777777" w:rsidR="008C4E6E" w:rsidRDefault="00000000">
            <w:pPr>
              <w:spacing w:before="20" w:after="20" w:line="290" w:lineRule="auto"/>
              <w:jc w:val="left"/>
            </w:pPr>
            <w:r>
              <w:rPr>
                <w:rFonts w:cs="Calibri"/>
                <w:sz w:val="19"/>
                <w:szCs w:val="19"/>
              </w:rPr>
              <w:t>Industry Panel</w:t>
            </w:r>
          </w:p>
        </w:tc>
        <w:tc>
          <w:tcPr>
            <w:tcW w:w="3116" w:type="dxa"/>
            <w:tcMar>
              <w:top w:w="60" w:type="dxa"/>
              <w:left w:w="100" w:type="dxa"/>
              <w:bottom w:w="60" w:type="dxa"/>
              <w:right w:w="100" w:type="dxa"/>
            </w:tcMar>
          </w:tcPr>
          <w:p w14:paraId="3CCA26AE" w14:textId="77777777" w:rsidR="008C4E6E" w:rsidRDefault="00000000">
            <w:pPr>
              <w:spacing w:before="20" w:after="20" w:line="290" w:lineRule="auto"/>
              <w:jc w:val="left"/>
            </w:pPr>
            <w:r>
              <w:rPr>
                <w:rFonts w:cs="Calibri"/>
                <w:sz w:val="19"/>
                <w:szCs w:val="19"/>
              </w:rPr>
              <w:t>Shipping, insurance, energy</w:t>
            </w:r>
          </w:p>
        </w:tc>
        <w:tc>
          <w:tcPr>
            <w:tcW w:w="3118" w:type="dxa"/>
            <w:tcMar>
              <w:top w:w="60" w:type="dxa"/>
              <w:left w:w="100" w:type="dxa"/>
              <w:bottom w:w="60" w:type="dxa"/>
              <w:right w:w="100" w:type="dxa"/>
            </w:tcMar>
          </w:tcPr>
          <w:p w14:paraId="323AB9A1" w14:textId="77777777" w:rsidR="008C4E6E" w:rsidRDefault="00000000">
            <w:pPr>
              <w:spacing w:before="20" w:after="20" w:line="290" w:lineRule="auto"/>
              <w:jc w:val="left"/>
            </w:pPr>
            <w:r>
              <w:rPr>
                <w:rFonts w:cs="Calibri"/>
                <w:sz w:val="19"/>
                <w:szCs w:val="19"/>
              </w:rPr>
              <w:t>Advisory input; risk data; voluntary Fund contributions</w:t>
            </w:r>
          </w:p>
        </w:tc>
      </w:tr>
    </w:tbl>
    <w:p w14:paraId="42832729" w14:textId="77777777" w:rsidR="008C4E6E" w:rsidRDefault="008C4E6E">
      <w:pPr>
        <w:spacing w:after="80"/>
      </w:pPr>
    </w:p>
    <w:p w14:paraId="3C821701" w14:textId="77777777" w:rsidR="008C4E6E" w:rsidRDefault="00000000">
      <w:pPr>
        <w:spacing w:before="40" w:after="200"/>
        <w:jc w:val="left"/>
      </w:pPr>
      <w:r>
        <w:rPr>
          <w:rFonts w:cs="Calibri"/>
          <w:i/>
          <w:color w:val="6E8A96"/>
          <w:sz w:val="19"/>
          <w:szCs w:val="19"/>
        </w:rPr>
        <w:t>Participation seats, holders, and limits.</w:t>
      </w:r>
    </w:p>
    <w:p w14:paraId="65B9434C" w14:textId="77777777" w:rsidR="008C4E6E" w:rsidRDefault="00000000">
      <w:pPr>
        <w:pStyle w:val="Heading2"/>
      </w:pPr>
      <w:bookmarkStart w:id="12" w:name="_Toc237650568"/>
      <w:r>
        <w:rPr>
          <w:rFonts w:cs="Calibri Light"/>
          <w:szCs w:val="28"/>
        </w:rPr>
        <w:t>Article 3: Legal Foundations</w:t>
      </w:r>
      <w:bookmarkEnd w:id="12"/>
    </w:p>
    <w:p w14:paraId="0F57B4D2" w14:textId="77777777" w:rsidR="008C4E6E" w:rsidRDefault="00000000">
      <w:r>
        <w:rPr>
          <w:rFonts w:cs="Calibri"/>
          <w:b/>
          <w:szCs w:val="22"/>
        </w:rPr>
        <w:t>3.1</w:t>
      </w:r>
      <w:r>
        <w:rPr>
          <w:rFonts w:cs="Calibri"/>
          <w:szCs w:val="22"/>
        </w:rPr>
        <w:t xml:space="preserve"> The Covenant rests on the international law of the sea, including the regime of transit passage through straits used for international navigation reflected in Part III of the United Nations Convention on the Law of the Sea, which the participants treat as customary international law. Nothing in this Covenant suspends, conditions, or diminishes transit passage.</w:t>
      </w:r>
    </w:p>
    <w:p w14:paraId="32C09995" w14:textId="77777777" w:rsidR="008C4E6E" w:rsidRDefault="00000000">
      <w:r>
        <w:rPr>
          <w:rFonts w:cs="Calibri"/>
          <w:b/>
          <w:szCs w:val="22"/>
        </w:rPr>
        <w:t>3.2</w:t>
      </w:r>
      <w:r>
        <w:rPr>
          <w:rFonts w:cs="Calibri"/>
          <w:szCs w:val="22"/>
        </w:rPr>
        <w:t xml:space="preserve"> The Covenant applies the service distinction used in the Malacca and Singapore Straits cooperative mechanism: passage itself carries no charge, and the verified costs of real services to shipping are recoverable through a multilateral fund under neutral administration. Twenty years of Malacca practice supply the template.</w:t>
      </w:r>
    </w:p>
    <w:p w14:paraId="21D0B2EF" w14:textId="77777777" w:rsidR="008C4E6E" w:rsidRDefault="00000000">
      <w:r>
        <w:rPr>
          <w:rFonts w:cs="Calibri"/>
          <w:b/>
          <w:szCs w:val="22"/>
        </w:rPr>
        <w:t>3.3</w:t>
      </w:r>
      <w:r>
        <w:rPr>
          <w:rFonts w:cs="Calibri"/>
          <w:szCs w:val="22"/>
        </w:rPr>
        <w:t xml:space="preserve"> Non-prejudice. Nothing in this Covenant, in its coordinates, or in any map, notice, or practice under it constitutes recognition, acceptance, or prejudice of any position on sovereignty, sovereign rights, </w:t>
      </w:r>
      <w:r>
        <w:rPr>
          <w:rFonts w:cs="Calibri"/>
          <w:szCs w:val="22"/>
        </w:rPr>
        <w:lastRenderedPageBreak/>
        <w:t>jurisdiction, baselines, boundaries, or the interpretation of any treaty, including positions on the United Nations Convention on the Law of the Sea.</w:t>
      </w:r>
    </w:p>
    <w:p w14:paraId="5E6D5171" w14:textId="77777777" w:rsidR="008C4E6E" w:rsidRDefault="00000000">
      <w:r>
        <w:rPr>
          <w:rFonts w:cs="Calibri"/>
          <w:b/>
          <w:szCs w:val="22"/>
        </w:rPr>
        <w:t>3.4</w:t>
      </w:r>
      <w:r>
        <w:rPr>
          <w:rFonts w:cs="Calibri"/>
          <w:szCs w:val="22"/>
        </w:rPr>
        <w:t xml:space="preserve"> Existing rules apply unchanged: the International Regulations for Preventing Collisions at Sea, the Safety of Life at Sea Convention, the Convention for the Prevention of Pollution from Ships, and the traffic separation scheme adopted through the International Maritime Organization. This Covenant adds coordination; it displaces no seamanship rule.</w:t>
      </w:r>
    </w:p>
    <w:p w14:paraId="22DA34FE" w14:textId="77777777" w:rsidR="008C4E6E" w:rsidRDefault="00000000">
      <w:r>
        <w:rPr>
          <w:rFonts w:cs="Calibri"/>
          <w:b/>
          <w:szCs w:val="22"/>
        </w:rPr>
        <w:t>3.5</w:t>
      </w:r>
      <w:r>
        <w:rPr>
          <w:rFonts w:cs="Calibri"/>
          <w:szCs w:val="22"/>
        </w:rPr>
        <w:t xml:space="preserve"> The Covenant operationalizes the Islamabad Memorandum of Understanding of June 2026 and the Iran-Oman route understanding of August 2026, and never contradicts them. Where a schedule differs, the later agreed schedule governs, and the Calm Waters Center publishes the reconciliation within twenty-four hours.</w:t>
      </w:r>
    </w:p>
    <w:p w14:paraId="282FBF0E" w14:textId="77777777" w:rsidR="008C4E6E" w:rsidRDefault="00000000">
      <w:r>
        <w:rPr>
          <w:rFonts w:cs="Calibri"/>
          <w:b/>
          <w:szCs w:val="22"/>
        </w:rPr>
        <w:t>3.6</w:t>
      </w:r>
      <w:r>
        <w:rPr>
          <w:rFonts w:cs="Calibri"/>
          <w:szCs w:val="22"/>
        </w:rPr>
        <w:t xml:space="preserve"> The sealed bulkhead. The Covenant addresses the waterway and nothing else. The nuclear file travels on the Islamabad track; regional political questions travel on their own tracks; and no provision of this Covenant conditions any of them, nor do any of them condition any provision of this Covenant. The bulkhead protects both directions: a dispute elsewhere never closes the Strait, and the Strait's operation never prejudices any other file.</w:t>
      </w:r>
    </w:p>
    <w:p w14:paraId="4AC13A33" w14:textId="77777777" w:rsidR="008C4E6E" w:rsidRDefault="00000000">
      <w:r>
        <w:rPr>
          <w:rFonts w:cs="Calibri"/>
          <w:b/>
          <w:szCs w:val="22"/>
        </w:rPr>
        <w:t>3.7</w:t>
      </w:r>
      <w:r>
        <w:rPr>
          <w:rFonts w:cs="Calibri"/>
          <w:szCs w:val="22"/>
        </w:rPr>
        <w:t xml:space="preserve"> The Covenant is a peacetime instrument. In the event of an armed attack, the inherent rights of participants under international law remain unaffected, the law of armed conflict governs conduct, and the Covenant's administrative architecture enters protective dormancy under Article 59 and resumes automatically on cessation. No provision of this Covenant supplies a legal basis for the use of force.</w:t>
      </w:r>
    </w:p>
    <w:p w14:paraId="71E2A69E" w14:textId="77777777" w:rsidR="008C4E6E" w:rsidRDefault="00000000">
      <w:pPr>
        <w:pStyle w:val="Heading2"/>
      </w:pPr>
      <w:bookmarkStart w:id="13" w:name="_Toc237650569"/>
      <w:r>
        <w:rPr>
          <w:rFonts w:cs="Calibri Light"/>
          <w:szCs w:val="28"/>
        </w:rPr>
        <w:t>Article 4: Core Operating Principles</w:t>
      </w:r>
      <w:bookmarkEnd w:id="13"/>
    </w:p>
    <w:p w14:paraId="1F1EF16A" w14:textId="77777777" w:rsidR="008C4E6E" w:rsidRDefault="00000000">
      <w:r>
        <w:rPr>
          <w:rFonts w:cs="Calibri"/>
          <w:szCs w:val="22"/>
        </w:rPr>
        <w:t>Twelve principles govern every body, officer, and procedure under this Covenant. A body that faces a choice between two courses applies the principles in order and records the application in the Shared Registry.</w:t>
      </w:r>
    </w:p>
    <w:p w14:paraId="01202649" w14:textId="77777777" w:rsidR="008C4E6E" w:rsidRDefault="00000000">
      <w:r>
        <w:rPr>
          <w:rFonts w:cs="Calibri"/>
          <w:b/>
          <w:szCs w:val="22"/>
        </w:rPr>
        <w:t>4.1</w:t>
      </w:r>
      <w:r>
        <w:rPr>
          <w:rFonts w:cs="Calibri"/>
          <w:szCs w:val="22"/>
        </w:rPr>
        <w:t xml:space="preserve"> Freedom of transit. Commercial transit continues under every circumstance short of a verified physical hazard in the immediate corridor, and any suspension is local, temporary, and self-expiring.</w:t>
      </w:r>
    </w:p>
    <w:p w14:paraId="49696987" w14:textId="77777777" w:rsidR="008C4E6E" w:rsidRDefault="00000000">
      <w:r>
        <w:rPr>
          <w:rFonts w:cs="Calibri"/>
          <w:b/>
          <w:szCs w:val="22"/>
        </w:rPr>
        <w:t>4.2</w:t>
      </w:r>
      <w:r>
        <w:rPr>
          <w:rFonts w:cs="Calibri"/>
          <w:szCs w:val="22"/>
        </w:rPr>
        <w:t xml:space="preserve"> Zero toll. No charge of any kind attaches to passage, under any name, at any time.</w:t>
      </w:r>
    </w:p>
    <w:p w14:paraId="6C0243EC" w14:textId="77777777" w:rsidR="008C4E6E" w:rsidRDefault="00000000">
      <w:r>
        <w:rPr>
          <w:rFonts w:cs="Calibri"/>
          <w:b/>
          <w:szCs w:val="22"/>
        </w:rPr>
        <w:t>4.3</w:t>
      </w:r>
      <w:r>
        <w:rPr>
          <w:rFonts w:cs="Calibri"/>
          <w:szCs w:val="22"/>
        </w:rPr>
        <w:t xml:space="preserve"> Non-interdiction. No military or law-enforcement vessel boards, diverts, delays, or inspects a commercial vessel inside the Governance Area. Safety of life at sea and distress response stand outside this principle.</w:t>
      </w:r>
    </w:p>
    <w:p w14:paraId="2DF49EE9" w14:textId="77777777" w:rsidR="008C4E6E" w:rsidRDefault="00000000">
      <w:r>
        <w:rPr>
          <w:rFonts w:cs="Calibri"/>
          <w:b/>
          <w:szCs w:val="22"/>
        </w:rPr>
        <w:t>4.4</w:t>
      </w:r>
      <w:r>
        <w:rPr>
          <w:rFonts w:cs="Calibri"/>
          <w:szCs w:val="22"/>
        </w:rPr>
        <w:t xml:space="preserve"> Humanitarian absolute. Humanitarian cargo moves first under every flow state, without inspection delay, and no measure under this Covenant impedes food, medicine, or relief supplies.</w:t>
      </w:r>
    </w:p>
    <w:p w14:paraId="1C8112F5" w14:textId="77777777" w:rsidR="008C4E6E" w:rsidRDefault="00000000">
      <w:r>
        <w:rPr>
          <w:rFonts w:cs="Calibri"/>
          <w:b/>
          <w:szCs w:val="22"/>
        </w:rPr>
        <w:lastRenderedPageBreak/>
        <w:t>4.5</w:t>
      </w:r>
      <w:r>
        <w:rPr>
          <w:rFonts w:cs="Calibri"/>
          <w:szCs w:val="22"/>
        </w:rPr>
        <w:t xml:space="preserve"> Civilian character. The institutions of this Covenant are civilian in function and staffing, and no military officer holds a decision seat in them. Military liaison flows through dedicated de-confliction channels only.</w:t>
      </w:r>
    </w:p>
    <w:p w14:paraId="1EC11154" w14:textId="77777777" w:rsidR="008C4E6E" w:rsidRDefault="00000000">
      <w:r>
        <w:rPr>
          <w:rFonts w:cs="Calibri"/>
          <w:b/>
          <w:szCs w:val="22"/>
        </w:rPr>
        <w:t>4.6</w:t>
      </w:r>
      <w:r>
        <w:rPr>
          <w:rFonts w:cs="Calibri"/>
          <w:szCs w:val="22"/>
        </w:rPr>
        <w:t xml:space="preserve"> Paired keys. Every restricted decision requires the paired consent of both Founding Parties or the prescribed neutral counter-signature. No participant acts alone on a restricted matter, and no participant holds a unilateral veto over routine operations, which run on published rules.</w:t>
      </w:r>
    </w:p>
    <w:p w14:paraId="6FC29290" w14:textId="77777777" w:rsidR="008C4E6E" w:rsidRDefault="00000000">
      <w:r>
        <w:rPr>
          <w:rFonts w:cs="Calibri"/>
          <w:b/>
          <w:szCs w:val="22"/>
        </w:rPr>
        <w:t>4.7</w:t>
      </w:r>
      <w:r>
        <w:rPr>
          <w:rFonts w:cs="Calibri"/>
          <w:szCs w:val="22"/>
        </w:rPr>
        <w:t xml:space="preserve"> Simplicity. Every procedure follows the five-step rule: an officer with no prior briefing completes any procedure of this Covenant in five steps or fewer, and every operational form fits on one page.</w:t>
      </w:r>
    </w:p>
    <w:p w14:paraId="167D905B" w14:textId="77777777" w:rsidR="008C4E6E" w:rsidRDefault="00000000">
      <w:r>
        <w:rPr>
          <w:rFonts w:cs="Calibri"/>
          <w:b/>
          <w:szCs w:val="22"/>
        </w:rPr>
        <w:t>4.8</w:t>
      </w:r>
      <w:r>
        <w:rPr>
          <w:rFonts w:cs="Calibri"/>
          <w:szCs w:val="22"/>
        </w:rPr>
        <w:t xml:space="preserve"> Cost discipline. The architecture reuses existing vessels, buildings, radar chains, and systems before it builds anything new, and total standing cost stays under forty million United States dollars per year, excluding one-time survey and clearance costs.</w:t>
      </w:r>
    </w:p>
    <w:p w14:paraId="6A17B837" w14:textId="77777777" w:rsidR="008C4E6E" w:rsidRDefault="00000000">
      <w:r>
        <w:rPr>
          <w:rFonts w:cs="Calibri"/>
          <w:b/>
          <w:szCs w:val="22"/>
        </w:rPr>
        <w:t>4.9</w:t>
      </w:r>
      <w:r>
        <w:rPr>
          <w:rFonts w:cs="Calibri"/>
          <w:szCs w:val="22"/>
        </w:rPr>
        <w:t xml:space="preserve"> Symmetry of information. Every participant with a registered seat sees the same operational picture at the same time. The Shared Registry delivers identical data at identical latency to all seats.</w:t>
      </w:r>
    </w:p>
    <w:p w14:paraId="2B0308EC" w14:textId="77777777" w:rsidR="008C4E6E" w:rsidRDefault="00000000">
      <w:r>
        <w:rPr>
          <w:rFonts w:cs="Calibri"/>
          <w:b/>
          <w:szCs w:val="22"/>
        </w:rPr>
        <w:t>4.10</w:t>
      </w:r>
      <w:r>
        <w:rPr>
          <w:rFonts w:cs="Calibri"/>
          <w:szCs w:val="22"/>
        </w:rPr>
        <w:t xml:space="preserve"> Human anchor. Every critical fact enters the record through a named human officer, paired across flags, and no automated system alone classifies an event or applies a consequence.</w:t>
      </w:r>
    </w:p>
    <w:p w14:paraId="2E7A11A3" w14:textId="77777777" w:rsidR="008C4E6E" w:rsidRDefault="00000000">
      <w:r>
        <w:rPr>
          <w:rFonts w:cs="Calibri"/>
          <w:b/>
          <w:szCs w:val="22"/>
        </w:rPr>
        <w:t>4.11</w:t>
      </w:r>
      <w:r>
        <w:rPr>
          <w:rFonts w:cs="Calibri"/>
          <w:szCs w:val="22"/>
        </w:rPr>
        <w:t xml:space="preserve"> Proof before promise. Every layer activates on measured performance of the layer before it, and every consequence reverses on verified compliance. The architecture measures what happens on the water and ignores what happens in speeches.</w:t>
      </w:r>
    </w:p>
    <w:p w14:paraId="1C037422" w14:textId="77777777" w:rsidR="008C4E6E" w:rsidRDefault="00000000">
      <w:r>
        <w:rPr>
          <w:rFonts w:cs="Calibri"/>
          <w:b/>
          <w:szCs w:val="22"/>
        </w:rPr>
        <w:t>4.12</w:t>
      </w:r>
      <w:r>
        <w:rPr>
          <w:rFonts w:cs="Calibri"/>
          <w:szCs w:val="22"/>
        </w:rPr>
        <w:t xml:space="preserve"> Continuity. The Covenant has no sunset. It continues by default, renews by silence, and ends only by replacement or by the deliberate, noticed act of withdrawal under Article 59.</w:t>
      </w:r>
    </w:p>
    <w:p w14:paraId="4B8AEEA1" w14:textId="77777777" w:rsidR="008C4E6E" w:rsidRDefault="00000000">
      <w:pPr>
        <w:pStyle w:val="Heading2"/>
      </w:pPr>
      <w:bookmarkStart w:id="14" w:name="_Toc237650570"/>
      <w:r>
        <w:rPr>
          <w:rFonts w:cs="Calibri Light"/>
          <w:szCs w:val="28"/>
        </w:rPr>
        <w:t>Article 5: The Standing Continuity Guarantee</w:t>
      </w:r>
      <w:bookmarkEnd w:id="14"/>
    </w:p>
    <w:p w14:paraId="2BF16BC2" w14:textId="77777777" w:rsidR="008C4E6E" w:rsidRDefault="00000000">
      <w:r>
        <w:rPr>
          <w:rFonts w:cs="Calibri"/>
          <w:b/>
          <w:szCs w:val="22"/>
        </w:rPr>
        <w:t>5.1</w:t>
      </w:r>
      <w:r>
        <w:rPr>
          <w:rFonts w:cs="Calibri"/>
          <w:szCs w:val="22"/>
        </w:rPr>
        <w:t xml:space="preserve"> This Covenant contains no sunset clause, no expiry date, and no automatic review with the power to terminate it.</w:t>
      </w:r>
    </w:p>
    <w:p w14:paraId="67BFC013" w14:textId="77777777" w:rsidR="008C4E6E" w:rsidRDefault="00000000">
      <w:r>
        <w:rPr>
          <w:rFonts w:cs="Calibri"/>
          <w:b/>
          <w:szCs w:val="22"/>
        </w:rPr>
        <w:t>5.2</w:t>
      </w:r>
      <w:r>
        <w:rPr>
          <w:rFonts w:cs="Calibri"/>
          <w:szCs w:val="22"/>
        </w:rPr>
        <w:t xml:space="preserve"> Continuation requires no action. The Covenant renews by silence at every review point, and the burden of action rests on any participant who seeks change, never on the continuation of the system. A review meeting that reaches no decision leaves every mechanism running in its previous state. A deadlocked vote changes nothing. The system never stops because a committee stops.</w:t>
      </w:r>
    </w:p>
    <w:p w14:paraId="4238877F" w14:textId="77777777" w:rsidR="008C4E6E" w:rsidRDefault="00000000">
      <w:r>
        <w:rPr>
          <w:rFonts w:cs="Calibri"/>
          <w:b/>
          <w:szCs w:val="22"/>
        </w:rPr>
        <w:t>5.3</w:t>
      </w:r>
      <w:r>
        <w:rPr>
          <w:rFonts w:cs="Calibri"/>
          <w:szCs w:val="22"/>
        </w:rPr>
        <w:t xml:space="preserve"> Banked performance. Verified performance banks permanently. A clean week, once certified, never uncertifies. A corridor certification, once issued and not withdrawn through the verification process, stands. A gate, once passed, stays passed unless the regression rule of Article 6.7 applies. The architecture accumulates trust as a balance, and no single incident zeroes the balance.</w:t>
      </w:r>
    </w:p>
    <w:p w14:paraId="0DB2F0E0" w14:textId="77777777" w:rsidR="008C4E6E" w:rsidRDefault="00000000">
      <w:r>
        <w:rPr>
          <w:rFonts w:cs="Calibri"/>
          <w:b/>
          <w:szCs w:val="22"/>
        </w:rPr>
        <w:lastRenderedPageBreak/>
        <w:t>5.4</w:t>
      </w:r>
      <w:r>
        <w:rPr>
          <w:rFonts w:cs="Calibri"/>
          <w:szCs w:val="22"/>
        </w:rPr>
        <w:t xml:space="preserve"> Exit is an act. A participant withdraws only by written notice of ninety days under Article 59. During the notice period the withdrawing participant performs every obligation in full. Financial obligations survive withdrawal for twenty-four months.</w:t>
      </w:r>
    </w:p>
    <w:p w14:paraId="24CF7DC5" w14:textId="77777777" w:rsidR="008C4E6E" w:rsidRDefault="00000000">
      <w:r>
        <w:rPr>
          <w:rFonts w:cs="Calibri"/>
          <w:b/>
          <w:szCs w:val="22"/>
        </w:rPr>
        <w:t>5.5</w:t>
      </w:r>
      <w:r>
        <w:rPr>
          <w:rFonts w:cs="Calibri"/>
          <w:szCs w:val="22"/>
        </w:rPr>
        <w:t xml:space="preserve"> The Covenant ends only in two ways: supersession by a successor instrument, or withdrawal by a Founding Party with the consequence architecture of Article 59. The withdrawal of any other participant leaves the Covenant intact.</w:t>
      </w:r>
    </w:p>
    <w:p w14:paraId="4718B17A" w14:textId="77777777" w:rsidR="008C4E6E" w:rsidRDefault="00000000">
      <w:r>
        <w:rPr>
          <w:rFonts w:cs="Calibri"/>
          <w:b/>
          <w:szCs w:val="22"/>
        </w:rPr>
        <w:t>5.6</w:t>
      </w:r>
      <w:r>
        <w:rPr>
          <w:rFonts w:cs="Calibri"/>
          <w:szCs w:val="22"/>
        </w:rPr>
        <w:t xml:space="preserve"> Dormancy, never death. In an extreme political rupture, the operational bodies of this Covenant enter dormancy under Article 59 with their records, obligations, and banked performance intact, and they reconstitute on fourteen days' notice from either Founding Party. The architecture sleeps; it never dies.</w:t>
      </w:r>
    </w:p>
    <w:p w14:paraId="195D7708" w14:textId="77777777" w:rsidR="008C4E6E" w:rsidRDefault="00000000">
      <w:r>
        <w:rPr>
          <w:rFonts w:cs="Calibri"/>
          <w:b/>
          <w:szCs w:val="22"/>
        </w:rPr>
        <w:t>5.7</w:t>
      </w:r>
      <w:r>
        <w:rPr>
          <w:rFonts w:cs="Calibri"/>
          <w:szCs w:val="22"/>
        </w:rPr>
        <w:t xml:space="preserve"> Reconstitution from dormancy. Upon any two Founding Parties filing reactivation instruments with the depositary, the Covenant reconstitutes in its entirety, resuming from the last certified gate. Reconstitution occurs within fourteen days of the filing. The depositary notifies all participants within twenty-four hours, and the Bulletin announces reconstitution within forty-eight hours. All banked performance, every certified gate, and every operational floor survive dormancy and reassert themselves automatically upon reconstitution.</w:t>
      </w:r>
    </w:p>
    <w:p w14:paraId="31AC1BFD" w14:textId="77777777" w:rsidR="008C4E6E" w:rsidRDefault="00000000">
      <w:pPr>
        <w:pStyle w:val="Heading2"/>
      </w:pPr>
      <w:bookmarkStart w:id="15" w:name="_Toc237650571"/>
      <w:r>
        <w:rPr>
          <w:rFonts w:cs="Calibri Light"/>
          <w:szCs w:val="28"/>
        </w:rPr>
        <w:t>Article 6: The Layered Activation Doctrine</w:t>
      </w:r>
      <w:bookmarkEnd w:id="15"/>
    </w:p>
    <w:p w14:paraId="32BA8796" w14:textId="77777777" w:rsidR="008C4E6E" w:rsidRDefault="00000000">
      <w:r>
        <w:rPr>
          <w:rFonts w:cs="Calibri"/>
          <w:b/>
          <w:szCs w:val="22"/>
        </w:rPr>
        <w:t>6.1</w:t>
      </w:r>
      <w:r>
        <w:rPr>
          <w:rFonts w:cs="Calibri"/>
          <w:szCs w:val="22"/>
        </w:rPr>
        <w:t xml:space="preserve"> The doctrine. The Covenant grows in seven layers, and every layer activates on proof. A layer unlocks when the gate conditions at the foot of the previous layer certify complete, and the certification follows the convergence standard of Article 53: two independent inputs and a named human certifier. No layer activates by vote, by deadline, by political pressure, or by silence. Measurement wakes the layers; nothing else does.</w:t>
      </w:r>
    </w:p>
    <w:p w14:paraId="38F054B1" w14:textId="77777777" w:rsidR="008C4E6E" w:rsidRDefault="00000000">
      <w:r>
        <w:rPr>
          <w:rFonts w:cs="Calibri"/>
          <w:b/>
          <w:szCs w:val="22"/>
        </w:rPr>
        <w:t>6.2</w:t>
      </w:r>
      <w:r>
        <w:rPr>
          <w:rFonts w:cs="Calibri"/>
          <w:szCs w:val="22"/>
        </w:rPr>
        <w:t xml:space="preserve"> The seven layers. Layer One, Micro-Exercises: fifty small, reversible exercises that cost nothing and concede nothing, activating on signature. Layer Two, Meso-Protocols: non-binding routing, communication, and logging protocols that shape predictable movement. Layer Three, Meso-Systems: the incident-alert mesh, the response mesh, and the shared weather and hazard service. Layer Four, Proto-Governance: the smallest joint institutions, with watch desks and review cycles. Layer Five, Simulation: economic and operational modeling, including the fee simulation, in which no money moves and no obligation arises. Layer Six, Integration: the soft merging of proven systems into one operating architecture, sealed by the Synchronized Indivisible Event. Layer Seven, the Final Charter: the permanent governance framework of Part VIII.</w:t>
      </w:r>
    </w:p>
    <w:p w14:paraId="76EDE3E9" w14:textId="77777777" w:rsidR="008C4E6E" w:rsidRDefault="00000000">
      <w:r>
        <w:rPr>
          <w:rFonts w:cs="Calibri"/>
          <w:b/>
          <w:szCs w:val="22"/>
        </w:rPr>
        <w:t>6.3</w:t>
      </w:r>
      <w:r>
        <w:rPr>
          <w:rFonts w:cs="Calibri"/>
          <w:szCs w:val="22"/>
        </w:rPr>
        <w:t xml:space="preserve"> Gate conditions. Each layer closes with a gate article stating the measurable conditions for the next activation: incident counts, acknowledgment times, exercise completion rates, audit scores. Annex E carries the complete gating table. A gate condition is binary, observable, and assigned to one named certifier. The Registry shows gate status in real time to every seat.</w:t>
      </w:r>
    </w:p>
    <w:p w14:paraId="1F4D6B24" w14:textId="77777777" w:rsidR="008C4E6E" w:rsidRDefault="00000000">
      <w:r>
        <w:rPr>
          <w:rFonts w:cs="Calibri"/>
          <w:b/>
          <w:szCs w:val="22"/>
        </w:rPr>
        <w:lastRenderedPageBreak/>
        <w:t>6.4</w:t>
      </w:r>
      <w:r>
        <w:rPr>
          <w:rFonts w:cs="Calibri"/>
          <w:szCs w:val="22"/>
        </w:rPr>
        <w:t xml:space="preserve"> Self-executing activation. When a gate certifies complete, the next layer activates automatically at the next published activation window, which occurs every Monday at 00:01 Gulf Standard Time. No ceremony, vote, signature, or declaration attends the activation. The Bulletin announces it in one sentence.</w:t>
      </w:r>
    </w:p>
    <w:p w14:paraId="7814038A" w14:textId="77777777" w:rsidR="008C4E6E" w:rsidRDefault="00000000">
      <w:r>
        <w:rPr>
          <w:rFonts w:cs="Calibri"/>
          <w:b/>
          <w:szCs w:val="22"/>
        </w:rPr>
        <w:t>6.5</w:t>
      </w:r>
      <w:r>
        <w:rPr>
          <w:rFonts w:cs="Calibri"/>
          <w:szCs w:val="22"/>
        </w:rPr>
        <w:t xml:space="preserve"> Parallel tracks. Within each layer, the operational track, the communication track, and the governance track run in parallel, so progress in one track never waits on deadlock in another. Success in any track creates momentum for the others, and failure in one track stalls only that track.</w:t>
      </w:r>
    </w:p>
    <w:p w14:paraId="32D8BF91" w14:textId="77777777" w:rsidR="008C4E6E" w:rsidRDefault="00000000">
      <w:r>
        <w:rPr>
          <w:rFonts w:cs="Calibri"/>
          <w:b/>
          <w:szCs w:val="22"/>
        </w:rPr>
        <w:t>6.6</w:t>
      </w:r>
      <w:r>
        <w:rPr>
          <w:rFonts w:cs="Calibri"/>
          <w:szCs w:val="22"/>
        </w:rPr>
        <w:t xml:space="preserve"> Reversibility by design. Every commitment in Layers One through Six is reversible, reviewable, and non-binding in character. A participant pauses any exercise or protocol of these layers by written notice to the Registry, effective in seventy-two hours, with reasons recorded. The pause of one element suspends only that element. Leaders say, truthfully: we are testing, not committing.</w:t>
      </w:r>
    </w:p>
    <w:p w14:paraId="4039F006" w14:textId="77777777" w:rsidR="008C4E6E" w:rsidRDefault="00000000">
      <w:r>
        <w:rPr>
          <w:rFonts w:cs="Calibri"/>
          <w:b/>
          <w:szCs w:val="22"/>
        </w:rPr>
        <w:t>6.7</w:t>
      </w:r>
      <w:r>
        <w:rPr>
          <w:rFonts w:cs="Calibri"/>
          <w:szCs w:val="22"/>
        </w:rPr>
        <w:t xml:space="preserve"> The regression rule. If the Stability Audit of Article 40 finds a layer destabilizing by the published metrics, the architecture steps back one layer for thirty days, repairs the defect, and re-attempts the gate. A regression touches one layer, never the whole architecture, and a layer in regression keeps every banked achievement below it.</w:t>
      </w:r>
    </w:p>
    <w:p w14:paraId="09B9E190" w14:textId="77777777" w:rsidR="008C4E6E" w:rsidRDefault="00000000">
      <w:r>
        <w:rPr>
          <w:rFonts w:cs="Calibri"/>
          <w:b/>
          <w:szCs w:val="22"/>
        </w:rPr>
        <w:t>6.8</w:t>
      </w:r>
      <w:r>
        <w:rPr>
          <w:rFonts w:cs="Calibri"/>
          <w:szCs w:val="22"/>
        </w:rPr>
        <w:t xml:space="preserve"> The no-surprise rule. Every activation, pause, regression, and gate certification publishes in the Bulletin and the Registry simultaneously to every participant and to the market version of the Bulletin. No state of the system is ever secret, and no market learns the state of the Strait from rumor.</w:t>
      </w:r>
    </w:p>
    <w:p w14:paraId="3B0EFA73" w14:textId="77777777" w:rsidR="008C4E6E" w:rsidRDefault="00000000">
      <w:r>
        <w:rPr>
          <w:rFonts w:cs="Calibri"/>
          <w:b/>
          <w:szCs w:val="22"/>
        </w:rPr>
        <w:t>6.9</w:t>
      </w:r>
      <w:r>
        <w:rPr>
          <w:rFonts w:cs="Calibri"/>
          <w:szCs w:val="22"/>
        </w:rPr>
        <w:t xml:space="preserve"> The Concurrent Activation Doctrine. Layers activate concurrently, rather than sequentially, where the gate conditions of the earlier layer certify and the later layer’s elements do not depend on the earlier layer’s full operational maturity. The crisis of August 2026 admits no sequential calendar: the architecture builds in parallel, and the gates verify in parallel. (a) Layer One runs from Day 0 to Day 30, and Layer Two runs concurrently from Day 0 to Day 45: the pilot corridors, the common channel, and the standing logbook open with signature. (b) Layer Three runs from Day 15 to Day 60: the incident-alert mesh, the response mesh, and the shared weather and hazard service build on the live data of the pilot corridors. (c) Layer Four runs from Day 30 to Day 75, and Layer Five runs concurrently from Day 30 to Day 75, opening with the Early Fee Simulation of Article 18.6. (d) Layer Six runs from Day 60 to Day 90, and the Stability Audit runs from Day 75 to Day 105 in the two parts of Article 40.1. (e) Layer Seven stands signature-ready by Day 105, and the signature summit convenes by Day 120. Concurrent activation never skips verification; it parallelizes verification. Each layer certifies its own gate conditions on the published metrics of Annex E, and no element of any layer activates until its own gate conditions certify. The Monday activation window of Article 6.4 governs every concurrent activation.</w:t>
      </w:r>
    </w:p>
    <w:p w14:paraId="48AADCE7" w14:textId="77777777" w:rsidR="008C4E6E" w:rsidRDefault="00000000">
      <w:r>
        <w:rPr>
          <w:rFonts w:cs="Calibri"/>
          <w:b/>
          <w:szCs w:val="22"/>
        </w:rPr>
        <w:t>6.10</w:t>
      </w:r>
      <w:r>
        <w:rPr>
          <w:rFonts w:cs="Calibri"/>
          <w:szCs w:val="22"/>
        </w:rPr>
        <w:t xml:space="preserve"> The Emergency Acceleration Clause. (a) If both Founding Parties jointly certify that a regional crisis, the expiry of a diplomatic window, or a humanitarian emergency calls for accelerated activation, the Commission compresses the timeline of any layer by up to fifty percent. (b) The compression applies to timelines only, never to gate conditions: each gate certifies on the published metrics, never on the </w:t>
      </w:r>
      <w:r>
        <w:rPr>
          <w:rFonts w:cs="Calibri"/>
          <w:szCs w:val="22"/>
        </w:rPr>
        <w:lastRenderedPageBreak/>
        <w:t>compressed calendar. (c) The Neutral Verification Office, or before its activation the auditor designated by the Swiss facilitator, certifies that the accelerated pace compromises neither safety nor verification integrity. (d) The Clause executes upon joint certification and that confirmation, and no further vote or signature intervenes. (e) The Clause is a safety valve, never a default: it exists so that a political deadline never becomes an operational disaster.</w:t>
      </w:r>
    </w:p>
    <w:p w14:paraId="5DE95C90" w14:textId="77777777" w:rsidR="008C4E6E" w:rsidRDefault="00000000">
      <w:r>
        <w:rPr>
          <w:rFonts w:cs="Calibri"/>
          <w:b/>
          <w:szCs w:val="22"/>
        </w:rPr>
        <w:t>6.11</w:t>
      </w:r>
      <w:r>
        <w:rPr>
          <w:rFonts w:cs="Calibri"/>
          <w:szCs w:val="22"/>
        </w:rPr>
        <w:t xml:space="preserve"> The Crisis Entry Protocol. This Covenant signs into an active crisis, and its first day carries its own architecture. (a) The interim standstill. From the first minute of Day 0, the framework architecture holds every military and enforcement measure of every participant at its Day-0 posture: no attack on any commercial vessel, no strike on the territory, infrastructure, or forces of any participant, no boarding or diversion beyond the Day-0 baseline, and no expansion of any blockade measure. The interim standstill binds every participant equally by design, and it runs until the pulses of Article 38.7 absorb it. (b) The Humanitarian Bridge of Article 43.8 opens at Day 0. (c) The Mariner Repatriation Window. From Day 0 to Day 14, every stranded or anchored commercial vessel in or near the Governance Area gains an outward transit under the priority of the Humanitarian Bridge, in the published clearing order: humanitarian first, then passenger, then perishable, then energy, then all others. Crew repatriation travels with the same priority. (d) The route bridge. Any route understanding between the coastal states in force at signature, including the agreed coordinates of the August 2026 draft arrangement between Iran and Oman, converts into the interim geometry of the Fast-Track Corridor of Article 18.5, toll-free, under the notification protocol of Article 43. (e) The memorandum bridge. Signature of this Covenant reactivates the strait provisions of the Islamabad Memorandum as interim guidance, and the sixty-day final-deal window of the Memorandum realigns to the Covenant clock: the window closes no earlier than Day 105. The nuclear file travels on the Islamabad track under the sealed bulkhead of Article 3.6, and this Covenant claims no competence over it.</w:t>
      </w:r>
    </w:p>
    <w:p w14:paraId="5C90E790" w14:textId="77777777" w:rsidR="008C4E6E" w:rsidRDefault="00000000">
      <w:pPr>
        <w:pStyle w:val="Heading2"/>
      </w:pPr>
      <w:bookmarkStart w:id="16" w:name="_Toc237650572"/>
      <w:r>
        <w:rPr>
          <w:rFonts w:cs="Calibri Light"/>
          <w:szCs w:val="28"/>
        </w:rPr>
        <w:t>Article 7: Definitions and Interpretation</w:t>
      </w:r>
      <w:bookmarkEnd w:id="16"/>
    </w:p>
    <w:p w14:paraId="3E1064B1" w14:textId="77777777" w:rsidR="008C4E6E" w:rsidRDefault="00000000">
      <w:r>
        <w:rPr>
          <w:rFonts w:cs="Calibri"/>
          <w:b/>
          <w:szCs w:val="22"/>
        </w:rPr>
        <w:t>7.1</w:t>
      </w:r>
      <w:r>
        <w:rPr>
          <w:rFonts w:cs="Calibri"/>
          <w:szCs w:val="22"/>
        </w:rPr>
        <w:t xml:space="preserve"> In this Covenant the following terms carry the following meanings, and Annex I carries the complete glossary.</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1D32B097"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15F3AAED" w14:textId="77777777" w:rsidR="008C4E6E" w:rsidRDefault="00000000">
            <w:pPr>
              <w:spacing w:before="20" w:after="20" w:line="290" w:lineRule="auto"/>
              <w:jc w:val="left"/>
            </w:pPr>
            <w:r>
              <w:rPr>
                <w:rFonts w:cs="Calibri"/>
                <w:b/>
                <w:color w:val="1F4E5F"/>
                <w:sz w:val="19"/>
                <w:szCs w:val="19"/>
              </w:rPr>
              <w:t>Term</w:t>
            </w:r>
          </w:p>
        </w:tc>
        <w:tc>
          <w:tcPr>
            <w:tcW w:w="4675" w:type="dxa"/>
            <w:shd w:val="clear" w:color="auto" w:fill="E4EEF1"/>
            <w:tcMar>
              <w:top w:w="60" w:type="dxa"/>
              <w:left w:w="100" w:type="dxa"/>
              <w:bottom w:w="60" w:type="dxa"/>
              <w:right w:w="100" w:type="dxa"/>
            </w:tcMar>
          </w:tcPr>
          <w:p w14:paraId="3FF10AA8" w14:textId="77777777" w:rsidR="008C4E6E" w:rsidRDefault="00000000">
            <w:pPr>
              <w:spacing w:before="20" w:after="20" w:line="290" w:lineRule="auto"/>
              <w:jc w:val="left"/>
            </w:pPr>
            <w:r>
              <w:rPr>
                <w:rFonts w:cs="Calibri"/>
                <w:b/>
                <w:color w:val="1F4E5F"/>
                <w:sz w:val="19"/>
                <w:szCs w:val="19"/>
              </w:rPr>
              <w:t>Meaning</w:t>
            </w:r>
          </w:p>
        </w:tc>
      </w:tr>
      <w:tr w:rsidR="008C4E6E" w14:paraId="739A04D6" w14:textId="77777777">
        <w:tblPrEx>
          <w:tblCellMar>
            <w:top w:w="0" w:type="dxa"/>
            <w:bottom w:w="0" w:type="dxa"/>
          </w:tblCellMar>
        </w:tblPrEx>
        <w:tc>
          <w:tcPr>
            <w:tcW w:w="4675" w:type="dxa"/>
            <w:tcMar>
              <w:top w:w="60" w:type="dxa"/>
              <w:left w:w="100" w:type="dxa"/>
              <w:bottom w:w="60" w:type="dxa"/>
              <w:right w:w="100" w:type="dxa"/>
            </w:tcMar>
          </w:tcPr>
          <w:p w14:paraId="3CAD575D" w14:textId="77777777" w:rsidR="008C4E6E" w:rsidRDefault="00000000">
            <w:pPr>
              <w:spacing w:before="20" w:after="20" w:line="290" w:lineRule="auto"/>
              <w:jc w:val="left"/>
            </w:pPr>
            <w:r>
              <w:rPr>
                <w:rFonts w:cs="Calibri"/>
                <w:sz w:val="19"/>
                <w:szCs w:val="19"/>
              </w:rPr>
              <w:t>Acknowledgment</w:t>
            </w:r>
          </w:p>
        </w:tc>
        <w:tc>
          <w:tcPr>
            <w:tcW w:w="4675" w:type="dxa"/>
            <w:tcMar>
              <w:top w:w="60" w:type="dxa"/>
              <w:left w:w="100" w:type="dxa"/>
              <w:bottom w:w="60" w:type="dxa"/>
              <w:right w:w="100" w:type="dxa"/>
            </w:tcMar>
          </w:tcPr>
          <w:p w14:paraId="60FD61B3" w14:textId="77777777" w:rsidR="008C4E6E" w:rsidRDefault="00000000">
            <w:pPr>
              <w:spacing w:before="20" w:after="20" w:line="290" w:lineRule="auto"/>
              <w:jc w:val="left"/>
            </w:pPr>
            <w:r>
              <w:rPr>
                <w:rFonts w:cs="Calibri"/>
                <w:sz w:val="19"/>
                <w:szCs w:val="19"/>
              </w:rPr>
              <w:t>The automated confirmation of receipt of a Transit Notice; receipt only, never permission</w:t>
            </w:r>
          </w:p>
        </w:tc>
      </w:tr>
      <w:tr w:rsidR="008C4E6E" w14:paraId="2434C5C0" w14:textId="77777777">
        <w:tblPrEx>
          <w:tblCellMar>
            <w:top w:w="0" w:type="dxa"/>
            <w:bottom w:w="0" w:type="dxa"/>
          </w:tblCellMar>
        </w:tblPrEx>
        <w:tc>
          <w:tcPr>
            <w:tcW w:w="4675" w:type="dxa"/>
            <w:tcMar>
              <w:top w:w="60" w:type="dxa"/>
              <w:left w:w="100" w:type="dxa"/>
              <w:bottom w:w="60" w:type="dxa"/>
              <w:right w:w="100" w:type="dxa"/>
            </w:tcMar>
          </w:tcPr>
          <w:p w14:paraId="76B88CC3" w14:textId="77777777" w:rsidR="008C4E6E" w:rsidRDefault="00000000">
            <w:pPr>
              <w:spacing w:before="20" w:after="20" w:line="290" w:lineRule="auto"/>
              <w:jc w:val="left"/>
            </w:pPr>
            <w:r>
              <w:rPr>
                <w:rFonts w:cs="Calibri"/>
                <w:sz w:val="19"/>
                <w:szCs w:val="19"/>
              </w:rPr>
              <w:t>Bulletin</w:t>
            </w:r>
          </w:p>
        </w:tc>
        <w:tc>
          <w:tcPr>
            <w:tcW w:w="4675" w:type="dxa"/>
            <w:tcMar>
              <w:top w:w="60" w:type="dxa"/>
              <w:left w:w="100" w:type="dxa"/>
              <w:bottom w:w="60" w:type="dxa"/>
              <w:right w:w="100" w:type="dxa"/>
            </w:tcMar>
          </w:tcPr>
          <w:p w14:paraId="20FCFAF8" w14:textId="77777777" w:rsidR="008C4E6E" w:rsidRDefault="00000000">
            <w:pPr>
              <w:spacing w:before="20" w:after="20" w:line="290" w:lineRule="auto"/>
              <w:jc w:val="left"/>
            </w:pPr>
            <w:r>
              <w:rPr>
                <w:rFonts w:cs="Calibri"/>
                <w:sz w:val="19"/>
                <w:szCs w:val="19"/>
              </w:rPr>
              <w:t>The Open Water Bulletin under Article 44</w:t>
            </w:r>
          </w:p>
        </w:tc>
      </w:tr>
      <w:tr w:rsidR="008C4E6E" w14:paraId="11F17579" w14:textId="77777777">
        <w:tblPrEx>
          <w:tblCellMar>
            <w:top w:w="0" w:type="dxa"/>
            <w:bottom w:w="0" w:type="dxa"/>
          </w:tblCellMar>
        </w:tblPrEx>
        <w:tc>
          <w:tcPr>
            <w:tcW w:w="4675" w:type="dxa"/>
            <w:tcMar>
              <w:top w:w="60" w:type="dxa"/>
              <w:left w:w="100" w:type="dxa"/>
              <w:bottom w:w="60" w:type="dxa"/>
              <w:right w:w="100" w:type="dxa"/>
            </w:tcMar>
          </w:tcPr>
          <w:p w14:paraId="17931F6F" w14:textId="77777777" w:rsidR="008C4E6E" w:rsidRDefault="00000000">
            <w:pPr>
              <w:spacing w:before="20" w:after="20" w:line="290" w:lineRule="auto"/>
              <w:jc w:val="left"/>
            </w:pPr>
            <w:r>
              <w:rPr>
                <w:rFonts w:cs="Calibri"/>
                <w:sz w:val="19"/>
                <w:szCs w:val="19"/>
              </w:rPr>
              <w:t>Charter</w:t>
            </w:r>
          </w:p>
        </w:tc>
        <w:tc>
          <w:tcPr>
            <w:tcW w:w="4675" w:type="dxa"/>
            <w:tcMar>
              <w:top w:w="60" w:type="dxa"/>
              <w:left w:w="100" w:type="dxa"/>
              <w:bottom w:w="60" w:type="dxa"/>
              <w:right w:w="100" w:type="dxa"/>
            </w:tcMar>
          </w:tcPr>
          <w:p w14:paraId="0229A026" w14:textId="77777777" w:rsidR="008C4E6E" w:rsidRDefault="00000000">
            <w:pPr>
              <w:spacing w:before="20" w:after="20" w:line="290" w:lineRule="auto"/>
              <w:jc w:val="left"/>
            </w:pPr>
            <w:r>
              <w:rPr>
                <w:rFonts w:cs="Calibri"/>
                <w:sz w:val="19"/>
                <w:szCs w:val="19"/>
              </w:rPr>
              <w:t>Layer Seven, the permanent governance framework of Part VIII</w:t>
            </w:r>
          </w:p>
        </w:tc>
      </w:tr>
      <w:tr w:rsidR="008C4E6E" w14:paraId="65E97398" w14:textId="77777777">
        <w:tblPrEx>
          <w:tblCellMar>
            <w:top w:w="0" w:type="dxa"/>
            <w:bottom w:w="0" w:type="dxa"/>
          </w:tblCellMar>
        </w:tblPrEx>
        <w:tc>
          <w:tcPr>
            <w:tcW w:w="4675" w:type="dxa"/>
            <w:tcMar>
              <w:top w:w="60" w:type="dxa"/>
              <w:left w:w="100" w:type="dxa"/>
              <w:bottom w:w="60" w:type="dxa"/>
              <w:right w:w="100" w:type="dxa"/>
            </w:tcMar>
          </w:tcPr>
          <w:p w14:paraId="7734681D" w14:textId="77777777" w:rsidR="008C4E6E" w:rsidRDefault="00000000">
            <w:pPr>
              <w:spacing w:before="20" w:after="20" w:line="290" w:lineRule="auto"/>
              <w:jc w:val="left"/>
            </w:pPr>
            <w:r>
              <w:rPr>
                <w:rFonts w:cs="Calibri"/>
                <w:sz w:val="19"/>
                <w:szCs w:val="19"/>
              </w:rPr>
              <w:t>Commission</w:t>
            </w:r>
          </w:p>
        </w:tc>
        <w:tc>
          <w:tcPr>
            <w:tcW w:w="4675" w:type="dxa"/>
            <w:tcMar>
              <w:top w:w="60" w:type="dxa"/>
              <w:left w:w="100" w:type="dxa"/>
              <w:bottom w:w="60" w:type="dxa"/>
              <w:right w:w="100" w:type="dxa"/>
            </w:tcMar>
          </w:tcPr>
          <w:p w14:paraId="308B2A7B" w14:textId="77777777" w:rsidR="008C4E6E" w:rsidRDefault="00000000">
            <w:pPr>
              <w:spacing w:before="20" w:after="20" w:line="290" w:lineRule="auto"/>
              <w:jc w:val="left"/>
            </w:pPr>
            <w:r>
              <w:rPr>
                <w:rFonts w:cs="Calibri"/>
                <w:sz w:val="19"/>
                <w:szCs w:val="19"/>
              </w:rPr>
              <w:t>The Calm Waters Commission under Article 48</w:t>
            </w:r>
          </w:p>
        </w:tc>
      </w:tr>
      <w:tr w:rsidR="008C4E6E" w14:paraId="4B2FC22C" w14:textId="77777777">
        <w:tblPrEx>
          <w:tblCellMar>
            <w:top w:w="0" w:type="dxa"/>
            <w:bottom w:w="0" w:type="dxa"/>
          </w:tblCellMar>
        </w:tblPrEx>
        <w:tc>
          <w:tcPr>
            <w:tcW w:w="4675" w:type="dxa"/>
            <w:tcMar>
              <w:top w:w="60" w:type="dxa"/>
              <w:left w:w="100" w:type="dxa"/>
              <w:bottom w:w="60" w:type="dxa"/>
              <w:right w:w="100" w:type="dxa"/>
            </w:tcMar>
          </w:tcPr>
          <w:p w14:paraId="48046FED" w14:textId="77777777" w:rsidR="008C4E6E" w:rsidRDefault="00000000">
            <w:pPr>
              <w:spacing w:before="20" w:after="20" w:line="290" w:lineRule="auto"/>
              <w:jc w:val="left"/>
            </w:pPr>
            <w:r>
              <w:rPr>
                <w:rFonts w:cs="Calibri"/>
                <w:sz w:val="19"/>
                <w:szCs w:val="19"/>
              </w:rPr>
              <w:t>Corridor</w:t>
            </w:r>
          </w:p>
        </w:tc>
        <w:tc>
          <w:tcPr>
            <w:tcW w:w="4675" w:type="dxa"/>
            <w:tcMar>
              <w:top w:w="60" w:type="dxa"/>
              <w:left w:w="100" w:type="dxa"/>
              <w:bottom w:w="60" w:type="dxa"/>
              <w:right w:w="100" w:type="dxa"/>
            </w:tcMar>
          </w:tcPr>
          <w:p w14:paraId="6D46AB8A" w14:textId="77777777" w:rsidR="008C4E6E" w:rsidRDefault="00000000">
            <w:pPr>
              <w:spacing w:before="20" w:after="20" w:line="290" w:lineRule="auto"/>
              <w:jc w:val="left"/>
            </w:pPr>
            <w:r>
              <w:rPr>
                <w:rFonts w:cs="Calibri"/>
                <w:sz w:val="19"/>
                <w:szCs w:val="19"/>
              </w:rPr>
              <w:t>Corridor One, Corridor Two, or Corridor Three under Article 41</w:t>
            </w:r>
          </w:p>
        </w:tc>
      </w:tr>
      <w:tr w:rsidR="008C4E6E" w14:paraId="5D8B93DA" w14:textId="77777777">
        <w:tblPrEx>
          <w:tblCellMar>
            <w:top w:w="0" w:type="dxa"/>
            <w:bottom w:w="0" w:type="dxa"/>
          </w:tblCellMar>
        </w:tblPrEx>
        <w:tc>
          <w:tcPr>
            <w:tcW w:w="4675" w:type="dxa"/>
            <w:tcMar>
              <w:top w:w="60" w:type="dxa"/>
              <w:left w:w="100" w:type="dxa"/>
              <w:bottom w:w="60" w:type="dxa"/>
              <w:right w:w="100" w:type="dxa"/>
            </w:tcMar>
          </w:tcPr>
          <w:p w14:paraId="0238E156" w14:textId="77777777" w:rsidR="008C4E6E" w:rsidRDefault="00000000">
            <w:pPr>
              <w:spacing w:before="20" w:after="20" w:line="290" w:lineRule="auto"/>
              <w:jc w:val="left"/>
            </w:pPr>
            <w:r>
              <w:rPr>
                <w:rFonts w:cs="Calibri"/>
                <w:sz w:val="19"/>
                <w:szCs w:val="19"/>
              </w:rPr>
              <w:lastRenderedPageBreak/>
              <w:t>Covenant</w:t>
            </w:r>
          </w:p>
        </w:tc>
        <w:tc>
          <w:tcPr>
            <w:tcW w:w="4675" w:type="dxa"/>
            <w:tcMar>
              <w:top w:w="60" w:type="dxa"/>
              <w:left w:w="100" w:type="dxa"/>
              <w:bottom w:w="60" w:type="dxa"/>
              <w:right w:w="100" w:type="dxa"/>
            </w:tcMar>
          </w:tcPr>
          <w:p w14:paraId="5B29616E" w14:textId="77777777" w:rsidR="008C4E6E" w:rsidRDefault="00000000">
            <w:pPr>
              <w:spacing w:before="20" w:after="20" w:line="290" w:lineRule="auto"/>
              <w:jc w:val="left"/>
            </w:pPr>
            <w:r>
              <w:rPr>
                <w:rFonts w:cs="Calibri"/>
                <w:sz w:val="19"/>
                <w:szCs w:val="19"/>
              </w:rPr>
              <w:t>This Hormuz Covenant of Calm Waters, including its Annexes</w:t>
            </w:r>
          </w:p>
        </w:tc>
      </w:tr>
      <w:tr w:rsidR="008C4E6E" w14:paraId="3C2BA0E0" w14:textId="77777777">
        <w:tblPrEx>
          <w:tblCellMar>
            <w:top w:w="0" w:type="dxa"/>
            <w:bottom w:w="0" w:type="dxa"/>
          </w:tblCellMar>
        </w:tblPrEx>
        <w:tc>
          <w:tcPr>
            <w:tcW w:w="4675" w:type="dxa"/>
            <w:tcMar>
              <w:top w:w="60" w:type="dxa"/>
              <w:left w:w="100" w:type="dxa"/>
              <w:bottom w:w="60" w:type="dxa"/>
              <w:right w:w="100" w:type="dxa"/>
            </w:tcMar>
          </w:tcPr>
          <w:p w14:paraId="4EB3E956" w14:textId="77777777" w:rsidR="008C4E6E" w:rsidRDefault="00000000">
            <w:pPr>
              <w:spacing w:before="20" w:after="20" w:line="290" w:lineRule="auto"/>
              <w:jc w:val="left"/>
            </w:pPr>
            <w:r>
              <w:rPr>
                <w:rFonts w:cs="Calibri"/>
                <w:sz w:val="19"/>
                <w:szCs w:val="19"/>
              </w:rPr>
              <w:t>Day 0</w:t>
            </w:r>
          </w:p>
        </w:tc>
        <w:tc>
          <w:tcPr>
            <w:tcW w:w="4675" w:type="dxa"/>
            <w:tcMar>
              <w:top w:w="60" w:type="dxa"/>
              <w:left w:w="100" w:type="dxa"/>
              <w:bottom w:w="60" w:type="dxa"/>
              <w:right w:w="100" w:type="dxa"/>
            </w:tcMar>
          </w:tcPr>
          <w:p w14:paraId="670B6B98" w14:textId="77777777" w:rsidR="008C4E6E" w:rsidRDefault="00000000">
            <w:pPr>
              <w:spacing w:before="20" w:after="20" w:line="290" w:lineRule="auto"/>
              <w:jc w:val="left"/>
            </w:pPr>
            <w:r>
              <w:rPr>
                <w:rFonts w:cs="Calibri"/>
                <w:sz w:val="19"/>
                <w:szCs w:val="19"/>
              </w:rPr>
              <w:t>The date of signature of this Covenant</w:t>
            </w:r>
          </w:p>
        </w:tc>
      </w:tr>
      <w:tr w:rsidR="008C4E6E" w14:paraId="6400ACC7" w14:textId="77777777">
        <w:tblPrEx>
          <w:tblCellMar>
            <w:top w:w="0" w:type="dxa"/>
            <w:bottom w:w="0" w:type="dxa"/>
          </w:tblCellMar>
        </w:tblPrEx>
        <w:tc>
          <w:tcPr>
            <w:tcW w:w="4675" w:type="dxa"/>
            <w:tcMar>
              <w:top w:w="60" w:type="dxa"/>
              <w:left w:w="100" w:type="dxa"/>
              <w:bottom w:w="60" w:type="dxa"/>
              <w:right w:w="100" w:type="dxa"/>
            </w:tcMar>
          </w:tcPr>
          <w:p w14:paraId="70C79879" w14:textId="77777777" w:rsidR="008C4E6E" w:rsidRDefault="00000000">
            <w:pPr>
              <w:spacing w:before="20" w:after="20" w:line="290" w:lineRule="auto"/>
              <w:jc w:val="left"/>
            </w:pPr>
            <w:r>
              <w:rPr>
                <w:rFonts w:cs="Calibri"/>
                <w:sz w:val="19"/>
                <w:szCs w:val="19"/>
              </w:rPr>
              <w:t>Desk</w:t>
            </w:r>
          </w:p>
        </w:tc>
        <w:tc>
          <w:tcPr>
            <w:tcW w:w="4675" w:type="dxa"/>
            <w:tcMar>
              <w:top w:w="60" w:type="dxa"/>
              <w:left w:w="100" w:type="dxa"/>
              <w:bottom w:w="60" w:type="dxa"/>
              <w:right w:w="100" w:type="dxa"/>
            </w:tcMar>
          </w:tcPr>
          <w:p w14:paraId="343157C3" w14:textId="77777777" w:rsidR="008C4E6E" w:rsidRDefault="00000000">
            <w:pPr>
              <w:spacing w:before="20" w:after="20" w:line="290" w:lineRule="auto"/>
              <w:jc w:val="left"/>
            </w:pPr>
            <w:r>
              <w:rPr>
                <w:rFonts w:cs="Calibri"/>
                <w:sz w:val="19"/>
                <w:szCs w:val="19"/>
              </w:rPr>
              <w:t>The Transit Desk under Article 48</w:t>
            </w:r>
          </w:p>
        </w:tc>
      </w:tr>
      <w:tr w:rsidR="008C4E6E" w14:paraId="78B6CD90" w14:textId="77777777">
        <w:tblPrEx>
          <w:tblCellMar>
            <w:top w:w="0" w:type="dxa"/>
            <w:bottom w:w="0" w:type="dxa"/>
          </w:tblCellMar>
        </w:tblPrEx>
        <w:tc>
          <w:tcPr>
            <w:tcW w:w="4675" w:type="dxa"/>
            <w:tcMar>
              <w:top w:w="60" w:type="dxa"/>
              <w:left w:w="100" w:type="dxa"/>
              <w:bottom w:w="60" w:type="dxa"/>
              <w:right w:w="100" w:type="dxa"/>
            </w:tcMar>
          </w:tcPr>
          <w:p w14:paraId="08F13F70" w14:textId="77777777" w:rsidR="008C4E6E" w:rsidRDefault="00000000">
            <w:pPr>
              <w:spacing w:before="20" w:after="20" w:line="290" w:lineRule="auto"/>
              <w:jc w:val="left"/>
            </w:pPr>
            <w:r>
              <w:rPr>
                <w:rFonts w:cs="Calibri"/>
                <w:sz w:val="19"/>
                <w:szCs w:val="19"/>
              </w:rPr>
              <w:t>Fund</w:t>
            </w:r>
          </w:p>
        </w:tc>
        <w:tc>
          <w:tcPr>
            <w:tcW w:w="4675" w:type="dxa"/>
            <w:tcMar>
              <w:top w:w="60" w:type="dxa"/>
              <w:left w:w="100" w:type="dxa"/>
              <w:bottom w:w="60" w:type="dxa"/>
              <w:right w:w="100" w:type="dxa"/>
            </w:tcMar>
          </w:tcPr>
          <w:p w14:paraId="2A1B69CE" w14:textId="77777777" w:rsidR="008C4E6E" w:rsidRDefault="00000000">
            <w:pPr>
              <w:spacing w:before="20" w:after="20" w:line="290" w:lineRule="auto"/>
              <w:jc w:val="left"/>
            </w:pPr>
            <w:r>
              <w:rPr>
                <w:rFonts w:cs="Calibri"/>
                <w:sz w:val="19"/>
                <w:szCs w:val="19"/>
              </w:rPr>
              <w:t>The Calm Waters Fund under Article 51</w:t>
            </w:r>
          </w:p>
        </w:tc>
      </w:tr>
      <w:tr w:rsidR="008C4E6E" w14:paraId="1B713C42" w14:textId="77777777">
        <w:tblPrEx>
          <w:tblCellMar>
            <w:top w:w="0" w:type="dxa"/>
            <w:bottom w:w="0" w:type="dxa"/>
          </w:tblCellMar>
        </w:tblPrEx>
        <w:tc>
          <w:tcPr>
            <w:tcW w:w="4675" w:type="dxa"/>
            <w:tcMar>
              <w:top w:w="60" w:type="dxa"/>
              <w:left w:w="100" w:type="dxa"/>
              <w:bottom w:w="60" w:type="dxa"/>
              <w:right w:w="100" w:type="dxa"/>
            </w:tcMar>
          </w:tcPr>
          <w:p w14:paraId="17F90354" w14:textId="77777777" w:rsidR="008C4E6E" w:rsidRDefault="00000000">
            <w:pPr>
              <w:spacing w:before="20" w:after="20" w:line="290" w:lineRule="auto"/>
              <w:jc w:val="left"/>
            </w:pPr>
            <w:r>
              <w:rPr>
                <w:rFonts w:cs="Calibri"/>
                <w:sz w:val="19"/>
                <w:szCs w:val="19"/>
              </w:rPr>
              <w:t>Gate</w:t>
            </w:r>
          </w:p>
        </w:tc>
        <w:tc>
          <w:tcPr>
            <w:tcW w:w="4675" w:type="dxa"/>
            <w:tcMar>
              <w:top w:w="60" w:type="dxa"/>
              <w:left w:w="100" w:type="dxa"/>
              <w:bottom w:w="60" w:type="dxa"/>
              <w:right w:w="100" w:type="dxa"/>
            </w:tcMar>
          </w:tcPr>
          <w:p w14:paraId="4701644A" w14:textId="77777777" w:rsidR="008C4E6E" w:rsidRDefault="00000000">
            <w:pPr>
              <w:spacing w:before="20" w:after="20" w:line="290" w:lineRule="auto"/>
              <w:jc w:val="left"/>
            </w:pPr>
            <w:r>
              <w:rPr>
                <w:rFonts w:cs="Calibri"/>
                <w:sz w:val="19"/>
                <w:szCs w:val="19"/>
              </w:rPr>
              <w:t>The certified conditions activating a layer under Article 6</w:t>
            </w:r>
          </w:p>
        </w:tc>
      </w:tr>
      <w:tr w:rsidR="008C4E6E" w14:paraId="38DFB44D" w14:textId="77777777">
        <w:tblPrEx>
          <w:tblCellMar>
            <w:top w:w="0" w:type="dxa"/>
            <w:bottom w:w="0" w:type="dxa"/>
          </w:tblCellMar>
        </w:tblPrEx>
        <w:tc>
          <w:tcPr>
            <w:tcW w:w="4675" w:type="dxa"/>
            <w:tcMar>
              <w:top w:w="60" w:type="dxa"/>
              <w:left w:w="100" w:type="dxa"/>
              <w:bottom w:w="60" w:type="dxa"/>
              <w:right w:w="100" w:type="dxa"/>
            </w:tcMar>
          </w:tcPr>
          <w:p w14:paraId="62216D7E" w14:textId="77777777" w:rsidR="008C4E6E" w:rsidRDefault="00000000">
            <w:pPr>
              <w:spacing w:before="20" w:after="20" w:line="290" w:lineRule="auto"/>
              <w:jc w:val="left"/>
            </w:pPr>
            <w:r>
              <w:rPr>
                <w:rFonts w:cs="Calibri"/>
                <w:sz w:val="19"/>
                <w:szCs w:val="19"/>
              </w:rPr>
              <w:t>Governance Area</w:t>
            </w:r>
          </w:p>
        </w:tc>
        <w:tc>
          <w:tcPr>
            <w:tcW w:w="4675" w:type="dxa"/>
            <w:tcMar>
              <w:top w:w="60" w:type="dxa"/>
              <w:left w:w="100" w:type="dxa"/>
              <w:bottom w:w="60" w:type="dxa"/>
              <w:right w:w="100" w:type="dxa"/>
            </w:tcMar>
          </w:tcPr>
          <w:p w14:paraId="3772597C" w14:textId="77777777" w:rsidR="008C4E6E" w:rsidRDefault="00000000">
            <w:pPr>
              <w:spacing w:before="20" w:after="20" w:line="290" w:lineRule="auto"/>
              <w:jc w:val="left"/>
            </w:pPr>
            <w:r>
              <w:rPr>
                <w:rFonts w:cs="Calibri"/>
                <w:sz w:val="19"/>
                <w:szCs w:val="19"/>
              </w:rPr>
              <w:t>The area defined in Article 41 and Annex A</w:t>
            </w:r>
          </w:p>
        </w:tc>
      </w:tr>
      <w:tr w:rsidR="008C4E6E" w14:paraId="2DAD3CEF" w14:textId="77777777">
        <w:tblPrEx>
          <w:tblCellMar>
            <w:top w:w="0" w:type="dxa"/>
            <w:bottom w:w="0" w:type="dxa"/>
          </w:tblCellMar>
        </w:tblPrEx>
        <w:tc>
          <w:tcPr>
            <w:tcW w:w="4675" w:type="dxa"/>
            <w:tcMar>
              <w:top w:w="60" w:type="dxa"/>
              <w:left w:w="100" w:type="dxa"/>
              <w:bottom w:w="60" w:type="dxa"/>
              <w:right w:w="100" w:type="dxa"/>
            </w:tcMar>
          </w:tcPr>
          <w:p w14:paraId="7914C809" w14:textId="77777777" w:rsidR="008C4E6E" w:rsidRDefault="00000000">
            <w:pPr>
              <w:spacing w:before="20" w:after="20" w:line="290" w:lineRule="auto"/>
              <w:jc w:val="left"/>
            </w:pPr>
            <w:r>
              <w:rPr>
                <w:rFonts w:cs="Calibri"/>
                <w:sz w:val="19"/>
                <w:szCs w:val="19"/>
              </w:rPr>
              <w:t>Hotline</w:t>
            </w:r>
          </w:p>
        </w:tc>
        <w:tc>
          <w:tcPr>
            <w:tcW w:w="4675" w:type="dxa"/>
            <w:tcMar>
              <w:top w:w="60" w:type="dxa"/>
              <w:left w:w="100" w:type="dxa"/>
              <w:bottom w:w="60" w:type="dxa"/>
              <w:right w:w="100" w:type="dxa"/>
            </w:tcMar>
          </w:tcPr>
          <w:p w14:paraId="2D4AE7D9" w14:textId="77777777" w:rsidR="008C4E6E" w:rsidRDefault="00000000">
            <w:pPr>
              <w:spacing w:before="20" w:after="20" w:line="290" w:lineRule="auto"/>
              <w:jc w:val="left"/>
            </w:pPr>
            <w:r>
              <w:rPr>
                <w:rFonts w:cs="Calibri"/>
                <w:sz w:val="19"/>
                <w:szCs w:val="19"/>
              </w:rPr>
              <w:t>The de-confliction hotline under Article 47</w:t>
            </w:r>
          </w:p>
        </w:tc>
      </w:tr>
      <w:tr w:rsidR="008C4E6E" w14:paraId="3434C97E" w14:textId="77777777">
        <w:tblPrEx>
          <w:tblCellMar>
            <w:top w:w="0" w:type="dxa"/>
            <w:bottom w:w="0" w:type="dxa"/>
          </w:tblCellMar>
        </w:tblPrEx>
        <w:tc>
          <w:tcPr>
            <w:tcW w:w="4675" w:type="dxa"/>
            <w:tcMar>
              <w:top w:w="60" w:type="dxa"/>
              <w:left w:w="100" w:type="dxa"/>
              <w:bottom w:w="60" w:type="dxa"/>
              <w:right w:w="100" w:type="dxa"/>
            </w:tcMar>
          </w:tcPr>
          <w:p w14:paraId="6A077324" w14:textId="77777777" w:rsidR="008C4E6E" w:rsidRDefault="00000000">
            <w:pPr>
              <w:spacing w:before="20" w:after="20" w:line="290" w:lineRule="auto"/>
              <w:jc w:val="left"/>
            </w:pPr>
            <w:r>
              <w:rPr>
                <w:rFonts w:cs="Calibri"/>
                <w:sz w:val="19"/>
                <w:szCs w:val="19"/>
              </w:rPr>
              <w:t>Layer</w:t>
            </w:r>
          </w:p>
        </w:tc>
        <w:tc>
          <w:tcPr>
            <w:tcW w:w="4675" w:type="dxa"/>
            <w:tcMar>
              <w:top w:w="60" w:type="dxa"/>
              <w:left w:w="100" w:type="dxa"/>
              <w:bottom w:w="60" w:type="dxa"/>
              <w:right w:w="100" w:type="dxa"/>
            </w:tcMar>
          </w:tcPr>
          <w:p w14:paraId="3AD90F82" w14:textId="77777777" w:rsidR="008C4E6E" w:rsidRDefault="00000000">
            <w:pPr>
              <w:spacing w:before="20" w:after="20" w:line="290" w:lineRule="auto"/>
              <w:jc w:val="left"/>
            </w:pPr>
            <w:r>
              <w:rPr>
                <w:rFonts w:cs="Calibri"/>
                <w:sz w:val="19"/>
                <w:szCs w:val="19"/>
              </w:rPr>
              <w:t>One of the seven layers of Article 6.2</w:t>
            </w:r>
          </w:p>
        </w:tc>
      </w:tr>
      <w:tr w:rsidR="008C4E6E" w14:paraId="082F5FCA" w14:textId="77777777">
        <w:tblPrEx>
          <w:tblCellMar>
            <w:top w:w="0" w:type="dxa"/>
            <w:bottom w:w="0" w:type="dxa"/>
          </w:tblCellMar>
        </w:tblPrEx>
        <w:tc>
          <w:tcPr>
            <w:tcW w:w="4675" w:type="dxa"/>
            <w:tcMar>
              <w:top w:w="60" w:type="dxa"/>
              <w:left w:w="100" w:type="dxa"/>
              <w:bottom w:w="60" w:type="dxa"/>
              <w:right w:w="100" w:type="dxa"/>
            </w:tcMar>
          </w:tcPr>
          <w:p w14:paraId="6822A363" w14:textId="77777777" w:rsidR="008C4E6E" w:rsidRDefault="00000000">
            <w:pPr>
              <w:spacing w:before="20" w:after="20" w:line="290" w:lineRule="auto"/>
              <w:jc w:val="left"/>
            </w:pPr>
            <w:r>
              <w:rPr>
                <w:rFonts w:cs="Calibri"/>
                <w:sz w:val="19"/>
                <w:szCs w:val="19"/>
              </w:rPr>
              <w:t>Micro-exercise</w:t>
            </w:r>
          </w:p>
        </w:tc>
        <w:tc>
          <w:tcPr>
            <w:tcW w:w="4675" w:type="dxa"/>
            <w:tcMar>
              <w:top w:w="60" w:type="dxa"/>
              <w:left w:w="100" w:type="dxa"/>
              <w:bottom w:w="60" w:type="dxa"/>
              <w:right w:w="100" w:type="dxa"/>
            </w:tcMar>
          </w:tcPr>
          <w:p w14:paraId="13E30B26" w14:textId="77777777" w:rsidR="008C4E6E" w:rsidRDefault="00000000">
            <w:pPr>
              <w:spacing w:before="20" w:after="20" w:line="290" w:lineRule="auto"/>
              <w:jc w:val="left"/>
            </w:pPr>
            <w:r>
              <w:rPr>
                <w:rFonts w:cs="Calibri"/>
                <w:sz w:val="19"/>
                <w:szCs w:val="19"/>
              </w:rPr>
              <w:t>A reversible cooperative activity of Layer One under Article 9</w:t>
            </w:r>
          </w:p>
        </w:tc>
      </w:tr>
      <w:tr w:rsidR="008C4E6E" w14:paraId="46E7A4D7" w14:textId="77777777">
        <w:tblPrEx>
          <w:tblCellMar>
            <w:top w:w="0" w:type="dxa"/>
            <w:bottom w:w="0" w:type="dxa"/>
          </w:tblCellMar>
        </w:tblPrEx>
        <w:tc>
          <w:tcPr>
            <w:tcW w:w="4675" w:type="dxa"/>
            <w:tcMar>
              <w:top w:w="60" w:type="dxa"/>
              <w:left w:w="100" w:type="dxa"/>
              <w:bottom w:w="60" w:type="dxa"/>
              <w:right w:w="100" w:type="dxa"/>
            </w:tcMar>
          </w:tcPr>
          <w:p w14:paraId="1C7A7797" w14:textId="77777777" w:rsidR="008C4E6E" w:rsidRDefault="00000000">
            <w:pPr>
              <w:spacing w:before="20" w:after="20" w:line="290" w:lineRule="auto"/>
              <w:jc w:val="left"/>
            </w:pPr>
            <w:r>
              <w:rPr>
                <w:rFonts w:cs="Calibri"/>
                <w:sz w:val="19"/>
                <w:szCs w:val="19"/>
              </w:rPr>
              <w:t>NVO</w:t>
            </w:r>
          </w:p>
        </w:tc>
        <w:tc>
          <w:tcPr>
            <w:tcW w:w="4675" w:type="dxa"/>
            <w:tcMar>
              <w:top w:w="60" w:type="dxa"/>
              <w:left w:w="100" w:type="dxa"/>
              <w:bottom w:w="60" w:type="dxa"/>
              <w:right w:w="100" w:type="dxa"/>
            </w:tcMar>
          </w:tcPr>
          <w:p w14:paraId="214A9FF8" w14:textId="77777777" w:rsidR="008C4E6E" w:rsidRDefault="00000000">
            <w:pPr>
              <w:spacing w:before="20" w:after="20" w:line="290" w:lineRule="auto"/>
              <w:jc w:val="left"/>
            </w:pPr>
            <w:r>
              <w:rPr>
                <w:rFonts w:cs="Calibri"/>
                <w:sz w:val="19"/>
                <w:szCs w:val="19"/>
              </w:rPr>
              <w:t>The Neutral Verification Office under Article 48</w:t>
            </w:r>
          </w:p>
        </w:tc>
      </w:tr>
      <w:tr w:rsidR="008C4E6E" w14:paraId="1A794A03" w14:textId="77777777">
        <w:tblPrEx>
          <w:tblCellMar>
            <w:top w:w="0" w:type="dxa"/>
            <w:bottom w:w="0" w:type="dxa"/>
          </w:tblCellMar>
        </w:tblPrEx>
        <w:tc>
          <w:tcPr>
            <w:tcW w:w="4675" w:type="dxa"/>
            <w:tcMar>
              <w:top w:w="60" w:type="dxa"/>
              <w:left w:w="100" w:type="dxa"/>
              <w:bottom w:w="60" w:type="dxa"/>
              <w:right w:w="100" w:type="dxa"/>
            </w:tcMar>
          </w:tcPr>
          <w:p w14:paraId="3FABAB57" w14:textId="77777777" w:rsidR="008C4E6E" w:rsidRDefault="00000000">
            <w:pPr>
              <w:spacing w:before="20" w:after="20" w:line="290" w:lineRule="auto"/>
              <w:jc w:val="left"/>
            </w:pPr>
            <w:r>
              <w:rPr>
                <w:rFonts w:cs="Calibri"/>
                <w:sz w:val="19"/>
                <w:szCs w:val="19"/>
              </w:rPr>
              <w:t>Registry</w:t>
            </w:r>
          </w:p>
        </w:tc>
        <w:tc>
          <w:tcPr>
            <w:tcW w:w="4675" w:type="dxa"/>
            <w:tcMar>
              <w:top w:w="60" w:type="dxa"/>
              <w:left w:w="100" w:type="dxa"/>
              <w:bottom w:w="60" w:type="dxa"/>
              <w:right w:w="100" w:type="dxa"/>
            </w:tcMar>
          </w:tcPr>
          <w:p w14:paraId="37D8FD46" w14:textId="77777777" w:rsidR="008C4E6E" w:rsidRDefault="00000000">
            <w:pPr>
              <w:spacing w:before="20" w:after="20" w:line="290" w:lineRule="auto"/>
              <w:jc w:val="left"/>
            </w:pPr>
            <w:r>
              <w:rPr>
                <w:rFonts w:cs="Calibri"/>
                <w:sz w:val="19"/>
                <w:szCs w:val="19"/>
              </w:rPr>
              <w:t>The Shared Digital Registry under Article 53</w:t>
            </w:r>
          </w:p>
        </w:tc>
      </w:tr>
      <w:tr w:rsidR="008C4E6E" w14:paraId="76611F4E" w14:textId="77777777">
        <w:tblPrEx>
          <w:tblCellMar>
            <w:top w:w="0" w:type="dxa"/>
            <w:bottom w:w="0" w:type="dxa"/>
          </w:tblCellMar>
        </w:tblPrEx>
        <w:tc>
          <w:tcPr>
            <w:tcW w:w="4675" w:type="dxa"/>
            <w:tcMar>
              <w:top w:w="60" w:type="dxa"/>
              <w:left w:w="100" w:type="dxa"/>
              <w:bottom w:w="60" w:type="dxa"/>
              <w:right w:w="100" w:type="dxa"/>
            </w:tcMar>
          </w:tcPr>
          <w:p w14:paraId="3A1917ED" w14:textId="77777777" w:rsidR="008C4E6E" w:rsidRDefault="00000000">
            <w:pPr>
              <w:spacing w:before="20" w:after="20" w:line="290" w:lineRule="auto"/>
              <w:jc w:val="left"/>
            </w:pPr>
            <w:r>
              <w:rPr>
                <w:rFonts w:cs="Calibri"/>
                <w:sz w:val="19"/>
                <w:szCs w:val="19"/>
              </w:rPr>
              <w:t>Standstill</w:t>
            </w:r>
          </w:p>
        </w:tc>
        <w:tc>
          <w:tcPr>
            <w:tcW w:w="4675" w:type="dxa"/>
            <w:tcMar>
              <w:top w:w="60" w:type="dxa"/>
              <w:left w:w="100" w:type="dxa"/>
              <w:bottom w:w="60" w:type="dxa"/>
              <w:right w:w="100" w:type="dxa"/>
            </w:tcMar>
          </w:tcPr>
          <w:p w14:paraId="6FB7B9D5" w14:textId="77777777" w:rsidR="008C4E6E" w:rsidRDefault="00000000">
            <w:pPr>
              <w:spacing w:before="20" w:after="20" w:line="290" w:lineRule="auto"/>
              <w:jc w:val="left"/>
            </w:pPr>
            <w:r>
              <w:rPr>
                <w:rFonts w:cs="Calibri"/>
                <w:sz w:val="19"/>
                <w:szCs w:val="19"/>
              </w:rPr>
              <w:t>The regime defined in Article 38</w:t>
            </w:r>
          </w:p>
        </w:tc>
      </w:tr>
      <w:tr w:rsidR="008C4E6E" w14:paraId="02D4A6B8" w14:textId="77777777">
        <w:tblPrEx>
          <w:tblCellMar>
            <w:top w:w="0" w:type="dxa"/>
            <w:bottom w:w="0" w:type="dxa"/>
          </w:tblCellMar>
        </w:tblPrEx>
        <w:tc>
          <w:tcPr>
            <w:tcW w:w="4675" w:type="dxa"/>
            <w:tcMar>
              <w:top w:w="60" w:type="dxa"/>
              <w:left w:w="100" w:type="dxa"/>
              <w:bottom w:w="60" w:type="dxa"/>
              <w:right w:w="100" w:type="dxa"/>
            </w:tcMar>
          </w:tcPr>
          <w:p w14:paraId="06FAE827" w14:textId="77777777" w:rsidR="008C4E6E" w:rsidRDefault="00000000">
            <w:pPr>
              <w:spacing w:before="20" w:after="20" w:line="290" w:lineRule="auto"/>
              <w:jc w:val="left"/>
            </w:pPr>
            <w:r>
              <w:rPr>
                <w:rFonts w:cs="Calibri"/>
                <w:sz w:val="19"/>
                <w:szCs w:val="19"/>
              </w:rPr>
              <w:t>Transit Notice</w:t>
            </w:r>
          </w:p>
        </w:tc>
        <w:tc>
          <w:tcPr>
            <w:tcW w:w="4675" w:type="dxa"/>
            <w:tcMar>
              <w:top w:w="60" w:type="dxa"/>
              <w:left w:w="100" w:type="dxa"/>
              <w:bottom w:w="60" w:type="dxa"/>
              <w:right w:w="100" w:type="dxa"/>
            </w:tcMar>
          </w:tcPr>
          <w:p w14:paraId="62A8DA89" w14:textId="77777777" w:rsidR="008C4E6E" w:rsidRDefault="00000000">
            <w:pPr>
              <w:spacing w:before="20" w:after="20" w:line="290" w:lineRule="auto"/>
              <w:jc w:val="left"/>
            </w:pPr>
            <w:r>
              <w:rPr>
                <w:rFonts w:cs="Calibri"/>
                <w:sz w:val="19"/>
                <w:szCs w:val="19"/>
              </w:rPr>
              <w:t>The ten-field notice under Article 43</w:t>
            </w:r>
          </w:p>
        </w:tc>
      </w:tr>
      <w:tr w:rsidR="008C4E6E" w14:paraId="3A3DF85B" w14:textId="77777777">
        <w:tblPrEx>
          <w:tblCellMar>
            <w:top w:w="0" w:type="dxa"/>
            <w:bottom w:w="0" w:type="dxa"/>
          </w:tblCellMar>
        </w:tblPrEx>
        <w:tc>
          <w:tcPr>
            <w:tcW w:w="4675" w:type="dxa"/>
            <w:tcMar>
              <w:top w:w="60" w:type="dxa"/>
              <w:left w:w="100" w:type="dxa"/>
              <w:bottom w:w="60" w:type="dxa"/>
              <w:right w:w="100" w:type="dxa"/>
            </w:tcMar>
          </w:tcPr>
          <w:p w14:paraId="330C985E" w14:textId="77777777" w:rsidR="008C4E6E" w:rsidRDefault="00000000">
            <w:pPr>
              <w:spacing w:before="20" w:after="20" w:line="290" w:lineRule="auto"/>
              <w:jc w:val="left"/>
            </w:pPr>
            <w:r>
              <w:rPr>
                <w:rFonts w:cs="Calibri"/>
                <w:sz w:val="19"/>
                <w:szCs w:val="19"/>
              </w:rPr>
              <w:t>Twin Key</w:t>
            </w:r>
          </w:p>
        </w:tc>
        <w:tc>
          <w:tcPr>
            <w:tcW w:w="4675" w:type="dxa"/>
            <w:tcMar>
              <w:top w:w="60" w:type="dxa"/>
              <w:left w:w="100" w:type="dxa"/>
              <w:bottom w:w="60" w:type="dxa"/>
              <w:right w:w="100" w:type="dxa"/>
            </w:tcMar>
          </w:tcPr>
          <w:p w14:paraId="053E187C" w14:textId="77777777" w:rsidR="008C4E6E" w:rsidRDefault="00000000">
            <w:pPr>
              <w:spacing w:before="20" w:after="20" w:line="290" w:lineRule="auto"/>
              <w:jc w:val="left"/>
            </w:pPr>
            <w:r>
              <w:rPr>
                <w:rFonts w:cs="Calibri"/>
                <w:sz w:val="19"/>
                <w:szCs w:val="19"/>
              </w:rPr>
              <w:t>The paired-consent rule in Article 49</w:t>
            </w:r>
          </w:p>
        </w:tc>
      </w:tr>
      <w:tr w:rsidR="008C4E6E" w14:paraId="38BFC81E" w14:textId="77777777">
        <w:tblPrEx>
          <w:tblCellMar>
            <w:top w:w="0" w:type="dxa"/>
            <w:bottom w:w="0" w:type="dxa"/>
          </w:tblCellMar>
        </w:tblPrEx>
        <w:tc>
          <w:tcPr>
            <w:tcW w:w="4675" w:type="dxa"/>
            <w:tcMar>
              <w:top w:w="60" w:type="dxa"/>
              <w:left w:w="100" w:type="dxa"/>
              <w:bottom w:w="60" w:type="dxa"/>
              <w:right w:w="100" w:type="dxa"/>
            </w:tcMar>
          </w:tcPr>
          <w:p w14:paraId="766D9472" w14:textId="77777777" w:rsidR="008C4E6E" w:rsidRDefault="00000000">
            <w:pPr>
              <w:spacing w:before="20" w:after="20" w:line="290" w:lineRule="auto"/>
              <w:jc w:val="left"/>
            </w:pPr>
            <w:r>
              <w:rPr>
                <w:rFonts w:cs="Calibri"/>
                <w:sz w:val="19"/>
                <w:szCs w:val="19"/>
              </w:rPr>
              <w:t>Watch</w:t>
            </w:r>
          </w:p>
        </w:tc>
        <w:tc>
          <w:tcPr>
            <w:tcW w:w="4675" w:type="dxa"/>
            <w:tcMar>
              <w:top w:w="60" w:type="dxa"/>
              <w:left w:w="100" w:type="dxa"/>
              <w:bottom w:w="60" w:type="dxa"/>
              <w:right w:w="100" w:type="dxa"/>
            </w:tcMar>
          </w:tcPr>
          <w:p w14:paraId="64E4CE00" w14:textId="77777777" w:rsidR="008C4E6E" w:rsidRDefault="00000000">
            <w:pPr>
              <w:spacing w:before="20" w:after="20" w:line="290" w:lineRule="auto"/>
              <w:jc w:val="left"/>
            </w:pPr>
            <w:r>
              <w:rPr>
                <w:rFonts w:cs="Calibri"/>
                <w:sz w:val="19"/>
                <w:szCs w:val="19"/>
              </w:rPr>
              <w:t>The Stillwater Watch under Article 55</w:t>
            </w:r>
          </w:p>
        </w:tc>
      </w:tr>
    </w:tbl>
    <w:p w14:paraId="306CF2E1" w14:textId="77777777" w:rsidR="008C4E6E" w:rsidRDefault="008C4E6E">
      <w:pPr>
        <w:spacing w:after="80"/>
      </w:pPr>
    </w:p>
    <w:p w14:paraId="5EAE5C41" w14:textId="77777777" w:rsidR="008C4E6E" w:rsidRDefault="00000000">
      <w:pPr>
        <w:spacing w:before="40" w:after="200"/>
        <w:jc w:val="left"/>
      </w:pPr>
      <w:r>
        <w:rPr>
          <w:rFonts w:cs="Calibri"/>
          <w:i/>
          <w:color w:val="6E8A96"/>
          <w:sz w:val="19"/>
          <w:szCs w:val="19"/>
        </w:rPr>
        <w:t>Defined terms. Plurals and cognates carry the corresponding meaning.</w:t>
      </w:r>
    </w:p>
    <w:p w14:paraId="6216247E" w14:textId="77777777" w:rsidR="008C4E6E" w:rsidRDefault="00000000">
      <w:r>
        <w:rPr>
          <w:rFonts w:cs="Calibri"/>
          <w:b/>
          <w:szCs w:val="22"/>
        </w:rPr>
        <w:t>7.2</w:t>
      </w:r>
      <w:r>
        <w:rPr>
          <w:rFonts w:cs="Calibri"/>
          <w:szCs w:val="22"/>
        </w:rPr>
        <w:t xml:space="preserve"> Interpretation follows four rules in order: the ordinary meaning of the words; the sixteen lines of the Declaration; the object and purpose in Article 1.2; and the practice of the bodies under this Covenant. Headings aid navigation and carry no operative weight.</w:t>
      </w:r>
    </w:p>
    <w:p w14:paraId="0682F1C9" w14:textId="77777777" w:rsidR="008C4E6E" w:rsidRDefault="00000000">
      <w:r>
        <w:rPr>
          <w:rFonts w:cs="Calibri"/>
          <w:b/>
          <w:szCs w:val="22"/>
        </w:rPr>
        <w:t>7.3</w:t>
      </w:r>
      <w:r>
        <w:rPr>
          <w:rFonts w:cs="Calibri"/>
          <w:szCs w:val="22"/>
        </w:rPr>
        <w:t xml:space="preserve"> Time references use Gulf Standard Time. Day means a calendar day. A deadline that falls on a Friday in Muscat extends to the next working day only for administrative filings, never for safety functions.</w:t>
      </w:r>
    </w:p>
    <w:p w14:paraId="688250BB" w14:textId="77777777" w:rsidR="008C4E6E" w:rsidRDefault="00000000">
      <w:r>
        <w:rPr>
          <w:rFonts w:cs="Calibri"/>
          <w:b/>
          <w:szCs w:val="22"/>
        </w:rPr>
        <w:t>7.4</w:t>
      </w:r>
      <w:r>
        <w:rPr>
          <w:rFonts w:cs="Calibri"/>
          <w:szCs w:val="22"/>
        </w:rPr>
        <w:t xml:space="preserve"> Languages and reconciliation. (a) The Covenant executes in English, Farsi, and Arabic, each text equally authoritative. (b) Divergence among texts resolves through the concordance table maintained by the Calm Waters Center. Persistent divergence resolves in favor of the reading that best preserves the corridor system, the Zero-Toll Rule, and the Red Lines Register. (c) Where the Register does not resolve the divergence, the English text prevails for technical annexes, and the dispute ladder of Article 58 determines the prevailing reading for substantive articles.</w:t>
      </w:r>
    </w:p>
    <w:p w14:paraId="6A601649" w14:textId="77777777" w:rsidR="008C4E6E" w:rsidRDefault="00000000">
      <w:pPr>
        <w:pStyle w:val="Heading2"/>
      </w:pPr>
      <w:bookmarkStart w:id="17" w:name="_Toc237650573"/>
      <w:r>
        <w:rPr>
          <w:rFonts w:cs="Calibri Light"/>
          <w:szCs w:val="28"/>
        </w:rPr>
        <w:lastRenderedPageBreak/>
        <w:t>Article 8: The Red Lines Register and the Perimeter Test</w:t>
      </w:r>
      <w:bookmarkEnd w:id="17"/>
    </w:p>
    <w:p w14:paraId="0343CE22" w14:textId="77777777" w:rsidR="008C4E6E" w:rsidRDefault="00000000">
      <w:r>
        <w:rPr>
          <w:rFonts w:cs="Calibri"/>
          <w:b/>
          <w:szCs w:val="22"/>
        </w:rPr>
        <w:t>8.1</w:t>
      </w:r>
      <w:r>
        <w:rPr>
          <w:rFonts w:cs="Calibri"/>
          <w:szCs w:val="22"/>
        </w:rPr>
        <w:t xml:space="preserve"> The Red Lines Register at Annex F forms part of this Covenant. The Register records each red line, the participant that holds it, and the design consequence that keeps the Covenant inside it.</w:t>
      </w:r>
    </w:p>
    <w:p w14:paraId="5B479922" w14:textId="77777777" w:rsidR="008C4E6E" w:rsidRDefault="00000000">
      <w:r>
        <w:rPr>
          <w:rFonts w:cs="Calibri"/>
          <w:b/>
          <w:szCs w:val="22"/>
        </w:rPr>
        <w:t>8.2</w:t>
      </w:r>
      <w:r>
        <w:rPr>
          <w:rFonts w:cs="Calibri"/>
          <w:szCs w:val="22"/>
        </w:rPr>
        <w:t xml:space="preserve"> Before any body adopts an implementing measure, the proposing officer applies the Perimeter Test in writing: first, does the measure touch any line in the Register; second, if it touches a line, does it cross it; third, if it crosses a line, what modification or referral returns the measure inside the perimeter. The completed test attaches to the measure in the Registry.</w:t>
      </w:r>
    </w:p>
    <w:p w14:paraId="64CAA2B1" w14:textId="77777777" w:rsidR="008C4E6E" w:rsidRDefault="00000000">
      <w:r>
        <w:rPr>
          <w:rFonts w:cs="Calibri"/>
          <w:b/>
          <w:szCs w:val="22"/>
        </w:rPr>
        <w:t>8.3</w:t>
      </w:r>
      <w:r>
        <w:rPr>
          <w:rFonts w:cs="Calibri"/>
          <w:szCs w:val="22"/>
        </w:rPr>
        <w:t xml:space="preserve"> A measure that fails the Perimeter Test has no effect, and the officer who applied it faces no penalty for the proposal. The system treats failed tests as free information.</w:t>
      </w:r>
    </w:p>
    <w:p w14:paraId="4CD03C03" w14:textId="77777777" w:rsidR="008C4E6E" w:rsidRDefault="00000000">
      <w:r>
        <w:rPr>
          <w:rFonts w:cs="Calibri"/>
          <w:b/>
          <w:szCs w:val="22"/>
        </w:rPr>
        <w:t>8.4</w:t>
      </w:r>
      <w:r>
        <w:rPr>
          <w:rFonts w:cs="Calibri"/>
          <w:szCs w:val="22"/>
        </w:rPr>
        <w:t xml:space="preserve"> The Commission reviews the Register annually and after any Tier 3 event. Amendment of the Register requires the consensus of the Founding Parties and the written non-objection of every participant that holds the affected line.</w:t>
      </w:r>
    </w:p>
    <w:p w14:paraId="6B9B2584" w14:textId="77777777" w:rsidR="008C4E6E" w:rsidRDefault="00000000">
      <w:r>
        <w:rPr>
          <w:rFonts w:cs="Calibri"/>
          <w:b/>
          <w:szCs w:val="22"/>
        </w:rPr>
        <w:t>8.5</w:t>
      </w:r>
      <w:r>
        <w:rPr>
          <w:rFonts w:cs="Calibri"/>
          <w:szCs w:val="22"/>
        </w:rPr>
        <w:t xml:space="preserve"> The Register protects smaller participants equally: a red line held by an Observer Member carries the same design weight as a red line held by a Founding Party, and only the decision procedure differs.</w:t>
      </w:r>
    </w:p>
    <w:p w14:paraId="39FB1E68" w14:textId="77777777" w:rsidR="008C4E6E" w:rsidRDefault="00000000">
      <w:r>
        <w:rPr>
          <w:rFonts w:cs="Calibri"/>
          <w:b/>
          <w:szCs w:val="22"/>
        </w:rPr>
        <w:t>8.6</w:t>
      </w:r>
      <w:r>
        <w:rPr>
          <w:rFonts w:cs="Calibri"/>
          <w:szCs w:val="22"/>
        </w:rPr>
        <w:t xml:space="preserve"> No trading of red lines. The architecture treats every line as untouchable in every bargain. A participant never purchases relief on its own line by pressing another participant's line, and no package under this Covenant prices one line against another.</w:t>
      </w:r>
    </w:p>
    <w:p w14:paraId="71CA5385" w14:textId="77777777" w:rsidR="008C4E6E" w:rsidRDefault="00000000">
      <w:r>
        <w:br w:type="page"/>
      </w:r>
    </w:p>
    <w:p w14:paraId="79F30A0D" w14:textId="77777777" w:rsidR="008C4E6E" w:rsidRDefault="00000000">
      <w:pPr>
        <w:pStyle w:val="Heading1"/>
      </w:pPr>
      <w:bookmarkStart w:id="18" w:name="_Toc237650574"/>
      <w:r>
        <w:rPr>
          <w:rFonts w:cs="Calibri Light"/>
          <w:szCs w:val="36"/>
        </w:rPr>
        <w:lastRenderedPageBreak/>
        <w:t>Part II: Layer One: The Micro-Exercises</w:t>
      </w:r>
      <w:bookmarkEnd w:id="18"/>
    </w:p>
    <w:p w14:paraId="7BD594EC" w14:textId="77777777" w:rsidR="008C4E6E" w:rsidRDefault="00000000">
      <w:r>
        <w:rPr>
          <w:rFonts w:cs="Calibri"/>
          <w:szCs w:val="22"/>
        </w:rPr>
        <w:t>Layer One is the negotiator's answer to the hardest moment of any settlement: the first move. A micro-exercise is small enough that no capital finds grounds to object to it, cheap enough that no treasury notices it, reversible enough that no leader fears it, and measurable enough that both sides watch it work. Layer One activates on signature, Day 0, with no precondition. It contains fifty exercises in five clusters, and it asks of the parties exactly one thing: show up, share a little data, and watch.</w:t>
      </w:r>
    </w:p>
    <w:p w14:paraId="4BBF19D8" w14:textId="77777777" w:rsidR="008C4E6E" w:rsidRDefault="00000000">
      <w:pPr>
        <w:pStyle w:val="Heading2"/>
      </w:pPr>
      <w:bookmarkStart w:id="19" w:name="_Toc237650575"/>
      <w:r>
        <w:rPr>
          <w:rFonts w:cs="Calibri Light"/>
          <w:szCs w:val="28"/>
        </w:rPr>
        <w:t>Article 9: The Micro-Exercise Method</w:t>
      </w:r>
      <w:bookmarkEnd w:id="19"/>
    </w:p>
    <w:p w14:paraId="7D4F53E6" w14:textId="77777777" w:rsidR="008C4E6E" w:rsidRDefault="00000000">
      <w:r>
        <w:rPr>
          <w:rFonts w:cs="Calibri"/>
          <w:b/>
          <w:szCs w:val="22"/>
        </w:rPr>
        <w:t>9.1</w:t>
      </w:r>
      <w:r>
        <w:rPr>
          <w:rFonts w:cs="Calibri"/>
          <w:szCs w:val="22"/>
        </w:rPr>
        <w:t xml:space="preserve"> Definition. A micro-exercise is a cooperative activity that satisfies five tests: it involves no transfer of authority; it moves no money; it creates no obligation beyond its own duration; it produces a measurable output in thirty days or less; and either participant exits it on seventy-two hours' written notice with reasons recorded. An activity that fails any test is not a micro-exercise and belongs to a later layer.</w:t>
      </w:r>
    </w:p>
    <w:p w14:paraId="675295FD" w14:textId="77777777" w:rsidR="008C4E6E" w:rsidRDefault="00000000">
      <w:r>
        <w:rPr>
          <w:rFonts w:cs="Calibri"/>
          <w:b/>
          <w:szCs w:val="22"/>
        </w:rPr>
        <w:t>9.2</w:t>
      </w:r>
      <w:r>
        <w:rPr>
          <w:rFonts w:cs="Calibri"/>
          <w:szCs w:val="22"/>
        </w:rPr>
        <w:t xml:space="preserve"> Standing rules. Every micro-exercise observes the standing rules of this Article: civilian staffing only; no live weapons within the exercise zone; no publication of the other participant's data without written consent; one named officer per side per exercise; a one-page exercise sheet filed in the Registry before start; and a one-page result sheet filed at close.</w:t>
      </w:r>
    </w:p>
    <w:p w14:paraId="6650F96D" w14:textId="77777777" w:rsidR="008C4E6E" w:rsidRDefault="00000000">
      <w:r>
        <w:rPr>
          <w:rFonts w:cs="Calibri"/>
          <w:b/>
          <w:szCs w:val="22"/>
        </w:rPr>
        <w:t>9.3</w:t>
      </w:r>
      <w:r>
        <w:rPr>
          <w:rFonts w:cs="Calibri"/>
          <w:szCs w:val="22"/>
        </w:rPr>
        <w:t xml:space="preserve"> The exercise sheet. The exercise sheet carries five fields and fits on one page: the exercise name and number; the two named officers; the zone or channel, by reference to Annex A or Annex D; the schedule; and the success metric. The Calm Waters Cell of Article 26 maintains the template. Until Layer Four activates, the two founding liaison officers at the Omani and Iranian foreign ministries perform the Cell's functions by exchange of notes.</w:t>
      </w:r>
    </w:p>
    <w:p w14:paraId="4B7DC7BA" w14:textId="77777777" w:rsidR="008C4E6E" w:rsidRDefault="00000000">
      <w:r>
        <w:rPr>
          <w:rFonts w:cs="Calibri"/>
          <w:b/>
          <w:szCs w:val="22"/>
        </w:rPr>
        <w:t>9.4</w:t>
      </w:r>
      <w:r>
        <w:rPr>
          <w:rFonts w:cs="Calibri"/>
          <w:szCs w:val="22"/>
        </w:rPr>
        <w:t xml:space="preserve"> The result sheet. The result sheet carries four fields: the metric achieved; the incidents observed, if any; the recommendation to continue, modify, or close; and the signatures of both named officers. Result sheets publish in the Registry within seven days of exercise close. The Registry, not any capital's communiqué, tells the world what worked.</w:t>
      </w:r>
    </w:p>
    <w:p w14:paraId="33641173" w14:textId="77777777" w:rsidR="008C4E6E" w:rsidRDefault="00000000">
      <w:r>
        <w:rPr>
          <w:rFonts w:cs="Calibri"/>
          <w:b/>
          <w:szCs w:val="22"/>
        </w:rPr>
        <w:t>9.5</w:t>
      </w:r>
      <w:r>
        <w:rPr>
          <w:rFonts w:cs="Calibri"/>
          <w:szCs w:val="22"/>
        </w:rPr>
        <w:t xml:space="preserve"> Staffing. Each participant assigns up to twelve exercise officers to Layer One, drawn from coast guard, hydrographic, meteorological, and port authority rosters. Exercise officers wear no uniform insignia of rank during joint activity and carry the identity card format of Annex D.</w:t>
      </w:r>
    </w:p>
    <w:p w14:paraId="20FE2B51" w14:textId="77777777" w:rsidR="008C4E6E" w:rsidRDefault="00000000">
      <w:r>
        <w:rPr>
          <w:rFonts w:cs="Calibri"/>
          <w:b/>
          <w:szCs w:val="22"/>
        </w:rPr>
        <w:t>9.6</w:t>
      </w:r>
      <w:r>
        <w:rPr>
          <w:rFonts w:cs="Calibri"/>
          <w:szCs w:val="22"/>
        </w:rPr>
        <w:t xml:space="preserve"> The standard exit. A participant pauses any micro-exercise on seventy-two hours' written notice with reasons recorded. The pause enters the Registry, the partner acknowledges within twenty-four hours, and the exercise officers stand down without ceremony. A paused exercise resumes on joint notice. Three completed exercises of the same cluster outrank one paused exercise in every gate calculation.</w:t>
      </w:r>
    </w:p>
    <w:p w14:paraId="51D0814A" w14:textId="77777777" w:rsidR="008C4E6E" w:rsidRDefault="00000000">
      <w:pPr>
        <w:pStyle w:val="Heading2"/>
      </w:pPr>
      <w:bookmarkStart w:id="20" w:name="_Toc237650576"/>
      <w:r>
        <w:rPr>
          <w:rFonts w:cs="Calibri Light"/>
          <w:szCs w:val="28"/>
        </w:rPr>
        <w:lastRenderedPageBreak/>
        <w:t>Article 10: Cluster A: Visibility and Predictability (Exercises A-1 to A-10)</w:t>
      </w:r>
      <w:bookmarkEnd w:id="20"/>
    </w:p>
    <w:p w14:paraId="46FCDCEF" w14:textId="77777777" w:rsidR="008C4E6E" w:rsidRDefault="00000000">
      <w:r>
        <w:rPr>
          <w:rFonts w:cs="Calibri"/>
          <w:szCs w:val="22"/>
        </w:rPr>
        <w:t>Cluster A builds shared situational awareness without touching routing, enforcement, or money. Each exercise exchanges environmental or traffic data that both sides already possess separately. The zone references stand at Annex A; the channel references stand at Annex D.</w:t>
      </w:r>
    </w:p>
    <w:p w14:paraId="6DB489A0" w14:textId="77777777" w:rsidR="008C4E6E" w:rsidRDefault="00000000">
      <w:r>
        <w:rPr>
          <w:rFonts w:cs="Calibri"/>
          <w:b/>
          <w:szCs w:val="22"/>
        </w:rPr>
        <w:t>A-1 AIS snapshot swap.</w:t>
      </w:r>
      <w:r>
        <w:rPr>
          <w:rFonts w:cs="Calibri"/>
          <w:szCs w:val="22"/>
        </w:rPr>
        <w:t xml:space="preserve"> The two hydrographic offices exchange automatic identification system snapshots for ten commercial vessels per day in the eastern approaches, selected by vessel number ending digit, rotating daily. Procedure: each office transmits the snapshot file at 06:00; the partner confirms receipt by 07:00; discrepancies log in the shared format. Duration: thirty days. Success metric: twenty-six of thirty daily exchanges completed with matching vessel counts. Annex A, Zone E-1 applies.</w:t>
      </w:r>
    </w:p>
    <w:p w14:paraId="42109FEF" w14:textId="77777777" w:rsidR="008C4E6E" w:rsidRDefault="00000000">
      <w:r>
        <w:rPr>
          <w:rFonts w:cs="Calibri"/>
          <w:b/>
          <w:szCs w:val="22"/>
        </w:rPr>
        <w:t>A-2 Visibility-only feed.</w:t>
      </w:r>
      <w:r>
        <w:rPr>
          <w:rFonts w:cs="Calibri"/>
          <w:szCs w:val="22"/>
        </w:rPr>
        <w:t xml:space="preserve"> The Bandar Abbas and Muscat meteorological offices exchange hourly fog and visibility observations for the sector between Larak Island and the Musandam Peninsula. Procedure: observation transmits on the hour; the receiving office plots it on the shared visibility chart; the chart resets at midnight. Duration: thirty days, then standing. Success metric: hourly feed continuity at ninety percent or better over the final week.</w:t>
      </w:r>
    </w:p>
    <w:p w14:paraId="12D46161" w14:textId="77777777" w:rsidR="008C4E6E" w:rsidRDefault="00000000">
      <w:r>
        <w:rPr>
          <w:rFonts w:cs="Calibri"/>
          <w:b/>
          <w:szCs w:val="22"/>
        </w:rPr>
        <w:t>A-3 Micro weather exchange.</w:t>
      </w:r>
      <w:r>
        <w:rPr>
          <w:rFonts w:cs="Calibri"/>
          <w:szCs w:val="22"/>
        </w:rPr>
        <w:t xml:space="preserve"> The two offices exchange hourly wind speed, wind direction, and sea state for Zone E-1. The exchange runs on the standing email channel of Annex D with a fixed subject line. Duration: thirty days. Success metric: both offices issue an identical one-line sea state summary on twenty or more days.</w:t>
      </w:r>
    </w:p>
    <w:p w14:paraId="78A879A3" w14:textId="77777777" w:rsidR="008C4E6E" w:rsidRDefault="00000000">
      <w:r>
        <w:rPr>
          <w:rFonts w:cs="Calibri"/>
          <w:b/>
          <w:szCs w:val="22"/>
        </w:rPr>
        <w:t>A-4 Shared tide table.</w:t>
      </w:r>
      <w:r>
        <w:rPr>
          <w:rFonts w:cs="Calibri"/>
          <w:szCs w:val="22"/>
        </w:rPr>
        <w:t xml:space="preserve"> The two hydrographic offices reconcile their tide predictions for the reference station at 26 degrees 34 minutes North, 056 degrees 30 minutes East, and publish a joint seven-day tide table each Thursday. Success metric: prediction variance within ten centimeters on every published day.</w:t>
      </w:r>
    </w:p>
    <w:p w14:paraId="724F5347" w14:textId="77777777" w:rsidR="008C4E6E" w:rsidRDefault="00000000">
      <w:r>
        <w:rPr>
          <w:rFonts w:cs="Calibri"/>
          <w:b/>
          <w:szCs w:val="22"/>
        </w:rPr>
        <w:t>A-5 Swell-risk micro-map.</w:t>
      </w:r>
      <w:r>
        <w:rPr>
          <w:rFonts w:cs="Calibri"/>
          <w:szCs w:val="22"/>
        </w:rPr>
        <w:t xml:space="preserve"> The offices jointly map swell hazard for the inbound lane segment between waypoints N-3 and N-5, using historical buoy data and current observations, and issue one joint swell chart. Duration: twenty-one days. Success metric: one chart signed by both offices, with swell threshold values agreed in writing.</w:t>
      </w:r>
    </w:p>
    <w:p w14:paraId="683ACEBD" w14:textId="77777777" w:rsidR="008C4E6E" w:rsidRDefault="00000000">
      <w:r>
        <w:rPr>
          <w:rFonts w:cs="Calibri"/>
          <w:b/>
          <w:szCs w:val="22"/>
        </w:rPr>
        <w:t>A-6 Shared hazard bulletin.</w:t>
      </w:r>
      <w:r>
        <w:rPr>
          <w:rFonts w:cs="Calibri"/>
          <w:szCs w:val="22"/>
        </w:rPr>
        <w:t xml:space="preserve"> Each side transmits one daily hazard summary covering floating debris, unlit buoys, and chart discrepancies in its own waters, by 18:00, in the format of Annex D. Duration: thirty days. Success metric: fifty or more of the sixty possible bulletins transmitted, and every reported hazard plotted on the partner's chart within one day.</w:t>
      </w:r>
    </w:p>
    <w:p w14:paraId="331A23EB" w14:textId="77777777" w:rsidR="008C4E6E" w:rsidRDefault="00000000">
      <w:r>
        <w:rPr>
          <w:rFonts w:cs="Calibri"/>
          <w:b/>
          <w:szCs w:val="22"/>
        </w:rPr>
        <w:t>A-7 Shared storm threshold.</w:t>
      </w:r>
      <w:r>
        <w:rPr>
          <w:rFonts w:cs="Calibri"/>
          <w:szCs w:val="22"/>
        </w:rPr>
        <w:t xml:space="preserve"> The meteorological offices agree in writing the wind and sea state values that trigger small-craft advisories, then issue simultaneous advisories on one agreed trigger during the exercise window. Success metric: one signed threshold memorandum and one simultaneous advisory issued within the same hour.</w:t>
      </w:r>
    </w:p>
    <w:p w14:paraId="0CE0C07F" w14:textId="77777777" w:rsidR="008C4E6E" w:rsidRDefault="00000000">
      <w:r>
        <w:rPr>
          <w:rFonts w:cs="Calibri"/>
          <w:b/>
          <w:szCs w:val="22"/>
        </w:rPr>
        <w:t>A-8 Micro-meteorology desk.</w:t>
      </w:r>
      <w:r>
        <w:rPr>
          <w:rFonts w:cs="Calibri"/>
          <w:szCs w:val="22"/>
        </w:rPr>
        <w:t xml:space="preserve"> Two officers, one from each side, work a shared desk by video link for two hours each working day, harmonizing the next day's forecast wording for Zone E-1. Duration: twenty </w:t>
      </w:r>
      <w:r>
        <w:rPr>
          <w:rFonts w:cs="Calibri"/>
          <w:szCs w:val="22"/>
        </w:rPr>
        <w:lastRenderedPageBreak/>
        <w:t>working days. Success metric: fifteen or more harmonized forecasts issued, with wording variance under twenty words.</w:t>
      </w:r>
    </w:p>
    <w:p w14:paraId="25457E9D" w14:textId="77777777" w:rsidR="008C4E6E" w:rsidRDefault="00000000">
      <w:r>
        <w:rPr>
          <w:rFonts w:cs="Calibri"/>
          <w:b/>
          <w:szCs w:val="22"/>
        </w:rPr>
        <w:t>A-9 Joint hazard symbols.</w:t>
      </w:r>
      <w:r>
        <w:rPr>
          <w:rFonts w:cs="Calibri"/>
          <w:szCs w:val="22"/>
        </w:rPr>
        <w:t xml:space="preserve"> The two hydrographic offices adopt one common symbol set for hazard warnings to mariners in the Governance Area, drawn from International Hydrographic Organization standards, and each re-issues one notice to mariners using the common set. Success metric: the symbol register signed by both offices and two notices re-issued.</w:t>
      </w:r>
    </w:p>
    <w:p w14:paraId="76170288" w14:textId="77777777" w:rsidR="008C4E6E" w:rsidRDefault="00000000">
      <w:r>
        <w:rPr>
          <w:rFonts w:cs="Calibri"/>
          <w:b/>
          <w:szCs w:val="22"/>
        </w:rPr>
        <w:t>A-10 Micro-traffic forecast.</w:t>
      </w:r>
      <w:r>
        <w:rPr>
          <w:rFonts w:cs="Calibri"/>
          <w:szCs w:val="22"/>
        </w:rPr>
        <w:t xml:space="preserve"> The two offices jointly predict inbound and outbound vessel counts for Corridor One for the coming week, each Friday, using the AIS snapshot data of Exercise A-1. Duration: four weekly forecasts. Success metric: forecast error within fifteen percent on three of four weeks.</w:t>
      </w:r>
    </w:p>
    <w:p w14:paraId="6BC90FC4" w14:textId="77777777" w:rsidR="008C4E6E" w:rsidRDefault="00000000">
      <w:pPr>
        <w:pStyle w:val="Heading2"/>
      </w:pPr>
      <w:bookmarkStart w:id="21" w:name="_Toc237650577"/>
      <w:r>
        <w:rPr>
          <w:rFonts w:cs="Calibri Light"/>
          <w:szCs w:val="28"/>
        </w:rPr>
        <w:t>Article 11: Cluster B: Micro-Routing and Movement Safety (Exercises B-1 to B-10)</w:t>
      </w:r>
      <w:bookmarkEnd w:id="21"/>
    </w:p>
    <w:p w14:paraId="1B6ED5DB" w14:textId="77777777" w:rsidR="008C4E6E" w:rsidRDefault="00000000">
      <w:r>
        <w:rPr>
          <w:rFonts w:cs="Calibri"/>
          <w:szCs w:val="22"/>
        </w:rPr>
        <w:t>Cluster B touches vessel movement patterns for the first time, in advisory form only. Nothing in this cluster directs any vessel; everything is recommendation, window, or test. Each exercise remains inside the non-interdiction line of the Declaration.</w:t>
      </w:r>
    </w:p>
    <w:p w14:paraId="060EEB95" w14:textId="77777777" w:rsidR="008C4E6E" w:rsidRDefault="00000000">
      <w:r>
        <w:rPr>
          <w:rFonts w:cs="Calibri"/>
          <w:b/>
          <w:szCs w:val="22"/>
        </w:rPr>
        <w:t>B-1 Single-corridor stability test.</w:t>
      </w:r>
      <w:r>
        <w:rPr>
          <w:rFonts w:cs="Calibri"/>
          <w:szCs w:val="22"/>
        </w:rPr>
        <w:t xml:space="preserve"> Both sides jointly acknowledge one inbound corridor segment, between waypoints N-4 and N-6 of Annex A, as the pilot stability segment, for a six-hour daily window, 06:00 to 12:00. During the window, each side's vessel traffic service issues identical advisory speed guidance of ten to twelve knots. Duration: twenty-one days. Success metric: incident-free windows on nineteen of twenty-one days, with advisory compliance logged from AIS data.</w:t>
      </w:r>
    </w:p>
    <w:p w14:paraId="05706F60" w14:textId="77777777" w:rsidR="008C4E6E" w:rsidRDefault="00000000">
      <w:r>
        <w:rPr>
          <w:rFonts w:cs="Calibri"/>
          <w:b/>
          <w:szCs w:val="22"/>
        </w:rPr>
        <w:t>B-2 Outbound corridor test.</w:t>
      </w:r>
      <w:r>
        <w:rPr>
          <w:rFonts w:cs="Calibri"/>
          <w:szCs w:val="22"/>
        </w:rPr>
        <w:t xml:space="preserve"> The mirror exercise in the outbound lane, segment S-2 to S-4, same window, same guidance. Duration: twenty-one days, starting seven days after Exercise B-1. Success metric: identical to B-1. The two tests together supply the gate evidence for Layer Two routing protocols.</w:t>
      </w:r>
    </w:p>
    <w:p w14:paraId="456D6AD9" w14:textId="77777777" w:rsidR="008C4E6E" w:rsidRDefault="00000000">
      <w:r>
        <w:rPr>
          <w:rFonts w:cs="Calibri"/>
          <w:b/>
          <w:szCs w:val="22"/>
        </w:rPr>
        <w:t>B-3 Temporary slow-zone.</w:t>
      </w:r>
      <w:r>
        <w:rPr>
          <w:rFonts w:cs="Calibri"/>
          <w:szCs w:val="22"/>
        </w:rPr>
        <w:t xml:space="preserve"> During one forecast period of reduced visibility, both sides advise a temporary twelve-knot maximum for the segment between waypoints C-2 and C-3, for up to six hours. Duration: one event. Success metric: advisory issued simultaneously by both centers, observed compliance above seventy percent, and zero close-quarters reports in the segment during the event.</w:t>
      </w:r>
    </w:p>
    <w:p w14:paraId="11A8F0C9" w14:textId="77777777" w:rsidR="008C4E6E" w:rsidRDefault="00000000">
      <w:r>
        <w:rPr>
          <w:rFonts w:cs="Calibri"/>
          <w:b/>
          <w:szCs w:val="22"/>
        </w:rPr>
        <w:t>B-4 Micro-anchorage zone.</w:t>
      </w:r>
      <w:r>
        <w:rPr>
          <w:rFonts w:cs="Calibri"/>
          <w:szCs w:val="22"/>
        </w:rPr>
        <w:t xml:space="preserve"> Both sides acknowledge Anchorage A-East-Out of Annex A as the shared waiting area for outbound vessels awaiting daylight windows, and each publishes the acknowledgment in its notices to mariners. Duration: standing after one joint notice. Success metric: anchorage usage logged by both sides for fourteen days with matching counts.</w:t>
      </w:r>
    </w:p>
    <w:p w14:paraId="1929FC5B" w14:textId="77777777" w:rsidR="008C4E6E" w:rsidRDefault="00000000">
      <w:r>
        <w:rPr>
          <w:rFonts w:cs="Calibri"/>
          <w:b/>
          <w:szCs w:val="22"/>
        </w:rPr>
        <w:t>B-5 Micro-anchoring advisory.</w:t>
      </w:r>
      <w:r>
        <w:rPr>
          <w:rFonts w:cs="Calibri"/>
          <w:szCs w:val="22"/>
        </w:rPr>
        <w:t xml:space="preserve"> The two vessel traffic services issue a joint one-page advisory on anchoring practice at A-East-Out: approach speed, anchor watch, and separation distance of one nautical mile. Success metric: advisory published in three languages, and zero dragging incidents logged in fourteen days of use.</w:t>
      </w:r>
    </w:p>
    <w:p w14:paraId="7AC2DE69" w14:textId="77777777" w:rsidR="008C4E6E" w:rsidRDefault="00000000">
      <w:r>
        <w:rPr>
          <w:rFonts w:cs="Calibri"/>
          <w:b/>
          <w:szCs w:val="22"/>
        </w:rPr>
        <w:lastRenderedPageBreak/>
        <w:t>B-6 Micro-navigation cues.</w:t>
      </w:r>
      <w:r>
        <w:rPr>
          <w:rFonts w:cs="Calibri"/>
          <w:szCs w:val="22"/>
        </w:rPr>
        <w:t xml:space="preserve"> The two aids-to-navigation authorities harmonize the light characteristics of the four principal marks at the eastern entrance, adopting the rhythm table of Annex A. Duration: forty-five days for physical adjustment. Success metric: all four marks verified on station and in rhythm by one joint inspection vessel visit, logged with photographs.</w:t>
      </w:r>
    </w:p>
    <w:p w14:paraId="20DB5A8E" w14:textId="77777777" w:rsidR="008C4E6E" w:rsidRDefault="00000000">
      <w:r>
        <w:rPr>
          <w:rFonts w:cs="Calibri"/>
          <w:b/>
          <w:szCs w:val="22"/>
        </w:rPr>
        <w:t>B-7 Joint calm-sea window.</w:t>
      </w:r>
      <w:r>
        <w:rPr>
          <w:rFonts w:cs="Calibri"/>
          <w:szCs w:val="22"/>
        </w:rPr>
        <w:t xml:space="preserve"> The meteorological desk of Exercise A-8 identifies the daily two-hour calmest window for the eastern entrance and both centers publish it with the hazard bulletin. Duration: twenty-one days. Success metric: window published on nineteen days, and voluntary use of the window by at least five vessels per week logged from AIS.</w:t>
      </w:r>
    </w:p>
    <w:p w14:paraId="1A2DCF88" w14:textId="77777777" w:rsidR="008C4E6E" w:rsidRDefault="00000000">
      <w:r>
        <w:rPr>
          <w:rFonts w:cs="Calibri"/>
          <w:b/>
          <w:szCs w:val="22"/>
        </w:rPr>
        <w:t>B-8 Harbor-exit timing.</w:t>
      </w:r>
      <w:r>
        <w:rPr>
          <w:rFonts w:cs="Calibri"/>
          <w:szCs w:val="22"/>
        </w:rPr>
        <w:t xml:space="preserve"> The port authorities of Bandar Abbas and Khasab align one thirty-minute departure window per day for local traffic crossing the eastern approach sector, announced the previous evening. Duration: fourteen days. Success metric: aligned windows on twelve days, with zero crossing-situation reports in the sector during the windows.</w:t>
      </w:r>
    </w:p>
    <w:p w14:paraId="6A7F54FE" w14:textId="77777777" w:rsidR="008C4E6E" w:rsidRDefault="00000000">
      <w:r>
        <w:rPr>
          <w:rFonts w:cs="Calibri"/>
          <w:b/>
          <w:szCs w:val="22"/>
        </w:rPr>
        <w:t>B-9 Pilot-boat coordination.</w:t>
      </w:r>
      <w:r>
        <w:rPr>
          <w:rFonts w:cs="Calibri"/>
          <w:szCs w:val="22"/>
        </w:rPr>
        <w:t xml:space="preserve"> The pilot stations at Bandar Abbas and Musandam align pilot-boat schedules for two hours daily and exchange the next day's pilotage demand estimate each evening. Duration: fourteen days. Success metric: average pilot waiting time under forty-five minutes in the second week, logged by both stations.</w:t>
      </w:r>
    </w:p>
    <w:p w14:paraId="31EC8424" w14:textId="77777777" w:rsidR="008C4E6E" w:rsidRDefault="00000000">
      <w:r>
        <w:rPr>
          <w:rFonts w:cs="Calibri"/>
          <w:b/>
          <w:szCs w:val="22"/>
        </w:rPr>
        <w:t>B-10 Harbor-pilot rotation.</w:t>
      </w:r>
      <w:r>
        <w:rPr>
          <w:rFonts w:cs="Calibri"/>
          <w:szCs w:val="22"/>
        </w:rPr>
        <w:t xml:space="preserve"> The two pilotage authorities exchange the weekly availability roster of licensed pilots for the eastern approach ports and align one coverage window per day. Duration: two roster cycles. Success metric: rosters exchanged on time, and no vessel delayed for want of a pilot during the aligned windows.</w:t>
      </w:r>
    </w:p>
    <w:p w14:paraId="59963A2F" w14:textId="77777777" w:rsidR="008C4E6E" w:rsidRDefault="00000000">
      <w:r>
        <w:br w:type="page"/>
      </w:r>
    </w:p>
    <w:p w14:paraId="7343067F" w14:textId="77777777" w:rsidR="008C4E6E" w:rsidRDefault="00000000">
      <w:pPr>
        <w:pStyle w:val="Heading2"/>
      </w:pPr>
      <w:bookmarkStart w:id="22" w:name="_Toc237650578"/>
      <w:r>
        <w:rPr>
          <w:rFonts w:cs="Calibri Light"/>
          <w:szCs w:val="28"/>
        </w:rPr>
        <w:lastRenderedPageBreak/>
        <w:t>Article 12: Cluster C: Micro-Alerts and Incident Reduction (Exercises C-1 to C-10)</w:t>
      </w:r>
      <w:bookmarkEnd w:id="22"/>
    </w:p>
    <w:p w14:paraId="6D5D25C7" w14:textId="77777777" w:rsidR="008C4E6E" w:rsidRDefault="00000000">
      <w:r>
        <w:rPr>
          <w:rFonts w:cs="Calibri"/>
          <w:szCs w:val="22"/>
        </w:rPr>
        <w:t>Cluster C builds the notification habits that prevent misinterpretation. A stopped ship, a drifting anchor, a dark AIS screen: each of these reads as a threat in a tense strait and reads as a mishap in a calm one. This cluster makes mishaps legible.</w:t>
      </w:r>
    </w:p>
    <w:p w14:paraId="297F3603" w14:textId="77777777" w:rsidR="008C4E6E" w:rsidRDefault="00000000">
      <w:r>
        <w:rPr>
          <w:rFonts w:cs="Calibri"/>
          <w:b/>
          <w:szCs w:val="22"/>
        </w:rPr>
        <w:t>C-1 Dual-ping incident alerts.</w:t>
      </w:r>
      <w:r>
        <w:rPr>
          <w:rFonts w:cs="Calibri"/>
          <w:szCs w:val="22"/>
        </w:rPr>
        <w:t xml:space="preserve"> Each side sends a two-ping alert to the other for any mechanical failure or near-miss involving a commercial vessel in the Governance Area: ping one on occurrence, ping two on resolution, in the format of Annex D. Duration: thirty days. Success metric: one hundred percent of qualifying events pinged within fifteen minutes, verified against each side's own logs.</w:t>
      </w:r>
    </w:p>
    <w:p w14:paraId="1047C82A" w14:textId="77777777" w:rsidR="008C4E6E" w:rsidRDefault="00000000">
      <w:r>
        <w:rPr>
          <w:rFonts w:cs="Calibri"/>
          <w:b/>
          <w:szCs w:val="22"/>
        </w:rPr>
        <w:t>C-2 Mechanical-failure registry.</w:t>
      </w:r>
      <w:r>
        <w:rPr>
          <w:rFonts w:cs="Calibri"/>
          <w:szCs w:val="22"/>
        </w:rPr>
        <w:t xml:space="preserve"> Both sides maintain a shared list of non-security breakdowns in the Governance Area: vessel, nature, position, tow status. Entries carry no attribution and no flag commentary. Duration: standing. Success metric: registry live with all qualifying entries within one hour of each event for thirty consecutive days.</w:t>
      </w:r>
    </w:p>
    <w:p w14:paraId="2CD6BA24" w14:textId="77777777" w:rsidR="008C4E6E" w:rsidRDefault="00000000">
      <w:r>
        <w:rPr>
          <w:rFonts w:cs="Calibri"/>
          <w:b/>
          <w:szCs w:val="22"/>
        </w:rPr>
        <w:t>C-3 Engine-restart alerts.</w:t>
      </w:r>
      <w:r>
        <w:rPr>
          <w:rFonts w:cs="Calibri"/>
          <w:szCs w:val="22"/>
        </w:rPr>
        <w:t xml:space="preserve"> A vessel traffic service that observes a disabled vessel restart its engines notifies the partner service within ten minutes, with position and course. Duration: thirty days. Success metric: all observed restarts notified, cross-checked against the mechanical-failure registry.</w:t>
      </w:r>
    </w:p>
    <w:p w14:paraId="44AFCA79" w14:textId="77777777" w:rsidR="008C4E6E" w:rsidRDefault="00000000">
      <w:r>
        <w:rPr>
          <w:rFonts w:cs="Calibri"/>
          <w:b/>
          <w:szCs w:val="22"/>
        </w:rPr>
        <w:t>C-4 Anchor-drift alerts.</w:t>
      </w:r>
      <w:r>
        <w:rPr>
          <w:rFonts w:cs="Calibri"/>
          <w:szCs w:val="22"/>
        </w:rPr>
        <w:t xml:space="preserve"> Each side alerts the other when an anchored vessel in the shared anchorages drags anchor or drifts beyond half a nautical mile. Duration: thirty days. Success metric: one hundred percent of observed drift events alerted within ten minutes.</w:t>
      </w:r>
    </w:p>
    <w:p w14:paraId="26F7642B" w14:textId="77777777" w:rsidR="008C4E6E" w:rsidRDefault="00000000">
      <w:r>
        <w:rPr>
          <w:rFonts w:cs="Calibri"/>
          <w:b/>
          <w:szCs w:val="22"/>
        </w:rPr>
        <w:t>C-5 Fuel-leak notifications.</w:t>
      </w:r>
      <w:r>
        <w:rPr>
          <w:rFonts w:cs="Calibri"/>
          <w:szCs w:val="22"/>
        </w:rPr>
        <w:t xml:space="preserve"> Each side notifies the other of any non-security fuel leak or sheen sighting in the Governance Area, with position and estimated extent, within thirty minutes. Duration: standing. Success metric: all sightings notified, and one joint response map updated during the first month.</w:t>
      </w:r>
    </w:p>
    <w:p w14:paraId="7BCA81C9" w14:textId="77777777" w:rsidR="008C4E6E" w:rsidRDefault="00000000">
      <w:r>
        <w:rPr>
          <w:rFonts w:cs="Calibri"/>
          <w:b/>
          <w:szCs w:val="22"/>
        </w:rPr>
        <w:t>C-6 Micro-hazmat alert.</w:t>
      </w:r>
      <w:r>
        <w:rPr>
          <w:rFonts w:cs="Calibri"/>
          <w:szCs w:val="22"/>
        </w:rPr>
        <w:t xml:space="preserve"> Each side notifies the other of any non-security hazardous material release or container loss in the Governance Area within thirty minutes, in the format of Annex D. Duration: standing. Success metric: all events notified; one joint review of notification formats completed in thirty days.</w:t>
      </w:r>
    </w:p>
    <w:p w14:paraId="22E1F6C1" w14:textId="77777777" w:rsidR="008C4E6E" w:rsidRDefault="00000000">
      <w:r>
        <w:rPr>
          <w:rFonts w:cs="Calibri"/>
          <w:b/>
          <w:szCs w:val="22"/>
        </w:rPr>
        <w:t>C-7 Joint debris-alert.</w:t>
      </w:r>
      <w:r>
        <w:rPr>
          <w:rFonts w:cs="Calibri"/>
          <w:szCs w:val="22"/>
        </w:rPr>
        <w:t xml:space="preserve"> Each side reports floating debris sightings in the corridor segments to the daily shared hazard bulletin of Exercise A-6, and the bulletin carries a debris section. Duration: thirty days. Success metric: debris section populated on ninety percent of bulletins.</w:t>
      </w:r>
    </w:p>
    <w:p w14:paraId="51C411F8" w14:textId="77777777" w:rsidR="008C4E6E" w:rsidRDefault="00000000">
      <w:r>
        <w:rPr>
          <w:rFonts w:cs="Calibri"/>
          <w:b/>
          <w:szCs w:val="22"/>
        </w:rPr>
        <w:t>C-8 Micro-AIS blackout log.</w:t>
      </w:r>
      <w:r>
        <w:rPr>
          <w:rFonts w:cs="Calibri"/>
          <w:szCs w:val="22"/>
        </w:rPr>
        <w:t xml:space="preserve"> Each side logs automatic identification system outages exceeding one hour among vessels in its sector, without attribution commentary, and shares the log weekly. Duration: four weekly cycles. Success metric: four logs exchanged on schedule, and a joint summary of outage patterns issued at close.</w:t>
      </w:r>
    </w:p>
    <w:p w14:paraId="69F23859" w14:textId="77777777" w:rsidR="008C4E6E" w:rsidRDefault="00000000">
      <w:r>
        <w:rPr>
          <w:rFonts w:cs="Calibri"/>
          <w:b/>
          <w:szCs w:val="22"/>
        </w:rPr>
        <w:t>C-9 Small-craft advisory.</w:t>
      </w:r>
      <w:r>
        <w:rPr>
          <w:rFonts w:cs="Calibri"/>
          <w:szCs w:val="22"/>
        </w:rPr>
        <w:t xml:space="preserve"> Both sides issue simultaneous advisories to fishing and local craft when large-vessel density in the eastern entrance exceeds ten movements per hour, using the agreed small-craft </w:t>
      </w:r>
      <w:r>
        <w:rPr>
          <w:rFonts w:cs="Calibri"/>
          <w:szCs w:val="22"/>
        </w:rPr>
        <w:lastRenderedPageBreak/>
        <w:t>channel of Annex D. Duration: twenty-one days. Success metric: simultaneous issuance within the same fifteen minutes on every qualifying occasion.</w:t>
      </w:r>
    </w:p>
    <w:p w14:paraId="0C68A5B2" w14:textId="77777777" w:rsidR="008C4E6E" w:rsidRDefault="00000000">
      <w:r>
        <w:rPr>
          <w:rFonts w:cs="Calibri"/>
          <w:b/>
          <w:szCs w:val="22"/>
        </w:rPr>
        <w:t>C-10 Fishing-net drift map.</w:t>
      </w:r>
      <w:r>
        <w:rPr>
          <w:rFonts w:cs="Calibri"/>
          <w:szCs w:val="22"/>
        </w:rPr>
        <w:t xml:space="preserve"> The two coast guards jointly map reported drifting nets and longlines in the eastern approaches each week, and each marks the map on its small-craft charts. Duration: four weekly cycles. Success metric: four joint maps produced, with position variance under half a nautical mile.</w:t>
      </w:r>
    </w:p>
    <w:p w14:paraId="25A95EB4" w14:textId="77777777" w:rsidR="008C4E6E" w:rsidRDefault="00000000">
      <w:pPr>
        <w:pStyle w:val="Heading2"/>
      </w:pPr>
      <w:bookmarkStart w:id="23" w:name="_Toc237650579"/>
      <w:r>
        <w:rPr>
          <w:rFonts w:cs="Calibri Light"/>
          <w:szCs w:val="28"/>
        </w:rPr>
        <w:t>Article 13: Cluster D: Micro-Response and Repair Coordination (Exercises D-1 to D-10)</w:t>
      </w:r>
      <w:bookmarkEnd w:id="23"/>
    </w:p>
    <w:p w14:paraId="6DA2EC57" w14:textId="77777777" w:rsidR="008C4E6E" w:rsidRDefault="00000000">
      <w:r>
        <w:rPr>
          <w:rFonts w:cs="Calibri"/>
          <w:szCs w:val="22"/>
        </w:rPr>
        <w:t>Cluster D builds muscle memory for helping each other, starting with lists and ending with one short joint drill. Every activity stays civilian, published, and free of charge.</w:t>
      </w:r>
    </w:p>
    <w:p w14:paraId="1E51B45A" w14:textId="77777777" w:rsidR="008C4E6E" w:rsidRDefault="00000000">
      <w:r>
        <w:rPr>
          <w:rFonts w:cs="Calibri"/>
          <w:b/>
          <w:szCs w:val="22"/>
        </w:rPr>
        <w:t>D-1 Emergency-tow readiness.</w:t>
      </w:r>
      <w:r>
        <w:rPr>
          <w:rFonts w:cs="Calibri"/>
          <w:szCs w:val="22"/>
        </w:rPr>
        <w:t xml:space="preserve"> Each side files a list of its tow-capable vessels for the Governance Area, with bollard pull figures and readiness states, updated weekly. Duration: standing. Success metric: four consecutive weekly updates from both sides, with verified accuracy on one spot check per side.</w:t>
      </w:r>
    </w:p>
    <w:p w14:paraId="3F80A627" w14:textId="77777777" w:rsidR="008C4E6E" w:rsidRDefault="00000000">
      <w:r>
        <w:rPr>
          <w:rFonts w:cs="Calibri"/>
          <w:b/>
          <w:szCs w:val="22"/>
        </w:rPr>
        <w:t>D-2 Shared tug-dispatch.</w:t>
      </w:r>
      <w:r>
        <w:rPr>
          <w:rFonts w:cs="Calibri"/>
          <w:szCs w:val="22"/>
        </w:rPr>
        <w:t xml:space="preserve"> For any commercial vessel requesting tow assistance in the eastern approaches, the nearer side dispatches first and informs the other within fifteen minutes. Duration: thirty days. Success metric: every dispatch notified on time, and average response time under two hours for the month.</w:t>
      </w:r>
    </w:p>
    <w:p w14:paraId="45730E9E" w14:textId="77777777" w:rsidR="008C4E6E" w:rsidRDefault="00000000">
      <w:r>
        <w:rPr>
          <w:rFonts w:cs="Calibri"/>
          <w:b/>
          <w:szCs w:val="22"/>
        </w:rPr>
        <w:t>D-3 Micro-SAR coordination.</w:t>
      </w:r>
      <w:r>
        <w:rPr>
          <w:rFonts w:cs="Calibri"/>
          <w:szCs w:val="22"/>
        </w:rPr>
        <w:t xml:space="preserve"> The two rescue coordination centers exchange search and rescue readiness status each morning: available craft, aircraft, and medical facilities. Duration: thirty days. Success metric: exchange completed on twenty-six or more days, and one joint contact-tree test call per week answered within sixty seconds.</w:t>
      </w:r>
    </w:p>
    <w:p w14:paraId="6A04A52D" w14:textId="77777777" w:rsidR="008C4E6E" w:rsidRDefault="00000000">
      <w:r>
        <w:rPr>
          <w:rFonts w:cs="Calibri"/>
          <w:b/>
          <w:szCs w:val="22"/>
        </w:rPr>
        <w:t>D-4 Micro-SAR drill.</w:t>
      </w:r>
      <w:r>
        <w:rPr>
          <w:rFonts w:cs="Calibri"/>
          <w:szCs w:val="22"/>
        </w:rPr>
        <w:t xml:space="preserve"> The two rescue centers conduct one fifteen-minute tabletop drill: a simulated person-in-the-water report at 26 degrees 30 minutes North, 056 degrees 40 minutes East, with both centers logging their response steps on the shared template. Duration: one drill. Success metric: drill completed, both logs filed, and one joint lessons note signed.</w:t>
      </w:r>
    </w:p>
    <w:p w14:paraId="4F41B11F" w14:textId="77777777" w:rsidR="008C4E6E" w:rsidRDefault="00000000">
      <w:r>
        <w:rPr>
          <w:rFonts w:cs="Calibri"/>
          <w:b/>
          <w:szCs w:val="22"/>
        </w:rPr>
        <w:t>D-5 Shared repair-ship list.</w:t>
      </w:r>
      <w:r>
        <w:rPr>
          <w:rFonts w:cs="Calibri"/>
          <w:szCs w:val="22"/>
        </w:rPr>
        <w:t xml:space="preserve"> Each side files a list of repair-capable vessels and workshops able to attend a disabled commercial vessel in the eastern approaches, with contact points. Duration: standing, updated monthly. Success metric: initial lists filed within fourteen days of Day 0, and accuracy verified on one joint call-around.</w:t>
      </w:r>
    </w:p>
    <w:p w14:paraId="2634E32E" w14:textId="77777777" w:rsidR="008C4E6E" w:rsidRDefault="00000000">
      <w:r>
        <w:rPr>
          <w:rFonts w:cs="Calibri"/>
          <w:b/>
          <w:szCs w:val="22"/>
        </w:rPr>
        <w:t>D-6 Shared repair-crew roster.</w:t>
      </w:r>
      <w:r>
        <w:rPr>
          <w:rFonts w:cs="Calibri"/>
          <w:szCs w:val="22"/>
        </w:rPr>
        <w:t xml:space="preserve"> The two port authorities exchange weekly availability of diving, welding, and engine repair teams for vessels in the eastern approach ports. Duration: two cycles. Success metric: rosters exchanged on time, and one cross-referenced availability report issued.</w:t>
      </w:r>
    </w:p>
    <w:p w14:paraId="55FC2B49" w14:textId="77777777" w:rsidR="008C4E6E" w:rsidRDefault="00000000">
      <w:r>
        <w:rPr>
          <w:rFonts w:cs="Calibri"/>
          <w:b/>
          <w:szCs w:val="22"/>
        </w:rPr>
        <w:t>D-7 Shared repair-dock timing.</w:t>
      </w:r>
      <w:r>
        <w:rPr>
          <w:rFonts w:cs="Calibri"/>
          <w:szCs w:val="22"/>
        </w:rPr>
        <w:t xml:space="preserve"> The dry-dock operators at Bandar Abbas and Khasab align published access windows for emergency repairs of transiting vessels, with one priority slot reserved per week for </w:t>
      </w:r>
      <w:r>
        <w:rPr>
          <w:rFonts w:cs="Calibri"/>
          <w:szCs w:val="22"/>
        </w:rPr>
        <w:lastRenderedPageBreak/>
        <w:t>a disabled transiter. Duration: four weeks. Success metric: window table published jointly, and the priority slot filled or released within its week in all four weeks.</w:t>
      </w:r>
    </w:p>
    <w:p w14:paraId="4615659D" w14:textId="77777777" w:rsidR="008C4E6E" w:rsidRDefault="00000000">
      <w:r>
        <w:rPr>
          <w:rFonts w:cs="Calibri"/>
          <w:b/>
          <w:szCs w:val="22"/>
        </w:rPr>
        <w:t>D-8 Micro-repair coordination.</w:t>
      </w:r>
      <w:r>
        <w:rPr>
          <w:rFonts w:cs="Calibri"/>
          <w:szCs w:val="22"/>
        </w:rPr>
        <w:t xml:space="preserve"> For one disabled commercial vessel per week, if any, the two sides coordinate repair scheduling so that surveyor, parts, and tow arrive in one aligned window. Duration: four weeks. Success metric: for each qualifying vessel, an aligned repair window arranged within forty-eight hours, logged on the result sheet.</w:t>
      </w:r>
    </w:p>
    <w:p w14:paraId="3DE8068F" w14:textId="77777777" w:rsidR="008C4E6E" w:rsidRDefault="00000000">
      <w:r>
        <w:rPr>
          <w:rFonts w:cs="Calibri"/>
          <w:b/>
          <w:szCs w:val="22"/>
        </w:rPr>
        <w:t>D-9 Joint drift-prediction.</w:t>
      </w:r>
      <w:r>
        <w:rPr>
          <w:rFonts w:cs="Calibri"/>
          <w:szCs w:val="22"/>
        </w:rPr>
        <w:t xml:space="preserve"> The two vessel traffic services run a parallel drift prediction for any disabled vessel in the Governance Area, exchange the predictions within thirty minutes, and log the variance. Duration: thirty days. Success metric: for every qualifying event, both predictions exchanged, and final variance under one nautical mile at the four-hour mark.</w:t>
      </w:r>
    </w:p>
    <w:p w14:paraId="09508394" w14:textId="77777777" w:rsidR="008C4E6E" w:rsidRDefault="00000000">
      <w:r>
        <w:rPr>
          <w:rFonts w:cs="Calibri"/>
          <w:b/>
          <w:szCs w:val="22"/>
        </w:rPr>
        <w:t>D-10 Micro-collision review.</w:t>
      </w:r>
      <w:r>
        <w:rPr>
          <w:rFonts w:cs="Calibri"/>
          <w:szCs w:val="22"/>
        </w:rPr>
        <w:t xml:space="preserve"> The two sides jointly review any near-miss report filed in the Governance Area during the exercise window, using the standard review form of Annex D, and issue one joint note per event with preventive recommendations. Duration: thirty days. Success metric: every filed near-miss reviewed within seven days, with recommendations recorded in the Registry.</w:t>
      </w:r>
    </w:p>
    <w:p w14:paraId="70D48042" w14:textId="77777777" w:rsidR="008C4E6E" w:rsidRDefault="00000000">
      <w:pPr>
        <w:pStyle w:val="Heading2"/>
      </w:pPr>
      <w:bookmarkStart w:id="24" w:name="_Toc237650580"/>
      <w:r>
        <w:rPr>
          <w:rFonts w:cs="Calibri Light"/>
          <w:szCs w:val="28"/>
        </w:rPr>
        <w:t>Article 14: Cluster E: Micro-Governance and Simulation (Exercises E-1 to E-10)</w:t>
      </w:r>
      <w:bookmarkEnd w:id="24"/>
    </w:p>
    <w:p w14:paraId="2349465C" w14:textId="77777777" w:rsidR="008C4E6E" w:rsidRDefault="00000000">
      <w:r>
        <w:rPr>
          <w:rFonts w:cs="Calibri"/>
          <w:szCs w:val="22"/>
        </w:rPr>
        <w:t>Cluster E creates the smallest possible institutional scaffolding and opens the door, without money, to the question the whole region is asking: how the services of the Strait get paid for without a toll. Everything here is rehearsal. No authority moves, no money moves, no commitment forms.</w:t>
      </w:r>
    </w:p>
    <w:p w14:paraId="4D1CFDEE" w14:textId="77777777" w:rsidR="008C4E6E" w:rsidRDefault="00000000">
      <w:r>
        <w:rPr>
          <w:rFonts w:cs="Calibri"/>
          <w:b/>
          <w:szCs w:val="22"/>
        </w:rPr>
        <w:t>E-1 Shared logbook cell.</w:t>
      </w:r>
      <w:r>
        <w:rPr>
          <w:rFonts w:cs="Calibri"/>
          <w:szCs w:val="22"/>
        </w:rPr>
        <w:t xml:space="preserve"> Four officers, two from each side, keep one joint logbook of corridor usage, incidents, and anomalies for the eastern approach sector, by video desk, two hours per working day. The cell holds no authority and takes no decisions. Duration: twenty working days. Success metric: the logbook populated on eighteen or more days, and one joint summary issued at close.</w:t>
      </w:r>
    </w:p>
    <w:p w14:paraId="6C466A60" w14:textId="77777777" w:rsidR="008C4E6E" w:rsidRDefault="00000000">
      <w:r>
        <w:rPr>
          <w:rFonts w:cs="Calibri"/>
          <w:b/>
          <w:szCs w:val="22"/>
        </w:rPr>
        <w:t>E-2 Micro-training exchange.</w:t>
      </w:r>
      <w:r>
        <w:rPr>
          <w:rFonts w:cs="Calibri"/>
          <w:szCs w:val="22"/>
        </w:rPr>
        <w:t xml:space="preserve"> Each side hosts two officers of the other for five working days of observation at its vessel traffic service, under the hospitality protocol of Annex D. Duration: two visits within forty-five days. Success metric: both visits completed, and one joint note on procedural differences filed.</w:t>
      </w:r>
    </w:p>
    <w:p w14:paraId="646BD9B0" w14:textId="77777777" w:rsidR="008C4E6E" w:rsidRDefault="00000000">
      <w:r>
        <w:rPr>
          <w:rFonts w:cs="Calibri"/>
          <w:b/>
          <w:szCs w:val="22"/>
        </w:rPr>
        <w:t>E-3 Radio-channel harmonization.</w:t>
      </w:r>
      <w:r>
        <w:rPr>
          <w:rFonts w:cs="Calibri"/>
          <w:szCs w:val="22"/>
        </w:rPr>
        <w:t xml:space="preserve"> Both sides adopt VHF Channel 72 as the shared working channel for exercise traffic in the Governance Area and publish the adoption to mariners. Duration: standing. Success metric: channel published by both sides, and one week of monitored exercise traffic logged without interference complaints.</w:t>
      </w:r>
    </w:p>
    <w:p w14:paraId="188B15AC" w14:textId="77777777" w:rsidR="008C4E6E" w:rsidRDefault="00000000">
      <w:r>
        <w:rPr>
          <w:rFonts w:cs="Calibri"/>
          <w:b/>
          <w:szCs w:val="22"/>
        </w:rPr>
        <w:t>E-4 Joint fog-signal protocol.</w:t>
      </w:r>
      <w:r>
        <w:rPr>
          <w:rFonts w:cs="Calibri"/>
          <w:szCs w:val="22"/>
        </w:rPr>
        <w:t xml:space="preserve"> Both sides adopt one common set of sound signal patterns for restricted visibility in the Governance Area, drawn from the collision regulations, and issue the set to their local craft. Success metric: protocol published in three languages, and one monitored restricted-visibility period logged with consistent signal use.</w:t>
      </w:r>
    </w:p>
    <w:p w14:paraId="2ACB2E12" w14:textId="77777777" w:rsidR="008C4E6E" w:rsidRDefault="00000000">
      <w:r>
        <w:rPr>
          <w:rFonts w:cs="Calibri"/>
          <w:b/>
          <w:szCs w:val="22"/>
        </w:rPr>
        <w:lastRenderedPageBreak/>
        <w:t>E-5 Shared vessel-intent form.</w:t>
      </w:r>
      <w:r>
        <w:rPr>
          <w:rFonts w:cs="Calibri"/>
          <w:szCs w:val="22"/>
        </w:rPr>
        <w:t xml:space="preserve"> Both sides test a voluntary one-page intent form on five inbound vessels per week: planned corridor, entry time, and speed band, filed by agents on a shared template. The form carries no permission function. Duration: four weeks. Success metric: twenty forms filed, and a variance report comparing intent to observed track issued at close.</w:t>
      </w:r>
    </w:p>
    <w:p w14:paraId="4FB3200F" w14:textId="77777777" w:rsidR="008C4E6E" w:rsidRDefault="00000000">
      <w:r>
        <w:rPr>
          <w:rFonts w:cs="Calibri"/>
          <w:b/>
          <w:szCs w:val="22"/>
        </w:rPr>
        <w:t>E-6 Micro-fee simulation.</w:t>
      </w:r>
      <w:r>
        <w:rPr>
          <w:rFonts w:cs="Calibri"/>
          <w:szCs w:val="22"/>
        </w:rPr>
        <w:t xml:space="preserve"> Each side runs a parallel paper model of service cost recovery for the Governance Area, using the rate structure of Annex C, on the actual traffic data of the exercise window. No money moves, no invoice issues, and the simulation binds nothing. Duration: thirty days. Success metric: both models reconciled within ten percent of each other, and one joint transparency note filed. This exercise feeds directly into the Fee Simulation of Article 32.</w:t>
      </w:r>
    </w:p>
    <w:p w14:paraId="25E1D025" w14:textId="77777777" w:rsidR="008C4E6E" w:rsidRDefault="00000000">
      <w:r>
        <w:rPr>
          <w:rFonts w:cs="Calibri"/>
          <w:b/>
          <w:szCs w:val="22"/>
        </w:rPr>
        <w:t>E-7 Micro-oversight cell.</w:t>
      </w:r>
      <w:r>
        <w:rPr>
          <w:rFonts w:cs="Calibri"/>
          <w:szCs w:val="22"/>
        </w:rPr>
        <w:t xml:space="preserve"> Two officers from each side review the logbook of Exercise E-1 weekly and recommend, in writing, whether each running exercise continues, modifies, or closes. The cell holds no power; its recommendations go to the two liaison officers for decision by exchange of notes. Duration: four weekly reviews. Success metric: four reviews completed, and every recommendation answered within seven days.</w:t>
      </w:r>
    </w:p>
    <w:p w14:paraId="62FAD61C" w14:textId="77777777" w:rsidR="008C4E6E" w:rsidRDefault="00000000">
      <w:r>
        <w:rPr>
          <w:rFonts w:cs="Calibri"/>
          <w:b/>
          <w:szCs w:val="22"/>
        </w:rPr>
        <w:t>E-8 Micro-governance review.</w:t>
      </w:r>
      <w:r>
        <w:rPr>
          <w:rFonts w:cs="Calibri"/>
          <w:szCs w:val="22"/>
        </w:rPr>
        <w:t xml:space="preserve"> The two liaison officers hold one structured review call per week, sixty minutes, on the standing agenda of Annex D: running exercises, incidents, and next steps. Duration: four calls. Success metric: four calls held, minutes exchanged within twenty-four hours, and action items closed at a rate of seventy percent or better.</w:t>
      </w:r>
    </w:p>
    <w:p w14:paraId="4BF4D2A1" w14:textId="77777777" w:rsidR="008C4E6E" w:rsidRDefault="00000000">
      <w:r>
        <w:rPr>
          <w:rFonts w:cs="Calibri"/>
          <w:b/>
          <w:szCs w:val="22"/>
        </w:rPr>
        <w:t>E-9 Pilot-compatibility audit.</w:t>
      </w:r>
      <w:r>
        <w:rPr>
          <w:rFonts w:cs="Calibri"/>
          <w:szCs w:val="22"/>
        </w:rPr>
        <w:t xml:space="preserve"> Both sides audit the technical compatibility of their data formats, chart datums, and communication protocols against the standards of Annex D, and file a joint gap list. Duration: thirty days. Success metric: one signed gap list, with a remediation owner named for every item.</w:t>
      </w:r>
    </w:p>
    <w:p w14:paraId="0A4137E5" w14:textId="77777777" w:rsidR="008C4E6E" w:rsidRDefault="00000000">
      <w:r>
        <w:rPr>
          <w:rFonts w:cs="Calibri"/>
          <w:b/>
          <w:szCs w:val="22"/>
        </w:rPr>
        <w:t>E-10 Corridor-expansion test.</w:t>
      </w:r>
      <w:r>
        <w:rPr>
          <w:rFonts w:cs="Calibri"/>
          <w:szCs w:val="22"/>
        </w:rPr>
        <w:t xml:space="preserve"> On the evidence of Exercises B-1 and B-2, both sides extend the advisory window of the pilot segments from six hours to twelve hours for seven days. Duration: one week. Success metric: incident-free extended windows on six of seven days, logged from AIS. This exercise supplies the final gate evidence for Layer Two.</w:t>
      </w:r>
    </w:p>
    <w:p w14:paraId="0309F1A9" w14:textId="77777777" w:rsidR="008C4E6E" w:rsidRDefault="00000000">
      <w:pPr>
        <w:pStyle w:val="Heading2"/>
      </w:pPr>
      <w:bookmarkStart w:id="25" w:name="_Toc237650581"/>
      <w:r>
        <w:rPr>
          <w:rFonts w:cs="Calibri Light"/>
          <w:szCs w:val="28"/>
        </w:rPr>
        <w:t>Article 15: Gate One: From Exercises to Protocols</w:t>
      </w:r>
      <w:bookmarkEnd w:id="25"/>
    </w:p>
    <w:p w14:paraId="2F888CFA" w14:textId="77777777" w:rsidR="008C4E6E" w:rsidRDefault="00000000">
      <w:r>
        <w:rPr>
          <w:rFonts w:cs="Calibri"/>
          <w:b/>
          <w:szCs w:val="22"/>
        </w:rPr>
        <w:t>15.1</w:t>
      </w:r>
      <w:r>
        <w:rPr>
          <w:rFonts w:cs="Calibri"/>
          <w:szCs w:val="22"/>
        </w:rPr>
        <w:t xml:space="preserve"> The gate. Layer Two activates when the Gate One conditions certify complete: (a) forty or more of the fifty micro-exercises closed with their success metrics met, as recorded on the result sheets; (b) the corridor stability tests of Exercises B-1, B-2, and E-10 closed incident-free at a rate of ninety percent or better; (c) the alert exercises of Cluster C operating at notification timeliness of ninety percent or better in the final two weeks; and (d) the pilot-compatibility audit of Exercise E-9 closed with every critical gap remediated or scheduled.</w:t>
      </w:r>
    </w:p>
    <w:p w14:paraId="24952F96" w14:textId="77777777" w:rsidR="008C4E6E" w:rsidRDefault="00000000">
      <w:r>
        <w:rPr>
          <w:rFonts w:cs="Calibri"/>
          <w:b/>
          <w:szCs w:val="22"/>
        </w:rPr>
        <w:lastRenderedPageBreak/>
        <w:t>15.2</w:t>
      </w:r>
      <w:r>
        <w:rPr>
          <w:rFonts w:cs="Calibri"/>
          <w:szCs w:val="22"/>
        </w:rPr>
        <w:t xml:space="preserve"> Certification. The two liaison officers certify the gate jointly, on the converged record of the Registry: the result sheets supply the first input, the independent AIS and communication logs supply the second, and the two officers sign as named human certifiers. The certification publishes in the Bulletin and the Registry on the day of signature.</w:t>
      </w:r>
    </w:p>
    <w:p w14:paraId="0A4F5307" w14:textId="77777777" w:rsidR="008C4E6E" w:rsidRDefault="00000000">
      <w:r>
        <w:rPr>
          <w:rFonts w:cs="Calibri"/>
          <w:b/>
          <w:szCs w:val="22"/>
        </w:rPr>
        <w:t>15.3</w:t>
      </w:r>
      <w:r>
        <w:rPr>
          <w:rFonts w:cs="Calibri"/>
          <w:szCs w:val="22"/>
        </w:rPr>
        <w:t xml:space="preserve"> Partial completion. If fewer than forty exercises close successfully, the parties rerun or substitute exercises from the catalog of Annex B until the count closes, and Layer Two sleeps. A substitute exercise addresses the same cluster and the same metric family as the exercise it replaces.</w:t>
      </w:r>
    </w:p>
    <w:p w14:paraId="2030FC9A" w14:textId="77777777" w:rsidR="008C4E6E" w:rsidRDefault="00000000">
      <w:r>
        <w:rPr>
          <w:rFonts w:cs="Calibri"/>
          <w:b/>
          <w:szCs w:val="22"/>
        </w:rPr>
        <w:t>15.4</w:t>
      </w:r>
      <w:r>
        <w:rPr>
          <w:rFonts w:cs="Calibri"/>
          <w:szCs w:val="22"/>
        </w:rPr>
        <w:t xml:space="preserve"> The thirty-day target. The design target places Gate One certification on or about Day 30 after signature. Under the Concurrent Activation Doctrine of Article 6.9, the protocols of Layer Two run concurrently from Day 0, and Gate One certification opens the Fast-Track Corridor of Article 18.5. The target is planning guidance, not a deadline: the gate opens on proof, at whatever pace the water allows.</w:t>
      </w:r>
    </w:p>
    <w:p w14:paraId="1257573F" w14:textId="77777777" w:rsidR="008C4E6E" w:rsidRDefault="00000000">
      <w:r>
        <w:rPr>
          <w:rFonts w:cs="Calibri"/>
          <w:b/>
          <w:szCs w:val="22"/>
        </w:rPr>
        <w:t>15.5</w:t>
      </w:r>
      <w:r>
        <w:rPr>
          <w:rFonts w:cs="Calibri"/>
          <w:szCs w:val="22"/>
        </w:rPr>
        <w:t xml:space="preserve"> What Layer One proves. On certification, the record shows the region and the market a verified fact: Iranian and Omani officers exchanged data every day for a month, alerted each other to every mishap within minutes, ran identical advisories in the same water, and disagreed about nothing that stopped a ship. That fact, published and undeniable, carries the architecture into Layer Two.</w:t>
      </w:r>
    </w:p>
    <w:p w14:paraId="3BBAC150" w14:textId="77777777" w:rsidR="008C4E6E" w:rsidRDefault="00000000">
      <w:r>
        <w:rPr>
          <w:rFonts w:cs="Calibri"/>
          <w:b/>
          <w:szCs w:val="22"/>
        </w:rPr>
        <w:t>15.6</w:t>
      </w:r>
      <w:r>
        <w:rPr>
          <w:rFonts w:cs="Calibri"/>
          <w:szCs w:val="22"/>
        </w:rPr>
        <w:t xml:space="preserve"> Legal consequence of Gate One. Upon certification of Gate One, the Administrative Letter of Intent of Layer One stands executed, and no further signature is required. The Liaison Officers hold authorization to proceed to Layer Two. The legal character of Layer One is that of a non-binding administrative arrangement, and either participant pauses any exercise on 72 hours' notice to the other.</w:t>
      </w:r>
    </w:p>
    <w:p w14:paraId="0696E119" w14:textId="77777777" w:rsidR="008C4E6E" w:rsidRDefault="00000000">
      <w:r>
        <w:br w:type="page"/>
      </w:r>
    </w:p>
    <w:p w14:paraId="6546370C" w14:textId="77777777" w:rsidR="008C4E6E" w:rsidRDefault="00000000">
      <w:pPr>
        <w:pStyle w:val="Heading1"/>
      </w:pPr>
      <w:bookmarkStart w:id="26" w:name="_Toc237650582"/>
      <w:r>
        <w:rPr>
          <w:rFonts w:cs="Calibri Light"/>
          <w:szCs w:val="36"/>
        </w:rPr>
        <w:lastRenderedPageBreak/>
        <w:t>Part III: Layer Two: The Meso-Protocols</w:t>
      </w:r>
      <w:bookmarkEnd w:id="26"/>
    </w:p>
    <w:p w14:paraId="51BAC5B0" w14:textId="77777777" w:rsidR="008C4E6E" w:rsidRDefault="00000000">
      <w:r>
        <w:rPr>
          <w:rFonts w:cs="Calibri"/>
          <w:szCs w:val="22"/>
        </w:rPr>
        <w:t>Layer Two converts the first month of micro-habits into standing protocols, and under the Concurrent Activation Doctrine it opens with signature and runs alongside Layer One, proving itself on live traffic from the first day. A protocol differs from an exercise in one way: it runs continuously rather than for a fixed window. Everything in Layer Two remains advisory, reversible, and free of charge. No vessel takes an order here; every vessel gains predictability.</w:t>
      </w:r>
    </w:p>
    <w:p w14:paraId="053ED439" w14:textId="77777777" w:rsidR="008C4E6E" w:rsidRDefault="00000000">
      <w:pPr>
        <w:pStyle w:val="Heading2"/>
      </w:pPr>
      <w:bookmarkStart w:id="27" w:name="_Toc237650583"/>
      <w:r>
        <w:rPr>
          <w:rFonts w:cs="Calibri Light"/>
          <w:szCs w:val="28"/>
        </w:rPr>
        <w:t>Article 16: The Pilot Corridor Program</w:t>
      </w:r>
      <w:bookmarkEnd w:id="27"/>
    </w:p>
    <w:p w14:paraId="566035AB" w14:textId="77777777" w:rsidR="008C4E6E" w:rsidRDefault="00000000">
      <w:r>
        <w:rPr>
          <w:rFonts w:cs="Calibri"/>
          <w:b/>
          <w:szCs w:val="22"/>
        </w:rPr>
        <w:t>16.1</w:t>
      </w:r>
      <w:r>
        <w:rPr>
          <w:rFonts w:cs="Calibri"/>
          <w:szCs w:val="22"/>
        </w:rPr>
        <w:t xml:space="preserve"> The pilot segments. On activation of Layer Two, the pilot stability segments of Exercises B-1, B-2, and E-10 convert into standing advisory corridors: the inbound pilot corridor between waypoints N-4 and N-6, and the outbound pilot corridor between waypoints S-2 and S-4, each three nautical miles wide, as charted at Annex A.</w:t>
      </w:r>
    </w:p>
    <w:p w14:paraId="43F7CC58" w14:textId="77777777" w:rsidR="008C4E6E" w:rsidRDefault="00000000">
      <w:r>
        <w:rPr>
          <w:rFonts w:cs="Calibri"/>
          <w:b/>
          <w:szCs w:val="22"/>
        </w:rPr>
        <w:t>16.2</w:t>
      </w:r>
      <w:r>
        <w:rPr>
          <w:rFonts w:cs="Calibri"/>
          <w:szCs w:val="22"/>
        </w:rPr>
        <w:t xml:space="preserve"> The advisory window. Each pilot corridor carries a published advisory speed band of ten to twelve knots and a published calm-sea window, updated daily with the hazard bulletin. Compliance remains voluntary, and the Registry logs observed compliance from AIS data without attribution commentary.</w:t>
      </w:r>
    </w:p>
    <w:p w14:paraId="1467230A" w14:textId="77777777" w:rsidR="008C4E6E" w:rsidRDefault="00000000">
      <w:r>
        <w:rPr>
          <w:rFonts w:cs="Calibri"/>
          <w:b/>
          <w:szCs w:val="22"/>
        </w:rPr>
        <w:t>16.3</w:t>
      </w:r>
      <w:r>
        <w:rPr>
          <w:rFonts w:cs="Calibri"/>
          <w:szCs w:val="22"/>
        </w:rPr>
        <w:t xml:space="preserve"> Joint acknowledgment, separate control. The two centers jointly acknowledge the pilot corridors as shared observational space. Each center directs its own vessel traffic service in its own waters. No joint control room exists yet; Layer Four builds it.</w:t>
      </w:r>
    </w:p>
    <w:p w14:paraId="53B7ECA8" w14:textId="77777777" w:rsidR="008C4E6E" w:rsidRDefault="00000000">
      <w:r>
        <w:rPr>
          <w:rFonts w:cs="Calibri"/>
          <w:b/>
          <w:szCs w:val="22"/>
        </w:rPr>
        <w:t>16.4</w:t>
      </w:r>
      <w:r>
        <w:rPr>
          <w:rFonts w:cs="Calibri"/>
          <w:szCs w:val="22"/>
        </w:rPr>
        <w:t xml:space="preserve"> Standing log. The shared logbook of Exercise E-1 converts into the standing Pilot Corridor Log: daily entries of traffic counts, advisories issued, incidents, and anomalies, kept by the logbook cell and published weekly.</w:t>
      </w:r>
    </w:p>
    <w:p w14:paraId="51FEC172" w14:textId="77777777" w:rsidR="008C4E6E" w:rsidRDefault="00000000">
      <w:r>
        <w:rPr>
          <w:rFonts w:cs="Calibri"/>
          <w:b/>
          <w:szCs w:val="22"/>
        </w:rPr>
        <w:t>16.5</w:t>
      </w:r>
      <w:r>
        <w:rPr>
          <w:rFonts w:cs="Calibri"/>
          <w:szCs w:val="22"/>
        </w:rPr>
        <w:t xml:space="preserve"> Expansion by performance. When the Pilot Corridor Log records sixty consecutive incident-free days in a pilot corridor, the corridor extends by one segment in the direction of the traffic separation scheme, by joint instrument of the two liaison officers, with notice to mariners. Each extension follows the same sixty-day rule. The pilot corridors thereby grow toward the full corridor geometry of Part VIII at the speed of demonstrated safety.</w:t>
      </w:r>
    </w:p>
    <w:p w14:paraId="35501924" w14:textId="77777777" w:rsidR="008C4E6E" w:rsidRDefault="00000000">
      <w:pPr>
        <w:pStyle w:val="Heading2"/>
      </w:pPr>
      <w:bookmarkStart w:id="28" w:name="_Toc237650584"/>
      <w:r>
        <w:rPr>
          <w:rFonts w:cs="Calibri Light"/>
          <w:szCs w:val="28"/>
        </w:rPr>
        <w:t>Article 17: Routing Advisories and Calm-Sea Windows</w:t>
      </w:r>
      <w:bookmarkEnd w:id="28"/>
    </w:p>
    <w:p w14:paraId="5CE1550A" w14:textId="77777777" w:rsidR="008C4E6E" w:rsidRDefault="00000000">
      <w:r>
        <w:rPr>
          <w:rFonts w:cs="Calibri"/>
          <w:b/>
          <w:szCs w:val="22"/>
        </w:rPr>
        <w:t>17.1</w:t>
      </w:r>
      <w:r>
        <w:rPr>
          <w:rFonts w:cs="Calibri"/>
          <w:szCs w:val="22"/>
        </w:rPr>
        <w:t xml:space="preserve"> Non-binding routing advisories. Each vessel traffic service issues routing advisories for its sector in the standard format of Annex D: recommended track, speed band, and caution notes. Advisories never carry a permission character, never delay a transit, and never attach a condition. A vessel that declines an advisory transits with full rights.</w:t>
      </w:r>
    </w:p>
    <w:p w14:paraId="4B884E1A" w14:textId="77777777" w:rsidR="008C4E6E" w:rsidRDefault="00000000">
      <w:r>
        <w:rPr>
          <w:rFonts w:cs="Calibri"/>
          <w:b/>
          <w:szCs w:val="22"/>
        </w:rPr>
        <w:lastRenderedPageBreak/>
        <w:t>17.2</w:t>
      </w:r>
      <w:r>
        <w:rPr>
          <w:rFonts w:cs="Calibri"/>
          <w:szCs w:val="22"/>
        </w:rPr>
        <w:t xml:space="preserve"> The calm-sea window service. The meteorological desk publishes the daily calm-sea windows for the eastern and western entrances at 18:00 for the following day, in the hazard bulletin. The service runs continuously from activation.</w:t>
      </w:r>
    </w:p>
    <w:p w14:paraId="472923BF" w14:textId="77777777" w:rsidR="008C4E6E" w:rsidRDefault="00000000">
      <w:r>
        <w:rPr>
          <w:rFonts w:cs="Calibri"/>
          <w:b/>
          <w:szCs w:val="22"/>
        </w:rPr>
        <w:t>17.3</w:t>
      </w:r>
      <w:r>
        <w:rPr>
          <w:rFonts w:cs="Calibri"/>
          <w:szCs w:val="22"/>
        </w:rPr>
        <w:t xml:space="preserve"> Slow-zones. Either center advises a temporary slow-zone of up to twelve knots in a defined segment during restricted visibility or heavy traffic, with simultaneous publication by both centers. A slow-zone advisory expires at six hours unless both centers renew it, and no renewal exceeds the duration of the triggering condition.</w:t>
      </w:r>
    </w:p>
    <w:p w14:paraId="104D2A3C" w14:textId="77777777" w:rsidR="008C4E6E" w:rsidRDefault="00000000">
      <w:r>
        <w:rPr>
          <w:rFonts w:cs="Calibri"/>
          <w:b/>
          <w:szCs w:val="22"/>
        </w:rPr>
        <w:t>17.4</w:t>
      </w:r>
      <w:r>
        <w:rPr>
          <w:rFonts w:cs="Calibri"/>
          <w:szCs w:val="22"/>
        </w:rPr>
        <w:t xml:space="preserve"> Harbor-exit and pilotage alignment. The alignment mechanisms of Exercises B-8, B-9, and B-10 continue as standing practice, with the published tables updated weekly.</w:t>
      </w:r>
    </w:p>
    <w:p w14:paraId="7B59FD16" w14:textId="77777777" w:rsidR="008C4E6E" w:rsidRDefault="00000000">
      <w:r>
        <w:rPr>
          <w:rFonts w:cs="Calibri"/>
          <w:b/>
          <w:szCs w:val="22"/>
        </w:rPr>
        <w:t>17.5</w:t>
      </w:r>
      <w:r>
        <w:rPr>
          <w:rFonts w:cs="Calibri"/>
          <w:szCs w:val="22"/>
        </w:rPr>
        <w:t xml:space="preserve"> Anchoring framework. The micro-anchorage zone of Exercise B-4 and the advisory of Exercise B-5 continue as standing practice, and the two centers designate Anchorage A-East-In of Annex A as the second shared waiting area when Gate Two certifies.</w:t>
      </w:r>
    </w:p>
    <w:p w14:paraId="464F2529" w14:textId="77777777" w:rsidR="008C4E6E" w:rsidRDefault="00000000">
      <w:pPr>
        <w:pStyle w:val="Heading2"/>
      </w:pPr>
      <w:bookmarkStart w:id="29" w:name="_Toc237650585"/>
      <w:r>
        <w:rPr>
          <w:rFonts w:cs="Calibri Light"/>
          <w:szCs w:val="28"/>
        </w:rPr>
        <w:t>Article 18: The Common Channel and the Signal Framework</w:t>
      </w:r>
      <w:bookmarkEnd w:id="29"/>
    </w:p>
    <w:p w14:paraId="65516C96" w14:textId="77777777" w:rsidR="008C4E6E" w:rsidRDefault="00000000">
      <w:r>
        <w:rPr>
          <w:rFonts w:cs="Calibri"/>
          <w:b/>
          <w:szCs w:val="22"/>
        </w:rPr>
        <w:t>18.1</w:t>
      </w:r>
      <w:r>
        <w:rPr>
          <w:rFonts w:cs="Calibri"/>
          <w:szCs w:val="22"/>
        </w:rPr>
        <w:t xml:space="preserve"> The working channel. VHF Channel 72 serves as the standing common working channel of the Governance Area for exercise and protocol traffic, and Channel 74 serves the Transit Desk in later layers. Channel 16 remains the distress and calling channel, under continuous watch by all stations, always. Channel 13 carries bridge-to-bridge navigational safety only.</w:t>
      </w:r>
    </w:p>
    <w:p w14:paraId="7FBF9666" w14:textId="77777777" w:rsidR="008C4E6E" w:rsidRDefault="00000000">
      <w:r>
        <w:rPr>
          <w:rFonts w:cs="Calibri"/>
          <w:b/>
          <w:szCs w:val="22"/>
        </w:rPr>
        <w:t>18.2</w:t>
      </w:r>
      <w:r>
        <w:rPr>
          <w:rFonts w:cs="Calibri"/>
          <w:szCs w:val="22"/>
        </w:rPr>
        <w:t xml:space="preserve"> Plain language. Every operational message on the common channels uses plain language and the standard message formats of Annex D. Codes exist nowhere in this framework.</w:t>
      </w:r>
    </w:p>
    <w:p w14:paraId="73F9B413" w14:textId="77777777" w:rsidR="008C4E6E" w:rsidRDefault="00000000">
      <w:r>
        <w:rPr>
          <w:rFonts w:cs="Calibri"/>
          <w:b/>
          <w:szCs w:val="22"/>
        </w:rPr>
        <w:t>18.3</w:t>
      </w:r>
      <w:r>
        <w:rPr>
          <w:rFonts w:cs="Calibri"/>
          <w:szCs w:val="22"/>
        </w:rPr>
        <w:t xml:space="preserve"> Signal harmonization. The fog-signal protocol of Exercise E-4 and the light characteristics of Exercise B-6 continue as standing practice, and the two aids-to-navigation authorities conduct one joint inspection per quarter.</w:t>
      </w:r>
    </w:p>
    <w:p w14:paraId="4D7E21D5" w14:textId="77777777" w:rsidR="008C4E6E" w:rsidRDefault="00000000">
      <w:r>
        <w:rPr>
          <w:rFonts w:cs="Calibri"/>
          <w:b/>
          <w:szCs w:val="22"/>
        </w:rPr>
        <w:t>18.4</w:t>
      </w:r>
      <w:r>
        <w:rPr>
          <w:rFonts w:cs="Calibri"/>
          <w:szCs w:val="22"/>
        </w:rPr>
        <w:t xml:space="preserve"> The identity card and call sign. Exercise officers and, later, watch officers carry the identity format of Annex D, and the joint facilities answer under the call sign HORMUZ CALM WATERS on all working channels.</w:t>
      </w:r>
    </w:p>
    <w:p w14:paraId="7AE4B5A0" w14:textId="77777777" w:rsidR="008C4E6E" w:rsidRDefault="00000000">
      <w:r>
        <w:rPr>
          <w:rFonts w:cs="Calibri"/>
          <w:b/>
          <w:szCs w:val="22"/>
        </w:rPr>
        <w:t>18.5</w:t>
      </w:r>
      <w:r>
        <w:rPr>
          <w:rFonts w:cs="Calibri"/>
          <w:szCs w:val="22"/>
        </w:rPr>
        <w:t xml:space="preserve"> The Fast-Track Corridor. (a) Upon Gate One certification, on or about Day 30, the Southern Assurance Corridor opens provisionally as the Fast-Track Corridor: a toll-free, Omani-administered lane on the agreed coordinates of Annex A, open to all commercial transit, and to state vessels under the passage rules of Article 42. (b) The Fast-Track Corridor operates on file-and-acknowledge under the notification protocol of Article 43: the vessel files, the Desk acknowledges, and the acknowledgment is receipt, never permission. No condition, delay, denial, or charge attaches to transit. (c) The Fast-Track Corridor is the Covenant’s crisis-response mechanism: it restores traffic while the full architecture builds. It precedes and feeds the three-corridor system of Article 41; it never replaces it. (d) Upon Gate Two certification, on or about Day 60, the Fast-Track Corridor converts into the permanent Corridor One </w:t>
      </w:r>
      <w:r>
        <w:rPr>
          <w:rFonts w:cs="Calibri"/>
          <w:szCs w:val="22"/>
        </w:rPr>
        <w:lastRenderedPageBreak/>
        <w:t>of Article 41.2, and Corridor Two opens under the same protocol on the same day. (e) The opening of the Fast-Track Corridor pairs indivisibly with the first drawdown step of the blockade of Iranian ports under the Synchronized Relief Track of Article 56.5: the pair executes as one event, or both elements hold.</w:t>
      </w:r>
    </w:p>
    <w:p w14:paraId="3318C5BE" w14:textId="77777777" w:rsidR="008C4E6E" w:rsidRDefault="00000000">
      <w:r>
        <w:rPr>
          <w:rFonts w:cs="Calibri"/>
          <w:b/>
          <w:szCs w:val="22"/>
        </w:rPr>
        <w:t>18.6</w:t>
      </w:r>
      <w:r>
        <w:rPr>
          <w:rFonts w:cs="Calibri"/>
          <w:szCs w:val="22"/>
        </w:rPr>
        <w:t xml:space="preserve"> The Early Fee Simulation. (a) Upon Gate One certification, the Early Fee Simulation activates. It runs on actual traffic data from the Fast-Track Corridor, using the rate structure of Annex C. (b) The Early Fee Simulation tests the three financial models of Article 32.1: the toll model, the direct service-fee model, and the multilateral fund model. No money moves, no invoice issues, and no commitment forms. (c) The Early Fee Simulation publishes an interim report at Day 45 and a final report at Day 75, feeding directly into the Full Simulation of Article 32 and the financial architecture of the Final Charter. (d) The Early Fee Simulation is information, not negotiation: it lets every capital see the future in numbers before anyone commits to it. The fee question thereby settles in simulation by Day 75, inside the diplomatic window, rather than a year beyond it.</w:t>
      </w:r>
    </w:p>
    <w:p w14:paraId="5866E55C" w14:textId="77777777" w:rsidR="008C4E6E" w:rsidRDefault="00000000">
      <w:pPr>
        <w:pStyle w:val="Heading2"/>
      </w:pPr>
      <w:bookmarkStart w:id="30" w:name="_Toc237650586"/>
      <w:r>
        <w:rPr>
          <w:rFonts w:cs="Calibri Light"/>
          <w:szCs w:val="28"/>
        </w:rPr>
        <w:t>Article 19: The Vessel-Intent Form and the Standing Logbook</w:t>
      </w:r>
      <w:bookmarkEnd w:id="30"/>
    </w:p>
    <w:p w14:paraId="7E79E45E" w14:textId="77777777" w:rsidR="008C4E6E" w:rsidRDefault="00000000">
      <w:r>
        <w:rPr>
          <w:rFonts w:cs="Calibri"/>
          <w:b/>
          <w:szCs w:val="22"/>
        </w:rPr>
        <w:t>19.1</w:t>
      </w:r>
      <w:r>
        <w:rPr>
          <w:rFonts w:cs="Calibri"/>
          <w:szCs w:val="22"/>
        </w:rPr>
        <w:t xml:space="preserve"> The intent form. The voluntary vessel-intent form of Exercise E-5 continues as a standing voluntary service: any inbound vessel files planned corridor, entry time, and speed band, twelve hours to two hours before entry, on the one-page template of Annex D. The form carries no permission function, and no consequence attaches to non-filing or to deviation from a filed intent.</w:t>
      </w:r>
    </w:p>
    <w:p w14:paraId="253AE435" w14:textId="77777777" w:rsidR="008C4E6E" w:rsidRDefault="00000000">
      <w:r>
        <w:rPr>
          <w:rFonts w:cs="Calibri"/>
          <w:b/>
          <w:szCs w:val="22"/>
        </w:rPr>
        <w:t>19.2</w:t>
      </w:r>
      <w:r>
        <w:rPr>
          <w:rFonts w:cs="Calibri"/>
          <w:szCs w:val="22"/>
        </w:rPr>
        <w:t xml:space="preserve"> The standing logbook. The shared logbook cell of Exercise E-1 continues as a standing body of four officers, two per side, keeping the daily log of the pilot corridors and the alert systems. The logbook publishes weekly in the Registry.</w:t>
      </w:r>
    </w:p>
    <w:p w14:paraId="5F519B0C" w14:textId="77777777" w:rsidR="008C4E6E" w:rsidRDefault="00000000">
      <w:r>
        <w:rPr>
          <w:rFonts w:cs="Calibri"/>
          <w:b/>
          <w:szCs w:val="22"/>
        </w:rPr>
        <w:t>19.3</w:t>
      </w:r>
      <w:r>
        <w:rPr>
          <w:rFonts w:cs="Calibri"/>
          <w:szCs w:val="22"/>
        </w:rPr>
        <w:t xml:space="preserve"> The weekly review call. The governance review call of Exercise E-8 continues weekly, with the standing agenda of Annex D, and its minutes publish in the Registry within twenty-four hours.</w:t>
      </w:r>
    </w:p>
    <w:p w14:paraId="58B5F45F" w14:textId="77777777" w:rsidR="008C4E6E" w:rsidRDefault="00000000">
      <w:r>
        <w:rPr>
          <w:rFonts w:cs="Calibri"/>
          <w:b/>
          <w:szCs w:val="22"/>
        </w:rPr>
        <w:t>19.4</w:t>
      </w:r>
      <w:r>
        <w:rPr>
          <w:rFonts w:cs="Calibri"/>
          <w:szCs w:val="22"/>
        </w:rPr>
        <w:t xml:space="preserve"> Data custody. All data generated in Layer Two serves safety and verification only. No participant uses it for commercial advantage, sanctions enforcement against third parties, or any purpose outside this Covenant, in accordance with line 14 of the Declaration.</w:t>
      </w:r>
    </w:p>
    <w:p w14:paraId="576CD89F" w14:textId="77777777" w:rsidR="008C4E6E" w:rsidRDefault="00000000">
      <w:pPr>
        <w:pStyle w:val="Heading2"/>
      </w:pPr>
      <w:bookmarkStart w:id="31" w:name="_Toc237650587"/>
      <w:r>
        <w:rPr>
          <w:rFonts w:cs="Calibri Light"/>
          <w:szCs w:val="28"/>
        </w:rPr>
        <w:t>Article 20: Gate Two: From Protocols to Systems</w:t>
      </w:r>
      <w:bookmarkEnd w:id="31"/>
    </w:p>
    <w:p w14:paraId="05BF2C20" w14:textId="77777777" w:rsidR="008C4E6E" w:rsidRDefault="00000000">
      <w:r>
        <w:rPr>
          <w:rFonts w:cs="Calibri"/>
          <w:b/>
          <w:szCs w:val="22"/>
        </w:rPr>
        <w:t>20.1</w:t>
      </w:r>
      <w:r>
        <w:rPr>
          <w:rFonts w:cs="Calibri"/>
          <w:szCs w:val="22"/>
        </w:rPr>
        <w:t xml:space="preserve"> The gate. Layer Three activates when the Gate Two conditions certify complete: (a) thirty consecutive incident-free days in each pilot corridor, as logged under Article 16.4 and counted from Day 0 under concurrent activation; (b) advisory compliance at seventy percent or better in the final thirty days; (c) the alert and logbook systems publishing on schedule for thirty consecutive days; (d) the common channel operating without a logged misuse event for thirty consecutive days; and (e) the incident-alert mesh, the response mesh, and the shared weather and hazard service of Layer Three each operating at their published standards for twenty-one consecutive days.</w:t>
      </w:r>
    </w:p>
    <w:p w14:paraId="120C6B5E" w14:textId="77777777" w:rsidR="008C4E6E" w:rsidRDefault="00000000">
      <w:r>
        <w:rPr>
          <w:rFonts w:cs="Calibri"/>
          <w:b/>
          <w:szCs w:val="22"/>
        </w:rPr>
        <w:lastRenderedPageBreak/>
        <w:t>20.2</w:t>
      </w:r>
      <w:r>
        <w:rPr>
          <w:rFonts w:cs="Calibri"/>
          <w:szCs w:val="22"/>
        </w:rPr>
        <w:t xml:space="preserve"> Certification. The two liaison officers certify jointly on the converged record, as named human certifiers, and the certification publishes in the Bulletin and the Registry.</w:t>
      </w:r>
    </w:p>
    <w:p w14:paraId="017FC148" w14:textId="77777777" w:rsidR="008C4E6E" w:rsidRDefault="00000000">
      <w:r>
        <w:rPr>
          <w:rFonts w:cs="Calibri"/>
          <w:b/>
          <w:szCs w:val="22"/>
        </w:rPr>
        <w:t>20.3</w:t>
      </w:r>
      <w:r>
        <w:rPr>
          <w:rFonts w:cs="Calibri"/>
          <w:szCs w:val="22"/>
        </w:rPr>
        <w:t xml:space="preserve"> The target window. The design target places Gate Two certification on or about Day 60 after signature, under the Concurrent Activation Doctrine. The gate opens on proof, at the pace the water sets.</w:t>
      </w:r>
    </w:p>
    <w:p w14:paraId="1D268940" w14:textId="77777777" w:rsidR="008C4E6E" w:rsidRDefault="00000000">
      <w:r>
        <w:rPr>
          <w:rFonts w:cs="Calibri"/>
          <w:b/>
          <w:szCs w:val="22"/>
        </w:rPr>
        <w:t>20.4</w:t>
      </w:r>
      <w:r>
        <w:rPr>
          <w:rFonts w:cs="Calibri"/>
          <w:szCs w:val="22"/>
        </w:rPr>
        <w:t xml:space="preserve"> Legal consequence of Gate Two. Upon certification of Gate Two, the Executive Memorandum of Understanding of Layer Two stands adopted by the Directors of Maritime Affairs of the Founding Parties. The protocols of Layer Two remain advisory in character, and the memorandum commits the participants to operate them in good faith and to staff them continuously. Either participant withdraws from the memorandum on 30 days' written notice.</w:t>
      </w:r>
    </w:p>
    <w:p w14:paraId="6A6C2887" w14:textId="77777777" w:rsidR="008C4E6E" w:rsidRDefault="00000000">
      <w:pPr>
        <w:pStyle w:val="Heading1"/>
      </w:pPr>
      <w:bookmarkStart w:id="32" w:name="_Toc237650588"/>
      <w:r>
        <w:rPr>
          <w:rFonts w:cs="Calibri Light"/>
          <w:szCs w:val="36"/>
        </w:rPr>
        <w:t>Part IV: Layer Three: The Meso-Systems</w:t>
      </w:r>
      <w:bookmarkEnd w:id="32"/>
    </w:p>
    <w:p w14:paraId="525BA4F0" w14:textId="77777777" w:rsidR="008C4E6E" w:rsidRDefault="00000000">
      <w:r>
        <w:rPr>
          <w:rFonts w:cs="Calibri"/>
          <w:szCs w:val="22"/>
        </w:rPr>
        <w:t>Layer Three merges the working protocols into three coherent systems: an alert mesh that makes every mishap legible in minutes, a response mesh that puts help on the water in hours, and a shared environmental service that gives every mariner one forecast, one chart, and one hazard picture. The systems integrate function, not authority: each side still runs its own assets, and the mesh runs on shared formats.</w:t>
      </w:r>
    </w:p>
    <w:p w14:paraId="20D35DE9" w14:textId="77777777" w:rsidR="008C4E6E" w:rsidRDefault="00000000">
      <w:pPr>
        <w:pStyle w:val="Heading2"/>
      </w:pPr>
      <w:bookmarkStart w:id="33" w:name="_Toc237650589"/>
      <w:r>
        <w:rPr>
          <w:rFonts w:cs="Calibri Light"/>
          <w:szCs w:val="28"/>
        </w:rPr>
        <w:t>Article 21: The Incident-Alert Mesh</w:t>
      </w:r>
      <w:bookmarkEnd w:id="33"/>
    </w:p>
    <w:p w14:paraId="67C67B80" w14:textId="77777777" w:rsidR="008C4E6E" w:rsidRDefault="00000000">
      <w:r>
        <w:rPr>
          <w:rFonts w:cs="Calibri"/>
          <w:b/>
          <w:szCs w:val="22"/>
        </w:rPr>
        <w:t>21.1</w:t>
      </w:r>
      <w:r>
        <w:rPr>
          <w:rFonts w:cs="Calibri"/>
          <w:szCs w:val="22"/>
        </w:rPr>
        <w:t xml:space="preserve"> The mesh. On activation of Layer Three, the alert exercises of Cluster C consolidate into the standing Incident-Alert Mesh: dual-ping alerts, the mechanical-failure registry, engine-restart and anchor-drift alerts, fuel-leak and hazmat notifications, debris alerts, and the AIS blackout log, all running on the formats of Annex D with a fifteen-minute notification standard.</w:t>
      </w:r>
    </w:p>
    <w:p w14:paraId="447CBEC2" w14:textId="77777777" w:rsidR="008C4E6E" w:rsidRDefault="00000000">
      <w:r>
        <w:rPr>
          <w:rFonts w:cs="Calibri"/>
          <w:b/>
          <w:szCs w:val="22"/>
        </w:rPr>
        <w:t>21.2</w:t>
      </w:r>
      <w:r>
        <w:rPr>
          <w:rFonts w:cs="Calibri"/>
          <w:szCs w:val="22"/>
        </w:rPr>
        <w:t xml:space="preserve"> The mesh desk. Each center designates one duty officer per watch as mesh desk officer, responsible for sending and receiving mesh traffic. The mesh desks test the full alert suite weekly and publish the test results in the Registry.</w:t>
      </w:r>
    </w:p>
    <w:p w14:paraId="00AEE97A" w14:textId="77777777" w:rsidR="008C4E6E" w:rsidRDefault="00000000">
      <w:r>
        <w:rPr>
          <w:rFonts w:cs="Calibri"/>
          <w:b/>
          <w:szCs w:val="22"/>
        </w:rPr>
        <w:t>21.3</w:t>
      </w:r>
      <w:r>
        <w:rPr>
          <w:rFonts w:cs="Calibri"/>
          <w:szCs w:val="22"/>
        </w:rPr>
        <w:t xml:space="preserve"> The ninety-day review. At ninety days of mesh operation, the logbook cell issues a pattern report: alert counts by type, timeliness statistics, and recurring incident clusters by position. The report feeds the survey planning of Article 46 and the routing advisories of Article 17.</w:t>
      </w:r>
    </w:p>
    <w:p w14:paraId="513FAE5B" w14:textId="77777777" w:rsidR="008C4E6E" w:rsidRDefault="00000000">
      <w:r>
        <w:rPr>
          <w:rFonts w:cs="Calibri"/>
          <w:b/>
          <w:szCs w:val="22"/>
        </w:rPr>
        <w:t>21.4</w:t>
      </w:r>
      <w:r>
        <w:rPr>
          <w:rFonts w:cs="Calibri"/>
          <w:szCs w:val="22"/>
        </w:rPr>
        <w:t xml:space="preserve"> Non-attribution. Mesh traffic carries incident facts and never attribution commentary. The classification of any event belongs exclusively to the compliance engine of Article 54 in Layer Seven, and Layer Three classifies nothing.</w:t>
      </w:r>
    </w:p>
    <w:p w14:paraId="1310CC61" w14:textId="77777777" w:rsidR="008C4E6E" w:rsidRDefault="00000000">
      <w:pPr>
        <w:pStyle w:val="Heading2"/>
      </w:pPr>
      <w:bookmarkStart w:id="34" w:name="_Toc237650590"/>
      <w:r>
        <w:rPr>
          <w:rFonts w:cs="Calibri Light"/>
          <w:szCs w:val="28"/>
        </w:rPr>
        <w:lastRenderedPageBreak/>
        <w:t>Article 22: The Joint Drift-Prediction and Hazard Model</w:t>
      </w:r>
      <w:bookmarkEnd w:id="34"/>
    </w:p>
    <w:p w14:paraId="067D52B9" w14:textId="77777777" w:rsidR="008C4E6E" w:rsidRDefault="00000000">
      <w:r>
        <w:rPr>
          <w:rFonts w:cs="Calibri"/>
          <w:b/>
          <w:szCs w:val="22"/>
        </w:rPr>
        <w:t>22.1</w:t>
      </w:r>
      <w:r>
        <w:rPr>
          <w:rFonts w:cs="Calibri"/>
          <w:szCs w:val="22"/>
        </w:rPr>
        <w:t xml:space="preserve"> The drift model. The two vessel traffic services operate one joint drift-prediction model for disabled vessels in the Governance Area, fed by the wind, current, and tide data of the shared environmental service. Every prediction runs on both centers' screens within thirty minutes of a disablement report.</w:t>
      </w:r>
    </w:p>
    <w:p w14:paraId="10DB4080" w14:textId="77777777" w:rsidR="008C4E6E" w:rsidRDefault="00000000">
      <w:r>
        <w:rPr>
          <w:rFonts w:cs="Calibri"/>
          <w:b/>
          <w:szCs w:val="22"/>
        </w:rPr>
        <w:t>22.2</w:t>
      </w:r>
      <w:r>
        <w:rPr>
          <w:rFonts w:cs="Calibri"/>
          <w:szCs w:val="22"/>
        </w:rPr>
        <w:t xml:space="preserve"> The hazard register. The hazard bulletins and the debris, net, and unlit-buoy reports consolidate into the standing Hazard Register: one joint, continuously updated list of navigational hazards in the Governance Area, with positions, confidence levels, and clearance status. The register publishes with the daily bulletin.</w:t>
      </w:r>
    </w:p>
    <w:p w14:paraId="4646384E" w14:textId="77777777" w:rsidR="008C4E6E" w:rsidRDefault="00000000">
      <w:r>
        <w:rPr>
          <w:rFonts w:cs="Calibri"/>
          <w:b/>
          <w:szCs w:val="22"/>
        </w:rPr>
        <w:t>22.3</w:t>
      </w:r>
      <w:r>
        <w:rPr>
          <w:rFonts w:cs="Calibri"/>
          <w:szCs w:val="22"/>
        </w:rPr>
        <w:t xml:space="preserve"> Standing thresholds. The storm, swell, and visibility thresholds agreed in Exercises A-5 and A-7 stand as the published trigger values for advisories across the Governance Area, reviewable quarterly by the meteorological desk.</w:t>
      </w:r>
    </w:p>
    <w:p w14:paraId="0EEADEF5" w14:textId="77777777" w:rsidR="008C4E6E" w:rsidRDefault="00000000">
      <w:r>
        <w:rPr>
          <w:rFonts w:cs="Calibri"/>
          <w:b/>
          <w:szCs w:val="22"/>
        </w:rPr>
        <w:t>22.4</w:t>
      </w:r>
      <w:r>
        <w:rPr>
          <w:rFonts w:cs="Calibri"/>
          <w:szCs w:val="22"/>
        </w:rPr>
        <w:t xml:space="preserve"> Chart alignment. The two hydrographic offices complete the alignment of electronic chart data for the Governance Area on one datum and one symbol set, and each issues the aligned chart corrections in its notices to mariners.</w:t>
      </w:r>
    </w:p>
    <w:p w14:paraId="63780F94" w14:textId="77777777" w:rsidR="008C4E6E" w:rsidRDefault="00000000">
      <w:pPr>
        <w:pStyle w:val="Heading2"/>
      </w:pPr>
      <w:bookmarkStart w:id="35" w:name="_Toc237650591"/>
      <w:r>
        <w:rPr>
          <w:rFonts w:cs="Calibri Light"/>
          <w:szCs w:val="28"/>
        </w:rPr>
        <w:t>Article 23: The Response Mesh</w:t>
      </w:r>
      <w:bookmarkEnd w:id="35"/>
    </w:p>
    <w:p w14:paraId="0FFA91E9" w14:textId="77777777" w:rsidR="008C4E6E" w:rsidRDefault="00000000">
      <w:r>
        <w:rPr>
          <w:rFonts w:cs="Calibri"/>
          <w:b/>
          <w:szCs w:val="22"/>
        </w:rPr>
        <w:t>23.1</w:t>
      </w:r>
      <w:r>
        <w:rPr>
          <w:rFonts w:cs="Calibri"/>
          <w:szCs w:val="22"/>
        </w:rPr>
        <w:t xml:space="preserve"> The readiness matrix. The tow, tug, repair, and search and rescue lists of Cluster D consolidate into the standing Response Readiness Matrix: every response-capable asset in the eastern and western approaches, with readiness state, response time, and contact point, updated weekly and published in the Registry.</w:t>
      </w:r>
    </w:p>
    <w:p w14:paraId="1ABC55C3" w14:textId="77777777" w:rsidR="008C4E6E" w:rsidRDefault="00000000">
      <w:r>
        <w:rPr>
          <w:rFonts w:cs="Calibri"/>
          <w:b/>
          <w:szCs w:val="22"/>
        </w:rPr>
        <w:t>23.2</w:t>
      </w:r>
      <w:r>
        <w:rPr>
          <w:rFonts w:cs="Calibri"/>
          <w:szCs w:val="22"/>
        </w:rPr>
        <w:t xml:space="preserve"> First-nearer-dispatch. For any commercial vessel requesting assistance in the Governance Area, the nearer capable asset responds first, regardless of nationality, and the dispatching center informs the partner center within fifteen minutes. Assistance under this Article carries no charge to the assisted vessel beyond published commercial salvage practice outside this Covenant.</w:t>
      </w:r>
    </w:p>
    <w:p w14:paraId="4632E392" w14:textId="77777777" w:rsidR="008C4E6E" w:rsidRDefault="00000000">
      <w:r>
        <w:rPr>
          <w:rFonts w:cs="Calibri"/>
          <w:b/>
          <w:szCs w:val="22"/>
        </w:rPr>
        <w:t>23.3</w:t>
      </w:r>
      <w:r>
        <w:rPr>
          <w:rFonts w:cs="Calibri"/>
          <w:szCs w:val="22"/>
        </w:rPr>
        <w:t xml:space="preserve"> The quarterly drill. The two rescue coordination centers conduct one joint search and rescue drill per quarter, alternating between tabletop and live formats, within the safety exclusion framework of Annex A. Drill reports publish in the Registry.</w:t>
      </w:r>
    </w:p>
    <w:p w14:paraId="295127B1" w14:textId="77777777" w:rsidR="008C4E6E" w:rsidRDefault="00000000">
      <w:r>
        <w:rPr>
          <w:rFonts w:cs="Calibri"/>
          <w:b/>
          <w:szCs w:val="22"/>
        </w:rPr>
        <w:t>23.4</w:t>
      </w:r>
      <w:r>
        <w:rPr>
          <w:rFonts w:cs="Calibri"/>
          <w:szCs w:val="22"/>
        </w:rPr>
        <w:t xml:space="preserve"> The repair alignment. The repair scheduling mechanism of Exercise D-8 stands as permanent practice: surveyor, parts, tow, and dock converge in one aligned window for every disabled transiting vessel, coordinated by the two port authorities.</w:t>
      </w:r>
    </w:p>
    <w:p w14:paraId="296C6800" w14:textId="77777777" w:rsidR="008C4E6E" w:rsidRDefault="00000000">
      <w:pPr>
        <w:pStyle w:val="Heading2"/>
      </w:pPr>
      <w:bookmarkStart w:id="36" w:name="_Toc237650592"/>
      <w:r>
        <w:rPr>
          <w:rFonts w:cs="Calibri Light"/>
          <w:szCs w:val="28"/>
        </w:rPr>
        <w:lastRenderedPageBreak/>
        <w:t>Article 24: The Shared Weather and Hazard Service</w:t>
      </w:r>
      <w:bookmarkEnd w:id="36"/>
    </w:p>
    <w:p w14:paraId="3EDE9267" w14:textId="77777777" w:rsidR="008C4E6E" w:rsidRDefault="00000000">
      <w:r>
        <w:rPr>
          <w:rFonts w:cs="Calibri"/>
          <w:b/>
          <w:szCs w:val="22"/>
        </w:rPr>
        <w:t>24.1</w:t>
      </w:r>
      <w:r>
        <w:rPr>
          <w:rFonts w:cs="Calibri"/>
          <w:szCs w:val="22"/>
        </w:rPr>
        <w:t xml:space="preserve"> The service. The meteorological desk, the tide and swell products, and the calm-sea window service consolidate into the Shared Weather and Hazard Service: one joint daily forecast, one joint visibility and sea state chart, and one joint hazard bulletin for the Governance Area, issued at 06:00 and 18:00 Gulf Standard Time.</w:t>
      </w:r>
    </w:p>
    <w:p w14:paraId="7BA3616A" w14:textId="77777777" w:rsidR="008C4E6E" w:rsidRDefault="00000000">
      <w:r>
        <w:rPr>
          <w:rFonts w:cs="Calibri"/>
          <w:b/>
          <w:szCs w:val="22"/>
        </w:rPr>
        <w:t>24.2</w:t>
      </w:r>
      <w:r>
        <w:rPr>
          <w:rFonts w:cs="Calibri"/>
          <w:szCs w:val="22"/>
        </w:rPr>
        <w:t xml:space="preserve"> One wording. The service issues its products in one harmonized wording in English, Farsi, and Arabic. Mariners hear one forecast for the Strait, not two.</w:t>
      </w:r>
    </w:p>
    <w:p w14:paraId="45DD2435" w14:textId="77777777" w:rsidR="008C4E6E" w:rsidRDefault="00000000">
      <w:r>
        <w:rPr>
          <w:rFonts w:cs="Calibri"/>
          <w:b/>
          <w:szCs w:val="22"/>
        </w:rPr>
        <w:t>24.3</w:t>
      </w:r>
      <w:r>
        <w:rPr>
          <w:rFonts w:cs="Calibri"/>
          <w:szCs w:val="22"/>
        </w:rPr>
        <w:t xml:space="preserve"> The small-craft channel. The small-craft advisory practice of Exercise C-9 continues within the service, on the agreed small-craft broadcast schedule of Annex D.</w:t>
      </w:r>
    </w:p>
    <w:p w14:paraId="4FC2D31B" w14:textId="77777777" w:rsidR="008C4E6E" w:rsidRDefault="00000000">
      <w:r>
        <w:rPr>
          <w:rFonts w:cs="Calibri"/>
          <w:b/>
          <w:szCs w:val="22"/>
        </w:rPr>
        <w:t>24.4</w:t>
      </w:r>
      <w:r>
        <w:rPr>
          <w:rFonts w:cs="Calibri"/>
          <w:szCs w:val="22"/>
        </w:rPr>
        <w:t xml:space="preserve"> Publication symmetry. Every product of the service publishes simultaneously to both centers, to registered participants, and to the public mariners' channel, at identical latency.</w:t>
      </w:r>
    </w:p>
    <w:p w14:paraId="00298216" w14:textId="77777777" w:rsidR="008C4E6E" w:rsidRDefault="00000000">
      <w:pPr>
        <w:pStyle w:val="Heading2"/>
      </w:pPr>
      <w:bookmarkStart w:id="37" w:name="_Toc237650593"/>
      <w:r>
        <w:rPr>
          <w:rFonts w:cs="Calibri Light"/>
          <w:szCs w:val="28"/>
        </w:rPr>
        <w:t>Article 25: Gate Three: From Systems to Institutions</w:t>
      </w:r>
      <w:bookmarkEnd w:id="37"/>
    </w:p>
    <w:p w14:paraId="53704036" w14:textId="77777777" w:rsidR="008C4E6E" w:rsidRDefault="00000000">
      <w:r>
        <w:rPr>
          <w:rFonts w:cs="Calibri"/>
          <w:b/>
          <w:szCs w:val="22"/>
        </w:rPr>
        <w:t>25.1</w:t>
      </w:r>
      <w:r>
        <w:rPr>
          <w:rFonts w:cs="Calibri"/>
          <w:szCs w:val="22"/>
        </w:rPr>
        <w:t xml:space="preserve"> The gate. Layer Four activates when the Gate Three conditions certify complete: (a) the Incident-Alert Mesh operating at notification timeliness of ninety-five percent or better over twenty-one consecutive days; (b) the Response Readiness Matrix verified current, with one successful joint response or drill logged; (c) the Shared Weather and Hazard Service publishing without a missed issue for twenty-one consecutive days; and (d) the Hazard Register current, with every reported hazard actioned or surveyed within fourteen days.</w:t>
      </w:r>
    </w:p>
    <w:p w14:paraId="145C36A1" w14:textId="77777777" w:rsidR="008C4E6E" w:rsidRDefault="00000000">
      <w:r>
        <w:rPr>
          <w:rFonts w:cs="Calibri"/>
          <w:b/>
          <w:szCs w:val="22"/>
        </w:rPr>
        <w:t>25.2</w:t>
      </w:r>
      <w:r>
        <w:rPr>
          <w:rFonts w:cs="Calibri"/>
          <w:szCs w:val="22"/>
        </w:rPr>
        <w:t xml:space="preserve"> Certification. The two liaison officers certify jointly on the converged record and publish the certification. The design target places Gate Three on or about Day 75 after signature, concurrently with Gate Four.</w:t>
      </w:r>
    </w:p>
    <w:p w14:paraId="30A88CA4" w14:textId="77777777" w:rsidR="008C4E6E" w:rsidRDefault="00000000">
      <w:r>
        <w:rPr>
          <w:rFonts w:cs="Calibri"/>
          <w:b/>
          <w:szCs w:val="22"/>
        </w:rPr>
        <w:t>25.3</w:t>
      </w:r>
      <w:r>
        <w:rPr>
          <w:rFonts w:cs="Calibri"/>
          <w:szCs w:val="22"/>
        </w:rPr>
        <w:t xml:space="preserve"> What Layer Three proves. On certification, the record shows three joint systems running for a quarter of a year without institutional overhead: no treaty body, no secretariat, no budget line, and yet one alert standard, one response matrix, one forecast, and one hazard picture across two sovereign states. The architecture has now earned its first institutions.</w:t>
      </w:r>
    </w:p>
    <w:p w14:paraId="4D28345D" w14:textId="77777777" w:rsidR="008C4E6E" w:rsidRDefault="00000000">
      <w:r>
        <w:rPr>
          <w:rFonts w:cs="Calibri"/>
          <w:b/>
          <w:szCs w:val="22"/>
        </w:rPr>
        <w:t>25.4</w:t>
      </w:r>
      <w:r>
        <w:rPr>
          <w:rFonts w:cs="Calibri"/>
          <w:szCs w:val="22"/>
        </w:rPr>
        <w:t xml:space="preserve"> Legal consequence of Gate Three. Upon certification of Gate Three, the Administrative Arrangement of Layer Three stands executed by the Heads of Coast Guard and Hydrographic Offices, as Article 0.2 defines. The participating agencies operate the Incident-Alert Mesh, the Response Mesh, and the Shared Weather and Hazard Service in accordance with the published procedures. This arrangement binds the agencies, and the agency heads terminate it only by joint agreement.</w:t>
      </w:r>
    </w:p>
    <w:p w14:paraId="1A6DA3E3" w14:textId="77777777" w:rsidR="008C4E6E" w:rsidRDefault="00000000">
      <w:r>
        <w:br w:type="page"/>
      </w:r>
    </w:p>
    <w:p w14:paraId="7B34F59B" w14:textId="77777777" w:rsidR="008C4E6E" w:rsidRDefault="00000000">
      <w:pPr>
        <w:pStyle w:val="Heading1"/>
      </w:pPr>
      <w:bookmarkStart w:id="38" w:name="_Toc237650594"/>
      <w:r>
        <w:rPr>
          <w:rFonts w:cs="Calibri Light"/>
          <w:szCs w:val="36"/>
        </w:rPr>
        <w:lastRenderedPageBreak/>
        <w:t>Part V: Layer Four: The Proto-Governance</w:t>
      </w:r>
      <w:bookmarkEnd w:id="38"/>
    </w:p>
    <w:p w14:paraId="39BF39B7" w14:textId="77777777" w:rsidR="008C4E6E" w:rsidRDefault="00000000">
      <w:r>
        <w:rPr>
          <w:rFonts w:cs="Calibri"/>
          <w:szCs w:val="22"/>
        </w:rPr>
        <w:t>Layer Four builds the smallest institutions that still function: one cell, one desk, one review cycle, one crisis protocol. These bodies govern nothing yet. They watch, log, recommend, and remember. The design principle is institutional muscle memory before institutional power: the officers who run the charter's center in Layer Seven learn the room, the screens, and each other here, at one tenth of the scale.</w:t>
      </w:r>
    </w:p>
    <w:p w14:paraId="7815E570" w14:textId="77777777" w:rsidR="008C4E6E" w:rsidRDefault="00000000">
      <w:pPr>
        <w:pStyle w:val="Heading2"/>
      </w:pPr>
      <w:bookmarkStart w:id="39" w:name="_Toc237650595"/>
      <w:r>
        <w:rPr>
          <w:rFonts w:cs="Calibri Light"/>
          <w:szCs w:val="28"/>
        </w:rPr>
        <w:t>Article 26: The Calm Waters Cell</w:t>
      </w:r>
      <w:bookmarkEnd w:id="39"/>
    </w:p>
    <w:p w14:paraId="7B0FF039" w14:textId="77777777" w:rsidR="008C4E6E" w:rsidRDefault="00000000">
      <w:r>
        <w:rPr>
          <w:rFonts w:cs="Calibri"/>
          <w:b/>
          <w:szCs w:val="22"/>
        </w:rPr>
        <w:t>26.1</w:t>
      </w:r>
      <w:r>
        <w:rPr>
          <w:rFonts w:cs="Calibri"/>
          <w:szCs w:val="22"/>
        </w:rPr>
        <w:t xml:space="preserve"> The cell. On activation of Layer Four, the logbook cell and the oversight cell of Cluster E merge into the Calm Waters Cell: eight officers, four from each Founding Party, seated together in an existing facility of the Omani maritime administration in Muscat, with a mirrored desk in Bandar Abbas operating by video link during working hours.</w:t>
      </w:r>
    </w:p>
    <w:p w14:paraId="2D7FA256" w14:textId="77777777" w:rsidR="008C4E6E" w:rsidRDefault="00000000">
      <w:r>
        <w:rPr>
          <w:rFonts w:cs="Calibri"/>
          <w:b/>
          <w:szCs w:val="22"/>
        </w:rPr>
        <w:t>26.2</w:t>
      </w:r>
      <w:r>
        <w:rPr>
          <w:rFonts w:cs="Calibri"/>
          <w:szCs w:val="22"/>
        </w:rPr>
        <w:t xml:space="preserve"> Functions. The Cell keeps the standing logbook; monitors the alert mesh, the response matrix, and the weather service against their published standards; reviews every exercise sheet and result sheet; and issues one weekly stability note to the two liaison officers. The Cell holds no authority over any vessel, any officer, or any participant. Its product is the record.</w:t>
      </w:r>
    </w:p>
    <w:p w14:paraId="148378D0" w14:textId="77777777" w:rsidR="008C4E6E" w:rsidRDefault="00000000">
      <w:r>
        <w:rPr>
          <w:rFonts w:cs="Calibri"/>
          <w:b/>
          <w:szCs w:val="22"/>
        </w:rPr>
        <w:t>26.3</w:t>
      </w:r>
      <w:r>
        <w:rPr>
          <w:rFonts w:cs="Calibri"/>
          <w:szCs w:val="22"/>
        </w:rPr>
        <w:t xml:space="preserve"> Staffing and conduct. Cell officers serve six-month rotations, carry the identity format of Annex D, and answer to the published rules and to their two liaison officers jointly. No participant issues a unilateral instruction to a Cell officer of the other nationality; a conflicting national instruction goes to the liaison channel, never to the Cell.</w:t>
      </w:r>
    </w:p>
    <w:p w14:paraId="12BE868D" w14:textId="77777777" w:rsidR="008C4E6E" w:rsidRDefault="00000000">
      <w:r>
        <w:rPr>
          <w:rFonts w:cs="Calibri"/>
          <w:b/>
          <w:szCs w:val="22"/>
        </w:rPr>
        <w:t>26.4</w:t>
      </w:r>
      <w:r>
        <w:rPr>
          <w:rFonts w:cs="Calibri"/>
          <w:szCs w:val="22"/>
        </w:rPr>
        <w:t xml:space="preserve"> Budget. The Cell runs on seconded personnel and existing facilities. Its incremental cost stays under two hundred thousand United States dollars per year, carried equally by the Founding Parties as an in-kind contribution.</w:t>
      </w:r>
    </w:p>
    <w:p w14:paraId="323C9189" w14:textId="77777777" w:rsidR="008C4E6E" w:rsidRDefault="00000000">
      <w:pPr>
        <w:pStyle w:val="Heading2"/>
      </w:pPr>
      <w:bookmarkStart w:id="40" w:name="_Toc237650596"/>
      <w:r>
        <w:rPr>
          <w:rFonts w:cs="Calibri Light"/>
          <w:szCs w:val="28"/>
        </w:rPr>
        <w:t>Article 27: The Joint Coordination Desk</w:t>
      </w:r>
      <w:bookmarkEnd w:id="40"/>
    </w:p>
    <w:p w14:paraId="58A80517" w14:textId="77777777" w:rsidR="008C4E6E" w:rsidRDefault="00000000">
      <w:r>
        <w:rPr>
          <w:rFonts w:cs="Calibri"/>
          <w:b/>
          <w:szCs w:val="22"/>
        </w:rPr>
        <w:t>27.1</w:t>
      </w:r>
      <w:r>
        <w:rPr>
          <w:rFonts w:cs="Calibri"/>
          <w:szCs w:val="22"/>
        </w:rPr>
        <w:t xml:space="preserve"> The desk. The Calm Waters Cell operates the Joint Coordination Desk: one shared screen stack displaying the pilot corridor log, the mesh traffic, the readiness matrix, the weather service products, and the hazard register, in Muscat and in the Bandar Abbas mirror at identical latency.</w:t>
      </w:r>
    </w:p>
    <w:p w14:paraId="40D838C5" w14:textId="77777777" w:rsidR="008C4E6E" w:rsidRDefault="00000000">
      <w:r>
        <w:rPr>
          <w:rFonts w:cs="Calibri"/>
          <w:b/>
          <w:szCs w:val="22"/>
        </w:rPr>
        <w:t>27.2</w:t>
      </w:r>
      <w:r>
        <w:rPr>
          <w:rFonts w:cs="Calibri"/>
          <w:szCs w:val="22"/>
        </w:rPr>
        <w:t xml:space="preserve"> The daily synthesis. The Desk issues one daily synthesis at 18:00: traffic counts, alerts, advisories, hazards, and weather, on one page. The synthesis publishes to the Registry and to the liaison officers.</w:t>
      </w:r>
    </w:p>
    <w:p w14:paraId="4206A93F" w14:textId="77777777" w:rsidR="008C4E6E" w:rsidRDefault="00000000">
      <w:r>
        <w:rPr>
          <w:rFonts w:cs="Calibri"/>
          <w:b/>
          <w:szCs w:val="22"/>
        </w:rPr>
        <w:t>27.3</w:t>
      </w:r>
      <w:r>
        <w:rPr>
          <w:rFonts w:cs="Calibri"/>
          <w:szCs w:val="22"/>
        </w:rPr>
        <w:t xml:space="preserve"> The systems standard. The Desk runs on commercial, off-the-shelf components with published interfaces, per the compatibility audit of Exercise E-9. No proprietary lock-in attaches to any function, and the Desk's full data exports to either Founding Party on request within twenty-four hours.</w:t>
      </w:r>
    </w:p>
    <w:p w14:paraId="14979AE6" w14:textId="77777777" w:rsidR="008C4E6E" w:rsidRDefault="00000000">
      <w:r>
        <w:rPr>
          <w:rFonts w:cs="Calibri"/>
          <w:b/>
          <w:szCs w:val="22"/>
        </w:rPr>
        <w:lastRenderedPageBreak/>
        <w:t>27.4</w:t>
      </w:r>
      <w:r>
        <w:rPr>
          <w:rFonts w:cs="Calibri"/>
          <w:szCs w:val="22"/>
        </w:rPr>
        <w:t xml:space="preserve"> Mirror discipline. If one site degrades for any reason, the other carries the full function alone, and the degraded site's officers relocate their work to the functioning site's remote access bridge within one hour. The mirror discipline removes every single point of failure from the nerve center, and Layer Seven inherits it unchanged.</w:t>
      </w:r>
    </w:p>
    <w:p w14:paraId="171E2833" w14:textId="77777777" w:rsidR="008C4E6E" w:rsidRDefault="00000000">
      <w:pPr>
        <w:pStyle w:val="Heading2"/>
      </w:pPr>
      <w:bookmarkStart w:id="41" w:name="_Toc237650597"/>
      <w:r>
        <w:rPr>
          <w:rFonts w:cs="Calibri Light"/>
          <w:szCs w:val="28"/>
        </w:rPr>
        <w:t>Article 28: The Quarterly Review Cycle</w:t>
      </w:r>
      <w:bookmarkEnd w:id="41"/>
    </w:p>
    <w:p w14:paraId="7AF8DA4E" w14:textId="77777777" w:rsidR="008C4E6E" w:rsidRDefault="00000000">
      <w:r>
        <w:rPr>
          <w:rFonts w:cs="Calibri"/>
          <w:b/>
          <w:szCs w:val="22"/>
        </w:rPr>
        <w:t>28.1</w:t>
      </w:r>
      <w:r>
        <w:rPr>
          <w:rFonts w:cs="Calibri"/>
          <w:szCs w:val="22"/>
        </w:rPr>
        <w:t xml:space="preserve"> The review. Every ninety days, the two liaison officers and the Cell conduct the Quarterly Review: gate status, system performance against published standards, incident patterns, and recommendations for modification, pause, or expansion of any Layer Two or Layer Three element.</w:t>
      </w:r>
    </w:p>
    <w:p w14:paraId="37DBE1DD" w14:textId="77777777" w:rsidR="008C4E6E" w:rsidRDefault="00000000">
      <w:r>
        <w:rPr>
          <w:rFonts w:cs="Calibri"/>
          <w:b/>
          <w:szCs w:val="22"/>
        </w:rPr>
        <w:t>28.2</w:t>
      </w:r>
      <w:r>
        <w:rPr>
          <w:rFonts w:cs="Calibri"/>
          <w:szCs w:val="22"/>
        </w:rPr>
        <w:t xml:space="preserve"> The one-page discipline. Each review issues one public page of findings and one Registry annex of detail. The page states what works, what strains, and what the reviewers recommend. Recommendations bind no one; the liaison officers adopt, adapt, or decline them by exchange of notes within fourteen days.</w:t>
      </w:r>
    </w:p>
    <w:p w14:paraId="0974BB1F" w14:textId="77777777" w:rsidR="008C4E6E" w:rsidRDefault="00000000">
      <w:r>
        <w:rPr>
          <w:rFonts w:cs="Calibri"/>
          <w:b/>
          <w:szCs w:val="22"/>
        </w:rPr>
        <w:t>28.3</w:t>
      </w:r>
      <w:r>
        <w:rPr>
          <w:rFonts w:cs="Calibri"/>
          <w:szCs w:val="22"/>
        </w:rPr>
        <w:t xml:space="preserve"> The standing agenda. The review follows the standing agenda of Annex D: metrics first, incidents second, money third, politics never. A review that drifts into political controversy adjourns the item to the mediator channel of the facilitators, and the operational agenda continues.</w:t>
      </w:r>
    </w:p>
    <w:p w14:paraId="5E3B53F3" w14:textId="77777777" w:rsidR="008C4E6E" w:rsidRDefault="00000000">
      <w:r>
        <w:rPr>
          <w:rFonts w:cs="Calibri"/>
          <w:b/>
          <w:szCs w:val="22"/>
        </w:rPr>
        <w:t>28.4</w:t>
      </w:r>
      <w:r>
        <w:rPr>
          <w:rFonts w:cs="Calibri"/>
          <w:szCs w:val="22"/>
        </w:rPr>
        <w:t xml:space="preserve"> Banked continuity. A review that reaches no conclusion leaves every mechanism running in its previous state, under the Standing Continuity Guarantee.</w:t>
      </w:r>
    </w:p>
    <w:p w14:paraId="25107A41" w14:textId="77777777" w:rsidR="008C4E6E" w:rsidRDefault="00000000">
      <w:pPr>
        <w:pStyle w:val="Heading2"/>
      </w:pPr>
      <w:bookmarkStart w:id="42" w:name="_Toc237650598"/>
      <w:r>
        <w:rPr>
          <w:rFonts w:cs="Calibri Light"/>
          <w:szCs w:val="28"/>
        </w:rPr>
        <w:t>Article 29: Crisis-Mode Coordination</w:t>
      </w:r>
      <w:bookmarkEnd w:id="42"/>
    </w:p>
    <w:p w14:paraId="042ED573" w14:textId="77777777" w:rsidR="008C4E6E" w:rsidRDefault="00000000">
      <w:r>
        <w:rPr>
          <w:rFonts w:cs="Calibri"/>
          <w:b/>
          <w:szCs w:val="22"/>
        </w:rPr>
        <w:t>29.1</w:t>
      </w:r>
      <w:r>
        <w:rPr>
          <w:rFonts w:cs="Calibri"/>
          <w:szCs w:val="22"/>
        </w:rPr>
        <w:t xml:space="preserve"> The trigger. Either liaison officer calls crisis mode on credible threat information affecting the pilot corridors or the Governance Area: a specific warning, an anomalous concentration of forces, a spike in interference, or a pattern of unexplained mesh events. The call runs through the hotline of Article 47 and enters the Registry.</w:t>
      </w:r>
    </w:p>
    <w:p w14:paraId="13BF5B58" w14:textId="77777777" w:rsidR="008C4E6E" w:rsidRDefault="00000000">
      <w:r>
        <w:rPr>
          <w:rFonts w:cs="Calibri"/>
          <w:b/>
          <w:szCs w:val="22"/>
        </w:rPr>
        <w:t>29.2</w:t>
      </w:r>
      <w:r>
        <w:rPr>
          <w:rFonts w:cs="Calibri"/>
          <w:szCs w:val="22"/>
        </w:rPr>
        <w:t xml:space="preserve"> The posture. Crisis mode runs for seventy-two hours: the Cell moves to a twenty-four-hour watch; the liaison officers hold a check call every six hours; advisory issuance doubles in frequency; and public attribution freezes under the holding statements of Annex H.</w:t>
      </w:r>
    </w:p>
    <w:p w14:paraId="2F200C25" w14:textId="77777777" w:rsidR="008C4E6E" w:rsidRDefault="00000000">
      <w:r>
        <w:rPr>
          <w:rFonts w:cs="Calibri"/>
          <w:b/>
          <w:szCs w:val="22"/>
        </w:rPr>
        <w:t>29.3</w:t>
      </w:r>
      <w:r>
        <w:rPr>
          <w:rFonts w:cs="Calibri"/>
          <w:szCs w:val="22"/>
        </w:rPr>
        <w:t xml:space="preserve"> Traffic never pauses. The pilot corridors and all transit continue under heightened observation. The daily synthesis states the crisis mode in one plain sentence without operational detail.</w:t>
      </w:r>
    </w:p>
    <w:p w14:paraId="7B7EC4B9" w14:textId="77777777" w:rsidR="008C4E6E" w:rsidRDefault="00000000">
      <w:r>
        <w:rPr>
          <w:rFonts w:cs="Calibri"/>
          <w:b/>
          <w:szCs w:val="22"/>
        </w:rPr>
        <w:t>29.4</w:t>
      </w:r>
      <w:r>
        <w:rPr>
          <w:rFonts w:cs="Calibri"/>
          <w:szCs w:val="22"/>
        </w:rPr>
        <w:t xml:space="preserve"> Expiry. Crisis mode expires automatically at seventy-two hours. The liaison officers jointly extend it once, by twenty-four hours, with reasons recorded. A continuing threat goes to the facilitator channel, not to an endless crisis mode. Every activation closes with a lessons record: trigger quality, response cost, and false-alarm rate.</w:t>
      </w:r>
    </w:p>
    <w:p w14:paraId="494DF2E1" w14:textId="77777777" w:rsidR="008C4E6E" w:rsidRDefault="00000000">
      <w:pPr>
        <w:pStyle w:val="Heading2"/>
      </w:pPr>
      <w:bookmarkStart w:id="43" w:name="_Toc237650599"/>
      <w:r>
        <w:rPr>
          <w:rFonts w:cs="Calibri Light"/>
          <w:szCs w:val="28"/>
        </w:rPr>
        <w:lastRenderedPageBreak/>
        <w:t>Article 30: Gate Four: From Institutions to Simulation</w:t>
      </w:r>
      <w:bookmarkEnd w:id="43"/>
    </w:p>
    <w:p w14:paraId="4E6B7D60" w14:textId="77777777" w:rsidR="008C4E6E" w:rsidRDefault="00000000">
      <w:r>
        <w:rPr>
          <w:rFonts w:cs="Calibri"/>
          <w:b/>
          <w:szCs w:val="22"/>
        </w:rPr>
        <w:t>30.1</w:t>
      </w:r>
      <w:r>
        <w:rPr>
          <w:rFonts w:cs="Calibri"/>
          <w:szCs w:val="22"/>
        </w:rPr>
        <w:t xml:space="preserve"> The gate. Layer Five activates when the Gate Four conditions certify complete: (a) the Calm Waters Cell operating for thirty consecutive days with the weekly stability note published on schedule; (b) one review cycle completed on the one-page discipline, with recommendation closure at seventy percent or better; (c) the daily synthesis published on ninety-five percent or better of days; (d) the Early Fee Simulation of Article 18.6 running, with its interim report published; and (e) any crisis-mode activations closed with lessons records filed.</w:t>
      </w:r>
    </w:p>
    <w:p w14:paraId="0CB5AB56" w14:textId="77777777" w:rsidR="008C4E6E" w:rsidRDefault="00000000">
      <w:r>
        <w:rPr>
          <w:rFonts w:cs="Calibri"/>
          <w:b/>
          <w:szCs w:val="22"/>
        </w:rPr>
        <w:t>30.2</w:t>
      </w:r>
      <w:r>
        <w:rPr>
          <w:rFonts w:cs="Calibri"/>
          <w:szCs w:val="22"/>
        </w:rPr>
        <w:t xml:space="preserve"> Certification. The two liaison officers certify jointly on the converged record and publish the certification. The design target places Gate Four on or about Day 75 after signature, concurrently with Gate Three.</w:t>
      </w:r>
    </w:p>
    <w:p w14:paraId="307AC574" w14:textId="77777777" w:rsidR="008C4E6E" w:rsidRDefault="00000000">
      <w:r>
        <w:rPr>
          <w:rFonts w:cs="Calibri"/>
          <w:b/>
          <w:szCs w:val="22"/>
        </w:rPr>
        <w:t>30.3</w:t>
      </w:r>
      <w:r>
        <w:rPr>
          <w:rFonts w:cs="Calibri"/>
          <w:szCs w:val="22"/>
        </w:rPr>
        <w:t xml:space="preserve"> Early start absorbed. The Early Fee Simulation of Article 18.6 opens the financial track at Day 30 under the Concurrent Activation Doctrine, and the former parallel-early-start mechanism of this Article stands absorbed into Article 18.6. Every other element of Layer Five waits for its gate.</w:t>
      </w:r>
    </w:p>
    <w:p w14:paraId="70F5CA5B" w14:textId="77777777" w:rsidR="008C4E6E" w:rsidRDefault="00000000">
      <w:r>
        <w:rPr>
          <w:rFonts w:cs="Calibri"/>
          <w:b/>
          <w:szCs w:val="22"/>
        </w:rPr>
        <w:t>30.4</w:t>
      </w:r>
      <w:r>
        <w:rPr>
          <w:rFonts w:cs="Calibri"/>
          <w:szCs w:val="22"/>
        </w:rPr>
        <w:t xml:space="preserve"> Legal consequence of Gate Four. Upon certification of Gate Four, the Inter-Governmental Memorandum of Understanding of Layer Four enters into force upon signature by the Foreign Ministers of the Founding Parties. The memorandum commits their governments to the permanent staffing of the Calm Waters Cell, the Joint Coordination Desk, and the Quarterly Review Cycle. It constitutes a binding political commitment at the governmental level, and termination occurs only through 90 days' written notice from a Founding Party.</w:t>
      </w:r>
    </w:p>
    <w:p w14:paraId="2060EF62" w14:textId="77777777" w:rsidR="008C4E6E" w:rsidRDefault="00000000">
      <w:pPr>
        <w:pStyle w:val="Heading1"/>
      </w:pPr>
      <w:bookmarkStart w:id="44" w:name="_Toc237650600"/>
      <w:r>
        <w:rPr>
          <w:rFonts w:cs="Calibri Light"/>
          <w:szCs w:val="36"/>
        </w:rPr>
        <w:t>Part VI: Layer Five: The Simulation Layer</w:t>
      </w:r>
      <w:bookmarkEnd w:id="44"/>
    </w:p>
    <w:p w14:paraId="41CC52DA" w14:textId="77777777" w:rsidR="008C4E6E" w:rsidRDefault="00000000">
      <w:r>
        <w:rPr>
          <w:rFonts w:cs="Calibri"/>
          <w:szCs w:val="22"/>
        </w:rPr>
        <w:t>Layer Five is where the architecture takes on the hardest question of the summer of 2026 without asking anyone to decide it: the money. Simulation lets every side see the full financial future of the Strait, in numbers, before anyone commits to it. No money moves in this layer. No invoice issues. No obligation forms. Every model runs on real traffic data and published assumptions, and every result publishes to every participant at once.</w:t>
      </w:r>
    </w:p>
    <w:p w14:paraId="56933D46" w14:textId="77777777" w:rsidR="008C4E6E" w:rsidRDefault="00000000">
      <w:pPr>
        <w:pStyle w:val="Heading2"/>
      </w:pPr>
      <w:bookmarkStart w:id="45" w:name="_Toc237650601"/>
      <w:r>
        <w:rPr>
          <w:rFonts w:cs="Calibri Light"/>
          <w:szCs w:val="28"/>
        </w:rPr>
        <w:t>Article 31: The Simulation Rule</w:t>
      </w:r>
      <w:bookmarkEnd w:id="45"/>
    </w:p>
    <w:p w14:paraId="69A29C97" w14:textId="77777777" w:rsidR="008C4E6E" w:rsidRDefault="00000000">
      <w:r>
        <w:rPr>
          <w:rFonts w:cs="Calibri"/>
          <w:b/>
          <w:szCs w:val="22"/>
        </w:rPr>
        <w:t>31.1</w:t>
      </w:r>
      <w:r>
        <w:rPr>
          <w:rFonts w:cs="Calibri"/>
          <w:szCs w:val="22"/>
        </w:rPr>
        <w:t xml:space="preserve"> Non-commitment. A simulation under this Covenant creates no obligation, no precedent, and no expectation. The cover page of every simulation report carries one sentence: this model describes a possible system; it commits no one to anything.</w:t>
      </w:r>
    </w:p>
    <w:p w14:paraId="1E5E37DB" w14:textId="77777777" w:rsidR="008C4E6E" w:rsidRDefault="00000000">
      <w:r>
        <w:rPr>
          <w:rFonts w:cs="Calibri"/>
          <w:b/>
          <w:szCs w:val="22"/>
        </w:rPr>
        <w:t>31.2</w:t>
      </w:r>
      <w:r>
        <w:rPr>
          <w:rFonts w:cs="Calibri"/>
          <w:szCs w:val="22"/>
        </w:rPr>
        <w:t xml:space="preserve"> Shared inputs. Every simulation runs on shared, verified inputs: actual traffic counts from the pilot corridor log, actual service delivery records from the alert and response systems, and published cost </w:t>
      </w:r>
      <w:r>
        <w:rPr>
          <w:rFonts w:cs="Calibri"/>
          <w:szCs w:val="22"/>
        </w:rPr>
        <w:lastRenderedPageBreak/>
        <w:t>data from the two maritime administrations. The Neutral Verification Office of Layer Seven, or, before its activation, an auditor designated by the Swiss facilitator, verifies the inputs.</w:t>
      </w:r>
    </w:p>
    <w:p w14:paraId="1F918EB9" w14:textId="77777777" w:rsidR="008C4E6E" w:rsidRDefault="00000000">
      <w:r>
        <w:rPr>
          <w:rFonts w:cs="Calibri"/>
          <w:b/>
          <w:szCs w:val="22"/>
        </w:rPr>
        <w:t>31.3</w:t>
      </w:r>
      <w:r>
        <w:rPr>
          <w:rFonts w:cs="Calibri"/>
          <w:szCs w:val="22"/>
        </w:rPr>
        <w:t xml:space="preserve"> Parallel modeling. Each side runs its own model, and the Cell runs the reconciliation. Two models that converge within ten percent on every major line item certify as converged. Divergent lines publish with both values and both assumptions. The architecture treats divergence as information, not failure.</w:t>
      </w:r>
    </w:p>
    <w:p w14:paraId="2E1D1198" w14:textId="77777777" w:rsidR="008C4E6E" w:rsidRDefault="00000000">
      <w:r>
        <w:rPr>
          <w:rFonts w:cs="Calibri"/>
          <w:b/>
          <w:szCs w:val="22"/>
        </w:rPr>
        <w:t>31.4</w:t>
      </w:r>
      <w:r>
        <w:rPr>
          <w:rFonts w:cs="Calibri"/>
          <w:szCs w:val="22"/>
        </w:rPr>
        <w:t xml:space="preserve"> Publication. Every simulation report publishes to all participants simultaneously, and a summary version publishes to the market. No side reads the other's numbers late.</w:t>
      </w:r>
    </w:p>
    <w:p w14:paraId="2C38CB83" w14:textId="77777777" w:rsidR="008C4E6E" w:rsidRDefault="00000000">
      <w:pPr>
        <w:pStyle w:val="Heading2"/>
      </w:pPr>
      <w:bookmarkStart w:id="46" w:name="_Toc237650602"/>
      <w:r>
        <w:rPr>
          <w:rFonts w:cs="Calibri Light"/>
          <w:szCs w:val="28"/>
        </w:rPr>
        <w:t>Article 32: The Fee Simulation</w:t>
      </w:r>
      <w:bookmarkEnd w:id="46"/>
    </w:p>
    <w:p w14:paraId="19E42B85" w14:textId="77777777" w:rsidR="008C4E6E" w:rsidRDefault="00000000">
      <w:r>
        <w:rPr>
          <w:rFonts w:cs="Calibri"/>
          <w:b/>
          <w:szCs w:val="22"/>
        </w:rPr>
        <w:t>32.1</w:t>
      </w:r>
      <w:r>
        <w:rPr>
          <w:rFonts w:cs="Calibri"/>
          <w:szCs w:val="22"/>
        </w:rPr>
        <w:t xml:space="preserve"> Purpose. The Fee Simulation of this Article runs as the Full Simulation of the financial question: it expands the Early Fee Simulation of Article 18.6 to full-scale modeling of the entire charter architecture, and it tests, on paper, the three financial models that the public negotiation has produced, so that the eventual settlement rests on numbers rather than slogans. The three models: first, a toll model, charging per transit, included because the public debate contains it and because measuring it ends the debate; second, a direct service-fee model, charging ships for services at the point of passage; third, the multilateral fund model of Article 51, in which passage carries no charge and verified service costs reimburse from a neutrally administered fund. The Full Simulation builds on the data and methodology of the Early Fee Simulation. It never restarts the financial question; it refines the answer.</w:t>
      </w:r>
    </w:p>
    <w:p w14:paraId="6166595E" w14:textId="77777777" w:rsidR="008C4E6E" w:rsidRDefault="00000000">
      <w:r>
        <w:rPr>
          <w:rFonts w:cs="Calibri"/>
          <w:b/>
          <w:szCs w:val="22"/>
        </w:rPr>
        <w:t>32.2</w:t>
      </w:r>
      <w:r>
        <w:rPr>
          <w:rFonts w:cs="Calibri"/>
          <w:szCs w:val="22"/>
        </w:rPr>
        <w:t xml:space="preserve"> The metrics. Each model runs against the same five tests: legal compatibility with the zero-toll line of the Declaration; industry acceptability, measured by the published positions of the shipping associations; sanctions compatibility, assessed by the Swiss facilitator's counsel; revenue adequacy for the audited service costs of the coastal states; and political survivability in each capital, assessed by each participant for itself, in private annexes that never publish.</w:t>
      </w:r>
    </w:p>
    <w:p w14:paraId="2E7F5300" w14:textId="77777777" w:rsidR="008C4E6E" w:rsidRDefault="00000000">
      <w:r>
        <w:rPr>
          <w:rFonts w:cs="Calibri"/>
          <w:b/>
          <w:szCs w:val="22"/>
        </w:rPr>
        <w:t>32.3</w:t>
      </w:r>
      <w:r>
        <w:rPr>
          <w:rFonts w:cs="Calibri"/>
          <w:szCs w:val="22"/>
        </w:rPr>
        <w:t xml:space="preserve"> The traffic basis. The simulation uses the actual verified traffic of the preceding ninety days, scaled to the pre-crisis norm of approximately ninety vessel transits per day, with sensitivity bands at plus and minus twenty percent.</w:t>
      </w:r>
    </w:p>
    <w:p w14:paraId="659FF765" w14:textId="77777777" w:rsidR="008C4E6E" w:rsidRDefault="00000000">
      <w:r>
        <w:rPr>
          <w:rFonts w:cs="Calibri"/>
          <w:b/>
          <w:szCs w:val="22"/>
        </w:rPr>
        <w:t>32.4</w:t>
      </w:r>
      <w:r>
        <w:rPr>
          <w:rFonts w:cs="Calibri"/>
          <w:szCs w:val="22"/>
        </w:rPr>
        <w:t xml:space="preserve"> The expected finding. The design anticipates, on the evidence of the Malacca record and the published positions of the shipping industry, that the toll model fails the legal and industry tests, that the direct service-fee model fails the sanctions and industry tests, and that the fund model passes every test. The simulation exists to let the parties discover this finding in their own numbers rather than concede it in a negotiating room.</w:t>
      </w:r>
    </w:p>
    <w:p w14:paraId="44E2DA13" w14:textId="77777777" w:rsidR="008C4E6E" w:rsidRDefault="00000000">
      <w:r>
        <w:rPr>
          <w:rFonts w:cs="Calibri"/>
          <w:b/>
          <w:szCs w:val="22"/>
        </w:rPr>
        <w:t>32.5</w:t>
      </w:r>
      <w:r>
        <w:rPr>
          <w:rFonts w:cs="Calibri"/>
          <w:szCs w:val="22"/>
        </w:rPr>
        <w:t xml:space="preserve"> Duration. The Full Simulation runs from Day 60 to Day 90 and issues one consolidated report at Day 90, expanding the interim and final reports of the Early Fee Simulation. The consolidated report feeds the settlement article of the Final Charter, Article 50, without binding it.</w:t>
      </w:r>
    </w:p>
    <w:p w14:paraId="4DD4D275" w14:textId="77777777" w:rsidR="008C4E6E" w:rsidRDefault="00000000">
      <w:pPr>
        <w:pStyle w:val="Heading2"/>
      </w:pPr>
      <w:bookmarkStart w:id="47" w:name="_Toc237650603"/>
      <w:r>
        <w:rPr>
          <w:rFonts w:cs="Calibri Light"/>
          <w:szCs w:val="28"/>
        </w:rPr>
        <w:lastRenderedPageBreak/>
        <w:t>Article 33: The Corridor-Expansion and Traffic Simulations</w:t>
      </w:r>
      <w:bookmarkEnd w:id="47"/>
    </w:p>
    <w:p w14:paraId="789ABE3F" w14:textId="77777777" w:rsidR="008C4E6E" w:rsidRDefault="00000000">
      <w:r>
        <w:rPr>
          <w:rFonts w:cs="Calibri"/>
          <w:b/>
          <w:szCs w:val="22"/>
        </w:rPr>
        <w:t>33.1</w:t>
      </w:r>
      <w:r>
        <w:rPr>
          <w:rFonts w:cs="Calibri"/>
          <w:szCs w:val="22"/>
        </w:rPr>
        <w:t xml:space="preserve"> Corridor expansion. The Cell models the traffic, incident, and workload effects of extending the pilot corridors to the full three-corridor geometry of Part VIII, using the incident patterns of the alert mesh and the compliance data of the pilot program. The model produces the recommended activation sequence for Layer Six.</w:t>
      </w:r>
    </w:p>
    <w:p w14:paraId="63817EBB" w14:textId="77777777" w:rsidR="008C4E6E" w:rsidRDefault="00000000">
      <w:r>
        <w:rPr>
          <w:rFonts w:cs="Calibri"/>
          <w:b/>
          <w:szCs w:val="22"/>
        </w:rPr>
        <w:t>33.2</w:t>
      </w:r>
      <w:r>
        <w:rPr>
          <w:rFonts w:cs="Calibri"/>
          <w:szCs w:val="22"/>
        </w:rPr>
        <w:t xml:space="preserve"> Traffic-flow optimization. The Cell models convoy windows, spacing standards, and calm-sea window usage against total daily throughput, to give Layer Six a published answer to the question the market asks first: how many ships per day, at what spacing, at what risk level.</w:t>
      </w:r>
    </w:p>
    <w:p w14:paraId="79E7B1E8" w14:textId="77777777" w:rsidR="008C4E6E" w:rsidRDefault="00000000">
      <w:r>
        <w:rPr>
          <w:rFonts w:cs="Calibri"/>
          <w:b/>
          <w:szCs w:val="22"/>
        </w:rPr>
        <w:t>33.3</w:t>
      </w:r>
      <w:r>
        <w:rPr>
          <w:rFonts w:cs="Calibri"/>
          <w:szCs w:val="22"/>
        </w:rPr>
        <w:t xml:space="preserve"> Response-load modeling. The Cell models search and rescue and tow demand against traffic growth, and sizes the standing response matrix of Layer Seven accordingly.</w:t>
      </w:r>
    </w:p>
    <w:p w14:paraId="48A119A7" w14:textId="77777777" w:rsidR="008C4E6E" w:rsidRDefault="00000000">
      <w:pPr>
        <w:pStyle w:val="Heading2"/>
      </w:pPr>
      <w:bookmarkStart w:id="48" w:name="_Toc237650604"/>
      <w:r>
        <w:rPr>
          <w:rFonts w:cs="Calibri Light"/>
          <w:szCs w:val="28"/>
        </w:rPr>
        <w:t>Article 34: The Insurance and Market Impact Model</w:t>
      </w:r>
      <w:bookmarkEnd w:id="48"/>
    </w:p>
    <w:p w14:paraId="6761E59F" w14:textId="77777777" w:rsidR="008C4E6E" w:rsidRDefault="00000000">
      <w:r>
        <w:rPr>
          <w:rFonts w:cs="Calibri"/>
          <w:b/>
          <w:szCs w:val="22"/>
        </w:rPr>
        <w:t>34.1</w:t>
      </w:r>
      <w:r>
        <w:rPr>
          <w:rFonts w:cs="Calibri"/>
          <w:szCs w:val="22"/>
        </w:rPr>
        <w:t xml:space="preserve"> The model. The Cell, with the Industry Panel, models war-risk premium behavior against each layer of the architecture: micro-exercise completion, pilot corridor operation, mesh operation, and charter activation. The model uses the published premium data of the London war-risk market.</w:t>
      </w:r>
    </w:p>
    <w:p w14:paraId="31B2E951" w14:textId="77777777" w:rsidR="008C4E6E" w:rsidRDefault="00000000">
      <w:r>
        <w:rPr>
          <w:rFonts w:cs="Calibri"/>
          <w:b/>
          <w:szCs w:val="22"/>
        </w:rPr>
        <w:t>34.2</w:t>
      </w:r>
      <w:r>
        <w:rPr>
          <w:rFonts w:cs="Calibri"/>
          <w:szCs w:val="22"/>
        </w:rPr>
        <w:t xml:space="preserve"> The benchmark. The model carries one planning benchmark: a war-risk premium at or below one and a half times the pre-crisis level within sixty days of charter activation, and at the pre-crisis baseline within one hundred eighty days.</w:t>
      </w:r>
    </w:p>
    <w:p w14:paraId="37AD9920" w14:textId="77777777" w:rsidR="008C4E6E" w:rsidRDefault="00000000">
      <w:r>
        <w:rPr>
          <w:rFonts w:cs="Calibri"/>
          <w:b/>
          <w:szCs w:val="22"/>
        </w:rPr>
        <w:t>34.3</w:t>
      </w:r>
      <w:r>
        <w:rPr>
          <w:rFonts w:cs="Calibri"/>
          <w:szCs w:val="22"/>
        </w:rPr>
        <w:t xml:space="preserve"> The confidence report. The Industry Panel issues a quarterly commercial confidence report from Layer Five onward: traffic volumes, premium movements, and operator sentiment, addressed to the liaison officers and published in summary.</w:t>
      </w:r>
    </w:p>
    <w:p w14:paraId="19D82C28" w14:textId="77777777" w:rsidR="008C4E6E" w:rsidRDefault="00000000">
      <w:r>
        <w:rPr>
          <w:rFonts w:cs="Calibri"/>
          <w:b/>
          <w:szCs w:val="22"/>
        </w:rPr>
        <w:t>34.4</w:t>
      </w:r>
      <w:r>
        <w:rPr>
          <w:rFonts w:cs="Calibri"/>
          <w:szCs w:val="22"/>
        </w:rPr>
        <w:t xml:space="preserve"> The Private Sector Confidence Trigger. (a) The Industry Panel issues a Confidence Trigger when, in its judgment, the operational record and the Stability Audit demonstrate sustained stable operation for ninety consecutive days from Pulse Three. (b) The Confidence Trigger constitutes a formal recommendation to the Commission that war-risk and transit premiums for the Governance Area normalize to the pre-conflict baseline. (c) The Commission answers the Confidence Trigger within thirty days, and silence at thirty days constitutes acceptance of the recommendation. (d) The trigger converts market confidence from a passive outcome into an active mechanism, and it gives the insurers who price the Strait a formal voice inside the architecture that keeps it calm.</w:t>
      </w:r>
    </w:p>
    <w:p w14:paraId="1522B19B" w14:textId="77777777" w:rsidR="008C4E6E" w:rsidRDefault="00000000">
      <w:pPr>
        <w:pStyle w:val="Heading2"/>
      </w:pPr>
      <w:bookmarkStart w:id="49" w:name="_Toc237650605"/>
      <w:r>
        <w:rPr>
          <w:rFonts w:cs="Calibri Light"/>
          <w:szCs w:val="28"/>
        </w:rPr>
        <w:t>Article 35: From Simulation to Settlement</w:t>
      </w:r>
      <w:bookmarkEnd w:id="49"/>
    </w:p>
    <w:p w14:paraId="6F044E30" w14:textId="77777777" w:rsidR="008C4E6E" w:rsidRDefault="00000000">
      <w:r>
        <w:rPr>
          <w:rFonts w:cs="Calibri"/>
          <w:b/>
          <w:szCs w:val="22"/>
        </w:rPr>
        <w:t>35.1</w:t>
      </w:r>
      <w:r>
        <w:rPr>
          <w:rFonts w:cs="Calibri"/>
          <w:szCs w:val="22"/>
        </w:rPr>
        <w:t xml:space="preserve"> The settlement path. The Final Charter settles the fee question along the lines the simulation validates: the Zero-Toll Rule of Article 50, the service distinction, and the Calm Waters Fund of Article 51. The settlement gives each claimant what its claim actually sought: the United States receives a strait that stays open, toll-free, and verified; Iran receives lawful, audited service revenue and recognized </w:t>
      </w:r>
      <w:r>
        <w:rPr>
          <w:rFonts w:cs="Calibri"/>
          <w:szCs w:val="22"/>
        </w:rPr>
        <w:lastRenderedPageBreak/>
        <w:t>management function; Oman receives joint management on transparent procedure; the industry receives cost certainty and no point-of-passage charging.</w:t>
      </w:r>
    </w:p>
    <w:p w14:paraId="13388133" w14:textId="77777777" w:rsidR="008C4E6E" w:rsidRDefault="00000000">
      <w:r>
        <w:rPr>
          <w:rFonts w:cs="Calibri"/>
          <w:b/>
          <w:szCs w:val="22"/>
        </w:rPr>
        <w:t>35.2</w:t>
      </w:r>
      <w:r>
        <w:rPr>
          <w:rFonts w:cs="Calibri"/>
          <w:szCs w:val="22"/>
        </w:rPr>
        <w:t xml:space="preserve"> The wartime fee question. The crisis-era fee practices, including any charge applied to transits during the crisis period and any protection fee declared by any state, dissolve in the Synchronized Indivisible Event of Article 38 and survive in no form. The simulation's reports stand as the public record of why the fund model replaced them.</w:t>
      </w:r>
    </w:p>
    <w:p w14:paraId="79C13B72" w14:textId="77777777" w:rsidR="008C4E6E" w:rsidRDefault="00000000">
      <w:r>
        <w:rPr>
          <w:rFonts w:cs="Calibri"/>
          <w:b/>
          <w:szCs w:val="22"/>
        </w:rPr>
        <w:t>35.3</w:t>
      </w:r>
      <w:r>
        <w:rPr>
          <w:rFonts w:cs="Calibri"/>
          <w:szCs w:val="22"/>
        </w:rPr>
        <w:t xml:space="preserve"> No retroactivity. The settlement addresses the future. Claims about crisis-era charges travel on the diplomatic tracks outside this Covenant, under the sealed bulkhead of Article 3.6.</w:t>
      </w:r>
    </w:p>
    <w:p w14:paraId="05126DEB" w14:textId="77777777" w:rsidR="008C4E6E" w:rsidRDefault="00000000">
      <w:pPr>
        <w:pStyle w:val="Heading2"/>
      </w:pPr>
      <w:bookmarkStart w:id="50" w:name="_Toc237650606"/>
      <w:r>
        <w:rPr>
          <w:rFonts w:cs="Calibri Light"/>
          <w:szCs w:val="28"/>
        </w:rPr>
        <w:t>Article 36: Gate Five: From Simulation to Integration</w:t>
      </w:r>
      <w:bookmarkEnd w:id="50"/>
    </w:p>
    <w:p w14:paraId="2F0F7A42" w14:textId="77777777" w:rsidR="008C4E6E" w:rsidRDefault="00000000">
      <w:r>
        <w:rPr>
          <w:rFonts w:cs="Calibri"/>
          <w:b/>
          <w:szCs w:val="22"/>
        </w:rPr>
        <w:t>36.1</w:t>
      </w:r>
      <w:r>
        <w:rPr>
          <w:rFonts w:cs="Calibri"/>
          <w:szCs w:val="22"/>
        </w:rPr>
        <w:t xml:space="preserve"> The gate. Layer Six activates when the Gate Five conditions certify complete: (a) the consolidated report of the Full Simulation published under Article 32.5, converged or with divergent values published under Article 31.3; (b) the corridor-expansion simulation delivered, with its recommended activation sequence; (c) the insurance model’s first confidence report published; (d) the five integrations of Article 37 certified on the converged record; and (e) the Founding Parties’ joint written instrument accepting the settlement path of Article 35.1 as the basis for the Final Charter.</w:t>
      </w:r>
    </w:p>
    <w:p w14:paraId="7FD1FE0E" w14:textId="77777777" w:rsidR="008C4E6E" w:rsidRDefault="00000000">
      <w:r>
        <w:rPr>
          <w:rFonts w:cs="Calibri"/>
          <w:b/>
          <w:szCs w:val="22"/>
        </w:rPr>
        <w:t>36.2</w:t>
      </w:r>
      <w:r>
        <w:rPr>
          <w:rFonts w:cs="Calibri"/>
          <w:szCs w:val="22"/>
        </w:rPr>
        <w:t xml:space="preserve"> The political act. Gate Five is the only gate that includes a deliberate political act: the joint instrument of clause (d). The architecture places this act here deliberately. Every earlier gate opened on measurement alone, building the record that makes the act signable; every later step runs on measurement again. The negotiator's sequence completes: proof, then politics, then proof again.</w:t>
      </w:r>
    </w:p>
    <w:p w14:paraId="360C5540" w14:textId="77777777" w:rsidR="008C4E6E" w:rsidRDefault="00000000">
      <w:r>
        <w:rPr>
          <w:rFonts w:cs="Calibri"/>
          <w:b/>
          <w:szCs w:val="22"/>
        </w:rPr>
        <w:t>36.3</w:t>
      </w:r>
      <w:r>
        <w:rPr>
          <w:rFonts w:cs="Calibri"/>
          <w:szCs w:val="22"/>
        </w:rPr>
        <w:t xml:space="preserve"> The target window. The design target places Gate Five on or about Day 90 after signature, aligned with the negotiation calendar of the Islamabad track without depending on it.</w:t>
      </w:r>
    </w:p>
    <w:p w14:paraId="122F3CF6" w14:textId="77777777" w:rsidR="008C4E6E" w:rsidRDefault="00000000">
      <w:r>
        <w:rPr>
          <w:rFonts w:cs="Calibri"/>
          <w:b/>
          <w:szCs w:val="22"/>
        </w:rPr>
        <w:t>36.4</w:t>
      </w:r>
      <w:r>
        <w:rPr>
          <w:rFonts w:cs="Calibri"/>
          <w:szCs w:val="22"/>
        </w:rPr>
        <w:t xml:space="preserve"> Legal consequence of Gate Five. Upon certification of Gate Five, the Political Declaration and Simulation Compact of Layer Five stands confirmed. The Foreign Ministers, having signed the Compact, commit their governments to accept the findings of the Fee Simulation as the basis for the financial architecture of the Final Charter under Article 51. This commitment is political rather than legally binding, and it does not obligate the Heads of State or Government to sign the Final Charter. It does, however, commit the participants to prepare the domestic legal frameworks necessary for the establishment of the Calm Waters Fund.</w:t>
      </w:r>
    </w:p>
    <w:p w14:paraId="3942727F" w14:textId="77777777" w:rsidR="008C4E6E" w:rsidRDefault="00000000">
      <w:r>
        <w:br w:type="page"/>
      </w:r>
    </w:p>
    <w:p w14:paraId="452F56C4" w14:textId="77777777" w:rsidR="008C4E6E" w:rsidRDefault="00000000">
      <w:pPr>
        <w:pStyle w:val="Heading1"/>
      </w:pPr>
      <w:bookmarkStart w:id="51" w:name="_Toc237650607"/>
      <w:r>
        <w:rPr>
          <w:rFonts w:cs="Calibri Light"/>
          <w:szCs w:val="36"/>
        </w:rPr>
        <w:lastRenderedPageBreak/>
        <w:t>Part VII: Layer Six: The Integration</w:t>
      </w:r>
      <w:bookmarkEnd w:id="51"/>
    </w:p>
    <w:p w14:paraId="442074DF" w14:textId="77777777" w:rsidR="008C4E6E" w:rsidRDefault="00000000">
      <w:r>
        <w:rPr>
          <w:rFonts w:cs="Calibri"/>
          <w:szCs w:val="22"/>
        </w:rPr>
        <w:t>Layer Six merges the proven systems into one operating architecture and seals the merge with the most important sequence of the Covenant: the three paired pulses of the Synchronized Indivisible Event, in which corridor activation and the termination of every impediment to passage execute together, step by step, never unpaired. Before the first pulse, each side has watched the other perform under measurement for a full month. During each pulse, neither side moves first. After the third pulse, the Final Charter governs.</w:t>
      </w:r>
    </w:p>
    <w:p w14:paraId="2C30566B" w14:textId="77777777" w:rsidR="008C4E6E" w:rsidRDefault="00000000">
      <w:pPr>
        <w:pStyle w:val="Heading2"/>
      </w:pPr>
      <w:bookmarkStart w:id="52" w:name="_Toc237650608"/>
      <w:r>
        <w:rPr>
          <w:rFonts w:cs="Calibri Light"/>
          <w:szCs w:val="28"/>
        </w:rPr>
        <w:t>Article 37: The Five Integrations</w:t>
      </w:r>
      <w:bookmarkEnd w:id="52"/>
    </w:p>
    <w:p w14:paraId="557024AE" w14:textId="77777777" w:rsidR="008C4E6E" w:rsidRDefault="00000000">
      <w:r>
        <w:rPr>
          <w:rFonts w:cs="Calibri"/>
          <w:b/>
          <w:szCs w:val="22"/>
        </w:rPr>
        <w:t>37.1</w:t>
      </w:r>
      <w:r>
        <w:rPr>
          <w:rFonts w:cs="Calibri"/>
          <w:szCs w:val="22"/>
        </w:rPr>
        <w:t xml:space="preserve"> Safety mesh integration. The pilot corridors, the routing advisories, and the incident-alert mesh merge into one safety mesh covering the full Governance Area geometry of Annex A. The mesh operates from the Joint Coordination Desk, which converts into the watch floor of the Calm Waters Center on activation of Layer Seven.</w:t>
      </w:r>
    </w:p>
    <w:p w14:paraId="4A3C10EF" w14:textId="77777777" w:rsidR="008C4E6E" w:rsidRDefault="00000000">
      <w:r>
        <w:rPr>
          <w:rFonts w:cs="Calibri"/>
          <w:b/>
          <w:szCs w:val="22"/>
        </w:rPr>
        <w:t>37.2</w:t>
      </w:r>
      <w:r>
        <w:rPr>
          <w:rFonts w:cs="Calibri"/>
          <w:szCs w:val="22"/>
        </w:rPr>
        <w:t xml:space="preserve"> Visibility integration. The AIS exchange, the weather service, the tide and swell products, and the hazard register merge into one visibility system: one fused operational picture, fed by the coastal radar chains of Iran and Oman, the AIS receivers of both littorals, and commercial satellite imagery on scheduled purchase, displayed identically in Muscat and Bandar Abbas.</w:t>
      </w:r>
    </w:p>
    <w:p w14:paraId="7D6285F9" w14:textId="77777777" w:rsidR="008C4E6E" w:rsidRDefault="00000000">
      <w:r>
        <w:rPr>
          <w:rFonts w:cs="Calibri"/>
          <w:b/>
          <w:szCs w:val="22"/>
        </w:rPr>
        <w:t>37.3</w:t>
      </w:r>
      <w:r>
        <w:rPr>
          <w:rFonts w:cs="Calibri"/>
          <w:szCs w:val="22"/>
        </w:rPr>
        <w:t xml:space="preserve"> Response integration. The readiness matrix, the first-nearer-dispatch rule, the quarterly drills, and the repair alignment merge into one response system under the standing coordination of the two rescue coordination centers.</w:t>
      </w:r>
    </w:p>
    <w:p w14:paraId="47BAA9E7" w14:textId="77777777" w:rsidR="008C4E6E" w:rsidRDefault="00000000">
      <w:r>
        <w:rPr>
          <w:rFonts w:cs="Calibri"/>
          <w:b/>
          <w:szCs w:val="22"/>
        </w:rPr>
        <w:t>37.4</w:t>
      </w:r>
      <w:r>
        <w:rPr>
          <w:rFonts w:cs="Calibri"/>
          <w:szCs w:val="22"/>
        </w:rPr>
        <w:t xml:space="preserve"> Governance integration. The Calm Waters Cell, the quarterly review cycle, and crisis-mode coordination merge into the proto-institution that Layer Seven converts into the Calm Waters Center, the Commission, and the Stillwater Watch, with personnel, records, and habits transferring intact.</w:t>
      </w:r>
    </w:p>
    <w:p w14:paraId="5F14D3EA" w14:textId="77777777" w:rsidR="008C4E6E" w:rsidRDefault="00000000">
      <w:r>
        <w:rPr>
          <w:rFonts w:cs="Calibri"/>
          <w:b/>
          <w:szCs w:val="22"/>
        </w:rPr>
        <w:t>37.5</w:t>
      </w:r>
      <w:r>
        <w:rPr>
          <w:rFonts w:cs="Calibri"/>
          <w:szCs w:val="22"/>
        </w:rPr>
        <w:t xml:space="preserve"> Predictability integration. The intent form, the daily synthesis, and the publication rhythms merge into the Transit Desk and the Open Water Bulletin of Layer Seven. The mariner who followed the daily synthesis for a year finds the Bulletin familiar on its first day.</w:t>
      </w:r>
    </w:p>
    <w:p w14:paraId="3D129F69" w14:textId="77777777" w:rsidR="008C4E6E" w:rsidRDefault="00000000">
      <w:r>
        <w:rPr>
          <w:rFonts w:cs="Calibri"/>
          <w:b/>
          <w:szCs w:val="22"/>
        </w:rPr>
        <w:t>37.6</w:t>
      </w:r>
      <w:r>
        <w:rPr>
          <w:rFonts w:cs="Calibri"/>
          <w:szCs w:val="22"/>
        </w:rPr>
        <w:t xml:space="preserve"> The rehearsal. Before the Synchronized Indivisible Event, the Cell conducts two full rehearsals of the activation script of Annex E: one tabletop, one live with a single test vessel in each pilot corridor. The rehearsal record publishes in the Registry.</w:t>
      </w:r>
    </w:p>
    <w:p w14:paraId="0E7A4C19" w14:textId="77777777" w:rsidR="008C4E6E" w:rsidRDefault="00000000">
      <w:r>
        <w:rPr>
          <w:rFonts w:cs="Calibri"/>
          <w:b/>
          <w:szCs w:val="22"/>
        </w:rPr>
        <w:t>37.7</w:t>
      </w:r>
      <w:r>
        <w:rPr>
          <w:rFonts w:cs="Calibri"/>
          <w:szCs w:val="22"/>
        </w:rPr>
        <w:t xml:space="preserve"> The False-Flag Forensic Protocol. (a) Upon any incident in the Governance Area, the Integrity Cell conducts a false-flag forensic analysis as a standing procedure, independent of national investigations. (b) The analysis examines weapons residue, communications records, vessel track anomalies, and any evidence of third-party staging. (c) The analysis publishes within fourteen days of the incident, with one of four classifications: confirmed state actor; confirmed non-state actor; inconclusive; confirmed false </w:t>
      </w:r>
      <w:r>
        <w:rPr>
          <w:rFonts w:cs="Calibri"/>
          <w:szCs w:val="22"/>
        </w:rPr>
        <w:lastRenderedPageBreak/>
        <w:t>flag. (d) A confirmed-false-flag finding automatically restores the standing of any participant that the staged incident targeted, and the restoration enters the Registry with the finding. (e) The protocol gives the system a credible, transparent mechanism for distinguishing state action from third-party provocation, and it protects every participant equally by design.</w:t>
      </w:r>
    </w:p>
    <w:p w14:paraId="04C62377" w14:textId="77777777" w:rsidR="008C4E6E" w:rsidRDefault="00000000">
      <w:pPr>
        <w:pStyle w:val="Heading2"/>
      </w:pPr>
      <w:bookmarkStart w:id="53" w:name="_Toc237650609"/>
      <w:r>
        <w:rPr>
          <w:rFonts w:cs="Calibri Light"/>
          <w:szCs w:val="28"/>
        </w:rPr>
        <w:t>Article 38: The Synchronized Indivisible Event</w:t>
      </w:r>
      <w:bookmarkEnd w:id="53"/>
    </w:p>
    <w:p w14:paraId="404B518A" w14:textId="77777777" w:rsidR="008C4E6E" w:rsidRDefault="00000000">
      <w:r>
        <w:rPr>
          <w:rFonts w:cs="Calibri"/>
          <w:b/>
          <w:szCs w:val="22"/>
        </w:rPr>
        <w:t>38.1</w:t>
      </w:r>
      <w:r>
        <w:rPr>
          <w:rFonts w:cs="Calibri"/>
          <w:szCs w:val="22"/>
        </w:rPr>
        <w:t xml:space="preserve"> The event. The Synchronized Indivisible Event executes in three paired pulses under the accelerated calendar of Article 6.9: Pulse One opens the Fast-Track Corridor; Pulse Two converts Corridor One to permanent operation and opens Corridor Two; Pulse Three opens Corridor Three and completes the termination of every impediment to passage. Each pulse executes in one hour on the minute-by-minute script of Annex E, and each pulse pairs maritime activation with relief execution indivisibly. The impediments that terminate across the pulses include the blockade of Iranian ports, the crisis-era permit and permission machinery, every crisis-era charge on transit, and every routing condition outside this Covenant.</w:t>
      </w:r>
    </w:p>
    <w:p w14:paraId="2483F5A6" w14:textId="77777777" w:rsidR="008C4E6E" w:rsidRDefault="00000000">
      <w:r>
        <w:rPr>
          <w:rFonts w:cs="Calibri"/>
          <w:b/>
          <w:szCs w:val="22"/>
        </w:rPr>
        <w:t>38.2</w:t>
      </w:r>
      <w:r>
        <w:rPr>
          <w:rFonts w:cs="Calibri"/>
          <w:szCs w:val="22"/>
        </w:rPr>
        <w:t xml:space="preserve"> The standstill. From the first minute of Pulse One, and in permanence from Pulse Three, the standstill regime governs all participants with military or law-enforcement forces in or near the Governance Area: no interference with commercial transit; no boarding, inspection, diversion, or delay of commercial vessels; no new military deployment into the Governance Area; no live-fire exercise, missile test, or drone overflight inside the Governance Area; no harassment of survey, pilot, or rescue craft. The standstill stands as a feature of the shared architecture, binding every participant equally by design.</w:t>
      </w:r>
    </w:p>
    <w:p w14:paraId="7573A4F6" w14:textId="77777777" w:rsidR="008C4E6E" w:rsidRDefault="00000000">
      <w:r>
        <w:rPr>
          <w:rFonts w:cs="Calibri"/>
          <w:b/>
          <w:szCs w:val="22"/>
        </w:rPr>
        <w:t>38.3</w:t>
      </w:r>
      <w:r>
        <w:rPr>
          <w:rFonts w:cs="Calibri"/>
          <w:szCs w:val="22"/>
        </w:rPr>
        <w:t xml:space="preserve"> The paired relief schedule. Each stabilization step of the Founding Parties pairs with a relief step of the Endorsing Stakeholder on the schedule of Annex E: corridor activation pairs with blockade termination; the certification of each corridor pairs with the corresponding stage of sanctions-compliance opinion issuance for the Fund channel; and the completion of the survey sequence pairs with the return of external force postures to stations outside the Governance Area. A paired obligation never executes alone; the architecture executes the pair as one event or holds both.</w:t>
      </w:r>
    </w:p>
    <w:p w14:paraId="708C7264" w14:textId="77777777" w:rsidR="008C4E6E" w:rsidRDefault="00000000">
      <w:r>
        <w:rPr>
          <w:rFonts w:cs="Calibri"/>
          <w:b/>
          <w:szCs w:val="22"/>
        </w:rPr>
        <w:t>38.4</w:t>
      </w:r>
      <w:r>
        <w:rPr>
          <w:rFonts w:cs="Calibri"/>
          <w:szCs w:val="22"/>
        </w:rPr>
        <w:t xml:space="preserve"> The ceasefire interface. The Event executes within the cessation of hostilities framework of the Islamabad Memorandum. Strikes against the territory, infrastructure, and forces of any participant stop as part of the same synchronized hour, and the de-confliction hotline of Article 47 carries any residual incident from its first minute. The architecture thereby answers, in one design, the Founding Party's condition of an end to strikes and the Endorsing Stakeholder's condition of an end to attacks on shipping.</w:t>
      </w:r>
    </w:p>
    <w:p w14:paraId="570D5E70" w14:textId="77777777" w:rsidR="008C4E6E" w:rsidRDefault="00000000">
      <w:r>
        <w:rPr>
          <w:rFonts w:cs="Calibri"/>
          <w:b/>
          <w:szCs w:val="22"/>
        </w:rPr>
        <w:t>38.5</w:t>
      </w:r>
      <w:r>
        <w:rPr>
          <w:rFonts w:cs="Calibri"/>
          <w:szCs w:val="22"/>
        </w:rPr>
        <w:t xml:space="preserve"> Publication. The Joint Coordination Desk publishes the Event script to all participants seventy-two hours in advance, in the standard form of Annex H, so that no step surprises any market, navy, or public. </w:t>
      </w:r>
      <w:r>
        <w:rPr>
          <w:rFonts w:cs="Calibri"/>
          <w:szCs w:val="22"/>
        </w:rPr>
        <w:lastRenderedPageBreak/>
        <w:t>The Bulletin announces the Event's completion in one sentence, in three languages, at the same minute from Muscat and Bandar Abbas.</w:t>
      </w:r>
    </w:p>
    <w:p w14:paraId="36ECCF1F" w14:textId="77777777" w:rsidR="008C4E6E" w:rsidRDefault="00000000">
      <w:r>
        <w:rPr>
          <w:rFonts w:cs="Calibri"/>
          <w:b/>
          <w:szCs w:val="22"/>
        </w:rPr>
        <w:t>38.6</w:t>
      </w:r>
      <w:r>
        <w:rPr>
          <w:rFonts w:cs="Calibri"/>
          <w:szCs w:val="22"/>
        </w:rPr>
        <w:t xml:space="preserve"> Partial slip. If any element of the script slips, the paired elements hold together, and the co-directors reschedule the affected pair within seventy-two hours with reasons recorded in the Registry. Every other obligation continues. The Event tolerates a slipped pair; it never tolerates an unpaired move.</w:t>
      </w:r>
    </w:p>
    <w:p w14:paraId="35D2A956" w14:textId="77777777" w:rsidR="008C4E6E" w:rsidRDefault="00000000">
      <w:r>
        <w:rPr>
          <w:rFonts w:cs="Calibri"/>
          <w:b/>
          <w:szCs w:val="22"/>
        </w:rPr>
        <w:t>38.7</w:t>
      </w:r>
      <w:r>
        <w:rPr>
          <w:rFonts w:cs="Calibri"/>
          <w:szCs w:val="22"/>
        </w:rPr>
        <w:t xml:space="preserve"> The three pulses. (a) Pulse One, on or about Day 30: Gate One certifies; the Fast-Track Corridor opens; Tranche One of the Synchronized Relief Track executes; the first drawdown step of the blockade of Iranian ports publishes and executes in the same hour. (b) Pulse Two, on or about Day 60: Gate Two certifies; Corridor One converts to permanent operation; Corridor Two opens; Tranche Three and the second drawdown step execute in the same hour, and the crisis-era authority transition of Article 41.8 executes. (c) Pulse Three, on or about Day 90: Gate Five certifies; Corridor Three opens on the survey certification of Article 46.4; the blockade terminates in full; Tranche Four executes; the standstill of Article 38.2 governs in permanence from this hour. (d) Each pulse follows the publication rule of Article 38.5 and the partial-slip rule of Article 38.6. A pulse tolerates a slipped pair; the architecture never tolerates an unpaired move.</w:t>
      </w:r>
    </w:p>
    <w:p w14:paraId="6DB7103F" w14:textId="77777777" w:rsidR="008C4E6E" w:rsidRDefault="00000000">
      <w:pPr>
        <w:pStyle w:val="Heading2"/>
      </w:pPr>
      <w:bookmarkStart w:id="54" w:name="_Toc237650610"/>
      <w:r>
        <w:rPr>
          <w:rFonts w:cs="Calibri Light"/>
          <w:szCs w:val="28"/>
        </w:rPr>
        <w:t>Article 39: The Open Strait Package</w:t>
      </w:r>
      <w:bookmarkEnd w:id="54"/>
    </w:p>
    <w:p w14:paraId="22F73015" w14:textId="77777777" w:rsidR="008C4E6E" w:rsidRDefault="00000000">
      <w:r>
        <w:rPr>
          <w:rFonts w:cs="Calibri"/>
          <w:b/>
          <w:szCs w:val="22"/>
        </w:rPr>
        <w:t>39.1</w:t>
      </w:r>
      <w:r>
        <w:rPr>
          <w:rFonts w:cs="Calibri"/>
          <w:szCs w:val="22"/>
        </w:rPr>
        <w:t xml:space="preserve"> The package. On completion of Pulse Three, the participants announce the Open Strait Package: the certified corridors, the safety mesh, the visibility system, the response system, the Bulletin, and the simulation record, as one public package. Annex H carries the model statements for each capital.</w:t>
      </w:r>
    </w:p>
    <w:p w14:paraId="7FFC5E61" w14:textId="77777777" w:rsidR="008C4E6E" w:rsidRDefault="00000000">
      <w:r>
        <w:rPr>
          <w:rFonts w:cs="Calibri"/>
          <w:b/>
          <w:szCs w:val="22"/>
        </w:rPr>
        <w:t>39.2</w:t>
      </w:r>
      <w:r>
        <w:rPr>
          <w:rFonts w:cs="Calibri"/>
          <w:szCs w:val="22"/>
        </w:rPr>
        <w:t xml:space="preserve"> Framing autonomy. Every participant presents the package to its own people in its own words. The architecture evaluates performance, never rhetoric. A statement by any participant claims what its public needs to hear: the Founding Parties present recognized management and restored sovereignty of operation; the Endorsing Stakeholder presents free, toll-free, verified navigation; the region presents shared stewardship. All three statements are true, because the architecture makes all three true at once.</w:t>
      </w:r>
    </w:p>
    <w:p w14:paraId="0FBDBDC1" w14:textId="77777777" w:rsidR="008C4E6E" w:rsidRDefault="00000000">
      <w:r>
        <w:rPr>
          <w:rFonts w:cs="Calibri"/>
          <w:b/>
          <w:szCs w:val="22"/>
        </w:rPr>
        <w:t>39.3</w:t>
      </w:r>
      <w:r>
        <w:rPr>
          <w:rFonts w:cs="Calibri"/>
          <w:szCs w:val="22"/>
        </w:rPr>
        <w:t xml:space="preserve"> The market package. The Industry Panel receives the complete operational record and carries it to the war-risk committees, the classification societies, and the chartering market, with the insurance model's benchmark trajectory attached.</w:t>
      </w:r>
    </w:p>
    <w:p w14:paraId="7D255B2B" w14:textId="77777777" w:rsidR="008C4E6E" w:rsidRDefault="00000000">
      <w:pPr>
        <w:pStyle w:val="Heading2"/>
      </w:pPr>
      <w:bookmarkStart w:id="55" w:name="_Toc237650611"/>
      <w:r>
        <w:rPr>
          <w:rFonts w:cs="Calibri Light"/>
          <w:szCs w:val="28"/>
        </w:rPr>
        <w:t>Article 40: Gate Six: The Stability Audit</w:t>
      </w:r>
      <w:bookmarkEnd w:id="55"/>
    </w:p>
    <w:p w14:paraId="1D277A75" w14:textId="77777777" w:rsidR="008C4E6E" w:rsidRDefault="00000000">
      <w:r>
        <w:rPr>
          <w:rFonts w:cs="Calibri"/>
          <w:b/>
          <w:szCs w:val="22"/>
        </w:rPr>
        <w:t>40.1</w:t>
      </w:r>
      <w:r>
        <w:rPr>
          <w:rFonts w:cs="Calibri"/>
          <w:szCs w:val="22"/>
        </w:rPr>
        <w:t xml:space="preserve"> The audit. The Stability Audit runs in two parts under the accelerated calendar: the architecture audit from Day 75 to Day 90, covering the certified layers on their converged records; and the operations audit from Day 90 to Day 105, covering the full three-corridor system in live operation after Pulse Three. The Cell and the Swiss facilitator’s auditor conduct the audit across five domains: </w:t>
      </w:r>
      <w:r>
        <w:rPr>
          <w:rFonts w:cs="Calibri"/>
          <w:szCs w:val="22"/>
        </w:rPr>
        <w:lastRenderedPageBreak/>
        <w:t>navigation and corridor compliance; security and de-confliction; monitoring and transparency; environment and safety; and finance and payments. Annex E carries the metric table and thresholds.</w:t>
      </w:r>
    </w:p>
    <w:p w14:paraId="0E919B78" w14:textId="77777777" w:rsidR="008C4E6E" w:rsidRDefault="00000000">
      <w:r>
        <w:rPr>
          <w:rFonts w:cs="Calibri"/>
          <w:b/>
          <w:szCs w:val="22"/>
        </w:rPr>
        <w:t>40.2</w:t>
      </w:r>
      <w:r>
        <w:rPr>
          <w:rFonts w:cs="Calibri"/>
          <w:szCs w:val="22"/>
        </w:rPr>
        <w:t xml:space="preserve"> The boring-as-success standard. The audit measures boredom directly: incident rates near zero, acknowledgment times inside the standard, premium multiples on the benchmark trajectory, traffic at or above seventy percent of the pre-crisis norm and rising. A strait that no longer appears in the news is the deliverable.</w:t>
      </w:r>
    </w:p>
    <w:p w14:paraId="03061095" w14:textId="77777777" w:rsidR="008C4E6E" w:rsidRDefault="00000000">
      <w:r>
        <w:rPr>
          <w:rFonts w:cs="Calibri"/>
          <w:b/>
          <w:szCs w:val="22"/>
        </w:rPr>
        <w:t>40.3</w:t>
      </w:r>
      <w:r>
        <w:rPr>
          <w:rFonts w:cs="Calibri"/>
          <w:szCs w:val="22"/>
        </w:rPr>
        <w:t xml:space="preserve"> Certification. A passed audit activates Layer Seven automatically at the next activation window. An audit finding of strain in one domain returns that domain's elements to the corresponding earlier-layer mechanism for thirty days of repair, under the regression rule of Article 6.7, and every other domain proceeds.</w:t>
      </w:r>
    </w:p>
    <w:p w14:paraId="1AB6CA45" w14:textId="77777777" w:rsidR="008C4E6E" w:rsidRDefault="00000000">
      <w:r>
        <w:rPr>
          <w:rFonts w:cs="Calibri"/>
          <w:b/>
          <w:szCs w:val="22"/>
        </w:rPr>
        <w:t>40.4</w:t>
      </w:r>
      <w:r>
        <w:rPr>
          <w:rFonts w:cs="Calibri"/>
          <w:szCs w:val="22"/>
        </w:rPr>
        <w:t xml:space="preserve"> The target window. The design target places Gate Six certification on or about Day 105 and Layer Seven signature between Day 105 and Day 120 after signature. The compressed calendar never compresses proof: the audit certifies on the published metrics of Annex E, and the Charter enters force on demonstrated stability, at the pace the water sets.</w:t>
      </w:r>
    </w:p>
    <w:p w14:paraId="717A7E00" w14:textId="77777777" w:rsidR="008C4E6E" w:rsidRDefault="00000000">
      <w:r>
        <w:rPr>
          <w:rFonts w:cs="Calibri"/>
          <w:b/>
          <w:szCs w:val="22"/>
        </w:rPr>
        <w:t>40.5</w:t>
      </w:r>
      <w:r>
        <w:rPr>
          <w:rFonts w:cs="Calibri"/>
          <w:szCs w:val="22"/>
        </w:rPr>
        <w:t xml:space="preserve"> Legal consequence of Gate Six. Upon certification of the Stability Audit, the Conditional Binding Agreement of Layer Six activates automatically, and no signature is required. This activation is not reversible: it triggers the final treaty process, schedules the Synchronized Indivisible Event, and convenes the summit at which the Heads of State or Government sign the Final Charter, with the President of the United States signing as Endorsing Stakeholder. From certification forward, the participants proceed on the published script of Annex E.</w:t>
      </w:r>
    </w:p>
    <w:p w14:paraId="0340BB0B" w14:textId="77777777" w:rsidR="008C4E6E" w:rsidRDefault="00000000">
      <w:pPr>
        <w:pStyle w:val="Heading1"/>
      </w:pPr>
      <w:bookmarkStart w:id="56" w:name="_Toc237650612"/>
      <w:r>
        <w:rPr>
          <w:rFonts w:cs="Calibri Light"/>
          <w:szCs w:val="36"/>
        </w:rPr>
        <w:t>Part VIII: Layer Seven: The Final Charter</w:t>
      </w:r>
      <w:bookmarkEnd w:id="56"/>
    </w:p>
    <w:p w14:paraId="65543DFB" w14:textId="77777777" w:rsidR="008C4E6E" w:rsidRDefault="00000000">
      <w:r>
        <w:rPr>
          <w:rFonts w:cs="Calibri"/>
          <w:szCs w:val="22"/>
        </w:rPr>
        <w:t>Layer Seven is the permanent governance framework, built entirely from components that have already run for months under measurement. Nothing in this Part is new on its activation day: every corridor has piloted, every desk has logged, every alert has pinged, every financial line has simulated, and every officer has rehearsed. The Charter codifies proof, not hope.</w:t>
      </w:r>
    </w:p>
    <w:p w14:paraId="6BDAADBC" w14:textId="77777777" w:rsidR="008C4E6E" w:rsidRDefault="00000000">
      <w:pPr>
        <w:pStyle w:val="Heading2"/>
      </w:pPr>
      <w:bookmarkStart w:id="57" w:name="_Toc237650613"/>
      <w:r>
        <w:rPr>
          <w:rFonts w:cs="Calibri Light"/>
          <w:szCs w:val="28"/>
        </w:rPr>
        <w:t>Article 41: The Governance Area and the Three Corridors</w:t>
      </w:r>
      <w:bookmarkEnd w:id="57"/>
    </w:p>
    <w:p w14:paraId="3F47F730" w14:textId="77777777" w:rsidR="008C4E6E" w:rsidRDefault="00000000">
      <w:r>
        <w:rPr>
          <w:rFonts w:cs="Calibri"/>
          <w:b/>
          <w:szCs w:val="22"/>
        </w:rPr>
        <w:t>41.1</w:t>
      </w:r>
      <w:r>
        <w:rPr>
          <w:rFonts w:cs="Calibri"/>
          <w:szCs w:val="22"/>
        </w:rPr>
        <w:t xml:space="preserve"> The Governance Area comprises the waters of the Strait of Hormuz between longitudes 055 degrees 30 minutes East and 057 degrees 00 minutes East, bounded to the north and south by the outer limit of the territorial seas of the coastal states, together with the designated anchorages and approaches marked in Annex A. The Governance Area is an operational construct only: it draws no boundary, recognizes no claim, and prejudices nothing, in accordance with Article 3.3.</w:t>
      </w:r>
    </w:p>
    <w:p w14:paraId="46E2C9DF" w14:textId="77777777" w:rsidR="008C4E6E" w:rsidRDefault="00000000">
      <w:r>
        <w:rPr>
          <w:rFonts w:cs="Calibri"/>
          <w:b/>
          <w:szCs w:val="22"/>
        </w:rPr>
        <w:lastRenderedPageBreak/>
        <w:t>41.2</w:t>
      </w:r>
      <w:r>
        <w:rPr>
          <w:rFonts w:cs="Calibri"/>
          <w:szCs w:val="22"/>
        </w:rPr>
        <w:t xml:space="preserve"> Corridor One, the Southern Assurance Corridor, carries outbound traffic from the Gulf through Omani waters to the Gulf of Oman, on the centerline of Annex A. The Sultanate of Oman performs the corridor functions of Article 13.3 for Corridor One. Transit in Corridor One is unconditional: no notice beyond the standard Transit Notice, no inspection, and no condition attaches to it.</w:t>
      </w:r>
    </w:p>
    <w:p w14:paraId="05675D43" w14:textId="77777777" w:rsidR="008C4E6E" w:rsidRDefault="00000000">
      <w:r>
        <w:rPr>
          <w:rFonts w:cs="Calibri"/>
          <w:b/>
          <w:szCs w:val="22"/>
        </w:rPr>
        <w:t>41.3</w:t>
      </w:r>
      <w:r>
        <w:rPr>
          <w:rFonts w:cs="Calibri"/>
          <w:szCs w:val="22"/>
        </w:rPr>
        <w:t xml:space="preserve"> Corridor Two, the Northern Coordination Corridor, carries inbound traffic from the Gulf of Oman through Iranian waters into the Gulf, on the centerline of Annex A. The Islamic Republic of Iran performs the corridor functions for Corridor Two. Transit in Corridor Two operates on file-and-acknowledge notification under Article 43: the vessel files, the Desk acknowledges automatically, and the acknowledgment is receipt, not permission. No condition, delay, or denial attaches to transit in Corridor Two.</w:t>
      </w:r>
    </w:p>
    <w:p w14:paraId="6971805F" w14:textId="77777777" w:rsidR="008C4E6E" w:rsidRDefault="00000000">
      <w:r>
        <w:rPr>
          <w:rFonts w:cs="Calibri"/>
          <w:b/>
          <w:szCs w:val="22"/>
        </w:rPr>
        <w:t>41.4</w:t>
      </w:r>
      <w:r>
        <w:rPr>
          <w:rFonts w:cs="Calibri"/>
          <w:szCs w:val="22"/>
        </w:rPr>
        <w:t xml:space="preserve"> Corridor Three, the Central Assurance Lane, runs along the traffic separation scheme between the two coastal lanes, on the centerline of Annex A, and carries two-way traffic after certification under Article 46. The Calm Waters Center co-manages Corridor Three under the Twin Key, with watch pairs contributed by Observer Members. On certification, Corridor Three becomes the primary two-way route, and Corridors One and Two continue as the coastal lanes and the standing alternatives.</w:t>
      </w:r>
    </w:p>
    <w:p w14:paraId="42569CB8" w14:textId="77777777" w:rsidR="008C4E6E" w:rsidRDefault="00000000">
      <w:r>
        <w:rPr>
          <w:rFonts w:cs="Calibri"/>
          <w:b/>
          <w:szCs w:val="22"/>
        </w:rPr>
        <w:t>41.5</w:t>
      </w:r>
      <w:r>
        <w:rPr>
          <w:rFonts w:cs="Calibri"/>
          <w:szCs w:val="22"/>
        </w:rPr>
        <w:t xml:space="preserve"> The interim routing. Until certification of Corridor Three, Corridor One carries outbound traffic and Corridor Two carries inbound traffic, in line with the Iran-Oman route understanding of August 2026, and the survey exclusion zones of Annex A close the central lane to commercial traffic.</w:t>
      </w:r>
    </w:p>
    <w:p w14:paraId="0FC72161" w14:textId="77777777" w:rsidR="008C4E6E" w:rsidRDefault="00000000">
      <w:r>
        <w:rPr>
          <w:rFonts w:cs="Calibri"/>
          <w:b/>
          <w:szCs w:val="22"/>
        </w:rPr>
        <w:t>41.6</w:t>
      </w:r>
      <w:r>
        <w:rPr>
          <w:rFonts w:cs="Calibri"/>
          <w:szCs w:val="22"/>
        </w:rPr>
        <w:t xml:space="preserve"> The corridor functions. The corridor functions consist of exactly ten items: vessel traffic management and routing guidance; maintenance of aids to navigation; hydrographic survey liaison; environmental monitoring and pollution watch; search and rescue coordination; hazard and mine-risk reporting; incident logging and first response; mariner notification and bulletin issuance; data feed custody for the fused picture; and convoy window coordination for operators that request it. No function beyond these ten exists in the corridor system. The corridor functions exclude, always and in every corridor: interdiction, boarding, inspection, diversion, seizure, weapons employment, blockade, quarantine enforcement, sanctions enforcement, and intelligence collection.</w:t>
      </w:r>
    </w:p>
    <w:p w14:paraId="6558343E" w14:textId="77777777" w:rsidR="008C4E6E" w:rsidRDefault="00000000">
      <w:r>
        <w:rPr>
          <w:rFonts w:cs="Calibri"/>
          <w:b/>
          <w:szCs w:val="22"/>
        </w:rPr>
        <w:t>41.7</w:t>
      </w:r>
      <w:r>
        <w:rPr>
          <w:rFonts w:cs="Calibri"/>
          <w:szCs w:val="22"/>
        </w:rPr>
        <w:t xml:space="preserve"> Geometry stability. Corridor geometry changes only by joint written instrument of the Founding Parties, with thirty days' notice to all participants, concurrence of the Technical Participants, and registration with the International Maritime Organization and the International Hydrographic Organization. A change never reduces the total navigable width of the corridor system below its activation-day configuration.</w:t>
      </w:r>
    </w:p>
    <w:p w14:paraId="03D91C99" w14:textId="77777777" w:rsidR="008C4E6E" w:rsidRDefault="00000000">
      <w:r>
        <w:rPr>
          <w:rFonts w:cs="Calibri"/>
          <w:b/>
          <w:szCs w:val="22"/>
        </w:rPr>
        <w:t>41.8</w:t>
      </w:r>
      <w:r>
        <w:rPr>
          <w:rFonts w:cs="Calibri"/>
          <w:szCs w:val="22"/>
        </w:rPr>
        <w:t xml:space="preserve"> The crisis-era authority transition. (a) Upon Pulse Two of Article 38.7, the Persian Gulf Strait Authority, the permit and management body that Iran established during the war, transitions into the Iranian component of the Calm Waters Center’s operational directorate. (b) The transition is functional, never nominal: the Authority’s permit-issuing function terminates, and the notification protocol of Article 43 replaces it, while its traffic-coordination, hazard-bulletin, and environmental-monitoring </w:t>
      </w:r>
      <w:r>
        <w:rPr>
          <w:rFonts w:cs="Calibri"/>
          <w:szCs w:val="22"/>
        </w:rPr>
        <w:lastRenderedPageBreak/>
        <w:t>functions continue inside the joint, civilian structure of the Center. (c) The Authority’s personnel receive first call on the Iranian seats of the Center, the Transit Desk, and the watch pairs, so that expertise built during the crisis serves the calm. (d) The transition gives Iran the recognized administrative role it sought within its own waters; it gives every other participant a functionally and structurally separated counterparty; and it gives Oman the joint structure its mediation requires. The architecture thereby converts the sharpest institutional artifact of the war into a load-bearing element of the peace.</w:t>
      </w:r>
    </w:p>
    <w:p w14:paraId="3B2AC68A" w14:textId="77777777" w:rsidR="008C4E6E" w:rsidRDefault="00000000">
      <w:pPr>
        <w:pStyle w:val="Heading2"/>
      </w:pPr>
      <w:bookmarkStart w:id="58" w:name="_Toc237650614"/>
      <w:r>
        <w:rPr>
          <w:rFonts w:cs="Calibri Light"/>
          <w:szCs w:val="28"/>
        </w:rPr>
        <w:t>Article 42: Vessel Classification and Passage Rules</w:t>
      </w:r>
      <w:bookmarkEnd w:id="58"/>
    </w:p>
    <w:p w14:paraId="730F755F" w14:textId="77777777" w:rsidR="008C4E6E" w:rsidRDefault="00000000">
      <w:r>
        <w:rPr>
          <w:rFonts w:cs="Calibri"/>
          <w:b/>
          <w:szCs w:val="22"/>
        </w:rPr>
        <w:t>42.1</w:t>
      </w:r>
      <w:r>
        <w:rPr>
          <w:rFonts w:cs="Calibri"/>
          <w:szCs w:val="22"/>
        </w:rPr>
        <w:t xml:space="preserve"> Class A: commercial cargo vessels of 300 gross tonnage and above. Class A vessels file the Transit Notice and follow the Bulletin.</w:t>
      </w:r>
    </w:p>
    <w:p w14:paraId="3316A42A" w14:textId="77777777" w:rsidR="008C4E6E" w:rsidRDefault="00000000">
      <w:r>
        <w:rPr>
          <w:rFonts w:cs="Calibri"/>
          <w:b/>
          <w:szCs w:val="22"/>
        </w:rPr>
        <w:t>42.2</w:t>
      </w:r>
      <w:r>
        <w:rPr>
          <w:rFonts w:cs="Calibri"/>
          <w:szCs w:val="22"/>
        </w:rPr>
        <w:t xml:space="preserve"> Class B: passenger vessels. Class B vessels file the Transit Notice, receive scheduling priority after humanitarian traffic, and follow the Bulletin.</w:t>
      </w:r>
    </w:p>
    <w:p w14:paraId="06A4B368" w14:textId="77777777" w:rsidR="008C4E6E" w:rsidRDefault="00000000">
      <w:r>
        <w:rPr>
          <w:rFonts w:cs="Calibri"/>
          <w:b/>
          <w:szCs w:val="22"/>
        </w:rPr>
        <w:t>42.3</w:t>
      </w:r>
      <w:r>
        <w:rPr>
          <w:rFonts w:cs="Calibri"/>
          <w:szCs w:val="22"/>
        </w:rPr>
        <w:t xml:space="preserve"> Class C: humanitarian and relief vessels. Class C vessels file a short-form notice of three fields (identity, cargo class, destination), move under the humanitarian absolute, and take first priority in every convoy window and every flow state.</w:t>
      </w:r>
    </w:p>
    <w:p w14:paraId="77834F94" w14:textId="77777777" w:rsidR="008C4E6E" w:rsidRDefault="00000000">
      <w:r>
        <w:rPr>
          <w:rFonts w:cs="Calibri"/>
          <w:b/>
          <w:szCs w:val="22"/>
        </w:rPr>
        <w:t>42.4</w:t>
      </w:r>
      <w:r>
        <w:rPr>
          <w:rFonts w:cs="Calibri"/>
          <w:szCs w:val="22"/>
        </w:rPr>
        <w:t xml:space="preserve"> Class D: fishing vessels and local craft under 300 gross tonnage. Class D vessels operate under the national management of the coastal state whose waters they use, stay clear of corridor centerlines, and file no notice.</w:t>
      </w:r>
    </w:p>
    <w:p w14:paraId="0390E6D1" w14:textId="77777777" w:rsidR="008C4E6E" w:rsidRDefault="00000000">
      <w:r>
        <w:rPr>
          <w:rFonts w:cs="Calibri"/>
          <w:b/>
          <w:szCs w:val="22"/>
        </w:rPr>
        <w:t>42.5</w:t>
      </w:r>
      <w:r>
        <w:rPr>
          <w:rFonts w:cs="Calibri"/>
          <w:szCs w:val="22"/>
        </w:rPr>
        <w:t xml:space="preserve"> Class E: state vessels on non-commercial service. Class E vessels transit under their own national procedures with prior notice of twenty-four hours to the Calm Waters Center, transmit automatic identification system signals, and observe Article 47. Class E status confers no boarding, inspection, or delay authority over any other class.</w:t>
      </w:r>
    </w:p>
    <w:p w14:paraId="68F391C0" w14:textId="77777777" w:rsidR="008C4E6E" w:rsidRDefault="00000000">
      <w:r>
        <w:rPr>
          <w:rFonts w:cs="Calibri"/>
          <w:b/>
          <w:szCs w:val="22"/>
        </w:rPr>
        <w:t>42.6</w:t>
      </w:r>
      <w:r>
        <w:rPr>
          <w:rFonts w:cs="Calibri"/>
          <w:szCs w:val="22"/>
        </w:rPr>
        <w:t xml:space="preserve"> No class of concern. The architecture recognizes no vessel-of-concern category. A vessel's class follows from its declared purpose, and the verification architecture watches behavior rather than identity. Freedom of navigation attaches to every vessel regardless of flag, destination, or ownership, and attaches to no condition and no payment.</w:t>
      </w:r>
    </w:p>
    <w:p w14:paraId="632B6AEF" w14:textId="77777777" w:rsidR="008C4E6E" w:rsidRDefault="00000000">
      <w:r>
        <w:rPr>
          <w:rFonts w:cs="Calibri"/>
          <w:b/>
          <w:szCs w:val="22"/>
        </w:rPr>
        <w:t>42.7</w:t>
      </w:r>
      <w:r>
        <w:rPr>
          <w:rFonts w:cs="Calibri"/>
          <w:szCs w:val="22"/>
        </w:rPr>
        <w:t xml:space="preserve"> The reciprocity guarantee. The architecture protects the commercial shipping of every littoral state with identical force. Iranian vessels, Omani vessels, and the vessels of every acceding state transit under the same freedom, the same non-interdiction protocol, and the same verification protection as every other vessel. The strait that Iran helps manage keeps Iran's own exports moving under the world's strongest anti-interdiction guarantee.</w:t>
      </w:r>
    </w:p>
    <w:p w14:paraId="13B23A27" w14:textId="77777777" w:rsidR="008C4E6E" w:rsidRDefault="00000000">
      <w:pPr>
        <w:pStyle w:val="Heading2"/>
      </w:pPr>
      <w:bookmarkStart w:id="59" w:name="_Toc237650615"/>
      <w:r>
        <w:rPr>
          <w:rFonts w:cs="Calibri Light"/>
          <w:szCs w:val="28"/>
        </w:rPr>
        <w:t>Article 43: The Notification Protocol</w:t>
      </w:r>
      <w:bookmarkEnd w:id="59"/>
    </w:p>
    <w:p w14:paraId="376DB027" w14:textId="77777777" w:rsidR="008C4E6E" w:rsidRDefault="00000000">
      <w:r>
        <w:rPr>
          <w:rFonts w:cs="Calibri"/>
          <w:b/>
          <w:szCs w:val="22"/>
        </w:rPr>
        <w:t>43.1</w:t>
      </w:r>
      <w:r>
        <w:rPr>
          <w:rFonts w:cs="Calibri"/>
          <w:szCs w:val="22"/>
        </w:rPr>
        <w:t xml:space="preserve"> The ten fields. Every Class A and Class B vessel files a Transit Notice through the Transit Desk portal between twelve hours and two hours before entering the Governance Area. The notice contains ten </w:t>
      </w:r>
      <w:r>
        <w:rPr>
          <w:rFonts w:cs="Calibri"/>
          <w:szCs w:val="22"/>
        </w:rPr>
        <w:lastRenderedPageBreak/>
        <w:t>fields and fits on one page: vessel name and IMO number; vessel class; flag state, for registry verification only; gross tonnage and dimensions; cargo category in plain terms; last port and next port; planned entry time at the first waypoint; planned speed band; the name of the master; and a contact channel. No field asks for cargo value, ownership structure, insurance details, crew nationality, or ultimate destination beyond next port.</w:t>
      </w:r>
    </w:p>
    <w:p w14:paraId="060B94AC" w14:textId="77777777" w:rsidR="008C4E6E" w:rsidRDefault="00000000">
      <w:r>
        <w:rPr>
          <w:rFonts w:cs="Calibri"/>
          <w:b/>
          <w:szCs w:val="22"/>
        </w:rPr>
        <w:t>43.2</w:t>
      </w:r>
      <w:r>
        <w:rPr>
          <w:rFonts w:cs="Calibri"/>
          <w:szCs w:val="22"/>
        </w:rPr>
        <w:t xml:space="preserve"> File-and-acknowledge. The Desk issues an acknowledgment automatically within thirty minutes of filing. Silence for thirty minutes constitutes acknowledgment. The acknowledgment confirms receipt and recording, and carries no permission, approval, or condition. The silence rule operates in favor of the mariner, always.</w:t>
      </w:r>
    </w:p>
    <w:p w14:paraId="05534F6C" w14:textId="77777777" w:rsidR="008C4E6E" w:rsidRDefault="00000000">
      <w:r>
        <w:rPr>
          <w:rFonts w:cs="Calibri"/>
          <w:b/>
          <w:szCs w:val="22"/>
        </w:rPr>
        <w:t>43.3</w:t>
      </w:r>
      <w:r>
        <w:rPr>
          <w:rFonts w:cs="Calibri"/>
          <w:szCs w:val="22"/>
        </w:rPr>
        <w:t xml:space="preserve"> Non-discretionary processing. The Desk processes notices in the order received, applies the completeness check mechanically, and records every notice and every acknowledgment in the public log within one hour. The Desk is prohibited from delaying, conditioning, or denying any notice, from requesting information beyond the ten fields, from charging any charge, and from communicating any preference about any cargo, flag, owner, or destination.</w:t>
      </w:r>
    </w:p>
    <w:p w14:paraId="681A99E7" w14:textId="77777777" w:rsidR="008C4E6E" w:rsidRDefault="00000000">
      <w:r>
        <w:rPr>
          <w:rFonts w:cs="Calibri"/>
          <w:b/>
          <w:szCs w:val="22"/>
        </w:rPr>
        <w:t>43.4</w:t>
      </w:r>
      <w:r>
        <w:rPr>
          <w:rFonts w:cs="Calibri"/>
          <w:szCs w:val="22"/>
        </w:rPr>
        <w:t xml:space="preserve"> Corrections. A vessel amends its notice at any time before entry by filing a correction. Corrections reset no clock and trigger no review unless the correction changes identity, cargo class, or destination, in which case the acknowledgment re-issues within thirty minutes.</w:t>
      </w:r>
    </w:p>
    <w:p w14:paraId="5F8F318C" w14:textId="77777777" w:rsidR="008C4E6E" w:rsidRDefault="00000000">
      <w:r>
        <w:rPr>
          <w:rFonts w:cs="Calibri"/>
          <w:b/>
          <w:szCs w:val="22"/>
        </w:rPr>
        <w:t>43.5</w:t>
      </w:r>
      <w:r>
        <w:rPr>
          <w:rFonts w:cs="Calibri"/>
          <w:szCs w:val="22"/>
        </w:rPr>
        <w:t xml:space="preserve"> Symmetry. The Desk, the coastal vessel traffic services, and the Neutral Verification Office see every notice at identical latency through the Shared Registry. The officer of the watch sees the same data as the co-directors.</w:t>
      </w:r>
    </w:p>
    <w:p w14:paraId="136CA0A7" w14:textId="77777777" w:rsidR="008C4E6E" w:rsidRDefault="00000000">
      <w:r>
        <w:rPr>
          <w:rFonts w:cs="Calibri"/>
          <w:b/>
          <w:szCs w:val="22"/>
        </w:rPr>
        <w:t>43.6</w:t>
      </w:r>
      <w:r>
        <w:rPr>
          <w:rFonts w:cs="Calibri"/>
          <w:szCs w:val="22"/>
        </w:rPr>
        <w:t xml:space="preserve"> Data custody. Notice data serves safety and verification only, under line 14 of the Declaration. Retention runs seven years, and access logs publish monthly.</w:t>
      </w:r>
    </w:p>
    <w:p w14:paraId="495BE382" w14:textId="77777777" w:rsidR="008C4E6E" w:rsidRDefault="00000000">
      <w:r>
        <w:rPr>
          <w:rFonts w:cs="Calibri"/>
          <w:b/>
          <w:szCs w:val="22"/>
        </w:rPr>
        <w:t>43.7</w:t>
      </w:r>
      <w:r>
        <w:rPr>
          <w:rFonts w:cs="Calibri"/>
          <w:szCs w:val="22"/>
        </w:rPr>
        <w:t xml:space="preserve"> The paperwork rule. A vessel that enters without a filed notice receives a post-entry filing request and a Tier 1 record under Article 54. The vessel continues its transit. The system corrects paperwork; it never stops ships for paperwork.</w:t>
      </w:r>
    </w:p>
    <w:p w14:paraId="6533DEF2" w14:textId="77777777" w:rsidR="008C4E6E" w:rsidRDefault="00000000">
      <w:r>
        <w:rPr>
          <w:rFonts w:cs="Calibri"/>
          <w:b/>
          <w:szCs w:val="22"/>
        </w:rPr>
        <w:t>43.8</w:t>
      </w:r>
      <w:r>
        <w:rPr>
          <w:rFonts w:cs="Calibri"/>
          <w:szCs w:val="22"/>
        </w:rPr>
        <w:t xml:space="preserve"> The Humanitarian Bridge. (a) From Day 0 through Pulse Three, the Covenant operates the Humanitarian Bridge: a dedicated priority lane for food, medicine, medical equipment, and relief supplies, running through the interim geometry of Article 6.11 and then through the Fast-Track Corridor. (b) The Humanitarian Bridge operates under the same notification protocol as commercial traffic and holds absolute priority in every convoy window and every flow state. (c) The Neutral Verification Office, or before its activation the Swiss facilitator’s auditor, certifies every Humanitarian Bridge transit, and the certification publishes in the Bulletin within one hour of transit completion. (d) The Mariner Repatriation Window of Article 6.11 runs on the Humanitarian Bridge. The Bridge gives the Covenant immediate humanitarian credibility while the longer-term architecture builds.</w:t>
      </w:r>
    </w:p>
    <w:p w14:paraId="11FCD943" w14:textId="77777777" w:rsidR="008C4E6E" w:rsidRDefault="00000000">
      <w:pPr>
        <w:pStyle w:val="Heading2"/>
      </w:pPr>
      <w:bookmarkStart w:id="60" w:name="_Toc237650616"/>
      <w:r>
        <w:rPr>
          <w:rFonts w:cs="Calibri Light"/>
          <w:szCs w:val="28"/>
        </w:rPr>
        <w:lastRenderedPageBreak/>
        <w:t>Article 44: Flow States and the Open Water Bulletin</w:t>
      </w:r>
      <w:bookmarkEnd w:id="60"/>
    </w:p>
    <w:p w14:paraId="2C278FAC" w14:textId="77777777" w:rsidR="008C4E6E" w:rsidRDefault="00000000">
      <w:r>
        <w:rPr>
          <w:rFonts w:cs="Calibri"/>
          <w:b/>
          <w:szCs w:val="22"/>
        </w:rPr>
        <w:t>44.1</w:t>
      </w:r>
      <w:r>
        <w:rPr>
          <w:rFonts w:cs="Calibri"/>
          <w:szCs w:val="22"/>
        </w:rPr>
        <w:t xml:space="preserve"> Three states. The corridor system operates in three flow states. Free Flow: all certified corridors open at normal spacing. Managed Flow: convoy windows, speed guidance, or increased spacing apply, with the measures published in the Bulletin. Suspended Flow: a single affected corridor sector pauses new entries for a verified physical hazard, for no more than seventy-two hours.</w:t>
      </w:r>
    </w:p>
    <w:p w14:paraId="04BF7309" w14:textId="77777777" w:rsidR="008C4E6E" w:rsidRDefault="00000000">
      <w:r>
        <w:rPr>
          <w:rFonts w:cs="Calibri"/>
          <w:b/>
          <w:szCs w:val="22"/>
        </w:rPr>
        <w:t>44.2</w:t>
      </w:r>
      <w:r>
        <w:rPr>
          <w:rFonts w:cs="Calibri"/>
          <w:szCs w:val="22"/>
        </w:rPr>
        <w:t xml:space="preserve"> The dual trigger. A suspension requires a verified mine, hazard, or kinetic incident in the corridor, confirmed under the convergence standard of Article 53, and the recorded concurrence of one co-director and the NVO chief. A suspension attaches to one corridor sector only, expires automatically at seventy-two hours, and extends only by Twin Key with a published reason. Humanitarian traffic moves in every flow state, in every sector, at every time.</w:t>
      </w:r>
    </w:p>
    <w:p w14:paraId="3FACC090" w14:textId="77777777" w:rsidR="008C4E6E" w:rsidRDefault="00000000">
      <w:r>
        <w:rPr>
          <w:rFonts w:cs="Calibri"/>
          <w:b/>
          <w:szCs w:val="22"/>
        </w:rPr>
        <w:t>44.3</w:t>
      </w:r>
      <w:r>
        <w:rPr>
          <w:rFonts w:cs="Calibri"/>
          <w:szCs w:val="22"/>
        </w:rPr>
        <w:t xml:space="preserve"> The Bulletin. The Desk publishes the Open Water Bulletin every six hours, at 00:00, 06:00, 12:00, and 18:00 Gulf Standard Time, and immediately on any change of flow state. The Bulletin states, in plain language and fixed order: flow state by corridor; convoy windows; speed guidance; hazard notices; weather; and the time of the next issue. The Bulletin fits on one page.</w:t>
      </w:r>
    </w:p>
    <w:p w14:paraId="6164392A" w14:textId="77777777" w:rsidR="008C4E6E" w:rsidRDefault="00000000">
      <w:r>
        <w:rPr>
          <w:rFonts w:cs="Calibri"/>
          <w:b/>
          <w:szCs w:val="22"/>
        </w:rPr>
        <w:t>44.4</w:t>
      </w:r>
      <w:r>
        <w:rPr>
          <w:rFonts w:cs="Calibri"/>
          <w:szCs w:val="22"/>
        </w:rPr>
        <w:t xml:space="preserve"> The market signal. The Desk publishes the Bulletin to participants and registered industry users simultaneously, and a market version without operational detail publishes to the world at the same hour. The architecture treats timely, honest flow information as a market stability instrument: insurers price what they know, and the system tells them everything, immediately, in one place.</w:t>
      </w:r>
    </w:p>
    <w:p w14:paraId="5CF1ECD4" w14:textId="77777777" w:rsidR="008C4E6E" w:rsidRDefault="00000000">
      <w:r>
        <w:rPr>
          <w:rFonts w:cs="Calibri"/>
          <w:b/>
          <w:szCs w:val="22"/>
        </w:rPr>
        <w:t>44.5</w:t>
      </w:r>
      <w:r>
        <w:rPr>
          <w:rFonts w:cs="Calibri"/>
          <w:szCs w:val="22"/>
        </w:rPr>
        <w:t xml:space="preserve"> Voluntary convoys. During Managed Flow, convoy windows are voluntary. No escort boards any vessel, and no vessel pays any charge for convoy participation.</w:t>
      </w:r>
    </w:p>
    <w:p w14:paraId="4817626C" w14:textId="77777777" w:rsidR="008C4E6E" w:rsidRDefault="00000000">
      <w:pPr>
        <w:pStyle w:val="Heading2"/>
      </w:pPr>
      <w:bookmarkStart w:id="61" w:name="_Toc237650617"/>
      <w:r>
        <w:rPr>
          <w:rFonts w:cs="Calibri Light"/>
          <w:szCs w:val="28"/>
        </w:rPr>
        <w:t>Article 45: The Absolute Non-Interdiction Protocol</w:t>
      </w:r>
      <w:bookmarkEnd w:id="61"/>
    </w:p>
    <w:p w14:paraId="4427A82B" w14:textId="77777777" w:rsidR="008C4E6E" w:rsidRDefault="00000000">
      <w:r>
        <w:rPr>
          <w:rFonts w:cs="Calibri"/>
          <w:b/>
          <w:szCs w:val="22"/>
        </w:rPr>
        <w:t>45.1</w:t>
      </w:r>
      <w:r>
        <w:rPr>
          <w:rFonts w:cs="Calibri"/>
          <w:szCs w:val="22"/>
        </w:rPr>
        <w:t xml:space="preserve"> The protocol. Commercial transit operates under an absolute non-interdiction protocol within the framework. The protocol excludes boarding, diversion, seizure, detention, harassment, inspection, or interference with any vessel engaged in transit, by any actor, inside a passage, under any circumstances. The protocol binds state and non-state actors alike within the reach of the participants' authority.</w:t>
      </w:r>
    </w:p>
    <w:p w14:paraId="406B58C8" w14:textId="77777777" w:rsidR="008C4E6E" w:rsidRDefault="00000000">
      <w:r>
        <w:rPr>
          <w:rFonts w:cs="Calibri"/>
          <w:b/>
          <w:szCs w:val="22"/>
        </w:rPr>
        <w:t>45.2</w:t>
      </w:r>
      <w:r>
        <w:rPr>
          <w:rFonts w:cs="Calibri"/>
          <w:szCs w:val="22"/>
        </w:rPr>
        <w:t xml:space="preserve"> The exceptions. The protocol yields only to the law of rescue: a vessel in distress receives assistance; a vessel that requests inspection or assistance receives it; and pollution response proceeds against a vessel that discharges, on convergent evidence, in accordance with the environmental provisions of the services catalog. Every use of an exception enters the public log with the convergent evidence that supports it.</w:t>
      </w:r>
    </w:p>
    <w:p w14:paraId="7139BE5B" w14:textId="77777777" w:rsidR="008C4E6E" w:rsidRDefault="00000000">
      <w:r>
        <w:rPr>
          <w:rFonts w:cs="Calibri"/>
          <w:b/>
          <w:szCs w:val="22"/>
        </w:rPr>
        <w:t>45.3</w:t>
      </w:r>
      <w:r>
        <w:rPr>
          <w:rFonts w:cs="Calibri"/>
          <w:szCs w:val="22"/>
        </w:rPr>
        <w:t xml:space="preserve"> No new mines and no new impediments. The framework architecture excludes the laying of naval mines in the Governance Area, its approaches, and any water that drains into a corridor, and it excludes every form of impediment to passage: blockade, quarantine, checkpoint, or administrative hold. These exclusions attach to the architecture itself and bind every participant equally.</w:t>
      </w:r>
    </w:p>
    <w:p w14:paraId="4F4890C2" w14:textId="77777777" w:rsidR="008C4E6E" w:rsidRDefault="00000000">
      <w:r>
        <w:rPr>
          <w:rFonts w:cs="Calibri"/>
          <w:b/>
          <w:szCs w:val="22"/>
        </w:rPr>
        <w:lastRenderedPageBreak/>
        <w:t>45.4</w:t>
      </w:r>
      <w:r>
        <w:rPr>
          <w:rFonts w:cs="Calibri"/>
          <w:szCs w:val="22"/>
        </w:rPr>
        <w:t xml:space="preserve"> Breach classification. A breach of this Article classifies as Tier 3 under Article 54 without exception, and triggers the group response of Article 55.</w:t>
      </w:r>
    </w:p>
    <w:p w14:paraId="2DE64B4D" w14:textId="77777777" w:rsidR="008C4E6E" w:rsidRDefault="00000000">
      <w:pPr>
        <w:pStyle w:val="Heading2"/>
      </w:pPr>
      <w:bookmarkStart w:id="62" w:name="_Toc237650618"/>
      <w:r>
        <w:rPr>
          <w:rFonts w:cs="Calibri Light"/>
          <w:szCs w:val="28"/>
        </w:rPr>
        <w:t>Article 46: The Mine Exclusion and the Joint Survey</w:t>
      </w:r>
      <w:bookmarkEnd w:id="62"/>
    </w:p>
    <w:p w14:paraId="76E3A73B" w14:textId="77777777" w:rsidR="008C4E6E" w:rsidRDefault="00000000">
      <w:r>
        <w:rPr>
          <w:rFonts w:cs="Calibri"/>
          <w:b/>
          <w:szCs w:val="22"/>
        </w:rPr>
        <w:t>46.1</w:t>
      </w:r>
      <w:r>
        <w:rPr>
          <w:rFonts w:cs="Calibri"/>
          <w:szCs w:val="22"/>
        </w:rPr>
        <w:t xml:space="preserve"> Hazard declarations. Within seventy-two hours of Pulse One, each Founding Party files a complete hazard declaration: every known or suspected mine, unexploded ordnance, obstruction, or wreck in the Governance Area and its approaches, with position, type, quantity, date of knowledge, and confidence level. The Endorsing Stakeholder and Contributing Participants file their own holdings of hazard information on the same schedule.</w:t>
      </w:r>
    </w:p>
    <w:p w14:paraId="16936F9B" w14:textId="77777777" w:rsidR="008C4E6E" w:rsidRDefault="00000000">
      <w:r>
        <w:rPr>
          <w:rFonts w:cs="Calibri"/>
          <w:b/>
          <w:szCs w:val="22"/>
        </w:rPr>
        <w:t>46.2</w:t>
      </w:r>
      <w:r>
        <w:rPr>
          <w:rFonts w:cs="Calibri"/>
          <w:szCs w:val="22"/>
        </w:rPr>
        <w:t xml:space="preserve"> The Joint Survey Group. The Joint Survey Group conducts the survey and clearance of the Governance Area, under the coordination of the United Nations Mine Action Service, co-led by an Iranian hydrographic officer and an Omani hydrographic officer of equal authority, and drawing capability from the Contributing Participants, whose vessels and teams operate at the invitation of both Founding Parties. The Group builds directly on the survey liaison habits of Article 22.</w:t>
      </w:r>
    </w:p>
    <w:p w14:paraId="312D59D0" w14:textId="77777777" w:rsidR="008C4E6E" w:rsidRDefault="00000000">
      <w:r>
        <w:rPr>
          <w:rFonts w:cs="Calibri"/>
          <w:b/>
          <w:szCs w:val="22"/>
        </w:rPr>
        <w:t>46.3</w:t>
      </w:r>
      <w:r>
        <w:rPr>
          <w:rFonts w:cs="Calibri"/>
          <w:szCs w:val="22"/>
        </w:rPr>
        <w:t xml:space="preserve"> The sequence. The Group activates at Pulse One and works in three phases. Phase A, route survey: Days 30 to 45, corridor-edge survey of the Fast-Track Corridor and the Corridor Two geometry to confirm the interim lanes. Phase B, median clearance: Days 45 to 75, survey and clearance of Corridor Three to the certification standard. Phase C, full-area sweep: Days 75 to 105, systematic clearance of remaining zones, anchorages, and approaches.</w:t>
      </w:r>
    </w:p>
    <w:p w14:paraId="33DB457F" w14:textId="77777777" w:rsidR="008C4E6E" w:rsidRDefault="00000000">
      <w:r>
        <w:rPr>
          <w:rFonts w:cs="Calibri"/>
          <w:b/>
          <w:szCs w:val="22"/>
        </w:rPr>
        <w:t>46.4</w:t>
      </w:r>
      <w:r>
        <w:rPr>
          <w:rFonts w:cs="Calibri"/>
          <w:szCs w:val="22"/>
        </w:rPr>
        <w:t xml:space="preserve"> Certification. The Group applies International Hydrographic Organization survey standards. A corridor certifies clear when the co-leads sign the survey certificate and the United Nations coordinator countersigns it. Certificates enter the Registry and publish in the Bulletin.</w:t>
      </w:r>
    </w:p>
    <w:p w14:paraId="7E05F72B" w14:textId="77777777" w:rsidR="008C4E6E" w:rsidRDefault="00000000">
      <w:r>
        <w:rPr>
          <w:rFonts w:cs="Calibri"/>
          <w:b/>
          <w:szCs w:val="22"/>
        </w:rPr>
        <w:t>46.5</w:t>
      </w:r>
      <w:r>
        <w:rPr>
          <w:rFonts w:cs="Calibri"/>
          <w:szCs w:val="22"/>
        </w:rPr>
        <w:t xml:space="preserve"> Clearance precedes attribution. Every mine found in the water comes out of the water on the published schedule, regardless of origin, age, or attribution. The Group logs every item with position, type, and condition, and the log feeds the attribution record of Article 55 without prejudging it.</w:t>
      </w:r>
    </w:p>
    <w:p w14:paraId="45E82B40" w14:textId="77777777" w:rsidR="008C4E6E" w:rsidRDefault="00000000">
      <w:r>
        <w:rPr>
          <w:rFonts w:cs="Calibri"/>
          <w:b/>
          <w:szCs w:val="22"/>
        </w:rPr>
        <w:t>46.6</w:t>
      </w:r>
      <w:r>
        <w:rPr>
          <w:rFonts w:cs="Calibri"/>
          <w:szCs w:val="22"/>
        </w:rPr>
        <w:t xml:space="preserve"> The standing watch. After Phase C, the Group converts to a standing survey watch of one vessel and one team on rotation, funded under Article 51, so that any new hazard report receives a survey response within twenty-four hours.</w:t>
      </w:r>
    </w:p>
    <w:p w14:paraId="76D00F30" w14:textId="77777777" w:rsidR="008C4E6E" w:rsidRDefault="00000000">
      <w:r>
        <w:rPr>
          <w:rFonts w:cs="Calibri"/>
          <w:b/>
          <w:szCs w:val="22"/>
        </w:rPr>
        <w:t>46.7</w:t>
      </w:r>
      <w:r>
        <w:rPr>
          <w:rFonts w:cs="Calibri"/>
          <w:szCs w:val="22"/>
        </w:rPr>
        <w:t xml:space="preserve"> The coexistence rule. Clearance operations run under safety exclusion zones published in the Bulletin. The Desk sequences traffic around clearance work so that clearance never halts transit and transit never pressures clearance.</w:t>
      </w:r>
    </w:p>
    <w:p w14:paraId="26E39595" w14:textId="77777777" w:rsidR="008C4E6E" w:rsidRDefault="00000000">
      <w:pPr>
        <w:pStyle w:val="Heading2"/>
      </w:pPr>
      <w:bookmarkStart w:id="63" w:name="_Toc237650619"/>
      <w:r>
        <w:rPr>
          <w:rFonts w:cs="Calibri Light"/>
          <w:szCs w:val="28"/>
        </w:rPr>
        <w:lastRenderedPageBreak/>
        <w:t>Article 47: Standoff Geometry and De-confliction</w:t>
      </w:r>
      <w:bookmarkEnd w:id="63"/>
    </w:p>
    <w:p w14:paraId="03EE3366" w14:textId="77777777" w:rsidR="008C4E6E" w:rsidRDefault="00000000">
      <w:r>
        <w:rPr>
          <w:rFonts w:cs="Calibri"/>
          <w:b/>
          <w:szCs w:val="22"/>
        </w:rPr>
        <w:t>47.1</w:t>
      </w:r>
      <w:r>
        <w:rPr>
          <w:rFonts w:cs="Calibri"/>
          <w:szCs w:val="22"/>
        </w:rPr>
        <w:t xml:space="preserve"> The standoff. Military vessels of different participants maintain a stand-off distance of fifteen nautical miles inside the Governance Area and its approaches. The duty to maintain the distance rests on the closing vessel.</w:t>
      </w:r>
    </w:p>
    <w:p w14:paraId="6436815B" w14:textId="77777777" w:rsidR="008C4E6E" w:rsidRDefault="00000000">
      <w:r>
        <w:rPr>
          <w:rFonts w:cs="Calibri"/>
          <w:b/>
          <w:szCs w:val="22"/>
        </w:rPr>
        <w:t>47.2</w:t>
      </w:r>
      <w:r>
        <w:rPr>
          <w:rFonts w:cs="Calibri"/>
          <w:szCs w:val="22"/>
        </w:rPr>
        <w:t xml:space="preserve"> The hail ladder. At ten nautical miles closing, the closing vessel hails on VHF Channel 16, shifts to the working channel, states its identity, intention, and next movement in plain language, and logs the hail with the Center within one hour. At five nautical miles closing, the closing vessel's national operations center notifies the Center by hotline message, and the Center informs the other participant's operations center within fifteen minutes.</w:t>
      </w:r>
    </w:p>
    <w:p w14:paraId="1A0D6DD5" w14:textId="77777777" w:rsidR="008C4E6E" w:rsidRDefault="00000000">
      <w:r>
        <w:rPr>
          <w:rFonts w:cs="Calibri"/>
          <w:b/>
          <w:szCs w:val="22"/>
        </w:rPr>
        <w:t>47.3</w:t>
      </w:r>
      <w:r>
        <w:rPr>
          <w:rFonts w:cs="Calibri"/>
          <w:szCs w:val="22"/>
        </w:rPr>
        <w:t xml:space="preserve"> The commercial buffer. No military vessel crosses a corridor centerline within five nautical miles of a transiting commercial vessel, and aircraft of participants maintain operations outside a five-nautical-mile radius of transiting commercial vessels, except for rescue of persons in distress. Every rescue crossing enters the Registry within one hour.</w:t>
      </w:r>
    </w:p>
    <w:p w14:paraId="103B3BD4" w14:textId="77777777" w:rsidR="008C4E6E" w:rsidRDefault="00000000">
      <w:r>
        <w:rPr>
          <w:rFonts w:cs="Calibri"/>
          <w:b/>
          <w:szCs w:val="22"/>
        </w:rPr>
        <w:t>47.4</w:t>
      </w:r>
      <w:r>
        <w:rPr>
          <w:rFonts w:cs="Calibri"/>
          <w:szCs w:val="22"/>
        </w:rPr>
        <w:t xml:space="preserve"> Conduct inside the area. Inside the Governance Area, state vessels of every state conduct no exercises, no weapons tests, no launches of aircraft or unmanned systems except for search and rescue, no jamming, and no interference with the automatic identification system or satellite navigation signals of any vessel. Signal interference inside the Governance Area classifies as a Tier 3 event, because spoofing and jamming kill mariners.</w:t>
      </w:r>
    </w:p>
    <w:p w14:paraId="4B72F760" w14:textId="77777777" w:rsidR="008C4E6E" w:rsidRDefault="00000000">
      <w:r>
        <w:rPr>
          <w:rFonts w:cs="Calibri"/>
          <w:b/>
          <w:szCs w:val="22"/>
        </w:rPr>
        <w:t>47.5</w:t>
      </w:r>
      <w:r>
        <w:rPr>
          <w:rFonts w:cs="Calibri"/>
          <w:szCs w:val="22"/>
        </w:rPr>
        <w:t xml:space="preserve"> The hotline. The Founding Parties and the Endorsing Stakeholder operate a continuous three-node de-confliction hotline between Tehran, Muscat, and the designated operations center of the Endorsing Stakeholder, mirrored at the Center, on the protocols of Annex D. The answer standard is fifteen minutes at any hour. The hotline is a safety instrument, not a negotiation channel, and a participant is prohibited from conditioning hotline performance on any political matter.</w:t>
      </w:r>
    </w:p>
    <w:p w14:paraId="14890308" w14:textId="77777777" w:rsidR="008C4E6E" w:rsidRDefault="00000000">
      <w:r>
        <w:rPr>
          <w:rFonts w:cs="Calibri"/>
          <w:b/>
          <w:szCs w:val="22"/>
        </w:rPr>
        <w:t>47.6</w:t>
      </w:r>
      <w:r>
        <w:rPr>
          <w:rFonts w:cs="Calibri"/>
          <w:szCs w:val="22"/>
        </w:rPr>
        <w:t xml:space="preserve"> External forces. The naval forces of the Endorsing Stakeholder and of any other external state operate outside the corridor system. Their relationship to this Covenant runs through the de-confliction channel: they receive the fused picture, they notify transits, and they coordinate with the Center. No external force performs corridor functions, stations itself inside the Governance Area, or escorts commercial vessels inside the corridors except under the certified survey and mine countermeasure arrangements of Article 46 and the convoy window protocol. This allocation answers the regional demand for reduced external military presence near the Strait while preserving the monitoring and de-confliction access the Endorsing Stakeholder requires.</w:t>
      </w:r>
    </w:p>
    <w:p w14:paraId="6746059F" w14:textId="77777777" w:rsidR="008C4E6E" w:rsidRDefault="00000000">
      <w:r>
        <w:rPr>
          <w:rFonts w:cs="Calibri"/>
          <w:b/>
          <w:szCs w:val="22"/>
        </w:rPr>
        <w:t>47.7</w:t>
      </w:r>
      <w:r>
        <w:rPr>
          <w:rFonts w:cs="Calibri"/>
          <w:szCs w:val="22"/>
        </w:rPr>
        <w:t xml:space="preserve"> The regional posture interface. The participants address the military posture of the wider region through the facilitator channel, on a separate track from corridor operations, under the sealed bulkhead of Article 3.6. The standoff geometry, the external-force rule, and the hotline together deliver the </w:t>
      </w:r>
      <w:r>
        <w:rPr>
          <w:rFonts w:cs="Calibri"/>
          <w:szCs w:val="22"/>
        </w:rPr>
        <w:lastRenderedPageBreak/>
        <w:t>operative de-escalation inside the Governance Area: forces separate, movements notify, and incidents climb a ladder of information rather than a ladder of force.</w:t>
      </w:r>
    </w:p>
    <w:p w14:paraId="04529C0D" w14:textId="77777777" w:rsidR="008C4E6E" w:rsidRDefault="00000000">
      <w:r>
        <w:br w:type="page"/>
      </w:r>
    </w:p>
    <w:p w14:paraId="703958CA" w14:textId="77777777" w:rsidR="008C4E6E" w:rsidRDefault="00000000">
      <w:pPr>
        <w:pStyle w:val="Heading2"/>
      </w:pPr>
      <w:bookmarkStart w:id="64" w:name="_Toc237650620"/>
      <w:r>
        <w:rPr>
          <w:rFonts w:cs="Calibri Light"/>
          <w:szCs w:val="28"/>
        </w:rPr>
        <w:lastRenderedPageBreak/>
        <w:t>Article 48: The Institutions of the Charter</w:t>
      </w:r>
      <w:bookmarkEnd w:id="64"/>
    </w:p>
    <w:p w14:paraId="631034D1" w14:textId="77777777" w:rsidR="008C4E6E" w:rsidRDefault="00000000">
      <w:r>
        <w:rPr>
          <w:rFonts w:cs="Calibri"/>
          <w:b/>
          <w:szCs w:val="22"/>
        </w:rPr>
        <w:t>48.1</w:t>
      </w:r>
      <w:r>
        <w:rPr>
          <w:rFonts w:cs="Calibri"/>
          <w:szCs w:val="22"/>
        </w:rPr>
        <w:t xml:space="preserve"> The Calm Waters Center. The Joint Coordination Desk converts into the Calm Waters Center on activation: the standing civilian institution of the Charter, seated in Muscat in an existing facility, with the Mirror Facility of Equal Rank in Bandar Abbas. The two facilities run identical systems, display identical data, and operate at identical latency. The Center hosts the watch floor, the Transit Desk, the Shared Registry primary node, the hotline mirror, and the liaison offices, and it operates continuously, every hour of every day. The Center holds no sovereignty, commands no forces, and owns no vessels or radar of its own: it coordinates, publishes, audits, and certifies.</w:t>
      </w:r>
    </w:p>
    <w:p w14:paraId="7FC72471" w14:textId="77777777" w:rsidR="008C4E6E" w:rsidRDefault="00000000">
      <w:r>
        <w:rPr>
          <w:rFonts w:cs="Calibri"/>
          <w:b/>
          <w:szCs w:val="22"/>
        </w:rPr>
        <w:t>48.2</w:t>
      </w:r>
      <w:r>
        <w:rPr>
          <w:rFonts w:cs="Calibri"/>
          <w:szCs w:val="22"/>
        </w:rPr>
        <w:t xml:space="preserve"> Co-equal staffing. Two co-directors head the Center, one appointed by Iran and one by Oman, alternating as chair of the watch monthly. The watch floor staffs paired officers, one Iranian and one Omani, on every watch, at every post, at all times, plus two NVO verifiers on every shift and two observer officers from acceding Observer Members. Total standing personnel of the architecture, including the Commission secretariat and the NVO, stays under seventy-five.</w:t>
      </w:r>
    </w:p>
    <w:p w14:paraId="15CE002F" w14:textId="77777777" w:rsidR="008C4E6E" w:rsidRDefault="00000000">
      <w:r>
        <w:rPr>
          <w:rFonts w:cs="Calibri"/>
          <w:b/>
          <w:szCs w:val="22"/>
        </w:rPr>
        <w:t>48.3</w:t>
      </w:r>
      <w:r>
        <w:rPr>
          <w:rFonts w:cs="Calibri"/>
          <w:szCs w:val="22"/>
        </w:rPr>
        <w:t xml:space="preserve"> The Transit Desk. The Desk receives Transit Notices, issues automatic acknowledgments, publishes the Bulletin, maintains the Shared Registry, and operates the public information service. The permission machinery of the crisis period dissolves in the Synchronized Indivisible Event; the Desk inherits its personnel, portal, and local knowledge as civilian founders of the new service, and every serving officer of the prior organization receives the offer of a Desk position at equal grade. The transformation carries dignity: the crisis-era organization stood the watch in the hardest months, and its officers carry that experience into the civilian system.</w:t>
      </w:r>
    </w:p>
    <w:p w14:paraId="1AE9CBBD" w14:textId="77777777" w:rsidR="008C4E6E" w:rsidRDefault="00000000">
      <w:r>
        <w:rPr>
          <w:rFonts w:cs="Calibri"/>
          <w:b/>
          <w:szCs w:val="22"/>
        </w:rPr>
        <w:t>48.4</w:t>
      </w:r>
      <w:r>
        <w:rPr>
          <w:rFonts w:cs="Calibri"/>
          <w:szCs w:val="22"/>
        </w:rPr>
        <w:t xml:space="preserve"> The Neutral Verification Office. The NVO numbers nine verifiers, drawn from nationals of states that are neither littoral states of the Gulf nor the Endorsing Stakeholder, with founding seats for Switzerland, Singapore, and Japan and rotating seats filled by the Commission. The NVO certifies corridor surveys, audits the Fund and the Desk standards, certifies compliance findings under the convergence standard, conducts the Stability Audit, and publishes the Weekly Verification Bulletin. The NVO holds the system's single delay power: a verifier who observes a credible hazard indication triggers a stop-loss of Managed Flow for one corridor for up to twenty-four hours, exercisable once per event, pending review by one co-director and the NVO chief. Every stop-loss enters the Registry with reasons within one hour.</w:t>
      </w:r>
    </w:p>
    <w:p w14:paraId="1639E223" w14:textId="77777777" w:rsidR="008C4E6E" w:rsidRDefault="00000000">
      <w:r>
        <w:rPr>
          <w:rFonts w:cs="Calibri"/>
          <w:b/>
          <w:szCs w:val="22"/>
        </w:rPr>
        <w:t>48.5</w:t>
      </w:r>
      <w:r>
        <w:rPr>
          <w:rFonts w:cs="Calibri"/>
          <w:szCs w:val="22"/>
        </w:rPr>
        <w:t xml:space="preserve"> The Calm Waters Commission. The Commission is the political custodian of the Covenant: one ministerial or deputy-ministerial representative of each Founding Party as co-chairs, one representative of each Observer Member, the Endorsing Stakeholder without vote, the Technical Participants without vote, and the facilitators as guests of the co-chairs. The Commission sets policy direction, guards the Red Lines Register, approves the budget and the rate card, decides accessions, and reviews stop-loss events and Watch activations. It holds no operational command. Decisions take consensus minus one: a single </w:t>
      </w:r>
      <w:r>
        <w:rPr>
          <w:rFonts w:cs="Calibri"/>
          <w:szCs w:val="22"/>
        </w:rPr>
        <w:lastRenderedPageBreak/>
        <w:t>objection does not block; the joint objection of both Founding Parties blocks; and decisions touching a red line follow Article 8.4.</w:t>
      </w:r>
    </w:p>
    <w:p w14:paraId="45A50F56" w14:textId="77777777" w:rsidR="008C4E6E" w:rsidRDefault="00000000">
      <w:r>
        <w:rPr>
          <w:rFonts w:cs="Calibri"/>
          <w:b/>
          <w:szCs w:val="22"/>
        </w:rPr>
        <w:t>48.6</w:t>
      </w:r>
      <w:r>
        <w:rPr>
          <w:rFonts w:cs="Calibri"/>
          <w:szCs w:val="22"/>
        </w:rPr>
        <w:t xml:space="preserve"> The Industry Panel. The Panel numbers twelve: four from shipping, four from insurance, four from energy chartering, appointed by the Commission from nominations by their associations. The Panel meets monthly with the co-directors, advises on rates, risk data, and service quality, and receives the same Bulletin at the same time as participants. The crisis demonstrated that the practical closure of the Strait came from the insurance market and the shipowners; the Panel embeds the industry's judgment inside the system, so that the people who price the risk help design the rules that reduce it.</w:t>
      </w:r>
    </w:p>
    <w:p w14:paraId="684A400A" w14:textId="77777777" w:rsidR="008C4E6E" w:rsidRDefault="00000000">
      <w:r>
        <w:rPr>
          <w:rFonts w:cs="Calibri"/>
          <w:b/>
          <w:szCs w:val="22"/>
        </w:rPr>
        <w:t>48.7</w:t>
      </w:r>
      <w:r>
        <w:rPr>
          <w:rFonts w:cs="Calibri"/>
          <w:szCs w:val="22"/>
        </w:rPr>
        <w:t xml:space="preserve"> Cost discipline. Total standing cost of the institutions stays under forty million United States dollars per year, excluding one-time survey and clearance costs. The architecture reuses the facilities, vessels, radar chains, and personnel of Layers One through Six.</w:t>
      </w:r>
    </w:p>
    <w:p w14:paraId="0387ABC2" w14:textId="77777777" w:rsidR="008C4E6E" w:rsidRDefault="00000000">
      <w:pPr>
        <w:pStyle w:val="Heading2"/>
      </w:pPr>
      <w:bookmarkStart w:id="65" w:name="_Toc237650621"/>
      <w:r>
        <w:t>Article 49: The Twin Key Rule</w:t>
      </w:r>
      <w:bookmarkEnd w:id="65"/>
    </w:p>
    <w:p w14:paraId="06D4E914" w14:textId="77777777" w:rsidR="008C4E6E" w:rsidRDefault="00000000">
      <w:r>
        <w:rPr>
          <w:b/>
        </w:rPr>
        <w:t>49.1</w:t>
      </w:r>
      <w:r>
        <w:t xml:space="preserve"> The rule. No consequential action under the Charter proceeds on the authority of one state or one officer alone. Every consequential action carries two concurring keys, turned together. The rule satisfies the line against unilateral control while giving each Founding Party a genuine, formal, continuous role.</w:t>
      </w:r>
    </w:p>
    <w:p w14:paraId="30FE4F33" w14:textId="77777777" w:rsidR="008C4E6E" w:rsidRDefault="00000000">
      <w:r>
        <w:rPr>
          <w:b/>
        </w:rPr>
        <w:t>49.2</w:t>
      </w:r>
      <w:r>
        <w:t xml:space="preserve"> The consequential actions. The consequential actions consist of exactly eight items: a transition to Suspended Flow; an emergency diversion instruction affecting more than one vessel; the declaration of a hazard area and the rerouting of traffic around it; the activation of the survey coordination sequence of Article 46; a corridor geometry adjustment proposal; the classification of a Tier 2 or Tier 3 event; a step-back measure; and any publication that names a participant in connection with a compliance finding. Routine operations run on published rules under the duty officer and never wait for a key.</w:t>
      </w:r>
    </w:p>
    <w:p w14:paraId="27313471" w14:textId="77777777" w:rsidR="008C4E6E" w:rsidRDefault="00000000">
      <w:r>
        <w:rPr>
          <w:b/>
        </w:rPr>
        <w:t>49.3</w:t>
      </w:r>
      <w:r>
        <w:t xml:space="preserve"> Turn time. A Twin Key request transmits on the dedicated channel, and the second key responds within fifteen minutes for safety actions and within two hours for administrative actions. Silence past the response window in a safety matter operates as concurrence, because safety favors action; silence in an administrative matter operates as non-concurrence, because administration favors caution. The system logs every key turn, every request, and every silence in the public record.</w:t>
      </w:r>
    </w:p>
    <w:p w14:paraId="25B58F85" w14:textId="77777777" w:rsidR="008C4E6E" w:rsidRDefault="00000000">
      <w:r>
        <w:rPr>
          <w:b/>
        </w:rPr>
        <w:t>49.4</w:t>
      </w:r>
      <w:r>
        <w:t xml:space="preserve"> No pocket veto. A key holder that declines concurrence states its reason in writing within the response window, and the reason enters the record. A pattern of unexplained refusals constitutes a data point for the Stability Audit, and administrative deadlocks route to the Commission.</w:t>
      </w:r>
    </w:p>
    <w:p w14:paraId="414FAB32" w14:textId="77777777" w:rsidR="008C4E6E" w:rsidRDefault="00000000">
      <w:pPr>
        <w:pStyle w:val="Heading2"/>
      </w:pPr>
      <w:bookmarkStart w:id="66" w:name="_Toc237650622"/>
      <w:r>
        <w:t>Article 50: The Zero-Toll Rule and the Service Distinction</w:t>
      </w:r>
      <w:bookmarkEnd w:id="66"/>
    </w:p>
    <w:p w14:paraId="28677AC0" w14:textId="77777777" w:rsidR="008C4E6E" w:rsidRDefault="00000000">
      <w:r>
        <w:rPr>
          <w:b/>
        </w:rPr>
        <w:t>50.1</w:t>
      </w:r>
      <w:r>
        <w:t xml:space="preserve"> The rule. Transit carries no charge, in any corridor, for any vessel, ever. No charge of any kind attaches to the act of transit: no toll, no tariff, no levy, no fee, no duty, no contribution requirement, no insurance condition, no bond, and no payment in kind. The framework states this rule in absolute terms </w:t>
      </w:r>
      <w:r>
        <w:lastRenderedPageBreak/>
        <w:t>because it constitutes a non-negotiable line of the United States, the Gulf states, the European states, and the entire maritime industry, and because any ambiguity on this point destroys the architecture at birth.</w:t>
      </w:r>
    </w:p>
    <w:p w14:paraId="24DCEC92" w14:textId="77777777" w:rsidR="008C4E6E" w:rsidRDefault="00000000">
      <w:r>
        <w:rPr>
          <w:b/>
        </w:rPr>
        <w:t>50.2</w:t>
      </w:r>
      <w:r>
        <w:t xml:space="preserve"> No two-tier passage. A vessel that pays nothing to anyone transits with exactly the same rights, speed, safety, and service access as a vessel whose operator contributes generously to the Calm Waters Fund. The architecture contains no collection point inside the Strait: no state vessel collects, no checkpoint exists, and no invoice issues against a transit.</w:t>
      </w:r>
    </w:p>
    <w:p w14:paraId="4A6C6831" w14:textId="77777777" w:rsidR="008C4E6E" w:rsidRDefault="00000000">
      <w:r>
        <w:rPr>
          <w:b/>
        </w:rPr>
        <w:t>50.3</w:t>
      </w:r>
      <w:r>
        <w:t xml:space="preserve"> The service distinction. International maritime practice distinguishes a charge on passage, which the law of the sea prohibits, from a charge for a specific service actually rendered, which it permits. The Charter builds its entire financial architecture inside that distinction: passage is free; services carry compensation. The recoverable services are the ten corridor functions of Article 41.6, plus pilotage and tug services where a vessel requests them, priced on the published, cost-based rate card of Annex C.</w:t>
      </w:r>
    </w:p>
    <w:p w14:paraId="3BE600C2" w14:textId="77777777" w:rsidR="008C4E6E" w:rsidRDefault="00000000">
      <w:r>
        <w:rPr>
          <w:b/>
        </w:rPr>
        <w:t>50.4</w:t>
      </w:r>
      <w:r>
        <w:t xml:space="preserve"> Settlement of the wartime fee question. The crisis-era fee practices of every side dissolve in the Synchronized Indivisible Event and survive in no form. The architecture then gives each claimant what its claim actually sought: Iran receives lawful, audited service revenue through the Fund, recognized management function in its own waters, and visible development benefit through the development windows of Annex C; the United States receives a strait that stays open, toll-free, and verified without collection machinery of any kind; the industry receives a cost-based, capped, voluntary system with no point-of-passage charging.</w:t>
      </w:r>
    </w:p>
    <w:p w14:paraId="01B7EDF8" w14:textId="77777777" w:rsidR="008C4E6E" w:rsidRDefault="00000000">
      <w:r>
        <w:rPr>
          <w:b/>
        </w:rPr>
        <w:t>50.5</w:t>
      </w:r>
      <w:r>
        <w:t xml:space="preserve"> The precedent safeguard. The participants adopt the Zero-Toll Rule conscious of its global significance: a toll in Hormuz invites tolls in Malacca, Bab el-Mandeb, and beyond. The Covenant protects the worldwide principle that international straits carry no tolls, and it answers the coastal states' legitimate revenue interest through mechanisms that strengthen rather than weaken that principle.</w:t>
      </w:r>
    </w:p>
    <w:p w14:paraId="0830EE42" w14:textId="77777777" w:rsidR="008C4E6E" w:rsidRDefault="00000000">
      <w:pPr>
        <w:pStyle w:val="Heading2"/>
      </w:pPr>
      <w:bookmarkStart w:id="67" w:name="_Toc237650623"/>
      <w:r>
        <w:t>Article 51: The Calm Waters Fund</w:t>
      </w:r>
      <w:bookmarkEnd w:id="67"/>
    </w:p>
    <w:p w14:paraId="5830FF11" w14:textId="77777777" w:rsidR="008C4E6E" w:rsidRDefault="00000000">
      <w:r>
        <w:rPr>
          <w:b/>
        </w:rPr>
        <w:t>51.1</w:t>
      </w:r>
      <w:r>
        <w:t xml:space="preserve"> The Fund. The Calm Waters Fund stands established as a multilateral fund administered by the Swiss Confederation through a designated Swiss financial intermediary. The administrator acts on the instruction of the Fund board within the rules of this Article, and never on the instruction of any single participant.</w:t>
      </w:r>
    </w:p>
    <w:p w14:paraId="6AB61CA2" w14:textId="77777777" w:rsidR="008C4E6E" w:rsidRDefault="00000000">
      <w:r>
        <w:rPr>
          <w:b/>
        </w:rPr>
        <w:t>51.2</w:t>
      </w:r>
      <w:r>
        <w:t xml:space="preserve"> The board. The Fund board numbers five: one appointee of each Founding Party, one appointee of the Observer Members acting jointly, one appointee of the Industry Panel, and the administrator without vote as chair. The board meets monthly and decides by simple majority.</w:t>
      </w:r>
    </w:p>
    <w:p w14:paraId="6775723A" w14:textId="77777777" w:rsidR="008C4E6E" w:rsidRDefault="00000000">
      <w:r>
        <w:rPr>
          <w:b/>
        </w:rPr>
        <w:t>51.3</w:t>
      </w:r>
      <w:r>
        <w:t xml:space="preserve"> Sources. The Fund receives: voluntary contributions from user states; voluntary industry contributions agreed through the Industry Panel and expressed as annual amounts, never as per-transit </w:t>
      </w:r>
      <w:r>
        <w:lastRenderedPageBreak/>
        <w:t>charges; grants, including the opening window contribution of the Gulf Cooperation Council states; and development window grants under Annex C. The model follows the cooperative mechanism practice of the Strait of Malacca and the Omani regional proposal of 28 July 2026. A contribution is never a condition of passage, never invoiced against a transit, and never collected at the point of passage.</w:t>
      </w:r>
    </w:p>
    <w:p w14:paraId="1FAC132F" w14:textId="77777777" w:rsidR="008C4E6E" w:rsidRDefault="00000000">
      <w:r>
        <w:rPr>
          <w:b/>
        </w:rPr>
        <w:t>51.4</w:t>
      </w:r>
      <w:r>
        <w:t xml:space="preserve"> Uses, in order: reimbursement of verified service costs of the Founding Parties against the rate card of Annex C; operating costs of the Center, the NVO, and the integrity functions; survey and clearance costs under Article 46; the development windows of Annex C; and the rapid response window of fifty million United States dollars for unforeseen shocks, drawable by the board on a four-fifths vote with a published reason.</w:t>
      </w:r>
    </w:p>
    <w:p w14:paraId="2768AC12" w14:textId="77777777" w:rsidR="008C4E6E" w:rsidRDefault="00000000">
      <w:r>
        <w:rPr>
          <w:b/>
        </w:rPr>
        <w:t>51.5</w:t>
      </w:r>
      <w:r>
        <w:t xml:space="preserve"> The verification gate. Service revenue flows only against certification. The NVO certifies performance of each service line monthly, and uncertified performance earns nothing. Iran receives the revenue of the Corridor Two services it performs; Oman receives the revenue of the Corridor One services it performs; Corridor Three services apportion equally. This gate ties revenue to delivery and gives the performing parties a standing financial interest in flawless operation.</w:t>
      </w:r>
    </w:p>
    <w:p w14:paraId="759DF8A4" w14:textId="77777777" w:rsidR="008C4E6E" w:rsidRDefault="00000000">
      <w:r>
        <w:rPr>
          <w:b/>
        </w:rPr>
        <w:t>51.6</w:t>
      </w:r>
      <w:r>
        <w:t xml:space="preserve"> Transparency. The Fund publishes accounts quarterly, audited annually by an international firm selected by the board. Every payment shows purpose, recipient, and verification reference. The administrator's report goes to every participant simultaneously. The money of this architecture is plumbing, never politics.</w:t>
      </w:r>
    </w:p>
    <w:p w14:paraId="48589E12" w14:textId="77777777" w:rsidR="008C4E6E" w:rsidRDefault="00000000">
      <w:pPr>
        <w:pStyle w:val="Heading2"/>
      </w:pPr>
      <w:bookmarkStart w:id="68" w:name="_Toc237650624"/>
      <w:r>
        <w:t>Article 52: The Sanctions-Compliance Firewall and Anti-Circumvention</w:t>
      </w:r>
      <w:bookmarkEnd w:id="68"/>
    </w:p>
    <w:p w14:paraId="0AB4E100" w14:textId="77777777" w:rsidR="008C4E6E" w:rsidRDefault="00000000">
      <w:r>
        <w:rPr>
          <w:b/>
        </w:rPr>
        <w:t>52.1</w:t>
      </w:r>
      <w:r>
        <w:t xml:space="preserve"> The firewall. Every payment flow under the Charter routes through the Swiss-administered channel with standing compliance opinions from qualified counsel, renewed every six months, covering each payment class. No shipper, operator, insurer, charterer, or state pays any party directly for anything connected to passage. A shipping company in any jurisdiction pays a Swiss-administered multilateral fund, never an Iranian entity, and Iran receives its certified revenue from the Fund, never from the shipper. The channel thereby answers the compliance concern that the United States Treasury raised regarding third-state facilitation, and it gives Oman and every contributor a lawful, insulated channel.</w:t>
      </w:r>
    </w:p>
    <w:p w14:paraId="582862EA" w14:textId="77777777" w:rsidR="008C4E6E" w:rsidRDefault="00000000">
      <w:r>
        <w:rPr>
          <w:b/>
        </w:rPr>
        <w:t>52.2</w:t>
      </w:r>
      <w:r>
        <w:t xml:space="preserve"> Mutual insulation. No participant uses the Fund to circumvent any sanctions regime, and no participant invokes any sanctions regime to block a payment that this Covenant authorizes. The administrator's written compliance opinion settles the question for Fund purposes, and the opinion publishes to the board. Where a payment class loses coverage, the flow holds in escrow in the Fund account until the framework permits it, and the escrowed amount remains the property of its intended recipient, earning interest for that recipient, disclosed in the audit.</w:t>
      </w:r>
    </w:p>
    <w:p w14:paraId="20678167" w14:textId="77777777" w:rsidR="008C4E6E" w:rsidRDefault="00000000">
      <w:r>
        <w:rPr>
          <w:b/>
        </w:rPr>
        <w:t>52.3</w:t>
      </w:r>
      <w:r>
        <w:t xml:space="preserve"> Humanitarian payments. A payment supporting humanitarian traffic executes on the administrator's humanitarian certification, with the compliance review following within five working days. Humanitarian payments never wait.</w:t>
      </w:r>
    </w:p>
    <w:p w14:paraId="3DDC1074" w14:textId="77777777" w:rsidR="008C4E6E" w:rsidRDefault="00000000">
      <w:r>
        <w:rPr>
          <w:b/>
        </w:rPr>
        <w:lastRenderedPageBreak/>
        <w:t>52.4</w:t>
      </w:r>
      <w:r>
        <w:t xml:space="preserve"> The port-processing valve. Where a transaction involves a vessel at all, it processes at the port of origin or destination as a port documentation line item, never at the point of transit. The valve prevents fee creep by construction.</w:t>
      </w:r>
    </w:p>
    <w:p w14:paraId="3E700948" w14:textId="77777777" w:rsidR="008C4E6E" w:rsidRDefault="00000000">
      <w:r>
        <w:rPr>
          <w:b/>
        </w:rPr>
        <w:t>52.5</w:t>
      </w:r>
      <w:r>
        <w:t xml:space="preserve"> Anti-circumvention. No participant achieves indirectly what Article 50 prohibits directly: no differentiated port dues tied to Hormuz transit, no mandatory insurance schemes sold by a state, no convoy charges, no data fees, no pilotage compulsion, and no administrative charge that functions as a price on passage. The NVO audits for functional equivalents annually and on complaint, applying the substance test of Annex C: a payment that varies with the fact of passage, that conditions passage in practice, or that a reasonable operator experiences as a price of transit, is a toll, and the framework prohibits it. A violation classifies as Tier 3, and the remedy is cessation and repayment through the Fund, with publication.</w:t>
      </w:r>
    </w:p>
    <w:p w14:paraId="6B20F282" w14:textId="77777777" w:rsidR="008C4E6E" w:rsidRDefault="00000000">
      <w:r>
        <w:rPr>
          <w:b/>
        </w:rPr>
        <w:t>52.6</w:t>
      </w:r>
      <w:r>
        <w:t xml:space="preserve"> The mariner's line to the referee. An operator that experiences any payment demand it believes violates the Zero-Toll Rule reports it to the NVO through the one-page report form of Annex D. The NVO investigates within seven days, and a confirmed violation triggers immediate cessation, restitution through the Fund, and classification under Article 54.</w:t>
      </w:r>
    </w:p>
    <w:p w14:paraId="6A045FE2" w14:textId="77777777" w:rsidR="008C4E6E" w:rsidRDefault="00000000">
      <w:pPr>
        <w:pStyle w:val="Heading2"/>
      </w:pPr>
      <w:bookmarkStart w:id="69" w:name="_Toc237650625"/>
      <w:r>
        <w:t>Article 53: Verification: The Human Anchor and the Convergence Standard</w:t>
      </w:r>
      <w:bookmarkEnd w:id="69"/>
    </w:p>
    <w:p w14:paraId="44DF4847" w14:textId="77777777" w:rsidR="008C4E6E" w:rsidRDefault="00000000">
      <w:r>
        <w:rPr>
          <w:b/>
        </w:rPr>
        <w:t>53.1</w:t>
      </w:r>
      <w:r>
        <w:t xml:space="preserve"> People verify. Every critical datum in the compliance record carries a named human source: a watch officer, a verifier, a pilot, a survey officer. The record shows the name, the role, the time, and the method. No automated feed alone creates a compliance fact. Sensors inform; named humans certify.</w:t>
      </w:r>
    </w:p>
    <w:p w14:paraId="44E4AA34" w14:textId="77777777" w:rsidR="008C4E6E" w:rsidRDefault="00000000">
      <w:r>
        <w:rPr>
          <w:b/>
        </w:rPr>
        <w:t>53.2</w:t>
      </w:r>
      <w:r>
        <w:t xml:space="preserve"> The convergence standard. Two independent methods agree before a fact enters the compliance record. Automatic identification data pairs with visual observation; a declaration pairs with a survey sweep; a Registry entry pairs with a logbook. A single-source event stands as an open observation, never as a finding.</w:t>
      </w:r>
    </w:p>
    <w:p w14:paraId="136261A3" w14:textId="77777777" w:rsidR="008C4E6E" w:rsidRDefault="00000000">
      <w:r>
        <w:rPr>
          <w:b/>
        </w:rPr>
        <w:t>53.3</w:t>
      </w:r>
      <w:r>
        <w:t xml:space="preserve"> Anchor-and-verify. Sensitive claims follow the anchor-and-verify protocol: the claimant declares the claim with its evidence; a named anchor officer records it; a paired team from the other flag verifies on the water or on the record; the result publishes. The protocol completes within seventy-two hours for waterborne checks and seven days for documentary checks.</w:t>
      </w:r>
    </w:p>
    <w:p w14:paraId="40486E66" w14:textId="77777777" w:rsidR="008C4E6E" w:rsidRDefault="00000000">
      <w:r>
        <w:rPr>
          <w:b/>
        </w:rPr>
        <w:t>53.4</w:t>
      </w:r>
      <w:r>
        <w:t xml:space="preserve"> The Shared Registry. The Shared Digital Registry is the single operational record of the architecture: notices, acknowledgments, bulletins, alerts, declarations, certificates, audits, and consequences. Every participant with a registered seat receives the same data at the same latency, and the Registry carries a cryptographic chain of custody so that any alteration shows immediately. The Registry's assets, data, and channels never support kinetic action, targeting, or sanctions enforcement by any actor, under line 14 of the Declaration.</w:t>
      </w:r>
    </w:p>
    <w:p w14:paraId="35C02422" w14:textId="77777777" w:rsidR="008C4E6E" w:rsidRDefault="00000000">
      <w:r>
        <w:rPr>
          <w:b/>
        </w:rPr>
        <w:lastRenderedPageBreak/>
        <w:t>53.5</w:t>
      </w:r>
      <w:r>
        <w:t xml:space="preserve"> The Integrity Cell. The Integrity Cell is the standing red team of the Charter: five members of mixed nationality, security-cleared by both Founding Parties, with full Registry access and a published mandate to probe for fraud, spoofed signals, false-flag indicators, undeclared hazards, ghost notices, and fund leakage. Cell findings go to the co-directors and the Commission simultaneously, and no participant suppresses, delays, or edits a finding. Retaliation against a whistleblower classifies as Tier 2 on first occurrence and Tier 3 on repetition.</w:t>
      </w:r>
    </w:p>
    <w:p w14:paraId="27370777" w14:textId="77777777" w:rsidR="008C4E6E" w:rsidRDefault="00000000">
      <w:r>
        <w:rPr>
          <w:b/>
        </w:rPr>
        <w:t>53.6</w:t>
      </w:r>
      <w:r>
        <w:t xml:space="preserve"> The tiered immunity rule. The protection of every officer serving the architecture tracks the legal status of the active layer, as Article 0.2 defines it. Officers serving under Layers One and Two operate under administrative privilege: their official acts within the architecture stand outside local administrative process. Officers serving under Layer Three hold functional protection at the agency level. Officers serving under Layers Four to Seven hold full functional immunity for acts performed in official capacity, and the Founding Parties extend to them the status of technical mission personnel. At every layer, an official act lies outside unilateral detention, search, or arrest, and a disputed act goes to the dispute track of Article 58.</w:t>
      </w:r>
    </w:p>
    <w:p w14:paraId="05263547" w14:textId="77777777" w:rsidR="008C4E6E" w:rsidRDefault="00000000">
      <w:pPr>
        <w:pStyle w:val="Heading2"/>
      </w:pPr>
      <w:bookmarkStart w:id="70" w:name="_Toc237650626"/>
      <w:r>
        <w:t>Article 54: The Compliance Engine</w:t>
      </w:r>
      <w:bookmarkEnd w:id="70"/>
    </w:p>
    <w:p w14:paraId="25D69E7D" w14:textId="77777777" w:rsidR="008C4E6E" w:rsidRDefault="00000000">
      <w:r>
        <w:rPr>
          <w:b/>
        </w:rPr>
        <w:t>54.1</w:t>
      </w:r>
      <w:r>
        <w:t xml:space="preserve"> Tier 1, Technical Drift: accidental, isolated, corrected within seventy-two hours. Consequence: logging and correction only. Examples: a late Transit Notice; an identification gap under six hours with benign explanation; a form error.</w:t>
      </w:r>
    </w:p>
    <w:p w14:paraId="358AF601" w14:textId="77777777" w:rsidR="008C4E6E" w:rsidRDefault="00000000">
      <w:r>
        <w:rPr>
          <w:b/>
        </w:rPr>
        <w:t>54.2</w:t>
      </w:r>
      <w:r>
        <w:t xml:space="preserve"> Tier 2, Material Strain: a pattern, or negligence with operational effect. Consequence: the step-back measures of this Article, with earn-back at fourteen clean days. Examples: repeated late notices by vessels of one operator after warning; unexplained identification gaps in a pattern; missed watch handovers; premature public attribution.</w:t>
      </w:r>
    </w:p>
    <w:p w14:paraId="2F0C60FA" w14:textId="77777777" w:rsidR="008C4E6E" w:rsidRDefault="00000000">
      <w:r>
        <w:rPr>
          <w:b/>
        </w:rPr>
        <w:t>54.3</w:t>
      </w:r>
      <w:r>
        <w:t xml:space="preserve"> Tier 3, Architectural Breach: an intentional act against the architecture: laying a mine; interdicting a commercial vessel; demanding any charge for passage; filing a knowingly false hazard declaration; falsifying the Registry; signal interference in the Governance Area. Consequence: the measures of the consequence schedule at Annex E, Commission convening within twenty-four hours, and earn-back at ninety days plus completed remediation.</w:t>
      </w:r>
    </w:p>
    <w:p w14:paraId="08F11DC8" w14:textId="77777777" w:rsidR="008C4E6E" w:rsidRDefault="00000000">
      <w:r>
        <w:rPr>
          <w:b/>
        </w:rPr>
        <w:t>54.4</w:t>
      </w:r>
      <w:r>
        <w:t xml:space="preserve"> Classification. Every event enters at Tier 1 unless evidence of intent exists. Intent determinations rest with one NVO verifier and one co-director acting together, on the converged record, with written reasons. No participant alone classifies any event above Tier 1.</w:t>
      </w:r>
    </w:p>
    <w:p w14:paraId="251035A9" w14:textId="77777777" w:rsidR="008C4E6E" w:rsidRDefault="00000000">
      <w:r>
        <w:rPr>
          <w:b/>
        </w:rPr>
        <w:t>54.5</w:t>
      </w:r>
      <w:r>
        <w:t xml:space="preserve"> Step-back and earn-back. Step-back measures are proportionate, published in advance, and reversible: observer privileges, Fund reimbursement priority, exercise participation, data products beyond the operational minimum. The framework architecture excludes the following as measures under any tier: corridor closure, any charge on passage, boarding or detention of vessels, suspension of </w:t>
      </w:r>
      <w:r>
        <w:lastRenderedPageBreak/>
        <w:t>humanitarian traffic, and kinetic enforcement of any kind. When the earn-back condition completes, the NVO certifies, the measure lifts, and the record shows the full cycle. No negotiation attends the lifting.</w:t>
      </w:r>
    </w:p>
    <w:p w14:paraId="79E74A1D" w14:textId="77777777" w:rsidR="008C4E6E" w:rsidRDefault="00000000">
      <w:r>
        <w:rPr>
          <w:b/>
        </w:rPr>
        <w:t>54.6</w:t>
      </w:r>
      <w:r>
        <w:t xml:space="preserve"> The Good Faith Reset. Each participant carries a rolling compliance score maintained by the NVO on a published formula. A participant whose score falls below minus twenty enters the Good Faith Reset: a facilitated process under Qatari mediation, capped at thirty days, that repairs the relationship without rupturing the system.</w:t>
      </w:r>
    </w:p>
    <w:p w14:paraId="391343CE" w14:textId="77777777" w:rsidR="008C4E6E" w:rsidRDefault="00000000">
      <w:r>
        <w:rPr>
          <w:b/>
        </w:rPr>
        <w:t>54.7</w:t>
      </w:r>
      <w:r>
        <w:t xml:space="preserve"> The Special Commission of Inquiry. Where a Tier 3 determination involves contested facts, the Commission convenes a Special Commission of Inquiry: three members, one named by each Founding Party and a chair named by the depositary, none of them a national of any participant. The Special Commission investigates on site, receives protected testimony, and publishes its findings within sixty days. Its findings bind the compliance determination of this Article, and their weight grows as the layers escalate: in Layers One and Two they inform administrative correction, and in Layer Seven they constitute the record of a treaty breach.</w:t>
      </w:r>
    </w:p>
    <w:p w14:paraId="331D06AF" w14:textId="77777777" w:rsidR="008C4E6E" w:rsidRDefault="00000000">
      <w:pPr>
        <w:pStyle w:val="Heading2"/>
      </w:pPr>
      <w:bookmarkStart w:id="71" w:name="_Toc237650627"/>
      <w:r>
        <w:t>Article 55: Spoiler and Shock Hardening: The Stillwater Watch</w:t>
      </w:r>
      <w:bookmarkEnd w:id="71"/>
    </w:p>
    <w:p w14:paraId="7B964109" w14:textId="77777777" w:rsidR="008C4E6E" w:rsidRDefault="00000000">
      <w:r>
        <w:rPr>
          <w:b/>
        </w:rPr>
        <w:t>55.1</w:t>
      </w:r>
      <w:r>
        <w:t xml:space="preserve"> The attribution freeze. No participant attributes an incident in or near the Governance Area publicly for forty-eight hours. During the freeze, participants use the holding statements of Annex H, and the investigation runs under Article 53. An attribution after the freeze cites the converged evidence; a statement without the converged record classifies as Tier 2.</w:t>
      </w:r>
    </w:p>
    <w:p w14:paraId="4E49F1D3" w14:textId="77777777" w:rsidR="008C4E6E" w:rsidRDefault="00000000">
      <w:r>
        <w:rPr>
          <w:b/>
        </w:rPr>
        <w:t>55.2</w:t>
      </w:r>
      <w:r>
        <w:t xml:space="preserve"> The false-flag test. Every investigation tests the false-flag hypothesis first: the possibility that an actor staged an incident to implicate a participant. The test is standard, recorded, and applies to every incident without exception, so that no participant reads the test itself as an accusation. The Integrity Cell runs the counter-analysis independently of national investigations.</w:t>
      </w:r>
    </w:p>
    <w:p w14:paraId="05CF19BA" w14:textId="77777777" w:rsidR="008C4E6E" w:rsidRDefault="00000000">
      <w:r>
        <w:rPr>
          <w:b/>
        </w:rPr>
        <w:t>55.3</w:t>
      </w:r>
      <w:r>
        <w:t xml:space="preserve"> The rogue-actor pathway. The architecture assumes the presence of spoilers: non-state groups, rogue elements, profiteers, and provocateurs. Attribution of an incident to a non-state actor triggers the group response of this Article, not any inter-state measure. The system answers a provocation with a demonstration that the provocation failed: the corridors stay open, the Bulletin publishes, and the group acts together. A participant that receives evidence of a rogue element operating from its territory acts on it within seventy-two hours and reports to the Commission.</w:t>
      </w:r>
    </w:p>
    <w:p w14:paraId="751AA186" w14:textId="77777777" w:rsidR="008C4E6E" w:rsidRDefault="00000000">
      <w:r>
        <w:rPr>
          <w:b/>
        </w:rPr>
        <w:t>55.4</w:t>
      </w:r>
      <w:r>
        <w:t xml:space="preserve"> The group response. An attack on the architecture is an attack on every participant. The Commission convenes within twenty-four hours of a Tier 3 event and adopts a group response drawn from the published menu: public exposure of the converged record; exclusion of the responsible actor from Fund services and Covenant privileges; notification to insurers and flag registries; legal action in national courts; and coordinated diplomatic measures. The framework architecture excludes automatic military escalation. No provision of this Covenant triggers, authorizes, or implies the use of force by any participant against any other. The inherent right of self-defense under international law remains </w:t>
      </w:r>
      <w:r>
        <w:lastRenderedPageBreak/>
        <w:t>unaffected, and a participant contemplating action in self-defense consults through the hotline first, except where delay defeats the right.</w:t>
      </w:r>
    </w:p>
    <w:p w14:paraId="19B39149" w14:textId="77777777" w:rsidR="008C4E6E" w:rsidRDefault="00000000">
      <w:r>
        <w:rPr>
          <w:b/>
        </w:rPr>
        <w:t>55.5</w:t>
      </w:r>
      <w:r>
        <w:t xml:space="preserve"> The Stillwater Watch. Either co-director, or the NVO chief, calls the Watch on credible threat information affecting the Governance Area. The Watch runs seventy-two hours at heightened posture, with a standing hotline check call every six hours and a public attribution freeze. The corridors never pause for the Watch. The Watch expires automatically; the co-directors jointly extend it once by twenty-four hours. Every activation goes to the Commission with a lessons record, keeping the circuit breaker rare and therefore credible.</w:t>
      </w:r>
    </w:p>
    <w:p w14:paraId="18D95DE3" w14:textId="77777777" w:rsidR="008C4E6E" w:rsidRDefault="00000000">
      <w:pPr>
        <w:pStyle w:val="Heading2"/>
      </w:pPr>
      <w:bookmarkStart w:id="72" w:name="_Toc237650628"/>
      <w:r>
        <w:t>Article 56: Synchronized Relief and the Regional Interface</w:t>
      </w:r>
      <w:bookmarkEnd w:id="72"/>
    </w:p>
    <w:p w14:paraId="65F38210" w14:textId="77777777" w:rsidR="008C4E6E" w:rsidRDefault="00000000">
      <w:r>
        <w:rPr>
          <w:b/>
        </w:rPr>
        <w:t>56.1</w:t>
      </w:r>
      <w:r>
        <w:t xml:space="preserve"> The relief schedule. The Endorsing Stakeholder completes the termination of the blockade of Iranian ports in the Synchronized Indivisible Event, and completes the staged sanctions-compliance opinions for the Fund channel on the schedule of Annex E, paired with corridor certifications. The schedule publishes in full, so that every market sees every step in advance.</w:t>
      </w:r>
    </w:p>
    <w:p w14:paraId="49D18D48" w14:textId="77777777" w:rsidR="008C4E6E" w:rsidRDefault="00000000">
      <w:r>
        <w:rPr>
          <w:b/>
        </w:rPr>
        <w:t>56.2</w:t>
      </w:r>
      <w:r>
        <w:t xml:space="preserve"> The negotiation interface. The Covenant operationalizes the strait provisions of the Islamabad Memorandum and supports the resumption of the wider negotiation tracks it names, without conditioning on them. The participants treat the Covenant's verified operation as the standing demonstration that the Memorandum's method works: synchronized steps, verified performance, and reversibility.</w:t>
      </w:r>
    </w:p>
    <w:p w14:paraId="0725EB76" w14:textId="77777777" w:rsidR="008C4E6E" w:rsidRDefault="00000000">
      <w:r>
        <w:rPr>
          <w:b/>
        </w:rPr>
        <w:t>56.3</w:t>
      </w:r>
      <w:r>
        <w:t xml:space="preserve"> The regional file. Matters outside the Governance Area, including the posture of forces at regional bases and the conflicts of neighboring states, travel on their own tracks under the sealed bulkhead of Article 3.6. The Covenant contributes to regional de-escalation by proof of concept and by the de-confliction practice of Article 47, and it claims no authority beyond the water.</w:t>
      </w:r>
    </w:p>
    <w:p w14:paraId="54C6BB59" w14:textId="77777777" w:rsidR="008C4E6E" w:rsidRDefault="00000000">
      <w:r>
        <w:rPr>
          <w:rFonts w:cs="Calibri"/>
          <w:b/>
          <w:szCs w:val="22"/>
        </w:rPr>
        <w:t>56.4</w:t>
      </w:r>
      <w:r>
        <w:rPr>
          <w:rFonts w:cs="Calibri"/>
          <w:szCs w:val="22"/>
        </w:rPr>
        <w:t xml:space="preserve"> Development benefit. The development windows of Annex C direct visible investment to the coastal provinces of both Founding Parties, funded through the Fund's grant window, so that the populations nearest the Strait see the calm water pay. Balanced benefit between the two littorals is a published line of every Fund report.</w:t>
      </w:r>
    </w:p>
    <w:p w14:paraId="670E28FC" w14:textId="77777777" w:rsidR="008C4E6E" w:rsidRDefault="00000000">
      <w:r>
        <w:rPr>
          <w:rFonts w:cs="Calibri"/>
          <w:b/>
          <w:szCs w:val="22"/>
        </w:rPr>
        <w:t>56.5</w:t>
      </w:r>
      <w:r>
        <w:rPr>
          <w:rFonts w:cs="Calibri"/>
          <w:szCs w:val="22"/>
        </w:rPr>
        <w:t xml:space="preserve"> The Synchronized Relief Track. (a) The Covenant runs a synchronized relief track on the same gate-certification clock as the maritime architecture. (b) The track proceeds in four tranches, each paired with a gate certification or milestone, and the Reciprocity Ledger records each paired step. Tranche One, humanitarian and maritime-sector relief, pairs with Pulse One at Day 30. Tranche Two, interim financial authorizations for the escrow and Fund channels, pairs with the interim report of the Early Fee Simulation at Day 45. Tranche Three, standing financial authorizations and the second drawdown step of the blockade, pairs with Pulse Two at Day 60. Tranche Four, comprehensive relief, full termination of the blockade, and the frozen-asset release schedule of the Islamabad track, pairs with Pulse Three at Day 90. (c) No step executes alone: the architecture executes each pair as one event or holds both elements. </w:t>
      </w:r>
      <w:r>
        <w:rPr>
          <w:rFonts w:cs="Calibri"/>
          <w:szCs w:val="22"/>
        </w:rPr>
        <w:lastRenderedPageBreak/>
        <w:t>(d) The Fast-Track Option. If the participants jointly certify that a diplomatic window calls for accelerated relief, the track advances by up to two tranches at once, provided the corresponding maritime gate stands certified and the Neutral Verification Office, or before its activation the Swiss facilitator’s auditor, confirms that the maritime system absorbs the accelerated relief without destabilization. (e) The track converts the crisis’s implicit reciprocity into an explicit, synchronized, fast-trackable mechanism: every capital sees the connection between its maritime progress and its relief progress.</w:t>
      </w:r>
    </w:p>
    <w:p w14:paraId="25473BB7" w14:textId="77777777" w:rsidR="008C4E6E" w:rsidRDefault="00000000">
      <w:r>
        <w:rPr>
          <w:rFonts w:cs="Calibri"/>
          <w:b/>
          <w:szCs w:val="22"/>
        </w:rPr>
        <w:t>56.6</w:t>
      </w:r>
      <w:r>
        <w:rPr>
          <w:rFonts w:cs="Calibri"/>
          <w:szCs w:val="22"/>
        </w:rPr>
        <w:t xml:space="preserve"> The Claims Ledger. (a) The Registry carries a standing Claims Ledger in which any participant records any alleged violation of the Islamabad Memorandum or of this Covenant, with its evidence attached. (b) A ledger entry creates no admission, no finding, and no waiver: it preserves the claim on the record. (c) The Claims Ledger transmits to the Islamabad final-deal track at every facilitator session, and the compensation questions it carries settle in that track under the sealed bulkhead of Article 3.6, never inside the operational architecture. (d) The Ledger answers, structurally, the stated demand that violations receive acknowledgment and a hearing, without charging the waterway’s machinery with judging them.</w:t>
      </w:r>
    </w:p>
    <w:p w14:paraId="38CAB219" w14:textId="77777777" w:rsidR="008C4E6E" w:rsidRDefault="00000000">
      <w:pPr>
        <w:pStyle w:val="Heading2"/>
      </w:pPr>
      <w:bookmarkStart w:id="73" w:name="_Toc237650629"/>
      <w:r>
        <w:rPr>
          <w:rFonts w:cs="Calibri Light"/>
          <w:szCs w:val="28"/>
        </w:rPr>
        <w:t>Article 57: Accession, Observer Status, and Endorsing Stakeholders</w:t>
      </w:r>
      <w:bookmarkEnd w:id="73"/>
    </w:p>
    <w:p w14:paraId="531F4205" w14:textId="77777777" w:rsidR="008C4E6E" w:rsidRDefault="00000000">
      <w:r>
        <w:rPr>
          <w:rFonts w:cs="Calibri"/>
          <w:b/>
          <w:szCs w:val="22"/>
        </w:rPr>
        <w:t>57.1</w:t>
      </w:r>
      <w:r>
        <w:rPr>
          <w:rFonts w:cs="Calibri"/>
          <w:szCs w:val="22"/>
        </w:rPr>
        <w:t xml:space="preserve"> GCC and Iraq accession. A member state of the Gulf Cooperation Council, and the Republic of Iraq, accedes as an Observer Member by written notification to the depositary, effective on receipt, and accedes as a Founding-equivalent party by consensus of the Founding Parties, on terms that preserve the Twin Key, the Zero-Toll Rule, and the Register. For the United Arab Emirates, Qatar, Bahrain, Kuwait, Saudi Arabia, and Iraq, accession runs on a fast-track basis: the foreign minister executes the accession instrument, and full observer rights take effect upon deposit, without a waiting period. Fast-track accessions include the observer seat, watch-pair contributions, and the full fused picture. The architecture recognizes that the Gulf states cannot wait a year for a seat at a table that governs their own waters.</w:t>
      </w:r>
    </w:p>
    <w:p w14:paraId="7134AAF5" w14:textId="77777777" w:rsidR="008C4E6E" w:rsidRDefault="00000000">
      <w:r>
        <w:rPr>
          <w:rFonts w:cs="Calibri"/>
          <w:b/>
          <w:szCs w:val="22"/>
        </w:rPr>
        <w:t>57.2</w:t>
      </w:r>
      <w:r>
        <w:rPr>
          <w:rFonts w:cs="Calibri"/>
          <w:szCs w:val="22"/>
        </w:rPr>
        <w:t xml:space="preserve"> Observer rights. Observer Members hold: a seat at every Commission session; the right to contribute watch pairs; full access to the fused picture and the Registry; inclusion in hotline mirrors; and co-participation in response exercises.</w:t>
      </w:r>
    </w:p>
    <w:p w14:paraId="0C8F5D7C" w14:textId="77777777" w:rsidR="008C4E6E" w:rsidRDefault="00000000">
      <w:r>
        <w:rPr>
          <w:rFonts w:cs="Calibri"/>
          <w:b/>
          <w:szCs w:val="22"/>
        </w:rPr>
        <w:t>57.3</w:t>
      </w:r>
      <w:r>
        <w:rPr>
          <w:rFonts w:cs="Calibri"/>
          <w:szCs w:val="22"/>
        </w:rPr>
        <w:t xml:space="preserve"> Endorsing Stakeholders. A state or coalition that endorses the Covenant and accepts its terms registers with the depositary as an Endorsing Stakeholder, receiving the fused picture and incident log in full, a de-confliction channel, a standing observer seat without vote, and the right to contribute survey, mine countermeasure, and technical assets. An Endorsing Stakeholder holds no command, no veto, and no enforcement role over any element of this Covenant.</w:t>
      </w:r>
    </w:p>
    <w:p w14:paraId="730227D9" w14:textId="77777777" w:rsidR="008C4E6E" w:rsidRDefault="00000000">
      <w:r>
        <w:rPr>
          <w:rFonts w:cs="Calibri"/>
          <w:b/>
          <w:szCs w:val="22"/>
        </w:rPr>
        <w:t>57.4</w:t>
      </w:r>
      <w:r>
        <w:rPr>
          <w:rFonts w:cs="Calibri"/>
          <w:szCs w:val="22"/>
        </w:rPr>
        <w:t xml:space="preserve"> The United States instrument. The United States registers as Endorsing Stakeholder upon signature of the adherence instrument of Annex E, which states in its text the synchronized pairing of corridor activation and blockade termination. The protective presence the United States maintains in the wider </w:t>
      </w:r>
      <w:r>
        <w:rPr>
          <w:rFonts w:cs="Calibri"/>
          <w:szCs w:val="22"/>
        </w:rPr>
        <w:lastRenderedPageBreak/>
        <w:t>region thereafter operates outside the corridor system, in consultation through the de-confliction channel, under Article 47.6.</w:t>
      </w:r>
    </w:p>
    <w:p w14:paraId="34BFACD0" w14:textId="77777777" w:rsidR="008C4E6E" w:rsidRDefault="00000000">
      <w:r>
        <w:rPr>
          <w:rFonts w:cs="Calibri"/>
          <w:b/>
          <w:szCs w:val="22"/>
        </w:rPr>
        <w:t>57.5</w:t>
      </w:r>
      <w:r>
        <w:rPr>
          <w:rFonts w:cs="Calibri"/>
          <w:szCs w:val="22"/>
        </w:rPr>
        <w:t xml:space="preserve"> Standing conditions. Accession of any kind includes acceptance of the Red Lines Register and the Zero-Toll Rule as standing conditions, and an acceding state files its own red lines for the Register on accession, whereupon Article 8 protects them equally.</w:t>
      </w:r>
    </w:p>
    <w:p w14:paraId="38558081" w14:textId="77777777" w:rsidR="008C4E6E" w:rsidRDefault="00000000">
      <w:pPr>
        <w:pStyle w:val="Heading2"/>
      </w:pPr>
      <w:bookmarkStart w:id="74" w:name="_Toc237650630"/>
      <w:r>
        <w:rPr>
          <w:rFonts w:cs="Calibri Light"/>
          <w:szCs w:val="28"/>
        </w:rPr>
        <w:t>Article 58: Dispute Resolution</w:t>
      </w:r>
      <w:bookmarkEnd w:id="74"/>
    </w:p>
    <w:p w14:paraId="432F9FA4" w14:textId="77777777" w:rsidR="008C4E6E" w:rsidRDefault="00000000">
      <w:r>
        <w:rPr>
          <w:rFonts w:cs="Calibri"/>
          <w:b/>
          <w:szCs w:val="22"/>
        </w:rPr>
        <w:t>58.1</w:t>
      </w:r>
      <w:r>
        <w:rPr>
          <w:rFonts w:cs="Calibri"/>
          <w:szCs w:val="22"/>
        </w:rPr>
        <w:t xml:space="preserve"> The ladder. Disputes settle by negotiation between the participants concerned; failing settlement in thirty days, by facilitation under Qatari mediation with Pakistani good offices; failing settlement in a further thirty days, by reference to the Commission; and technical disputes settle by expert determination under Article 53 methods.</w:t>
      </w:r>
    </w:p>
    <w:p w14:paraId="150C3B0F" w14:textId="77777777" w:rsidR="008C4E6E" w:rsidRDefault="00000000">
      <w:r>
        <w:rPr>
          <w:rFonts w:cs="Calibri"/>
          <w:b/>
          <w:szCs w:val="22"/>
        </w:rPr>
        <w:t>58.2</w:t>
      </w:r>
      <w:r>
        <w:rPr>
          <w:rFonts w:cs="Calibri"/>
          <w:szCs w:val="22"/>
        </w:rPr>
        <w:t xml:space="preserve"> The operational floor. No dispute mechanism under this Covenant orders the closure of a corridor, the imposition of a charge on passage, or the suspension of humanitarian traffic. Operations continue beneath every dispute, under the Standing Continuity Guarantee.</w:t>
      </w:r>
    </w:p>
    <w:p w14:paraId="1142782F" w14:textId="77777777" w:rsidR="008C4E6E" w:rsidRDefault="00000000">
      <w:r>
        <w:rPr>
          <w:rFonts w:cs="Calibri"/>
          <w:b/>
          <w:szCs w:val="22"/>
        </w:rPr>
        <w:t>58.3</w:t>
      </w:r>
      <w:r>
        <w:rPr>
          <w:rFonts w:cs="Calibri"/>
          <w:szCs w:val="22"/>
        </w:rPr>
        <w:t xml:space="preserve"> The one-page minute. Every dispute and its resolution record on one page in the Registry, with operational detail redacted from the public version.</w:t>
      </w:r>
    </w:p>
    <w:p w14:paraId="3E094C5C" w14:textId="77777777" w:rsidR="008C4E6E" w:rsidRDefault="00000000">
      <w:pPr>
        <w:pStyle w:val="Heading2"/>
      </w:pPr>
      <w:bookmarkStart w:id="75" w:name="_Toc237650631"/>
      <w:r>
        <w:rPr>
          <w:rFonts w:cs="Calibri Light"/>
          <w:szCs w:val="28"/>
        </w:rPr>
        <w:t>Article 59: Continuity, Dormancy, Amendment, Withdrawal, and Entry into Force</w:t>
      </w:r>
      <w:bookmarkEnd w:id="75"/>
    </w:p>
    <w:p w14:paraId="05C3427D" w14:textId="77777777" w:rsidR="008C4E6E" w:rsidRDefault="00000000">
      <w:r>
        <w:rPr>
          <w:rFonts w:cs="Calibri"/>
          <w:b/>
          <w:szCs w:val="22"/>
        </w:rPr>
        <w:t>59.1</w:t>
      </w:r>
      <w:r>
        <w:rPr>
          <w:rFonts w:cs="Calibri"/>
          <w:szCs w:val="22"/>
        </w:rPr>
        <w:t xml:space="preserve"> Depositary. The Swiss Confederation serves as depositary. The depositary holds the original texts, receives notices and accessions, certifies copies, and maintains the dormancy archive.</w:t>
      </w:r>
    </w:p>
    <w:p w14:paraId="2EDA5974" w14:textId="77777777" w:rsidR="008C4E6E" w:rsidRDefault="00000000">
      <w:r>
        <w:rPr>
          <w:rFonts w:cs="Calibri"/>
          <w:b/>
          <w:szCs w:val="22"/>
        </w:rPr>
        <w:t>59.2</w:t>
      </w:r>
      <w:r>
        <w:rPr>
          <w:rFonts w:cs="Calibri"/>
          <w:szCs w:val="22"/>
        </w:rPr>
        <w:t xml:space="preserve"> Amendment. Amendment of the Parts requires the consensus of the Founding Parties and follows the red-line procedure of Article 8.4. The co-directors amend the operational Annexes A, C, D, and E by joint instrument, with thirty days' notice to the Commission, and any Commission objection by consensus minus one suspends the amendment pending review.</w:t>
      </w:r>
    </w:p>
    <w:p w14:paraId="09A678C8" w14:textId="77777777" w:rsidR="008C4E6E" w:rsidRDefault="00000000">
      <w:r>
        <w:rPr>
          <w:rFonts w:cs="Calibri"/>
          <w:b/>
          <w:szCs w:val="22"/>
        </w:rPr>
        <w:t>59.3</w:t>
      </w:r>
      <w:r>
        <w:rPr>
          <w:rFonts w:cs="Calibri"/>
          <w:szCs w:val="22"/>
        </w:rPr>
        <w:t xml:space="preserve"> Dormancy. If both Founding Parties jointly suspend operation, or if events render operation impossible, the Covenant enters dormancy: the depositary holds the complete archive; the Fund freezes except for archive and standby costs; the rosters move to warm standby with quarterly contact drills; and the Registry mirrors to the depositary's custody. Dormancy suspends obligations of daily operation only; the continuity guarantee, the Zero-Toll Rule, the mine exclusion, the humanitarian absolute, and the non-interdiction protocol remain in force through dormancy. Either Founding Party reconstitutes the architecture on fourteen days' written notice.</w:t>
      </w:r>
    </w:p>
    <w:p w14:paraId="527448A0" w14:textId="77777777" w:rsidR="008C4E6E" w:rsidRDefault="00000000">
      <w:r>
        <w:rPr>
          <w:rFonts w:cs="Calibri"/>
          <w:b/>
          <w:szCs w:val="22"/>
        </w:rPr>
        <w:t>59.4</w:t>
      </w:r>
      <w:r>
        <w:rPr>
          <w:rFonts w:cs="Calibri"/>
          <w:szCs w:val="22"/>
        </w:rPr>
        <w:t xml:space="preserve"> Withdrawal. A participant withdraws by ninety days' written notice to the depositary, performing every obligation in full during the notice period. Financial obligations survive withdrawal for twenty-four months. The Covenant continues among the remaining participants, and the withdrawal of a participant other than a Founding Party changes no institution.</w:t>
      </w:r>
    </w:p>
    <w:p w14:paraId="52131643" w14:textId="77777777" w:rsidR="008C4E6E" w:rsidRDefault="00000000">
      <w:r>
        <w:rPr>
          <w:rFonts w:cs="Calibri"/>
          <w:b/>
          <w:szCs w:val="22"/>
        </w:rPr>
        <w:lastRenderedPageBreak/>
        <w:t>59.5</w:t>
      </w:r>
      <w:r>
        <w:rPr>
          <w:rFonts w:cs="Calibri"/>
          <w:szCs w:val="22"/>
        </w:rPr>
        <w:t xml:space="preserve"> Review rhythm. The Commission conducts a review every ninety days on the one-page discipline of Article 28. A review produces recommendations, never suspensions, and a review that reaches no decision leaves every mechanism running.</w:t>
      </w:r>
    </w:p>
    <w:p w14:paraId="4149F702" w14:textId="77777777" w:rsidR="008C4E6E" w:rsidRDefault="00000000">
      <w:r>
        <w:rPr>
          <w:rFonts w:cs="Calibri"/>
          <w:b/>
          <w:szCs w:val="22"/>
        </w:rPr>
        <w:t>59.6</w:t>
      </w:r>
      <w:r>
        <w:rPr>
          <w:rFonts w:cs="Calibri"/>
          <w:szCs w:val="22"/>
        </w:rPr>
        <w:t xml:space="preserve"> Entry into force. The Covenant enters into force on signature for Layers One and Two, and each subsequent layer enters operation on the certified satisfaction of its gate under Article 6. The day of signature is Day 0.</w:t>
      </w:r>
    </w:p>
    <w:p w14:paraId="4D95EC6E" w14:textId="77777777" w:rsidR="008C4E6E" w:rsidRDefault="00000000">
      <w:r>
        <w:rPr>
          <w:rFonts w:cs="Calibri"/>
          <w:b/>
          <w:szCs w:val="22"/>
        </w:rPr>
        <w:t>59.7</w:t>
      </w:r>
      <w:r>
        <w:rPr>
          <w:rFonts w:cs="Calibri"/>
          <w:szCs w:val="22"/>
        </w:rPr>
        <w:t xml:space="preserve"> No third-party obligations. The Covenant creates no rights or obligations for non-participants, and nothing in it affects the rights and obligations of participants under other international agreements, except as those participants expressly agree through this Covenant.</w:t>
      </w:r>
    </w:p>
    <w:p w14:paraId="0B9C1699" w14:textId="77777777" w:rsidR="008C4E6E" w:rsidRDefault="00000000">
      <w:r>
        <w:rPr>
          <w:rFonts w:cs="Calibri"/>
          <w:b/>
          <w:szCs w:val="22"/>
        </w:rPr>
        <w:t>59.8</w:t>
      </w:r>
      <w:r>
        <w:rPr>
          <w:rFonts w:cs="Calibri"/>
          <w:szCs w:val="22"/>
        </w:rPr>
        <w:t xml:space="preserve"> Parliamentary notification and domestic implementation. (a) Each participant submits this Covenant to its relevant parliamentary or legislative body for notification within ninety days of signature. (b) Notification is informational: it calls for no vote, and it never delays operational activation. The Covenant activates on signature under this Article. (c) Each participant files its notification record with the depositary within one hundred twenty days of signature. A failure to file never suspends the Covenant’s operation.</w:t>
      </w:r>
    </w:p>
    <w:p w14:paraId="7E1BAEDD" w14:textId="77777777" w:rsidR="008C4E6E" w:rsidRDefault="00000000">
      <w:pPr>
        <w:pStyle w:val="Heading1"/>
      </w:pPr>
      <w:bookmarkStart w:id="76" w:name="_Toc237650632"/>
      <w:r>
        <w:rPr>
          <w:rFonts w:cs="Calibri Light"/>
          <w:szCs w:val="36"/>
        </w:rPr>
        <w:t>Signature and Endorsement</w:t>
      </w:r>
      <w:bookmarkEnd w:id="76"/>
    </w:p>
    <w:p w14:paraId="071058D6" w14:textId="77777777" w:rsidR="008C4E6E" w:rsidRDefault="00000000">
      <w:r>
        <w:rPr>
          <w:rFonts w:cs="Calibri"/>
          <w:szCs w:val="22"/>
        </w:rPr>
        <w:t>Done at Muscat, on Day 0, in August 2026, in the English, Farsi, and Arabic languages, in a single original deposited with the Swiss Confederation.</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68181FB1"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192CC9A9" w14:textId="77777777" w:rsidR="008C4E6E" w:rsidRDefault="00000000">
            <w:pPr>
              <w:spacing w:before="20" w:after="20" w:line="290" w:lineRule="auto"/>
              <w:jc w:val="left"/>
            </w:pPr>
            <w:r>
              <w:rPr>
                <w:rFonts w:cs="Calibri"/>
                <w:b/>
                <w:color w:val="1F4E5F"/>
                <w:sz w:val="19"/>
                <w:szCs w:val="19"/>
              </w:rPr>
              <w:t>Capacity</w:t>
            </w:r>
          </w:p>
        </w:tc>
        <w:tc>
          <w:tcPr>
            <w:tcW w:w="4675" w:type="dxa"/>
            <w:shd w:val="clear" w:color="auto" w:fill="E4EEF1"/>
            <w:tcMar>
              <w:top w:w="60" w:type="dxa"/>
              <w:left w:w="100" w:type="dxa"/>
              <w:bottom w:w="60" w:type="dxa"/>
              <w:right w:w="100" w:type="dxa"/>
            </w:tcMar>
          </w:tcPr>
          <w:p w14:paraId="6641098C" w14:textId="77777777" w:rsidR="008C4E6E" w:rsidRDefault="00000000">
            <w:pPr>
              <w:spacing w:before="20" w:after="20" w:line="290" w:lineRule="auto"/>
              <w:jc w:val="left"/>
            </w:pPr>
            <w:r>
              <w:rPr>
                <w:rFonts w:cs="Calibri"/>
                <w:b/>
                <w:color w:val="1F4E5F"/>
                <w:sz w:val="19"/>
                <w:szCs w:val="19"/>
              </w:rPr>
              <w:t>Signature</w:t>
            </w:r>
          </w:p>
        </w:tc>
      </w:tr>
      <w:tr w:rsidR="008C4E6E" w14:paraId="4D1BA451" w14:textId="77777777">
        <w:tblPrEx>
          <w:tblCellMar>
            <w:top w:w="0" w:type="dxa"/>
            <w:bottom w:w="0" w:type="dxa"/>
          </w:tblCellMar>
        </w:tblPrEx>
        <w:tc>
          <w:tcPr>
            <w:tcW w:w="4675" w:type="dxa"/>
            <w:tcMar>
              <w:top w:w="60" w:type="dxa"/>
              <w:left w:w="100" w:type="dxa"/>
              <w:bottom w:w="60" w:type="dxa"/>
              <w:right w:w="100" w:type="dxa"/>
            </w:tcMar>
          </w:tcPr>
          <w:p w14:paraId="0084AF5B" w14:textId="77777777" w:rsidR="008C4E6E" w:rsidRDefault="00000000">
            <w:pPr>
              <w:spacing w:before="20" w:after="20" w:line="290" w:lineRule="auto"/>
              <w:jc w:val="left"/>
            </w:pPr>
            <w:r>
              <w:rPr>
                <w:rFonts w:cs="Calibri"/>
                <w:sz w:val="19"/>
                <w:szCs w:val="19"/>
              </w:rPr>
              <w:t>For the Islamic Republic of Iran, Founding Party</w:t>
            </w:r>
          </w:p>
        </w:tc>
        <w:tc>
          <w:tcPr>
            <w:tcW w:w="4675" w:type="dxa"/>
            <w:tcMar>
              <w:top w:w="60" w:type="dxa"/>
              <w:left w:w="100" w:type="dxa"/>
              <w:bottom w:w="60" w:type="dxa"/>
              <w:right w:w="100" w:type="dxa"/>
            </w:tcMar>
          </w:tcPr>
          <w:p w14:paraId="7D47F8AB"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35E5BA3F" w14:textId="77777777">
        <w:tblPrEx>
          <w:tblCellMar>
            <w:top w:w="0" w:type="dxa"/>
            <w:bottom w:w="0" w:type="dxa"/>
          </w:tblCellMar>
        </w:tblPrEx>
        <w:tc>
          <w:tcPr>
            <w:tcW w:w="4675" w:type="dxa"/>
            <w:tcMar>
              <w:top w:w="60" w:type="dxa"/>
              <w:left w:w="100" w:type="dxa"/>
              <w:bottom w:w="60" w:type="dxa"/>
              <w:right w:w="100" w:type="dxa"/>
            </w:tcMar>
          </w:tcPr>
          <w:p w14:paraId="387BA7E5" w14:textId="77777777" w:rsidR="008C4E6E" w:rsidRDefault="00000000">
            <w:pPr>
              <w:spacing w:before="20" w:after="20" w:line="290" w:lineRule="auto"/>
              <w:jc w:val="left"/>
            </w:pPr>
            <w:r>
              <w:rPr>
                <w:rFonts w:cs="Calibri"/>
                <w:sz w:val="19"/>
                <w:szCs w:val="19"/>
              </w:rPr>
              <w:t>For the Sultanate of Oman, Founding Party and Mediator of Record</w:t>
            </w:r>
          </w:p>
        </w:tc>
        <w:tc>
          <w:tcPr>
            <w:tcW w:w="4675" w:type="dxa"/>
            <w:tcMar>
              <w:top w:w="60" w:type="dxa"/>
              <w:left w:w="100" w:type="dxa"/>
              <w:bottom w:w="60" w:type="dxa"/>
              <w:right w:w="100" w:type="dxa"/>
            </w:tcMar>
          </w:tcPr>
          <w:p w14:paraId="7AE4C851"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3D90B898" w14:textId="77777777">
        <w:tblPrEx>
          <w:tblCellMar>
            <w:top w:w="0" w:type="dxa"/>
            <w:bottom w:w="0" w:type="dxa"/>
          </w:tblCellMar>
        </w:tblPrEx>
        <w:tc>
          <w:tcPr>
            <w:tcW w:w="4675" w:type="dxa"/>
            <w:tcMar>
              <w:top w:w="60" w:type="dxa"/>
              <w:left w:w="100" w:type="dxa"/>
              <w:bottom w:w="60" w:type="dxa"/>
              <w:right w:w="100" w:type="dxa"/>
            </w:tcMar>
          </w:tcPr>
          <w:p w14:paraId="4926CF3D" w14:textId="77777777" w:rsidR="008C4E6E" w:rsidRDefault="00000000">
            <w:pPr>
              <w:spacing w:before="20" w:after="20" w:line="290" w:lineRule="auto"/>
              <w:jc w:val="left"/>
            </w:pPr>
            <w:r>
              <w:rPr>
                <w:rFonts w:cs="Calibri"/>
                <w:sz w:val="19"/>
                <w:szCs w:val="19"/>
              </w:rPr>
              <w:t>For the United States of America, Endorsing Stakeholder (without governance vote)</w:t>
            </w:r>
          </w:p>
        </w:tc>
        <w:tc>
          <w:tcPr>
            <w:tcW w:w="4675" w:type="dxa"/>
            <w:tcMar>
              <w:top w:w="60" w:type="dxa"/>
              <w:left w:w="100" w:type="dxa"/>
              <w:bottom w:w="60" w:type="dxa"/>
              <w:right w:w="100" w:type="dxa"/>
            </w:tcMar>
          </w:tcPr>
          <w:p w14:paraId="70E93485"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673A43EE" w14:textId="77777777">
        <w:tblPrEx>
          <w:tblCellMar>
            <w:top w:w="0" w:type="dxa"/>
            <w:bottom w:w="0" w:type="dxa"/>
          </w:tblCellMar>
        </w:tblPrEx>
        <w:tc>
          <w:tcPr>
            <w:tcW w:w="4675" w:type="dxa"/>
            <w:tcMar>
              <w:top w:w="60" w:type="dxa"/>
              <w:left w:w="100" w:type="dxa"/>
              <w:bottom w:w="60" w:type="dxa"/>
              <w:right w:w="100" w:type="dxa"/>
            </w:tcMar>
          </w:tcPr>
          <w:p w14:paraId="740676CF" w14:textId="77777777" w:rsidR="008C4E6E" w:rsidRDefault="00000000">
            <w:pPr>
              <w:spacing w:before="20" w:after="20" w:line="290" w:lineRule="auto"/>
              <w:jc w:val="left"/>
            </w:pPr>
            <w:r>
              <w:rPr>
                <w:rFonts w:cs="Calibri"/>
                <w:sz w:val="19"/>
                <w:szCs w:val="19"/>
              </w:rPr>
              <w:t>Witnessed for the State of Qatar, Facilitator (mediation)</w:t>
            </w:r>
          </w:p>
        </w:tc>
        <w:tc>
          <w:tcPr>
            <w:tcW w:w="4675" w:type="dxa"/>
            <w:tcMar>
              <w:top w:w="60" w:type="dxa"/>
              <w:left w:w="100" w:type="dxa"/>
              <w:bottom w:w="60" w:type="dxa"/>
              <w:right w:w="100" w:type="dxa"/>
            </w:tcMar>
          </w:tcPr>
          <w:p w14:paraId="3708CA00"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237734B3" w14:textId="77777777">
        <w:tblPrEx>
          <w:tblCellMar>
            <w:top w:w="0" w:type="dxa"/>
            <w:bottom w:w="0" w:type="dxa"/>
          </w:tblCellMar>
        </w:tblPrEx>
        <w:tc>
          <w:tcPr>
            <w:tcW w:w="4675" w:type="dxa"/>
            <w:tcMar>
              <w:top w:w="60" w:type="dxa"/>
              <w:left w:w="100" w:type="dxa"/>
              <w:bottom w:w="60" w:type="dxa"/>
              <w:right w:w="100" w:type="dxa"/>
            </w:tcMar>
          </w:tcPr>
          <w:p w14:paraId="414CEACF" w14:textId="77777777" w:rsidR="008C4E6E" w:rsidRDefault="00000000">
            <w:pPr>
              <w:spacing w:before="20" w:after="20" w:line="290" w:lineRule="auto"/>
              <w:jc w:val="left"/>
            </w:pPr>
            <w:r>
              <w:rPr>
                <w:rFonts w:cs="Calibri"/>
                <w:sz w:val="19"/>
                <w:szCs w:val="19"/>
              </w:rPr>
              <w:t>Witnessed for the Islamic Republic of Pakistan, Facilitator (good offices)</w:t>
            </w:r>
          </w:p>
        </w:tc>
        <w:tc>
          <w:tcPr>
            <w:tcW w:w="4675" w:type="dxa"/>
            <w:tcMar>
              <w:top w:w="60" w:type="dxa"/>
              <w:left w:w="100" w:type="dxa"/>
              <w:bottom w:w="60" w:type="dxa"/>
              <w:right w:w="100" w:type="dxa"/>
            </w:tcMar>
          </w:tcPr>
          <w:p w14:paraId="3ED8EFE0"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6895A0EC" w14:textId="77777777">
        <w:tblPrEx>
          <w:tblCellMar>
            <w:top w:w="0" w:type="dxa"/>
            <w:bottom w:w="0" w:type="dxa"/>
          </w:tblCellMar>
        </w:tblPrEx>
        <w:tc>
          <w:tcPr>
            <w:tcW w:w="4675" w:type="dxa"/>
            <w:tcMar>
              <w:top w:w="60" w:type="dxa"/>
              <w:left w:w="100" w:type="dxa"/>
              <w:bottom w:w="60" w:type="dxa"/>
              <w:right w:w="100" w:type="dxa"/>
            </w:tcMar>
          </w:tcPr>
          <w:p w14:paraId="2F2D8614" w14:textId="77777777" w:rsidR="008C4E6E" w:rsidRDefault="00000000">
            <w:pPr>
              <w:spacing w:before="20" w:after="20" w:line="290" w:lineRule="auto"/>
              <w:jc w:val="left"/>
            </w:pPr>
            <w:r>
              <w:rPr>
                <w:rFonts w:cs="Calibri"/>
                <w:sz w:val="19"/>
                <w:szCs w:val="19"/>
              </w:rPr>
              <w:t>Deposited with the Swiss Confederation, Depositary, Record, and Fund Administrator</w:t>
            </w:r>
          </w:p>
        </w:tc>
        <w:tc>
          <w:tcPr>
            <w:tcW w:w="4675" w:type="dxa"/>
            <w:tcMar>
              <w:top w:w="60" w:type="dxa"/>
              <w:left w:w="100" w:type="dxa"/>
              <w:bottom w:w="60" w:type="dxa"/>
              <w:right w:w="100" w:type="dxa"/>
            </w:tcMar>
          </w:tcPr>
          <w:p w14:paraId="007D78F3"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1E044437" w14:textId="77777777">
        <w:tblPrEx>
          <w:tblCellMar>
            <w:top w:w="0" w:type="dxa"/>
            <w:bottom w:w="0" w:type="dxa"/>
          </w:tblCellMar>
        </w:tblPrEx>
        <w:tc>
          <w:tcPr>
            <w:tcW w:w="4675" w:type="dxa"/>
            <w:tcMar>
              <w:top w:w="60" w:type="dxa"/>
              <w:left w:w="100" w:type="dxa"/>
              <w:bottom w:w="60" w:type="dxa"/>
              <w:right w:w="100" w:type="dxa"/>
            </w:tcMar>
          </w:tcPr>
          <w:p w14:paraId="4F4B62BD" w14:textId="77777777" w:rsidR="008C4E6E" w:rsidRDefault="00000000">
            <w:pPr>
              <w:spacing w:before="20" w:after="20" w:line="290" w:lineRule="auto"/>
              <w:jc w:val="left"/>
            </w:pPr>
            <w:r>
              <w:rPr>
                <w:rFonts w:cs="Calibri"/>
                <w:sz w:val="19"/>
                <w:szCs w:val="19"/>
              </w:rPr>
              <w:t>Technical concurrence: International Maritime Organization</w:t>
            </w:r>
          </w:p>
        </w:tc>
        <w:tc>
          <w:tcPr>
            <w:tcW w:w="4675" w:type="dxa"/>
            <w:tcMar>
              <w:top w:w="60" w:type="dxa"/>
              <w:left w:w="100" w:type="dxa"/>
              <w:bottom w:w="60" w:type="dxa"/>
              <w:right w:w="100" w:type="dxa"/>
            </w:tcMar>
          </w:tcPr>
          <w:p w14:paraId="1A17CC45" w14:textId="77777777" w:rsidR="008C4E6E" w:rsidRDefault="00000000">
            <w:pPr>
              <w:spacing w:before="20" w:after="20" w:line="290" w:lineRule="auto"/>
              <w:jc w:val="left"/>
            </w:pPr>
            <w:r>
              <w:rPr>
                <w:rFonts w:cs="Calibri"/>
                <w:sz w:val="19"/>
                <w:szCs w:val="19"/>
              </w:rPr>
              <w:t>Name, title, and date: ______________________________</w:t>
            </w:r>
          </w:p>
        </w:tc>
      </w:tr>
      <w:tr w:rsidR="008C4E6E" w14:paraId="0CFBA49D" w14:textId="77777777">
        <w:tblPrEx>
          <w:tblCellMar>
            <w:top w:w="0" w:type="dxa"/>
            <w:bottom w:w="0" w:type="dxa"/>
          </w:tblCellMar>
        </w:tblPrEx>
        <w:tc>
          <w:tcPr>
            <w:tcW w:w="4675" w:type="dxa"/>
            <w:tcMar>
              <w:top w:w="60" w:type="dxa"/>
              <w:left w:w="100" w:type="dxa"/>
              <w:bottom w:w="60" w:type="dxa"/>
              <w:right w:w="100" w:type="dxa"/>
            </w:tcMar>
          </w:tcPr>
          <w:p w14:paraId="24B9C0F5" w14:textId="77777777" w:rsidR="008C4E6E" w:rsidRDefault="00000000">
            <w:pPr>
              <w:spacing w:before="20" w:after="20" w:line="290" w:lineRule="auto"/>
              <w:jc w:val="left"/>
            </w:pPr>
            <w:r>
              <w:rPr>
                <w:rFonts w:cs="Calibri"/>
                <w:sz w:val="19"/>
                <w:szCs w:val="19"/>
              </w:rPr>
              <w:t xml:space="preserve">Technical concurrence: International Hydrographic </w:t>
            </w:r>
            <w:r>
              <w:rPr>
                <w:rFonts w:cs="Calibri"/>
                <w:sz w:val="19"/>
                <w:szCs w:val="19"/>
              </w:rPr>
              <w:lastRenderedPageBreak/>
              <w:t>Organization</w:t>
            </w:r>
          </w:p>
        </w:tc>
        <w:tc>
          <w:tcPr>
            <w:tcW w:w="4675" w:type="dxa"/>
            <w:tcMar>
              <w:top w:w="60" w:type="dxa"/>
              <w:left w:w="100" w:type="dxa"/>
              <w:bottom w:w="60" w:type="dxa"/>
              <w:right w:w="100" w:type="dxa"/>
            </w:tcMar>
          </w:tcPr>
          <w:p w14:paraId="052C3BB8" w14:textId="77777777" w:rsidR="008C4E6E" w:rsidRDefault="00000000">
            <w:pPr>
              <w:spacing w:before="20" w:after="20" w:line="290" w:lineRule="auto"/>
              <w:jc w:val="left"/>
            </w:pPr>
            <w:r>
              <w:rPr>
                <w:rFonts w:cs="Calibri"/>
                <w:sz w:val="19"/>
                <w:szCs w:val="19"/>
              </w:rPr>
              <w:lastRenderedPageBreak/>
              <w:t xml:space="preserve">Name, title, and date: </w:t>
            </w:r>
            <w:r>
              <w:rPr>
                <w:rFonts w:cs="Calibri"/>
                <w:sz w:val="19"/>
                <w:szCs w:val="19"/>
              </w:rPr>
              <w:lastRenderedPageBreak/>
              <w:t>______________________________</w:t>
            </w:r>
          </w:p>
        </w:tc>
      </w:tr>
    </w:tbl>
    <w:p w14:paraId="2CE6D94D" w14:textId="77777777" w:rsidR="008C4E6E" w:rsidRDefault="008C4E6E">
      <w:pPr>
        <w:spacing w:after="80"/>
      </w:pPr>
    </w:p>
    <w:p w14:paraId="2F2B36A4" w14:textId="77777777" w:rsidR="008C4E6E" w:rsidRDefault="00000000">
      <w:pPr>
        <w:spacing w:before="40" w:after="200"/>
        <w:jc w:val="left"/>
      </w:pPr>
      <w:r>
        <w:rPr>
          <w:rFonts w:cs="Calibri"/>
          <w:i/>
          <w:color w:val="6E8A96"/>
          <w:sz w:val="19"/>
          <w:szCs w:val="19"/>
        </w:rPr>
        <w:t>Signature and endorsement block. Endorsement and concurrence signatures carry the functions stated in Article 2 and no others. Accession instruments under Article 57 deposit with the Swiss Confederation in the same form.</w:t>
      </w:r>
    </w:p>
    <w:p w14:paraId="27DBF8FD" w14:textId="77777777" w:rsidR="008C4E6E" w:rsidRDefault="00000000">
      <w:r>
        <w:br w:type="page"/>
      </w:r>
    </w:p>
    <w:p w14:paraId="3CEBB95C" w14:textId="77777777" w:rsidR="008C4E6E" w:rsidRDefault="00000000">
      <w:pPr>
        <w:pStyle w:val="Heading1"/>
      </w:pPr>
      <w:bookmarkStart w:id="77" w:name="_Toc237650633"/>
      <w:r>
        <w:rPr>
          <w:rFonts w:cs="Calibri Light"/>
          <w:szCs w:val="36"/>
        </w:rPr>
        <w:lastRenderedPageBreak/>
        <w:t>Annex A: Corridor Geometry and Coordinates</w:t>
      </w:r>
      <w:bookmarkEnd w:id="77"/>
    </w:p>
    <w:p w14:paraId="3A32C1C8" w14:textId="77777777" w:rsidR="008C4E6E" w:rsidRDefault="00000000">
      <w:r>
        <w:rPr>
          <w:rFonts w:cs="Calibri"/>
          <w:szCs w:val="22"/>
        </w:rPr>
        <w:t>This Annex states the operational geometry of the Governance Area. The coordinates serve navigation and coordination only, and carry the non-prejudice protection of Article 3.3. The Calm Waters Center deposits this Annex with the International Maritime Organization and the International Hydrographic Organization within seven days of the Synchronized Indivisible Event, and the co-directors adjust it by joint instrument under Article 59.2. The geodetic datum is WGS 84.</w:t>
      </w:r>
    </w:p>
    <w:p w14:paraId="4840FACF" w14:textId="77777777" w:rsidR="008C4E6E" w:rsidRDefault="00000000">
      <w:pPr>
        <w:pStyle w:val="Heading2"/>
      </w:pPr>
      <w:bookmarkStart w:id="78" w:name="_Toc237650634"/>
      <w:r>
        <w:rPr>
          <w:rFonts w:cs="Calibri Light"/>
          <w:szCs w:val="28"/>
        </w:rPr>
        <w:t>A.1 The Governance Area</w:t>
      </w:r>
      <w:bookmarkEnd w:id="78"/>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3DF2F71A"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7FE2B947" w14:textId="77777777" w:rsidR="008C4E6E" w:rsidRDefault="00000000">
            <w:pPr>
              <w:spacing w:before="20" w:after="20" w:line="290" w:lineRule="auto"/>
              <w:jc w:val="left"/>
            </w:pPr>
            <w:r>
              <w:rPr>
                <w:rFonts w:cs="Calibri"/>
                <w:b/>
                <w:color w:val="1F4E5F"/>
                <w:sz w:val="19"/>
                <w:szCs w:val="19"/>
              </w:rPr>
              <w:t>Corner</w:t>
            </w:r>
          </w:p>
        </w:tc>
        <w:tc>
          <w:tcPr>
            <w:tcW w:w="3116" w:type="dxa"/>
            <w:shd w:val="clear" w:color="auto" w:fill="E4EEF1"/>
            <w:tcMar>
              <w:top w:w="60" w:type="dxa"/>
              <w:left w:w="100" w:type="dxa"/>
              <w:bottom w:w="60" w:type="dxa"/>
              <w:right w:w="100" w:type="dxa"/>
            </w:tcMar>
          </w:tcPr>
          <w:p w14:paraId="37EAD014" w14:textId="77777777" w:rsidR="008C4E6E" w:rsidRDefault="00000000">
            <w:pPr>
              <w:spacing w:before="20" w:after="20" w:line="290" w:lineRule="auto"/>
              <w:jc w:val="left"/>
            </w:pPr>
            <w:r>
              <w:rPr>
                <w:rFonts w:cs="Calibri"/>
                <w:b/>
                <w:color w:val="1F4E5F"/>
                <w:sz w:val="19"/>
                <w:szCs w:val="19"/>
              </w:rPr>
              <w:t>Latitude</w:t>
            </w:r>
          </w:p>
        </w:tc>
        <w:tc>
          <w:tcPr>
            <w:tcW w:w="3118" w:type="dxa"/>
            <w:shd w:val="clear" w:color="auto" w:fill="E4EEF1"/>
            <w:tcMar>
              <w:top w:w="60" w:type="dxa"/>
              <w:left w:w="100" w:type="dxa"/>
              <w:bottom w:w="60" w:type="dxa"/>
              <w:right w:w="100" w:type="dxa"/>
            </w:tcMar>
          </w:tcPr>
          <w:p w14:paraId="463D6FB3" w14:textId="77777777" w:rsidR="008C4E6E" w:rsidRDefault="00000000">
            <w:pPr>
              <w:spacing w:before="20" w:after="20" w:line="290" w:lineRule="auto"/>
              <w:jc w:val="left"/>
            </w:pPr>
            <w:r>
              <w:rPr>
                <w:rFonts w:cs="Calibri"/>
                <w:b/>
                <w:color w:val="1F4E5F"/>
                <w:sz w:val="19"/>
                <w:szCs w:val="19"/>
              </w:rPr>
              <w:t>Longitude</w:t>
            </w:r>
          </w:p>
        </w:tc>
      </w:tr>
      <w:tr w:rsidR="008C4E6E" w14:paraId="2BE716C5" w14:textId="77777777">
        <w:tblPrEx>
          <w:tblCellMar>
            <w:top w:w="0" w:type="dxa"/>
            <w:bottom w:w="0" w:type="dxa"/>
          </w:tblCellMar>
        </w:tblPrEx>
        <w:tc>
          <w:tcPr>
            <w:tcW w:w="3116" w:type="dxa"/>
            <w:tcMar>
              <w:top w:w="60" w:type="dxa"/>
              <w:left w:w="100" w:type="dxa"/>
              <w:bottom w:w="60" w:type="dxa"/>
              <w:right w:w="100" w:type="dxa"/>
            </w:tcMar>
          </w:tcPr>
          <w:p w14:paraId="2CFE6874" w14:textId="77777777" w:rsidR="008C4E6E" w:rsidRDefault="00000000">
            <w:pPr>
              <w:spacing w:before="20" w:after="20" w:line="290" w:lineRule="auto"/>
              <w:jc w:val="left"/>
            </w:pPr>
            <w:r>
              <w:rPr>
                <w:rFonts w:cs="Calibri"/>
                <w:sz w:val="19"/>
                <w:szCs w:val="19"/>
              </w:rPr>
              <w:t>GA-1 (northwest)</w:t>
            </w:r>
          </w:p>
        </w:tc>
        <w:tc>
          <w:tcPr>
            <w:tcW w:w="3116" w:type="dxa"/>
            <w:tcMar>
              <w:top w:w="60" w:type="dxa"/>
              <w:left w:w="100" w:type="dxa"/>
              <w:bottom w:w="60" w:type="dxa"/>
              <w:right w:w="100" w:type="dxa"/>
            </w:tcMar>
          </w:tcPr>
          <w:p w14:paraId="36F9F2F9" w14:textId="77777777" w:rsidR="008C4E6E" w:rsidRDefault="00000000">
            <w:pPr>
              <w:spacing w:before="20" w:after="20" w:line="290" w:lineRule="auto"/>
              <w:jc w:val="left"/>
            </w:pPr>
            <w:r>
              <w:rPr>
                <w:rFonts w:cs="Calibri"/>
                <w:sz w:val="19"/>
                <w:szCs w:val="19"/>
              </w:rPr>
              <w:t>26 degrees 50.0 minutes N</w:t>
            </w:r>
          </w:p>
        </w:tc>
        <w:tc>
          <w:tcPr>
            <w:tcW w:w="3118" w:type="dxa"/>
            <w:tcMar>
              <w:top w:w="60" w:type="dxa"/>
              <w:left w:w="100" w:type="dxa"/>
              <w:bottom w:w="60" w:type="dxa"/>
              <w:right w:w="100" w:type="dxa"/>
            </w:tcMar>
          </w:tcPr>
          <w:p w14:paraId="2DEB0337" w14:textId="77777777" w:rsidR="008C4E6E" w:rsidRDefault="00000000">
            <w:pPr>
              <w:spacing w:before="20" w:after="20" w:line="290" w:lineRule="auto"/>
              <w:jc w:val="left"/>
            </w:pPr>
            <w:r>
              <w:rPr>
                <w:rFonts w:cs="Calibri"/>
                <w:sz w:val="19"/>
                <w:szCs w:val="19"/>
              </w:rPr>
              <w:t>055 degrees 30.0 minutes E</w:t>
            </w:r>
          </w:p>
        </w:tc>
      </w:tr>
      <w:tr w:rsidR="008C4E6E" w14:paraId="1F79F8B3" w14:textId="77777777">
        <w:tblPrEx>
          <w:tblCellMar>
            <w:top w:w="0" w:type="dxa"/>
            <w:bottom w:w="0" w:type="dxa"/>
          </w:tblCellMar>
        </w:tblPrEx>
        <w:tc>
          <w:tcPr>
            <w:tcW w:w="3116" w:type="dxa"/>
            <w:tcMar>
              <w:top w:w="60" w:type="dxa"/>
              <w:left w:w="100" w:type="dxa"/>
              <w:bottom w:w="60" w:type="dxa"/>
              <w:right w:w="100" w:type="dxa"/>
            </w:tcMar>
          </w:tcPr>
          <w:p w14:paraId="5B614979" w14:textId="77777777" w:rsidR="008C4E6E" w:rsidRDefault="00000000">
            <w:pPr>
              <w:spacing w:before="20" w:after="20" w:line="290" w:lineRule="auto"/>
              <w:jc w:val="left"/>
            </w:pPr>
            <w:r>
              <w:rPr>
                <w:rFonts w:cs="Calibri"/>
                <w:sz w:val="19"/>
                <w:szCs w:val="19"/>
              </w:rPr>
              <w:t>GA-2 (northeast)</w:t>
            </w:r>
          </w:p>
        </w:tc>
        <w:tc>
          <w:tcPr>
            <w:tcW w:w="3116" w:type="dxa"/>
            <w:tcMar>
              <w:top w:w="60" w:type="dxa"/>
              <w:left w:w="100" w:type="dxa"/>
              <w:bottom w:w="60" w:type="dxa"/>
              <w:right w:w="100" w:type="dxa"/>
            </w:tcMar>
          </w:tcPr>
          <w:p w14:paraId="3E4C92DB" w14:textId="77777777" w:rsidR="008C4E6E" w:rsidRDefault="00000000">
            <w:pPr>
              <w:spacing w:before="20" w:after="20" w:line="290" w:lineRule="auto"/>
              <w:jc w:val="left"/>
            </w:pPr>
            <w:r>
              <w:rPr>
                <w:rFonts w:cs="Calibri"/>
                <w:sz w:val="19"/>
                <w:szCs w:val="19"/>
              </w:rPr>
              <w:t>26 degrees 50.0 minutes N</w:t>
            </w:r>
          </w:p>
        </w:tc>
        <w:tc>
          <w:tcPr>
            <w:tcW w:w="3118" w:type="dxa"/>
            <w:tcMar>
              <w:top w:w="60" w:type="dxa"/>
              <w:left w:w="100" w:type="dxa"/>
              <w:bottom w:w="60" w:type="dxa"/>
              <w:right w:w="100" w:type="dxa"/>
            </w:tcMar>
          </w:tcPr>
          <w:p w14:paraId="1AAAA49E" w14:textId="77777777" w:rsidR="008C4E6E" w:rsidRDefault="00000000">
            <w:pPr>
              <w:spacing w:before="20" w:after="20" w:line="290" w:lineRule="auto"/>
              <w:jc w:val="left"/>
            </w:pPr>
            <w:r>
              <w:rPr>
                <w:rFonts w:cs="Calibri"/>
                <w:sz w:val="19"/>
                <w:szCs w:val="19"/>
              </w:rPr>
              <w:t>057 degrees 00.0 minutes E</w:t>
            </w:r>
          </w:p>
        </w:tc>
      </w:tr>
      <w:tr w:rsidR="008C4E6E" w14:paraId="42764164" w14:textId="77777777">
        <w:tblPrEx>
          <w:tblCellMar>
            <w:top w:w="0" w:type="dxa"/>
            <w:bottom w:w="0" w:type="dxa"/>
          </w:tblCellMar>
        </w:tblPrEx>
        <w:tc>
          <w:tcPr>
            <w:tcW w:w="3116" w:type="dxa"/>
            <w:tcMar>
              <w:top w:w="60" w:type="dxa"/>
              <w:left w:w="100" w:type="dxa"/>
              <w:bottom w:w="60" w:type="dxa"/>
              <w:right w:w="100" w:type="dxa"/>
            </w:tcMar>
          </w:tcPr>
          <w:p w14:paraId="2546A074" w14:textId="77777777" w:rsidR="008C4E6E" w:rsidRDefault="00000000">
            <w:pPr>
              <w:spacing w:before="20" w:after="20" w:line="290" w:lineRule="auto"/>
              <w:jc w:val="left"/>
            </w:pPr>
            <w:r>
              <w:rPr>
                <w:rFonts w:cs="Calibri"/>
                <w:sz w:val="19"/>
                <w:szCs w:val="19"/>
              </w:rPr>
              <w:t>GA-3 (southeast)</w:t>
            </w:r>
          </w:p>
        </w:tc>
        <w:tc>
          <w:tcPr>
            <w:tcW w:w="3116" w:type="dxa"/>
            <w:tcMar>
              <w:top w:w="60" w:type="dxa"/>
              <w:left w:w="100" w:type="dxa"/>
              <w:bottom w:w="60" w:type="dxa"/>
              <w:right w:w="100" w:type="dxa"/>
            </w:tcMar>
          </w:tcPr>
          <w:p w14:paraId="2186492D" w14:textId="77777777" w:rsidR="008C4E6E" w:rsidRDefault="00000000">
            <w:pPr>
              <w:spacing w:before="20" w:after="20" w:line="290" w:lineRule="auto"/>
              <w:jc w:val="left"/>
            </w:pPr>
            <w:r>
              <w:rPr>
                <w:rFonts w:cs="Calibri"/>
                <w:sz w:val="19"/>
                <w:szCs w:val="19"/>
              </w:rPr>
              <w:t>25 degrees 40.0 minutes N</w:t>
            </w:r>
          </w:p>
        </w:tc>
        <w:tc>
          <w:tcPr>
            <w:tcW w:w="3118" w:type="dxa"/>
            <w:tcMar>
              <w:top w:w="60" w:type="dxa"/>
              <w:left w:w="100" w:type="dxa"/>
              <w:bottom w:w="60" w:type="dxa"/>
              <w:right w:w="100" w:type="dxa"/>
            </w:tcMar>
          </w:tcPr>
          <w:p w14:paraId="37B1FE51" w14:textId="77777777" w:rsidR="008C4E6E" w:rsidRDefault="00000000">
            <w:pPr>
              <w:spacing w:before="20" w:after="20" w:line="290" w:lineRule="auto"/>
              <w:jc w:val="left"/>
            </w:pPr>
            <w:r>
              <w:rPr>
                <w:rFonts w:cs="Calibri"/>
                <w:sz w:val="19"/>
                <w:szCs w:val="19"/>
              </w:rPr>
              <w:t>057 degrees 00.0 minutes E</w:t>
            </w:r>
          </w:p>
        </w:tc>
      </w:tr>
      <w:tr w:rsidR="008C4E6E" w14:paraId="3CBC8CFD" w14:textId="77777777">
        <w:tblPrEx>
          <w:tblCellMar>
            <w:top w:w="0" w:type="dxa"/>
            <w:bottom w:w="0" w:type="dxa"/>
          </w:tblCellMar>
        </w:tblPrEx>
        <w:tc>
          <w:tcPr>
            <w:tcW w:w="3116" w:type="dxa"/>
            <w:tcMar>
              <w:top w:w="60" w:type="dxa"/>
              <w:left w:w="100" w:type="dxa"/>
              <w:bottom w:w="60" w:type="dxa"/>
              <w:right w:w="100" w:type="dxa"/>
            </w:tcMar>
          </w:tcPr>
          <w:p w14:paraId="4DB77C9C" w14:textId="77777777" w:rsidR="008C4E6E" w:rsidRDefault="00000000">
            <w:pPr>
              <w:spacing w:before="20" w:after="20" w:line="290" w:lineRule="auto"/>
              <w:jc w:val="left"/>
            </w:pPr>
            <w:r>
              <w:rPr>
                <w:rFonts w:cs="Calibri"/>
                <w:sz w:val="19"/>
                <w:szCs w:val="19"/>
              </w:rPr>
              <w:t>GA-4 (southwest)</w:t>
            </w:r>
          </w:p>
        </w:tc>
        <w:tc>
          <w:tcPr>
            <w:tcW w:w="3116" w:type="dxa"/>
            <w:tcMar>
              <w:top w:w="60" w:type="dxa"/>
              <w:left w:w="100" w:type="dxa"/>
              <w:bottom w:w="60" w:type="dxa"/>
              <w:right w:w="100" w:type="dxa"/>
            </w:tcMar>
          </w:tcPr>
          <w:p w14:paraId="13343A00" w14:textId="77777777" w:rsidR="008C4E6E" w:rsidRDefault="00000000">
            <w:pPr>
              <w:spacing w:before="20" w:after="20" w:line="290" w:lineRule="auto"/>
              <w:jc w:val="left"/>
            </w:pPr>
            <w:r>
              <w:rPr>
                <w:rFonts w:cs="Calibri"/>
                <w:sz w:val="19"/>
                <w:szCs w:val="19"/>
              </w:rPr>
              <w:t>25 degrees 40.0 minutes N</w:t>
            </w:r>
          </w:p>
        </w:tc>
        <w:tc>
          <w:tcPr>
            <w:tcW w:w="3118" w:type="dxa"/>
            <w:tcMar>
              <w:top w:w="60" w:type="dxa"/>
              <w:left w:w="100" w:type="dxa"/>
              <w:bottom w:w="60" w:type="dxa"/>
              <w:right w:w="100" w:type="dxa"/>
            </w:tcMar>
          </w:tcPr>
          <w:p w14:paraId="55A1D6DC" w14:textId="77777777" w:rsidR="008C4E6E" w:rsidRDefault="00000000">
            <w:pPr>
              <w:spacing w:before="20" w:after="20" w:line="290" w:lineRule="auto"/>
              <w:jc w:val="left"/>
            </w:pPr>
            <w:r>
              <w:rPr>
                <w:rFonts w:cs="Calibri"/>
                <w:sz w:val="19"/>
                <w:szCs w:val="19"/>
              </w:rPr>
              <w:t>055 degrees 30.0 minutes E</w:t>
            </w:r>
          </w:p>
        </w:tc>
      </w:tr>
    </w:tbl>
    <w:p w14:paraId="2879A24C" w14:textId="77777777" w:rsidR="008C4E6E" w:rsidRDefault="008C4E6E">
      <w:pPr>
        <w:spacing w:after="80"/>
      </w:pPr>
    </w:p>
    <w:p w14:paraId="5D541606" w14:textId="77777777" w:rsidR="008C4E6E" w:rsidRDefault="00000000">
      <w:pPr>
        <w:spacing w:before="40" w:after="200"/>
        <w:jc w:val="left"/>
      </w:pPr>
      <w:r>
        <w:rPr>
          <w:rFonts w:cs="Calibri"/>
          <w:i/>
          <w:color w:val="6E8A96"/>
          <w:sz w:val="19"/>
          <w:szCs w:val="19"/>
        </w:rPr>
        <w:t>Governance Area corners. The northern and southern limits follow the outer limit of the territorial seas where those lie inside the box.</w:t>
      </w:r>
    </w:p>
    <w:p w14:paraId="7DDDCAE7" w14:textId="77777777" w:rsidR="008C4E6E" w:rsidRDefault="00000000">
      <w:pPr>
        <w:pStyle w:val="Heading2"/>
      </w:pPr>
      <w:bookmarkStart w:id="79" w:name="_Toc237650635"/>
      <w:r>
        <w:rPr>
          <w:rFonts w:cs="Calibri Light"/>
          <w:szCs w:val="28"/>
        </w:rPr>
        <w:t>A.2 Corridor One: Southern Assurance (outbound)</w:t>
      </w:r>
      <w:bookmarkEnd w:id="79"/>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258DFB08"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40BE013F" w14:textId="77777777" w:rsidR="008C4E6E" w:rsidRDefault="00000000">
            <w:pPr>
              <w:spacing w:before="20" w:after="20" w:line="290" w:lineRule="auto"/>
              <w:jc w:val="left"/>
            </w:pPr>
            <w:r>
              <w:rPr>
                <w:rFonts w:cs="Calibri"/>
                <w:b/>
                <w:color w:val="1F4E5F"/>
                <w:sz w:val="19"/>
                <w:szCs w:val="19"/>
              </w:rPr>
              <w:t>Waypoint</w:t>
            </w:r>
          </w:p>
        </w:tc>
        <w:tc>
          <w:tcPr>
            <w:tcW w:w="3116" w:type="dxa"/>
            <w:shd w:val="clear" w:color="auto" w:fill="E4EEF1"/>
            <w:tcMar>
              <w:top w:w="60" w:type="dxa"/>
              <w:left w:w="100" w:type="dxa"/>
              <w:bottom w:w="60" w:type="dxa"/>
              <w:right w:w="100" w:type="dxa"/>
            </w:tcMar>
          </w:tcPr>
          <w:p w14:paraId="54429525" w14:textId="77777777" w:rsidR="008C4E6E" w:rsidRDefault="00000000">
            <w:pPr>
              <w:spacing w:before="20" w:after="20" w:line="290" w:lineRule="auto"/>
              <w:jc w:val="left"/>
            </w:pPr>
            <w:r>
              <w:rPr>
                <w:rFonts w:cs="Calibri"/>
                <w:b/>
                <w:color w:val="1F4E5F"/>
                <w:sz w:val="19"/>
                <w:szCs w:val="19"/>
              </w:rPr>
              <w:t>Latitude</w:t>
            </w:r>
          </w:p>
        </w:tc>
        <w:tc>
          <w:tcPr>
            <w:tcW w:w="3118" w:type="dxa"/>
            <w:shd w:val="clear" w:color="auto" w:fill="E4EEF1"/>
            <w:tcMar>
              <w:top w:w="60" w:type="dxa"/>
              <w:left w:w="100" w:type="dxa"/>
              <w:bottom w:w="60" w:type="dxa"/>
              <w:right w:w="100" w:type="dxa"/>
            </w:tcMar>
          </w:tcPr>
          <w:p w14:paraId="19607C51" w14:textId="77777777" w:rsidR="008C4E6E" w:rsidRDefault="00000000">
            <w:pPr>
              <w:spacing w:before="20" w:after="20" w:line="290" w:lineRule="auto"/>
              <w:jc w:val="left"/>
            </w:pPr>
            <w:r>
              <w:rPr>
                <w:rFonts w:cs="Calibri"/>
                <w:b/>
                <w:color w:val="1F4E5F"/>
                <w:sz w:val="19"/>
                <w:szCs w:val="19"/>
              </w:rPr>
              <w:t>Longitude</w:t>
            </w:r>
          </w:p>
        </w:tc>
      </w:tr>
      <w:tr w:rsidR="008C4E6E" w14:paraId="2E24631B" w14:textId="77777777">
        <w:tblPrEx>
          <w:tblCellMar>
            <w:top w:w="0" w:type="dxa"/>
            <w:bottom w:w="0" w:type="dxa"/>
          </w:tblCellMar>
        </w:tblPrEx>
        <w:tc>
          <w:tcPr>
            <w:tcW w:w="3116" w:type="dxa"/>
            <w:tcMar>
              <w:top w:w="60" w:type="dxa"/>
              <w:left w:w="100" w:type="dxa"/>
              <w:bottom w:w="60" w:type="dxa"/>
              <w:right w:w="100" w:type="dxa"/>
            </w:tcMar>
          </w:tcPr>
          <w:p w14:paraId="52E41FF2" w14:textId="77777777" w:rsidR="008C4E6E" w:rsidRDefault="00000000">
            <w:pPr>
              <w:spacing w:before="20" w:after="20" w:line="290" w:lineRule="auto"/>
              <w:jc w:val="left"/>
            </w:pPr>
            <w:r>
              <w:rPr>
                <w:rFonts w:cs="Calibri"/>
                <w:sz w:val="19"/>
                <w:szCs w:val="19"/>
              </w:rPr>
              <w:t>S-1</w:t>
            </w:r>
          </w:p>
        </w:tc>
        <w:tc>
          <w:tcPr>
            <w:tcW w:w="3116" w:type="dxa"/>
            <w:tcMar>
              <w:top w:w="60" w:type="dxa"/>
              <w:left w:w="100" w:type="dxa"/>
              <w:bottom w:w="60" w:type="dxa"/>
              <w:right w:w="100" w:type="dxa"/>
            </w:tcMar>
          </w:tcPr>
          <w:p w14:paraId="14AA700B" w14:textId="77777777" w:rsidR="008C4E6E" w:rsidRDefault="00000000">
            <w:pPr>
              <w:spacing w:before="20" w:after="20" w:line="290" w:lineRule="auto"/>
              <w:jc w:val="left"/>
            </w:pPr>
            <w:r>
              <w:rPr>
                <w:rFonts w:cs="Calibri"/>
                <w:sz w:val="19"/>
                <w:szCs w:val="19"/>
              </w:rPr>
              <w:t>26 degrees 32.0 minutes N</w:t>
            </w:r>
          </w:p>
        </w:tc>
        <w:tc>
          <w:tcPr>
            <w:tcW w:w="3118" w:type="dxa"/>
            <w:tcMar>
              <w:top w:w="60" w:type="dxa"/>
              <w:left w:w="100" w:type="dxa"/>
              <w:bottom w:w="60" w:type="dxa"/>
              <w:right w:w="100" w:type="dxa"/>
            </w:tcMar>
          </w:tcPr>
          <w:p w14:paraId="69990367" w14:textId="77777777" w:rsidR="008C4E6E" w:rsidRDefault="00000000">
            <w:pPr>
              <w:spacing w:before="20" w:after="20" w:line="290" w:lineRule="auto"/>
              <w:jc w:val="left"/>
            </w:pPr>
            <w:r>
              <w:rPr>
                <w:rFonts w:cs="Calibri"/>
                <w:sz w:val="19"/>
                <w:szCs w:val="19"/>
              </w:rPr>
              <w:t>055 degrees 34.0 minutes E</w:t>
            </w:r>
          </w:p>
        </w:tc>
      </w:tr>
      <w:tr w:rsidR="008C4E6E" w14:paraId="43E16A9A" w14:textId="77777777">
        <w:tblPrEx>
          <w:tblCellMar>
            <w:top w:w="0" w:type="dxa"/>
            <w:bottom w:w="0" w:type="dxa"/>
          </w:tblCellMar>
        </w:tblPrEx>
        <w:tc>
          <w:tcPr>
            <w:tcW w:w="3116" w:type="dxa"/>
            <w:tcMar>
              <w:top w:w="60" w:type="dxa"/>
              <w:left w:w="100" w:type="dxa"/>
              <w:bottom w:w="60" w:type="dxa"/>
              <w:right w:w="100" w:type="dxa"/>
            </w:tcMar>
          </w:tcPr>
          <w:p w14:paraId="44FAD0BC" w14:textId="77777777" w:rsidR="008C4E6E" w:rsidRDefault="00000000">
            <w:pPr>
              <w:spacing w:before="20" w:after="20" w:line="290" w:lineRule="auto"/>
              <w:jc w:val="left"/>
            </w:pPr>
            <w:r>
              <w:rPr>
                <w:rFonts w:cs="Calibri"/>
                <w:sz w:val="19"/>
                <w:szCs w:val="19"/>
              </w:rPr>
              <w:t>S-2</w:t>
            </w:r>
          </w:p>
        </w:tc>
        <w:tc>
          <w:tcPr>
            <w:tcW w:w="3116" w:type="dxa"/>
            <w:tcMar>
              <w:top w:w="60" w:type="dxa"/>
              <w:left w:w="100" w:type="dxa"/>
              <w:bottom w:w="60" w:type="dxa"/>
              <w:right w:w="100" w:type="dxa"/>
            </w:tcMar>
          </w:tcPr>
          <w:p w14:paraId="6526928A" w14:textId="77777777" w:rsidR="008C4E6E" w:rsidRDefault="00000000">
            <w:pPr>
              <w:spacing w:before="20" w:after="20" w:line="290" w:lineRule="auto"/>
              <w:jc w:val="left"/>
            </w:pPr>
            <w:r>
              <w:rPr>
                <w:rFonts w:cs="Calibri"/>
                <w:sz w:val="19"/>
                <w:szCs w:val="19"/>
              </w:rPr>
              <w:t>26 degrees 28.0 minutes N</w:t>
            </w:r>
          </w:p>
        </w:tc>
        <w:tc>
          <w:tcPr>
            <w:tcW w:w="3118" w:type="dxa"/>
            <w:tcMar>
              <w:top w:w="60" w:type="dxa"/>
              <w:left w:w="100" w:type="dxa"/>
              <w:bottom w:w="60" w:type="dxa"/>
              <w:right w:w="100" w:type="dxa"/>
            </w:tcMar>
          </w:tcPr>
          <w:p w14:paraId="13D09499" w14:textId="77777777" w:rsidR="008C4E6E" w:rsidRDefault="00000000">
            <w:pPr>
              <w:spacing w:before="20" w:after="20" w:line="290" w:lineRule="auto"/>
              <w:jc w:val="left"/>
            </w:pPr>
            <w:r>
              <w:rPr>
                <w:rFonts w:cs="Calibri"/>
                <w:sz w:val="19"/>
                <w:szCs w:val="19"/>
              </w:rPr>
              <w:t>055 degrees 52.0 minutes E</w:t>
            </w:r>
          </w:p>
        </w:tc>
      </w:tr>
      <w:tr w:rsidR="008C4E6E" w14:paraId="36DF1A40" w14:textId="77777777">
        <w:tblPrEx>
          <w:tblCellMar>
            <w:top w:w="0" w:type="dxa"/>
            <w:bottom w:w="0" w:type="dxa"/>
          </w:tblCellMar>
        </w:tblPrEx>
        <w:tc>
          <w:tcPr>
            <w:tcW w:w="3116" w:type="dxa"/>
            <w:tcMar>
              <w:top w:w="60" w:type="dxa"/>
              <w:left w:w="100" w:type="dxa"/>
              <w:bottom w:w="60" w:type="dxa"/>
              <w:right w:w="100" w:type="dxa"/>
            </w:tcMar>
          </w:tcPr>
          <w:p w14:paraId="39C3788D" w14:textId="77777777" w:rsidR="008C4E6E" w:rsidRDefault="00000000">
            <w:pPr>
              <w:spacing w:before="20" w:after="20" w:line="290" w:lineRule="auto"/>
              <w:jc w:val="left"/>
            </w:pPr>
            <w:r>
              <w:rPr>
                <w:rFonts w:cs="Calibri"/>
                <w:sz w:val="19"/>
                <w:szCs w:val="19"/>
              </w:rPr>
              <w:t>S-3</w:t>
            </w:r>
          </w:p>
        </w:tc>
        <w:tc>
          <w:tcPr>
            <w:tcW w:w="3116" w:type="dxa"/>
            <w:tcMar>
              <w:top w:w="60" w:type="dxa"/>
              <w:left w:w="100" w:type="dxa"/>
              <w:bottom w:w="60" w:type="dxa"/>
              <w:right w:w="100" w:type="dxa"/>
            </w:tcMar>
          </w:tcPr>
          <w:p w14:paraId="1AF49490" w14:textId="77777777" w:rsidR="008C4E6E" w:rsidRDefault="00000000">
            <w:pPr>
              <w:spacing w:before="20" w:after="20" w:line="290" w:lineRule="auto"/>
              <w:jc w:val="left"/>
            </w:pPr>
            <w:r>
              <w:rPr>
                <w:rFonts w:cs="Calibri"/>
                <w:sz w:val="19"/>
                <w:szCs w:val="19"/>
              </w:rPr>
              <w:t>26 degrees 21.0 minutes N</w:t>
            </w:r>
          </w:p>
        </w:tc>
        <w:tc>
          <w:tcPr>
            <w:tcW w:w="3118" w:type="dxa"/>
            <w:tcMar>
              <w:top w:w="60" w:type="dxa"/>
              <w:left w:w="100" w:type="dxa"/>
              <w:bottom w:w="60" w:type="dxa"/>
              <w:right w:w="100" w:type="dxa"/>
            </w:tcMar>
          </w:tcPr>
          <w:p w14:paraId="33F41BE6" w14:textId="77777777" w:rsidR="008C4E6E" w:rsidRDefault="00000000">
            <w:pPr>
              <w:spacing w:before="20" w:after="20" w:line="290" w:lineRule="auto"/>
              <w:jc w:val="left"/>
            </w:pPr>
            <w:r>
              <w:rPr>
                <w:rFonts w:cs="Calibri"/>
                <w:sz w:val="19"/>
                <w:szCs w:val="19"/>
              </w:rPr>
              <w:t>056 degrees 12.0 minutes E</w:t>
            </w:r>
          </w:p>
        </w:tc>
      </w:tr>
      <w:tr w:rsidR="008C4E6E" w14:paraId="4A21680C" w14:textId="77777777">
        <w:tblPrEx>
          <w:tblCellMar>
            <w:top w:w="0" w:type="dxa"/>
            <w:bottom w:w="0" w:type="dxa"/>
          </w:tblCellMar>
        </w:tblPrEx>
        <w:tc>
          <w:tcPr>
            <w:tcW w:w="3116" w:type="dxa"/>
            <w:tcMar>
              <w:top w:w="60" w:type="dxa"/>
              <w:left w:w="100" w:type="dxa"/>
              <w:bottom w:w="60" w:type="dxa"/>
              <w:right w:w="100" w:type="dxa"/>
            </w:tcMar>
          </w:tcPr>
          <w:p w14:paraId="27FEDEF8" w14:textId="77777777" w:rsidR="008C4E6E" w:rsidRDefault="00000000">
            <w:pPr>
              <w:spacing w:before="20" w:after="20" w:line="290" w:lineRule="auto"/>
              <w:jc w:val="left"/>
            </w:pPr>
            <w:r>
              <w:rPr>
                <w:rFonts w:cs="Calibri"/>
                <w:sz w:val="19"/>
                <w:szCs w:val="19"/>
              </w:rPr>
              <w:t>S-4</w:t>
            </w:r>
          </w:p>
        </w:tc>
        <w:tc>
          <w:tcPr>
            <w:tcW w:w="3116" w:type="dxa"/>
            <w:tcMar>
              <w:top w:w="60" w:type="dxa"/>
              <w:left w:w="100" w:type="dxa"/>
              <w:bottom w:w="60" w:type="dxa"/>
              <w:right w:w="100" w:type="dxa"/>
            </w:tcMar>
          </w:tcPr>
          <w:p w14:paraId="77BCA223" w14:textId="77777777" w:rsidR="008C4E6E" w:rsidRDefault="00000000">
            <w:pPr>
              <w:spacing w:before="20" w:after="20" w:line="290" w:lineRule="auto"/>
              <w:jc w:val="left"/>
            </w:pPr>
            <w:r>
              <w:rPr>
                <w:rFonts w:cs="Calibri"/>
                <w:sz w:val="19"/>
                <w:szCs w:val="19"/>
              </w:rPr>
              <w:t>26 degrees 12.0 minutes N</w:t>
            </w:r>
          </w:p>
        </w:tc>
        <w:tc>
          <w:tcPr>
            <w:tcW w:w="3118" w:type="dxa"/>
            <w:tcMar>
              <w:top w:w="60" w:type="dxa"/>
              <w:left w:w="100" w:type="dxa"/>
              <w:bottom w:w="60" w:type="dxa"/>
              <w:right w:w="100" w:type="dxa"/>
            </w:tcMar>
          </w:tcPr>
          <w:p w14:paraId="1AA514F3" w14:textId="77777777" w:rsidR="008C4E6E" w:rsidRDefault="00000000">
            <w:pPr>
              <w:spacing w:before="20" w:after="20" w:line="290" w:lineRule="auto"/>
              <w:jc w:val="left"/>
            </w:pPr>
            <w:r>
              <w:rPr>
                <w:rFonts w:cs="Calibri"/>
                <w:sz w:val="19"/>
                <w:szCs w:val="19"/>
              </w:rPr>
              <w:t>056 degrees 32.0 minutes E</w:t>
            </w:r>
          </w:p>
        </w:tc>
      </w:tr>
      <w:tr w:rsidR="008C4E6E" w14:paraId="71534F21" w14:textId="77777777">
        <w:tblPrEx>
          <w:tblCellMar>
            <w:top w:w="0" w:type="dxa"/>
            <w:bottom w:w="0" w:type="dxa"/>
          </w:tblCellMar>
        </w:tblPrEx>
        <w:tc>
          <w:tcPr>
            <w:tcW w:w="3116" w:type="dxa"/>
            <w:tcMar>
              <w:top w:w="60" w:type="dxa"/>
              <w:left w:w="100" w:type="dxa"/>
              <w:bottom w:w="60" w:type="dxa"/>
              <w:right w:w="100" w:type="dxa"/>
            </w:tcMar>
          </w:tcPr>
          <w:p w14:paraId="7EA16FEB" w14:textId="77777777" w:rsidR="008C4E6E" w:rsidRDefault="00000000">
            <w:pPr>
              <w:spacing w:before="20" w:after="20" w:line="290" w:lineRule="auto"/>
              <w:jc w:val="left"/>
            </w:pPr>
            <w:r>
              <w:rPr>
                <w:rFonts w:cs="Calibri"/>
                <w:sz w:val="19"/>
                <w:szCs w:val="19"/>
              </w:rPr>
              <w:t>S-5</w:t>
            </w:r>
          </w:p>
        </w:tc>
        <w:tc>
          <w:tcPr>
            <w:tcW w:w="3116" w:type="dxa"/>
            <w:tcMar>
              <w:top w:w="60" w:type="dxa"/>
              <w:left w:w="100" w:type="dxa"/>
              <w:bottom w:w="60" w:type="dxa"/>
              <w:right w:w="100" w:type="dxa"/>
            </w:tcMar>
          </w:tcPr>
          <w:p w14:paraId="124F893A" w14:textId="77777777" w:rsidR="008C4E6E" w:rsidRDefault="00000000">
            <w:pPr>
              <w:spacing w:before="20" w:after="20" w:line="290" w:lineRule="auto"/>
              <w:jc w:val="left"/>
            </w:pPr>
            <w:r>
              <w:rPr>
                <w:rFonts w:cs="Calibri"/>
                <w:sz w:val="19"/>
                <w:szCs w:val="19"/>
              </w:rPr>
              <w:t>26 degrees 02.0 minutes N</w:t>
            </w:r>
          </w:p>
        </w:tc>
        <w:tc>
          <w:tcPr>
            <w:tcW w:w="3118" w:type="dxa"/>
            <w:tcMar>
              <w:top w:w="60" w:type="dxa"/>
              <w:left w:w="100" w:type="dxa"/>
              <w:bottom w:w="60" w:type="dxa"/>
              <w:right w:w="100" w:type="dxa"/>
            </w:tcMar>
          </w:tcPr>
          <w:p w14:paraId="10503D7B" w14:textId="77777777" w:rsidR="008C4E6E" w:rsidRDefault="00000000">
            <w:pPr>
              <w:spacing w:before="20" w:after="20" w:line="290" w:lineRule="auto"/>
              <w:jc w:val="left"/>
            </w:pPr>
            <w:r>
              <w:rPr>
                <w:rFonts w:cs="Calibri"/>
                <w:sz w:val="19"/>
                <w:szCs w:val="19"/>
              </w:rPr>
              <w:t>056 degrees 48.0 minutes E</w:t>
            </w:r>
          </w:p>
        </w:tc>
      </w:tr>
      <w:tr w:rsidR="008C4E6E" w14:paraId="47C52A9E" w14:textId="77777777">
        <w:tblPrEx>
          <w:tblCellMar>
            <w:top w:w="0" w:type="dxa"/>
            <w:bottom w:w="0" w:type="dxa"/>
          </w:tblCellMar>
        </w:tblPrEx>
        <w:tc>
          <w:tcPr>
            <w:tcW w:w="3116" w:type="dxa"/>
            <w:tcMar>
              <w:top w:w="60" w:type="dxa"/>
              <w:left w:w="100" w:type="dxa"/>
              <w:bottom w:w="60" w:type="dxa"/>
              <w:right w:w="100" w:type="dxa"/>
            </w:tcMar>
          </w:tcPr>
          <w:p w14:paraId="240F8EB7" w14:textId="77777777" w:rsidR="008C4E6E" w:rsidRDefault="00000000">
            <w:pPr>
              <w:spacing w:before="20" w:after="20" w:line="290" w:lineRule="auto"/>
              <w:jc w:val="left"/>
            </w:pPr>
            <w:r>
              <w:rPr>
                <w:rFonts w:cs="Calibri"/>
                <w:sz w:val="19"/>
                <w:szCs w:val="19"/>
              </w:rPr>
              <w:t>S-6</w:t>
            </w:r>
          </w:p>
        </w:tc>
        <w:tc>
          <w:tcPr>
            <w:tcW w:w="3116" w:type="dxa"/>
            <w:tcMar>
              <w:top w:w="60" w:type="dxa"/>
              <w:left w:w="100" w:type="dxa"/>
              <w:bottom w:w="60" w:type="dxa"/>
              <w:right w:w="100" w:type="dxa"/>
            </w:tcMar>
          </w:tcPr>
          <w:p w14:paraId="03E2C159" w14:textId="77777777" w:rsidR="008C4E6E" w:rsidRDefault="00000000">
            <w:pPr>
              <w:spacing w:before="20" w:after="20" w:line="290" w:lineRule="auto"/>
              <w:jc w:val="left"/>
            </w:pPr>
            <w:r>
              <w:rPr>
                <w:rFonts w:cs="Calibri"/>
                <w:sz w:val="19"/>
                <w:szCs w:val="19"/>
              </w:rPr>
              <w:t>25 degrees 54.0 minutes N</w:t>
            </w:r>
          </w:p>
        </w:tc>
        <w:tc>
          <w:tcPr>
            <w:tcW w:w="3118" w:type="dxa"/>
            <w:tcMar>
              <w:top w:w="60" w:type="dxa"/>
              <w:left w:w="100" w:type="dxa"/>
              <w:bottom w:w="60" w:type="dxa"/>
              <w:right w:w="100" w:type="dxa"/>
            </w:tcMar>
          </w:tcPr>
          <w:p w14:paraId="2D203605" w14:textId="77777777" w:rsidR="008C4E6E" w:rsidRDefault="00000000">
            <w:pPr>
              <w:spacing w:before="20" w:after="20" w:line="290" w:lineRule="auto"/>
              <w:jc w:val="left"/>
            </w:pPr>
            <w:r>
              <w:rPr>
                <w:rFonts w:cs="Calibri"/>
                <w:sz w:val="19"/>
                <w:szCs w:val="19"/>
              </w:rPr>
              <w:t>056 degrees 58.0 minutes E</w:t>
            </w:r>
          </w:p>
        </w:tc>
      </w:tr>
    </w:tbl>
    <w:p w14:paraId="7200D034" w14:textId="77777777" w:rsidR="008C4E6E" w:rsidRDefault="008C4E6E">
      <w:pPr>
        <w:spacing w:after="80"/>
      </w:pPr>
    </w:p>
    <w:p w14:paraId="24404ECF" w14:textId="77777777" w:rsidR="008C4E6E" w:rsidRDefault="00000000">
      <w:pPr>
        <w:spacing w:before="40" w:after="200"/>
        <w:jc w:val="left"/>
      </w:pPr>
      <w:r>
        <w:rPr>
          <w:rFonts w:cs="Calibri"/>
          <w:i/>
          <w:color w:val="6E8A96"/>
          <w:sz w:val="19"/>
          <w:szCs w:val="19"/>
        </w:rPr>
        <w:t>Corridor One centerline. Corridor width three nautical miles, one and a half each side of centerline.</w:t>
      </w:r>
    </w:p>
    <w:p w14:paraId="521C0EAD" w14:textId="77777777" w:rsidR="008C4E6E" w:rsidRDefault="00000000">
      <w:pPr>
        <w:pStyle w:val="Heading2"/>
      </w:pPr>
      <w:bookmarkStart w:id="80" w:name="_Toc237650636"/>
      <w:r>
        <w:rPr>
          <w:rFonts w:cs="Calibri Light"/>
          <w:szCs w:val="28"/>
        </w:rPr>
        <w:t>A.3 Corridor Two: Northern Coordination (inbound)</w:t>
      </w:r>
      <w:bookmarkEnd w:id="80"/>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5743E4EF"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196BD486" w14:textId="77777777" w:rsidR="008C4E6E" w:rsidRDefault="00000000">
            <w:pPr>
              <w:spacing w:before="20" w:after="20" w:line="290" w:lineRule="auto"/>
              <w:jc w:val="left"/>
            </w:pPr>
            <w:r>
              <w:rPr>
                <w:rFonts w:cs="Calibri"/>
                <w:b/>
                <w:color w:val="1F4E5F"/>
                <w:sz w:val="19"/>
                <w:szCs w:val="19"/>
              </w:rPr>
              <w:t>Waypoint</w:t>
            </w:r>
          </w:p>
        </w:tc>
        <w:tc>
          <w:tcPr>
            <w:tcW w:w="3116" w:type="dxa"/>
            <w:shd w:val="clear" w:color="auto" w:fill="E4EEF1"/>
            <w:tcMar>
              <w:top w:w="60" w:type="dxa"/>
              <w:left w:w="100" w:type="dxa"/>
              <w:bottom w:w="60" w:type="dxa"/>
              <w:right w:w="100" w:type="dxa"/>
            </w:tcMar>
          </w:tcPr>
          <w:p w14:paraId="58C4CBB4" w14:textId="77777777" w:rsidR="008C4E6E" w:rsidRDefault="00000000">
            <w:pPr>
              <w:spacing w:before="20" w:after="20" w:line="290" w:lineRule="auto"/>
              <w:jc w:val="left"/>
            </w:pPr>
            <w:r>
              <w:rPr>
                <w:rFonts w:cs="Calibri"/>
                <w:b/>
                <w:color w:val="1F4E5F"/>
                <w:sz w:val="19"/>
                <w:szCs w:val="19"/>
              </w:rPr>
              <w:t>Latitude</w:t>
            </w:r>
          </w:p>
        </w:tc>
        <w:tc>
          <w:tcPr>
            <w:tcW w:w="3118" w:type="dxa"/>
            <w:shd w:val="clear" w:color="auto" w:fill="E4EEF1"/>
            <w:tcMar>
              <w:top w:w="60" w:type="dxa"/>
              <w:left w:w="100" w:type="dxa"/>
              <w:bottom w:w="60" w:type="dxa"/>
              <w:right w:w="100" w:type="dxa"/>
            </w:tcMar>
          </w:tcPr>
          <w:p w14:paraId="10C7ACFB" w14:textId="77777777" w:rsidR="008C4E6E" w:rsidRDefault="00000000">
            <w:pPr>
              <w:spacing w:before="20" w:after="20" w:line="290" w:lineRule="auto"/>
              <w:jc w:val="left"/>
            </w:pPr>
            <w:r>
              <w:rPr>
                <w:rFonts w:cs="Calibri"/>
                <w:b/>
                <w:color w:val="1F4E5F"/>
                <w:sz w:val="19"/>
                <w:szCs w:val="19"/>
              </w:rPr>
              <w:t>Longitude</w:t>
            </w:r>
          </w:p>
        </w:tc>
      </w:tr>
      <w:tr w:rsidR="008C4E6E" w14:paraId="4B36F73A" w14:textId="77777777">
        <w:tblPrEx>
          <w:tblCellMar>
            <w:top w:w="0" w:type="dxa"/>
            <w:bottom w:w="0" w:type="dxa"/>
          </w:tblCellMar>
        </w:tblPrEx>
        <w:tc>
          <w:tcPr>
            <w:tcW w:w="3116" w:type="dxa"/>
            <w:tcMar>
              <w:top w:w="60" w:type="dxa"/>
              <w:left w:w="100" w:type="dxa"/>
              <w:bottom w:w="60" w:type="dxa"/>
              <w:right w:w="100" w:type="dxa"/>
            </w:tcMar>
          </w:tcPr>
          <w:p w14:paraId="62B2972A" w14:textId="77777777" w:rsidR="008C4E6E" w:rsidRDefault="00000000">
            <w:pPr>
              <w:spacing w:before="20" w:after="20" w:line="290" w:lineRule="auto"/>
              <w:jc w:val="left"/>
            </w:pPr>
            <w:r>
              <w:rPr>
                <w:rFonts w:cs="Calibri"/>
                <w:sz w:val="19"/>
                <w:szCs w:val="19"/>
              </w:rPr>
              <w:t>N-1</w:t>
            </w:r>
          </w:p>
        </w:tc>
        <w:tc>
          <w:tcPr>
            <w:tcW w:w="3116" w:type="dxa"/>
            <w:tcMar>
              <w:top w:w="60" w:type="dxa"/>
              <w:left w:w="100" w:type="dxa"/>
              <w:bottom w:w="60" w:type="dxa"/>
              <w:right w:w="100" w:type="dxa"/>
            </w:tcMar>
          </w:tcPr>
          <w:p w14:paraId="785E0723" w14:textId="77777777" w:rsidR="008C4E6E" w:rsidRDefault="00000000">
            <w:pPr>
              <w:spacing w:before="20" w:after="20" w:line="290" w:lineRule="auto"/>
              <w:jc w:val="left"/>
            </w:pPr>
            <w:r>
              <w:rPr>
                <w:rFonts w:cs="Calibri"/>
                <w:sz w:val="19"/>
                <w:szCs w:val="19"/>
              </w:rPr>
              <w:t>26 degrees 44.0 minutes N</w:t>
            </w:r>
          </w:p>
        </w:tc>
        <w:tc>
          <w:tcPr>
            <w:tcW w:w="3118" w:type="dxa"/>
            <w:tcMar>
              <w:top w:w="60" w:type="dxa"/>
              <w:left w:w="100" w:type="dxa"/>
              <w:bottom w:w="60" w:type="dxa"/>
              <w:right w:w="100" w:type="dxa"/>
            </w:tcMar>
          </w:tcPr>
          <w:p w14:paraId="4A44C499" w14:textId="77777777" w:rsidR="008C4E6E" w:rsidRDefault="00000000">
            <w:pPr>
              <w:spacing w:before="20" w:after="20" w:line="290" w:lineRule="auto"/>
              <w:jc w:val="left"/>
            </w:pPr>
            <w:r>
              <w:rPr>
                <w:rFonts w:cs="Calibri"/>
                <w:sz w:val="19"/>
                <w:szCs w:val="19"/>
              </w:rPr>
              <w:t>056 degrees 58.0 minutes E</w:t>
            </w:r>
          </w:p>
        </w:tc>
      </w:tr>
      <w:tr w:rsidR="008C4E6E" w14:paraId="77B0E934" w14:textId="77777777">
        <w:tblPrEx>
          <w:tblCellMar>
            <w:top w:w="0" w:type="dxa"/>
            <w:bottom w:w="0" w:type="dxa"/>
          </w:tblCellMar>
        </w:tblPrEx>
        <w:tc>
          <w:tcPr>
            <w:tcW w:w="3116" w:type="dxa"/>
            <w:tcMar>
              <w:top w:w="60" w:type="dxa"/>
              <w:left w:w="100" w:type="dxa"/>
              <w:bottom w:w="60" w:type="dxa"/>
              <w:right w:w="100" w:type="dxa"/>
            </w:tcMar>
          </w:tcPr>
          <w:p w14:paraId="16B73727" w14:textId="77777777" w:rsidR="008C4E6E" w:rsidRDefault="00000000">
            <w:pPr>
              <w:spacing w:before="20" w:after="20" w:line="290" w:lineRule="auto"/>
              <w:jc w:val="left"/>
            </w:pPr>
            <w:r>
              <w:rPr>
                <w:rFonts w:cs="Calibri"/>
                <w:sz w:val="19"/>
                <w:szCs w:val="19"/>
              </w:rPr>
              <w:lastRenderedPageBreak/>
              <w:t>N-2</w:t>
            </w:r>
          </w:p>
        </w:tc>
        <w:tc>
          <w:tcPr>
            <w:tcW w:w="3116" w:type="dxa"/>
            <w:tcMar>
              <w:top w:w="60" w:type="dxa"/>
              <w:left w:w="100" w:type="dxa"/>
              <w:bottom w:w="60" w:type="dxa"/>
              <w:right w:w="100" w:type="dxa"/>
            </w:tcMar>
          </w:tcPr>
          <w:p w14:paraId="0DCB86CC" w14:textId="77777777" w:rsidR="008C4E6E" w:rsidRDefault="00000000">
            <w:pPr>
              <w:spacing w:before="20" w:after="20" w:line="290" w:lineRule="auto"/>
              <w:jc w:val="left"/>
            </w:pPr>
            <w:r>
              <w:rPr>
                <w:rFonts w:cs="Calibri"/>
                <w:sz w:val="19"/>
                <w:szCs w:val="19"/>
              </w:rPr>
              <w:t>26 degrees 42.0 minutes N</w:t>
            </w:r>
          </w:p>
        </w:tc>
        <w:tc>
          <w:tcPr>
            <w:tcW w:w="3118" w:type="dxa"/>
            <w:tcMar>
              <w:top w:w="60" w:type="dxa"/>
              <w:left w:w="100" w:type="dxa"/>
              <w:bottom w:w="60" w:type="dxa"/>
              <w:right w:w="100" w:type="dxa"/>
            </w:tcMar>
          </w:tcPr>
          <w:p w14:paraId="53FEF95B" w14:textId="77777777" w:rsidR="008C4E6E" w:rsidRDefault="00000000">
            <w:pPr>
              <w:spacing w:before="20" w:after="20" w:line="290" w:lineRule="auto"/>
              <w:jc w:val="left"/>
            </w:pPr>
            <w:r>
              <w:rPr>
                <w:rFonts w:cs="Calibri"/>
                <w:sz w:val="19"/>
                <w:szCs w:val="19"/>
              </w:rPr>
              <w:t>056 degrees 44.0 minutes E</w:t>
            </w:r>
          </w:p>
        </w:tc>
      </w:tr>
      <w:tr w:rsidR="008C4E6E" w14:paraId="2488929A" w14:textId="77777777">
        <w:tblPrEx>
          <w:tblCellMar>
            <w:top w:w="0" w:type="dxa"/>
            <w:bottom w:w="0" w:type="dxa"/>
          </w:tblCellMar>
        </w:tblPrEx>
        <w:tc>
          <w:tcPr>
            <w:tcW w:w="3116" w:type="dxa"/>
            <w:tcMar>
              <w:top w:w="60" w:type="dxa"/>
              <w:left w:w="100" w:type="dxa"/>
              <w:bottom w:w="60" w:type="dxa"/>
              <w:right w:w="100" w:type="dxa"/>
            </w:tcMar>
          </w:tcPr>
          <w:p w14:paraId="58EF653A" w14:textId="77777777" w:rsidR="008C4E6E" w:rsidRDefault="00000000">
            <w:pPr>
              <w:spacing w:before="20" w:after="20" w:line="290" w:lineRule="auto"/>
              <w:jc w:val="left"/>
            </w:pPr>
            <w:r>
              <w:rPr>
                <w:rFonts w:cs="Calibri"/>
                <w:sz w:val="19"/>
                <w:szCs w:val="19"/>
              </w:rPr>
              <w:t>N-3</w:t>
            </w:r>
          </w:p>
        </w:tc>
        <w:tc>
          <w:tcPr>
            <w:tcW w:w="3116" w:type="dxa"/>
            <w:tcMar>
              <w:top w:w="60" w:type="dxa"/>
              <w:left w:w="100" w:type="dxa"/>
              <w:bottom w:w="60" w:type="dxa"/>
              <w:right w:w="100" w:type="dxa"/>
            </w:tcMar>
          </w:tcPr>
          <w:p w14:paraId="730B4D4A" w14:textId="77777777" w:rsidR="008C4E6E" w:rsidRDefault="00000000">
            <w:pPr>
              <w:spacing w:before="20" w:after="20" w:line="290" w:lineRule="auto"/>
              <w:jc w:val="left"/>
            </w:pPr>
            <w:r>
              <w:rPr>
                <w:rFonts w:cs="Calibri"/>
                <w:sz w:val="19"/>
                <w:szCs w:val="19"/>
              </w:rPr>
              <w:t>26 degrees 40.0 minutes N</w:t>
            </w:r>
          </w:p>
        </w:tc>
        <w:tc>
          <w:tcPr>
            <w:tcW w:w="3118" w:type="dxa"/>
            <w:tcMar>
              <w:top w:w="60" w:type="dxa"/>
              <w:left w:w="100" w:type="dxa"/>
              <w:bottom w:w="60" w:type="dxa"/>
              <w:right w:w="100" w:type="dxa"/>
            </w:tcMar>
          </w:tcPr>
          <w:p w14:paraId="13A10D51" w14:textId="77777777" w:rsidR="008C4E6E" w:rsidRDefault="00000000">
            <w:pPr>
              <w:spacing w:before="20" w:after="20" w:line="290" w:lineRule="auto"/>
              <w:jc w:val="left"/>
            </w:pPr>
            <w:r>
              <w:rPr>
                <w:rFonts w:cs="Calibri"/>
                <w:sz w:val="19"/>
                <w:szCs w:val="19"/>
              </w:rPr>
              <w:t>056 degrees 28.0 minutes E</w:t>
            </w:r>
          </w:p>
        </w:tc>
      </w:tr>
      <w:tr w:rsidR="008C4E6E" w14:paraId="6CB60492" w14:textId="77777777">
        <w:tblPrEx>
          <w:tblCellMar>
            <w:top w:w="0" w:type="dxa"/>
            <w:bottom w:w="0" w:type="dxa"/>
          </w:tblCellMar>
        </w:tblPrEx>
        <w:tc>
          <w:tcPr>
            <w:tcW w:w="3116" w:type="dxa"/>
            <w:tcMar>
              <w:top w:w="60" w:type="dxa"/>
              <w:left w:w="100" w:type="dxa"/>
              <w:bottom w:w="60" w:type="dxa"/>
              <w:right w:w="100" w:type="dxa"/>
            </w:tcMar>
          </w:tcPr>
          <w:p w14:paraId="266CDDF0" w14:textId="77777777" w:rsidR="008C4E6E" w:rsidRDefault="00000000">
            <w:pPr>
              <w:spacing w:before="20" w:after="20" w:line="290" w:lineRule="auto"/>
              <w:jc w:val="left"/>
            </w:pPr>
            <w:r>
              <w:rPr>
                <w:rFonts w:cs="Calibri"/>
                <w:sz w:val="19"/>
                <w:szCs w:val="19"/>
              </w:rPr>
              <w:t>N-4</w:t>
            </w:r>
          </w:p>
        </w:tc>
        <w:tc>
          <w:tcPr>
            <w:tcW w:w="3116" w:type="dxa"/>
            <w:tcMar>
              <w:top w:w="60" w:type="dxa"/>
              <w:left w:w="100" w:type="dxa"/>
              <w:bottom w:w="60" w:type="dxa"/>
              <w:right w:w="100" w:type="dxa"/>
            </w:tcMar>
          </w:tcPr>
          <w:p w14:paraId="398AF84F" w14:textId="77777777" w:rsidR="008C4E6E" w:rsidRDefault="00000000">
            <w:pPr>
              <w:spacing w:before="20" w:after="20" w:line="290" w:lineRule="auto"/>
              <w:jc w:val="left"/>
            </w:pPr>
            <w:r>
              <w:rPr>
                <w:rFonts w:cs="Calibri"/>
                <w:sz w:val="19"/>
                <w:szCs w:val="19"/>
              </w:rPr>
              <w:t>26 degrees 40.0 minutes N</w:t>
            </w:r>
          </w:p>
        </w:tc>
        <w:tc>
          <w:tcPr>
            <w:tcW w:w="3118" w:type="dxa"/>
            <w:tcMar>
              <w:top w:w="60" w:type="dxa"/>
              <w:left w:w="100" w:type="dxa"/>
              <w:bottom w:w="60" w:type="dxa"/>
              <w:right w:w="100" w:type="dxa"/>
            </w:tcMar>
          </w:tcPr>
          <w:p w14:paraId="2364CA6A" w14:textId="77777777" w:rsidR="008C4E6E" w:rsidRDefault="00000000">
            <w:pPr>
              <w:spacing w:before="20" w:after="20" w:line="290" w:lineRule="auto"/>
              <w:jc w:val="left"/>
            </w:pPr>
            <w:r>
              <w:rPr>
                <w:rFonts w:cs="Calibri"/>
                <w:sz w:val="19"/>
                <w:szCs w:val="19"/>
              </w:rPr>
              <w:t>056 degrees 10.0 minutes E</w:t>
            </w:r>
          </w:p>
        </w:tc>
      </w:tr>
      <w:tr w:rsidR="008C4E6E" w14:paraId="6B445134" w14:textId="77777777">
        <w:tblPrEx>
          <w:tblCellMar>
            <w:top w:w="0" w:type="dxa"/>
            <w:bottom w:w="0" w:type="dxa"/>
          </w:tblCellMar>
        </w:tblPrEx>
        <w:tc>
          <w:tcPr>
            <w:tcW w:w="3116" w:type="dxa"/>
            <w:tcMar>
              <w:top w:w="60" w:type="dxa"/>
              <w:left w:w="100" w:type="dxa"/>
              <w:bottom w:w="60" w:type="dxa"/>
              <w:right w:w="100" w:type="dxa"/>
            </w:tcMar>
          </w:tcPr>
          <w:p w14:paraId="1DDA3A7F" w14:textId="77777777" w:rsidR="008C4E6E" w:rsidRDefault="00000000">
            <w:pPr>
              <w:spacing w:before="20" w:after="20" w:line="290" w:lineRule="auto"/>
              <w:jc w:val="left"/>
            </w:pPr>
            <w:r>
              <w:rPr>
                <w:rFonts w:cs="Calibri"/>
                <w:sz w:val="19"/>
                <w:szCs w:val="19"/>
              </w:rPr>
              <w:t>N-5</w:t>
            </w:r>
          </w:p>
        </w:tc>
        <w:tc>
          <w:tcPr>
            <w:tcW w:w="3116" w:type="dxa"/>
            <w:tcMar>
              <w:top w:w="60" w:type="dxa"/>
              <w:left w:w="100" w:type="dxa"/>
              <w:bottom w:w="60" w:type="dxa"/>
              <w:right w:w="100" w:type="dxa"/>
            </w:tcMar>
          </w:tcPr>
          <w:p w14:paraId="5802CB83" w14:textId="77777777" w:rsidR="008C4E6E" w:rsidRDefault="00000000">
            <w:pPr>
              <w:spacing w:before="20" w:after="20" w:line="290" w:lineRule="auto"/>
              <w:jc w:val="left"/>
            </w:pPr>
            <w:r>
              <w:rPr>
                <w:rFonts w:cs="Calibri"/>
                <w:sz w:val="19"/>
                <w:szCs w:val="19"/>
              </w:rPr>
              <w:t>26 degrees 42.0 minutes N</w:t>
            </w:r>
          </w:p>
        </w:tc>
        <w:tc>
          <w:tcPr>
            <w:tcW w:w="3118" w:type="dxa"/>
            <w:tcMar>
              <w:top w:w="60" w:type="dxa"/>
              <w:left w:w="100" w:type="dxa"/>
              <w:bottom w:w="60" w:type="dxa"/>
              <w:right w:w="100" w:type="dxa"/>
            </w:tcMar>
          </w:tcPr>
          <w:p w14:paraId="7E465553" w14:textId="77777777" w:rsidR="008C4E6E" w:rsidRDefault="00000000">
            <w:pPr>
              <w:spacing w:before="20" w:after="20" w:line="290" w:lineRule="auto"/>
              <w:jc w:val="left"/>
            </w:pPr>
            <w:r>
              <w:rPr>
                <w:rFonts w:cs="Calibri"/>
                <w:sz w:val="19"/>
                <w:szCs w:val="19"/>
              </w:rPr>
              <w:t>055 degrees 52.0 minutes E</w:t>
            </w:r>
          </w:p>
        </w:tc>
      </w:tr>
      <w:tr w:rsidR="008C4E6E" w14:paraId="75076258" w14:textId="77777777">
        <w:tblPrEx>
          <w:tblCellMar>
            <w:top w:w="0" w:type="dxa"/>
            <w:bottom w:w="0" w:type="dxa"/>
          </w:tblCellMar>
        </w:tblPrEx>
        <w:tc>
          <w:tcPr>
            <w:tcW w:w="3116" w:type="dxa"/>
            <w:tcMar>
              <w:top w:w="60" w:type="dxa"/>
              <w:left w:w="100" w:type="dxa"/>
              <w:bottom w:w="60" w:type="dxa"/>
              <w:right w:w="100" w:type="dxa"/>
            </w:tcMar>
          </w:tcPr>
          <w:p w14:paraId="36EC2211" w14:textId="77777777" w:rsidR="008C4E6E" w:rsidRDefault="00000000">
            <w:pPr>
              <w:spacing w:before="20" w:after="20" w:line="290" w:lineRule="auto"/>
              <w:jc w:val="left"/>
            </w:pPr>
            <w:r>
              <w:rPr>
                <w:rFonts w:cs="Calibri"/>
                <w:sz w:val="19"/>
                <w:szCs w:val="19"/>
              </w:rPr>
              <w:t>N-6</w:t>
            </w:r>
          </w:p>
        </w:tc>
        <w:tc>
          <w:tcPr>
            <w:tcW w:w="3116" w:type="dxa"/>
            <w:tcMar>
              <w:top w:w="60" w:type="dxa"/>
              <w:left w:w="100" w:type="dxa"/>
              <w:bottom w:w="60" w:type="dxa"/>
              <w:right w:w="100" w:type="dxa"/>
            </w:tcMar>
          </w:tcPr>
          <w:p w14:paraId="1BE3A87D" w14:textId="77777777" w:rsidR="008C4E6E" w:rsidRDefault="00000000">
            <w:pPr>
              <w:spacing w:before="20" w:after="20" w:line="290" w:lineRule="auto"/>
              <w:jc w:val="left"/>
            </w:pPr>
            <w:r>
              <w:rPr>
                <w:rFonts w:cs="Calibri"/>
                <w:sz w:val="19"/>
                <w:szCs w:val="19"/>
              </w:rPr>
              <w:t>26 degrees 44.0 minutes N</w:t>
            </w:r>
          </w:p>
        </w:tc>
        <w:tc>
          <w:tcPr>
            <w:tcW w:w="3118" w:type="dxa"/>
            <w:tcMar>
              <w:top w:w="60" w:type="dxa"/>
              <w:left w:w="100" w:type="dxa"/>
              <w:bottom w:w="60" w:type="dxa"/>
              <w:right w:w="100" w:type="dxa"/>
            </w:tcMar>
          </w:tcPr>
          <w:p w14:paraId="07C393BD" w14:textId="77777777" w:rsidR="008C4E6E" w:rsidRDefault="00000000">
            <w:pPr>
              <w:spacing w:before="20" w:after="20" w:line="290" w:lineRule="auto"/>
              <w:jc w:val="left"/>
            </w:pPr>
            <w:r>
              <w:rPr>
                <w:rFonts w:cs="Calibri"/>
                <w:sz w:val="19"/>
                <w:szCs w:val="19"/>
              </w:rPr>
              <w:t>055 degrees 34.0 minutes E</w:t>
            </w:r>
          </w:p>
        </w:tc>
      </w:tr>
    </w:tbl>
    <w:p w14:paraId="3754BC03" w14:textId="77777777" w:rsidR="008C4E6E" w:rsidRDefault="008C4E6E">
      <w:pPr>
        <w:spacing w:after="80"/>
      </w:pPr>
    </w:p>
    <w:p w14:paraId="48BD8440" w14:textId="77777777" w:rsidR="008C4E6E" w:rsidRDefault="00000000">
      <w:pPr>
        <w:spacing w:before="40" w:after="200"/>
        <w:jc w:val="left"/>
      </w:pPr>
      <w:r>
        <w:rPr>
          <w:rFonts w:cs="Calibri"/>
          <w:i/>
          <w:color w:val="6E8A96"/>
          <w:sz w:val="19"/>
          <w:szCs w:val="19"/>
        </w:rPr>
        <w:t>Corridor Two centerline. Corridor width three nautical miles.</w:t>
      </w:r>
    </w:p>
    <w:p w14:paraId="298757D4" w14:textId="77777777" w:rsidR="008C4E6E" w:rsidRDefault="00000000">
      <w:pPr>
        <w:pStyle w:val="Heading2"/>
      </w:pPr>
      <w:bookmarkStart w:id="81" w:name="_Toc237650637"/>
      <w:r>
        <w:rPr>
          <w:rFonts w:cs="Calibri Light"/>
          <w:szCs w:val="28"/>
        </w:rPr>
        <w:t>A.4 Corridor Three: Central Assurance Lane (two-way, after certification)</w:t>
      </w:r>
      <w:bookmarkEnd w:id="81"/>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42B52F2A"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48412BEB" w14:textId="77777777" w:rsidR="008C4E6E" w:rsidRDefault="00000000">
            <w:pPr>
              <w:spacing w:before="20" w:after="20" w:line="290" w:lineRule="auto"/>
              <w:jc w:val="left"/>
            </w:pPr>
            <w:r>
              <w:rPr>
                <w:rFonts w:cs="Calibri"/>
                <w:b/>
                <w:color w:val="1F4E5F"/>
                <w:sz w:val="19"/>
                <w:szCs w:val="19"/>
              </w:rPr>
              <w:t>Waypoint</w:t>
            </w:r>
          </w:p>
        </w:tc>
        <w:tc>
          <w:tcPr>
            <w:tcW w:w="3116" w:type="dxa"/>
            <w:shd w:val="clear" w:color="auto" w:fill="E4EEF1"/>
            <w:tcMar>
              <w:top w:w="60" w:type="dxa"/>
              <w:left w:w="100" w:type="dxa"/>
              <w:bottom w:w="60" w:type="dxa"/>
              <w:right w:w="100" w:type="dxa"/>
            </w:tcMar>
          </w:tcPr>
          <w:p w14:paraId="073EB04A" w14:textId="77777777" w:rsidR="008C4E6E" w:rsidRDefault="00000000">
            <w:pPr>
              <w:spacing w:before="20" w:after="20" w:line="290" w:lineRule="auto"/>
              <w:jc w:val="left"/>
            </w:pPr>
            <w:r>
              <w:rPr>
                <w:rFonts w:cs="Calibri"/>
                <w:b/>
                <w:color w:val="1F4E5F"/>
                <w:sz w:val="19"/>
                <w:szCs w:val="19"/>
              </w:rPr>
              <w:t>Latitude</w:t>
            </w:r>
          </w:p>
        </w:tc>
        <w:tc>
          <w:tcPr>
            <w:tcW w:w="3118" w:type="dxa"/>
            <w:shd w:val="clear" w:color="auto" w:fill="E4EEF1"/>
            <w:tcMar>
              <w:top w:w="60" w:type="dxa"/>
              <w:left w:w="100" w:type="dxa"/>
              <w:bottom w:w="60" w:type="dxa"/>
              <w:right w:w="100" w:type="dxa"/>
            </w:tcMar>
          </w:tcPr>
          <w:p w14:paraId="0AFDB92A" w14:textId="77777777" w:rsidR="008C4E6E" w:rsidRDefault="00000000">
            <w:pPr>
              <w:spacing w:before="20" w:after="20" w:line="290" w:lineRule="auto"/>
              <w:jc w:val="left"/>
            </w:pPr>
            <w:r>
              <w:rPr>
                <w:rFonts w:cs="Calibri"/>
                <w:b/>
                <w:color w:val="1F4E5F"/>
                <w:sz w:val="19"/>
                <w:szCs w:val="19"/>
              </w:rPr>
              <w:t>Longitude</w:t>
            </w:r>
          </w:p>
        </w:tc>
      </w:tr>
      <w:tr w:rsidR="008C4E6E" w14:paraId="5F40DDBF" w14:textId="77777777">
        <w:tblPrEx>
          <w:tblCellMar>
            <w:top w:w="0" w:type="dxa"/>
            <w:bottom w:w="0" w:type="dxa"/>
          </w:tblCellMar>
        </w:tblPrEx>
        <w:tc>
          <w:tcPr>
            <w:tcW w:w="3116" w:type="dxa"/>
            <w:tcMar>
              <w:top w:w="60" w:type="dxa"/>
              <w:left w:w="100" w:type="dxa"/>
              <w:bottom w:w="60" w:type="dxa"/>
              <w:right w:w="100" w:type="dxa"/>
            </w:tcMar>
          </w:tcPr>
          <w:p w14:paraId="3BDF2CDC" w14:textId="77777777" w:rsidR="008C4E6E" w:rsidRDefault="00000000">
            <w:pPr>
              <w:spacing w:before="20" w:after="20" w:line="290" w:lineRule="auto"/>
              <w:jc w:val="left"/>
            </w:pPr>
            <w:r>
              <w:rPr>
                <w:rFonts w:cs="Calibri"/>
                <w:sz w:val="19"/>
                <w:szCs w:val="19"/>
              </w:rPr>
              <w:t>C-1</w:t>
            </w:r>
          </w:p>
        </w:tc>
        <w:tc>
          <w:tcPr>
            <w:tcW w:w="3116" w:type="dxa"/>
            <w:tcMar>
              <w:top w:w="60" w:type="dxa"/>
              <w:left w:w="100" w:type="dxa"/>
              <w:bottom w:w="60" w:type="dxa"/>
              <w:right w:w="100" w:type="dxa"/>
            </w:tcMar>
          </w:tcPr>
          <w:p w14:paraId="7BC8BC26" w14:textId="77777777" w:rsidR="008C4E6E" w:rsidRDefault="00000000">
            <w:pPr>
              <w:spacing w:before="20" w:after="20" w:line="290" w:lineRule="auto"/>
              <w:jc w:val="left"/>
            </w:pPr>
            <w:r>
              <w:rPr>
                <w:rFonts w:cs="Calibri"/>
                <w:sz w:val="19"/>
                <w:szCs w:val="19"/>
              </w:rPr>
              <w:t>26 degrees 36.0 minutes N</w:t>
            </w:r>
          </w:p>
        </w:tc>
        <w:tc>
          <w:tcPr>
            <w:tcW w:w="3118" w:type="dxa"/>
            <w:tcMar>
              <w:top w:w="60" w:type="dxa"/>
              <w:left w:w="100" w:type="dxa"/>
              <w:bottom w:w="60" w:type="dxa"/>
              <w:right w:w="100" w:type="dxa"/>
            </w:tcMar>
          </w:tcPr>
          <w:p w14:paraId="5EE701E7" w14:textId="77777777" w:rsidR="008C4E6E" w:rsidRDefault="00000000">
            <w:pPr>
              <w:spacing w:before="20" w:after="20" w:line="290" w:lineRule="auto"/>
              <w:jc w:val="left"/>
            </w:pPr>
            <w:r>
              <w:rPr>
                <w:rFonts w:cs="Calibri"/>
                <w:sz w:val="19"/>
                <w:szCs w:val="19"/>
              </w:rPr>
              <w:t>055 degrees 34.0 minutes E</w:t>
            </w:r>
          </w:p>
        </w:tc>
      </w:tr>
      <w:tr w:rsidR="008C4E6E" w14:paraId="3E81035C" w14:textId="77777777">
        <w:tblPrEx>
          <w:tblCellMar>
            <w:top w:w="0" w:type="dxa"/>
            <w:bottom w:w="0" w:type="dxa"/>
          </w:tblCellMar>
        </w:tblPrEx>
        <w:tc>
          <w:tcPr>
            <w:tcW w:w="3116" w:type="dxa"/>
            <w:tcMar>
              <w:top w:w="60" w:type="dxa"/>
              <w:left w:w="100" w:type="dxa"/>
              <w:bottom w:w="60" w:type="dxa"/>
              <w:right w:w="100" w:type="dxa"/>
            </w:tcMar>
          </w:tcPr>
          <w:p w14:paraId="5687D8A1" w14:textId="77777777" w:rsidR="008C4E6E" w:rsidRDefault="00000000">
            <w:pPr>
              <w:spacing w:before="20" w:after="20" w:line="290" w:lineRule="auto"/>
              <w:jc w:val="left"/>
            </w:pPr>
            <w:r>
              <w:rPr>
                <w:rFonts w:cs="Calibri"/>
                <w:sz w:val="19"/>
                <w:szCs w:val="19"/>
              </w:rPr>
              <w:t>C-2</w:t>
            </w:r>
          </w:p>
        </w:tc>
        <w:tc>
          <w:tcPr>
            <w:tcW w:w="3116" w:type="dxa"/>
            <w:tcMar>
              <w:top w:w="60" w:type="dxa"/>
              <w:left w:w="100" w:type="dxa"/>
              <w:bottom w:w="60" w:type="dxa"/>
              <w:right w:w="100" w:type="dxa"/>
            </w:tcMar>
          </w:tcPr>
          <w:p w14:paraId="348E7613" w14:textId="77777777" w:rsidR="008C4E6E" w:rsidRDefault="00000000">
            <w:pPr>
              <w:spacing w:before="20" w:after="20" w:line="290" w:lineRule="auto"/>
              <w:jc w:val="left"/>
            </w:pPr>
            <w:r>
              <w:rPr>
                <w:rFonts w:cs="Calibri"/>
                <w:sz w:val="19"/>
                <w:szCs w:val="19"/>
              </w:rPr>
              <w:t>26 degrees 34.0 minutes N</w:t>
            </w:r>
          </w:p>
        </w:tc>
        <w:tc>
          <w:tcPr>
            <w:tcW w:w="3118" w:type="dxa"/>
            <w:tcMar>
              <w:top w:w="60" w:type="dxa"/>
              <w:left w:w="100" w:type="dxa"/>
              <w:bottom w:w="60" w:type="dxa"/>
              <w:right w:w="100" w:type="dxa"/>
            </w:tcMar>
          </w:tcPr>
          <w:p w14:paraId="58548BB8" w14:textId="77777777" w:rsidR="008C4E6E" w:rsidRDefault="00000000">
            <w:pPr>
              <w:spacing w:before="20" w:after="20" w:line="290" w:lineRule="auto"/>
              <w:jc w:val="left"/>
            </w:pPr>
            <w:r>
              <w:rPr>
                <w:rFonts w:cs="Calibri"/>
                <w:sz w:val="19"/>
                <w:szCs w:val="19"/>
              </w:rPr>
              <w:t>055 degrees 54.0 minutes E</w:t>
            </w:r>
          </w:p>
        </w:tc>
      </w:tr>
      <w:tr w:rsidR="008C4E6E" w14:paraId="6A54DA1D" w14:textId="77777777">
        <w:tblPrEx>
          <w:tblCellMar>
            <w:top w:w="0" w:type="dxa"/>
            <w:bottom w:w="0" w:type="dxa"/>
          </w:tblCellMar>
        </w:tblPrEx>
        <w:tc>
          <w:tcPr>
            <w:tcW w:w="3116" w:type="dxa"/>
            <w:tcMar>
              <w:top w:w="60" w:type="dxa"/>
              <w:left w:w="100" w:type="dxa"/>
              <w:bottom w:w="60" w:type="dxa"/>
              <w:right w:w="100" w:type="dxa"/>
            </w:tcMar>
          </w:tcPr>
          <w:p w14:paraId="766AC160" w14:textId="77777777" w:rsidR="008C4E6E" w:rsidRDefault="00000000">
            <w:pPr>
              <w:spacing w:before="20" w:after="20" w:line="290" w:lineRule="auto"/>
              <w:jc w:val="left"/>
            </w:pPr>
            <w:r>
              <w:rPr>
                <w:rFonts w:cs="Calibri"/>
                <w:sz w:val="19"/>
                <w:szCs w:val="19"/>
              </w:rPr>
              <w:t>C-3</w:t>
            </w:r>
          </w:p>
        </w:tc>
        <w:tc>
          <w:tcPr>
            <w:tcW w:w="3116" w:type="dxa"/>
            <w:tcMar>
              <w:top w:w="60" w:type="dxa"/>
              <w:left w:w="100" w:type="dxa"/>
              <w:bottom w:w="60" w:type="dxa"/>
              <w:right w:w="100" w:type="dxa"/>
            </w:tcMar>
          </w:tcPr>
          <w:p w14:paraId="788981B9" w14:textId="77777777" w:rsidR="008C4E6E" w:rsidRDefault="00000000">
            <w:pPr>
              <w:spacing w:before="20" w:after="20" w:line="290" w:lineRule="auto"/>
              <w:jc w:val="left"/>
            </w:pPr>
            <w:r>
              <w:rPr>
                <w:rFonts w:cs="Calibri"/>
                <w:sz w:val="19"/>
                <w:szCs w:val="19"/>
              </w:rPr>
              <w:t>26 degrees 31.0 minutes N</w:t>
            </w:r>
          </w:p>
        </w:tc>
        <w:tc>
          <w:tcPr>
            <w:tcW w:w="3118" w:type="dxa"/>
            <w:tcMar>
              <w:top w:w="60" w:type="dxa"/>
              <w:left w:w="100" w:type="dxa"/>
              <w:bottom w:w="60" w:type="dxa"/>
              <w:right w:w="100" w:type="dxa"/>
            </w:tcMar>
          </w:tcPr>
          <w:p w14:paraId="4E428E2B" w14:textId="77777777" w:rsidR="008C4E6E" w:rsidRDefault="00000000">
            <w:pPr>
              <w:spacing w:before="20" w:after="20" w:line="290" w:lineRule="auto"/>
              <w:jc w:val="left"/>
            </w:pPr>
            <w:r>
              <w:rPr>
                <w:rFonts w:cs="Calibri"/>
                <w:sz w:val="19"/>
                <w:szCs w:val="19"/>
              </w:rPr>
              <w:t>056 degrees 14.0 minutes E</w:t>
            </w:r>
          </w:p>
        </w:tc>
      </w:tr>
      <w:tr w:rsidR="008C4E6E" w14:paraId="068467E0" w14:textId="77777777">
        <w:tblPrEx>
          <w:tblCellMar>
            <w:top w:w="0" w:type="dxa"/>
            <w:bottom w:w="0" w:type="dxa"/>
          </w:tblCellMar>
        </w:tblPrEx>
        <w:tc>
          <w:tcPr>
            <w:tcW w:w="3116" w:type="dxa"/>
            <w:tcMar>
              <w:top w:w="60" w:type="dxa"/>
              <w:left w:w="100" w:type="dxa"/>
              <w:bottom w:w="60" w:type="dxa"/>
              <w:right w:w="100" w:type="dxa"/>
            </w:tcMar>
          </w:tcPr>
          <w:p w14:paraId="54408A36" w14:textId="77777777" w:rsidR="008C4E6E" w:rsidRDefault="00000000">
            <w:pPr>
              <w:spacing w:before="20" w:after="20" w:line="290" w:lineRule="auto"/>
              <w:jc w:val="left"/>
            </w:pPr>
            <w:r>
              <w:rPr>
                <w:rFonts w:cs="Calibri"/>
                <w:sz w:val="19"/>
                <w:szCs w:val="19"/>
              </w:rPr>
              <w:t>C-4</w:t>
            </w:r>
          </w:p>
        </w:tc>
        <w:tc>
          <w:tcPr>
            <w:tcW w:w="3116" w:type="dxa"/>
            <w:tcMar>
              <w:top w:w="60" w:type="dxa"/>
              <w:left w:w="100" w:type="dxa"/>
              <w:bottom w:w="60" w:type="dxa"/>
              <w:right w:w="100" w:type="dxa"/>
            </w:tcMar>
          </w:tcPr>
          <w:p w14:paraId="4B03273D" w14:textId="77777777" w:rsidR="008C4E6E" w:rsidRDefault="00000000">
            <w:pPr>
              <w:spacing w:before="20" w:after="20" w:line="290" w:lineRule="auto"/>
              <w:jc w:val="left"/>
            </w:pPr>
            <w:r>
              <w:rPr>
                <w:rFonts w:cs="Calibri"/>
                <w:sz w:val="19"/>
                <w:szCs w:val="19"/>
              </w:rPr>
              <w:t>26 degrees 27.0 minutes N</w:t>
            </w:r>
          </w:p>
        </w:tc>
        <w:tc>
          <w:tcPr>
            <w:tcW w:w="3118" w:type="dxa"/>
            <w:tcMar>
              <w:top w:w="60" w:type="dxa"/>
              <w:left w:w="100" w:type="dxa"/>
              <w:bottom w:w="60" w:type="dxa"/>
              <w:right w:w="100" w:type="dxa"/>
            </w:tcMar>
          </w:tcPr>
          <w:p w14:paraId="53051F08" w14:textId="77777777" w:rsidR="008C4E6E" w:rsidRDefault="00000000">
            <w:pPr>
              <w:spacing w:before="20" w:after="20" w:line="290" w:lineRule="auto"/>
              <w:jc w:val="left"/>
            </w:pPr>
            <w:r>
              <w:rPr>
                <w:rFonts w:cs="Calibri"/>
                <w:sz w:val="19"/>
                <w:szCs w:val="19"/>
              </w:rPr>
              <w:t>056 degrees 34.0 minutes E</w:t>
            </w:r>
          </w:p>
        </w:tc>
      </w:tr>
      <w:tr w:rsidR="008C4E6E" w14:paraId="441E2773" w14:textId="77777777">
        <w:tblPrEx>
          <w:tblCellMar>
            <w:top w:w="0" w:type="dxa"/>
            <w:bottom w:w="0" w:type="dxa"/>
          </w:tblCellMar>
        </w:tblPrEx>
        <w:tc>
          <w:tcPr>
            <w:tcW w:w="3116" w:type="dxa"/>
            <w:tcMar>
              <w:top w:w="60" w:type="dxa"/>
              <w:left w:w="100" w:type="dxa"/>
              <w:bottom w:w="60" w:type="dxa"/>
              <w:right w:w="100" w:type="dxa"/>
            </w:tcMar>
          </w:tcPr>
          <w:p w14:paraId="2091BA6B" w14:textId="77777777" w:rsidR="008C4E6E" w:rsidRDefault="00000000">
            <w:pPr>
              <w:spacing w:before="20" w:after="20" w:line="290" w:lineRule="auto"/>
              <w:jc w:val="left"/>
            </w:pPr>
            <w:r>
              <w:rPr>
                <w:rFonts w:cs="Calibri"/>
                <w:sz w:val="19"/>
                <w:szCs w:val="19"/>
              </w:rPr>
              <w:t>C-5</w:t>
            </w:r>
          </w:p>
        </w:tc>
        <w:tc>
          <w:tcPr>
            <w:tcW w:w="3116" w:type="dxa"/>
            <w:tcMar>
              <w:top w:w="60" w:type="dxa"/>
              <w:left w:w="100" w:type="dxa"/>
              <w:bottom w:w="60" w:type="dxa"/>
              <w:right w:w="100" w:type="dxa"/>
            </w:tcMar>
          </w:tcPr>
          <w:p w14:paraId="11A95DA3" w14:textId="77777777" w:rsidR="008C4E6E" w:rsidRDefault="00000000">
            <w:pPr>
              <w:spacing w:before="20" w:after="20" w:line="290" w:lineRule="auto"/>
              <w:jc w:val="left"/>
            </w:pPr>
            <w:r>
              <w:rPr>
                <w:rFonts w:cs="Calibri"/>
                <w:sz w:val="19"/>
                <w:szCs w:val="19"/>
              </w:rPr>
              <w:t>26 degrees 22.0 minutes N</w:t>
            </w:r>
          </w:p>
        </w:tc>
        <w:tc>
          <w:tcPr>
            <w:tcW w:w="3118" w:type="dxa"/>
            <w:tcMar>
              <w:top w:w="60" w:type="dxa"/>
              <w:left w:w="100" w:type="dxa"/>
              <w:bottom w:w="60" w:type="dxa"/>
              <w:right w:w="100" w:type="dxa"/>
            </w:tcMar>
          </w:tcPr>
          <w:p w14:paraId="2979E3A0" w14:textId="77777777" w:rsidR="008C4E6E" w:rsidRDefault="00000000">
            <w:pPr>
              <w:spacing w:before="20" w:after="20" w:line="290" w:lineRule="auto"/>
              <w:jc w:val="left"/>
            </w:pPr>
            <w:r>
              <w:rPr>
                <w:rFonts w:cs="Calibri"/>
                <w:sz w:val="19"/>
                <w:szCs w:val="19"/>
              </w:rPr>
              <w:t>056 degrees 50.0 minutes E</w:t>
            </w:r>
          </w:p>
        </w:tc>
      </w:tr>
      <w:tr w:rsidR="008C4E6E" w14:paraId="29CA1E73" w14:textId="77777777">
        <w:tblPrEx>
          <w:tblCellMar>
            <w:top w:w="0" w:type="dxa"/>
            <w:bottom w:w="0" w:type="dxa"/>
          </w:tblCellMar>
        </w:tblPrEx>
        <w:tc>
          <w:tcPr>
            <w:tcW w:w="3116" w:type="dxa"/>
            <w:tcMar>
              <w:top w:w="60" w:type="dxa"/>
              <w:left w:w="100" w:type="dxa"/>
              <w:bottom w:w="60" w:type="dxa"/>
              <w:right w:w="100" w:type="dxa"/>
            </w:tcMar>
          </w:tcPr>
          <w:p w14:paraId="53DC34B4" w14:textId="77777777" w:rsidR="008C4E6E" w:rsidRDefault="00000000">
            <w:pPr>
              <w:spacing w:before="20" w:after="20" w:line="290" w:lineRule="auto"/>
              <w:jc w:val="left"/>
            </w:pPr>
            <w:r>
              <w:rPr>
                <w:rFonts w:cs="Calibri"/>
                <w:sz w:val="19"/>
                <w:szCs w:val="19"/>
              </w:rPr>
              <w:t>C-6</w:t>
            </w:r>
          </w:p>
        </w:tc>
        <w:tc>
          <w:tcPr>
            <w:tcW w:w="3116" w:type="dxa"/>
            <w:tcMar>
              <w:top w:w="60" w:type="dxa"/>
              <w:left w:w="100" w:type="dxa"/>
              <w:bottom w:w="60" w:type="dxa"/>
              <w:right w:w="100" w:type="dxa"/>
            </w:tcMar>
          </w:tcPr>
          <w:p w14:paraId="41DEB3A2" w14:textId="77777777" w:rsidR="008C4E6E" w:rsidRDefault="00000000">
            <w:pPr>
              <w:spacing w:before="20" w:after="20" w:line="290" w:lineRule="auto"/>
              <w:jc w:val="left"/>
            </w:pPr>
            <w:r>
              <w:rPr>
                <w:rFonts w:cs="Calibri"/>
                <w:sz w:val="19"/>
                <w:szCs w:val="19"/>
              </w:rPr>
              <w:t>26 degrees 18.0 minutes N</w:t>
            </w:r>
          </w:p>
        </w:tc>
        <w:tc>
          <w:tcPr>
            <w:tcW w:w="3118" w:type="dxa"/>
            <w:tcMar>
              <w:top w:w="60" w:type="dxa"/>
              <w:left w:w="100" w:type="dxa"/>
              <w:bottom w:w="60" w:type="dxa"/>
              <w:right w:w="100" w:type="dxa"/>
            </w:tcMar>
          </w:tcPr>
          <w:p w14:paraId="179E2A51" w14:textId="77777777" w:rsidR="008C4E6E" w:rsidRDefault="00000000">
            <w:pPr>
              <w:spacing w:before="20" w:after="20" w:line="290" w:lineRule="auto"/>
              <w:jc w:val="left"/>
            </w:pPr>
            <w:r>
              <w:rPr>
                <w:rFonts w:cs="Calibri"/>
                <w:sz w:val="19"/>
                <w:szCs w:val="19"/>
              </w:rPr>
              <w:t>056 degrees 58.0 minutes E</w:t>
            </w:r>
          </w:p>
        </w:tc>
      </w:tr>
    </w:tbl>
    <w:p w14:paraId="49FEDE05" w14:textId="77777777" w:rsidR="008C4E6E" w:rsidRDefault="008C4E6E">
      <w:pPr>
        <w:spacing w:after="80"/>
      </w:pPr>
    </w:p>
    <w:p w14:paraId="51984127" w14:textId="77777777" w:rsidR="008C4E6E" w:rsidRDefault="00000000">
      <w:pPr>
        <w:spacing w:before="40" w:after="200"/>
        <w:jc w:val="left"/>
      </w:pPr>
      <w:r>
        <w:rPr>
          <w:rFonts w:cs="Calibri"/>
          <w:i/>
          <w:color w:val="6E8A96"/>
          <w:sz w:val="19"/>
          <w:szCs w:val="19"/>
        </w:rPr>
        <w:t>Corridor Three centerline along the traffic separation scheme. Lane width four nautical miles with a one-mile separation median.</w:t>
      </w:r>
    </w:p>
    <w:p w14:paraId="59085F1E" w14:textId="77777777" w:rsidR="008C4E6E" w:rsidRDefault="00000000">
      <w:pPr>
        <w:pStyle w:val="Heading2"/>
      </w:pPr>
      <w:bookmarkStart w:id="82" w:name="_Toc237650638"/>
      <w:r>
        <w:rPr>
          <w:rFonts w:cs="Calibri Light"/>
          <w:szCs w:val="28"/>
        </w:rPr>
        <w:t>A.5 Anchorages, Exercise Zones, and Survey Zones</w:t>
      </w:r>
      <w:bookmarkEnd w:id="82"/>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4A3B7DBD"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3135D598" w14:textId="77777777" w:rsidR="008C4E6E" w:rsidRDefault="00000000">
            <w:pPr>
              <w:spacing w:before="20" w:after="20" w:line="290" w:lineRule="auto"/>
              <w:jc w:val="left"/>
            </w:pPr>
            <w:r>
              <w:rPr>
                <w:rFonts w:cs="Calibri"/>
                <w:b/>
                <w:color w:val="1F4E5F"/>
                <w:sz w:val="19"/>
                <w:szCs w:val="19"/>
              </w:rPr>
              <w:t>Designator</w:t>
            </w:r>
          </w:p>
        </w:tc>
        <w:tc>
          <w:tcPr>
            <w:tcW w:w="3116" w:type="dxa"/>
            <w:shd w:val="clear" w:color="auto" w:fill="E4EEF1"/>
            <w:tcMar>
              <w:top w:w="60" w:type="dxa"/>
              <w:left w:w="100" w:type="dxa"/>
              <w:bottom w:w="60" w:type="dxa"/>
              <w:right w:w="100" w:type="dxa"/>
            </w:tcMar>
          </w:tcPr>
          <w:p w14:paraId="794FFDEF" w14:textId="77777777" w:rsidR="008C4E6E" w:rsidRDefault="00000000">
            <w:pPr>
              <w:spacing w:before="20" w:after="20" w:line="290" w:lineRule="auto"/>
              <w:jc w:val="left"/>
            </w:pPr>
            <w:r>
              <w:rPr>
                <w:rFonts w:cs="Calibri"/>
                <w:b/>
                <w:color w:val="1F4E5F"/>
                <w:sz w:val="19"/>
                <w:szCs w:val="19"/>
              </w:rPr>
              <w:t>Position</w:t>
            </w:r>
          </w:p>
        </w:tc>
        <w:tc>
          <w:tcPr>
            <w:tcW w:w="3118" w:type="dxa"/>
            <w:shd w:val="clear" w:color="auto" w:fill="E4EEF1"/>
            <w:tcMar>
              <w:top w:w="60" w:type="dxa"/>
              <w:left w:w="100" w:type="dxa"/>
              <w:bottom w:w="60" w:type="dxa"/>
              <w:right w:w="100" w:type="dxa"/>
            </w:tcMar>
          </w:tcPr>
          <w:p w14:paraId="0CCDB23D" w14:textId="77777777" w:rsidR="008C4E6E" w:rsidRDefault="00000000">
            <w:pPr>
              <w:spacing w:before="20" w:after="20" w:line="290" w:lineRule="auto"/>
              <w:jc w:val="left"/>
            </w:pPr>
            <w:r>
              <w:rPr>
                <w:rFonts w:cs="Calibri"/>
                <w:b/>
                <w:color w:val="1F4E5F"/>
                <w:sz w:val="19"/>
                <w:szCs w:val="19"/>
              </w:rPr>
              <w:t>Function</w:t>
            </w:r>
          </w:p>
        </w:tc>
      </w:tr>
      <w:tr w:rsidR="008C4E6E" w14:paraId="2145FA96" w14:textId="77777777">
        <w:tblPrEx>
          <w:tblCellMar>
            <w:top w:w="0" w:type="dxa"/>
            <w:bottom w:w="0" w:type="dxa"/>
          </w:tblCellMar>
        </w:tblPrEx>
        <w:tc>
          <w:tcPr>
            <w:tcW w:w="3116" w:type="dxa"/>
            <w:tcMar>
              <w:top w:w="60" w:type="dxa"/>
              <w:left w:w="100" w:type="dxa"/>
              <w:bottom w:w="60" w:type="dxa"/>
              <w:right w:w="100" w:type="dxa"/>
            </w:tcMar>
          </w:tcPr>
          <w:p w14:paraId="6753A29C" w14:textId="77777777" w:rsidR="008C4E6E" w:rsidRDefault="00000000">
            <w:pPr>
              <w:spacing w:before="20" w:after="20" w:line="290" w:lineRule="auto"/>
              <w:jc w:val="left"/>
            </w:pPr>
            <w:r>
              <w:rPr>
                <w:rFonts w:cs="Calibri"/>
                <w:sz w:val="19"/>
                <w:szCs w:val="19"/>
              </w:rPr>
              <w:t>Anchorage A-East-Out</w:t>
            </w:r>
          </w:p>
        </w:tc>
        <w:tc>
          <w:tcPr>
            <w:tcW w:w="3116" w:type="dxa"/>
            <w:tcMar>
              <w:top w:w="60" w:type="dxa"/>
              <w:left w:w="100" w:type="dxa"/>
              <w:bottom w:w="60" w:type="dxa"/>
              <w:right w:w="100" w:type="dxa"/>
            </w:tcMar>
          </w:tcPr>
          <w:p w14:paraId="0E922A8B" w14:textId="77777777" w:rsidR="008C4E6E" w:rsidRDefault="00000000">
            <w:pPr>
              <w:spacing w:before="20" w:after="20" w:line="290" w:lineRule="auto"/>
              <w:jc w:val="left"/>
            </w:pPr>
            <w:r>
              <w:rPr>
                <w:rFonts w:cs="Calibri"/>
                <w:sz w:val="19"/>
                <w:szCs w:val="19"/>
              </w:rPr>
              <w:t>25 degrees 58.0 minutes N, 057 degrees 05.0 minutes E</w:t>
            </w:r>
          </w:p>
        </w:tc>
        <w:tc>
          <w:tcPr>
            <w:tcW w:w="3118" w:type="dxa"/>
            <w:tcMar>
              <w:top w:w="60" w:type="dxa"/>
              <w:left w:w="100" w:type="dxa"/>
              <w:bottom w:w="60" w:type="dxa"/>
              <w:right w:w="100" w:type="dxa"/>
            </w:tcMar>
          </w:tcPr>
          <w:p w14:paraId="1876D13E" w14:textId="77777777" w:rsidR="008C4E6E" w:rsidRDefault="00000000">
            <w:pPr>
              <w:spacing w:before="20" w:after="20" w:line="290" w:lineRule="auto"/>
              <w:jc w:val="left"/>
            </w:pPr>
            <w:r>
              <w:rPr>
                <w:rFonts w:cs="Calibri"/>
                <w:sz w:val="19"/>
                <w:szCs w:val="19"/>
              </w:rPr>
              <w:t>Outbound vessels awaiting convoy windows or daylight</w:t>
            </w:r>
          </w:p>
        </w:tc>
      </w:tr>
      <w:tr w:rsidR="008C4E6E" w14:paraId="2EA52674" w14:textId="77777777">
        <w:tblPrEx>
          <w:tblCellMar>
            <w:top w:w="0" w:type="dxa"/>
            <w:bottom w:w="0" w:type="dxa"/>
          </w:tblCellMar>
        </w:tblPrEx>
        <w:tc>
          <w:tcPr>
            <w:tcW w:w="3116" w:type="dxa"/>
            <w:tcMar>
              <w:top w:w="60" w:type="dxa"/>
              <w:left w:w="100" w:type="dxa"/>
              <w:bottom w:w="60" w:type="dxa"/>
              <w:right w:w="100" w:type="dxa"/>
            </w:tcMar>
          </w:tcPr>
          <w:p w14:paraId="14AB15C6" w14:textId="77777777" w:rsidR="008C4E6E" w:rsidRDefault="00000000">
            <w:pPr>
              <w:spacing w:before="20" w:after="20" w:line="290" w:lineRule="auto"/>
              <w:jc w:val="left"/>
            </w:pPr>
            <w:r>
              <w:rPr>
                <w:rFonts w:cs="Calibri"/>
                <w:sz w:val="19"/>
                <w:szCs w:val="19"/>
              </w:rPr>
              <w:t>Anchorage A-East-In</w:t>
            </w:r>
          </w:p>
        </w:tc>
        <w:tc>
          <w:tcPr>
            <w:tcW w:w="3116" w:type="dxa"/>
            <w:tcMar>
              <w:top w:w="60" w:type="dxa"/>
              <w:left w:w="100" w:type="dxa"/>
              <w:bottom w:w="60" w:type="dxa"/>
              <w:right w:w="100" w:type="dxa"/>
            </w:tcMar>
          </w:tcPr>
          <w:p w14:paraId="026F1923" w14:textId="77777777" w:rsidR="008C4E6E" w:rsidRDefault="00000000">
            <w:pPr>
              <w:spacing w:before="20" w:after="20" w:line="290" w:lineRule="auto"/>
              <w:jc w:val="left"/>
            </w:pPr>
            <w:r>
              <w:rPr>
                <w:rFonts w:cs="Calibri"/>
                <w:sz w:val="19"/>
                <w:szCs w:val="19"/>
              </w:rPr>
              <w:t>26 degrees 46.0 minutes N, 057 degrees 05.0 minutes E</w:t>
            </w:r>
          </w:p>
        </w:tc>
        <w:tc>
          <w:tcPr>
            <w:tcW w:w="3118" w:type="dxa"/>
            <w:tcMar>
              <w:top w:w="60" w:type="dxa"/>
              <w:left w:w="100" w:type="dxa"/>
              <w:bottom w:w="60" w:type="dxa"/>
              <w:right w:w="100" w:type="dxa"/>
            </w:tcMar>
          </w:tcPr>
          <w:p w14:paraId="7B23FCC6" w14:textId="77777777" w:rsidR="008C4E6E" w:rsidRDefault="00000000">
            <w:pPr>
              <w:spacing w:before="20" w:after="20" w:line="290" w:lineRule="auto"/>
              <w:jc w:val="left"/>
            </w:pPr>
            <w:r>
              <w:rPr>
                <w:rFonts w:cs="Calibri"/>
                <w:sz w:val="19"/>
                <w:szCs w:val="19"/>
              </w:rPr>
              <w:t>Inbound vessels awaiting windows, tide, or documentation</w:t>
            </w:r>
          </w:p>
        </w:tc>
      </w:tr>
      <w:tr w:rsidR="008C4E6E" w14:paraId="4C4A739F" w14:textId="77777777">
        <w:tblPrEx>
          <w:tblCellMar>
            <w:top w:w="0" w:type="dxa"/>
            <w:bottom w:w="0" w:type="dxa"/>
          </w:tblCellMar>
        </w:tblPrEx>
        <w:tc>
          <w:tcPr>
            <w:tcW w:w="3116" w:type="dxa"/>
            <w:tcMar>
              <w:top w:w="60" w:type="dxa"/>
              <w:left w:w="100" w:type="dxa"/>
              <w:bottom w:w="60" w:type="dxa"/>
              <w:right w:w="100" w:type="dxa"/>
            </w:tcMar>
          </w:tcPr>
          <w:p w14:paraId="10C0F78D" w14:textId="77777777" w:rsidR="008C4E6E" w:rsidRDefault="00000000">
            <w:pPr>
              <w:spacing w:before="20" w:after="20" w:line="290" w:lineRule="auto"/>
              <w:jc w:val="left"/>
            </w:pPr>
            <w:r>
              <w:rPr>
                <w:rFonts w:cs="Calibri"/>
                <w:sz w:val="19"/>
                <w:szCs w:val="19"/>
              </w:rPr>
              <w:t>Exercise Zone E-1</w:t>
            </w:r>
          </w:p>
        </w:tc>
        <w:tc>
          <w:tcPr>
            <w:tcW w:w="3116" w:type="dxa"/>
            <w:tcMar>
              <w:top w:w="60" w:type="dxa"/>
              <w:left w:w="100" w:type="dxa"/>
              <w:bottom w:w="60" w:type="dxa"/>
              <w:right w:w="100" w:type="dxa"/>
            </w:tcMar>
          </w:tcPr>
          <w:p w14:paraId="55E593AB" w14:textId="77777777" w:rsidR="008C4E6E" w:rsidRDefault="00000000">
            <w:pPr>
              <w:spacing w:before="20" w:after="20" w:line="290" w:lineRule="auto"/>
              <w:jc w:val="left"/>
            </w:pPr>
            <w:r>
              <w:rPr>
                <w:rFonts w:cs="Calibri"/>
                <w:sz w:val="19"/>
                <w:szCs w:val="19"/>
              </w:rPr>
              <w:t>26 degrees 30.0 to 26 degrees 40.0 minutes N, 056 degrees 20.0 to 056 degrees 50.0 minutes E</w:t>
            </w:r>
          </w:p>
        </w:tc>
        <w:tc>
          <w:tcPr>
            <w:tcW w:w="3118" w:type="dxa"/>
            <w:tcMar>
              <w:top w:w="60" w:type="dxa"/>
              <w:left w:w="100" w:type="dxa"/>
              <w:bottom w:w="60" w:type="dxa"/>
              <w:right w:w="100" w:type="dxa"/>
            </w:tcMar>
          </w:tcPr>
          <w:p w14:paraId="635EF0D8" w14:textId="77777777" w:rsidR="008C4E6E" w:rsidRDefault="00000000">
            <w:pPr>
              <w:spacing w:before="20" w:after="20" w:line="290" w:lineRule="auto"/>
              <w:jc w:val="left"/>
            </w:pPr>
            <w:r>
              <w:rPr>
                <w:rFonts w:cs="Calibri"/>
                <w:sz w:val="19"/>
                <w:szCs w:val="19"/>
              </w:rPr>
              <w:t>Layer One environmental and visibility exercises</w:t>
            </w:r>
          </w:p>
        </w:tc>
      </w:tr>
      <w:tr w:rsidR="008C4E6E" w14:paraId="5B4A48E9" w14:textId="77777777">
        <w:tblPrEx>
          <w:tblCellMar>
            <w:top w:w="0" w:type="dxa"/>
            <w:bottom w:w="0" w:type="dxa"/>
          </w:tblCellMar>
        </w:tblPrEx>
        <w:tc>
          <w:tcPr>
            <w:tcW w:w="3116" w:type="dxa"/>
            <w:tcMar>
              <w:top w:w="60" w:type="dxa"/>
              <w:left w:w="100" w:type="dxa"/>
              <w:bottom w:w="60" w:type="dxa"/>
              <w:right w:w="100" w:type="dxa"/>
            </w:tcMar>
          </w:tcPr>
          <w:p w14:paraId="5F427CD7" w14:textId="77777777" w:rsidR="008C4E6E" w:rsidRDefault="00000000">
            <w:pPr>
              <w:spacing w:before="20" w:after="20" w:line="290" w:lineRule="auto"/>
              <w:jc w:val="left"/>
            </w:pPr>
            <w:r>
              <w:rPr>
                <w:rFonts w:cs="Calibri"/>
                <w:sz w:val="19"/>
                <w:szCs w:val="19"/>
              </w:rPr>
              <w:t>Tide reference station</w:t>
            </w:r>
          </w:p>
        </w:tc>
        <w:tc>
          <w:tcPr>
            <w:tcW w:w="3116" w:type="dxa"/>
            <w:tcMar>
              <w:top w:w="60" w:type="dxa"/>
              <w:left w:w="100" w:type="dxa"/>
              <w:bottom w:w="60" w:type="dxa"/>
              <w:right w:w="100" w:type="dxa"/>
            </w:tcMar>
          </w:tcPr>
          <w:p w14:paraId="14BC3B65" w14:textId="77777777" w:rsidR="008C4E6E" w:rsidRDefault="00000000">
            <w:pPr>
              <w:spacing w:before="20" w:after="20" w:line="290" w:lineRule="auto"/>
              <w:jc w:val="left"/>
            </w:pPr>
            <w:r>
              <w:rPr>
                <w:rFonts w:cs="Calibri"/>
                <w:sz w:val="19"/>
                <w:szCs w:val="19"/>
              </w:rPr>
              <w:t>26 degrees 34.0 minutes N, 056 degrees 30.0 minutes E</w:t>
            </w:r>
          </w:p>
        </w:tc>
        <w:tc>
          <w:tcPr>
            <w:tcW w:w="3118" w:type="dxa"/>
            <w:tcMar>
              <w:top w:w="60" w:type="dxa"/>
              <w:left w:w="100" w:type="dxa"/>
              <w:bottom w:w="60" w:type="dxa"/>
              <w:right w:w="100" w:type="dxa"/>
            </w:tcMar>
          </w:tcPr>
          <w:p w14:paraId="143F4BC4" w14:textId="77777777" w:rsidR="008C4E6E" w:rsidRDefault="00000000">
            <w:pPr>
              <w:spacing w:before="20" w:after="20" w:line="290" w:lineRule="auto"/>
              <w:jc w:val="left"/>
            </w:pPr>
            <w:r>
              <w:rPr>
                <w:rFonts w:cs="Calibri"/>
                <w:sz w:val="19"/>
                <w:szCs w:val="19"/>
              </w:rPr>
              <w:t>Joint tide table of Exercise A-4</w:t>
            </w:r>
          </w:p>
        </w:tc>
      </w:tr>
      <w:tr w:rsidR="008C4E6E" w14:paraId="641B9194" w14:textId="77777777">
        <w:tblPrEx>
          <w:tblCellMar>
            <w:top w:w="0" w:type="dxa"/>
            <w:bottom w:w="0" w:type="dxa"/>
          </w:tblCellMar>
        </w:tblPrEx>
        <w:tc>
          <w:tcPr>
            <w:tcW w:w="3116" w:type="dxa"/>
            <w:tcMar>
              <w:top w:w="60" w:type="dxa"/>
              <w:left w:w="100" w:type="dxa"/>
              <w:bottom w:w="60" w:type="dxa"/>
              <w:right w:w="100" w:type="dxa"/>
            </w:tcMar>
          </w:tcPr>
          <w:p w14:paraId="4BDC0103" w14:textId="77777777" w:rsidR="008C4E6E" w:rsidRDefault="00000000">
            <w:pPr>
              <w:spacing w:before="20" w:after="20" w:line="290" w:lineRule="auto"/>
              <w:jc w:val="left"/>
            </w:pPr>
            <w:r>
              <w:rPr>
                <w:rFonts w:cs="Calibri"/>
                <w:sz w:val="19"/>
                <w:szCs w:val="19"/>
              </w:rPr>
              <w:t>SAR drill point</w:t>
            </w:r>
          </w:p>
        </w:tc>
        <w:tc>
          <w:tcPr>
            <w:tcW w:w="3116" w:type="dxa"/>
            <w:tcMar>
              <w:top w:w="60" w:type="dxa"/>
              <w:left w:w="100" w:type="dxa"/>
              <w:bottom w:w="60" w:type="dxa"/>
              <w:right w:w="100" w:type="dxa"/>
            </w:tcMar>
          </w:tcPr>
          <w:p w14:paraId="521FBF48" w14:textId="77777777" w:rsidR="008C4E6E" w:rsidRDefault="00000000">
            <w:pPr>
              <w:spacing w:before="20" w:after="20" w:line="290" w:lineRule="auto"/>
              <w:jc w:val="left"/>
            </w:pPr>
            <w:r>
              <w:rPr>
                <w:rFonts w:cs="Calibri"/>
                <w:sz w:val="19"/>
                <w:szCs w:val="19"/>
              </w:rPr>
              <w:t xml:space="preserve">26 degrees 30.0 minutes N, 056 </w:t>
            </w:r>
            <w:r>
              <w:rPr>
                <w:rFonts w:cs="Calibri"/>
                <w:sz w:val="19"/>
                <w:szCs w:val="19"/>
              </w:rPr>
              <w:lastRenderedPageBreak/>
              <w:t>degrees 40.0 minutes E</w:t>
            </w:r>
          </w:p>
        </w:tc>
        <w:tc>
          <w:tcPr>
            <w:tcW w:w="3118" w:type="dxa"/>
            <w:tcMar>
              <w:top w:w="60" w:type="dxa"/>
              <w:left w:w="100" w:type="dxa"/>
              <w:bottom w:w="60" w:type="dxa"/>
              <w:right w:w="100" w:type="dxa"/>
            </w:tcMar>
          </w:tcPr>
          <w:p w14:paraId="26FA1C47" w14:textId="77777777" w:rsidR="008C4E6E" w:rsidRDefault="00000000">
            <w:pPr>
              <w:spacing w:before="20" w:after="20" w:line="290" w:lineRule="auto"/>
              <w:jc w:val="left"/>
            </w:pPr>
            <w:r>
              <w:rPr>
                <w:rFonts w:cs="Calibri"/>
                <w:sz w:val="19"/>
                <w:szCs w:val="19"/>
              </w:rPr>
              <w:lastRenderedPageBreak/>
              <w:t>Tabletop drill reference of Exercise D-4</w:t>
            </w:r>
          </w:p>
        </w:tc>
      </w:tr>
      <w:tr w:rsidR="008C4E6E" w14:paraId="61BBEC82" w14:textId="77777777">
        <w:tblPrEx>
          <w:tblCellMar>
            <w:top w:w="0" w:type="dxa"/>
            <w:bottom w:w="0" w:type="dxa"/>
          </w:tblCellMar>
        </w:tblPrEx>
        <w:tc>
          <w:tcPr>
            <w:tcW w:w="3116" w:type="dxa"/>
            <w:tcMar>
              <w:top w:w="60" w:type="dxa"/>
              <w:left w:w="100" w:type="dxa"/>
              <w:bottom w:w="60" w:type="dxa"/>
              <w:right w:w="100" w:type="dxa"/>
            </w:tcMar>
          </w:tcPr>
          <w:p w14:paraId="10ACC70A" w14:textId="77777777" w:rsidR="008C4E6E" w:rsidRDefault="00000000">
            <w:pPr>
              <w:spacing w:before="20" w:after="20" w:line="290" w:lineRule="auto"/>
              <w:jc w:val="left"/>
            </w:pPr>
            <w:r>
              <w:rPr>
                <w:rFonts w:cs="Calibri"/>
                <w:sz w:val="19"/>
                <w:szCs w:val="19"/>
              </w:rPr>
              <w:t>Survey Zone Z-1</w:t>
            </w:r>
          </w:p>
        </w:tc>
        <w:tc>
          <w:tcPr>
            <w:tcW w:w="3116" w:type="dxa"/>
            <w:tcMar>
              <w:top w:w="60" w:type="dxa"/>
              <w:left w:w="100" w:type="dxa"/>
              <w:bottom w:w="60" w:type="dxa"/>
              <w:right w:w="100" w:type="dxa"/>
            </w:tcMar>
          </w:tcPr>
          <w:p w14:paraId="4F5C902A" w14:textId="77777777" w:rsidR="008C4E6E" w:rsidRDefault="00000000">
            <w:pPr>
              <w:spacing w:before="20" w:after="20" w:line="290" w:lineRule="auto"/>
              <w:jc w:val="left"/>
            </w:pPr>
            <w:r>
              <w:rPr>
                <w:rFonts w:cs="Calibri"/>
                <w:sz w:val="19"/>
                <w:szCs w:val="19"/>
              </w:rPr>
              <w:t>Corridor Three, western half</w:t>
            </w:r>
          </w:p>
        </w:tc>
        <w:tc>
          <w:tcPr>
            <w:tcW w:w="3118" w:type="dxa"/>
            <w:tcMar>
              <w:top w:w="60" w:type="dxa"/>
              <w:left w:w="100" w:type="dxa"/>
              <w:bottom w:w="60" w:type="dxa"/>
              <w:right w:w="100" w:type="dxa"/>
            </w:tcMar>
          </w:tcPr>
          <w:p w14:paraId="2D138AAD" w14:textId="77777777" w:rsidR="008C4E6E" w:rsidRDefault="00000000">
            <w:pPr>
              <w:spacing w:before="20" w:after="20" w:line="290" w:lineRule="auto"/>
              <w:jc w:val="left"/>
            </w:pPr>
            <w:r>
              <w:rPr>
                <w:rFonts w:cs="Calibri"/>
                <w:sz w:val="19"/>
                <w:szCs w:val="19"/>
              </w:rPr>
              <w:t>Phase B clearance, days 10 to 20</w:t>
            </w:r>
          </w:p>
        </w:tc>
      </w:tr>
      <w:tr w:rsidR="008C4E6E" w14:paraId="456709AB" w14:textId="77777777">
        <w:tblPrEx>
          <w:tblCellMar>
            <w:top w:w="0" w:type="dxa"/>
            <w:bottom w:w="0" w:type="dxa"/>
          </w:tblCellMar>
        </w:tblPrEx>
        <w:tc>
          <w:tcPr>
            <w:tcW w:w="3116" w:type="dxa"/>
            <w:tcMar>
              <w:top w:w="60" w:type="dxa"/>
              <w:left w:w="100" w:type="dxa"/>
              <w:bottom w:w="60" w:type="dxa"/>
              <w:right w:w="100" w:type="dxa"/>
            </w:tcMar>
          </w:tcPr>
          <w:p w14:paraId="016D1305" w14:textId="77777777" w:rsidR="008C4E6E" w:rsidRDefault="00000000">
            <w:pPr>
              <w:spacing w:before="20" w:after="20" w:line="290" w:lineRule="auto"/>
              <w:jc w:val="left"/>
            </w:pPr>
            <w:r>
              <w:rPr>
                <w:rFonts w:cs="Calibri"/>
                <w:sz w:val="19"/>
                <w:szCs w:val="19"/>
              </w:rPr>
              <w:t>Survey Zone Z-2</w:t>
            </w:r>
          </w:p>
        </w:tc>
        <w:tc>
          <w:tcPr>
            <w:tcW w:w="3116" w:type="dxa"/>
            <w:tcMar>
              <w:top w:w="60" w:type="dxa"/>
              <w:left w:w="100" w:type="dxa"/>
              <w:bottom w:w="60" w:type="dxa"/>
              <w:right w:w="100" w:type="dxa"/>
            </w:tcMar>
          </w:tcPr>
          <w:p w14:paraId="507F477C" w14:textId="77777777" w:rsidR="008C4E6E" w:rsidRDefault="00000000">
            <w:pPr>
              <w:spacing w:before="20" w:after="20" w:line="290" w:lineRule="auto"/>
              <w:jc w:val="left"/>
            </w:pPr>
            <w:r>
              <w:rPr>
                <w:rFonts w:cs="Calibri"/>
                <w:sz w:val="19"/>
                <w:szCs w:val="19"/>
              </w:rPr>
              <w:t>Corridor Three, eastern half</w:t>
            </w:r>
          </w:p>
        </w:tc>
        <w:tc>
          <w:tcPr>
            <w:tcW w:w="3118" w:type="dxa"/>
            <w:tcMar>
              <w:top w:w="60" w:type="dxa"/>
              <w:left w:w="100" w:type="dxa"/>
              <w:bottom w:w="60" w:type="dxa"/>
              <w:right w:w="100" w:type="dxa"/>
            </w:tcMar>
          </w:tcPr>
          <w:p w14:paraId="3DE64161" w14:textId="77777777" w:rsidR="008C4E6E" w:rsidRDefault="00000000">
            <w:pPr>
              <w:spacing w:before="20" w:after="20" w:line="290" w:lineRule="auto"/>
              <w:jc w:val="left"/>
            </w:pPr>
            <w:r>
              <w:rPr>
                <w:rFonts w:cs="Calibri"/>
                <w:sz w:val="19"/>
                <w:szCs w:val="19"/>
              </w:rPr>
              <w:t>Phase B clearance, days 20 to 30</w:t>
            </w:r>
          </w:p>
        </w:tc>
      </w:tr>
      <w:tr w:rsidR="008C4E6E" w14:paraId="775F1A41" w14:textId="77777777">
        <w:tblPrEx>
          <w:tblCellMar>
            <w:top w:w="0" w:type="dxa"/>
            <w:bottom w:w="0" w:type="dxa"/>
          </w:tblCellMar>
        </w:tblPrEx>
        <w:tc>
          <w:tcPr>
            <w:tcW w:w="3116" w:type="dxa"/>
            <w:tcMar>
              <w:top w:w="60" w:type="dxa"/>
              <w:left w:w="100" w:type="dxa"/>
              <w:bottom w:w="60" w:type="dxa"/>
              <w:right w:w="100" w:type="dxa"/>
            </w:tcMar>
          </w:tcPr>
          <w:p w14:paraId="1CEAC063" w14:textId="77777777" w:rsidR="008C4E6E" w:rsidRDefault="00000000">
            <w:pPr>
              <w:spacing w:before="20" w:after="20" w:line="290" w:lineRule="auto"/>
              <w:jc w:val="left"/>
            </w:pPr>
            <w:r>
              <w:rPr>
                <w:rFonts w:cs="Calibri"/>
                <w:sz w:val="19"/>
                <w:szCs w:val="19"/>
              </w:rPr>
              <w:t>Survey Zone Z-3</w:t>
            </w:r>
          </w:p>
        </w:tc>
        <w:tc>
          <w:tcPr>
            <w:tcW w:w="3116" w:type="dxa"/>
            <w:tcMar>
              <w:top w:w="60" w:type="dxa"/>
              <w:left w:w="100" w:type="dxa"/>
              <w:bottom w:w="60" w:type="dxa"/>
              <w:right w:w="100" w:type="dxa"/>
            </w:tcMar>
          </w:tcPr>
          <w:p w14:paraId="74E35294" w14:textId="77777777" w:rsidR="008C4E6E" w:rsidRDefault="00000000">
            <w:pPr>
              <w:spacing w:before="20" w:after="20" w:line="290" w:lineRule="auto"/>
              <w:jc w:val="left"/>
            </w:pPr>
            <w:r>
              <w:rPr>
                <w:rFonts w:cs="Calibri"/>
                <w:sz w:val="19"/>
                <w:szCs w:val="19"/>
              </w:rPr>
              <w:t>Anchorages and approaches</w:t>
            </w:r>
          </w:p>
        </w:tc>
        <w:tc>
          <w:tcPr>
            <w:tcW w:w="3118" w:type="dxa"/>
            <w:tcMar>
              <w:top w:w="60" w:type="dxa"/>
              <w:left w:w="100" w:type="dxa"/>
              <w:bottom w:w="60" w:type="dxa"/>
              <w:right w:w="100" w:type="dxa"/>
            </w:tcMar>
          </w:tcPr>
          <w:p w14:paraId="4FE3F5F2" w14:textId="77777777" w:rsidR="008C4E6E" w:rsidRDefault="00000000">
            <w:pPr>
              <w:spacing w:before="20" w:after="20" w:line="290" w:lineRule="auto"/>
              <w:jc w:val="left"/>
            </w:pPr>
            <w:r>
              <w:rPr>
                <w:rFonts w:cs="Calibri"/>
                <w:sz w:val="19"/>
                <w:szCs w:val="19"/>
              </w:rPr>
              <w:t>Phase C sweep, days 30 to 55</w:t>
            </w:r>
          </w:p>
        </w:tc>
      </w:tr>
      <w:tr w:rsidR="008C4E6E" w14:paraId="79D66AE7" w14:textId="77777777">
        <w:tblPrEx>
          <w:tblCellMar>
            <w:top w:w="0" w:type="dxa"/>
            <w:bottom w:w="0" w:type="dxa"/>
          </w:tblCellMar>
        </w:tblPrEx>
        <w:tc>
          <w:tcPr>
            <w:tcW w:w="3116" w:type="dxa"/>
            <w:tcMar>
              <w:top w:w="60" w:type="dxa"/>
              <w:left w:w="100" w:type="dxa"/>
              <w:bottom w:w="60" w:type="dxa"/>
              <w:right w:w="100" w:type="dxa"/>
            </w:tcMar>
          </w:tcPr>
          <w:p w14:paraId="167F2B8C" w14:textId="77777777" w:rsidR="008C4E6E" w:rsidRDefault="00000000">
            <w:pPr>
              <w:spacing w:before="20" w:after="20" w:line="290" w:lineRule="auto"/>
              <w:jc w:val="left"/>
            </w:pPr>
            <w:r>
              <w:rPr>
                <w:rFonts w:cs="Calibri"/>
                <w:sz w:val="19"/>
                <w:szCs w:val="19"/>
              </w:rPr>
              <w:t>Survey Zone Z-4</w:t>
            </w:r>
          </w:p>
        </w:tc>
        <w:tc>
          <w:tcPr>
            <w:tcW w:w="3116" w:type="dxa"/>
            <w:tcMar>
              <w:top w:w="60" w:type="dxa"/>
              <w:left w:w="100" w:type="dxa"/>
              <w:bottom w:w="60" w:type="dxa"/>
              <w:right w:w="100" w:type="dxa"/>
            </w:tcMar>
          </w:tcPr>
          <w:p w14:paraId="27B65E1F" w14:textId="77777777" w:rsidR="008C4E6E" w:rsidRDefault="00000000">
            <w:pPr>
              <w:spacing w:before="20" w:after="20" w:line="290" w:lineRule="auto"/>
              <w:jc w:val="left"/>
            </w:pPr>
            <w:r>
              <w:rPr>
                <w:rFonts w:cs="Calibri"/>
                <w:sz w:val="19"/>
                <w:szCs w:val="19"/>
              </w:rPr>
              <w:t>Remaining Governance Area</w:t>
            </w:r>
          </w:p>
        </w:tc>
        <w:tc>
          <w:tcPr>
            <w:tcW w:w="3118" w:type="dxa"/>
            <w:tcMar>
              <w:top w:w="60" w:type="dxa"/>
              <w:left w:w="100" w:type="dxa"/>
              <w:bottom w:w="60" w:type="dxa"/>
              <w:right w:w="100" w:type="dxa"/>
            </w:tcMar>
          </w:tcPr>
          <w:p w14:paraId="1A4590F3" w14:textId="77777777" w:rsidR="008C4E6E" w:rsidRDefault="00000000">
            <w:pPr>
              <w:spacing w:before="20" w:after="20" w:line="290" w:lineRule="auto"/>
              <w:jc w:val="left"/>
            </w:pPr>
            <w:r>
              <w:rPr>
                <w:rFonts w:cs="Calibri"/>
                <w:sz w:val="19"/>
                <w:szCs w:val="19"/>
              </w:rPr>
              <w:t>Phase C sweep, days 55 to 75</w:t>
            </w:r>
          </w:p>
        </w:tc>
      </w:tr>
    </w:tbl>
    <w:p w14:paraId="31D01BB3" w14:textId="77777777" w:rsidR="008C4E6E" w:rsidRDefault="008C4E6E">
      <w:pPr>
        <w:spacing w:after="80"/>
      </w:pPr>
    </w:p>
    <w:p w14:paraId="17C37E91" w14:textId="77777777" w:rsidR="008C4E6E" w:rsidRDefault="00000000">
      <w:pPr>
        <w:spacing w:before="40" w:after="200"/>
        <w:jc w:val="left"/>
      </w:pPr>
      <w:r>
        <w:rPr>
          <w:rFonts w:cs="Calibri"/>
          <w:i/>
          <w:color w:val="6E8A96"/>
          <w:sz w:val="19"/>
          <w:szCs w:val="19"/>
        </w:rPr>
        <w:t>Anchorages, exercise zones, and survey zones. Active zones publish in the Bulletin with exclusion distances.</w:t>
      </w:r>
    </w:p>
    <w:p w14:paraId="41DB40AA" w14:textId="77777777" w:rsidR="008C4E6E" w:rsidRDefault="00000000">
      <w:pPr>
        <w:pStyle w:val="Heading2"/>
      </w:pPr>
      <w:bookmarkStart w:id="83" w:name="_Toc237650639"/>
      <w:r>
        <w:rPr>
          <w:rFonts w:cs="Calibri Light"/>
          <w:szCs w:val="28"/>
        </w:rPr>
        <w:t>A.6 Light Characteristics of the Principal Eastern Entrance Marks</w:t>
      </w:r>
      <w:bookmarkEnd w:id="83"/>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2992123D"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134C983F" w14:textId="77777777" w:rsidR="008C4E6E" w:rsidRDefault="00000000">
            <w:pPr>
              <w:spacing w:before="20" w:after="20" w:line="290" w:lineRule="auto"/>
              <w:jc w:val="left"/>
            </w:pPr>
            <w:r>
              <w:rPr>
                <w:rFonts w:cs="Calibri"/>
                <w:b/>
                <w:color w:val="1F4E5F"/>
                <w:sz w:val="19"/>
                <w:szCs w:val="19"/>
              </w:rPr>
              <w:t>Mark</w:t>
            </w:r>
          </w:p>
        </w:tc>
        <w:tc>
          <w:tcPr>
            <w:tcW w:w="3116" w:type="dxa"/>
            <w:shd w:val="clear" w:color="auto" w:fill="E4EEF1"/>
            <w:tcMar>
              <w:top w:w="60" w:type="dxa"/>
              <w:left w:w="100" w:type="dxa"/>
              <w:bottom w:w="60" w:type="dxa"/>
              <w:right w:w="100" w:type="dxa"/>
            </w:tcMar>
          </w:tcPr>
          <w:p w14:paraId="7C795E3B" w14:textId="77777777" w:rsidR="008C4E6E" w:rsidRDefault="00000000">
            <w:pPr>
              <w:spacing w:before="20" w:after="20" w:line="290" w:lineRule="auto"/>
              <w:jc w:val="left"/>
            </w:pPr>
            <w:r>
              <w:rPr>
                <w:rFonts w:cs="Calibri"/>
                <w:b/>
                <w:color w:val="1F4E5F"/>
                <w:sz w:val="19"/>
                <w:szCs w:val="19"/>
              </w:rPr>
              <w:t>Position</w:t>
            </w:r>
          </w:p>
        </w:tc>
        <w:tc>
          <w:tcPr>
            <w:tcW w:w="3118" w:type="dxa"/>
            <w:shd w:val="clear" w:color="auto" w:fill="E4EEF1"/>
            <w:tcMar>
              <w:top w:w="60" w:type="dxa"/>
              <w:left w:w="100" w:type="dxa"/>
              <w:bottom w:w="60" w:type="dxa"/>
              <w:right w:w="100" w:type="dxa"/>
            </w:tcMar>
          </w:tcPr>
          <w:p w14:paraId="57210A39" w14:textId="77777777" w:rsidR="008C4E6E" w:rsidRDefault="00000000">
            <w:pPr>
              <w:spacing w:before="20" w:after="20" w:line="290" w:lineRule="auto"/>
              <w:jc w:val="left"/>
            </w:pPr>
            <w:r>
              <w:rPr>
                <w:rFonts w:cs="Calibri"/>
                <w:b/>
                <w:color w:val="1F4E5F"/>
                <w:sz w:val="19"/>
                <w:szCs w:val="19"/>
              </w:rPr>
              <w:t>Character (harmonized)</w:t>
            </w:r>
          </w:p>
        </w:tc>
      </w:tr>
      <w:tr w:rsidR="008C4E6E" w14:paraId="12B13890" w14:textId="77777777">
        <w:tblPrEx>
          <w:tblCellMar>
            <w:top w:w="0" w:type="dxa"/>
            <w:bottom w:w="0" w:type="dxa"/>
          </w:tblCellMar>
        </w:tblPrEx>
        <w:tc>
          <w:tcPr>
            <w:tcW w:w="3116" w:type="dxa"/>
            <w:tcMar>
              <w:top w:w="60" w:type="dxa"/>
              <w:left w:w="100" w:type="dxa"/>
              <w:bottom w:w="60" w:type="dxa"/>
              <w:right w:w="100" w:type="dxa"/>
            </w:tcMar>
          </w:tcPr>
          <w:p w14:paraId="63D2665B" w14:textId="77777777" w:rsidR="008C4E6E" w:rsidRDefault="00000000">
            <w:pPr>
              <w:spacing w:before="20" w:after="20" w:line="290" w:lineRule="auto"/>
              <w:jc w:val="left"/>
            </w:pPr>
            <w:r>
              <w:rPr>
                <w:rFonts w:cs="Calibri"/>
                <w:sz w:val="19"/>
                <w:szCs w:val="19"/>
              </w:rPr>
              <w:t>Mark EM-1</w:t>
            </w:r>
          </w:p>
        </w:tc>
        <w:tc>
          <w:tcPr>
            <w:tcW w:w="3116" w:type="dxa"/>
            <w:tcMar>
              <w:top w:w="60" w:type="dxa"/>
              <w:left w:w="100" w:type="dxa"/>
              <w:bottom w:w="60" w:type="dxa"/>
              <w:right w:w="100" w:type="dxa"/>
            </w:tcMar>
          </w:tcPr>
          <w:p w14:paraId="19AD93BE" w14:textId="77777777" w:rsidR="008C4E6E" w:rsidRDefault="00000000">
            <w:pPr>
              <w:spacing w:before="20" w:after="20" w:line="290" w:lineRule="auto"/>
              <w:jc w:val="left"/>
            </w:pPr>
            <w:r>
              <w:rPr>
                <w:rFonts w:cs="Calibri"/>
                <w:sz w:val="19"/>
                <w:szCs w:val="19"/>
              </w:rPr>
              <w:t>26 degrees 30.5 minutes N, 056 degrees 59.0 minutes E</w:t>
            </w:r>
          </w:p>
        </w:tc>
        <w:tc>
          <w:tcPr>
            <w:tcW w:w="3118" w:type="dxa"/>
            <w:tcMar>
              <w:top w:w="60" w:type="dxa"/>
              <w:left w:w="100" w:type="dxa"/>
              <w:bottom w:w="60" w:type="dxa"/>
              <w:right w:w="100" w:type="dxa"/>
            </w:tcMar>
          </w:tcPr>
          <w:p w14:paraId="33099BF8" w14:textId="77777777" w:rsidR="008C4E6E" w:rsidRDefault="00000000">
            <w:pPr>
              <w:spacing w:before="20" w:after="20" w:line="290" w:lineRule="auto"/>
              <w:jc w:val="left"/>
            </w:pPr>
            <w:r>
              <w:rPr>
                <w:rFonts w:cs="Calibri"/>
                <w:sz w:val="19"/>
                <w:szCs w:val="19"/>
              </w:rPr>
              <w:t>Flashing white, period 10 seconds</w:t>
            </w:r>
          </w:p>
        </w:tc>
      </w:tr>
      <w:tr w:rsidR="008C4E6E" w14:paraId="5BAF0AEE" w14:textId="77777777">
        <w:tblPrEx>
          <w:tblCellMar>
            <w:top w:w="0" w:type="dxa"/>
            <w:bottom w:w="0" w:type="dxa"/>
          </w:tblCellMar>
        </w:tblPrEx>
        <w:tc>
          <w:tcPr>
            <w:tcW w:w="3116" w:type="dxa"/>
            <w:tcMar>
              <w:top w:w="60" w:type="dxa"/>
              <w:left w:w="100" w:type="dxa"/>
              <w:bottom w:w="60" w:type="dxa"/>
              <w:right w:w="100" w:type="dxa"/>
            </w:tcMar>
          </w:tcPr>
          <w:p w14:paraId="33D39A05" w14:textId="77777777" w:rsidR="008C4E6E" w:rsidRDefault="00000000">
            <w:pPr>
              <w:spacing w:before="20" w:after="20" w:line="290" w:lineRule="auto"/>
              <w:jc w:val="left"/>
            </w:pPr>
            <w:r>
              <w:rPr>
                <w:rFonts w:cs="Calibri"/>
                <w:sz w:val="19"/>
                <w:szCs w:val="19"/>
              </w:rPr>
              <w:t>Mark EM-2</w:t>
            </w:r>
          </w:p>
        </w:tc>
        <w:tc>
          <w:tcPr>
            <w:tcW w:w="3116" w:type="dxa"/>
            <w:tcMar>
              <w:top w:w="60" w:type="dxa"/>
              <w:left w:w="100" w:type="dxa"/>
              <w:bottom w:w="60" w:type="dxa"/>
              <w:right w:w="100" w:type="dxa"/>
            </w:tcMar>
          </w:tcPr>
          <w:p w14:paraId="57C88403" w14:textId="77777777" w:rsidR="008C4E6E" w:rsidRDefault="00000000">
            <w:pPr>
              <w:spacing w:before="20" w:after="20" w:line="290" w:lineRule="auto"/>
              <w:jc w:val="left"/>
            </w:pPr>
            <w:r>
              <w:rPr>
                <w:rFonts w:cs="Calibri"/>
                <w:sz w:val="19"/>
                <w:szCs w:val="19"/>
              </w:rPr>
              <w:t>26 degrees 24.0 minutes N, 056 degrees 54.0 minutes E</w:t>
            </w:r>
          </w:p>
        </w:tc>
        <w:tc>
          <w:tcPr>
            <w:tcW w:w="3118" w:type="dxa"/>
            <w:tcMar>
              <w:top w:w="60" w:type="dxa"/>
              <w:left w:w="100" w:type="dxa"/>
              <w:bottom w:w="60" w:type="dxa"/>
              <w:right w:w="100" w:type="dxa"/>
            </w:tcMar>
          </w:tcPr>
          <w:p w14:paraId="427D4AE5" w14:textId="77777777" w:rsidR="008C4E6E" w:rsidRDefault="00000000">
            <w:pPr>
              <w:spacing w:before="20" w:after="20" w:line="290" w:lineRule="auto"/>
              <w:jc w:val="left"/>
            </w:pPr>
            <w:r>
              <w:rPr>
                <w:rFonts w:cs="Calibri"/>
                <w:sz w:val="19"/>
                <w:szCs w:val="19"/>
              </w:rPr>
              <w:t>Group flashing (2) white, period 15 seconds</w:t>
            </w:r>
          </w:p>
        </w:tc>
      </w:tr>
      <w:tr w:rsidR="008C4E6E" w14:paraId="13E49BE6" w14:textId="77777777">
        <w:tblPrEx>
          <w:tblCellMar>
            <w:top w:w="0" w:type="dxa"/>
            <w:bottom w:w="0" w:type="dxa"/>
          </w:tblCellMar>
        </w:tblPrEx>
        <w:tc>
          <w:tcPr>
            <w:tcW w:w="3116" w:type="dxa"/>
            <w:tcMar>
              <w:top w:w="60" w:type="dxa"/>
              <w:left w:w="100" w:type="dxa"/>
              <w:bottom w:w="60" w:type="dxa"/>
              <w:right w:w="100" w:type="dxa"/>
            </w:tcMar>
          </w:tcPr>
          <w:p w14:paraId="65434132" w14:textId="77777777" w:rsidR="008C4E6E" w:rsidRDefault="00000000">
            <w:pPr>
              <w:spacing w:before="20" w:after="20" w:line="290" w:lineRule="auto"/>
              <w:jc w:val="left"/>
            </w:pPr>
            <w:r>
              <w:rPr>
                <w:rFonts w:cs="Calibri"/>
                <w:sz w:val="19"/>
                <w:szCs w:val="19"/>
              </w:rPr>
              <w:t>Mark EM-3</w:t>
            </w:r>
          </w:p>
        </w:tc>
        <w:tc>
          <w:tcPr>
            <w:tcW w:w="3116" w:type="dxa"/>
            <w:tcMar>
              <w:top w:w="60" w:type="dxa"/>
              <w:left w:w="100" w:type="dxa"/>
              <w:bottom w:w="60" w:type="dxa"/>
              <w:right w:w="100" w:type="dxa"/>
            </w:tcMar>
          </w:tcPr>
          <w:p w14:paraId="60291B37" w14:textId="77777777" w:rsidR="008C4E6E" w:rsidRDefault="00000000">
            <w:pPr>
              <w:spacing w:before="20" w:after="20" w:line="290" w:lineRule="auto"/>
              <w:jc w:val="left"/>
            </w:pPr>
            <w:r>
              <w:rPr>
                <w:rFonts w:cs="Calibri"/>
                <w:sz w:val="19"/>
                <w:szCs w:val="19"/>
              </w:rPr>
              <w:t>26 degrees 18.5 minutes N, 056 degrees 46.0 minutes E</w:t>
            </w:r>
          </w:p>
        </w:tc>
        <w:tc>
          <w:tcPr>
            <w:tcW w:w="3118" w:type="dxa"/>
            <w:tcMar>
              <w:top w:w="60" w:type="dxa"/>
              <w:left w:w="100" w:type="dxa"/>
              <w:bottom w:w="60" w:type="dxa"/>
              <w:right w:w="100" w:type="dxa"/>
            </w:tcMar>
          </w:tcPr>
          <w:p w14:paraId="2405F715" w14:textId="77777777" w:rsidR="008C4E6E" w:rsidRDefault="00000000">
            <w:pPr>
              <w:spacing w:before="20" w:after="20" w:line="290" w:lineRule="auto"/>
              <w:jc w:val="left"/>
            </w:pPr>
            <w:r>
              <w:rPr>
                <w:rFonts w:cs="Calibri"/>
                <w:sz w:val="19"/>
                <w:szCs w:val="19"/>
              </w:rPr>
              <w:t>Flashing white, period 6 seconds</w:t>
            </w:r>
          </w:p>
        </w:tc>
      </w:tr>
      <w:tr w:rsidR="008C4E6E" w14:paraId="1FBF941E" w14:textId="77777777">
        <w:tblPrEx>
          <w:tblCellMar>
            <w:top w:w="0" w:type="dxa"/>
            <w:bottom w:w="0" w:type="dxa"/>
          </w:tblCellMar>
        </w:tblPrEx>
        <w:tc>
          <w:tcPr>
            <w:tcW w:w="3116" w:type="dxa"/>
            <w:tcMar>
              <w:top w:w="60" w:type="dxa"/>
              <w:left w:w="100" w:type="dxa"/>
              <w:bottom w:w="60" w:type="dxa"/>
              <w:right w:w="100" w:type="dxa"/>
            </w:tcMar>
          </w:tcPr>
          <w:p w14:paraId="443D9408" w14:textId="77777777" w:rsidR="008C4E6E" w:rsidRDefault="00000000">
            <w:pPr>
              <w:spacing w:before="20" w:after="20" w:line="290" w:lineRule="auto"/>
              <w:jc w:val="left"/>
            </w:pPr>
            <w:r>
              <w:rPr>
                <w:rFonts w:cs="Calibri"/>
                <w:sz w:val="19"/>
                <w:szCs w:val="19"/>
              </w:rPr>
              <w:t>Mark EM-4</w:t>
            </w:r>
          </w:p>
        </w:tc>
        <w:tc>
          <w:tcPr>
            <w:tcW w:w="3116" w:type="dxa"/>
            <w:tcMar>
              <w:top w:w="60" w:type="dxa"/>
              <w:left w:w="100" w:type="dxa"/>
              <w:bottom w:w="60" w:type="dxa"/>
              <w:right w:w="100" w:type="dxa"/>
            </w:tcMar>
          </w:tcPr>
          <w:p w14:paraId="0964C9B5" w14:textId="77777777" w:rsidR="008C4E6E" w:rsidRDefault="00000000">
            <w:pPr>
              <w:spacing w:before="20" w:after="20" w:line="290" w:lineRule="auto"/>
              <w:jc w:val="left"/>
            </w:pPr>
            <w:r>
              <w:rPr>
                <w:rFonts w:cs="Calibri"/>
                <w:sz w:val="19"/>
                <w:szCs w:val="19"/>
              </w:rPr>
              <w:t>26 degrees 12.0 minutes N, 056 degrees 36.0 minutes E</w:t>
            </w:r>
          </w:p>
        </w:tc>
        <w:tc>
          <w:tcPr>
            <w:tcW w:w="3118" w:type="dxa"/>
            <w:tcMar>
              <w:top w:w="60" w:type="dxa"/>
              <w:left w:w="100" w:type="dxa"/>
              <w:bottom w:w="60" w:type="dxa"/>
              <w:right w:w="100" w:type="dxa"/>
            </w:tcMar>
          </w:tcPr>
          <w:p w14:paraId="7A9ACD36" w14:textId="77777777" w:rsidR="008C4E6E" w:rsidRDefault="00000000">
            <w:pPr>
              <w:spacing w:before="20" w:after="20" w:line="290" w:lineRule="auto"/>
              <w:jc w:val="left"/>
            </w:pPr>
            <w:r>
              <w:rPr>
                <w:rFonts w:cs="Calibri"/>
                <w:sz w:val="19"/>
                <w:szCs w:val="19"/>
              </w:rPr>
              <w:t>Group flashing (3) white, period 20 seconds</w:t>
            </w:r>
          </w:p>
        </w:tc>
      </w:tr>
    </w:tbl>
    <w:p w14:paraId="13A21459" w14:textId="77777777" w:rsidR="008C4E6E" w:rsidRDefault="008C4E6E">
      <w:pPr>
        <w:spacing w:after="80"/>
      </w:pPr>
    </w:p>
    <w:p w14:paraId="4BF35ED1" w14:textId="77777777" w:rsidR="008C4E6E" w:rsidRDefault="00000000">
      <w:pPr>
        <w:spacing w:before="40" w:after="200"/>
        <w:jc w:val="left"/>
      </w:pPr>
      <w:r>
        <w:rPr>
          <w:rFonts w:cs="Calibri"/>
          <w:i/>
          <w:color w:val="6E8A96"/>
          <w:sz w:val="19"/>
          <w:szCs w:val="19"/>
        </w:rPr>
        <w:t>Harmonized rhythm table of Exercise B-6. Adjustments follow the joint inspection cycle of Article 18.3.</w:t>
      </w:r>
    </w:p>
    <w:p w14:paraId="52895283" w14:textId="77777777" w:rsidR="008C4E6E" w:rsidRDefault="00000000">
      <w:pPr>
        <w:pStyle w:val="Heading1"/>
      </w:pPr>
      <w:bookmarkStart w:id="84" w:name="_Toc237650640"/>
      <w:r>
        <w:rPr>
          <w:rFonts w:cs="Calibri Light"/>
          <w:szCs w:val="36"/>
        </w:rPr>
        <w:t>Annex B: The Micro-Exercise Catalog</w:t>
      </w:r>
      <w:bookmarkEnd w:id="84"/>
    </w:p>
    <w:p w14:paraId="792F5C94" w14:textId="77777777" w:rsidR="008C4E6E" w:rsidRDefault="00000000">
      <w:r>
        <w:rPr>
          <w:rFonts w:cs="Calibri"/>
          <w:szCs w:val="22"/>
        </w:rPr>
        <w:t>This Annex carries the standing catalog from which substitute and additional exercises draw under Article 15.3. Articles 10 to 14 contain the operative text of the fifty founding exercises. The catalog below records the cluster, the metric family, and the substitution rule for each exercise number. A substitute exercise addresses the same cluster and the same metric family as the exercise it replaces, and the Calm Waters Cell registers the substitution before start.</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2376"/>
        <w:gridCol w:w="2376"/>
        <w:gridCol w:w="2376"/>
        <w:gridCol w:w="2378"/>
      </w:tblGrid>
      <w:tr w:rsidR="008C4E6E" w14:paraId="4AA0D5F3" w14:textId="77777777">
        <w:tblPrEx>
          <w:tblCellMar>
            <w:top w:w="0" w:type="dxa"/>
            <w:bottom w:w="0" w:type="dxa"/>
          </w:tblCellMar>
        </w:tblPrEx>
        <w:trPr>
          <w:tblHeader/>
        </w:trPr>
        <w:tc>
          <w:tcPr>
            <w:tcW w:w="2337" w:type="dxa"/>
            <w:shd w:val="clear" w:color="auto" w:fill="E4EEF1"/>
            <w:tcMar>
              <w:top w:w="60" w:type="dxa"/>
              <w:left w:w="100" w:type="dxa"/>
              <w:bottom w:w="60" w:type="dxa"/>
              <w:right w:w="100" w:type="dxa"/>
            </w:tcMar>
          </w:tcPr>
          <w:p w14:paraId="28FF96AC" w14:textId="77777777" w:rsidR="008C4E6E" w:rsidRDefault="00000000">
            <w:pPr>
              <w:spacing w:before="20" w:after="20" w:line="290" w:lineRule="auto"/>
              <w:jc w:val="left"/>
            </w:pPr>
            <w:r>
              <w:rPr>
                <w:rFonts w:cs="Calibri"/>
                <w:b/>
                <w:color w:val="1F4E5F"/>
                <w:sz w:val="19"/>
                <w:szCs w:val="19"/>
              </w:rPr>
              <w:t>Number</w:t>
            </w:r>
          </w:p>
        </w:tc>
        <w:tc>
          <w:tcPr>
            <w:tcW w:w="2337" w:type="dxa"/>
            <w:shd w:val="clear" w:color="auto" w:fill="E4EEF1"/>
            <w:tcMar>
              <w:top w:w="60" w:type="dxa"/>
              <w:left w:w="100" w:type="dxa"/>
              <w:bottom w:w="60" w:type="dxa"/>
              <w:right w:w="100" w:type="dxa"/>
            </w:tcMar>
          </w:tcPr>
          <w:p w14:paraId="70441687" w14:textId="77777777" w:rsidR="008C4E6E" w:rsidRDefault="00000000">
            <w:pPr>
              <w:spacing w:before="20" w:after="20" w:line="290" w:lineRule="auto"/>
              <w:jc w:val="left"/>
            </w:pPr>
            <w:r>
              <w:rPr>
                <w:rFonts w:cs="Calibri"/>
                <w:b/>
                <w:color w:val="1F4E5F"/>
                <w:sz w:val="19"/>
                <w:szCs w:val="19"/>
              </w:rPr>
              <w:t>Exercise</w:t>
            </w:r>
          </w:p>
        </w:tc>
        <w:tc>
          <w:tcPr>
            <w:tcW w:w="2337" w:type="dxa"/>
            <w:shd w:val="clear" w:color="auto" w:fill="E4EEF1"/>
            <w:tcMar>
              <w:top w:w="60" w:type="dxa"/>
              <w:left w:w="100" w:type="dxa"/>
              <w:bottom w:w="60" w:type="dxa"/>
              <w:right w:w="100" w:type="dxa"/>
            </w:tcMar>
          </w:tcPr>
          <w:p w14:paraId="7F213545" w14:textId="77777777" w:rsidR="008C4E6E" w:rsidRDefault="00000000">
            <w:pPr>
              <w:spacing w:before="20" w:after="20" w:line="290" w:lineRule="auto"/>
              <w:jc w:val="left"/>
            </w:pPr>
            <w:r>
              <w:rPr>
                <w:rFonts w:cs="Calibri"/>
                <w:b/>
                <w:color w:val="1F4E5F"/>
                <w:sz w:val="19"/>
                <w:szCs w:val="19"/>
              </w:rPr>
              <w:t>Cluster</w:t>
            </w:r>
          </w:p>
        </w:tc>
        <w:tc>
          <w:tcPr>
            <w:tcW w:w="2339" w:type="dxa"/>
            <w:shd w:val="clear" w:color="auto" w:fill="E4EEF1"/>
            <w:tcMar>
              <w:top w:w="60" w:type="dxa"/>
              <w:left w:w="100" w:type="dxa"/>
              <w:bottom w:w="60" w:type="dxa"/>
              <w:right w:w="100" w:type="dxa"/>
            </w:tcMar>
          </w:tcPr>
          <w:p w14:paraId="38059E90" w14:textId="77777777" w:rsidR="008C4E6E" w:rsidRDefault="00000000">
            <w:pPr>
              <w:spacing w:before="20" w:after="20" w:line="290" w:lineRule="auto"/>
              <w:jc w:val="left"/>
            </w:pPr>
            <w:r>
              <w:rPr>
                <w:rFonts w:cs="Calibri"/>
                <w:b/>
                <w:color w:val="1F4E5F"/>
                <w:sz w:val="19"/>
                <w:szCs w:val="19"/>
              </w:rPr>
              <w:t>Metric family</w:t>
            </w:r>
          </w:p>
        </w:tc>
      </w:tr>
      <w:tr w:rsidR="008C4E6E" w14:paraId="732546F0" w14:textId="77777777">
        <w:tblPrEx>
          <w:tblCellMar>
            <w:top w:w="0" w:type="dxa"/>
            <w:bottom w:w="0" w:type="dxa"/>
          </w:tblCellMar>
        </w:tblPrEx>
        <w:tc>
          <w:tcPr>
            <w:tcW w:w="2337" w:type="dxa"/>
            <w:tcMar>
              <w:top w:w="60" w:type="dxa"/>
              <w:left w:w="100" w:type="dxa"/>
              <w:bottom w:w="60" w:type="dxa"/>
              <w:right w:w="100" w:type="dxa"/>
            </w:tcMar>
          </w:tcPr>
          <w:p w14:paraId="173CAABD" w14:textId="77777777" w:rsidR="008C4E6E" w:rsidRDefault="00000000">
            <w:pPr>
              <w:spacing w:before="20" w:after="20" w:line="290" w:lineRule="auto"/>
              <w:jc w:val="left"/>
            </w:pPr>
            <w:r>
              <w:rPr>
                <w:rFonts w:cs="Calibri"/>
                <w:sz w:val="19"/>
                <w:szCs w:val="19"/>
              </w:rPr>
              <w:t>A-1</w:t>
            </w:r>
          </w:p>
        </w:tc>
        <w:tc>
          <w:tcPr>
            <w:tcW w:w="2337" w:type="dxa"/>
            <w:tcMar>
              <w:top w:w="60" w:type="dxa"/>
              <w:left w:w="100" w:type="dxa"/>
              <w:bottom w:w="60" w:type="dxa"/>
              <w:right w:w="100" w:type="dxa"/>
            </w:tcMar>
          </w:tcPr>
          <w:p w14:paraId="0D6ED7E0" w14:textId="77777777" w:rsidR="008C4E6E" w:rsidRDefault="00000000">
            <w:pPr>
              <w:spacing w:before="20" w:after="20" w:line="290" w:lineRule="auto"/>
              <w:jc w:val="left"/>
            </w:pPr>
            <w:r>
              <w:rPr>
                <w:rFonts w:cs="Calibri"/>
                <w:sz w:val="19"/>
                <w:szCs w:val="19"/>
              </w:rPr>
              <w:t>AIS snapshot swap</w:t>
            </w:r>
          </w:p>
        </w:tc>
        <w:tc>
          <w:tcPr>
            <w:tcW w:w="2337" w:type="dxa"/>
            <w:tcMar>
              <w:top w:w="60" w:type="dxa"/>
              <w:left w:w="100" w:type="dxa"/>
              <w:bottom w:w="60" w:type="dxa"/>
              <w:right w:w="100" w:type="dxa"/>
            </w:tcMar>
          </w:tcPr>
          <w:p w14:paraId="705C5D3A"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22716465" w14:textId="77777777" w:rsidR="008C4E6E" w:rsidRDefault="00000000">
            <w:pPr>
              <w:spacing w:before="20" w:after="20" w:line="290" w:lineRule="auto"/>
              <w:jc w:val="left"/>
            </w:pPr>
            <w:r>
              <w:rPr>
                <w:rFonts w:cs="Calibri"/>
                <w:sz w:val="19"/>
                <w:szCs w:val="19"/>
              </w:rPr>
              <w:t>Exchange completion</w:t>
            </w:r>
          </w:p>
        </w:tc>
      </w:tr>
      <w:tr w:rsidR="008C4E6E" w14:paraId="6438F92E" w14:textId="77777777">
        <w:tblPrEx>
          <w:tblCellMar>
            <w:top w:w="0" w:type="dxa"/>
            <w:bottom w:w="0" w:type="dxa"/>
          </w:tblCellMar>
        </w:tblPrEx>
        <w:tc>
          <w:tcPr>
            <w:tcW w:w="2337" w:type="dxa"/>
            <w:tcMar>
              <w:top w:w="60" w:type="dxa"/>
              <w:left w:w="100" w:type="dxa"/>
              <w:bottom w:w="60" w:type="dxa"/>
              <w:right w:w="100" w:type="dxa"/>
            </w:tcMar>
          </w:tcPr>
          <w:p w14:paraId="781F53A1" w14:textId="77777777" w:rsidR="008C4E6E" w:rsidRDefault="00000000">
            <w:pPr>
              <w:spacing w:before="20" w:after="20" w:line="290" w:lineRule="auto"/>
              <w:jc w:val="left"/>
            </w:pPr>
            <w:r>
              <w:rPr>
                <w:rFonts w:cs="Calibri"/>
                <w:sz w:val="19"/>
                <w:szCs w:val="19"/>
              </w:rPr>
              <w:t>A-2</w:t>
            </w:r>
          </w:p>
        </w:tc>
        <w:tc>
          <w:tcPr>
            <w:tcW w:w="2337" w:type="dxa"/>
            <w:tcMar>
              <w:top w:w="60" w:type="dxa"/>
              <w:left w:w="100" w:type="dxa"/>
              <w:bottom w:w="60" w:type="dxa"/>
              <w:right w:w="100" w:type="dxa"/>
            </w:tcMar>
          </w:tcPr>
          <w:p w14:paraId="64D83DCC" w14:textId="77777777" w:rsidR="008C4E6E" w:rsidRDefault="00000000">
            <w:pPr>
              <w:spacing w:before="20" w:after="20" w:line="290" w:lineRule="auto"/>
              <w:jc w:val="left"/>
            </w:pPr>
            <w:r>
              <w:rPr>
                <w:rFonts w:cs="Calibri"/>
                <w:sz w:val="19"/>
                <w:szCs w:val="19"/>
              </w:rPr>
              <w:t>Visibility-only feed</w:t>
            </w:r>
          </w:p>
        </w:tc>
        <w:tc>
          <w:tcPr>
            <w:tcW w:w="2337" w:type="dxa"/>
            <w:tcMar>
              <w:top w:w="60" w:type="dxa"/>
              <w:left w:w="100" w:type="dxa"/>
              <w:bottom w:w="60" w:type="dxa"/>
              <w:right w:w="100" w:type="dxa"/>
            </w:tcMar>
          </w:tcPr>
          <w:p w14:paraId="56C7B41E"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4655CA26" w14:textId="77777777" w:rsidR="008C4E6E" w:rsidRDefault="00000000">
            <w:pPr>
              <w:spacing w:before="20" w:after="20" w:line="290" w:lineRule="auto"/>
              <w:jc w:val="left"/>
            </w:pPr>
            <w:r>
              <w:rPr>
                <w:rFonts w:cs="Calibri"/>
                <w:sz w:val="19"/>
                <w:szCs w:val="19"/>
              </w:rPr>
              <w:t>Feed continuity</w:t>
            </w:r>
          </w:p>
        </w:tc>
      </w:tr>
      <w:tr w:rsidR="008C4E6E" w14:paraId="5B88AC1C" w14:textId="77777777">
        <w:tblPrEx>
          <w:tblCellMar>
            <w:top w:w="0" w:type="dxa"/>
            <w:bottom w:w="0" w:type="dxa"/>
          </w:tblCellMar>
        </w:tblPrEx>
        <w:tc>
          <w:tcPr>
            <w:tcW w:w="2337" w:type="dxa"/>
            <w:tcMar>
              <w:top w:w="60" w:type="dxa"/>
              <w:left w:w="100" w:type="dxa"/>
              <w:bottom w:w="60" w:type="dxa"/>
              <w:right w:w="100" w:type="dxa"/>
            </w:tcMar>
          </w:tcPr>
          <w:p w14:paraId="78BC50B2" w14:textId="77777777" w:rsidR="008C4E6E" w:rsidRDefault="00000000">
            <w:pPr>
              <w:spacing w:before="20" w:after="20" w:line="290" w:lineRule="auto"/>
              <w:jc w:val="left"/>
            </w:pPr>
            <w:r>
              <w:rPr>
                <w:rFonts w:cs="Calibri"/>
                <w:sz w:val="19"/>
                <w:szCs w:val="19"/>
              </w:rPr>
              <w:t>A-3</w:t>
            </w:r>
          </w:p>
        </w:tc>
        <w:tc>
          <w:tcPr>
            <w:tcW w:w="2337" w:type="dxa"/>
            <w:tcMar>
              <w:top w:w="60" w:type="dxa"/>
              <w:left w:w="100" w:type="dxa"/>
              <w:bottom w:w="60" w:type="dxa"/>
              <w:right w:w="100" w:type="dxa"/>
            </w:tcMar>
          </w:tcPr>
          <w:p w14:paraId="6B70A796" w14:textId="77777777" w:rsidR="008C4E6E" w:rsidRDefault="00000000">
            <w:pPr>
              <w:spacing w:before="20" w:after="20" w:line="290" w:lineRule="auto"/>
              <w:jc w:val="left"/>
            </w:pPr>
            <w:r>
              <w:rPr>
                <w:rFonts w:cs="Calibri"/>
                <w:sz w:val="19"/>
                <w:szCs w:val="19"/>
              </w:rPr>
              <w:t>Micro weather exchange</w:t>
            </w:r>
          </w:p>
        </w:tc>
        <w:tc>
          <w:tcPr>
            <w:tcW w:w="2337" w:type="dxa"/>
            <w:tcMar>
              <w:top w:w="60" w:type="dxa"/>
              <w:left w:w="100" w:type="dxa"/>
              <w:bottom w:w="60" w:type="dxa"/>
              <w:right w:w="100" w:type="dxa"/>
            </w:tcMar>
          </w:tcPr>
          <w:p w14:paraId="5BDA071F"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5650242D" w14:textId="77777777" w:rsidR="008C4E6E" w:rsidRDefault="00000000">
            <w:pPr>
              <w:spacing w:before="20" w:after="20" w:line="290" w:lineRule="auto"/>
              <w:jc w:val="left"/>
            </w:pPr>
            <w:r>
              <w:rPr>
                <w:rFonts w:cs="Calibri"/>
                <w:sz w:val="19"/>
                <w:szCs w:val="19"/>
              </w:rPr>
              <w:t>Summary identity</w:t>
            </w:r>
          </w:p>
        </w:tc>
      </w:tr>
      <w:tr w:rsidR="008C4E6E" w14:paraId="69905A89" w14:textId="77777777">
        <w:tblPrEx>
          <w:tblCellMar>
            <w:top w:w="0" w:type="dxa"/>
            <w:bottom w:w="0" w:type="dxa"/>
          </w:tblCellMar>
        </w:tblPrEx>
        <w:tc>
          <w:tcPr>
            <w:tcW w:w="2337" w:type="dxa"/>
            <w:tcMar>
              <w:top w:w="60" w:type="dxa"/>
              <w:left w:w="100" w:type="dxa"/>
              <w:bottom w:w="60" w:type="dxa"/>
              <w:right w:w="100" w:type="dxa"/>
            </w:tcMar>
          </w:tcPr>
          <w:p w14:paraId="253F9F3E" w14:textId="77777777" w:rsidR="008C4E6E" w:rsidRDefault="00000000">
            <w:pPr>
              <w:spacing w:before="20" w:after="20" w:line="290" w:lineRule="auto"/>
              <w:jc w:val="left"/>
            </w:pPr>
            <w:r>
              <w:rPr>
                <w:rFonts w:cs="Calibri"/>
                <w:sz w:val="19"/>
                <w:szCs w:val="19"/>
              </w:rPr>
              <w:lastRenderedPageBreak/>
              <w:t>A-4</w:t>
            </w:r>
          </w:p>
        </w:tc>
        <w:tc>
          <w:tcPr>
            <w:tcW w:w="2337" w:type="dxa"/>
            <w:tcMar>
              <w:top w:w="60" w:type="dxa"/>
              <w:left w:w="100" w:type="dxa"/>
              <w:bottom w:w="60" w:type="dxa"/>
              <w:right w:w="100" w:type="dxa"/>
            </w:tcMar>
          </w:tcPr>
          <w:p w14:paraId="14CCC4AC" w14:textId="77777777" w:rsidR="008C4E6E" w:rsidRDefault="00000000">
            <w:pPr>
              <w:spacing w:before="20" w:after="20" w:line="290" w:lineRule="auto"/>
              <w:jc w:val="left"/>
            </w:pPr>
            <w:r>
              <w:rPr>
                <w:rFonts w:cs="Calibri"/>
                <w:sz w:val="19"/>
                <w:szCs w:val="19"/>
              </w:rPr>
              <w:t>Shared tide table</w:t>
            </w:r>
          </w:p>
        </w:tc>
        <w:tc>
          <w:tcPr>
            <w:tcW w:w="2337" w:type="dxa"/>
            <w:tcMar>
              <w:top w:w="60" w:type="dxa"/>
              <w:left w:w="100" w:type="dxa"/>
              <w:bottom w:w="60" w:type="dxa"/>
              <w:right w:w="100" w:type="dxa"/>
            </w:tcMar>
          </w:tcPr>
          <w:p w14:paraId="0EA1C857"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6F8F5A84" w14:textId="77777777" w:rsidR="008C4E6E" w:rsidRDefault="00000000">
            <w:pPr>
              <w:spacing w:before="20" w:after="20" w:line="290" w:lineRule="auto"/>
              <w:jc w:val="left"/>
            </w:pPr>
            <w:r>
              <w:rPr>
                <w:rFonts w:cs="Calibri"/>
                <w:sz w:val="19"/>
                <w:szCs w:val="19"/>
              </w:rPr>
              <w:t>Prediction variance</w:t>
            </w:r>
          </w:p>
        </w:tc>
      </w:tr>
      <w:tr w:rsidR="008C4E6E" w14:paraId="0F10F8E4" w14:textId="77777777">
        <w:tblPrEx>
          <w:tblCellMar>
            <w:top w:w="0" w:type="dxa"/>
            <w:bottom w:w="0" w:type="dxa"/>
          </w:tblCellMar>
        </w:tblPrEx>
        <w:tc>
          <w:tcPr>
            <w:tcW w:w="2337" w:type="dxa"/>
            <w:tcMar>
              <w:top w:w="60" w:type="dxa"/>
              <w:left w:w="100" w:type="dxa"/>
              <w:bottom w:w="60" w:type="dxa"/>
              <w:right w:w="100" w:type="dxa"/>
            </w:tcMar>
          </w:tcPr>
          <w:p w14:paraId="61EE18DA" w14:textId="77777777" w:rsidR="008C4E6E" w:rsidRDefault="00000000">
            <w:pPr>
              <w:spacing w:before="20" w:after="20" w:line="290" w:lineRule="auto"/>
              <w:jc w:val="left"/>
            </w:pPr>
            <w:r>
              <w:rPr>
                <w:rFonts w:cs="Calibri"/>
                <w:sz w:val="19"/>
                <w:szCs w:val="19"/>
              </w:rPr>
              <w:t>A-5</w:t>
            </w:r>
          </w:p>
        </w:tc>
        <w:tc>
          <w:tcPr>
            <w:tcW w:w="2337" w:type="dxa"/>
            <w:tcMar>
              <w:top w:w="60" w:type="dxa"/>
              <w:left w:w="100" w:type="dxa"/>
              <w:bottom w:w="60" w:type="dxa"/>
              <w:right w:w="100" w:type="dxa"/>
            </w:tcMar>
          </w:tcPr>
          <w:p w14:paraId="063C504B" w14:textId="77777777" w:rsidR="008C4E6E" w:rsidRDefault="00000000">
            <w:pPr>
              <w:spacing w:before="20" w:after="20" w:line="290" w:lineRule="auto"/>
              <w:jc w:val="left"/>
            </w:pPr>
            <w:r>
              <w:rPr>
                <w:rFonts w:cs="Calibri"/>
                <w:sz w:val="19"/>
                <w:szCs w:val="19"/>
              </w:rPr>
              <w:t>Swell-risk micro-map</w:t>
            </w:r>
          </w:p>
        </w:tc>
        <w:tc>
          <w:tcPr>
            <w:tcW w:w="2337" w:type="dxa"/>
            <w:tcMar>
              <w:top w:w="60" w:type="dxa"/>
              <w:left w:w="100" w:type="dxa"/>
              <w:bottom w:w="60" w:type="dxa"/>
              <w:right w:w="100" w:type="dxa"/>
            </w:tcMar>
          </w:tcPr>
          <w:p w14:paraId="52E112B4"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1F976BD8" w14:textId="77777777" w:rsidR="008C4E6E" w:rsidRDefault="00000000">
            <w:pPr>
              <w:spacing w:before="20" w:after="20" w:line="290" w:lineRule="auto"/>
              <w:jc w:val="left"/>
            </w:pPr>
            <w:r>
              <w:rPr>
                <w:rFonts w:cs="Calibri"/>
                <w:sz w:val="19"/>
                <w:szCs w:val="19"/>
              </w:rPr>
              <w:t>Joint product signed</w:t>
            </w:r>
          </w:p>
        </w:tc>
      </w:tr>
      <w:tr w:rsidR="008C4E6E" w14:paraId="71D07120" w14:textId="77777777">
        <w:tblPrEx>
          <w:tblCellMar>
            <w:top w:w="0" w:type="dxa"/>
            <w:bottom w:w="0" w:type="dxa"/>
          </w:tblCellMar>
        </w:tblPrEx>
        <w:tc>
          <w:tcPr>
            <w:tcW w:w="2337" w:type="dxa"/>
            <w:tcMar>
              <w:top w:w="60" w:type="dxa"/>
              <w:left w:w="100" w:type="dxa"/>
              <w:bottom w:w="60" w:type="dxa"/>
              <w:right w:w="100" w:type="dxa"/>
            </w:tcMar>
          </w:tcPr>
          <w:p w14:paraId="1928F7E1" w14:textId="77777777" w:rsidR="008C4E6E" w:rsidRDefault="00000000">
            <w:pPr>
              <w:spacing w:before="20" w:after="20" w:line="290" w:lineRule="auto"/>
              <w:jc w:val="left"/>
            </w:pPr>
            <w:r>
              <w:rPr>
                <w:rFonts w:cs="Calibri"/>
                <w:sz w:val="19"/>
                <w:szCs w:val="19"/>
              </w:rPr>
              <w:t>A-6</w:t>
            </w:r>
          </w:p>
        </w:tc>
        <w:tc>
          <w:tcPr>
            <w:tcW w:w="2337" w:type="dxa"/>
            <w:tcMar>
              <w:top w:w="60" w:type="dxa"/>
              <w:left w:w="100" w:type="dxa"/>
              <w:bottom w:w="60" w:type="dxa"/>
              <w:right w:w="100" w:type="dxa"/>
            </w:tcMar>
          </w:tcPr>
          <w:p w14:paraId="53BA3D4B" w14:textId="77777777" w:rsidR="008C4E6E" w:rsidRDefault="00000000">
            <w:pPr>
              <w:spacing w:before="20" w:after="20" w:line="290" w:lineRule="auto"/>
              <w:jc w:val="left"/>
            </w:pPr>
            <w:r>
              <w:rPr>
                <w:rFonts w:cs="Calibri"/>
                <w:sz w:val="19"/>
                <w:szCs w:val="19"/>
              </w:rPr>
              <w:t>Shared hazard bulletin</w:t>
            </w:r>
          </w:p>
        </w:tc>
        <w:tc>
          <w:tcPr>
            <w:tcW w:w="2337" w:type="dxa"/>
            <w:tcMar>
              <w:top w:w="60" w:type="dxa"/>
              <w:left w:w="100" w:type="dxa"/>
              <w:bottom w:w="60" w:type="dxa"/>
              <w:right w:w="100" w:type="dxa"/>
            </w:tcMar>
          </w:tcPr>
          <w:p w14:paraId="2ACE35D2"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43F38F62" w14:textId="77777777" w:rsidR="008C4E6E" w:rsidRDefault="00000000">
            <w:pPr>
              <w:spacing w:before="20" w:after="20" w:line="290" w:lineRule="auto"/>
              <w:jc w:val="left"/>
            </w:pPr>
            <w:r>
              <w:rPr>
                <w:rFonts w:cs="Calibri"/>
                <w:sz w:val="19"/>
                <w:szCs w:val="19"/>
              </w:rPr>
              <w:t>Bulletin completion</w:t>
            </w:r>
          </w:p>
        </w:tc>
      </w:tr>
      <w:tr w:rsidR="008C4E6E" w14:paraId="6B8AFEF2" w14:textId="77777777">
        <w:tblPrEx>
          <w:tblCellMar>
            <w:top w:w="0" w:type="dxa"/>
            <w:bottom w:w="0" w:type="dxa"/>
          </w:tblCellMar>
        </w:tblPrEx>
        <w:tc>
          <w:tcPr>
            <w:tcW w:w="2337" w:type="dxa"/>
            <w:tcMar>
              <w:top w:w="60" w:type="dxa"/>
              <w:left w:w="100" w:type="dxa"/>
              <w:bottom w:w="60" w:type="dxa"/>
              <w:right w:w="100" w:type="dxa"/>
            </w:tcMar>
          </w:tcPr>
          <w:p w14:paraId="6490C040" w14:textId="77777777" w:rsidR="008C4E6E" w:rsidRDefault="00000000">
            <w:pPr>
              <w:spacing w:before="20" w:after="20" w:line="290" w:lineRule="auto"/>
              <w:jc w:val="left"/>
            </w:pPr>
            <w:r>
              <w:rPr>
                <w:rFonts w:cs="Calibri"/>
                <w:sz w:val="19"/>
                <w:szCs w:val="19"/>
              </w:rPr>
              <w:t>A-7</w:t>
            </w:r>
          </w:p>
        </w:tc>
        <w:tc>
          <w:tcPr>
            <w:tcW w:w="2337" w:type="dxa"/>
            <w:tcMar>
              <w:top w:w="60" w:type="dxa"/>
              <w:left w:w="100" w:type="dxa"/>
              <w:bottom w:w="60" w:type="dxa"/>
              <w:right w:w="100" w:type="dxa"/>
            </w:tcMar>
          </w:tcPr>
          <w:p w14:paraId="202C392F" w14:textId="77777777" w:rsidR="008C4E6E" w:rsidRDefault="00000000">
            <w:pPr>
              <w:spacing w:before="20" w:after="20" w:line="290" w:lineRule="auto"/>
              <w:jc w:val="left"/>
            </w:pPr>
            <w:r>
              <w:rPr>
                <w:rFonts w:cs="Calibri"/>
                <w:sz w:val="19"/>
                <w:szCs w:val="19"/>
              </w:rPr>
              <w:t>Shared storm threshold</w:t>
            </w:r>
          </w:p>
        </w:tc>
        <w:tc>
          <w:tcPr>
            <w:tcW w:w="2337" w:type="dxa"/>
            <w:tcMar>
              <w:top w:w="60" w:type="dxa"/>
              <w:left w:w="100" w:type="dxa"/>
              <w:bottom w:w="60" w:type="dxa"/>
              <w:right w:w="100" w:type="dxa"/>
            </w:tcMar>
          </w:tcPr>
          <w:p w14:paraId="5B9A830F"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51A2BF20" w14:textId="77777777" w:rsidR="008C4E6E" w:rsidRDefault="00000000">
            <w:pPr>
              <w:spacing w:before="20" w:after="20" w:line="290" w:lineRule="auto"/>
              <w:jc w:val="left"/>
            </w:pPr>
            <w:r>
              <w:rPr>
                <w:rFonts w:cs="Calibri"/>
                <w:sz w:val="19"/>
                <w:szCs w:val="19"/>
              </w:rPr>
              <w:t>Simultaneous issuance</w:t>
            </w:r>
          </w:p>
        </w:tc>
      </w:tr>
      <w:tr w:rsidR="008C4E6E" w14:paraId="17BD4E56" w14:textId="77777777">
        <w:tblPrEx>
          <w:tblCellMar>
            <w:top w:w="0" w:type="dxa"/>
            <w:bottom w:w="0" w:type="dxa"/>
          </w:tblCellMar>
        </w:tblPrEx>
        <w:tc>
          <w:tcPr>
            <w:tcW w:w="2337" w:type="dxa"/>
            <w:tcMar>
              <w:top w:w="60" w:type="dxa"/>
              <w:left w:w="100" w:type="dxa"/>
              <w:bottom w:w="60" w:type="dxa"/>
              <w:right w:w="100" w:type="dxa"/>
            </w:tcMar>
          </w:tcPr>
          <w:p w14:paraId="4E637F53" w14:textId="77777777" w:rsidR="008C4E6E" w:rsidRDefault="00000000">
            <w:pPr>
              <w:spacing w:before="20" w:after="20" w:line="290" w:lineRule="auto"/>
              <w:jc w:val="left"/>
            </w:pPr>
            <w:r>
              <w:rPr>
                <w:rFonts w:cs="Calibri"/>
                <w:sz w:val="19"/>
                <w:szCs w:val="19"/>
              </w:rPr>
              <w:t>A-8</w:t>
            </w:r>
          </w:p>
        </w:tc>
        <w:tc>
          <w:tcPr>
            <w:tcW w:w="2337" w:type="dxa"/>
            <w:tcMar>
              <w:top w:w="60" w:type="dxa"/>
              <w:left w:w="100" w:type="dxa"/>
              <w:bottom w:w="60" w:type="dxa"/>
              <w:right w:w="100" w:type="dxa"/>
            </w:tcMar>
          </w:tcPr>
          <w:p w14:paraId="5A188544" w14:textId="77777777" w:rsidR="008C4E6E" w:rsidRDefault="00000000">
            <w:pPr>
              <w:spacing w:before="20" w:after="20" w:line="290" w:lineRule="auto"/>
              <w:jc w:val="left"/>
            </w:pPr>
            <w:r>
              <w:rPr>
                <w:rFonts w:cs="Calibri"/>
                <w:sz w:val="19"/>
                <w:szCs w:val="19"/>
              </w:rPr>
              <w:t>Micro-meteorology desk</w:t>
            </w:r>
          </w:p>
        </w:tc>
        <w:tc>
          <w:tcPr>
            <w:tcW w:w="2337" w:type="dxa"/>
            <w:tcMar>
              <w:top w:w="60" w:type="dxa"/>
              <w:left w:w="100" w:type="dxa"/>
              <w:bottom w:w="60" w:type="dxa"/>
              <w:right w:w="100" w:type="dxa"/>
            </w:tcMar>
          </w:tcPr>
          <w:p w14:paraId="79BD740A"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7419AAE0" w14:textId="77777777" w:rsidR="008C4E6E" w:rsidRDefault="00000000">
            <w:pPr>
              <w:spacing w:before="20" w:after="20" w:line="290" w:lineRule="auto"/>
              <w:jc w:val="left"/>
            </w:pPr>
            <w:r>
              <w:rPr>
                <w:rFonts w:cs="Calibri"/>
                <w:sz w:val="19"/>
                <w:szCs w:val="19"/>
              </w:rPr>
              <w:t>Harmonized wording</w:t>
            </w:r>
          </w:p>
        </w:tc>
      </w:tr>
      <w:tr w:rsidR="008C4E6E" w14:paraId="7E4590EF" w14:textId="77777777">
        <w:tblPrEx>
          <w:tblCellMar>
            <w:top w:w="0" w:type="dxa"/>
            <w:bottom w:w="0" w:type="dxa"/>
          </w:tblCellMar>
        </w:tblPrEx>
        <w:tc>
          <w:tcPr>
            <w:tcW w:w="2337" w:type="dxa"/>
            <w:tcMar>
              <w:top w:w="60" w:type="dxa"/>
              <w:left w:w="100" w:type="dxa"/>
              <w:bottom w:w="60" w:type="dxa"/>
              <w:right w:w="100" w:type="dxa"/>
            </w:tcMar>
          </w:tcPr>
          <w:p w14:paraId="5472EF90" w14:textId="77777777" w:rsidR="008C4E6E" w:rsidRDefault="00000000">
            <w:pPr>
              <w:spacing w:before="20" w:after="20" w:line="290" w:lineRule="auto"/>
              <w:jc w:val="left"/>
            </w:pPr>
            <w:r>
              <w:rPr>
                <w:rFonts w:cs="Calibri"/>
                <w:sz w:val="19"/>
                <w:szCs w:val="19"/>
              </w:rPr>
              <w:t>A-9</w:t>
            </w:r>
          </w:p>
        </w:tc>
        <w:tc>
          <w:tcPr>
            <w:tcW w:w="2337" w:type="dxa"/>
            <w:tcMar>
              <w:top w:w="60" w:type="dxa"/>
              <w:left w:w="100" w:type="dxa"/>
              <w:bottom w:w="60" w:type="dxa"/>
              <w:right w:w="100" w:type="dxa"/>
            </w:tcMar>
          </w:tcPr>
          <w:p w14:paraId="585D5B9A" w14:textId="77777777" w:rsidR="008C4E6E" w:rsidRDefault="00000000">
            <w:pPr>
              <w:spacing w:before="20" w:after="20" w:line="290" w:lineRule="auto"/>
              <w:jc w:val="left"/>
            </w:pPr>
            <w:r>
              <w:rPr>
                <w:rFonts w:cs="Calibri"/>
                <w:sz w:val="19"/>
                <w:szCs w:val="19"/>
              </w:rPr>
              <w:t>Joint hazard symbols</w:t>
            </w:r>
          </w:p>
        </w:tc>
        <w:tc>
          <w:tcPr>
            <w:tcW w:w="2337" w:type="dxa"/>
            <w:tcMar>
              <w:top w:w="60" w:type="dxa"/>
              <w:left w:w="100" w:type="dxa"/>
              <w:bottom w:w="60" w:type="dxa"/>
              <w:right w:w="100" w:type="dxa"/>
            </w:tcMar>
          </w:tcPr>
          <w:p w14:paraId="108FF931"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7E5782E5" w14:textId="77777777" w:rsidR="008C4E6E" w:rsidRDefault="00000000">
            <w:pPr>
              <w:spacing w:before="20" w:after="20" w:line="290" w:lineRule="auto"/>
              <w:jc w:val="left"/>
            </w:pPr>
            <w:r>
              <w:rPr>
                <w:rFonts w:cs="Calibri"/>
                <w:sz w:val="19"/>
                <w:szCs w:val="19"/>
              </w:rPr>
              <w:t>Standard adoption</w:t>
            </w:r>
          </w:p>
        </w:tc>
      </w:tr>
      <w:tr w:rsidR="008C4E6E" w14:paraId="313EAC28" w14:textId="77777777">
        <w:tblPrEx>
          <w:tblCellMar>
            <w:top w:w="0" w:type="dxa"/>
            <w:bottom w:w="0" w:type="dxa"/>
          </w:tblCellMar>
        </w:tblPrEx>
        <w:tc>
          <w:tcPr>
            <w:tcW w:w="2337" w:type="dxa"/>
            <w:tcMar>
              <w:top w:w="60" w:type="dxa"/>
              <w:left w:w="100" w:type="dxa"/>
              <w:bottom w:w="60" w:type="dxa"/>
              <w:right w:w="100" w:type="dxa"/>
            </w:tcMar>
          </w:tcPr>
          <w:p w14:paraId="4DD629DE" w14:textId="77777777" w:rsidR="008C4E6E" w:rsidRDefault="00000000">
            <w:pPr>
              <w:spacing w:before="20" w:after="20" w:line="290" w:lineRule="auto"/>
              <w:jc w:val="left"/>
            </w:pPr>
            <w:r>
              <w:rPr>
                <w:rFonts w:cs="Calibri"/>
                <w:sz w:val="19"/>
                <w:szCs w:val="19"/>
              </w:rPr>
              <w:t>A-10</w:t>
            </w:r>
          </w:p>
        </w:tc>
        <w:tc>
          <w:tcPr>
            <w:tcW w:w="2337" w:type="dxa"/>
            <w:tcMar>
              <w:top w:w="60" w:type="dxa"/>
              <w:left w:w="100" w:type="dxa"/>
              <w:bottom w:w="60" w:type="dxa"/>
              <w:right w:w="100" w:type="dxa"/>
            </w:tcMar>
          </w:tcPr>
          <w:p w14:paraId="2C110C08" w14:textId="77777777" w:rsidR="008C4E6E" w:rsidRDefault="00000000">
            <w:pPr>
              <w:spacing w:before="20" w:after="20" w:line="290" w:lineRule="auto"/>
              <w:jc w:val="left"/>
            </w:pPr>
            <w:r>
              <w:rPr>
                <w:rFonts w:cs="Calibri"/>
                <w:sz w:val="19"/>
                <w:szCs w:val="19"/>
              </w:rPr>
              <w:t>Micro-traffic forecast</w:t>
            </w:r>
          </w:p>
        </w:tc>
        <w:tc>
          <w:tcPr>
            <w:tcW w:w="2337" w:type="dxa"/>
            <w:tcMar>
              <w:top w:w="60" w:type="dxa"/>
              <w:left w:w="100" w:type="dxa"/>
              <w:bottom w:w="60" w:type="dxa"/>
              <w:right w:w="100" w:type="dxa"/>
            </w:tcMar>
          </w:tcPr>
          <w:p w14:paraId="25075557" w14:textId="77777777" w:rsidR="008C4E6E" w:rsidRDefault="00000000">
            <w:pPr>
              <w:spacing w:before="20" w:after="20" w:line="290" w:lineRule="auto"/>
              <w:jc w:val="left"/>
            </w:pPr>
            <w:r>
              <w:rPr>
                <w:rFonts w:cs="Calibri"/>
                <w:sz w:val="19"/>
                <w:szCs w:val="19"/>
              </w:rPr>
              <w:t>Visibility</w:t>
            </w:r>
          </w:p>
        </w:tc>
        <w:tc>
          <w:tcPr>
            <w:tcW w:w="2339" w:type="dxa"/>
            <w:tcMar>
              <w:top w:w="60" w:type="dxa"/>
              <w:left w:w="100" w:type="dxa"/>
              <w:bottom w:w="60" w:type="dxa"/>
              <w:right w:w="100" w:type="dxa"/>
            </w:tcMar>
          </w:tcPr>
          <w:p w14:paraId="2561BA8E" w14:textId="77777777" w:rsidR="008C4E6E" w:rsidRDefault="00000000">
            <w:pPr>
              <w:spacing w:before="20" w:after="20" w:line="290" w:lineRule="auto"/>
              <w:jc w:val="left"/>
            </w:pPr>
            <w:r>
              <w:rPr>
                <w:rFonts w:cs="Calibri"/>
                <w:sz w:val="19"/>
                <w:szCs w:val="19"/>
              </w:rPr>
              <w:t>Forecast error</w:t>
            </w:r>
          </w:p>
        </w:tc>
      </w:tr>
      <w:tr w:rsidR="008C4E6E" w14:paraId="3282CE7E" w14:textId="77777777">
        <w:tblPrEx>
          <w:tblCellMar>
            <w:top w:w="0" w:type="dxa"/>
            <w:bottom w:w="0" w:type="dxa"/>
          </w:tblCellMar>
        </w:tblPrEx>
        <w:tc>
          <w:tcPr>
            <w:tcW w:w="2337" w:type="dxa"/>
            <w:tcMar>
              <w:top w:w="60" w:type="dxa"/>
              <w:left w:w="100" w:type="dxa"/>
              <w:bottom w:w="60" w:type="dxa"/>
              <w:right w:w="100" w:type="dxa"/>
            </w:tcMar>
          </w:tcPr>
          <w:p w14:paraId="4C5F5AD0" w14:textId="77777777" w:rsidR="008C4E6E" w:rsidRDefault="00000000">
            <w:pPr>
              <w:spacing w:before="20" w:after="20" w:line="290" w:lineRule="auto"/>
              <w:jc w:val="left"/>
            </w:pPr>
            <w:r>
              <w:rPr>
                <w:rFonts w:cs="Calibri"/>
                <w:sz w:val="19"/>
                <w:szCs w:val="19"/>
              </w:rPr>
              <w:t>B-1</w:t>
            </w:r>
          </w:p>
        </w:tc>
        <w:tc>
          <w:tcPr>
            <w:tcW w:w="2337" w:type="dxa"/>
            <w:tcMar>
              <w:top w:w="60" w:type="dxa"/>
              <w:left w:w="100" w:type="dxa"/>
              <w:bottom w:w="60" w:type="dxa"/>
              <w:right w:w="100" w:type="dxa"/>
            </w:tcMar>
          </w:tcPr>
          <w:p w14:paraId="012BC711" w14:textId="77777777" w:rsidR="008C4E6E" w:rsidRDefault="00000000">
            <w:pPr>
              <w:spacing w:before="20" w:after="20" w:line="290" w:lineRule="auto"/>
              <w:jc w:val="left"/>
            </w:pPr>
            <w:r>
              <w:rPr>
                <w:rFonts w:cs="Calibri"/>
                <w:sz w:val="19"/>
                <w:szCs w:val="19"/>
              </w:rPr>
              <w:t>Single-corridor stability test</w:t>
            </w:r>
          </w:p>
        </w:tc>
        <w:tc>
          <w:tcPr>
            <w:tcW w:w="2337" w:type="dxa"/>
            <w:tcMar>
              <w:top w:w="60" w:type="dxa"/>
              <w:left w:w="100" w:type="dxa"/>
              <w:bottom w:w="60" w:type="dxa"/>
              <w:right w:w="100" w:type="dxa"/>
            </w:tcMar>
          </w:tcPr>
          <w:p w14:paraId="07808111"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67E40AE5" w14:textId="77777777" w:rsidR="008C4E6E" w:rsidRDefault="00000000">
            <w:pPr>
              <w:spacing w:before="20" w:after="20" w:line="290" w:lineRule="auto"/>
              <w:jc w:val="left"/>
            </w:pPr>
            <w:r>
              <w:rPr>
                <w:rFonts w:cs="Calibri"/>
                <w:sz w:val="19"/>
                <w:szCs w:val="19"/>
              </w:rPr>
              <w:t>Incident-free windows</w:t>
            </w:r>
          </w:p>
        </w:tc>
      </w:tr>
      <w:tr w:rsidR="008C4E6E" w14:paraId="199029C6" w14:textId="77777777">
        <w:tblPrEx>
          <w:tblCellMar>
            <w:top w:w="0" w:type="dxa"/>
            <w:bottom w:w="0" w:type="dxa"/>
          </w:tblCellMar>
        </w:tblPrEx>
        <w:tc>
          <w:tcPr>
            <w:tcW w:w="2337" w:type="dxa"/>
            <w:tcMar>
              <w:top w:w="60" w:type="dxa"/>
              <w:left w:w="100" w:type="dxa"/>
              <w:bottom w:w="60" w:type="dxa"/>
              <w:right w:w="100" w:type="dxa"/>
            </w:tcMar>
          </w:tcPr>
          <w:p w14:paraId="5F388B18" w14:textId="77777777" w:rsidR="008C4E6E" w:rsidRDefault="00000000">
            <w:pPr>
              <w:spacing w:before="20" w:after="20" w:line="290" w:lineRule="auto"/>
              <w:jc w:val="left"/>
            </w:pPr>
            <w:r>
              <w:rPr>
                <w:rFonts w:cs="Calibri"/>
                <w:sz w:val="19"/>
                <w:szCs w:val="19"/>
              </w:rPr>
              <w:t>B-2</w:t>
            </w:r>
          </w:p>
        </w:tc>
        <w:tc>
          <w:tcPr>
            <w:tcW w:w="2337" w:type="dxa"/>
            <w:tcMar>
              <w:top w:w="60" w:type="dxa"/>
              <w:left w:w="100" w:type="dxa"/>
              <w:bottom w:w="60" w:type="dxa"/>
              <w:right w:w="100" w:type="dxa"/>
            </w:tcMar>
          </w:tcPr>
          <w:p w14:paraId="173CF0F6" w14:textId="77777777" w:rsidR="008C4E6E" w:rsidRDefault="00000000">
            <w:pPr>
              <w:spacing w:before="20" w:after="20" w:line="290" w:lineRule="auto"/>
              <w:jc w:val="left"/>
            </w:pPr>
            <w:r>
              <w:rPr>
                <w:rFonts w:cs="Calibri"/>
                <w:sz w:val="19"/>
                <w:szCs w:val="19"/>
              </w:rPr>
              <w:t>Outbound corridor test</w:t>
            </w:r>
          </w:p>
        </w:tc>
        <w:tc>
          <w:tcPr>
            <w:tcW w:w="2337" w:type="dxa"/>
            <w:tcMar>
              <w:top w:w="60" w:type="dxa"/>
              <w:left w:w="100" w:type="dxa"/>
              <w:bottom w:w="60" w:type="dxa"/>
              <w:right w:w="100" w:type="dxa"/>
            </w:tcMar>
          </w:tcPr>
          <w:p w14:paraId="17F4CDA9"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25827A07" w14:textId="77777777" w:rsidR="008C4E6E" w:rsidRDefault="00000000">
            <w:pPr>
              <w:spacing w:before="20" w:after="20" w:line="290" w:lineRule="auto"/>
              <w:jc w:val="left"/>
            </w:pPr>
            <w:r>
              <w:rPr>
                <w:rFonts w:cs="Calibri"/>
                <w:sz w:val="19"/>
                <w:szCs w:val="19"/>
              </w:rPr>
              <w:t>Incident-free windows</w:t>
            </w:r>
          </w:p>
        </w:tc>
      </w:tr>
      <w:tr w:rsidR="008C4E6E" w14:paraId="7FFF28F9" w14:textId="77777777">
        <w:tblPrEx>
          <w:tblCellMar>
            <w:top w:w="0" w:type="dxa"/>
            <w:bottom w:w="0" w:type="dxa"/>
          </w:tblCellMar>
        </w:tblPrEx>
        <w:tc>
          <w:tcPr>
            <w:tcW w:w="2337" w:type="dxa"/>
            <w:tcMar>
              <w:top w:w="60" w:type="dxa"/>
              <w:left w:w="100" w:type="dxa"/>
              <w:bottom w:w="60" w:type="dxa"/>
              <w:right w:w="100" w:type="dxa"/>
            </w:tcMar>
          </w:tcPr>
          <w:p w14:paraId="4A9F527E" w14:textId="77777777" w:rsidR="008C4E6E" w:rsidRDefault="00000000">
            <w:pPr>
              <w:spacing w:before="20" w:after="20" w:line="290" w:lineRule="auto"/>
              <w:jc w:val="left"/>
            </w:pPr>
            <w:r>
              <w:rPr>
                <w:rFonts w:cs="Calibri"/>
                <w:sz w:val="19"/>
                <w:szCs w:val="19"/>
              </w:rPr>
              <w:t>B-3</w:t>
            </w:r>
          </w:p>
        </w:tc>
        <w:tc>
          <w:tcPr>
            <w:tcW w:w="2337" w:type="dxa"/>
            <w:tcMar>
              <w:top w:w="60" w:type="dxa"/>
              <w:left w:w="100" w:type="dxa"/>
              <w:bottom w:w="60" w:type="dxa"/>
              <w:right w:w="100" w:type="dxa"/>
            </w:tcMar>
          </w:tcPr>
          <w:p w14:paraId="5D2C8323" w14:textId="77777777" w:rsidR="008C4E6E" w:rsidRDefault="00000000">
            <w:pPr>
              <w:spacing w:before="20" w:after="20" w:line="290" w:lineRule="auto"/>
              <w:jc w:val="left"/>
            </w:pPr>
            <w:r>
              <w:rPr>
                <w:rFonts w:cs="Calibri"/>
                <w:sz w:val="19"/>
                <w:szCs w:val="19"/>
              </w:rPr>
              <w:t>Temporary slow-zone</w:t>
            </w:r>
          </w:p>
        </w:tc>
        <w:tc>
          <w:tcPr>
            <w:tcW w:w="2337" w:type="dxa"/>
            <w:tcMar>
              <w:top w:w="60" w:type="dxa"/>
              <w:left w:w="100" w:type="dxa"/>
              <w:bottom w:w="60" w:type="dxa"/>
              <w:right w:w="100" w:type="dxa"/>
            </w:tcMar>
          </w:tcPr>
          <w:p w14:paraId="0FAFCDFA"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667DB7C0" w14:textId="77777777" w:rsidR="008C4E6E" w:rsidRDefault="00000000">
            <w:pPr>
              <w:spacing w:before="20" w:after="20" w:line="290" w:lineRule="auto"/>
              <w:jc w:val="left"/>
            </w:pPr>
            <w:r>
              <w:rPr>
                <w:rFonts w:cs="Calibri"/>
                <w:sz w:val="19"/>
                <w:szCs w:val="19"/>
              </w:rPr>
              <w:t>Observed compliance</w:t>
            </w:r>
          </w:p>
        </w:tc>
      </w:tr>
      <w:tr w:rsidR="008C4E6E" w14:paraId="5F41AF21" w14:textId="77777777">
        <w:tblPrEx>
          <w:tblCellMar>
            <w:top w:w="0" w:type="dxa"/>
            <w:bottom w:w="0" w:type="dxa"/>
          </w:tblCellMar>
        </w:tblPrEx>
        <w:tc>
          <w:tcPr>
            <w:tcW w:w="2337" w:type="dxa"/>
            <w:tcMar>
              <w:top w:w="60" w:type="dxa"/>
              <w:left w:w="100" w:type="dxa"/>
              <w:bottom w:w="60" w:type="dxa"/>
              <w:right w:w="100" w:type="dxa"/>
            </w:tcMar>
          </w:tcPr>
          <w:p w14:paraId="7AD3CBB2" w14:textId="77777777" w:rsidR="008C4E6E" w:rsidRDefault="00000000">
            <w:pPr>
              <w:spacing w:before="20" w:after="20" w:line="290" w:lineRule="auto"/>
              <w:jc w:val="left"/>
            </w:pPr>
            <w:r>
              <w:rPr>
                <w:rFonts w:cs="Calibri"/>
                <w:sz w:val="19"/>
                <w:szCs w:val="19"/>
              </w:rPr>
              <w:t>B-4</w:t>
            </w:r>
          </w:p>
        </w:tc>
        <w:tc>
          <w:tcPr>
            <w:tcW w:w="2337" w:type="dxa"/>
            <w:tcMar>
              <w:top w:w="60" w:type="dxa"/>
              <w:left w:w="100" w:type="dxa"/>
              <w:bottom w:w="60" w:type="dxa"/>
              <w:right w:w="100" w:type="dxa"/>
            </w:tcMar>
          </w:tcPr>
          <w:p w14:paraId="2A3A5397" w14:textId="77777777" w:rsidR="008C4E6E" w:rsidRDefault="00000000">
            <w:pPr>
              <w:spacing w:before="20" w:after="20" w:line="290" w:lineRule="auto"/>
              <w:jc w:val="left"/>
            </w:pPr>
            <w:r>
              <w:rPr>
                <w:rFonts w:cs="Calibri"/>
                <w:sz w:val="19"/>
                <w:szCs w:val="19"/>
              </w:rPr>
              <w:t>Micro-anchorage zone</w:t>
            </w:r>
          </w:p>
        </w:tc>
        <w:tc>
          <w:tcPr>
            <w:tcW w:w="2337" w:type="dxa"/>
            <w:tcMar>
              <w:top w:w="60" w:type="dxa"/>
              <w:left w:w="100" w:type="dxa"/>
              <w:bottom w:w="60" w:type="dxa"/>
              <w:right w:w="100" w:type="dxa"/>
            </w:tcMar>
          </w:tcPr>
          <w:p w14:paraId="1AA59F4D"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5EDCFF79" w14:textId="77777777" w:rsidR="008C4E6E" w:rsidRDefault="00000000">
            <w:pPr>
              <w:spacing w:before="20" w:after="20" w:line="290" w:lineRule="auto"/>
              <w:jc w:val="left"/>
            </w:pPr>
            <w:r>
              <w:rPr>
                <w:rFonts w:cs="Calibri"/>
                <w:sz w:val="19"/>
                <w:szCs w:val="19"/>
              </w:rPr>
              <w:t>Matching usage logs</w:t>
            </w:r>
          </w:p>
        </w:tc>
      </w:tr>
      <w:tr w:rsidR="008C4E6E" w14:paraId="0DC00B3C" w14:textId="77777777">
        <w:tblPrEx>
          <w:tblCellMar>
            <w:top w:w="0" w:type="dxa"/>
            <w:bottom w:w="0" w:type="dxa"/>
          </w:tblCellMar>
        </w:tblPrEx>
        <w:tc>
          <w:tcPr>
            <w:tcW w:w="2337" w:type="dxa"/>
            <w:tcMar>
              <w:top w:w="60" w:type="dxa"/>
              <w:left w:w="100" w:type="dxa"/>
              <w:bottom w:w="60" w:type="dxa"/>
              <w:right w:w="100" w:type="dxa"/>
            </w:tcMar>
          </w:tcPr>
          <w:p w14:paraId="75E86D96" w14:textId="77777777" w:rsidR="008C4E6E" w:rsidRDefault="00000000">
            <w:pPr>
              <w:spacing w:before="20" w:after="20" w:line="290" w:lineRule="auto"/>
              <w:jc w:val="left"/>
            </w:pPr>
            <w:r>
              <w:rPr>
                <w:rFonts w:cs="Calibri"/>
                <w:sz w:val="19"/>
                <w:szCs w:val="19"/>
              </w:rPr>
              <w:t>B-5</w:t>
            </w:r>
          </w:p>
        </w:tc>
        <w:tc>
          <w:tcPr>
            <w:tcW w:w="2337" w:type="dxa"/>
            <w:tcMar>
              <w:top w:w="60" w:type="dxa"/>
              <w:left w:w="100" w:type="dxa"/>
              <w:bottom w:w="60" w:type="dxa"/>
              <w:right w:w="100" w:type="dxa"/>
            </w:tcMar>
          </w:tcPr>
          <w:p w14:paraId="70C10335" w14:textId="77777777" w:rsidR="008C4E6E" w:rsidRDefault="00000000">
            <w:pPr>
              <w:spacing w:before="20" w:after="20" w:line="290" w:lineRule="auto"/>
              <w:jc w:val="left"/>
            </w:pPr>
            <w:r>
              <w:rPr>
                <w:rFonts w:cs="Calibri"/>
                <w:sz w:val="19"/>
                <w:szCs w:val="19"/>
              </w:rPr>
              <w:t>Micro-anchoring advisory</w:t>
            </w:r>
          </w:p>
        </w:tc>
        <w:tc>
          <w:tcPr>
            <w:tcW w:w="2337" w:type="dxa"/>
            <w:tcMar>
              <w:top w:w="60" w:type="dxa"/>
              <w:left w:w="100" w:type="dxa"/>
              <w:bottom w:w="60" w:type="dxa"/>
              <w:right w:w="100" w:type="dxa"/>
            </w:tcMar>
          </w:tcPr>
          <w:p w14:paraId="37A501DD"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50454DA1" w14:textId="77777777" w:rsidR="008C4E6E" w:rsidRDefault="00000000">
            <w:pPr>
              <w:spacing w:before="20" w:after="20" w:line="290" w:lineRule="auto"/>
              <w:jc w:val="left"/>
            </w:pPr>
            <w:r>
              <w:rPr>
                <w:rFonts w:cs="Calibri"/>
                <w:sz w:val="19"/>
                <w:szCs w:val="19"/>
              </w:rPr>
              <w:t>Zero dragging</w:t>
            </w:r>
          </w:p>
        </w:tc>
      </w:tr>
      <w:tr w:rsidR="008C4E6E" w14:paraId="7D4A28CB" w14:textId="77777777">
        <w:tblPrEx>
          <w:tblCellMar>
            <w:top w:w="0" w:type="dxa"/>
            <w:bottom w:w="0" w:type="dxa"/>
          </w:tblCellMar>
        </w:tblPrEx>
        <w:tc>
          <w:tcPr>
            <w:tcW w:w="2337" w:type="dxa"/>
            <w:tcMar>
              <w:top w:w="60" w:type="dxa"/>
              <w:left w:w="100" w:type="dxa"/>
              <w:bottom w:w="60" w:type="dxa"/>
              <w:right w:w="100" w:type="dxa"/>
            </w:tcMar>
          </w:tcPr>
          <w:p w14:paraId="1B7BA5EF" w14:textId="77777777" w:rsidR="008C4E6E" w:rsidRDefault="00000000">
            <w:pPr>
              <w:spacing w:before="20" w:after="20" w:line="290" w:lineRule="auto"/>
              <w:jc w:val="left"/>
            </w:pPr>
            <w:r>
              <w:rPr>
                <w:rFonts w:cs="Calibri"/>
                <w:sz w:val="19"/>
                <w:szCs w:val="19"/>
              </w:rPr>
              <w:t>B-6</w:t>
            </w:r>
          </w:p>
        </w:tc>
        <w:tc>
          <w:tcPr>
            <w:tcW w:w="2337" w:type="dxa"/>
            <w:tcMar>
              <w:top w:w="60" w:type="dxa"/>
              <w:left w:w="100" w:type="dxa"/>
              <w:bottom w:w="60" w:type="dxa"/>
              <w:right w:w="100" w:type="dxa"/>
            </w:tcMar>
          </w:tcPr>
          <w:p w14:paraId="719990F2" w14:textId="77777777" w:rsidR="008C4E6E" w:rsidRDefault="00000000">
            <w:pPr>
              <w:spacing w:before="20" w:after="20" w:line="290" w:lineRule="auto"/>
              <w:jc w:val="left"/>
            </w:pPr>
            <w:r>
              <w:rPr>
                <w:rFonts w:cs="Calibri"/>
                <w:sz w:val="19"/>
                <w:szCs w:val="19"/>
              </w:rPr>
              <w:t>Micro-navigation cues</w:t>
            </w:r>
          </w:p>
        </w:tc>
        <w:tc>
          <w:tcPr>
            <w:tcW w:w="2337" w:type="dxa"/>
            <w:tcMar>
              <w:top w:w="60" w:type="dxa"/>
              <w:left w:w="100" w:type="dxa"/>
              <w:bottom w:w="60" w:type="dxa"/>
              <w:right w:w="100" w:type="dxa"/>
            </w:tcMar>
          </w:tcPr>
          <w:p w14:paraId="2B5A8CED"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4BDD210F" w14:textId="77777777" w:rsidR="008C4E6E" w:rsidRDefault="00000000">
            <w:pPr>
              <w:spacing w:before="20" w:after="20" w:line="290" w:lineRule="auto"/>
              <w:jc w:val="left"/>
            </w:pPr>
            <w:r>
              <w:rPr>
                <w:rFonts w:cs="Calibri"/>
                <w:sz w:val="19"/>
                <w:szCs w:val="19"/>
              </w:rPr>
              <w:t>Verified mark rhythm</w:t>
            </w:r>
          </w:p>
        </w:tc>
      </w:tr>
      <w:tr w:rsidR="008C4E6E" w14:paraId="1193CD9C" w14:textId="77777777">
        <w:tblPrEx>
          <w:tblCellMar>
            <w:top w:w="0" w:type="dxa"/>
            <w:bottom w:w="0" w:type="dxa"/>
          </w:tblCellMar>
        </w:tblPrEx>
        <w:tc>
          <w:tcPr>
            <w:tcW w:w="2337" w:type="dxa"/>
            <w:tcMar>
              <w:top w:w="60" w:type="dxa"/>
              <w:left w:w="100" w:type="dxa"/>
              <w:bottom w:w="60" w:type="dxa"/>
              <w:right w:w="100" w:type="dxa"/>
            </w:tcMar>
          </w:tcPr>
          <w:p w14:paraId="210BE69D" w14:textId="77777777" w:rsidR="008C4E6E" w:rsidRDefault="00000000">
            <w:pPr>
              <w:spacing w:before="20" w:after="20" w:line="290" w:lineRule="auto"/>
              <w:jc w:val="left"/>
            </w:pPr>
            <w:r>
              <w:rPr>
                <w:rFonts w:cs="Calibri"/>
                <w:sz w:val="19"/>
                <w:szCs w:val="19"/>
              </w:rPr>
              <w:t>B-7</w:t>
            </w:r>
          </w:p>
        </w:tc>
        <w:tc>
          <w:tcPr>
            <w:tcW w:w="2337" w:type="dxa"/>
            <w:tcMar>
              <w:top w:w="60" w:type="dxa"/>
              <w:left w:w="100" w:type="dxa"/>
              <w:bottom w:w="60" w:type="dxa"/>
              <w:right w:w="100" w:type="dxa"/>
            </w:tcMar>
          </w:tcPr>
          <w:p w14:paraId="609ADA0B" w14:textId="77777777" w:rsidR="008C4E6E" w:rsidRDefault="00000000">
            <w:pPr>
              <w:spacing w:before="20" w:after="20" w:line="290" w:lineRule="auto"/>
              <w:jc w:val="left"/>
            </w:pPr>
            <w:r>
              <w:rPr>
                <w:rFonts w:cs="Calibri"/>
                <w:sz w:val="19"/>
                <w:szCs w:val="19"/>
              </w:rPr>
              <w:t>Joint calm-sea window</w:t>
            </w:r>
          </w:p>
        </w:tc>
        <w:tc>
          <w:tcPr>
            <w:tcW w:w="2337" w:type="dxa"/>
            <w:tcMar>
              <w:top w:w="60" w:type="dxa"/>
              <w:left w:w="100" w:type="dxa"/>
              <w:bottom w:w="60" w:type="dxa"/>
              <w:right w:w="100" w:type="dxa"/>
            </w:tcMar>
          </w:tcPr>
          <w:p w14:paraId="2FABBD00"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6A7E7D24" w14:textId="77777777" w:rsidR="008C4E6E" w:rsidRDefault="00000000">
            <w:pPr>
              <w:spacing w:before="20" w:after="20" w:line="290" w:lineRule="auto"/>
              <w:jc w:val="left"/>
            </w:pPr>
            <w:r>
              <w:rPr>
                <w:rFonts w:cs="Calibri"/>
                <w:sz w:val="19"/>
                <w:szCs w:val="19"/>
              </w:rPr>
              <w:t>Voluntary use count</w:t>
            </w:r>
          </w:p>
        </w:tc>
      </w:tr>
      <w:tr w:rsidR="008C4E6E" w14:paraId="200673A8" w14:textId="77777777">
        <w:tblPrEx>
          <w:tblCellMar>
            <w:top w:w="0" w:type="dxa"/>
            <w:bottom w:w="0" w:type="dxa"/>
          </w:tblCellMar>
        </w:tblPrEx>
        <w:tc>
          <w:tcPr>
            <w:tcW w:w="2337" w:type="dxa"/>
            <w:tcMar>
              <w:top w:w="60" w:type="dxa"/>
              <w:left w:w="100" w:type="dxa"/>
              <w:bottom w:w="60" w:type="dxa"/>
              <w:right w:w="100" w:type="dxa"/>
            </w:tcMar>
          </w:tcPr>
          <w:p w14:paraId="6E4392FD" w14:textId="77777777" w:rsidR="008C4E6E" w:rsidRDefault="00000000">
            <w:pPr>
              <w:spacing w:before="20" w:after="20" w:line="290" w:lineRule="auto"/>
              <w:jc w:val="left"/>
            </w:pPr>
            <w:r>
              <w:rPr>
                <w:rFonts w:cs="Calibri"/>
                <w:sz w:val="19"/>
                <w:szCs w:val="19"/>
              </w:rPr>
              <w:t>B-8</w:t>
            </w:r>
          </w:p>
        </w:tc>
        <w:tc>
          <w:tcPr>
            <w:tcW w:w="2337" w:type="dxa"/>
            <w:tcMar>
              <w:top w:w="60" w:type="dxa"/>
              <w:left w:w="100" w:type="dxa"/>
              <w:bottom w:w="60" w:type="dxa"/>
              <w:right w:w="100" w:type="dxa"/>
            </w:tcMar>
          </w:tcPr>
          <w:p w14:paraId="316AF264" w14:textId="77777777" w:rsidR="008C4E6E" w:rsidRDefault="00000000">
            <w:pPr>
              <w:spacing w:before="20" w:after="20" w:line="290" w:lineRule="auto"/>
              <w:jc w:val="left"/>
            </w:pPr>
            <w:r>
              <w:rPr>
                <w:rFonts w:cs="Calibri"/>
                <w:sz w:val="19"/>
                <w:szCs w:val="19"/>
              </w:rPr>
              <w:t>Harbor-exit timing</w:t>
            </w:r>
          </w:p>
        </w:tc>
        <w:tc>
          <w:tcPr>
            <w:tcW w:w="2337" w:type="dxa"/>
            <w:tcMar>
              <w:top w:w="60" w:type="dxa"/>
              <w:left w:w="100" w:type="dxa"/>
              <w:bottom w:w="60" w:type="dxa"/>
              <w:right w:w="100" w:type="dxa"/>
            </w:tcMar>
          </w:tcPr>
          <w:p w14:paraId="6EE1B12E"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63571D28" w14:textId="77777777" w:rsidR="008C4E6E" w:rsidRDefault="00000000">
            <w:pPr>
              <w:spacing w:before="20" w:after="20" w:line="290" w:lineRule="auto"/>
              <w:jc w:val="left"/>
            </w:pPr>
            <w:r>
              <w:rPr>
                <w:rFonts w:cs="Calibri"/>
                <w:sz w:val="19"/>
                <w:szCs w:val="19"/>
              </w:rPr>
              <w:t>Zero crossing reports</w:t>
            </w:r>
          </w:p>
        </w:tc>
      </w:tr>
      <w:tr w:rsidR="008C4E6E" w14:paraId="01CFA321" w14:textId="77777777">
        <w:tblPrEx>
          <w:tblCellMar>
            <w:top w:w="0" w:type="dxa"/>
            <w:bottom w:w="0" w:type="dxa"/>
          </w:tblCellMar>
        </w:tblPrEx>
        <w:tc>
          <w:tcPr>
            <w:tcW w:w="2337" w:type="dxa"/>
            <w:tcMar>
              <w:top w:w="60" w:type="dxa"/>
              <w:left w:w="100" w:type="dxa"/>
              <w:bottom w:w="60" w:type="dxa"/>
              <w:right w:w="100" w:type="dxa"/>
            </w:tcMar>
          </w:tcPr>
          <w:p w14:paraId="328FABA1" w14:textId="77777777" w:rsidR="008C4E6E" w:rsidRDefault="00000000">
            <w:pPr>
              <w:spacing w:before="20" w:after="20" w:line="290" w:lineRule="auto"/>
              <w:jc w:val="left"/>
            </w:pPr>
            <w:r>
              <w:rPr>
                <w:rFonts w:cs="Calibri"/>
                <w:sz w:val="19"/>
                <w:szCs w:val="19"/>
              </w:rPr>
              <w:t>B-9</w:t>
            </w:r>
          </w:p>
        </w:tc>
        <w:tc>
          <w:tcPr>
            <w:tcW w:w="2337" w:type="dxa"/>
            <w:tcMar>
              <w:top w:w="60" w:type="dxa"/>
              <w:left w:w="100" w:type="dxa"/>
              <w:bottom w:w="60" w:type="dxa"/>
              <w:right w:w="100" w:type="dxa"/>
            </w:tcMar>
          </w:tcPr>
          <w:p w14:paraId="4CB810C9" w14:textId="77777777" w:rsidR="008C4E6E" w:rsidRDefault="00000000">
            <w:pPr>
              <w:spacing w:before="20" w:after="20" w:line="290" w:lineRule="auto"/>
              <w:jc w:val="left"/>
            </w:pPr>
            <w:r>
              <w:rPr>
                <w:rFonts w:cs="Calibri"/>
                <w:sz w:val="19"/>
                <w:szCs w:val="19"/>
              </w:rPr>
              <w:t>Pilot-boat coordination</w:t>
            </w:r>
          </w:p>
        </w:tc>
        <w:tc>
          <w:tcPr>
            <w:tcW w:w="2337" w:type="dxa"/>
            <w:tcMar>
              <w:top w:w="60" w:type="dxa"/>
              <w:left w:w="100" w:type="dxa"/>
              <w:bottom w:w="60" w:type="dxa"/>
              <w:right w:w="100" w:type="dxa"/>
            </w:tcMar>
          </w:tcPr>
          <w:p w14:paraId="4C68CBEE"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6B644C4A" w14:textId="77777777" w:rsidR="008C4E6E" w:rsidRDefault="00000000">
            <w:pPr>
              <w:spacing w:before="20" w:after="20" w:line="290" w:lineRule="auto"/>
              <w:jc w:val="left"/>
            </w:pPr>
            <w:r>
              <w:rPr>
                <w:rFonts w:cs="Calibri"/>
                <w:sz w:val="19"/>
                <w:szCs w:val="19"/>
              </w:rPr>
              <w:t>Waiting time</w:t>
            </w:r>
          </w:p>
        </w:tc>
      </w:tr>
      <w:tr w:rsidR="008C4E6E" w14:paraId="6FB9E878" w14:textId="77777777">
        <w:tblPrEx>
          <w:tblCellMar>
            <w:top w:w="0" w:type="dxa"/>
            <w:bottom w:w="0" w:type="dxa"/>
          </w:tblCellMar>
        </w:tblPrEx>
        <w:tc>
          <w:tcPr>
            <w:tcW w:w="2337" w:type="dxa"/>
            <w:tcMar>
              <w:top w:w="60" w:type="dxa"/>
              <w:left w:w="100" w:type="dxa"/>
              <w:bottom w:w="60" w:type="dxa"/>
              <w:right w:w="100" w:type="dxa"/>
            </w:tcMar>
          </w:tcPr>
          <w:p w14:paraId="15B1E05D" w14:textId="77777777" w:rsidR="008C4E6E" w:rsidRDefault="00000000">
            <w:pPr>
              <w:spacing w:before="20" w:after="20" w:line="290" w:lineRule="auto"/>
              <w:jc w:val="left"/>
            </w:pPr>
            <w:r>
              <w:rPr>
                <w:rFonts w:cs="Calibri"/>
                <w:sz w:val="19"/>
                <w:szCs w:val="19"/>
              </w:rPr>
              <w:t>B-10</w:t>
            </w:r>
          </w:p>
        </w:tc>
        <w:tc>
          <w:tcPr>
            <w:tcW w:w="2337" w:type="dxa"/>
            <w:tcMar>
              <w:top w:w="60" w:type="dxa"/>
              <w:left w:w="100" w:type="dxa"/>
              <w:bottom w:w="60" w:type="dxa"/>
              <w:right w:w="100" w:type="dxa"/>
            </w:tcMar>
          </w:tcPr>
          <w:p w14:paraId="63F90C2E" w14:textId="77777777" w:rsidR="008C4E6E" w:rsidRDefault="00000000">
            <w:pPr>
              <w:spacing w:before="20" w:after="20" w:line="290" w:lineRule="auto"/>
              <w:jc w:val="left"/>
            </w:pPr>
            <w:r>
              <w:rPr>
                <w:rFonts w:cs="Calibri"/>
                <w:sz w:val="19"/>
                <w:szCs w:val="19"/>
              </w:rPr>
              <w:t>Harbor-pilot rotation</w:t>
            </w:r>
          </w:p>
        </w:tc>
        <w:tc>
          <w:tcPr>
            <w:tcW w:w="2337" w:type="dxa"/>
            <w:tcMar>
              <w:top w:w="60" w:type="dxa"/>
              <w:left w:w="100" w:type="dxa"/>
              <w:bottom w:w="60" w:type="dxa"/>
              <w:right w:w="100" w:type="dxa"/>
            </w:tcMar>
          </w:tcPr>
          <w:p w14:paraId="64551A9F" w14:textId="77777777" w:rsidR="008C4E6E" w:rsidRDefault="00000000">
            <w:pPr>
              <w:spacing w:before="20" w:after="20" w:line="290" w:lineRule="auto"/>
              <w:jc w:val="left"/>
            </w:pPr>
            <w:r>
              <w:rPr>
                <w:rFonts w:cs="Calibri"/>
                <w:sz w:val="19"/>
                <w:szCs w:val="19"/>
              </w:rPr>
              <w:t>Routing</w:t>
            </w:r>
          </w:p>
        </w:tc>
        <w:tc>
          <w:tcPr>
            <w:tcW w:w="2339" w:type="dxa"/>
            <w:tcMar>
              <w:top w:w="60" w:type="dxa"/>
              <w:left w:w="100" w:type="dxa"/>
              <w:bottom w:w="60" w:type="dxa"/>
              <w:right w:w="100" w:type="dxa"/>
            </w:tcMar>
          </w:tcPr>
          <w:p w14:paraId="2FEB44C4" w14:textId="77777777" w:rsidR="008C4E6E" w:rsidRDefault="00000000">
            <w:pPr>
              <w:spacing w:before="20" w:after="20" w:line="290" w:lineRule="auto"/>
              <w:jc w:val="left"/>
            </w:pPr>
            <w:r>
              <w:rPr>
                <w:rFonts w:cs="Calibri"/>
                <w:sz w:val="19"/>
                <w:szCs w:val="19"/>
              </w:rPr>
              <w:t>Zero pilot delays</w:t>
            </w:r>
          </w:p>
        </w:tc>
      </w:tr>
      <w:tr w:rsidR="008C4E6E" w14:paraId="01F8DB1A" w14:textId="77777777">
        <w:tblPrEx>
          <w:tblCellMar>
            <w:top w:w="0" w:type="dxa"/>
            <w:bottom w:w="0" w:type="dxa"/>
          </w:tblCellMar>
        </w:tblPrEx>
        <w:tc>
          <w:tcPr>
            <w:tcW w:w="2337" w:type="dxa"/>
            <w:tcMar>
              <w:top w:w="60" w:type="dxa"/>
              <w:left w:w="100" w:type="dxa"/>
              <w:bottom w:w="60" w:type="dxa"/>
              <w:right w:w="100" w:type="dxa"/>
            </w:tcMar>
          </w:tcPr>
          <w:p w14:paraId="4A18388E" w14:textId="77777777" w:rsidR="008C4E6E" w:rsidRDefault="00000000">
            <w:pPr>
              <w:spacing w:before="20" w:after="20" w:line="290" w:lineRule="auto"/>
              <w:jc w:val="left"/>
            </w:pPr>
            <w:r>
              <w:rPr>
                <w:rFonts w:cs="Calibri"/>
                <w:sz w:val="19"/>
                <w:szCs w:val="19"/>
              </w:rPr>
              <w:t>C-1</w:t>
            </w:r>
          </w:p>
        </w:tc>
        <w:tc>
          <w:tcPr>
            <w:tcW w:w="2337" w:type="dxa"/>
            <w:tcMar>
              <w:top w:w="60" w:type="dxa"/>
              <w:left w:w="100" w:type="dxa"/>
              <w:bottom w:w="60" w:type="dxa"/>
              <w:right w:w="100" w:type="dxa"/>
            </w:tcMar>
          </w:tcPr>
          <w:p w14:paraId="1E3E8E42" w14:textId="77777777" w:rsidR="008C4E6E" w:rsidRDefault="00000000">
            <w:pPr>
              <w:spacing w:before="20" w:after="20" w:line="290" w:lineRule="auto"/>
              <w:jc w:val="left"/>
            </w:pPr>
            <w:r>
              <w:rPr>
                <w:rFonts w:cs="Calibri"/>
                <w:sz w:val="19"/>
                <w:szCs w:val="19"/>
              </w:rPr>
              <w:t>Dual-ping incident alerts</w:t>
            </w:r>
          </w:p>
        </w:tc>
        <w:tc>
          <w:tcPr>
            <w:tcW w:w="2337" w:type="dxa"/>
            <w:tcMar>
              <w:top w:w="60" w:type="dxa"/>
              <w:left w:w="100" w:type="dxa"/>
              <w:bottom w:w="60" w:type="dxa"/>
              <w:right w:w="100" w:type="dxa"/>
            </w:tcMar>
          </w:tcPr>
          <w:p w14:paraId="60E43851"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2E515A10" w14:textId="77777777" w:rsidR="008C4E6E" w:rsidRDefault="00000000">
            <w:pPr>
              <w:spacing w:before="20" w:after="20" w:line="290" w:lineRule="auto"/>
              <w:jc w:val="left"/>
            </w:pPr>
            <w:r>
              <w:rPr>
                <w:rFonts w:cs="Calibri"/>
                <w:sz w:val="19"/>
                <w:szCs w:val="19"/>
              </w:rPr>
              <w:t>Notification timeliness</w:t>
            </w:r>
          </w:p>
        </w:tc>
      </w:tr>
      <w:tr w:rsidR="008C4E6E" w14:paraId="4700A248" w14:textId="77777777">
        <w:tblPrEx>
          <w:tblCellMar>
            <w:top w:w="0" w:type="dxa"/>
            <w:bottom w:w="0" w:type="dxa"/>
          </w:tblCellMar>
        </w:tblPrEx>
        <w:tc>
          <w:tcPr>
            <w:tcW w:w="2337" w:type="dxa"/>
            <w:tcMar>
              <w:top w:w="60" w:type="dxa"/>
              <w:left w:w="100" w:type="dxa"/>
              <w:bottom w:w="60" w:type="dxa"/>
              <w:right w:w="100" w:type="dxa"/>
            </w:tcMar>
          </w:tcPr>
          <w:p w14:paraId="42FA2C44" w14:textId="77777777" w:rsidR="008C4E6E" w:rsidRDefault="00000000">
            <w:pPr>
              <w:spacing w:before="20" w:after="20" w:line="290" w:lineRule="auto"/>
              <w:jc w:val="left"/>
            </w:pPr>
            <w:r>
              <w:rPr>
                <w:rFonts w:cs="Calibri"/>
                <w:sz w:val="19"/>
                <w:szCs w:val="19"/>
              </w:rPr>
              <w:t>C-2</w:t>
            </w:r>
          </w:p>
        </w:tc>
        <w:tc>
          <w:tcPr>
            <w:tcW w:w="2337" w:type="dxa"/>
            <w:tcMar>
              <w:top w:w="60" w:type="dxa"/>
              <w:left w:w="100" w:type="dxa"/>
              <w:bottom w:w="60" w:type="dxa"/>
              <w:right w:w="100" w:type="dxa"/>
            </w:tcMar>
          </w:tcPr>
          <w:p w14:paraId="128112E9" w14:textId="77777777" w:rsidR="008C4E6E" w:rsidRDefault="00000000">
            <w:pPr>
              <w:spacing w:before="20" w:after="20" w:line="290" w:lineRule="auto"/>
              <w:jc w:val="left"/>
            </w:pPr>
            <w:r>
              <w:rPr>
                <w:rFonts w:cs="Calibri"/>
                <w:sz w:val="19"/>
                <w:szCs w:val="19"/>
              </w:rPr>
              <w:t>Mechanical-failure registry</w:t>
            </w:r>
          </w:p>
        </w:tc>
        <w:tc>
          <w:tcPr>
            <w:tcW w:w="2337" w:type="dxa"/>
            <w:tcMar>
              <w:top w:w="60" w:type="dxa"/>
              <w:left w:w="100" w:type="dxa"/>
              <w:bottom w:w="60" w:type="dxa"/>
              <w:right w:w="100" w:type="dxa"/>
            </w:tcMar>
          </w:tcPr>
          <w:p w14:paraId="7CBF35D4"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4E810744" w14:textId="77777777" w:rsidR="008C4E6E" w:rsidRDefault="00000000">
            <w:pPr>
              <w:spacing w:before="20" w:after="20" w:line="290" w:lineRule="auto"/>
              <w:jc w:val="left"/>
            </w:pPr>
            <w:r>
              <w:rPr>
                <w:rFonts w:cs="Calibri"/>
                <w:sz w:val="19"/>
                <w:szCs w:val="19"/>
              </w:rPr>
              <w:t>Entry timeliness</w:t>
            </w:r>
          </w:p>
        </w:tc>
      </w:tr>
      <w:tr w:rsidR="008C4E6E" w14:paraId="786152AC" w14:textId="77777777">
        <w:tblPrEx>
          <w:tblCellMar>
            <w:top w:w="0" w:type="dxa"/>
            <w:bottom w:w="0" w:type="dxa"/>
          </w:tblCellMar>
        </w:tblPrEx>
        <w:tc>
          <w:tcPr>
            <w:tcW w:w="2337" w:type="dxa"/>
            <w:tcMar>
              <w:top w:w="60" w:type="dxa"/>
              <w:left w:w="100" w:type="dxa"/>
              <w:bottom w:w="60" w:type="dxa"/>
              <w:right w:w="100" w:type="dxa"/>
            </w:tcMar>
          </w:tcPr>
          <w:p w14:paraId="7E5E712E" w14:textId="77777777" w:rsidR="008C4E6E" w:rsidRDefault="00000000">
            <w:pPr>
              <w:spacing w:before="20" w:after="20" w:line="290" w:lineRule="auto"/>
              <w:jc w:val="left"/>
            </w:pPr>
            <w:r>
              <w:rPr>
                <w:rFonts w:cs="Calibri"/>
                <w:sz w:val="19"/>
                <w:szCs w:val="19"/>
              </w:rPr>
              <w:t>C-3</w:t>
            </w:r>
          </w:p>
        </w:tc>
        <w:tc>
          <w:tcPr>
            <w:tcW w:w="2337" w:type="dxa"/>
            <w:tcMar>
              <w:top w:w="60" w:type="dxa"/>
              <w:left w:w="100" w:type="dxa"/>
              <w:bottom w:w="60" w:type="dxa"/>
              <w:right w:w="100" w:type="dxa"/>
            </w:tcMar>
          </w:tcPr>
          <w:p w14:paraId="0828E76D" w14:textId="77777777" w:rsidR="008C4E6E" w:rsidRDefault="00000000">
            <w:pPr>
              <w:spacing w:before="20" w:after="20" w:line="290" w:lineRule="auto"/>
              <w:jc w:val="left"/>
            </w:pPr>
            <w:r>
              <w:rPr>
                <w:rFonts w:cs="Calibri"/>
                <w:sz w:val="19"/>
                <w:szCs w:val="19"/>
              </w:rPr>
              <w:t>Engine-restart alerts</w:t>
            </w:r>
          </w:p>
        </w:tc>
        <w:tc>
          <w:tcPr>
            <w:tcW w:w="2337" w:type="dxa"/>
            <w:tcMar>
              <w:top w:w="60" w:type="dxa"/>
              <w:left w:w="100" w:type="dxa"/>
              <w:bottom w:w="60" w:type="dxa"/>
              <w:right w:w="100" w:type="dxa"/>
            </w:tcMar>
          </w:tcPr>
          <w:p w14:paraId="244301DD"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39AB36C7" w14:textId="77777777" w:rsidR="008C4E6E" w:rsidRDefault="00000000">
            <w:pPr>
              <w:spacing w:before="20" w:after="20" w:line="290" w:lineRule="auto"/>
              <w:jc w:val="left"/>
            </w:pPr>
            <w:r>
              <w:rPr>
                <w:rFonts w:cs="Calibri"/>
                <w:sz w:val="19"/>
                <w:szCs w:val="19"/>
              </w:rPr>
              <w:t>Notification completeness</w:t>
            </w:r>
          </w:p>
        </w:tc>
      </w:tr>
      <w:tr w:rsidR="008C4E6E" w14:paraId="048459D2" w14:textId="77777777">
        <w:tblPrEx>
          <w:tblCellMar>
            <w:top w:w="0" w:type="dxa"/>
            <w:bottom w:w="0" w:type="dxa"/>
          </w:tblCellMar>
        </w:tblPrEx>
        <w:tc>
          <w:tcPr>
            <w:tcW w:w="2337" w:type="dxa"/>
            <w:tcMar>
              <w:top w:w="60" w:type="dxa"/>
              <w:left w:w="100" w:type="dxa"/>
              <w:bottom w:w="60" w:type="dxa"/>
              <w:right w:w="100" w:type="dxa"/>
            </w:tcMar>
          </w:tcPr>
          <w:p w14:paraId="48AD7D48" w14:textId="77777777" w:rsidR="008C4E6E" w:rsidRDefault="00000000">
            <w:pPr>
              <w:spacing w:before="20" w:after="20" w:line="290" w:lineRule="auto"/>
              <w:jc w:val="left"/>
            </w:pPr>
            <w:r>
              <w:rPr>
                <w:rFonts w:cs="Calibri"/>
                <w:sz w:val="19"/>
                <w:szCs w:val="19"/>
              </w:rPr>
              <w:t>C-4</w:t>
            </w:r>
          </w:p>
        </w:tc>
        <w:tc>
          <w:tcPr>
            <w:tcW w:w="2337" w:type="dxa"/>
            <w:tcMar>
              <w:top w:w="60" w:type="dxa"/>
              <w:left w:w="100" w:type="dxa"/>
              <w:bottom w:w="60" w:type="dxa"/>
              <w:right w:w="100" w:type="dxa"/>
            </w:tcMar>
          </w:tcPr>
          <w:p w14:paraId="42AC031B" w14:textId="77777777" w:rsidR="008C4E6E" w:rsidRDefault="00000000">
            <w:pPr>
              <w:spacing w:before="20" w:after="20" w:line="290" w:lineRule="auto"/>
              <w:jc w:val="left"/>
            </w:pPr>
            <w:r>
              <w:rPr>
                <w:rFonts w:cs="Calibri"/>
                <w:sz w:val="19"/>
                <w:szCs w:val="19"/>
              </w:rPr>
              <w:t>Anchor-drift alerts</w:t>
            </w:r>
          </w:p>
        </w:tc>
        <w:tc>
          <w:tcPr>
            <w:tcW w:w="2337" w:type="dxa"/>
            <w:tcMar>
              <w:top w:w="60" w:type="dxa"/>
              <w:left w:w="100" w:type="dxa"/>
              <w:bottom w:w="60" w:type="dxa"/>
              <w:right w:w="100" w:type="dxa"/>
            </w:tcMar>
          </w:tcPr>
          <w:p w14:paraId="5BFFF561"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05756A86" w14:textId="77777777" w:rsidR="008C4E6E" w:rsidRDefault="00000000">
            <w:pPr>
              <w:spacing w:before="20" w:after="20" w:line="290" w:lineRule="auto"/>
              <w:jc w:val="left"/>
            </w:pPr>
            <w:r>
              <w:rPr>
                <w:rFonts w:cs="Calibri"/>
                <w:sz w:val="19"/>
                <w:szCs w:val="19"/>
              </w:rPr>
              <w:t>Notification timeliness</w:t>
            </w:r>
          </w:p>
        </w:tc>
      </w:tr>
      <w:tr w:rsidR="008C4E6E" w14:paraId="5CF69B7B" w14:textId="77777777">
        <w:tblPrEx>
          <w:tblCellMar>
            <w:top w:w="0" w:type="dxa"/>
            <w:bottom w:w="0" w:type="dxa"/>
          </w:tblCellMar>
        </w:tblPrEx>
        <w:tc>
          <w:tcPr>
            <w:tcW w:w="2337" w:type="dxa"/>
            <w:tcMar>
              <w:top w:w="60" w:type="dxa"/>
              <w:left w:w="100" w:type="dxa"/>
              <w:bottom w:w="60" w:type="dxa"/>
              <w:right w:w="100" w:type="dxa"/>
            </w:tcMar>
          </w:tcPr>
          <w:p w14:paraId="6476772C" w14:textId="77777777" w:rsidR="008C4E6E" w:rsidRDefault="00000000">
            <w:pPr>
              <w:spacing w:before="20" w:after="20" w:line="290" w:lineRule="auto"/>
              <w:jc w:val="left"/>
            </w:pPr>
            <w:r>
              <w:rPr>
                <w:rFonts w:cs="Calibri"/>
                <w:sz w:val="19"/>
                <w:szCs w:val="19"/>
              </w:rPr>
              <w:t>C-5</w:t>
            </w:r>
          </w:p>
        </w:tc>
        <w:tc>
          <w:tcPr>
            <w:tcW w:w="2337" w:type="dxa"/>
            <w:tcMar>
              <w:top w:w="60" w:type="dxa"/>
              <w:left w:w="100" w:type="dxa"/>
              <w:bottom w:w="60" w:type="dxa"/>
              <w:right w:w="100" w:type="dxa"/>
            </w:tcMar>
          </w:tcPr>
          <w:p w14:paraId="2FC6C16E" w14:textId="77777777" w:rsidR="008C4E6E" w:rsidRDefault="00000000">
            <w:pPr>
              <w:spacing w:before="20" w:after="20" w:line="290" w:lineRule="auto"/>
              <w:jc w:val="left"/>
            </w:pPr>
            <w:r>
              <w:rPr>
                <w:rFonts w:cs="Calibri"/>
                <w:sz w:val="19"/>
                <w:szCs w:val="19"/>
              </w:rPr>
              <w:t>Fuel-leak notifications</w:t>
            </w:r>
          </w:p>
        </w:tc>
        <w:tc>
          <w:tcPr>
            <w:tcW w:w="2337" w:type="dxa"/>
            <w:tcMar>
              <w:top w:w="60" w:type="dxa"/>
              <w:left w:w="100" w:type="dxa"/>
              <w:bottom w:w="60" w:type="dxa"/>
              <w:right w:w="100" w:type="dxa"/>
            </w:tcMar>
          </w:tcPr>
          <w:p w14:paraId="76F768C2"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0C7AC57A" w14:textId="77777777" w:rsidR="008C4E6E" w:rsidRDefault="00000000">
            <w:pPr>
              <w:spacing w:before="20" w:after="20" w:line="290" w:lineRule="auto"/>
              <w:jc w:val="left"/>
            </w:pPr>
            <w:r>
              <w:rPr>
                <w:rFonts w:cs="Calibri"/>
                <w:sz w:val="19"/>
                <w:szCs w:val="19"/>
              </w:rPr>
              <w:t>Notification completeness</w:t>
            </w:r>
          </w:p>
        </w:tc>
      </w:tr>
      <w:tr w:rsidR="008C4E6E" w14:paraId="583BC16A" w14:textId="77777777">
        <w:tblPrEx>
          <w:tblCellMar>
            <w:top w:w="0" w:type="dxa"/>
            <w:bottom w:w="0" w:type="dxa"/>
          </w:tblCellMar>
        </w:tblPrEx>
        <w:tc>
          <w:tcPr>
            <w:tcW w:w="2337" w:type="dxa"/>
            <w:tcMar>
              <w:top w:w="60" w:type="dxa"/>
              <w:left w:w="100" w:type="dxa"/>
              <w:bottom w:w="60" w:type="dxa"/>
              <w:right w:w="100" w:type="dxa"/>
            </w:tcMar>
          </w:tcPr>
          <w:p w14:paraId="7BB7A66E" w14:textId="77777777" w:rsidR="008C4E6E" w:rsidRDefault="00000000">
            <w:pPr>
              <w:spacing w:before="20" w:after="20" w:line="290" w:lineRule="auto"/>
              <w:jc w:val="left"/>
            </w:pPr>
            <w:r>
              <w:rPr>
                <w:rFonts w:cs="Calibri"/>
                <w:sz w:val="19"/>
                <w:szCs w:val="19"/>
              </w:rPr>
              <w:t>C-6</w:t>
            </w:r>
          </w:p>
        </w:tc>
        <w:tc>
          <w:tcPr>
            <w:tcW w:w="2337" w:type="dxa"/>
            <w:tcMar>
              <w:top w:w="60" w:type="dxa"/>
              <w:left w:w="100" w:type="dxa"/>
              <w:bottom w:w="60" w:type="dxa"/>
              <w:right w:w="100" w:type="dxa"/>
            </w:tcMar>
          </w:tcPr>
          <w:p w14:paraId="4F78C79D" w14:textId="77777777" w:rsidR="008C4E6E" w:rsidRDefault="00000000">
            <w:pPr>
              <w:spacing w:before="20" w:after="20" w:line="290" w:lineRule="auto"/>
              <w:jc w:val="left"/>
            </w:pPr>
            <w:r>
              <w:rPr>
                <w:rFonts w:cs="Calibri"/>
                <w:sz w:val="19"/>
                <w:szCs w:val="19"/>
              </w:rPr>
              <w:t>Micro-hazmat alert</w:t>
            </w:r>
          </w:p>
        </w:tc>
        <w:tc>
          <w:tcPr>
            <w:tcW w:w="2337" w:type="dxa"/>
            <w:tcMar>
              <w:top w:w="60" w:type="dxa"/>
              <w:left w:w="100" w:type="dxa"/>
              <w:bottom w:w="60" w:type="dxa"/>
              <w:right w:w="100" w:type="dxa"/>
            </w:tcMar>
          </w:tcPr>
          <w:p w14:paraId="678EC366"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6AEB1970" w14:textId="77777777" w:rsidR="008C4E6E" w:rsidRDefault="00000000">
            <w:pPr>
              <w:spacing w:before="20" w:after="20" w:line="290" w:lineRule="auto"/>
              <w:jc w:val="left"/>
            </w:pPr>
            <w:r>
              <w:rPr>
                <w:rFonts w:cs="Calibri"/>
                <w:sz w:val="19"/>
                <w:szCs w:val="19"/>
              </w:rPr>
              <w:t>Notification completeness</w:t>
            </w:r>
          </w:p>
        </w:tc>
      </w:tr>
      <w:tr w:rsidR="008C4E6E" w14:paraId="47895801" w14:textId="77777777">
        <w:tblPrEx>
          <w:tblCellMar>
            <w:top w:w="0" w:type="dxa"/>
            <w:bottom w:w="0" w:type="dxa"/>
          </w:tblCellMar>
        </w:tblPrEx>
        <w:tc>
          <w:tcPr>
            <w:tcW w:w="2337" w:type="dxa"/>
            <w:tcMar>
              <w:top w:w="60" w:type="dxa"/>
              <w:left w:w="100" w:type="dxa"/>
              <w:bottom w:w="60" w:type="dxa"/>
              <w:right w:w="100" w:type="dxa"/>
            </w:tcMar>
          </w:tcPr>
          <w:p w14:paraId="0777F6B9" w14:textId="77777777" w:rsidR="008C4E6E" w:rsidRDefault="00000000">
            <w:pPr>
              <w:spacing w:before="20" w:after="20" w:line="290" w:lineRule="auto"/>
              <w:jc w:val="left"/>
            </w:pPr>
            <w:r>
              <w:rPr>
                <w:rFonts w:cs="Calibri"/>
                <w:sz w:val="19"/>
                <w:szCs w:val="19"/>
              </w:rPr>
              <w:t>C-7</w:t>
            </w:r>
          </w:p>
        </w:tc>
        <w:tc>
          <w:tcPr>
            <w:tcW w:w="2337" w:type="dxa"/>
            <w:tcMar>
              <w:top w:w="60" w:type="dxa"/>
              <w:left w:w="100" w:type="dxa"/>
              <w:bottom w:w="60" w:type="dxa"/>
              <w:right w:w="100" w:type="dxa"/>
            </w:tcMar>
          </w:tcPr>
          <w:p w14:paraId="2040CA4F" w14:textId="77777777" w:rsidR="008C4E6E" w:rsidRDefault="00000000">
            <w:pPr>
              <w:spacing w:before="20" w:after="20" w:line="290" w:lineRule="auto"/>
              <w:jc w:val="left"/>
            </w:pPr>
            <w:r>
              <w:rPr>
                <w:rFonts w:cs="Calibri"/>
                <w:sz w:val="19"/>
                <w:szCs w:val="19"/>
              </w:rPr>
              <w:t>Joint debris-alert</w:t>
            </w:r>
          </w:p>
        </w:tc>
        <w:tc>
          <w:tcPr>
            <w:tcW w:w="2337" w:type="dxa"/>
            <w:tcMar>
              <w:top w:w="60" w:type="dxa"/>
              <w:left w:w="100" w:type="dxa"/>
              <w:bottom w:w="60" w:type="dxa"/>
              <w:right w:w="100" w:type="dxa"/>
            </w:tcMar>
          </w:tcPr>
          <w:p w14:paraId="709E0DE4"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7A87D1D2" w14:textId="77777777" w:rsidR="008C4E6E" w:rsidRDefault="00000000">
            <w:pPr>
              <w:spacing w:before="20" w:after="20" w:line="290" w:lineRule="auto"/>
              <w:jc w:val="left"/>
            </w:pPr>
            <w:r>
              <w:rPr>
                <w:rFonts w:cs="Calibri"/>
                <w:sz w:val="19"/>
                <w:szCs w:val="19"/>
              </w:rPr>
              <w:t>Bulletin population</w:t>
            </w:r>
          </w:p>
        </w:tc>
      </w:tr>
      <w:tr w:rsidR="008C4E6E" w14:paraId="730212A4" w14:textId="77777777">
        <w:tblPrEx>
          <w:tblCellMar>
            <w:top w:w="0" w:type="dxa"/>
            <w:bottom w:w="0" w:type="dxa"/>
          </w:tblCellMar>
        </w:tblPrEx>
        <w:tc>
          <w:tcPr>
            <w:tcW w:w="2337" w:type="dxa"/>
            <w:tcMar>
              <w:top w:w="60" w:type="dxa"/>
              <w:left w:w="100" w:type="dxa"/>
              <w:bottom w:w="60" w:type="dxa"/>
              <w:right w:w="100" w:type="dxa"/>
            </w:tcMar>
          </w:tcPr>
          <w:p w14:paraId="7B01FBCC" w14:textId="77777777" w:rsidR="008C4E6E" w:rsidRDefault="00000000">
            <w:pPr>
              <w:spacing w:before="20" w:after="20" w:line="290" w:lineRule="auto"/>
              <w:jc w:val="left"/>
            </w:pPr>
            <w:r>
              <w:rPr>
                <w:rFonts w:cs="Calibri"/>
                <w:sz w:val="19"/>
                <w:szCs w:val="19"/>
              </w:rPr>
              <w:t>C-8</w:t>
            </w:r>
          </w:p>
        </w:tc>
        <w:tc>
          <w:tcPr>
            <w:tcW w:w="2337" w:type="dxa"/>
            <w:tcMar>
              <w:top w:w="60" w:type="dxa"/>
              <w:left w:w="100" w:type="dxa"/>
              <w:bottom w:w="60" w:type="dxa"/>
              <w:right w:w="100" w:type="dxa"/>
            </w:tcMar>
          </w:tcPr>
          <w:p w14:paraId="1625AE5C" w14:textId="77777777" w:rsidR="008C4E6E" w:rsidRDefault="00000000">
            <w:pPr>
              <w:spacing w:before="20" w:after="20" w:line="290" w:lineRule="auto"/>
              <w:jc w:val="left"/>
            </w:pPr>
            <w:r>
              <w:rPr>
                <w:rFonts w:cs="Calibri"/>
                <w:sz w:val="19"/>
                <w:szCs w:val="19"/>
              </w:rPr>
              <w:t>Micro-AIS blackout log</w:t>
            </w:r>
          </w:p>
        </w:tc>
        <w:tc>
          <w:tcPr>
            <w:tcW w:w="2337" w:type="dxa"/>
            <w:tcMar>
              <w:top w:w="60" w:type="dxa"/>
              <w:left w:w="100" w:type="dxa"/>
              <w:bottom w:w="60" w:type="dxa"/>
              <w:right w:w="100" w:type="dxa"/>
            </w:tcMar>
          </w:tcPr>
          <w:p w14:paraId="3E9EAC9B"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68507E16" w14:textId="77777777" w:rsidR="008C4E6E" w:rsidRDefault="00000000">
            <w:pPr>
              <w:spacing w:before="20" w:after="20" w:line="290" w:lineRule="auto"/>
              <w:jc w:val="left"/>
            </w:pPr>
            <w:r>
              <w:rPr>
                <w:rFonts w:cs="Calibri"/>
                <w:sz w:val="19"/>
                <w:szCs w:val="19"/>
              </w:rPr>
              <w:t>Cycle completion</w:t>
            </w:r>
          </w:p>
        </w:tc>
      </w:tr>
      <w:tr w:rsidR="008C4E6E" w14:paraId="1E0516BC" w14:textId="77777777">
        <w:tblPrEx>
          <w:tblCellMar>
            <w:top w:w="0" w:type="dxa"/>
            <w:bottom w:w="0" w:type="dxa"/>
          </w:tblCellMar>
        </w:tblPrEx>
        <w:tc>
          <w:tcPr>
            <w:tcW w:w="2337" w:type="dxa"/>
            <w:tcMar>
              <w:top w:w="60" w:type="dxa"/>
              <w:left w:w="100" w:type="dxa"/>
              <w:bottom w:w="60" w:type="dxa"/>
              <w:right w:w="100" w:type="dxa"/>
            </w:tcMar>
          </w:tcPr>
          <w:p w14:paraId="31921910" w14:textId="77777777" w:rsidR="008C4E6E" w:rsidRDefault="00000000">
            <w:pPr>
              <w:spacing w:before="20" w:after="20" w:line="290" w:lineRule="auto"/>
              <w:jc w:val="left"/>
            </w:pPr>
            <w:r>
              <w:rPr>
                <w:rFonts w:cs="Calibri"/>
                <w:sz w:val="19"/>
                <w:szCs w:val="19"/>
              </w:rPr>
              <w:t>C-9</w:t>
            </w:r>
          </w:p>
        </w:tc>
        <w:tc>
          <w:tcPr>
            <w:tcW w:w="2337" w:type="dxa"/>
            <w:tcMar>
              <w:top w:w="60" w:type="dxa"/>
              <w:left w:w="100" w:type="dxa"/>
              <w:bottom w:w="60" w:type="dxa"/>
              <w:right w:w="100" w:type="dxa"/>
            </w:tcMar>
          </w:tcPr>
          <w:p w14:paraId="4CD83B7A" w14:textId="77777777" w:rsidR="008C4E6E" w:rsidRDefault="00000000">
            <w:pPr>
              <w:spacing w:before="20" w:after="20" w:line="290" w:lineRule="auto"/>
              <w:jc w:val="left"/>
            </w:pPr>
            <w:r>
              <w:rPr>
                <w:rFonts w:cs="Calibri"/>
                <w:sz w:val="19"/>
                <w:szCs w:val="19"/>
              </w:rPr>
              <w:t>Small-craft advisory</w:t>
            </w:r>
          </w:p>
        </w:tc>
        <w:tc>
          <w:tcPr>
            <w:tcW w:w="2337" w:type="dxa"/>
            <w:tcMar>
              <w:top w:w="60" w:type="dxa"/>
              <w:left w:w="100" w:type="dxa"/>
              <w:bottom w:w="60" w:type="dxa"/>
              <w:right w:w="100" w:type="dxa"/>
            </w:tcMar>
          </w:tcPr>
          <w:p w14:paraId="1E6E87CC"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115C53BC" w14:textId="77777777" w:rsidR="008C4E6E" w:rsidRDefault="00000000">
            <w:pPr>
              <w:spacing w:before="20" w:after="20" w:line="290" w:lineRule="auto"/>
              <w:jc w:val="left"/>
            </w:pPr>
            <w:r>
              <w:rPr>
                <w:rFonts w:cs="Calibri"/>
                <w:sz w:val="19"/>
                <w:szCs w:val="19"/>
              </w:rPr>
              <w:t>Simultaneous issuance</w:t>
            </w:r>
          </w:p>
        </w:tc>
      </w:tr>
      <w:tr w:rsidR="008C4E6E" w14:paraId="76A64D61" w14:textId="77777777">
        <w:tblPrEx>
          <w:tblCellMar>
            <w:top w:w="0" w:type="dxa"/>
            <w:bottom w:w="0" w:type="dxa"/>
          </w:tblCellMar>
        </w:tblPrEx>
        <w:tc>
          <w:tcPr>
            <w:tcW w:w="2337" w:type="dxa"/>
            <w:tcMar>
              <w:top w:w="60" w:type="dxa"/>
              <w:left w:w="100" w:type="dxa"/>
              <w:bottom w:w="60" w:type="dxa"/>
              <w:right w:w="100" w:type="dxa"/>
            </w:tcMar>
          </w:tcPr>
          <w:p w14:paraId="4445F00E" w14:textId="77777777" w:rsidR="008C4E6E" w:rsidRDefault="00000000">
            <w:pPr>
              <w:spacing w:before="20" w:after="20" w:line="290" w:lineRule="auto"/>
              <w:jc w:val="left"/>
            </w:pPr>
            <w:r>
              <w:rPr>
                <w:rFonts w:cs="Calibri"/>
                <w:sz w:val="19"/>
                <w:szCs w:val="19"/>
              </w:rPr>
              <w:t>C-10</w:t>
            </w:r>
          </w:p>
        </w:tc>
        <w:tc>
          <w:tcPr>
            <w:tcW w:w="2337" w:type="dxa"/>
            <w:tcMar>
              <w:top w:w="60" w:type="dxa"/>
              <w:left w:w="100" w:type="dxa"/>
              <w:bottom w:w="60" w:type="dxa"/>
              <w:right w:w="100" w:type="dxa"/>
            </w:tcMar>
          </w:tcPr>
          <w:p w14:paraId="4A17270C" w14:textId="77777777" w:rsidR="008C4E6E" w:rsidRDefault="00000000">
            <w:pPr>
              <w:spacing w:before="20" w:after="20" w:line="290" w:lineRule="auto"/>
              <w:jc w:val="left"/>
            </w:pPr>
            <w:r>
              <w:rPr>
                <w:rFonts w:cs="Calibri"/>
                <w:sz w:val="19"/>
                <w:szCs w:val="19"/>
              </w:rPr>
              <w:t>Fishing-net drift map</w:t>
            </w:r>
          </w:p>
        </w:tc>
        <w:tc>
          <w:tcPr>
            <w:tcW w:w="2337" w:type="dxa"/>
            <w:tcMar>
              <w:top w:w="60" w:type="dxa"/>
              <w:left w:w="100" w:type="dxa"/>
              <w:bottom w:w="60" w:type="dxa"/>
              <w:right w:w="100" w:type="dxa"/>
            </w:tcMar>
          </w:tcPr>
          <w:p w14:paraId="7541C8A7" w14:textId="77777777" w:rsidR="008C4E6E" w:rsidRDefault="00000000">
            <w:pPr>
              <w:spacing w:before="20" w:after="20" w:line="290" w:lineRule="auto"/>
              <w:jc w:val="left"/>
            </w:pPr>
            <w:r>
              <w:rPr>
                <w:rFonts w:cs="Calibri"/>
                <w:sz w:val="19"/>
                <w:szCs w:val="19"/>
              </w:rPr>
              <w:t>Alerts</w:t>
            </w:r>
          </w:p>
        </w:tc>
        <w:tc>
          <w:tcPr>
            <w:tcW w:w="2339" w:type="dxa"/>
            <w:tcMar>
              <w:top w:w="60" w:type="dxa"/>
              <w:left w:w="100" w:type="dxa"/>
              <w:bottom w:w="60" w:type="dxa"/>
              <w:right w:w="100" w:type="dxa"/>
            </w:tcMar>
          </w:tcPr>
          <w:p w14:paraId="77BBB1F0" w14:textId="77777777" w:rsidR="008C4E6E" w:rsidRDefault="00000000">
            <w:pPr>
              <w:spacing w:before="20" w:after="20" w:line="290" w:lineRule="auto"/>
              <w:jc w:val="left"/>
            </w:pPr>
            <w:r>
              <w:rPr>
                <w:rFonts w:cs="Calibri"/>
                <w:sz w:val="19"/>
                <w:szCs w:val="19"/>
              </w:rPr>
              <w:t>Position variance</w:t>
            </w:r>
          </w:p>
        </w:tc>
      </w:tr>
      <w:tr w:rsidR="008C4E6E" w14:paraId="295739EE" w14:textId="77777777">
        <w:tblPrEx>
          <w:tblCellMar>
            <w:top w:w="0" w:type="dxa"/>
            <w:bottom w:w="0" w:type="dxa"/>
          </w:tblCellMar>
        </w:tblPrEx>
        <w:tc>
          <w:tcPr>
            <w:tcW w:w="2337" w:type="dxa"/>
            <w:tcMar>
              <w:top w:w="60" w:type="dxa"/>
              <w:left w:w="100" w:type="dxa"/>
              <w:bottom w:w="60" w:type="dxa"/>
              <w:right w:w="100" w:type="dxa"/>
            </w:tcMar>
          </w:tcPr>
          <w:p w14:paraId="64F3728E" w14:textId="77777777" w:rsidR="008C4E6E" w:rsidRDefault="00000000">
            <w:pPr>
              <w:spacing w:before="20" w:after="20" w:line="290" w:lineRule="auto"/>
              <w:jc w:val="left"/>
            </w:pPr>
            <w:r>
              <w:rPr>
                <w:rFonts w:cs="Calibri"/>
                <w:sz w:val="19"/>
                <w:szCs w:val="19"/>
              </w:rPr>
              <w:t>D-1</w:t>
            </w:r>
          </w:p>
        </w:tc>
        <w:tc>
          <w:tcPr>
            <w:tcW w:w="2337" w:type="dxa"/>
            <w:tcMar>
              <w:top w:w="60" w:type="dxa"/>
              <w:left w:w="100" w:type="dxa"/>
              <w:bottom w:w="60" w:type="dxa"/>
              <w:right w:w="100" w:type="dxa"/>
            </w:tcMar>
          </w:tcPr>
          <w:p w14:paraId="6A7E9636" w14:textId="77777777" w:rsidR="008C4E6E" w:rsidRDefault="00000000">
            <w:pPr>
              <w:spacing w:before="20" w:after="20" w:line="290" w:lineRule="auto"/>
              <w:jc w:val="left"/>
            </w:pPr>
            <w:r>
              <w:rPr>
                <w:rFonts w:cs="Calibri"/>
                <w:sz w:val="19"/>
                <w:szCs w:val="19"/>
              </w:rPr>
              <w:t>Emergency-tow readiness</w:t>
            </w:r>
          </w:p>
        </w:tc>
        <w:tc>
          <w:tcPr>
            <w:tcW w:w="2337" w:type="dxa"/>
            <w:tcMar>
              <w:top w:w="60" w:type="dxa"/>
              <w:left w:w="100" w:type="dxa"/>
              <w:bottom w:w="60" w:type="dxa"/>
              <w:right w:w="100" w:type="dxa"/>
            </w:tcMar>
          </w:tcPr>
          <w:p w14:paraId="155593A6"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0F0E0EB7" w14:textId="77777777" w:rsidR="008C4E6E" w:rsidRDefault="00000000">
            <w:pPr>
              <w:spacing w:before="20" w:after="20" w:line="290" w:lineRule="auto"/>
              <w:jc w:val="left"/>
            </w:pPr>
            <w:r>
              <w:rPr>
                <w:rFonts w:cs="Calibri"/>
                <w:sz w:val="19"/>
                <w:szCs w:val="19"/>
              </w:rPr>
              <w:t>Update currency</w:t>
            </w:r>
          </w:p>
        </w:tc>
      </w:tr>
      <w:tr w:rsidR="008C4E6E" w14:paraId="0D6AAEDE" w14:textId="77777777">
        <w:tblPrEx>
          <w:tblCellMar>
            <w:top w:w="0" w:type="dxa"/>
            <w:bottom w:w="0" w:type="dxa"/>
          </w:tblCellMar>
        </w:tblPrEx>
        <w:tc>
          <w:tcPr>
            <w:tcW w:w="2337" w:type="dxa"/>
            <w:tcMar>
              <w:top w:w="60" w:type="dxa"/>
              <w:left w:w="100" w:type="dxa"/>
              <w:bottom w:w="60" w:type="dxa"/>
              <w:right w:w="100" w:type="dxa"/>
            </w:tcMar>
          </w:tcPr>
          <w:p w14:paraId="125622D3" w14:textId="77777777" w:rsidR="008C4E6E" w:rsidRDefault="00000000">
            <w:pPr>
              <w:spacing w:before="20" w:after="20" w:line="290" w:lineRule="auto"/>
              <w:jc w:val="left"/>
            </w:pPr>
            <w:r>
              <w:rPr>
                <w:rFonts w:cs="Calibri"/>
                <w:sz w:val="19"/>
                <w:szCs w:val="19"/>
              </w:rPr>
              <w:t>D-2</w:t>
            </w:r>
          </w:p>
        </w:tc>
        <w:tc>
          <w:tcPr>
            <w:tcW w:w="2337" w:type="dxa"/>
            <w:tcMar>
              <w:top w:w="60" w:type="dxa"/>
              <w:left w:w="100" w:type="dxa"/>
              <w:bottom w:w="60" w:type="dxa"/>
              <w:right w:w="100" w:type="dxa"/>
            </w:tcMar>
          </w:tcPr>
          <w:p w14:paraId="0D82B772" w14:textId="77777777" w:rsidR="008C4E6E" w:rsidRDefault="00000000">
            <w:pPr>
              <w:spacing w:before="20" w:after="20" w:line="290" w:lineRule="auto"/>
              <w:jc w:val="left"/>
            </w:pPr>
            <w:r>
              <w:rPr>
                <w:rFonts w:cs="Calibri"/>
                <w:sz w:val="19"/>
                <w:szCs w:val="19"/>
              </w:rPr>
              <w:t>Shared tug-dispatch</w:t>
            </w:r>
          </w:p>
        </w:tc>
        <w:tc>
          <w:tcPr>
            <w:tcW w:w="2337" w:type="dxa"/>
            <w:tcMar>
              <w:top w:w="60" w:type="dxa"/>
              <w:left w:w="100" w:type="dxa"/>
              <w:bottom w:w="60" w:type="dxa"/>
              <w:right w:w="100" w:type="dxa"/>
            </w:tcMar>
          </w:tcPr>
          <w:p w14:paraId="6AC44C21"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07A98547" w14:textId="77777777" w:rsidR="008C4E6E" w:rsidRDefault="00000000">
            <w:pPr>
              <w:spacing w:before="20" w:after="20" w:line="290" w:lineRule="auto"/>
              <w:jc w:val="left"/>
            </w:pPr>
            <w:r>
              <w:rPr>
                <w:rFonts w:cs="Calibri"/>
                <w:sz w:val="19"/>
                <w:szCs w:val="19"/>
              </w:rPr>
              <w:t>Response time</w:t>
            </w:r>
          </w:p>
        </w:tc>
      </w:tr>
      <w:tr w:rsidR="008C4E6E" w14:paraId="63B968B9" w14:textId="77777777">
        <w:tblPrEx>
          <w:tblCellMar>
            <w:top w:w="0" w:type="dxa"/>
            <w:bottom w:w="0" w:type="dxa"/>
          </w:tblCellMar>
        </w:tblPrEx>
        <w:tc>
          <w:tcPr>
            <w:tcW w:w="2337" w:type="dxa"/>
            <w:tcMar>
              <w:top w:w="60" w:type="dxa"/>
              <w:left w:w="100" w:type="dxa"/>
              <w:bottom w:w="60" w:type="dxa"/>
              <w:right w:w="100" w:type="dxa"/>
            </w:tcMar>
          </w:tcPr>
          <w:p w14:paraId="50C3255B" w14:textId="77777777" w:rsidR="008C4E6E" w:rsidRDefault="00000000">
            <w:pPr>
              <w:spacing w:before="20" w:after="20" w:line="290" w:lineRule="auto"/>
              <w:jc w:val="left"/>
            </w:pPr>
            <w:r>
              <w:rPr>
                <w:rFonts w:cs="Calibri"/>
                <w:sz w:val="19"/>
                <w:szCs w:val="19"/>
              </w:rPr>
              <w:t>D-3</w:t>
            </w:r>
          </w:p>
        </w:tc>
        <w:tc>
          <w:tcPr>
            <w:tcW w:w="2337" w:type="dxa"/>
            <w:tcMar>
              <w:top w:w="60" w:type="dxa"/>
              <w:left w:w="100" w:type="dxa"/>
              <w:bottom w:w="60" w:type="dxa"/>
              <w:right w:w="100" w:type="dxa"/>
            </w:tcMar>
          </w:tcPr>
          <w:p w14:paraId="697D026D" w14:textId="77777777" w:rsidR="008C4E6E" w:rsidRDefault="00000000">
            <w:pPr>
              <w:spacing w:before="20" w:after="20" w:line="290" w:lineRule="auto"/>
              <w:jc w:val="left"/>
            </w:pPr>
            <w:r>
              <w:rPr>
                <w:rFonts w:cs="Calibri"/>
                <w:sz w:val="19"/>
                <w:szCs w:val="19"/>
              </w:rPr>
              <w:t>Micro-SAR coordination</w:t>
            </w:r>
          </w:p>
        </w:tc>
        <w:tc>
          <w:tcPr>
            <w:tcW w:w="2337" w:type="dxa"/>
            <w:tcMar>
              <w:top w:w="60" w:type="dxa"/>
              <w:left w:w="100" w:type="dxa"/>
              <w:bottom w:w="60" w:type="dxa"/>
              <w:right w:w="100" w:type="dxa"/>
            </w:tcMar>
          </w:tcPr>
          <w:p w14:paraId="7BD2FECA"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68857A80" w14:textId="77777777" w:rsidR="008C4E6E" w:rsidRDefault="00000000">
            <w:pPr>
              <w:spacing w:before="20" w:after="20" w:line="290" w:lineRule="auto"/>
              <w:jc w:val="left"/>
            </w:pPr>
            <w:r>
              <w:rPr>
                <w:rFonts w:cs="Calibri"/>
                <w:sz w:val="19"/>
                <w:szCs w:val="19"/>
              </w:rPr>
              <w:t>Exchange completion</w:t>
            </w:r>
          </w:p>
        </w:tc>
      </w:tr>
      <w:tr w:rsidR="008C4E6E" w14:paraId="1920A996" w14:textId="77777777">
        <w:tblPrEx>
          <w:tblCellMar>
            <w:top w:w="0" w:type="dxa"/>
            <w:bottom w:w="0" w:type="dxa"/>
          </w:tblCellMar>
        </w:tblPrEx>
        <w:tc>
          <w:tcPr>
            <w:tcW w:w="2337" w:type="dxa"/>
            <w:tcMar>
              <w:top w:w="60" w:type="dxa"/>
              <w:left w:w="100" w:type="dxa"/>
              <w:bottom w:w="60" w:type="dxa"/>
              <w:right w:w="100" w:type="dxa"/>
            </w:tcMar>
          </w:tcPr>
          <w:p w14:paraId="5AF37472" w14:textId="77777777" w:rsidR="008C4E6E" w:rsidRDefault="00000000">
            <w:pPr>
              <w:spacing w:before="20" w:after="20" w:line="290" w:lineRule="auto"/>
              <w:jc w:val="left"/>
            </w:pPr>
            <w:r>
              <w:rPr>
                <w:rFonts w:cs="Calibri"/>
                <w:sz w:val="19"/>
                <w:szCs w:val="19"/>
              </w:rPr>
              <w:lastRenderedPageBreak/>
              <w:t>D-4</w:t>
            </w:r>
          </w:p>
        </w:tc>
        <w:tc>
          <w:tcPr>
            <w:tcW w:w="2337" w:type="dxa"/>
            <w:tcMar>
              <w:top w:w="60" w:type="dxa"/>
              <w:left w:w="100" w:type="dxa"/>
              <w:bottom w:w="60" w:type="dxa"/>
              <w:right w:w="100" w:type="dxa"/>
            </w:tcMar>
          </w:tcPr>
          <w:p w14:paraId="48C72131" w14:textId="77777777" w:rsidR="008C4E6E" w:rsidRDefault="00000000">
            <w:pPr>
              <w:spacing w:before="20" w:after="20" w:line="290" w:lineRule="auto"/>
              <w:jc w:val="left"/>
            </w:pPr>
            <w:r>
              <w:rPr>
                <w:rFonts w:cs="Calibri"/>
                <w:sz w:val="19"/>
                <w:szCs w:val="19"/>
              </w:rPr>
              <w:t>Micro-SAR drill</w:t>
            </w:r>
          </w:p>
        </w:tc>
        <w:tc>
          <w:tcPr>
            <w:tcW w:w="2337" w:type="dxa"/>
            <w:tcMar>
              <w:top w:w="60" w:type="dxa"/>
              <w:left w:w="100" w:type="dxa"/>
              <w:bottom w:w="60" w:type="dxa"/>
              <w:right w:w="100" w:type="dxa"/>
            </w:tcMar>
          </w:tcPr>
          <w:p w14:paraId="1A511E3C"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35019793" w14:textId="77777777" w:rsidR="008C4E6E" w:rsidRDefault="00000000">
            <w:pPr>
              <w:spacing w:before="20" w:after="20" w:line="290" w:lineRule="auto"/>
              <w:jc w:val="left"/>
            </w:pPr>
            <w:r>
              <w:rPr>
                <w:rFonts w:cs="Calibri"/>
                <w:sz w:val="19"/>
                <w:szCs w:val="19"/>
              </w:rPr>
              <w:t>Drill completion</w:t>
            </w:r>
          </w:p>
        </w:tc>
      </w:tr>
      <w:tr w:rsidR="008C4E6E" w14:paraId="6F94AEB2" w14:textId="77777777">
        <w:tblPrEx>
          <w:tblCellMar>
            <w:top w:w="0" w:type="dxa"/>
            <w:bottom w:w="0" w:type="dxa"/>
          </w:tblCellMar>
        </w:tblPrEx>
        <w:tc>
          <w:tcPr>
            <w:tcW w:w="2337" w:type="dxa"/>
            <w:tcMar>
              <w:top w:w="60" w:type="dxa"/>
              <w:left w:w="100" w:type="dxa"/>
              <w:bottom w:w="60" w:type="dxa"/>
              <w:right w:w="100" w:type="dxa"/>
            </w:tcMar>
          </w:tcPr>
          <w:p w14:paraId="1516A866" w14:textId="77777777" w:rsidR="008C4E6E" w:rsidRDefault="00000000">
            <w:pPr>
              <w:spacing w:before="20" w:after="20" w:line="290" w:lineRule="auto"/>
              <w:jc w:val="left"/>
            </w:pPr>
            <w:r>
              <w:rPr>
                <w:rFonts w:cs="Calibri"/>
                <w:sz w:val="19"/>
                <w:szCs w:val="19"/>
              </w:rPr>
              <w:t>D-5</w:t>
            </w:r>
          </w:p>
        </w:tc>
        <w:tc>
          <w:tcPr>
            <w:tcW w:w="2337" w:type="dxa"/>
            <w:tcMar>
              <w:top w:w="60" w:type="dxa"/>
              <w:left w:w="100" w:type="dxa"/>
              <w:bottom w:w="60" w:type="dxa"/>
              <w:right w:w="100" w:type="dxa"/>
            </w:tcMar>
          </w:tcPr>
          <w:p w14:paraId="214720C8" w14:textId="77777777" w:rsidR="008C4E6E" w:rsidRDefault="00000000">
            <w:pPr>
              <w:spacing w:before="20" w:after="20" w:line="290" w:lineRule="auto"/>
              <w:jc w:val="left"/>
            </w:pPr>
            <w:r>
              <w:rPr>
                <w:rFonts w:cs="Calibri"/>
                <w:sz w:val="19"/>
                <w:szCs w:val="19"/>
              </w:rPr>
              <w:t>Shared repair-ship list</w:t>
            </w:r>
          </w:p>
        </w:tc>
        <w:tc>
          <w:tcPr>
            <w:tcW w:w="2337" w:type="dxa"/>
            <w:tcMar>
              <w:top w:w="60" w:type="dxa"/>
              <w:left w:w="100" w:type="dxa"/>
              <w:bottom w:w="60" w:type="dxa"/>
              <w:right w:w="100" w:type="dxa"/>
            </w:tcMar>
          </w:tcPr>
          <w:p w14:paraId="40C15653"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5419746F" w14:textId="77777777" w:rsidR="008C4E6E" w:rsidRDefault="00000000">
            <w:pPr>
              <w:spacing w:before="20" w:after="20" w:line="290" w:lineRule="auto"/>
              <w:jc w:val="left"/>
            </w:pPr>
            <w:r>
              <w:rPr>
                <w:rFonts w:cs="Calibri"/>
                <w:sz w:val="19"/>
                <w:szCs w:val="19"/>
              </w:rPr>
              <w:t>List accuracy</w:t>
            </w:r>
          </w:p>
        </w:tc>
      </w:tr>
      <w:tr w:rsidR="008C4E6E" w14:paraId="339DC7BD" w14:textId="77777777">
        <w:tblPrEx>
          <w:tblCellMar>
            <w:top w:w="0" w:type="dxa"/>
            <w:bottom w:w="0" w:type="dxa"/>
          </w:tblCellMar>
        </w:tblPrEx>
        <w:tc>
          <w:tcPr>
            <w:tcW w:w="2337" w:type="dxa"/>
            <w:tcMar>
              <w:top w:w="60" w:type="dxa"/>
              <w:left w:w="100" w:type="dxa"/>
              <w:bottom w:w="60" w:type="dxa"/>
              <w:right w:w="100" w:type="dxa"/>
            </w:tcMar>
          </w:tcPr>
          <w:p w14:paraId="35FEE3D7" w14:textId="77777777" w:rsidR="008C4E6E" w:rsidRDefault="00000000">
            <w:pPr>
              <w:spacing w:before="20" w:after="20" w:line="290" w:lineRule="auto"/>
              <w:jc w:val="left"/>
            </w:pPr>
            <w:r>
              <w:rPr>
                <w:rFonts w:cs="Calibri"/>
                <w:sz w:val="19"/>
                <w:szCs w:val="19"/>
              </w:rPr>
              <w:t>D-6</w:t>
            </w:r>
          </w:p>
        </w:tc>
        <w:tc>
          <w:tcPr>
            <w:tcW w:w="2337" w:type="dxa"/>
            <w:tcMar>
              <w:top w:w="60" w:type="dxa"/>
              <w:left w:w="100" w:type="dxa"/>
              <w:bottom w:w="60" w:type="dxa"/>
              <w:right w:w="100" w:type="dxa"/>
            </w:tcMar>
          </w:tcPr>
          <w:p w14:paraId="0E778EA4" w14:textId="77777777" w:rsidR="008C4E6E" w:rsidRDefault="00000000">
            <w:pPr>
              <w:spacing w:before="20" w:after="20" w:line="290" w:lineRule="auto"/>
              <w:jc w:val="left"/>
            </w:pPr>
            <w:r>
              <w:rPr>
                <w:rFonts w:cs="Calibri"/>
                <w:sz w:val="19"/>
                <w:szCs w:val="19"/>
              </w:rPr>
              <w:t>Shared repair-crew roster</w:t>
            </w:r>
          </w:p>
        </w:tc>
        <w:tc>
          <w:tcPr>
            <w:tcW w:w="2337" w:type="dxa"/>
            <w:tcMar>
              <w:top w:w="60" w:type="dxa"/>
              <w:left w:w="100" w:type="dxa"/>
              <w:bottom w:w="60" w:type="dxa"/>
              <w:right w:w="100" w:type="dxa"/>
            </w:tcMar>
          </w:tcPr>
          <w:p w14:paraId="1BA7F3C2"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153F2C93" w14:textId="77777777" w:rsidR="008C4E6E" w:rsidRDefault="00000000">
            <w:pPr>
              <w:spacing w:before="20" w:after="20" w:line="290" w:lineRule="auto"/>
              <w:jc w:val="left"/>
            </w:pPr>
            <w:r>
              <w:rPr>
                <w:rFonts w:cs="Calibri"/>
                <w:sz w:val="19"/>
                <w:szCs w:val="19"/>
              </w:rPr>
              <w:t>Roster currency</w:t>
            </w:r>
          </w:p>
        </w:tc>
      </w:tr>
      <w:tr w:rsidR="008C4E6E" w14:paraId="087A4D42" w14:textId="77777777">
        <w:tblPrEx>
          <w:tblCellMar>
            <w:top w:w="0" w:type="dxa"/>
            <w:bottom w:w="0" w:type="dxa"/>
          </w:tblCellMar>
        </w:tblPrEx>
        <w:tc>
          <w:tcPr>
            <w:tcW w:w="2337" w:type="dxa"/>
            <w:tcMar>
              <w:top w:w="60" w:type="dxa"/>
              <w:left w:w="100" w:type="dxa"/>
              <w:bottom w:w="60" w:type="dxa"/>
              <w:right w:w="100" w:type="dxa"/>
            </w:tcMar>
          </w:tcPr>
          <w:p w14:paraId="47046A50" w14:textId="77777777" w:rsidR="008C4E6E" w:rsidRDefault="00000000">
            <w:pPr>
              <w:spacing w:before="20" w:after="20" w:line="290" w:lineRule="auto"/>
              <w:jc w:val="left"/>
            </w:pPr>
            <w:r>
              <w:rPr>
                <w:rFonts w:cs="Calibri"/>
                <w:sz w:val="19"/>
                <w:szCs w:val="19"/>
              </w:rPr>
              <w:t>D-7</w:t>
            </w:r>
          </w:p>
        </w:tc>
        <w:tc>
          <w:tcPr>
            <w:tcW w:w="2337" w:type="dxa"/>
            <w:tcMar>
              <w:top w:w="60" w:type="dxa"/>
              <w:left w:w="100" w:type="dxa"/>
              <w:bottom w:w="60" w:type="dxa"/>
              <w:right w:w="100" w:type="dxa"/>
            </w:tcMar>
          </w:tcPr>
          <w:p w14:paraId="0F6F51F0" w14:textId="77777777" w:rsidR="008C4E6E" w:rsidRDefault="00000000">
            <w:pPr>
              <w:spacing w:before="20" w:after="20" w:line="290" w:lineRule="auto"/>
              <w:jc w:val="left"/>
            </w:pPr>
            <w:r>
              <w:rPr>
                <w:rFonts w:cs="Calibri"/>
                <w:sz w:val="19"/>
                <w:szCs w:val="19"/>
              </w:rPr>
              <w:t>Shared repair-dock timing</w:t>
            </w:r>
          </w:p>
        </w:tc>
        <w:tc>
          <w:tcPr>
            <w:tcW w:w="2337" w:type="dxa"/>
            <w:tcMar>
              <w:top w:w="60" w:type="dxa"/>
              <w:left w:w="100" w:type="dxa"/>
              <w:bottom w:w="60" w:type="dxa"/>
              <w:right w:w="100" w:type="dxa"/>
            </w:tcMar>
          </w:tcPr>
          <w:p w14:paraId="3CA7139E"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70A86D69" w14:textId="77777777" w:rsidR="008C4E6E" w:rsidRDefault="00000000">
            <w:pPr>
              <w:spacing w:before="20" w:after="20" w:line="290" w:lineRule="auto"/>
              <w:jc w:val="left"/>
            </w:pPr>
            <w:r>
              <w:rPr>
                <w:rFonts w:cs="Calibri"/>
                <w:sz w:val="19"/>
                <w:szCs w:val="19"/>
              </w:rPr>
              <w:t>Slot utilization</w:t>
            </w:r>
          </w:p>
        </w:tc>
      </w:tr>
      <w:tr w:rsidR="008C4E6E" w14:paraId="2444F1E0" w14:textId="77777777">
        <w:tblPrEx>
          <w:tblCellMar>
            <w:top w:w="0" w:type="dxa"/>
            <w:bottom w:w="0" w:type="dxa"/>
          </w:tblCellMar>
        </w:tblPrEx>
        <w:tc>
          <w:tcPr>
            <w:tcW w:w="2337" w:type="dxa"/>
            <w:tcMar>
              <w:top w:w="60" w:type="dxa"/>
              <w:left w:w="100" w:type="dxa"/>
              <w:bottom w:w="60" w:type="dxa"/>
              <w:right w:w="100" w:type="dxa"/>
            </w:tcMar>
          </w:tcPr>
          <w:p w14:paraId="56F2970B" w14:textId="77777777" w:rsidR="008C4E6E" w:rsidRDefault="00000000">
            <w:pPr>
              <w:spacing w:before="20" w:after="20" w:line="290" w:lineRule="auto"/>
              <w:jc w:val="left"/>
            </w:pPr>
            <w:r>
              <w:rPr>
                <w:rFonts w:cs="Calibri"/>
                <w:sz w:val="19"/>
                <w:szCs w:val="19"/>
              </w:rPr>
              <w:t>D-8</w:t>
            </w:r>
          </w:p>
        </w:tc>
        <w:tc>
          <w:tcPr>
            <w:tcW w:w="2337" w:type="dxa"/>
            <w:tcMar>
              <w:top w:w="60" w:type="dxa"/>
              <w:left w:w="100" w:type="dxa"/>
              <w:bottom w:w="60" w:type="dxa"/>
              <w:right w:w="100" w:type="dxa"/>
            </w:tcMar>
          </w:tcPr>
          <w:p w14:paraId="3399786F" w14:textId="77777777" w:rsidR="008C4E6E" w:rsidRDefault="00000000">
            <w:pPr>
              <w:spacing w:before="20" w:after="20" w:line="290" w:lineRule="auto"/>
              <w:jc w:val="left"/>
            </w:pPr>
            <w:r>
              <w:rPr>
                <w:rFonts w:cs="Calibri"/>
                <w:sz w:val="19"/>
                <w:szCs w:val="19"/>
              </w:rPr>
              <w:t>Micro-repair coordination</w:t>
            </w:r>
          </w:p>
        </w:tc>
        <w:tc>
          <w:tcPr>
            <w:tcW w:w="2337" w:type="dxa"/>
            <w:tcMar>
              <w:top w:w="60" w:type="dxa"/>
              <w:left w:w="100" w:type="dxa"/>
              <w:bottom w:w="60" w:type="dxa"/>
              <w:right w:w="100" w:type="dxa"/>
            </w:tcMar>
          </w:tcPr>
          <w:p w14:paraId="21AE0255"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2B9C3FB6" w14:textId="77777777" w:rsidR="008C4E6E" w:rsidRDefault="00000000">
            <w:pPr>
              <w:spacing w:before="20" w:after="20" w:line="290" w:lineRule="auto"/>
              <w:jc w:val="left"/>
            </w:pPr>
            <w:r>
              <w:rPr>
                <w:rFonts w:cs="Calibri"/>
                <w:sz w:val="19"/>
                <w:szCs w:val="19"/>
              </w:rPr>
              <w:t>Window alignment</w:t>
            </w:r>
          </w:p>
        </w:tc>
      </w:tr>
      <w:tr w:rsidR="008C4E6E" w14:paraId="5BDE073A" w14:textId="77777777">
        <w:tblPrEx>
          <w:tblCellMar>
            <w:top w:w="0" w:type="dxa"/>
            <w:bottom w:w="0" w:type="dxa"/>
          </w:tblCellMar>
        </w:tblPrEx>
        <w:tc>
          <w:tcPr>
            <w:tcW w:w="2337" w:type="dxa"/>
            <w:tcMar>
              <w:top w:w="60" w:type="dxa"/>
              <w:left w:w="100" w:type="dxa"/>
              <w:bottom w:w="60" w:type="dxa"/>
              <w:right w:w="100" w:type="dxa"/>
            </w:tcMar>
          </w:tcPr>
          <w:p w14:paraId="03FFE02B" w14:textId="77777777" w:rsidR="008C4E6E" w:rsidRDefault="00000000">
            <w:pPr>
              <w:spacing w:before="20" w:after="20" w:line="290" w:lineRule="auto"/>
              <w:jc w:val="left"/>
            </w:pPr>
            <w:r>
              <w:rPr>
                <w:rFonts w:cs="Calibri"/>
                <w:sz w:val="19"/>
                <w:szCs w:val="19"/>
              </w:rPr>
              <w:t>D-9</w:t>
            </w:r>
          </w:p>
        </w:tc>
        <w:tc>
          <w:tcPr>
            <w:tcW w:w="2337" w:type="dxa"/>
            <w:tcMar>
              <w:top w:w="60" w:type="dxa"/>
              <w:left w:w="100" w:type="dxa"/>
              <w:bottom w:w="60" w:type="dxa"/>
              <w:right w:w="100" w:type="dxa"/>
            </w:tcMar>
          </w:tcPr>
          <w:p w14:paraId="0A47712B" w14:textId="77777777" w:rsidR="008C4E6E" w:rsidRDefault="00000000">
            <w:pPr>
              <w:spacing w:before="20" w:after="20" w:line="290" w:lineRule="auto"/>
              <w:jc w:val="left"/>
            </w:pPr>
            <w:r>
              <w:rPr>
                <w:rFonts w:cs="Calibri"/>
                <w:sz w:val="19"/>
                <w:szCs w:val="19"/>
              </w:rPr>
              <w:t>Joint drift-prediction</w:t>
            </w:r>
          </w:p>
        </w:tc>
        <w:tc>
          <w:tcPr>
            <w:tcW w:w="2337" w:type="dxa"/>
            <w:tcMar>
              <w:top w:w="60" w:type="dxa"/>
              <w:left w:w="100" w:type="dxa"/>
              <w:bottom w:w="60" w:type="dxa"/>
              <w:right w:w="100" w:type="dxa"/>
            </w:tcMar>
          </w:tcPr>
          <w:p w14:paraId="71CD4427"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6ABC7B96" w14:textId="77777777" w:rsidR="008C4E6E" w:rsidRDefault="00000000">
            <w:pPr>
              <w:spacing w:before="20" w:after="20" w:line="290" w:lineRule="auto"/>
              <w:jc w:val="left"/>
            </w:pPr>
            <w:r>
              <w:rPr>
                <w:rFonts w:cs="Calibri"/>
                <w:sz w:val="19"/>
                <w:szCs w:val="19"/>
              </w:rPr>
              <w:t>Prediction variance</w:t>
            </w:r>
          </w:p>
        </w:tc>
      </w:tr>
      <w:tr w:rsidR="008C4E6E" w14:paraId="702C57AA" w14:textId="77777777">
        <w:tblPrEx>
          <w:tblCellMar>
            <w:top w:w="0" w:type="dxa"/>
            <w:bottom w:w="0" w:type="dxa"/>
          </w:tblCellMar>
        </w:tblPrEx>
        <w:tc>
          <w:tcPr>
            <w:tcW w:w="2337" w:type="dxa"/>
            <w:tcMar>
              <w:top w:w="60" w:type="dxa"/>
              <w:left w:w="100" w:type="dxa"/>
              <w:bottom w:w="60" w:type="dxa"/>
              <w:right w:w="100" w:type="dxa"/>
            </w:tcMar>
          </w:tcPr>
          <w:p w14:paraId="6FC81ED3" w14:textId="77777777" w:rsidR="008C4E6E" w:rsidRDefault="00000000">
            <w:pPr>
              <w:spacing w:before="20" w:after="20" w:line="290" w:lineRule="auto"/>
              <w:jc w:val="left"/>
            </w:pPr>
            <w:r>
              <w:rPr>
                <w:rFonts w:cs="Calibri"/>
                <w:sz w:val="19"/>
                <w:szCs w:val="19"/>
              </w:rPr>
              <w:t>D-10</w:t>
            </w:r>
          </w:p>
        </w:tc>
        <w:tc>
          <w:tcPr>
            <w:tcW w:w="2337" w:type="dxa"/>
            <w:tcMar>
              <w:top w:w="60" w:type="dxa"/>
              <w:left w:w="100" w:type="dxa"/>
              <w:bottom w:w="60" w:type="dxa"/>
              <w:right w:w="100" w:type="dxa"/>
            </w:tcMar>
          </w:tcPr>
          <w:p w14:paraId="6B536DED" w14:textId="77777777" w:rsidR="008C4E6E" w:rsidRDefault="00000000">
            <w:pPr>
              <w:spacing w:before="20" w:after="20" w:line="290" w:lineRule="auto"/>
              <w:jc w:val="left"/>
            </w:pPr>
            <w:r>
              <w:rPr>
                <w:rFonts w:cs="Calibri"/>
                <w:sz w:val="19"/>
                <w:szCs w:val="19"/>
              </w:rPr>
              <w:t>Micro-collision review</w:t>
            </w:r>
          </w:p>
        </w:tc>
        <w:tc>
          <w:tcPr>
            <w:tcW w:w="2337" w:type="dxa"/>
            <w:tcMar>
              <w:top w:w="60" w:type="dxa"/>
              <w:left w:w="100" w:type="dxa"/>
              <w:bottom w:w="60" w:type="dxa"/>
              <w:right w:w="100" w:type="dxa"/>
            </w:tcMar>
          </w:tcPr>
          <w:p w14:paraId="7AACFEE0" w14:textId="77777777" w:rsidR="008C4E6E" w:rsidRDefault="00000000">
            <w:pPr>
              <w:spacing w:before="20" w:after="20" w:line="290" w:lineRule="auto"/>
              <w:jc w:val="left"/>
            </w:pPr>
            <w:r>
              <w:rPr>
                <w:rFonts w:cs="Calibri"/>
                <w:sz w:val="19"/>
                <w:szCs w:val="19"/>
              </w:rPr>
              <w:t>Response</w:t>
            </w:r>
          </w:p>
        </w:tc>
        <w:tc>
          <w:tcPr>
            <w:tcW w:w="2339" w:type="dxa"/>
            <w:tcMar>
              <w:top w:w="60" w:type="dxa"/>
              <w:left w:w="100" w:type="dxa"/>
              <w:bottom w:w="60" w:type="dxa"/>
              <w:right w:w="100" w:type="dxa"/>
            </w:tcMar>
          </w:tcPr>
          <w:p w14:paraId="59BAD939" w14:textId="77777777" w:rsidR="008C4E6E" w:rsidRDefault="00000000">
            <w:pPr>
              <w:spacing w:before="20" w:after="20" w:line="290" w:lineRule="auto"/>
              <w:jc w:val="left"/>
            </w:pPr>
            <w:r>
              <w:rPr>
                <w:rFonts w:cs="Calibri"/>
                <w:sz w:val="19"/>
                <w:szCs w:val="19"/>
              </w:rPr>
              <w:t>Review timeliness</w:t>
            </w:r>
          </w:p>
        </w:tc>
      </w:tr>
      <w:tr w:rsidR="008C4E6E" w14:paraId="789385E4" w14:textId="77777777">
        <w:tblPrEx>
          <w:tblCellMar>
            <w:top w:w="0" w:type="dxa"/>
            <w:bottom w:w="0" w:type="dxa"/>
          </w:tblCellMar>
        </w:tblPrEx>
        <w:tc>
          <w:tcPr>
            <w:tcW w:w="2337" w:type="dxa"/>
            <w:tcMar>
              <w:top w:w="60" w:type="dxa"/>
              <w:left w:w="100" w:type="dxa"/>
              <w:bottom w:w="60" w:type="dxa"/>
              <w:right w:w="100" w:type="dxa"/>
            </w:tcMar>
          </w:tcPr>
          <w:p w14:paraId="702C0D8A" w14:textId="77777777" w:rsidR="008C4E6E" w:rsidRDefault="00000000">
            <w:pPr>
              <w:spacing w:before="20" w:after="20" w:line="290" w:lineRule="auto"/>
              <w:jc w:val="left"/>
            </w:pPr>
            <w:r>
              <w:rPr>
                <w:rFonts w:cs="Calibri"/>
                <w:sz w:val="19"/>
                <w:szCs w:val="19"/>
              </w:rPr>
              <w:t>E-1</w:t>
            </w:r>
          </w:p>
        </w:tc>
        <w:tc>
          <w:tcPr>
            <w:tcW w:w="2337" w:type="dxa"/>
            <w:tcMar>
              <w:top w:w="60" w:type="dxa"/>
              <w:left w:w="100" w:type="dxa"/>
              <w:bottom w:w="60" w:type="dxa"/>
              <w:right w:w="100" w:type="dxa"/>
            </w:tcMar>
          </w:tcPr>
          <w:p w14:paraId="65105FD7" w14:textId="77777777" w:rsidR="008C4E6E" w:rsidRDefault="00000000">
            <w:pPr>
              <w:spacing w:before="20" w:after="20" w:line="290" w:lineRule="auto"/>
              <w:jc w:val="left"/>
            </w:pPr>
            <w:r>
              <w:rPr>
                <w:rFonts w:cs="Calibri"/>
                <w:sz w:val="19"/>
                <w:szCs w:val="19"/>
              </w:rPr>
              <w:t>Shared logbook cell</w:t>
            </w:r>
          </w:p>
        </w:tc>
        <w:tc>
          <w:tcPr>
            <w:tcW w:w="2337" w:type="dxa"/>
            <w:tcMar>
              <w:top w:w="60" w:type="dxa"/>
              <w:left w:w="100" w:type="dxa"/>
              <w:bottom w:w="60" w:type="dxa"/>
              <w:right w:w="100" w:type="dxa"/>
            </w:tcMar>
          </w:tcPr>
          <w:p w14:paraId="4039ACEC"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7FABB033" w14:textId="77777777" w:rsidR="008C4E6E" w:rsidRDefault="00000000">
            <w:pPr>
              <w:spacing w:before="20" w:after="20" w:line="290" w:lineRule="auto"/>
              <w:jc w:val="left"/>
            </w:pPr>
            <w:r>
              <w:rPr>
                <w:rFonts w:cs="Calibri"/>
                <w:sz w:val="19"/>
                <w:szCs w:val="19"/>
              </w:rPr>
              <w:t>Log completion</w:t>
            </w:r>
          </w:p>
        </w:tc>
      </w:tr>
      <w:tr w:rsidR="008C4E6E" w14:paraId="7C256238" w14:textId="77777777">
        <w:tblPrEx>
          <w:tblCellMar>
            <w:top w:w="0" w:type="dxa"/>
            <w:bottom w:w="0" w:type="dxa"/>
          </w:tblCellMar>
        </w:tblPrEx>
        <w:tc>
          <w:tcPr>
            <w:tcW w:w="2337" w:type="dxa"/>
            <w:tcMar>
              <w:top w:w="60" w:type="dxa"/>
              <w:left w:w="100" w:type="dxa"/>
              <w:bottom w:w="60" w:type="dxa"/>
              <w:right w:w="100" w:type="dxa"/>
            </w:tcMar>
          </w:tcPr>
          <w:p w14:paraId="4E847549" w14:textId="77777777" w:rsidR="008C4E6E" w:rsidRDefault="00000000">
            <w:pPr>
              <w:spacing w:before="20" w:after="20" w:line="290" w:lineRule="auto"/>
              <w:jc w:val="left"/>
            </w:pPr>
            <w:r>
              <w:rPr>
                <w:rFonts w:cs="Calibri"/>
                <w:sz w:val="19"/>
                <w:szCs w:val="19"/>
              </w:rPr>
              <w:t>E-2</w:t>
            </w:r>
          </w:p>
        </w:tc>
        <w:tc>
          <w:tcPr>
            <w:tcW w:w="2337" w:type="dxa"/>
            <w:tcMar>
              <w:top w:w="60" w:type="dxa"/>
              <w:left w:w="100" w:type="dxa"/>
              <w:bottom w:w="60" w:type="dxa"/>
              <w:right w:w="100" w:type="dxa"/>
            </w:tcMar>
          </w:tcPr>
          <w:p w14:paraId="4A945C4B" w14:textId="77777777" w:rsidR="008C4E6E" w:rsidRDefault="00000000">
            <w:pPr>
              <w:spacing w:before="20" w:after="20" w:line="290" w:lineRule="auto"/>
              <w:jc w:val="left"/>
            </w:pPr>
            <w:r>
              <w:rPr>
                <w:rFonts w:cs="Calibri"/>
                <w:sz w:val="19"/>
                <w:szCs w:val="19"/>
              </w:rPr>
              <w:t>Micro-training exchange</w:t>
            </w:r>
          </w:p>
        </w:tc>
        <w:tc>
          <w:tcPr>
            <w:tcW w:w="2337" w:type="dxa"/>
            <w:tcMar>
              <w:top w:w="60" w:type="dxa"/>
              <w:left w:w="100" w:type="dxa"/>
              <w:bottom w:w="60" w:type="dxa"/>
              <w:right w:w="100" w:type="dxa"/>
            </w:tcMar>
          </w:tcPr>
          <w:p w14:paraId="38A57CDE"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3FB41F66" w14:textId="77777777" w:rsidR="008C4E6E" w:rsidRDefault="00000000">
            <w:pPr>
              <w:spacing w:before="20" w:after="20" w:line="290" w:lineRule="auto"/>
              <w:jc w:val="left"/>
            </w:pPr>
            <w:r>
              <w:rPr>
                <w:rFonts w:cs="Calibri"/>
                <w:sz w:val="19"/>
                <w:szCs w:val="19"/>
              </w:rPr>
              <w:t>Visit completion</w:t>
            </w:r>
          </w:p>
        </w:tc>
      </w:tr>
      <w:tr w:rsidR="008C4E6E" w14:paraId="512EF7CC" w14:textId="77777777">
        <w:tblPrEx>
          <w:tblCellMar>
            <w:top w:w="0" w:type="dxa"/>
            <w:bottom w:w="0" w:type="dxa"/>
          </w:tblCellMar>
        </w:tblPrEx>
        <w:tc>
          <w:tcPr>
            <w:tcW w:w="2337" w:type="dxa"/>
            <w:tcMar>
              <w:top w:w="60" w:type="dxa"/>
              <w:left w:w="100" w:type="dxa"/>
              <w:bottom w:w="60" w:type="dxa"/>
              <w:right w:w="100" w:type="dxa"/>
            </w:tcMar>
          </w:tcPr>
          <w:p w14:paraId="4135FA33" w14:textId="77777777" w:rsidR="008C4E6E" w:rsidRDefault="00000000">
            <w:pPr>
              <w:spacing w:before="20" w:after="20" w:line="290" w:lineRule="auto"/>
              <w:jc w:val="left"/>
            </w:pPr>
            <w:r>
              <w:rPr>
                <w:rFonts w:cs="Calibri"/>
                <w:sz w:val="19"/>
                <w:szCs w:val="19"/>
              </w:rPr>
              <w:t>E-3</w:t>
            </w:r>
          </w:p>
        </w:tc>
        <w:tc>
          <w:tcPr>
            <w:tcW w:w="2337" w:type="dxa"/>
            <w:tcMar>
              <w:top w:w="60" w:type="dxa"/>
              <w:left w:w="100" w:type="dxa"/>
              <w:bottom w:w="60" w:type="dxa"/>
              <w:right w:w="100" w:type="dxa"/>
            </w:tcMar>
          </w:tcPr>
          <w:p w14:paraId="4ECC5A1B" w14:textId="77777777" w:rsidR="008C4E6E" w:rsidRDefault="00000000">
            <w:pPr>
              <w:spacing w:before="20" w:after="20" w:line="290" w:lineRule="auto"/>
              <w:jc w:val="left"/>
            </w:pPr>
            <w:r>
              <w:rPr>
                <w:rFonts w:cs="Calibri"/>
                <w:sz w:val="19"/>
                <w:szCs w:val="19"/>
              </w:rPr>
              <w:t>Radio-channel harmonization</w:t>
            </w:r>
          </w:p>
        </w:tc>
        <w:tc>
          <w:tcPr>
            <w:tcW w:w="2337" w:type="dxa"/>
            <w:tcMar>
              <w:top w:w="60" w:type="dxa"/>
              <w:left w:w="100" w:type="dxa"/>
              <w:bottom w:w="60" w:type="dxa"/>
              <w:right w:w="100" w:type="dxa"/>
            </w:tcMar>
          </w:tcPr>
          <w:p w14:paraId="10A9A703"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5778D277" w14:textId="77777777" w:rsidR="008C4E6E" w:rsidRDefault="00000000">
            <w:pPr>
              <w:spacing w:before="20" w:after="20" w:line="290" w:lineRule="auto"/>
              <w:jc w:val="left"/>
            </w:pPr>
            <w:r>
              <w:rPr>
                <w:rFonts w:cs="Calibri"/>
                <w:sz w:val="19"/>
                <w:szCs w:val="19"/>
              </w:rPr>
              <w:t>Clean monitoring week</w:t>
            </w:r>
          </w:p>
        </w:tc>
      </w:tr>
      <w:tr w:rsidR="008C4E6E" w14:paraId="12335143" w14:textId="77777777">
        <w:tblPrEx>
          <w:tblCellMar>
            <w:top w:w="0" w:type="dxa"/>
            <w:bottom w:w="0" w:type="dxa"/>
          </w:tblCellMar>
        </w:tblPrEx>
        <w:tc>
          <w:tcPr>
            <w:tcW w:w="2337" w:type="dxa"/>
            <w:tcMar>
              <w:top w:w="60" w:type="dxa"/>
              <w:left w:w="100" w:type="dxa"/>
              <w:bottom w:w="60" w:type="dxa"/>
              <w:right w:w="100" w:type="dxa"/>
            </w:tcMar>
          </w:tcPr>
          <w:p w14:paraId="11E51B6A" w14:textId="77777777" w:rsidR="008C4E6E" w:rsidRDefault="00000000">
            <w:pPr>
              <w:spacing w:before="20" w:after="20" w:line="290" w:lineRule="auto"/>
              <w:jc w:val="left"/>
            </w:pPr>
            <w:r>
              <w:rPr>
                <w:rFonts w:cs="Calibri"/>
                <w:sz w:val="19"/>
                <w:szCs w:val="19"/>
              </w:rPr>
              <w:t>E-4</w:t>
            </w:r>
          </w:p>
        </w:tc>
        <w:tc>
          <w:tcPr>
            <w:tcW w:w="2337" w:type="dxa"/>
            <w:tcMar>
              <w:top w:w="60" w:type="dxa"/>
              <w:left w:w="100" w:type="dxa"/>
              <w:bottom w:w="60" w:type="dxa"/>
              <w:right w:w="100" w:type="dxa"/>
            </w:tcMar>
          </w:tcPr>
          <w:p w14:paraId="1D595DDE" w14:textId="77777777" w:rsidR="008C4E6E" w:rsidRDefault="00000000">
            <w:pPr>
              <w:spacing w:before="20" w:after="20" w:line="290" w:lineRule="auto"/>
              <w:jc w:val="left"/>
            </w:pPr>
            <w:r>
              <w:rPr>
                <w:rFonts w:cs="Calibri"/>
                <w:sz w:val="19"/>
                <w:szCs w:val="19"/>
              </w:rPr>
              <w:t>Joint fog-signal protocol</w:t>
            </w:r>
          </w:p>
        </w:tc>
        <w:tc>
          <w:tcPr>
            <w:tcW w:w="2337" w:type="dxa"/>
            <w:tcMar>
              <w:top w:w="60" w:type="dxa"/>
              <w:left w:w="100" w:type="dxa"/>
              <w:bottom w:w="60" w:type="dxa"/>
              <w:right w:w="100" w:type="dxa"/>
            </w:tcMar>
          </w:tcPr>
          <w:p w14:paraId="0872D582"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3875971F" w14:textId="77777777" w:rsidR="008C4E6E" w:rsidRDefault="00000000">
            <w:pPr>
              <w:spacing w:before="20" w:after="20" w:line="290" w:lineRule="auto"/>
              <w:jc w:val="left"/>
            </w:pPr>
            <w:r>
              <w:rPr>
                <w:rFonts w:cs="Calibri"/>
                <w:sz w:val="19"/>
                <w:szCs w:val="19"/>
              </w:rPr>
              <w:t>Consistent signal use</w:t>
            </w:r>
          </w:p>
        </w:tc>
      </w:tr>
      <w:tr w:rsidR="008C4E6E" w14:paraId="65A05FDB" w14:textId="77777777">
        <w:tblPrEx>
          <w:tblCellMar>
            <w:top w:w="0" w:type="dxa"/>
            <w:bottom w:w="0" w:type="dxa"/>
          </w:tblCellMar>
        </w:tblPrEx>
        <w:tc>
          <w:tcPr>
            <w:tcW w:w="2337" w:type="dxa"/>
            <w:tcMar>
              <w:top w:w="60" w:type="dxa"/>
              <w:left w:w="100" w:type="dxa"/>
              <w:bottom w:w="60" w:type="dxa"/>
              <w:right w:w="100" w:type="dxa"/>
            </w:tcMar>
          </w:tcPr>
          <w:p w14:paraId="55C13860" w14:textId="77777777" w:rsidR="008C4E6E" w:rsidRDefault="00000000">
            <w:pPr>
              <w:spacing w:before="20" w:after="20" w:line="290" w:lineRule="auto"/>
              <w:jc w:val="left"/>
            </w:pPr>
            <w:r>
              <w:rPr>
                <w:rFonts w:cs="Calibri"/>
                <w:sz w:val="19"/>
                <w:szCs w:val="19"/>
              </w:rPr>
              <w:t>E-5</w:t>
            </w:r>
          </w:p>
        </w:tc>
        <w:tc>
          <w:tcPr>
            <w:tcW w:w="2337" w:type="dxa"/>
            <w:tcMar>
              <w:top w:w="60" w:type="dxa"/>
              <w:left w:w="100" w:type="dxa"/>
              <w:bottom w:w="60" w:type="dxa"/>
              <w:right w:w="100" w:type="dxa"/>
            </w:tcMar>
          </w:tcPr>
          <w:p w14:paraId="709CAE30" w14:textId="77777777" w:rsidR="008C4E6E" w:rsidRDefault="00000000">
            <w:pPr>
              <w:spacing w:before="20" w:after="20" w:line="290" w:lineRule="auto"/>
              <w:jc w:val="left"/>
            </w:pPr>
            <w:r>
              <w:rPr>
                <w:rFonts w:cs="Calibri"/>
                <w:sz w:val="19"/>
                <w:szCs w:val="19"/>
              </w:rPr>
              <w:t>Shared vessel-intent form</w:t>
            </w:r>
          </w:p>
        </w:tc>
        <w:tc>
          <w:tcPr>
            <w:tcW w:w="2337" w:type="dxa"/>
            <w:tcMar>
              <w:top w:w="60" w:type="dxa"/>
              <w:left w:w="100" w:type="dxa"/>
              <w:bottom w:w="60" w:type="dxa"/>
              <w:right w:w="100" w:type="dxa"/>
            </w:tcMar>
          </w:tcPr>
          <w:p w14:paraId="45D3562E"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579E0E88" w14:textId="77777777" w:rsidR="008C4E6E" w:rsidRDefault="00000000">
            <w:pPr>
              <w:spacing w:before="20" w:after="20" w:line="290" w:lineRule="auto"/>
              <w:jc w:val="left"/>
            </w:pPr>
            <w:r>
              <w:rPr>
                <w:rFonts w:cs="Calibri"/>
                <w:sz w:val="19"/>
                <w:szCs w:val="19"/>
              </w:rPr>
              <w:t>Forms and variance report</w:t>
            </w:r>
          </w:p>
        </w:tc>
      </w:tr>
      <w:tr w:rsidR="008C4E6E" w14:paraId="0C28673D" w14:textId="77777777">
        <w:tblPrEx>
          <w:tblCellMar>
            <w:top w:w="0" w:type="dxa"/>
            <w:bottom w:w="0" w:type="dxa"/>
          </w:tblCellMar>
        </w:tblPrEx>
        <w:tc>
          <w:tcPr>
            <w:tcW w:w="2337" w:type="dxa"/>
            <w:tcMar>
              <w:top w:w="60" w:type="dxa"/>
              <w:left w:w="100" w:type="dxa"/>
              <w:bottom w:w="60" w:type="dxa"/>
              <w:right w:w="100" w:type="dxa"/>
            </w:tcMar>
          </w:tcPr>
          <w:p w14:paraId="548A3657" w14:textId="77777777" w:rsidR="008C4E6E" w:rsidRDefault="00000000">
            <w:pPr>
              <w:spacing w:before="20" w:after="20" w:line="290" w:lineRule="auto"/>
              <w:jc w:val="left"/>
            </w:pPr>
            <w:r>
              <w:rPr>
                <w:rFonts w:cs="Calibri"/>
                <w:sz w:val="19"/>
                <w:szCs w:val="19"/>
              </w:rPr>
              <w:t>E-6</w:t>
            </w:r>
          </w:p>
        </w:tc>
        <w:tc>
          <w:tcPr>
            <w:tcW w:w="2337" w:type="dxa"/>
            <w:tcMar>
              <w:top w:w="60" w:type="dxa"/>
              <w:left w:w="100" w:type="dxa"/>
              <w:bottom w:w="60" w:type="dxa"/>
              <w:right w:w="100" w:type="dxa"/>
            </w:tcMar>
          </w:tcPr>
          <w:p w14:paraId="55538304" w14:textId="77777777" w:rsidR="008C4E6E" w:rsidRDefault="00000000">
            <w:pPr>
              <w:spacing w:before="20" w:after="20" w:line="290" w:lineRule="auto"/>
              <w:jc w:val="left"/>
            </w:pPr>
            <w:r>
              <w:rPr>
                <w:rFonts w:cs="Calibri"/>
                <w:sz w:val="19"/>
                <w:szCs w:val="19"/>
              </w:rPr>
              <w:t>Micro-fee simulation</w:t>
            </w:r>
          </w:p>
        </w:tc>
        <w:tc>
          <w:tcPr>
            <w:tcW w:w="2337" w:type="dxa"/>
            <w:tcMar>
              <w:top w:w="60" w:type="dxa"/>
              <w:left w:w="100" w:type="dxa"/>
              <w:bottom w:w="60" w:type="dxa"/>
              <w:right w:w="100" w:type="dxa"/>
            </w:tcMar>
          </w:tcPr>
          <w:p w14:paraId="7FD6215E"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54CB0916" w14:textId="77777777" w:rsidR="008C4E6E" w:rsidRDefault="00000000">
            <w:pPr>
              <w:spacing w:before="20" w:after="20" w:line="290" w:lineRule="auto"/>
              <w:jc w:val="left"/>
            </w:pPr>
            <w:r>
              <w:rPr>
                <w:rFonts w:cs="Calibri"/>
                <w:sz w:val="19"/>
                <w:szCs w:val="19"/>
              </w:rPr>
              <w:t>Model convergence</w:t>
            </w:r>
          </w:p>
        </w:tc>
      </w:tr>
      <w:tr w:rsidR="008C4E6E" w14:paraId="6BD4BCAF" w14:textId="77777777">
        <w:tblPrEx>
          <w:tblCellMar>
            <w:top w:w="0" w:type="dxa"/>
            <w:bottom w:w="0" w:type="dxa"/>
          </w:tblCellMar>
        </w:tblPrEx>
        <w:tc>
          <w:tcPr>
            <w:tcW w:w="2337" w:type="dxa"/>
            <w:tcMar>
              <w:top w:w="60" w:type="dxa"/>
              <w:left w:w="100" w:type="dxa"/>
              <w:bottom w:w="60" w:type="dxa"/>
              <w:right w:w="100" w:type="dxa"/>
            </w:tcMar>
          </w:tcPr>
          <w:p w14:paraId="050D4543" w14:textId="77777777" w:rsidR="008C4E6E" w:rsidRDefault="00000000">
            <w:pPr>
              <w:spacing w:before="20" w:after="20" w:line="290" w:lineRule="auto"/>
              <w:jc w:val="left"/>
            </w:pPr>
            <w:r>
              <w:rPr>
                <w:rFonts w:cs="Calibri"/>
                <w:sz w:val="19"/>
                <w:szCs w:val="19"/>
              </w:rPr>
              <w:t>E-7</w:t>
            </w:r>
          </w:p>
        </w:tc>
        <w:tc>
          <w:tcPr>
            <w:tcW w:w="2337" w:type="dxa"/>
            <w:tcMar>
              <w:top w:w="60" w:type="dxa"/>
              <w:left w:w="100" w:type="dxa"/>
              <w:bottom w:w="60" w:type="dxa"/>
              <w:right w:w="100" w:type="dxa"/>
            </w:tcMar>
          </w:tcPr>
          <w:p w14:paraId="6926D45C" w14:textId="77777777" w:rsidR="008C4E6E" w:rsidRDefault="00000000">
            <w:pPr>
              <w:spacing w:before="20" w:after="20" w:line="290" w:lineRule="auto"/>
              <w:jc w:val="left"/>
            </w:pPr>
            <w:r>
              <w:rPr>
                <w:rFonts w:cs="Calibri"/>
                <w:sz w:val="19"/>
                <w:szCs w:val="19"/>
              </w:rPr>
              <w:t>Micro-oversight cell</w:t>
            </w:r>
          </w:p>
        </w:tc>
        <w:tc>
          <w:tcPr>
            <w:tcW w:w="2337" w:type="dxa"/>
            <w:tcMar>
              <w:top w:w="60" w:type="dxa"/>
              <w:left w:w="100" w:type="dxa"/>
              <w:bottom w:w="60" w:type="dxa"/>
              <w:right w:w="100" w:type="dxa"/>
            </w:tcMar>
          </w:tcPr>
          <w:p w14:paraId="11ADB008"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4F46D7E1" w14:textId="77777777" w:rsidR="008C4E6E" w:rsidRDefault="00000000">
            <w:pPr>
              <w:spacing w:before="20" w:after="20" w:line="290" w:lineRule="auto"/>
              <w:jc w:val="left"/>
            </w:pPr>
            <w:r>
              <w:rPr>
                <w:rFonts w:cs="Calibri"/>
                <w:sz w:val="19"/>
                <w:szCs w:val="19"/>
              </w:rPr>
              <w:t>Review completion</w:t>
            </w:r>
          </w:p>
        </w:tc>
      </w:tr>
      <w:tr w:rsidR="008C4E6E" w14:paraId="11C2EB1C" w14:textId="77777777">
        <w:tblPrEx>
          <w:tblCellMar>
            <w:top w:w="0" w:type="dxa"/>
            <w:bottom w:w="0" w:type="dxa"/>
          </w:tblCellMar>
        </w:tblPrEx>
        <w:tc>
          <w:tcPr>
            <w:tcW w:w="2337" w:type="dxa"/>
            <w:tcMar>
              <w:top w:w="60" w:type="dxa"/>
              <w:left w:w="100" w:type="dxa"/>
              <w:bottom w:w="60" w:type="dxa"/>
              <w:right w:w="100" w:type="dxa"/>
            </w:tcMar>
          </w:tcPr>
          <w:p w14:paraId="5B577FA2" w14:textId="77777777" w:rsidR="008C4E6E" w:rsidRDefault="00000000">
            <w:pPr>
              <w:spacing w:before="20" w:after="20" w:line="290" w:lineRule="auto"/>
              <w:jc w:val="left"/>
            </w:pPr>
            <w:r>
              <w:rPr>
                <w:rFonts w:cs="Calibri"/>
                <w:sz w:val="19"/>
                <w:szCs w:val="19"/>
              </w:rPr>
              <w:t>E-8</w:t>
            </w:r>
          </w:p>
        </w:tc>
        <w:tc>
          <w:tcPr>
            <w:tcW w:w="2337" w:type="dxa"/>
            <w:tcMar>
              <w:top w:w="60" w:type="dxa"/>
              <w:left w:w="100" w:type="dxa"/>
              <w:bottom w:w="60" w:type="dxa"/>
              <w:right w:w="100" w:type="dxa"/>
            </w:tcMar>
          </w:tcPr>
          <w:p w14:paraId="46C83FA5" w14:textId="77777777" w:rsidR="008C4E6E" w:rsidRDefault="00000000">
            <w:pPr>
              <w:spacing w:before="20" w:after="20" w:line="290" w:lineRule="auto"/>
              <w:jc w:val="left"/>
            </w:pPr>
            <w:r>
              <w:rPr>
                <w:rFonts w:cs="Calibri"/>
                <w:sz w:val="19"/>
                <w:szCs w:val="19"/>
              </w:rPr>
              <w:t>Micro-governance review</w:t>
            </w:r>
          </w:p>
        </w:tc>
        <w:tc>
          <w:tcPr>
            <w:tcW w:w="2337" w:type="dxa"/>
            <w:tcMar>
              <w:top w:w="60" w:type="dxa"/>
              <w:left w:w="100" w:type="dxa"/>
              <w:bottom w:w="60" w:type="dxa"/>
              <w:right w:w="100" w:type="dxa"/>
            </w:tcMar>
          </w:tcPr>
          <w:p w14:paraId="0B3E75F6"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764009BF" w14:textId="77777777" w:rsidR="008C4E6E" w:rsidRDefault="00000000">
            <w:pPr>
              <w:spacing w:before="20" w:after="20" w:line="290" w:lineRule="auto"/>
              <w:jc w:val="left"/>
            </w:pPr>
            <w:r>
              <w:rPr>
                <w:rFonts w:cs="Calibri"/>
                <w:sz w:val="19"/>
                <w:szCs w:val="19"/>
              </w:rPr>
              <w:t>Action closure rate</w:t>
            </w:r>
          </w:p>
        </w:tc>
      </w:tr>
      <w:tr w:rsidR="008C4E6E" w14:paraId="28D9B82E" w14:textId="77777777">
        <w:tblPrEx>
          <w:tblCellMar>
            <w:top w:w="0" w:type="dxa"/>
            <w:bottom w:w="0" w:type="dxa"/>
          </w:tblCellMar>
        </w:tblPrEx>
        <w:tc>
          <w:tcPr>
            <w:tcW w:w="2337" w:type="dxa"/>
            <w:tcMar>
              <w:top w:w="60" w:type="dxa"/>
              <w:left w:w="100" w:type="dxa"/>
              <w:bottom w:w="60" w:type="dxa"/>
              <w:right w:w="100" w:type="dxa"/>
            </w:tcMar>
          </w:tcPr>
          <w:p w14:paraId="7DC25B6C" w14:textId="77777777" w:rsidR="008C4E6E" w:rsidRDefault="00000000">
            <w:pPr>
              <w:spacing w:before="20" w:after="20" w:line="290" w:lineRule="auto"/>
              <w:jc w:val="left"/>
            </w:pPr>
            <w:r>
              <w:rPr>
                <w:rFonts w:cs="Calibri"/>
                <w:sz w:val="19"/>
                <w:szCs w:val="19"/>
              </w:rPr>
              <w:t>E-9</w:t>
            </w:r>
          </w:p>
        </w:tc>
        <w:tc>
          <w:tcPr>
            <w:tcW w:w="2337" w:type="dxa"/>
            <w:tcMar>
              <w:top w:w="60" w:type="dxa"/>
              <w:left w:w="100" w:type="dxa"/>
              <w:bottom w:w="60" w:type="dxa"/>
              <w:right w:w="100" w:type="dxa"/>
            </w:tcMar>
          </w:tcPr>
          <w:p w14:paraId="243A3EAA" w14:textId="77777777" w:rsidR="008C4E6E" w:rsidRDefault="00000000">
            <w:pPr>
              <w:spacing w:before="20" w:after="20" w:line="290" w:lineRule="auto"/>
              <w:jc w:val="left"/>
            </w:pPr>
            <w:r>
              <w:rPr>
                <w:rFonts w:cs="Calibri"/>
                <w:sz w:val="19"/>
                <w:szCs w:val="19"/>
              </w:rPr>
              <w:t>Pilot-compatibility audit</w:t>
            </w:r>
          </w:p>
        </w:tc>
        <w:tc>
          <w:tcPr>
            <w:tcW w:w="2337" w:type="dxa"/>
            <w:tcMar>
              <w:top w:w="60" w:type="dxa"/>
              <w:left w:w="100" w:type="dxa"/>
              <w:bottom w:w="60" w:type="dxa"/>
              <w:right w:w="100" w:type="dxa"/>
            </w:tcMar>
          </w:tcPr>
          <w:p w14:paraId="6982C01E"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58114039" w14:textId="77777777" w:rsidR="008C4E6E" w:rsidRDefault="00000000">
            <w:pPr>
              <w:spacing w:before="20" w:after="20" w:line="290" w:lineRule="auto"/>
              <w:jc w:val="left"/>
            </w:pPr>
            <w:r>
              <w:rPr>
                <w:rFonts w:cs="Calibri"/>
                <w:sz w:val="19"/>
                <w:szCs w:val="19"/>
              </w:rPr>
              <w:t>Gap remediation</w:t>
            </w:r>
          </w:p>
        </w:tc>
      </w:tr>
      <w:tr w:rsidR="008C4E6E" w14:paraId="7F8653D7" w14:textId="77777777">
        <w:tblPrEx>
          <w:tblCellMar>
            <w:top w:w="0" w:type="dxa"/>
            <w:bottom w:w="0" w:type="dxa"/>
          </w:tblCellMar>
        </w:tblPrEx>
        <w:tc>
          <w:tcPr>
            <w:tcW w:w="2337" w:type="dxa"/>
            <w:tcMar>
              <w:top w:w="60" w:type="dxa"/>
              <w:left w:w="100" w:type="dxa"/>
              <w:bottom w:w="60" w:type="dxa"/>
              <w:right w:w="100" w:type="dxa"/>
            </w:tcMar>
          </w:tcPr>
          <w:p w14:paraId="437B7EA6" w14:textId="77777777" w:rsidR="008C4E6E" w:rsidRDefault="00000000">
            <w:pPr>
              <w:spacing w:before="20" w:after="20" w:line="290" w:lineRule="auto"/>
              <w:jc w:val="left"/>
            </w:pPr>
            <w:r>
              <w:rPr>
                <w:rFonts w:cs="Calibri"/>
                <w:sz w:val="19"/>
                <w:szCs w:val="19"/>
              </w:rPr>
              <w:t>E-10</w:t>
            </w:r>
          </w:p>
        </w:tc>
        <w:tc>
          <w:tcPr>
            <w:tcW w:w="2337" w:type="dxa"/>
            <w:tcMar>
              <w:top w:w="60" w:type="dxa"/>
              <w:left w:w="100" w:type="dxa"/>
              <w:bottom w:w="60" w:type="dxa"/>
              <w:right w:w="100" w:type="dxa"/>
            </w:tcMar>
          </w:tcPr>
          <w:p w14:paraId="73B67A26" w14:textId="77777777" w:rsidR="008C4E6E" w:rsidRDefault="00000000">
            <w:pPr>
              <w:spacing w:before="20" w:after="20" w:line="290" w:lineRule="auto"/>
              <w:jc w:val="left"/>
            </w:pPr>
            <w:r>
              <w:rPr>
                <w:rFonts w:cs="Calibri"/>
                <w:sz w:val="19"/>
                <w:szCs w:val="19"/>
              </w:rPr>
              <w:t>Corridor-expansion test</w:t>
            </w:r>
          </w:p>
        </w:tc>
        <w:tc>
          <w:tcPr>
            <w:tcW w:w="2337" w:type="dxa"/>
            <w:tcMar>
              <w:top w:w="60" w:type="dxa"/>
              <w:left w:w="100" w:type="dxa"/>
              <w:bottom w:w="60" w:type="dxa"/>
              <w:right w:w="100" w:type="dxa"/>
            </w:tcMar>
          </w:tcPr>
          <w:p w14:paraId="3A78E776" w14:textId="77777777" w:rsidR="008C4E6E" w:rsidRDefault="00000000">
            <w:pPr>
              <w:spacing w:before="20" w:after="20" w:line="290" w:lineRule="auto"/>
              <w:jc w:val="left"/>
            </w:pPr>
            <w:r>
              <w:rPr>
                <w:rFonts w:cs="Calibri"/>
                <w:sz w:val="19"/>
                <w:szCs w:val="19"/>
              </w:rPr>
              <w:t>Governance</w:t>
            </w:r>
          </w:p>
        </w:tc>
        <w:tc>
          <w:tcPr>
            <w:tcW w:w="2339" w:type="dxa"/>
            <w:tcMar>
              <w:top w:w="60" w:type="dxa"/>
              <w:left w:w="100" w:type="dxa"/>
              <w:bottom w:w="60" w:type="dxa"/>
              <w:right w:w="100" w:type="dxa"/>
            </w:tcMar>
          </w:tcPr>
          <w:p w14:paraId="4B5463D2" w14:textId="77777777" w:rsidR="008C4E6E" w:rsidRDefault="00000000">
            <w:pPr>
              <w:spacing w:before="20" w:after="20" w:line="290" w:lineRule="auto"/>
              <w:jc w:val="left"/>
            </w:pPr>
            <w:r>
              <w:rPr>
                <w:rFonts w:cs="Calibri"/>
                <w:sz w:val="19"/>
                <w:szCs w:val="19"/>
              </w:rPr>
              <w:t>Incident-free windows</w:t>
            </w:r>
          </w:p>
        </w:tc>
      </w:tr>
    </w:tbl>
    <w:p w14:paraId="5F4B562A" w14:textId="77777777" w:rsidR="008C4E6E" w:rsidRDefault="008C4E6E">
      <w:pPr>
        <w:spacing w:after="80"/>
      </w:pPr>
    </w:p>
    <w:p w14:paraId="68357B39" w14:textId="77777777" w:rsidR="008C4E6E" w:rsidRDefault="00000000">
      <w:pPr>
        <w:spacing w:before="40" w:after="200"/>
        <w:jc w:val="left"/>
      </w:pPr>
      <w:r>
        <w:rPr>
          <w:rFonts w:cs="Calibri"/>
          <w:i/>
          <w:color w:val="6E8A96"/>
          <w:sz w:val="19"/>
          <w:szCs w:val="19"/>
        </w:rPr>
        <w:t>The fifty founding exercises with their metric families. The Cell maintains the exercise sheet template for every catalog entry.</w:t>
      </w:r>
    </w:p>
    <w:p w14:paraId="66C51E1C" w14:textId="77777777" w:rsidR="008C4E6E" w:rsidRDefault="00000000">
      <w:pPr>
        <w:pStyle w:val="Heading1"/>
      </w:pPr>
      <w:bookmarkStart w:id="85" w:name="_Toc237650641"/>
      <w:r>
        <w:rPr>
          <w:rFonts w:cs="Calibri Light"/>
          <w:szCs w:val="36"/>
        </w:rPr>
        <w:t>Annex C: The Calm Waters Fund Charter and Rate Card</w:t>
      </w:r>
      <w:bookmarkEnd w:id="85"/>
    </w:p>
    <w:p w14:paraId="3321014C" w14:textId="77777777" w:rsidR="008C4E6E" w:rsidRDefault="00000000">
      <w:pPr>
        <w:pStyle w:val="Heading2"/>
      </w:pPr>
      <w:bookmarkStart w:id="86" w:name="_Toc237650642"/>
      <w:r>
        <w:rPr>
          <w:rFonts w:cs="Calibri Light"/>
          <w:szCs w:val="28"/>
        </w:rPr>
        <w:t>C.1 Charter Essentials</w:t>
      </w:r>
      <w:bookmarkEnd w:id="86"/>
    </w:p>
    <w:p w14:paraId="143B9462" w14:textId="77777777" w:rsidR="008C4E6E" w:rsidRDefault="00000000">
      <w:r>
        <w:rPr>
          <w:rFonts w:cs="Calibri"/>
          <w:b/>
          <w:szCs w:val="22"/>
        </w:rPr>
        <w:t>C.1.1</w:t>
      </w:r>
      <w:r>
        <w:rPr>
          <w:rFonts w:cs="Calibri"/>
          <w:szCs w:val="22"/>
        </w:rPr>
        <w:t xml:space="preserve"> Purpose: to reimburse the verified cost of services to shipping in the Governance Area, to fund the institutions of the Covenant, to carry the development windows, and to hold the rapid response window, under Articles 50 and 51.</w:t>
      </w:r>
    </w:p>
    <w:p w14:paraId="4CB829ED" w14:textId="77777777" w:rsidR="008C4E6E" w:rsidRDefault="00000000">
      <w:r>
        <w:rPr>
          <w:rFonts w:cs="Calibri"/>
          <w:b/>
          <w:szCs w:val="22"/>
        </w:rPr>
        <w:t>C.1.2</w:t>
      </w:r>
      <w:r>
        <w:rPr>
          <w:rFonts w:cs="Calibri"/>
          <w:szCs w:val="22"/>
        </w:rPr>
        <w:t xml:space="preserve"> Administration: the Swiss Confederation, through a designated Swiss financial intermediary, under a standing administrative agreement with the Fund board.</w:t>
      </w:r>
    </w:p>
    <w:p w14:paraId="502D3706" w14:textId="77777777" w:rsidR="008C4E6E" w:rsidRDefault="00000000">
      <w:r>
        <w:rPr>
          <w:rFonts w:cs="Calibri"/>
          <w:b/>
          <w:szCs w:val="22"/>
        </w:rPr>
        <w:lastRenderedPageBreak/>
        <w:t>C.1.3</w:t>
      </w:r>
      <w:r>
        <w:rPr>
          <w:rFonts w:cs="Calibri"/>
          <w:szCs w:val="22"/>
        </w:rPr>
        <w:t xml:space="preserve"> Board: five members under Article 51.2, deciding by simple majority, meeting monthly, publishing minutes.</w:t>
      </w:r>
    </w:p>
    <w:p w14:paraId="71A4B76B" w14:textId="77777777" w:rsidR="008C4E6E" w:rsidRDefault="00000000">
      <w:r>
        <w:rPr>
          <w:rFonts w:cs="Calibri"/>
          <w:b/>
          <w:szCs w:val="22"/>
        </w:rPr>
        <w:t>C.1.4</w:t>
      </w:r>
      <w:r>
        <w:rPr>
          <w:rFonts w:cs="Calibri"/>
          <w:szCs w:val="22"/>
        </w:rPr>
        <w:t xml:space="preserve"> Accounts: quarterly publication, annual audit by an international firm, full payment transparency by purpose, recipient, and verification reference.</w:t>
      </w:r>
    </w:p>
    <w:p w14:paraId="571D86B2" w14:textId="77777777" w:rsidR="008C4E6E" w:rsidRDefault="00000000">
      <w:r>
        <w:rPr>
          <w:rFonts w:cs="Calibri"/>
          <w:b/>
          <w:szCs w:val="22"/>
        </w:rPr>
        <w:t>C.1.5</w:t>
      </w:r>
      <w:r>
        <w:rPr>
          <w:rFonts w:cs="Calibri"/>
          <w:szCs w:val="22"/>
        </w:rPr>
        <w:t xml:space="preserve"> Target scale: opening capitalization of one hundred and fifty million United States dollars from the contribution windows, replenished to hold six months of standing costs plus the rapid response window of fifty million.</w:t>
      </w:r>
    </w:p>
    <w:p w14:paraId="22C53A33" w14:textId="77777777" w:rsidR="008C4E6E" w:rsidRDefault="00000000">
      <w:r>
        <w:rPr>
          <w:rFonts w:cs="Calibri"/>
          <w:b/>
          <w:szCs w:val="22"/>
        </w:rPr>
        <w:t>C.1.6</w:t>
      </w:r>
      <w:r>
        <w:rPr>
          <w:rFonts w:cs="Calibri"/>
          <w:szCs w:val="22"/>
        </w:rPr>
        <w:t xml:space="preserve"> The heavy-user cap: no single operator's aggregate voluntary contributions exceed the published annual ceiling computed per fleet, set at a level that guarantees predictability for the largest tanker and gas fleets. The cap converts an open-ended exposure into a budgetable line item.</w:t>
      </w:r>
    </w:p>
    <w:p w14:paraId="035680B6" w14:textId="77777777" w:rsidR="008C4E6E" w:rsidRDefault="00000000">
      <w:r>
        <w:rPr>
          <w:rFonts w:cs="Calibri"/>
          <w:b/>
          <w:szCs w:val="22"/>
        </w:rPr>
        <w:t>C.1.7</w:t>
      </w:r>
      <w:r>
        <w:rPr>
          <w:rFonts w:cs="Calibri"/>
          <w:szCs w:val="22"/>
        </w:rPr>
        <w:t xml:space="preserve"> The participation dividend: contributing operators receive the route assurance data service, priority access to convoy windows, the green discount for vessels meeting the emissions standard, and public recognition in the Fund's annual report. The dividend wraps contribution in commercial value without touching passage rights: the architecture sells data, assurance, and recognition, never access.</w:t>
      </w:r>
    </w:p>
    <w:p w14:paraId="289472DA" w14:textId="77777777" w:rsidR="008C4E6E" w:rsidRDefault="00000000">
      <w:r>
        <w:rPr>
          <w:rFonts w:cs="Calibri"/>
          <w:b/>
          <w:szCs w:val="22"/>
        </w:rPr>
        <w:t>C.1.8</w:t>
      </w:r>
      <w:r>
        <w:rPr>
          <w:rFonts w:cs="Calibri"/>
          <w:szCs w:val="22"/>
        </w:rPr>
        <w:t xml:space="preserve"> The substance test: a payment that varies with the fact of passage, that conditions passage in practice, or that a reasonable operator experiences as a price of transit, is a toll, whatever its name. The NVO applies this test to every new charge type and every complaint.</w:t>
      </w:r>
    </w:p>
    <w:p w14:paraId="6206D987" w14:textId="77777777" w:rsidR="008C4E6E" w:rsidRDefault="00000000">
      <w:pPr>
        <w:pStyle w:val="Heading2"/>
      </w:pPr>
      <w:bookmarkStart w:id="87" w:name="_Toc237650643"/>
      <w:r>
        <w:rPr>
          <w:rFonts w:cs="Calibri Light"/>
          <w:szCs w:val="28"/>
        </w:rPr>
        <w:t>C.2 Rate Card (cost-based, reviewed every six months)</w:t>
      </w:r>
      <w:bookmarkEnd w:id="87"/>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4178A125"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3BD4030F" w14:textId="77777777" w:rsidR="008C4E6E" w:rsidRDefault="00000000">
            <w:pPr>
              <w:spacing w:before="20" w:after="20" w:line="290" w:lineRule="auto"/>
              <w:jc w:val="left"/>
            </w:pPr>
            <w:r>
              <w:rPr>
                <w:rFonts w:cs="Calibri"/>
                <w:b/>
                <w:color w:val="1F4E5F"/>
                <w:sz w:val="19"/>
                <w:szCs w:val="19"/>
              </w:rPr>
              <w:t>Service</w:t>
            </w:r>
          </w:p>
        </w:tc>
        <w:tc>
          <w:tcPr>
            <w:tcW w:w="3116" w:type="dxa"/>
            <w:shd w:val="clear" w:color="auto" w:fill="E4EEF1"/>
            <w:tcMar>
              <w:top w:w="60" w:type="dxa"/>
              <w:left w:w="100" w:type="dxa"/>
              <w:bottom w:w="60" w:type="dxa"/>
              <w:right w:w="100" w:type="dxa"/>
            </w:tcMar>
          </w:tcPr>
          <w:p w14:paraId="4F862952" w14:textId="77777777" w:rsidR="008C4E6E" w:rsidRDefault="00000000">
            <w:pPr>
              <w:spacing w:before="20" w:after="20" w:line="290" w:lineRule="auto"/>
              <w:jc w:val="left"/>
            </w:pPr>
            <w:r>
              <w:rPr>
                <w:rFonts w:cs="Calibri"/>
                <w:b/>
                <w:color w:val="1F4E5F"/>
                <w:sz w:val="19"/>
                <w:szCs w:val="19"/>
              </w:rPr>
              <w:t>Rate basis</w:t>
            </w:r>
          </w:p>
        </w:tc>
        <w:tc>
          <w:tcPr>
            <w:tcW w:w="3118" w:type="dxa"/>
            <w:shd w:val="clear" w:color="auto" w:fill="E4EEF1"/>
            <w:tcMar>
              <w:top w:w="60" w:type="dxa"/>
              <w:left w:w="100" w:type="dxa"/>
              <w:bottom w:w="60" w:type="dxa"/>
              <w:right w:w="100" w:type="dxa"/>
            </w:tcMar>
          </w:tcPr>
          <w:p w14:paraId="68EC0494" w14:textId="77777777" w:rsidR="008C4E6E" w:rsidRDefault="00000000">
            <w:pPr>
              <w:spacing w:before="20" w:after="20" w:line="290" w:lineRule="auto"/>
              <w:jc w:val="left"/>
            </w:pPr>
            <w:r>
              <w:rPr>
                <w:rFonts w:cs="Calibri"/>
                <w:b/>
                <w:color w:val="1F4E5F"/>
                <w:sz w:val="19"/>
                <w:szCs w:val="19"/>
              </w:rPr>
              <w:t>Indicative rate (USD)</w:t>
            </w:r>
          </w:p>
        </w:tc>
      </w:tr>
      <w:tr w:rsidR="008C4E6E" w14:paraId="4F12111B" w14:textId="77777777">
        <w:tblPrEx>
          <w:tblCellMar>
            <w:top w:w="0" w:type="dxa"/>
            <w:bottom w:w="0" w:type="dxa"/>
          </w:tblCellMar>
        </w:tblPrEx>
        <w:tc>
          <w:tcPr>
            <w:tcW w:w="3116" w:type="dxa"/>
            <w:tcMar>
              <w:top w:w="60" w:type="dxa"/>
              <w:left w:w="100" w:type="dxa"/>
              <w:bottom w:w="60" w:type="dxa"/>
              <w:right w:w="100" w:type="dxa"/>
            </w:tcMar>
          </w:tcPr>
          <w:p w14:paraId="4BCADA30" w14:textId="77777777" w:rsidR="008C4E6E" w:rsidRDefault="00000000">
            <w:pPr>
              <w:spacing w:before="20" w:after="20" w:line="290" w:lineRule="auto"/>
              <w:jc w:val="left"/>
            </w:pPr>
            <w:r>
              <w:rPr>
                <w:rFonts w:cs="Calibri"/>
                <w:sz w:val="19"/>
                <w:szCs w:val="19"/>
              </w:rPr>
              <w:t>Vessel traffic services support</w:t>
            </w:r>
          </w:p>
        </w:tc>
        <w:tc>
          <w:tcPr>
            <w:tcW w:w="3116" w:type="dxa"/>
            <w:tcMar>
              <w:top w:w="60" w:type="dxa"/>
              <w:left w:w="100" w:type="dxa"/>
              <w:bottom w:w="60" w:type="dxa"/>
              <w:right w:w="100" w:type="dxa"/>
            </w:tcMar>
          </w:tcPr>
          <w:p w14:paraId="402143CC" w14:textId="77777777" w:rsidR="008C4E6E" w:rsidRDefault="00000000">
            <w:pPr>
              <w:spacing w:before="20" w:after="20" w:line="290" w:lineRule="auto"/>
              <w:jc w:val="left"/>
            </w:pPr>
            <w:r>
              <w:rPr>
                <w:rFonts w:cs="Calibri"/>
                <w:sz w:val="19"/>
                <w:szCs w:val="19"/>
              </w:rPr>
              <w:t>Per transit</w:t>
            </w:r>
          </w:p>
        </w:tc>
        <w:tc>
          <w:tcPr>
            <w:tcW w:w="3118" w:type="dxa"/>
            <w:tcMar>
              <w:top w:w="60" w:type="dxa"/>
              <w:left w:w="100" w:type="dxa"/>
              <w:bottom w:w="60" w:type="dxa"/>
              <w:right w:w="100" w:type="dxa"/>
            </w:tcMar>
          </w:tcPr>
          <w:p w14:paraId="5732B336" w14:textId="77777777" w:rsidR="008C4E6E" w:rsidRDefault="00000000">
            <w:pPr>
              <w:spacing w:before="20" w:after="20" w:line="290" w:lineRule="auto"/>
              <w:jc w:val="left"/>
            </w:pPr>
            <w:r>
              <w:rPr>
                <w:rFonts w:cs="Calibri"/>
                <w:sz w:val="19"/>
                <w:szCs w:val="19"/>
              </w:rPr>
              <w:t>600</w:t>
            </w:r>
          </w:p>
        </w:tc>
      </w:tr>
      <w:tr w:rsidR="008C4E6E" w14:paraId="2ECC189F" w14:textId="77777777">
        <w:tblPrEx>
          <w:tblCellMar>
            <w:top w:w="0" w:type="dxa"/>
            <w:bottom w:w="0" w:type="dxa"/>
          </w:tblCellMar>
        </w:tblPrEx>
        <w:tc>
          <w:tcPr>
            <w:tcW w:w="3116" w:type="dxa"/>
            <w:tcMar>
              <w:top w:w="60" w:type="dxa"/>
              <w:left w:w="100" w:type="dxa"/>
              <w:bottom w:w="60" w:type="dxa"/>
              <w:right w:w="100" w:type="dxa"/>
            </w:tcMar>
          </w:tcPr>
          <w:p w14:paraId="032727A2" w14:textId="77777777" w:rsidR="008C4E6E" w:rsidRDefault="00000000">
            <w:pPr>
              <w:spacing w:before="20" w:after="20" w:line="290" w:lineRule="auto"/>
              <w:jc w:val="left"/>
            </w:pPr>
            <w:r>
              <w:rPr>
                <w:rFonts w:cs="Calibri"/>
                <w:sz w:val="19"/>
                <w:szCs w:val="19"/>
              </w:rPr>
              <w:t>Aids-to-navigation maintenance</w:t>
            </w:r>
          </w:p>
        </w:tc>
        <w:tc>
          <w:tcPr>
            <w:tcW w:w="3116" w:type="dxa"/>
            <w:tcMar>
              <w:top w:w="60" w:type="dxa"/>
              <w:left w:w="100" w:type="dxa"/>
              <w:bottom w:w="60" w:type="dxa"/>
              <w:right w:w="100" w:type="dxa"/>
            </w:tcMar>
          </w:tcPr>
          <w:p w14:paraId="102817C5" w14:textId="77777777" w:rsidR="008C4E6E" w:rsidRDefault="00000000">
            <w:pPr>
              <w:spacing w:before="20" w:after="20" w:line="290" w:lineRule="auto"/>
              <w:jc w:val="left"/>
            </w:pPr>
            <w:r>
              <w:rPr>
                <w:rFonts w:cs="Calibri"/>
                <w:sz w:val="19"/>
                <w:szCs w:val="19"/>
              </w:rPr>
              <w:t>Per transit</w:t>
            </w:r>
          </w:p>
        </w:tc>
        <w:tc>
          <w:tcPr>
            <w:tcW w:w="3118" w:type="dxa"/>
            <w:tcMar>
              <w:top w:w="60" w:type="dxa"/>
              <w:left w:w="100" w:type="dxa"/>
              <w:bottom w:w="60" w:type="dxa"/>
              <w:right w:w="100" w:type="dxa"/>
            </w:tcMar>
          </w:tcPr>
          <w:p w14:paraId="6D249098" w14:textId="77777777" w:rsidR="008C4E6E" w:rsidRDefault="00000000">
            <w:pPr>
              <w:spacing w:before="20" w:after="20" w:line="290" w:lineRule="auto"/>
              <w:jc w:val="left"/>
            </w:pPr>
            <w:r>
              <w:rPr>
                <w:rFonts w:cs="Calibri"/>
                <w:sz w:val="19"/>
                <w:szCs w:val="19"/>
              </w:rPr>
              <w:t>250</w:t>
            </w:r>
          </w:p>
        </w:tc>
      </w:tr>
      <w:tr w:rsidR="008C4E6E" w14:paraId="2339A7FA" w14:textId="77777777">
        <w:tblPrEx>
          <w:tblCellMar>
            <w:top w:w="0" w:type="dxa"/>
            <w:bottom w:w="0" w:type="dxa"/>
          </w:tblCellMar>
        </w:tblPrEx>
        <w:tc>
          <w:tcPr>
            <w:tcW w:w="3116" w:type="dxa"/>
            <w:tcMar>
              <w:top w:w="60" w:type="dxa"/>
              <w:left w:w="100" w:type="dxa"/>
              <w:bottom w:w="60" w:type="dxa"/>
              <w:right w:w="100" w:type="dxa"/>
            </w:tcMar>
          </w:tcPr>
          <w:p w14:paraId="66D959E9" w14:textId="77777777" w:rsidR="008C4E6E" w:rsidRDefault="00000000">
            <w:pPr>
              <w:spacing w:before="20" w:after="20" w:line="290" w:lineRule="auto"/>
              <w:jc w:val="left"/>
            </w:pPr>
            <w:r>
              <w:rPr>
                <w:rFonts w:cs="Calibri"/>
                <w:sz w:val="19"/>
                <w:szCs w:val="19"/>
              </w:rPr>
              <w:t>Hydrographic survey liaison</w:t>
            </w:r>
          </w:p>
        </w:tc>
        <w:tc>
          <w:tcPr>
            <w:tcW w:w="3116" w:type="dxa"/>
            <w:tcMar>
              <w:top w:w="60" w:type="dxa"/>
              <w:left w:w="100" w:type="dxa"/>
              <w:bottom w:w="60" w:type="dxa"/>
              <w:right w:w="100" w:type="dxa"/>
            </w:tcMar>
          </w:tcPr>
          <w:p w14:paraId="3B5B2ACB" w14:textId="77777777" w:rsidR="008C4E6E" w:rsidRDefault="00000000">
            <w:pPr>
              <w:spacing w:before="20" w:after="20" w:line="290" w:lineRule="auto"/>
              <w:jc w:val="left"/>
            </w:pPr>
            <w:r>
              <w:rPr>
                <w:rFonts w:cs="Calibri"/>
                <w:sz w:val="19"/>
                <w:szCs w:val="19"/>
              </w:rPr>
              <w:t>Per survey-day</w:t>
            </w:r>
          </w:p>
        </w:tc>
        <w:tc>
          <w:tcPr>
            <w:tcW w:w="3118" w:type="dxa"/>
            <w:tcMar>
              <w:top w:w="60" w:type="dxa"/>
              <w:left w:w="100" w:type="dxa"/>
              <w:bottom w:w="60" w:type="dxa"/>
              <w:right w:w="100" w:type="dxa"/>
            </w:tcMar>
          </w:tcPr>
          <w:p w14:paraId="33857DD8" w14:textId="77777777" w:rsidR="008C4E6E" w:rsidRDefault="00000000">
            <w:pPr>
              <w:spacing w:before="20" w:after="20" w:line="290" w:lineRule="auto"/>
              <w:jc w:val="left"/>
            </w:pPr>
            <w:r>
              <w:rPr>
                <w:rFonts w:cs="Calibri"/>
                <w:sz w:val="19"/>
                <w:szCs w:val="19"/>
              </w:rPr>
              <w:t>Audited actual cost</w:t>
            </w:r>
          </w:p>
        </w:tc>
      </w:tr>
      <w:tr w:rsidR="008C4E6E" w14:paraId="199868C7" w14:textId="77777777">
        <w:tblPrEx>
          <w:tblCellMar>
            <w:top w:w="0" w:type="dxa"/>
            <w:bottom w:w="0" w:type="dxa"/>
          </w:tblCellMar>
        </w:tblPrEx>
        <w:tc>
          <w:tcPr>
            <w:tcW w:w="3116" w:type="dxa"/>
            <w:tcMar>
              <w:top w:w="60" w:type="dxa"/>
              <w:left w:w="100" w:type="dxa"/>
              <w:bottom w:w="60" w:type="dxa"/>
              <w:right w:w="100" w:type="dxa"/>
            </w:tcMar>
          </w:tcPr>
          <w:p w14:paraId="75EDF9DC" w14:textId="77777777" w:rsidR="008C4E6E" w:rsidRDefault="00000000">
            <w:pPr>
              <w:spacing w:before="20" w:after="20" w:line="290" w:lineRule="auto"/>
              <w:jc w:val="left"/>
            </w:pPr>
            <w:r>
              <w:rPr>
                <w:rFonts w:cs="Calibri"/>
                <w:sz w:val="19"/>
                <w:szCs w:val="19"/>
              </w:rPr>
              <w:t>Environmental monitoring and pollution watch</w:t>
            </w:r>
          </w:p>
        </w:tc>
        <w:tc>
          <w:tcPr>
            <w:tcW w:w="3116" w:type="dxa"/>
            <w:tcMar>
              <w:top w:w="60" w:type="dxa"/>
              <w:left w:w="100" w:type="dxa"/>
              <w:bottom w:w="60" w:type="dxa"/>
              <w:right w:w="100" w:type="dxa"/>
            </w:tcMar>
          </w:tcPr>
          <w:p w14:paraId="4597572C" w14:textId="77777777" w:rsidR="008C4E6E" w:rsidRDefault="00000000">
            <w:pPr>
              <w:spacing w:before="20" w:after="20" w:line="290" w:lineRule="auto"/>
              <w:jc w:val="left"/>
            </w:pPr>
            <w:r>
              <w:rPr>
                <w:rFonts w:cs="Calibri"/>
                <w:sz w:val="19"/>
                <w:szCs w:val="19"/>
              </w:rPr>
              <w:t>Per vessel-day</w:t>
            </w:r>
          </w:p>
        </w:tc>
        <w:tc>
          <w:tcPr>
            <w:tcW w:w="3118" w:type="dxa"/>
            <w:tcMar>
              <w:top w:w="60" w:type="dxa"/>
              <w:left w:w="100" w:type="dxa"/>
              <w:bottom w:w="60" w:type="dxa"/>
              <w:right w:w="100" w:type="dxa"/>
            </w:tcMar>
          </w:tcPr>
          <w:p w14:paraId="59F7FC57" w14:textId="77777777" w:rsidR="008C4E6E" w:rsidRDefault="00000000">
            <w:pPr>
              <w:spacing w:before="20" w:after="20" w:line="290" w:lineRule="auto"/>
              <w:jc w:val="left"/>
            </w:pPr>
            <w:r>
              <w:rPr>
                <w:rFonts w:cs="Calibri"/>
                <w:sz w:val="19"/>
                <w:szCs w:val="19"/>
              </w:rPr>
              <w:t>80</w:t>
            </w:r>
          </w:p>
        </w:tc>
      </w:tr>
      <w:tr w:rsidR="008C4E6E" w14:paraId="63F348EE" w14:textId="77777777">
        <w:tblPrEx>
          <w:tblCellMar>
            <w:top w:w="0" w:type="dxa"/>
            <w:bottom w:w="0" w:type="dxa"/>
          </w:tblCellMar>
        </w:tblPrEx>
        <w:tc>
          <w:tcPr>
            <w:tcW w:w="3116" w:type="dxa"/>
            <w:tcMar>
              <w:top w:w="60" w:type="dxa"/>
              <w:left w:w="100" w:type="dxa"/>
              <w:bottom w:w="60" w:type="dxa"/>
              <w:right w:w="100" w:type="dxa"/>
            </w:tcMar>
          </w:tcPr>
          <w:p w14:paraId="06F8659A" w14:textId="77777777" w:rsidR="008C4E6E" w:rsidRDefault="00000000">
            <w:pPr>
              <w:spacing w:before="20" w:after="20" w:line="290" w:lineRule="auto"/>
              <w:jc w:val="left"/>
            </w:pPr>
            <w:r>
              <w:rPr>
                <w:rFonts w:cs="Calibri"/>
                <w:sz w:val="19"/>
                <w:szCs w:val="19"/>
              </w:rPr>
              <w:t>Search and rescue readiness</w:t>
            </w:r>
          </w:p>
        </w:tc>
        <w:tc>
          <w:tcPr>
            <w:tcW w:w="3116" w:type="dxa"/>
            <w:tcMar>
              <w:top w:w="60" w:type="dxa"/>
              <w:left w:w="100" w:type="dxa"/>
              <w:bottom w:w="60" w:type="dxa"/>
              <w:right w:w="100" w:type="dxa"/>
            </w:tcMar>
          </w:tcPr>
          <w:p w14:paraId="025E671E" w14:textId="77777777" w:rsidR="008C4E6E" w:rsidRDefault="00000000">
            <w:pPr>
              <w:spacing w:before="20" w:after="20" w:line="290" w:lineRule="auto"/>
              <w:jc w:val="left"/>
            </w:pPr>
            <w:r>
              <w:rPr>
                <w:rFonts w:cs="Calibri"/>
                <w:sz w:val="19"/>
                <w:szCs w:val="19"/>
              </w:rPr>
              <w:t>Per transit</w:t>
            </w:r>
          </w:p>
        </w:tc>
        <w:tc>
          <w:tcPr>
            <w:tcW w:w="3118" w:type="dxa"/>
            <w:tcMar>
              <w:top w:w="60" w:type="dxa"/>
              <w:left w:w="100" w:type="dxa"/>
              <w:bottom w:w="60" w:type="dxa"/>
              <w:right w:w="100" w:type="dxa"/>
            </w:tcMar>
          </w:tcPr>
          <w:p w14:paraId="7AA696C7" w14:textId="77777777" w:rsidR="008C4E6E" w:rsidRDefault="00000000">
            <w:pPr>
              <w:spacing w:before="20" w:after="20" w:line="290" w:lineRule="auto"/>
              <w:jc w:val="left"/>
            </w:pPr>
            <w:r>
              <w:rPr>
                <w:rFonts w:cs="Calibri"/>
                <w:sz w:val="19"/>
                <w:szCs w:val="19"/>
              </w:rPr>
              <w:t>120</w:t>
            </w:r>
          </w:p>
        </w:tc>
      </w:tr>
      <w:tr w:rsidR="008C4E6E" w14:paraId="3117A5A4" w14:textId="77777777">
        <w:tblPrEx>
          <w:tblCellMar>
            <w:top w:w="0" w:type="dxa"/>
            <w:bottom w:w="0" w:type="dxa"/>
          </w:tblCellMar>
        </w:tblPrEx>
        <w:tc>
          <w:tcPr>
            <w:tcW w:w="3116" w:type="dxa"/>
            <w:tcMar>
              <w:top w:w="60" w:type="dxa"/>
              <w:left w:w="100" w:type="dxa"/>
              <w:bottom w:w="60" w:type="dxa"/>
              <w:right w:w="100" w:type="dxa"/>
            </w:tcMar>
          </w:tcPr>
          <w:p w14:paraId="0741ADF4" w14:textId="77777777" w:rsidR="008C4E6E" w:rsidRDefault="00000000">
            <w:pPr>
              <w:spacing w:before="20" w:after="20" w:line="290" w:lineRule="auto"/>
              <w:jc w:val="left"/>
            </w:pPr>
            <w:r>
              <w:rPr>
                <w:rFonts w:cs="Calibri"/>
                <w:sz w:val="19"/>
                <w:szCs w:val="19"/>
              </w:rPr>
              <w:t>Hazard reporting and survey response</w:t>
            </w:r>
          </w:p>
        </w:tc>
        <w:tc>
          <w:tcPr>
            <w:tcW w:w="3116" w:type="dxa"/>
            <w:tcMar>
              <w:top w:w="60" w:type="dxa"/>
              <w:left w:w="100" w:type="dxa"/>
              <w:bottom w:w="60" w:type="dxa"/>
              <w:right w:w="100" w:type="dxa"/>
            </w:tcMar>
          </w:tcPr>
          <w:p w14:paraId="7DBB14CC" w14:textId="77777777" w:rsidR="008C4E6E" w:rsidRDefault="00000000">
            <w:pPr>
              <w:spacing w:before="20" w:after="20" w:line="290" w:lineRule="auto"/>
              <w:jc w:val="left"/>
            </w:pPr>
            <w:r>
              <w:rPr>
                <w:rFonts w:cs="Calibri"/>
                <w:sz w:val="19"/>
                <w:szCs w:val="19"/>
              </w:rPr>
              <w:t>Per report-day</w:t>
            </w:r>
          </w:p>
        </w:tc>
        <w:tc>
          <w:tcPr>
            <w:tcW w:w="3118" w:type="dxa"/>
            <w:tcMar>
              <w:top w:w="60" w:type="dxa"/>
              <w:left w:w="100" w:type="dxa"/>
              <w:bottom w:w="60" w:type="dxa"/>
              <w:right w:w="100" w:type="dxa"/>
            </w:tcMar>
          </w:tcPr>
          <w:p w14:paraId="0D19C7EE" w14:textId="77777777" w:rsidR="008C4E6E" w:rsidRDefault="00000000">
            <w:pPr>
              <w:spacing w:before="20" w:after="20" w:line="290" w:lineRule="auto"/>
              <w:jc w:val="left"/>
            </w:pPr>
            <w:r>
              <w:rPr>
                <w:rFonts w:cs="Calibri"/>
                <w:sz w:val="19"/>
                <w:szCs w:val="19"/>
              </w:rPr>
              <w:t>Audited actual cost</w:t>
            </w:r>
          </w:p>
        </w:tc>
      </w:tr>
      <w:tr w:rsidR="008C4E6E" w14:paraId="2BFBA646" w14:textId="77777777">
        <w:tblPrEx>
          <w:tblCellMar>
            <w:top w:w="0" w:type="dxa"/>
            <w:bottom w:w="0" w:type="dxa"/>
          </w:tblCellMar>
        </w:tblPrEx>
        <w:tc>
          <w:tcPr>
            <w:tcW w:w="3116" w:type="dxa"/>
            <w:tcMar>
              <w:top w:w="60" w:type="dxa"/>
              <w:left w:w="100" w:type="dxa"/>
              <w:bottom w:w="60" w:type="dxa"/>
              <w:right w:w="100" w:type="dxa"/>
            </w:tcMar>
          </w:tcPr>
          <w:p w14:paraId="733A568C" w14:textId="77777777" w:rsidR="008C4E6E" w:rsidRDefault="00000000">
            <w:pPr>
              <w:spacing w:before="20" w:after="20" w:line="290" w:lineRule="auto"/>
              <w:jc w:val="left"/>
            </w:pPr>
            <w:r>
              <w:rPr>
                <w:rFonts w:cs="Calibri"/>
                <w:sz w:val="19"/>
                <w:szCs w:val="19"/>
              </w:rPr>
              <w:t>Incident logging and first response</w:t>
            </w:r>
          </w:p>
        </w:tc>
        <w:tc>
          <w:tcPr>
            <w:tcW w:w="3116" w:type="dxa"/>
            <w:tcMar>
              <w:top w:w="60" w:type="dxa"/>
              <w:left w:w="100" w:type="dxa"/>
              <w:bottom w:w="60" w:type="dxa"/>
              <w:right w:w="100" w:type="dxa"/>
            </w:tcMar>
          </w:tcPr>
          <w:p w14:paraId="20172E20" w14:textId="77777777" w:rsidR="008C4E6E" w:rsidRDefault="00000000">
            <w:pPr>
              <w:spacing w:before="20" w:after="20" w:line="290" w:lineRule="auto"/>
              <w:jc w:val="left"/>
            </w:pPr>
            <w:r>
              <w:rPr>
                <w:rFonts w:cs="Calibri"/>
                <w:sz w:val="19"/>
                <w:szCs w:val="19"/>
              </w:rPr>
              <w:t>Per event</w:t>
            </w:r>
          </w:p>
        </w:tc>
        <w:tc>
          <w:tcPr>
            <w:tcW w:w="3118" w:type="dxa"/>
            <w:tcMar>
              <w:top w:w="60" w:type="dxa"/>
              <w:left w:w="100" w:type="dxa"/>
              <w:bottom w:w="60" w:type="dxa"/>
              <w:right w:w="100" w:type="dxa"/>
            </w:tcMar>
          </w:tcPr>
          <w:p w14:paraId="34513F71" w14:textId="77777777" w:rsidR="008C4E6E" w:rsidRDefault="00000000">
            <w:pPr>
              <w:spacing w:before="20" w:after="20" w:line="290" w:lineRule="auto"/>
              <w:jc w:val="left"/>
            </w:pPr>
            <w:r>
              <w:rPr>
                <w:rFonts w:cs="Calibri"/>
                <w:sz w:val="19"/>
                <w:szCs w:val="19"/>
              </w:rPr>
              <w:t>Audited actual cost</w:t>
            </w:r>
          </w:p>
        </w:tc>
      </w:tr>
      <w:tr w:rsidR="008C4E6E" w14:paraId="285B06E8" w14:textId="77777777">
        <w:tblPrEx>
          <w:tblCellMar>
            <w:top w:w="0" w:type="dxa"/>
            <w:bottom w:w="0" w:type="dxa"/>
          </w:tblCellMar>
        </w:tblPrEx>
        <w:tc>
          <w:tcPr>
            <w:tcW w:w="3116" w:type="dxa"/>
            <w:tcMar>
              <w:top w:w="60" w:type="dxa"/>
              <w:left w:w="100" w:type="dxa"/>
              <w:bottom w:w="60" w:type="dxa"/>
              <w:right w:w="100" w:type="dxa"/>
            </w:tcMar>
          </w:tcPr>
          <w:p w14:paraId="70268532" w14:textId="77777777" w:rsidR="008C4E6E" w:rsidRDefault="00000000">
            <w:pPr>
              <w:spacing w:before="20" w:after="20" w:line="290" w:lineRule="auto"/>
              <w:jc w:val="left"/>
            </w:pPr>
            <w:r>
              <w:rPr>
                <w:rFonts w:cs="Calibri"/>
                <w:sz w:val="19"/>
                <w:szCs w:val="19"/>
              </w:rPr>
              <w:t>Mariner information services beyond the Bulletin</w:t>
            </w:r>
          </w:p>
        </w:tc>
        <w:tc>
          <w:tcPr>
            <w:tcW w:w="3116" w:type="dxa"/>
            <w:tcMar>
              <w:top w:w="60" w:type="dxa"/>
              <w:left w:w="100" w:type="dxa"/>
              <w:bottom w:w="60" w:type="dxa"/>
              <w:right w:w="100" w:type="dxa"/>
            </w:tcMar>
          </w:tcPr>
          <w:p w14:paraId="10D0D118" w14:textId="77777777" w:rsidR="008C4E6E" w:rsidRDefault="00000000">
            <w:pPr>
              <w:spacing w:before="20" w:after="20" w:line="290" w:lineRule="auto"/>
              <w:jc w:val="left"/>
            </w:pPr>
            <w:r>
              <w:rPr>
                <w:rFonts w:cs="Calibri"/>
                <w:sz w:val="19"/>
                <w:szCs w:val="19"/>
              </w:rPr>
              <w:t>Per vessel-day</w:t>
            </w:r>
          </w:p>
        </w:tc>
        <w:tc>
          <w:tcPr>
            <w:tcW w:w="3118" w:type="dxa"/>
            <w:tcMar>
              <w:top w:w="60" w:type="dxa"/>
              <w:left w:w="100" w:type="dxa"/>
              <w:bottom w:w="60" w:type="dxa"/>
              <w:right w:w="100" w:type="dxa"/>
            </w:tcMar>
          </w:tcPr>
          <w:p w14:paraId="35F237FF" w14:textId="77777777" w:rsidR="008C4E6E" w:rsidRDefault="00000000">
            <w:pPr>
              <w:spacing w:before="20" w:after="20" w:line="290" w:lineRule="auto"/>
              <w:jc w:val="left"/>
            </w:pPr>
            <w:r>
              <w:rPr>
                <w:rFonts w:cs="Calibri"/>
                <w:sz w:val="19"/>
                <w:szCs w:val="19"/>
              </w:rPr>
              <w:t>60</w:t>
            </w:r>
          </w:p>
        </w:tc>
      </w:tr>
      <w:tr w:rsidR="008C4E6E" w14:paraId="3C3371CB" w14:textId="77777777">
        <w:tblPrEx>
          <w:tblCellMar>
            <w:top w:w="0" w:type="dxa"/>
            <w:bottom w:w="0" w:type="dxa"/>
          </w:tblCellMar>
        </w:tblPrEx>
        <w:tc>
          <w:tcPr>
            <w:tcW w:w="3116" w:type="dxa"/>
            <w:tcMar>
              <w:top w:w="60" w:type="dxa"/>
              <w:left w:w="100" w:type="dxa"/>
              <w:bottom w:w="60" w:type="dxa"/>
              <w:right w:w="100" w:type="dxa"/>
            </w:tcMar>
          </w:tcPr>
          <w:p w14:paraId="4724C0E2" w14:textId="77777777" w:rsidR="008C4E6E" w:rsidRDefault="00000000">
            <w:pPr>
              <w:spacing w:before="20" w:after="20" w:line="290" w:lineRule="auto"/>
              <w:jc w:val="left"/>
            </w:pPr>
            <w:r>
              <w:rPr>
                <w:rFonts w:cs="Calibri"/>
                <w:sz w:val="19"/>
                <w:szCs w:val="19"/>
              </w:rPr>
              <w:t>Convoy window coordination</w:t>
            </w:r>
          </w:p>
        </w:tc>
        <w:tc>
          <w:tcPr>
            <w:tcW w:w="3116" w:type="dxa"/>
            <w:tcMar>
              <w:top w:w="60" w:type="dxa"/>
              <w:left w:w="100" w:type="dxa"/>
              <w:bottom w:w="60" w:type="dxa"/>
              <w:right w:w="100" w:type="dxa"/>
            </w:tcMar>
          </w:tcPr>
          <w:p w14:paraId="68086655" w14:textId="77777777" w:rsidR="008C4E6E" w:rsidRDefault="00000000">
            <w:pPr>
              <w:spacing w:before="20" w:after="20" w:line="290" w:lineRule="auto"/>
              <w:jc w:val="left"/>
            </w:pPr>
            <w:r>
              <w:rPr>
                <w:rFonts w:cs="Calibri"/>
                <w:sz w:val="19"/>
                <w:szCs w:val="19"/>
              </w:rPr>
              <w:t>Per convoy</w:t>
            </w:r>
          </w:p>
        </w:tc>
        <w:tc>
          <w:tcPr>
            <w:tcW w:w="3118" w:type="dxa"/>
            <w:tcMar>
              <w:top w:w="60" w:type="dxa"/>
              <w:left w:w="100" w:type="dxa"/>
              <w:bottom w:w="60" w:type="dxa"/>
              <w:right w:w="100" w:type="dxa"/>
            </w:tcMar>
          </w:tcPr>
          <w:p w14:paraId="254AA89E" w14:textId="77777777" w:rsidR="008C4E6E" w:rsidRDefault="00000000">
            <w:pPr>
              <w:spacing w:before="20" w:after="20" w:line="290" w:lineRule="auto"/>
              <w:jc w:val="left"/>
            </w:pPr>
            <w:r>
              <w:rPr>
                <w:rFonts w:cs="Calibri"/>
                <w:sz w:val="19"/>
                <w:szCs w:val="19"/>
              </w:rPr>
              <w:t>900</w:t>
            </w:r>
          </w:p>
        </w:tc>
      </w:tr>
      <w:tr w:rsidR="008C4E6E" w14:paraId="16432A90" w14:textId="77777777">
        <w:tblPrEx>
          <w:tblCellMar>
            <w:top w:w="0" w:type="dxa"/>
            <w:bottom w:w="0" w:type="dxa"/>
          </w:tblCellMar>
        </w:tblPrEx>
        <w:tc>
          <w:tcPr>
            <w:tcW w:w="3116" w:type="dxa"/>
            <w:tcMar>
              <w:top w:w="60" w:type="dxa"/>
              <w:left w:w="100" w:type="dxa"/>
              <w:bottom w:w="60" w:type="dxa"/>
              <w:right w:w="100" w:type="dxa"/>
            </w:tcMar>
          </w:tcPr>
          <w:p w14:paraId="1CA13BA9" w14:textId="77777777" w:rsidR="008C4E6E" w:rsidRDefault="00000000">
            <w:pPr>
              <w:spacing w:before="20" w:after="20" w:line="290" w:lineRule="auto"/>
              <w:jc w:val="left"/>
            </w:pPr>
            <w:r>
              <w:rPr>
                <w:rFonts w:cs="Calibri"/>
                <w:sz w:val="19"/>
                <w:szCs w:val="19"/>
              </w:rPr>
              <w:t>Pilotage, on vessel request</w:t>
            </w:r>
          </w:p>
        </w:tc>
        <w:tc>
          <w:tcPr>
            <w:tcW w:w="3116" w:type="dxa"/>
            <w:tcMar>
              <w:top w:w="60" w:type="dxa"/>
              <w:left w:w="100" w:type="dxa"/>
              <w:bottom w:w="60" w:type="dxa"/>
              <w:right w:w="100" w:type="dxa"/>
            </w:tcMar>
          </w:tcPr>
          <w:p w14:paraId="707A7DBC" w14:textId="77777777" w:rsidR="008C4E6E" w:rsidRDefault="00000000">
            <w:pPr>
              <w:spacing w:before="20" w:after="20" w:line="290" w:lineRule="auto"/>
              <w:jc w:val="left"/>
            </w:pPr>
            <w:r>
              <w:rPr>
                <w:rFonts w:cs="Calibri"/>
                <w:sz w:val="19"/>
                <w:szCs w:val="19"/>
              </w:rPr>
              <w:t>Per movement</w:t>
            </w:r>
          </w:p>
        </w:tc>
        <w:tc>
          <w:tcPr>
            <w:tcW w:w="3118" w:type="dxa"/>
            <w:tcMar>
              <w:top w:w="60" w:type="dxa"/>
              <w:left w:w="100" w:type="dxa"/>
              <w:bottom w:w="60" w:type="dxa"/>
              <w:right w:w="100" w:type="dxa"/>
            </w:tcMar>
          </w:tcPr>
          <w:p w14:paraId="2636901B" w14:textId="77777777" w:rsidR="008C4E6E" w:rsidRDefault="00000000">
            <w:pPr>
              <w:spacing w:before="20" w:after="20" w:line="290" w:lineRule="auto"/>
              <w:jc w:val="left"/>
            </w:pPr>
            <w:r>
              <w:rPr>
                <w:rFonts w:cs="Calibri"/>
                <w:sz w:val="19"/>
                <w:szCs w:val="19"/>
              </w:rPr>
              <w:t>1,200</w:t>
            </w:r>
          </w:p>
        </w:tc>
      </w:tr>
      <w:tr w:rsidR="008C4E6E" w14:paraId="1A8C629D" w14:textId="77777777">
        <w:tblPrEx>
          <w:tblCellMar>
            <w:top w:w="0" w:type="dxa"/>
            <w:bottom w:w="0" w:type="dxa"/>
          </w:tblCellMar>
        </w:tblPrEx>
        <w:tc>
          <w:tcPr>
            <w:tcW w:w="3116" w:type="dxa"/>
            <w:tcMar>
              <w:top w:w="60" w:type="dxa"/>
              <w:left w:w="100" w:type="dxa"/>
              <w:bottom w:w="60" w:type="dxa"/>
              <w:right w:w="100" w:type="dxa"/>
            </w:tcMar>
          </w:tcPr>
          <w:p w14:paraId="29C4861E" w14:textId="77777777" w:rsidR="008C4E6E" w:rsidRDefault="00000000">
            <w:pPr>
              <w:spacing w:before="20" w:after="20" w:line="290" w:lineRule="auto"/>
              <w:jc w:val="left"/>
            </w:pPr>
            <w:r>
              <w:rPr>
                <w:rFonts w:cs="Calibri"/>
                <w:sz w:val="19"/>
                <w:szCs w:val="19"/>
              </w:rPr>
              <w:t>Towage and salvage standby</w:t>
            </w:r>
          </w:p>
        </w:tc>
        <w:tc>
          <w:tcPr>
            <w:tcW w:w="3116" w:type="dxa"/>
            <w:tcMar>
              <w:top w:w="60" w:type="dxa"/>
              <w:left w:w="100" w:type="dxa"/>
              <w:bottom w:w="60" w:type="dxa"/>
              <w:right w:w="100" w:type="dxa"/>
            </w:tcMar>
          </w:tcPr>
          <w:p w14:paraId="735A0264" w14:textId="77777777" w:rsidR="008C4E6E" w:rsidRDefault="00000000">
            <w:pPr>
              <w:spacing w:before="20" w:after="20" w:line="290" w:lineRule="auto"/>
              <w:jc w:val="left"/>
            </w:pPr>
            <w:r>
              <w:rPr>
                <w:rFonts w:cs="Calibri"/>
                <w:sz w:val="19"/>
                <w:szCs w:val="19"/>
              </w:rPr>
              <w:t>Per corridor-day</w:t>
            </w:r>
          </w:p>
        </w:tc>
        <w:tc>
          <w:tcPr>
            <w:tcW w:w="3118" w:type="dxa"/>
            <w:tcMar>
              <w:top w:w="60" w:type="dxa"/>
              <w:left w:w="100" w:type="dxa"/>
              <w:bottom w:w="60" w:type="dxa"/>
              <w:right w:w="100" w:type="dxa"/>
            </w:tcMar>
          </w:tcPr>
          <w:p w14:paraId="5F1A99D5" w14:textId="77777777" w:rsidR="008C4E6E" w:rsidRDefault="00000000">
            <w:pPr>
              <w:spacing w:before="20" w:after="20" w:line="290" w:lineRule="auto"/>
              <w:jc w:val="left"/>
            </w:pPr>
            <w:r>
              <w:rPr>
                <w:rFonts w:cs="Calibri"/>
                <w:sz w:val="19"/>
                <w:szCs w:val="19"/>
              </w:rPr>
              <w:t>Audited actual cost</w:t>
            </w:r>
          </w:p>
        </w:tc>
      </w:tr>
      <w:tr w:rsidR="008C4E6E" w14:paraId="4E94B7BE" w14:textId="77777777">
        <w:tblPrEx>
          <w:tblCellMar>
            <w:top w:w="0" w:type="dxa"/>
            <w:bottom w:w="0" w:type="dxa"/>
          </w:tblCellMar>
        </w:tblPrEx>
        <w:tc>
          <w:tcPr>
            <w:tcW w:w="3116" w:type="dxa"/>
            <w:tcMar>
              <w:top w:w="60" w:type="dxa"/>
              <w:left w:w="100" w:type="dxa"/>
              <w:bottom w:w="60" w:type="dxa"/>
              <w:right w:w="100" w:type="dxa"/>
            </w:tcMar>
          </w:tcPr>
          <w:p w14:paraId="16AFD989" w14:textId="77777777" w:rsidR="008C4E6E" w:rsidRDefault="00000000">
            <w:pPr>
              <w:spacing w:before="20" w:after="20" w:line="290" w:lineRule="auto"/>
              <w:jc w:val="left"/>
            </w:pPr>
            <w:r>
              <w:rPr>
                <w:rFonts w:cs="Calibri"/>
                <w:sz w:val="19"/>
                <w:szCs w:val="19"/>
              </w:rPr>
              <w:lastRenderedPageBreak/>
              <w:t>Waste reception</w:t>
            </w:r>
          </w:p>
        </w:tc>
        <w:tc>
          <w:tcPr>
            <w:tcW w:w="3116" w:type="dxa"/>
            <w:tcMar>
              <w:top w:w="60" w:type="dxa"/>
              <w:left w:w="100" w:type="dxa"/>
              <w:bottom w:w="60" w:type="dxa"/>
              <w:right w:w="100" w:type="dxa"/>
            </w:tcMar>
          </w:tcPr>
          <w:p w14:paraId="73390E98" w14:textId="77777777" w:rsidR="008C4E6E" w:rsidRDefault="00000000">
            <w:pPr>
              <w:spacing w:before="20" w:after="20" w:line="290" w:lineRule="auto"/>
              <w:jc w:val="left"/>
            </w:pPr>
            <w:r>
              <w:rPr>
                <w:rFonts w:cs="Calibri"/>
                <w:sz w:val="19"/>
                <w:szCs w:val="19"/>
              </w:rPr>
              <w:t>Per cubic meter</w:t>
            </w:r>
          </w:p>
        </w:tc>
        <w:tc>
          <w:tcPr>
            <w:tcW w:w="3118" w:type="dxa"/>
            <w:tcMar>
              <w:top w:w="60" w:type="dxa"/>
              <w:left w:w="100" w:type="dxa"/>
              <w:bottom w:w="60" w:type="dxa"/>
              <w:right w:w="100" w:type="dxa"/>
            </w:tcMar>
          </w:tcPr>
          <w:p w14:paraId="6EF1D567" w14:textId="77777777" w:rsidR="008C4E6E" w:rsidRDefault="00000000">
            <w:pPr>
              <w:spacing w:before="20" w:after="20" w:line="290" w:lineRule="auto"/>
              <w:jc w:val="left"/>
            </w:pPr>
            <w:r>
              <w:rPr>
                <w:rFonts w:cs="Calibri"/>
                <w:sz w:val="19"/>
                <w:szCs w:val="19"/>
              </w:rPr>
              <w:t>45</w:t>
            </w:r>
          </w:p>
        </w:tc>
      </w:tr>
      <w:tr w:rsidR="008C4E6E" w14:paraId="5DD79B33" w14:textId="77777777">
        <w:tblPrEx>
          <w:tblCellMar>
            <w:top w:w="0" w:type="dxa"/>
            <w:bottom w:w="0" w:type="dxa"/>
          </w:tblCellMar>
        </w:tblPrEx>
        <w:tc>
          <w:tcPr>
            <w:tcW w:w="3116" w:type="dxa"/>
            <w:tcMar>
              <w:top w:w="60" w:type="dxa"/>
              <w:left w:w="100" w:type="dxa"/>
              <w:bottom w:w="60" w:type="dxa"/>
              <w:right w:w="100" w:type="dxa"/>
            </w:tcMar>
          </w:tcPr>
          <w:p w14:paraId="3A59E072" w14:textId="77777777" w:rsidR="008C4E6E" w:rsidRDefault="00000000">
            <w:pPr>
              <w:spacing w:before="20" w:after="20" w:line="290" w:lineRule="auto"/>
              <w:jc w:val="left"/>
            </w:pPr>
            <w:r>
              <w:rPr>
                <w:rFonts w:cs="Calibri"/>
                <w:sz w:val="19"/>
                <w:szCs w:val="19"/>
              </w:rPr>
              <w:t>Anchorage services</w:t>
            </w:r>
          </w:p>
        </w:tc>
        <w:tc>
          <w:tcPr>
            <w:tcW w:w="3116" w:type="dxa"/>
            <w:tcMar>
              <w:top w:w="60" w:type="dxa"/>
              <w:left w:w="100" w:type="dxa"/>
              <w:bottom w:w="60" w:type="dxa"/>
              <w:right w:w="100" w:type="dxa"/>
            </w:tcMar>
          </w:tcPr>
          <w:p w14:paraId="250448E3" w14:textId="77777777" w:rsidR="008C4E6E" w:rsidRDefault="00000000">
            <w:pPr>
              <w:spacing w:before="20" w:after="20" w:line="290" w:lineRule="auto"/>
              <w:jc w:val="left"/>
            </w:pPr>
            <w:r>
              <w:rPr>
                <w:rFonts w:cs="Calibri"/>
                <w:sz w:val="19"/>
                <w:szCs w:val="19"/>
              </w:rPr>
              <w:t>Per day</w:t>
            </w:r>
          </w:p>
        </w:tc>
        <w:tc>
          <w:tcPr>
            <w:tcW w:w="3118" w:type="dxa"/>
            <w:tcMar>
              <w:top w:w="60" w:type="dxa"/>
              <w:left w:w="100" w:type="dxa"/>
              <w:bottom w:w="60" w:type="dxa"/>
              <w:right w:w="100" w:type="dxa"/>
            </w:tcMar>
          </w:tcPr>
          <w:p w14:paraId="306CED47" w14:textId="77777777" w:rsidR="008C4E6E" w:rsidRDefault="00000000">
            <w:pPr>
              <w:spacing w:before="20" w:after="20" w:line="290" w:lineRule="auto"/>
              <w:jc w:val="left"/>
            </w:pPr>
            <w:r>
              <w:rPr>
                <w:rFonts w:cs="Calibri"/>
                <w:sz w:val="19"/>
                <w:szCs w:val="19"/>
              </w:rPr>
              <w:t>150</w:t>
            </w:r>
          </w:p>
        </w:tc>
      </w:tr>
    </w:tbl>
    <w:p w14:paraId="3369EEA3" w14:textId="77777777" w:rsidR="008C4E6E" w:rsidRDefault="008C4E6E">
      <w:pPr>
        <w:spacing w:after="80"/>
      </w:pPr>
    </w:p>
    <w:p w14:paraId="01F4A767" w14:textId="77777777" w:rsidR="008C4E6E" w:rsidRDefault="00000000">
      <w:pPr>
        <w:spacing w:before="40" w:after="200"/>
        <w:jc w:val="left"/>
      </w:pPr>
      <w:r>
        <w:rPr>
          <w:rFonts w:cs="Calibri"/>
          <w:i/>
          <w:color w:val="6E8A96"/>
          <w:sz w:val="19"/>
          <w:szCs w:val="19"/>
        </w:rPr>
        <w:t>Rate card. Rates recover audited cost plus ten percent overhead, and nothing more. The Industry Panel reviews the card before each publication.</w:t>
      </w:r>
    </w:p>
    <w:p w14:paraId="21C6D923" w14:textId="77777777" w:rsidR="008C4E6E" w:rsidRDefault="00000000">
      <w:pPr>
        <w:pStyle w:val="Heading2"/>
      </w:pPr>
      <w:bookmarkStart w:id="88" w:name="_Toc237650644"/>
      <w:r>
        <w:rPr>
          <w:rFonts w:cs="Calibri Light"/>
          <w:szCs w:val="28"/>
        </w:rPr>
        <w:t>C.3 The Development Windows</w:t>
      </w:r>
      <w:bookmarkEnd w:id="88"/>
    </w:p>
    <w:p w14:paraId="6484C877" w14:textId="77777777" w:rsidR="008C4E6E" w:rsidRDefault="00000000">
      <w:r>
        <w:rPr>
          <w:rFonts w:cs="Calibri"/>
          <w:szCs w:val="22"/>
        </w:rPr>
        <w:t>The development windows direct visible benefit to the coastal provinces of both Founding Parties in published balance: harbor and safety infrastructure, hydrographic capacity, maritime training, environmental monitoring, and emergency response capability. The Gulf Cooperation Council opening contribution anchors the windows, and further grants join under Article 51.3. Every window project carries a published budget, a published contractor selection record, and an NVO audit. The windows answer the demand for visible development benefit without touching passage economics.</w:t>
      </w:r>
    </w:p>
    <w:p w14:paraId="550B6947" w14:textId="77777777" w:rsidR="008C4E6E" w:rsidRDefault="00000000">
      <w:pPr>
        <w:pStyle w:val="Heading2"/>
      </w:pPr>
      <w:bookmarkStart w:id="89" w:name="_Toc237650645"/>
      <w:r>
        <w:rPr>
          <w:rFonts w:cs="Calibri Light"/>
          <w:szCs w:val="28"/>
        </w:rPr>
        <w:t>C.4 Payment Flow</w:t>
      </w:r>
      <w:bookmarkEnd w:id="89"/>
    </w:p>
    <w:p w14:paraId="31D29FC9" w14:textId="77777777" w:rsidR="008C4E6E" w:rsidRDefault="00000000">
      <w:r>
        <w:rPr>
          <w:rFonts w:cs="Calibri"/>
          <w:szCs w:val="22"/>
        </w:rPr>
        <w:t>The performing party renders the service and logs it in the Registry; the NVO verifies the log against the water record; the Fund board approves the monthly reimbursement batch; the administrator pays through the compliance-cleared channel. No vessel, owner, or charterer receives an invoice for any service inside the Governance Area. The corridor system never pauses for a payment question.</w:t>
      </w:r>
    </w:p>
    <w:p w14:paraId="7848B76F" w14:textId="77777777" w:rsidR="008C4E6E" w:rsidRDefault="00000000">
      <w:pPr>
        <w:pStyle w:val="Heading1"/>
      </w:pPr>
      <w:bookmarkStart w:id="90" w:name="_Toc237650646"/>
      <w:r>
        <w:rPr>
          <w:rFonts w:cs="Calibri Light"/>
          <w:szCs w:val="36"/>
        </w:rPr>
        <w:t>Annex D: Communications, Formats, and Protocols</w:t>
      </w:r>
      <w:bookmarkEnd w:id="90"/>
    </w:p>
    <w:p w14:paraId="18B2203A" w14:textId="77777777" w:rsidR="008C4E6E" w:rsidRDefault="00000000">
      <w:pPr>
        <w:pStyle w:val="Heading2"/>
      </w:pPr>
      <w:bookmarkStart w:id="91" w:name="_Toc237650647"/>
      <w:r>
        <w:rPr>
          <w:rFonts w:cs="Calibri Light"/>
          <w:szCs w:val="28"/>
        </w:rPr>
        <w:t>D.1 Radio Plan</w:t>
      </w:r>
      <w:bookmarkEnd w:id="91"/>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01EA5467"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048B1123" w14:textId="77777777" w:rsidR="008C4E6E" w:rsidRDefault="00000000">
            <w:pPr>
              <w:spacing w:before="20" w:after="20" w:line="290" w:lineRule="auto"/>
              <w:jc w:val="left"/>
            </w:pPr>
            <w:r>
              <w:rPr>
                <w:rFonts w:cs="Calibri"/>
                <w:b/>
                <w:color w:val="1F4E5F"/>
                <w:sz w:val="19"/>
                <w:szCs w:val="19"/>
              </w:rPr>
              <w:t>Channel</w:t>
            </w:r>
          </w:p>
        </w:tc>
        <w:tc>
          <w:tcPr>
            <w:tcW w:w="3116" w:type="dxa"/>
            <w:shd w:val="clear" w:color="auto" w:fill="E4EEF1"/>
            <w:tcMar>
              <w:top w:w="60" w:type="dxa"/>
              <w:left w:w="100" w:type="dxa"/>
              <w:bottom w:w="60" w:type="dxa"/>
              <w:right w:w="100" w:type="dxa"/>
            </w:tcMar>
          </w:tcPr>
          <w:p w14:paraId="661D2ACD" w14:textId="77777777" w:rsidR="008C4E6E" w:rsidRDefault="00000000">
            <w:pPr>
              <w:spacing w:before="20" w:after="20" w:line="290" w:lineRule="auto"/>
              <w:jc w:val="left"/>
            </w:pPr>
            <w:r>
              <w:rPr>
                <w:rFonts w:cs="Calibri"/>
                <w:b/>
                <w:color w:val="1F4E5F"/>
                <w:sz w:val="19"/>
                <w:szCs w:val="19"/>
              </w:rPr>
              <w:t>Use</w:t>
            </w:r>
          </w:p>
        </w:tc>
        <w:tc>
          <w:tcPr>
            <w:tcW w:w="3118" w:type="dxa"/>
            <w:shd w:val="clear" w:color="auto" w:fill="E4EEF1"/>
            <w:tcMar>
              <w:top w:w="60" w:type="dxa"/>
              <w:left w:w="100" w:type="dxa"/>
              <w:bottom w:w="60" w:type="dxa"/>
              <w:right w:w="100" w:type="dxa"/>
            </w:tcMar>
          </w:tcPr>
          <w:p w14:paraId="07FFF86E" w14:textId="77777777" w:rsidR="008C4E6E" w:rsidRDefault="00000000">
            <w:pPr>
              <w:spacing w:before="20" w:after="20" w:line="290" w:lineRule="auto"/>
              <w:jc w:val="left"/>
            </w:pPr>
            <w:r>
              <w:rPr>
                <w:rFonts w:cs="Calibri"/>
                <w:b/>
                <w:color w:val="1F4E5F"/>
                <w:sz w:val="19"/>
                <w:szCs w:val="19"/>
              </w:rPr>
              <w:t>Rule</w:t>
            </w:r>
          </w:p>
        </w:tc>
      </w:tr>
      <w:tr w:rsidR="008C4E6E" w14:paraId="177AB445" w14:textId="77777777">
        <w:tblPrEx>
          <w:tblCellMar>
            <w:top w:w="0" w:type="dxa"/>
            <w:bottom w:w="0" w:type="dxa"/>
          </w:tblCellMar>
        </w:tblPrEx>
        <w:tc>
          <w:tcPr>
            <w:tcW w:w="3116" w:type="dxa"/>
            <w:tcMar>
              <w:top w:w="60" w:type="dxa"/>
              <w:left w:w="100" w:type="dxa"/>
              <w:bottom w:w="60" w:type="dxa"/>
              <w:right w:w="100" w:type="dxa"/>
            </w:tcMar>
          </w:tcPr>
          <w:p w14:paraId="15B4AEFD" w14:textId="77777777" w:rsidR="008C4E6E" w:rsidRDefault="00000000">
            <w:pPr>
              <w:spacing w:before="20" w:after="20" w:line="290" w:lineRule="auto"/>
              <w:jc w:val="left"/>
            </w:pPr>
            <w:r>
              <w:rPr>
                <w:rFonts w:cs="Calibri"/>
                <w:sz w:val="19"/>
                <w:szCs w:val="19"/>
              </w:rPr>
              <w:t>VHF 16</w:t>
            </w:r>
          </w:p>
        </w:tc>
        <w:tc>
          <w:tcPr>
            <w:tcW w:w="3116" w:type="dxa"/>
            <w:tcMar>
              <w:top w:w="60" w:type="dxa"/>
              <w:left w:w="100" w:type="dxa"/>
              <w:bottom w:w="60" w:type="dxa"/>
              <w:right w:w="100" w:type="dxa"/>
            </w:tcMar>
          </w:tcPr>
          <w:p w14:paraId="4FA9E2E6" w14:textId="77777777" w:rsidR="008C4E6E" w:rsidRDefault="00000000">
            <w:pPr>
              <w:spacing w:before="20" w:after="20" w:line="290" w:lineRule="auto"/>
              <w:jc w:val="left"/>
            </w:pPr>
            <w:r>
              <w:rPr>
                <w:rFonts w:cs="Calibri"/>
                <w:sz w:val="19"/>
                <w:szCs w:val="19"/>
              </w:rPr>
              <w:t>Distress and calling</w:t>
            </w:r>
          </w:p>
        </w:tc>
        <w:tc>
          <w:tcPr>
            <w:tcW w:w="3118" w:type="dxa"/>
            <w:tcMar>
              <w:top w:w="60" w:type="dxa"/>
              <w:left w:w="100" w:type="dxa"/>
              <w:bottom w:w="60" w:type="dxa"/>
              <w:right w:w="100" w:type="dxa"/>
            </w:tcMar>
          </w:tcPr>
          <w:p w14:paraId="43726ADF" w14:textId="77777777" w:rsidR="008C4E6E" w:rsidRDefault="00000000">
            <w:pPr>
              <w:spacing w:before="20" w:after="20" w:line="290" w:lineRule="auto"/>
              <w:jc w:val="left"/>
            </w:pPr>
            <w:r>
              <w:rPr>
                <w:rFonts w:cs="Calibri"/>
                <w:sz w:val="19"/>
                <w:szCs w:val="19"/>
              </w:rPr>
              <w:t>Continuous watch by all stations, always</w:t>
            </w:r>
          </w:p>
        </w:tc>
      </w:tr>
      <w:tr w:rsidR="008C4E6E" w14:paraId="7E01B929" w14:textId="77777777">
        <w:tblPrEx>
          <w:tblCellMar>
            <w:top w:w="0" w:type="dxa"/>
            <w:bottom w:w="0" w:type="dxa"/>
          </w:tblCellMar>
        </w:tblPrEx>
        <w:tc>
          <w:tcPr>
            <w:tcW w:w="3116" w:type="dxa"/>
            <w:tcMar>
              <w:top w:w="60" w:type="dxa"/>
              <w:left w:w="100" w:type="dxa"/>
              <w:bottom w:w="60" w:type="dxa"/>
              <w:right w:w="100" w:type="dxa"/>
            </w:tcMar>
          </w:tcPr>
          <w:p w14:paraId="59628AF0" w14:textId="77777777" w:rsidR="008C4E6E" w:rsidRDefault="00000000">
            <w:pPr>
              <w:spacing w:before="20" w:after="20" w:line="290" w:lineRule="auto"/>
              <w:jc w:val="left"/>
            </w:pPr>
            <w:r>
              <w:rPr>
                <w:rFonts w:cs="Calibri"/>
                <w:sz w:val="19"/>
                <w:szCs w:val="19"/>
              </w:rPr>
              <w:t>VHF 13</w:t>
            </w:r>
          </w:p>
        </w:tc>
        <w:tc>
          <w:tcPr>
            <w:tcW w:w="3116" w:type="dxa"/>
            <w:tcMar>
              <w:top w:w="60" w:type="dxa"/>
              <w:left w:w="100" w:type="dxa"/>
              <w:bottom w:w="60" w:type="dxa"/>
              <w:right w:w="100" w:type="dxa"/>
            </w:tcMar>
          </w:tcPr>
          <w:p w14:paraId="34790B28" w14:textId="77777777" w:rsidR="008C4E6E" w:rsidRDefault="00000000">
            <w:pPr>
              <w:spacing w:before="20" w:after="20" w:line="290" w:lineRule="auto"/>
              <w:jc w:val="left"/>
            </w:pPr>
            <w:r>
              <w:rPr>
                <w:rFonts w:cs="Calibri"/>
                <w:sz w:val="19"/>
                <w:szCs w:val="19"/>
              </w:rPr>
              <w:t>Bridge-to-bridge safety</w:t>
            </w:r>
          </w:p>
        </w:tc>
        <w:tc>
          <w:tcPr>
            <w:tcW w:w="3118" w:type="dxa"/>
            <w:tcMar>
              <w:top w:w="60" w:type="dxa"/>
              <w:left w:w="100" w:type="dxa"/>
              <w:bottom w:w="60" w:type="dxa"/>
              <w:right w:w="100" w:type="dxa"/>
            </w:tcMar>
          </w:tcPr>
          <w:p w14:paraId="22ADBB93" w14:textId="77777777" w:rsidR="008C4E6E" w:rsidRDefault="00000000">
            <w:pPr>
              <w:spacing w:before="20" w:after="20" w:line="290" w:lineRule="auto"/>
              <w:jc w:val="left"/>
            </w:pPr>
            <w:r>
              <w:rPr>
                <w:rFonts w:cs="Calibri"/>
                <w:sz w:val="19"/>
                <w:szCs w:val="19"/>
              </w:rPr>
              <w:t>Intership navigational safety only</w:t>
            </w:r>
          </w:p>
        </w:tc>
      </w:tr>
      <w:tr w:rsidR="008C4E6E" w14:paraId="1461F973" w14:textId="77777777">
        <w:tblPrEx>
          <w:tblCellMar>
            <w:top w:w="0" w:type="dxa"/>
            <w:bottom w:w="0" w:type="dxa"/>
          </w:tblCellMar>
        </w:tblPrEx>
        <w:tc>
          <w:tcPr>
            <w:tcW w:w="3116" w:type="dxa"/>
            <w:tcMar>
              <w:top w:w="60" w:type="dxa"/>
              <w:left w:w="100" w:type="dxa"/>
              <w:bottom w:w="60" w:type="dxa"/>
              <w:right w:w="100" w:type="dxa"/>
            </w:tcMar>
          </w:tcPr>
          <w:p w14:paraId="23295408" w14:textId="77777777" w:rsidR="008C4E6E" w:rsidRDefault="00000000">
            <w:pPr>
              <w:spacing w:before="20" w:after="20" w:line="290" w:lineRule="auto"/>
              <w:jc w:val="left"/>
            </w:pPr>
            <w:r>
              <w:rPr>
                <w:rFonts w:cs="Calibri"/>
                <w:sz w:val="19"/>
                <w:szCs w:val="19"/>
              </w:rPr>
              <w:t>VHF 72</w:t>
            </w:r>
          </w:p>
        </w:tc>
        <w:tc>
          <w:tcPr>
            <w:tcW w:w="3116" w:type="dxa"/>
            <w:tcMar>
              <w:top w:w="60" w:type="dxa"/>
              <w:left w:w="100" w:type="dxa"/>
              <w:bottom w:w="60" w:type="dxa"/>
              <w:right w:w="100" w:type="dxa"/>
            </w:tcMar>
          </w:tcPr>
          <w:p w14:paraId="03896D62" w14:textId="77777777" w:rsidR="008C4E6E" w:rsidRDefault="00000000">
            <w:pPr>
              <w:spacing w:before="20" w:after="20" w:line="290" w:lineRule="auto"/>
              <w:jc w:val="left"/>
            </w:pPr>
            <w:r>
              <w:rPr>
                <w:rFonts w:cs="Calibri"/>
                <w:sz w:val="19"/>
                <w:szCs w:val="19"/>
              </w:rPr>
              <w:t>Covenant working channel</w:t>
            </w:r>
          </w:p>
        </w:tc>
        <w:tc>
          <w:tcPr>
            <w:tcW w:w="3118" w:type="dxa"/>
            <w:tcMar>
              <w:top w:w="60" w:type="dxa"/>
              <w:left w:w="100" w:type="dxa"/>
              <w:bottom w:w="60" w:type="dxa"/>
              <w:right w:w="100" w:type="dxa"/>
            </w:tcMar>
          </w:tcPr>
          <w:p w14:paraId="4A35FE1A" w14:textId="77777777" w:rsidR="008C4E6E" w:rsidRDefault="00000000">
            <w:pPr>
              <w:spacing w:before="20" w:after="20" w:line="290" w:lineRule="auto"/>
              <w:jc w:val="left"/>
            </w:pPr>
            <w:r>
              <w:rPr>
                <w:rFonts w:cs="Calibri"/>
                <w:sz w:val="19"/>
                <w:szCs w:val="19"/>
              </w:rPr>
              <w:t>Exercise and protocol traffic; hails under Article 47.2</w:t>
            </w:r>
          </w:p>
        </w:tc>
      </w:tr>
      <w:tr w:rsidR="008C4E6E" w14:paraId="42D611FF" w14:textId="77777777">
        <w:tblPrEx>
          <w:tblCellMar>
            <w:top w:w="0" w:type="dxa"/>
            <w:bottom w:w="0" w:type="dxa"/>
          </w:tblCellMar>
        </w:tblPrEx>
        <w:tc>
          <w:tcPr>
            <w:tcW w:w="3116" w:type="dxa"/>
            <w:tcMar>
              <w:top w:w="60" w:type="dxa"/>
              <w:left w:w="100" w:type="dxa"/>
              <w:bottom w:w="60" w:type="dxa"/>
              <w:right w:w="100" w:type="dxa"/>
            </w:tcMar>
          </w:tcPr>
          <w:p w14:paraId="0DAB67A1" w14:textId="77777777" w:rsidR="008C4E6E" w:rsidRDefault="00000000">
            <w:pPr>
              <w:spacing w:before="20" w:after="20" w:line="290" w:lineRule="auto"/>
              <w:jc w:val="left"/>
            </w:pPr>
            <w:r>
              <w:rPr>
                <w:rFonts w:cs="Calibri"/>
                <w:sz w:val="19"/>
                <w:szCs w:val="19"/>
              </w:rPr>
              <w:t>VHF 74</w:t>
            </w:r>
          </w:p>
        </w:tc>
        <w:tc>
          <w:tcPr>
            <w:tcW w:w="3116" w:type="dxa"/>
            <w:tcMar>
              <w:top w:w="60" w:type="dxa"/>
              <w:left w:w="100" w:type="dxa"/>
              <w:bottom w:w="60" w:type="dxa"/>
              <w:right w:w="100" w:type="dxa"/>
            </w:tcMar>
          </w:tcPr>
          <w:p w14:paraId="03B33D78" w14:textId="77777777" w:rsidR="008C4E6E" w:rsidRDefault="00000000">
            <w:pPr>
              <w:spacing w:before="20" w:after="20" w:line="290" w:lineRule="auto"/>
              <w:jc w:val="left"/>
            </w:pPr>
            <w:r>
              <w:rPr>
                <w:rFonts w:cs="Calibri"/>
                <w:sz w:val="19"/>
                <w:szCs w:val="19"/>
              </w:rPr>
              <w:t>Transit Desk working channel</w:t>
            </w:r>
          </w:p>
        </w:tc>
        <w:tc>
          <w:tcPr>
            <w:tcW w:w="3118" w:type="dxa"/>
            <w:tcMar>
              <w:top w:w="60" w:type="dxa"/>
              <w:left w:w="100" w:type="dxa"/>
              <w:bottom w:w="60" w:type="dxa"/>
              <w:right w:w="100" w:type="dxa"/>
            </w:tcMar>
          </w:tcPr>
          <w:p w14:paraId="0E49DDFE" w14:textId="77777777" w:rsidR="008C4E6E" w:rsidRDefault="00000000">
            <w:pPr>
              <w:spacing w:before="20" w:after="20" w:line="290" w:lineRule="auto"/>
              <w:jc w:val="left"/>
            </w:pPr>
            <w:r>
              <w:rPr>
                <w:rFonts w:cs="Calibri"/>
                <w:sz w:val="19"/>
                <w:szCs w:val="19"/>
              </w:rPr>
              <w:t>Notice queries and Bulletin requests</w:t>
            </w:r>
          </w:p>
        </w:tc>
      </w:tr>
      <w:tr w:rsidR="008C4E6E" w14:paraId="1830DB48" w14:textId="77777777">
        <w:tblPrEx>
          <w:tblCellMar>
            <w:top w:w="0" w:type="dxa"/>
            <w:bottom w:w="0" w:type="dxa"/>
          </w:tblCellMar>
        </w:tblPrEx>
        <w:tc>
          <w:tcPr>
            <w:tcW w:w="3116" w:type="dxa"/>
            <w:tcMar>
              <w:top w:w="60" w:type="dxa"/>
              <w:left w:w="100" w:type="dxa"/>
              <w:bottom w:w="60" w:type="dxa"/>
              <w:right w:w="100" w:type="dxa"/>
            </w:tcMar>
          </w:tcPr>
          <w:p w14:paraId="297D2A5F" w14:textId="77777777" w:rsidR="008C4E6E" w:rsidRDefault="00000000">
            <w:pPr>
              <w:spacing w:before="20" w:after="20" w:line="290" w:lineRule="auto"/>
              <w:jc w:val="left"/>
            </w:pPr>
            <w:r>
              <w:rPr>
                <w:rFonts w:cs="Calibri"/>
                <w:sz w:val="19"/>
                <w:szCs w:val="19"/>
              </w:rPr>
              <w:t>Call sign HORMUZ CALM WATERS</w:t>
            </w:r>
          </w:p>
        </w:tc>
        <w:tc>
          <w:tcPr>
            <w:tcW w:w="3116" w:type="dxa"/>
            <w:tcMar>
              <w:top w:w="60" w:type="dxa"/>
              <w:left w:w="100" w:type="dxa"/>
              <w:bottom w:w="60" w:type="dxa"/>
              <w:right w:w="100" w:type="dxa"/>
            </w:tcMar>
          </w:tcPr>
          <w:p w14:paraId="41CF43F8" w14:textId="77777777" w:rsidR="008C4E6E" w:rsidRDefault="00000000">
            <w:pPr>
              <w:spacing w:before="20" w:after="20" w:line="290" w:lineRule="auto"/>
              <w:jc w:val="left"/>
            </w:pPr>
            <w:r>
              <w:rPr>
                <w:rFonts w:cs="Calibri"/>
                <w:sz w:val="19"/>
                <w:szCs w:val="19"/>
              </w:rPr>
              <w:t>Calm Waters Center</w:t>
            </w:r>
          </w:p>
        </w:tc>
        <w:tc>
          <w:tcPr>
            <w:tcW w:w="3118" w:type="dxa"/>
            <w:tcMar>
              <w:top w:w="60" w:type="dxa"/>
              <w:left w:w="100" w:type="dxa"/>
              <w:bottom w:w="60" w:type="dxa"/>
              <w:right w:w="100" w:type="dxa"/>
            </w:tcMar>
          </w:tcPr>
          <w:p w14:paraId="476F698B" w14:textId="77777777" w:rsidR="008C4E6E" w:rsidRDefault="00000000">
            <w:pPr>
              <w:spacing w:before="20" w:after="20" w:line="290" w:lineRule="auto"/>
              <w:jc w:val="left"/>
            </w:pPr>
            <w:r>
              <w:rPr>
                <w:rFonts w:cs="Calibri"/>
                <w:sz w:val="19"/>
                <w:szCs w:val="19"/>
              </w:rPr>
              <w:t>Identifies the Center on all working channels</w:t>
            </w:r>
          </w:p>
        </w:tc>
      </w:tr>
    </w:tbl>
    <w:p w14:paraId="25590E35" w14:textId="77777777" w:rsidR="008C4E6E" w:rsidRDefault="008C4E6E">
      <w:pPr>
        <w:spacing w:after="80"/>
      </w:pPr>
    </w:p>
    <w:p w14:paraId="6482D1CE" w14:textId="77777777" w:rsidR="008C4E6E" w:rsidRDefault="00000000">
      <w:pPr>
        <w:spacing w:before="40" w:after="200"/>
        <w:jc w:val="left"/>
      </w:pPr>
      <w:r>
        <w:rPr>
          <w:rFonts w:cs="Calibri"/>
          <w:i/>
          <w:color w:val="6E8A96"/>
          <w:sz w:val="19"/>
          <w:szCs w:val="19"/>
        </w:rPr>
        <w:lastRenderedPageBreak/>
        <w:t>Radio plan. Plain language governs; codes exist nowhere in this plan.</w:t>
      </w:r>
    </w:p>
    <w:p w14:paraId="09B7C1C7" w14:textId="77777777" w:rsidR="008C4E6E" w:rsidRDefault="00000000">
      <w:pPr>
        <w:pStyle w:val="Heading2"/>
      </w:pPr>
      <w:bookmarkStart w:id="92" w:name="_Toc237650648"/>
      <w:r>
        <w:rPr>
          <w:rFonts w:cs="Calibri Light"/>
          <w:szCs w:val="28"/>
        </w:rPr>
        <w:t>D.2 Hotline Protocol</w:t>
      </w:r>
      <w:bookmarkEnd w:id="92"/>
    </w:p>
    <w:p w14:paraId="69919F05" w14:textId="77777777" w:rsidR="008C4E6E" w:rsidRDefault="00000000">
      <w:r>
        <w:rPr>
          <w:rFonts w:cs="Calibri"/>
          <w:b/>
          <w:szCs w:val="22"/>
        </w:rPr>
        <w:t>D.2.1</w:t>
      </w:r>
      <w:r>
        <w:rPr>
          <w:rFonts w:cs="Calibri"/>
          <w:szCs w:val="22"/>
        </w:rPr>
        <w:t xml:space="preserve"> Nodes: Tehran operations center; Muscat operations center; the Endorsing Stakeholder's designated operations center; mirror at the Calm Waters Center. Channels: dedicated voice line, dedicated data line, and a fallback satellite link, each tested monthly on a published schedule, with test results in the Registry.</w:t>
      </w:r>
    </w:p>
    <w:p w14:paraId="128E77B5" w14:textId="77777777" w:rsidR="008C4E6E" w:rsidRDefault="00000000">
      <w:r>
        <w:rPr>
          <w:rFonts w:cs="Calibri"/>
          <w:b/>
          <w:szCs w:val="22"/>
        </w:rPr>
        <w:t>D.2.2</w:t>
      </w:r>
      <w:r>
        <w:rPr>
          <w:rFonts w:cs="Calibri"/>
          <w:szCs w:val="22"/>
        </w:rPr>
        <w:t xml:space="preserve"> Answer standard: fifteen minutes at any hour. A missed answer climbs one ladder level automatically and logs as a Tier 1 event, or Tier 2 on repetition.</w:t>
      </w:r>
    </w:p>
    <w:p w14:paraId="7E931C03" w14:textId="77777777" w:rsidR="008C4E6E" w:rsidRDefault="00000000">
      <w:r>
        <w:rPr>
          <w:rFonts w:cs="Calibri"/>
          <w:b/>
          <w:szCs w:val="22"/>
        </w:rPr>
        <w:t>D.2.3</w:t>
      </w:r>
      <w:r>
        <w:rPr>
          <w:rFonts w:cs="Calibri"/>
          <w:szCs w:val="22"/>
        </w:rPr>
        <w:t xml:space="preserve"> Message format, six lines: node and officer name; time; position or reference; nature of event; action taken; action requested. Every message receives a numbered acknowledgment within fifteen minutes.</w:t>
      </w:r>
    </w:p>
    <w:p w14:paraId="6CA6A74F" w14:textId="77777777" w:rsidR="008C4E6E" w:rsidRDefault="00000000">
      <w:pPr>
        <w:pStyle w:val="Heading2"/>
      </w:pPr>
      <w:bookmarkStart w:id="93" w:name="_Toc237650649"/>
      <w:r>
        <w:rPr>
          <w:rFonts w:cs="Calibri Light"/>
          <w:szCs w:val="28"/>
        </w:rPr>
        <w:t>D.3 The Incident Ladder</w:t>
      </w:r>
      <w:bookmarkEnd w:id="93"/>
    </w:p>
    <w:p w14:paraId="506D643B" w14:textId="77777777" w:rsidR="008C4E6E" w:rsidRDefault="00000000">
      <w:r>
        <w:rPr>
          <w:rFonts w:cs="Calibri"/>
          <w:szCs w:val="22"/>
        </w:rPr>
        <w:t>Incidents climb a four-level ladder. Level 1: bridge-to-bridge resolution on the working channel. Level 2: hotline exchange between national operations centers. Level 3: call between the co-directors within two hours. Level 4: extraordinary convening of the Commission within twenty-four hours. Every ladder event above Level 1 enters the Registry within six hours.</w:t>
      </w:r>
    </w:p>
    <w:p w14:paraId="0FAAFFE2" w14:textId="77777777" w:rsidR="008C4E6E" w:rsidRDefault="00000000">
      <w:pPr>
        <w:pStyle w:val="Heading2"/>
      </w:pPr>
      <w:bookmarkStart w:id="94" w:name="_Toc237650650"/>
      <w:r>
        <w:rPr>
          <w:rFonts w:cs="Calibri Light"/>
          <w:szCs w:val="28"/>
        </w:rPr>
        <w:t>D.4 The Alert Formats</w:t>
      </w:r>
      <w:bookmarkEnd w:id="94"/>
    </w:p>
    <w:p w14:paraId="2E27296A" w14:textId="77777777" w:rsidR="008C4E6E" w:rsidRDefault="00000000">
      <w:r>
        <w:rPr>
          <w:rFonts w:cs="Calibri"/>
          <w:b/>
          <w:szCs w:val="22"/>
        </w:rPr>
        <w:t>D.4.1</w:t>
      </w:r>
      <w:r>
        <w:rPr>
          <w:rFonts w:cs="Calibri"/>
          <w:szCs w:val="22"/>
        </w:rPr>
        <w:t xml:space="preserve"> Dual-ping alert. Ping one: event type, position, time, reporting officer. Ping two: resolution state, time, reporting officer. Transmission on the working channel and the data line simultaneously.</w:t>
      </w:r>
    </w:p>
    <w:p w14:paraId="2F6C96B5" w14:textId="77777777" w:rsidR="008C4E6E" w:rsidRDefault="00000000">
      <w:r>
        <w:rPr>
          <w:rFonts w:cs="Calibri"/>
          <w:b/>
          <w:szCs w:val="22"/>
        </w:rPr>
        <w:t>D.4.2</w:t>
      </w:r>
      <w:r>
        <w:rPr>
          <w:rFonts w:cs="Calibri"/>
          <w:szCs w:val="22"/>
        </w:rPr>
        <w:t xml:space="preserve"> Near-miss review form. Four fields: tracks of both vessels; closest point of approach; contributing factors; preventive recommendation. One page, joint signature.</w:t>
      </w:r>
    </w:p>
    <w:p w14:paraId="73DE775E" w14:textId="77777777" w:rsidR="008C4E6E" w:rsidRDefault="00000000">
      <w:r>
        <w:rPr>
          <w:rFonts w:cs="Calibri"/>
          <w:b/>
          <w:szCs w:val="22"/>
        </w:rPr>
        <w:t>D.4.3</w:t>
      </w:r>
      <w:r>
        <w:rPr>
          <w:rFonts w:cs="Calibri"/>
          <w:szCs w:val="22"/>
        </w:rPr>
        <w:t xml:space="preserve"> The one-page violation report of Article 52.6. Five fields: operator; vessel; demand experienced, in the demander's words; evidence attached; contact channel. The NVO answers within seven days.</w:t>
      </w:r>
    </w:p>
    <w:p w14:paraId="38963448" w14:textId="77777777" w:rsidR="008C4E6E" w:rsidRDefault="00000000">
      <w:pPr>
        <w:pStyle w:val="Heading2"/>
      </w:pPr>
      <w:bookmarkStart w:id="95" w:name="_Toc237650651"/>
      <w:r>
        <w:rPr>
          <w:rFonts w:cs="Calibri Light"/>
          <w:szCs w:val="28"/>
        </w:rPr>
        <w:t>D.5 The Standing Agendas</w:t>
      </w:r>
      <w:bookmarkEnd w:id="95"/>
    </w:p>
    <w:p w14:paraId="75606D9E" w14:textId="77777777" w:rsidR="008C4E6E" w:rsidRDefault="00000000">
      <w:r>
        <w:rPr>
          <w:rFonts w:cs="Calibri"/>
          <w:b/>
          <w:szCs w:val="22"/>
        </w:rPr>
        <w:t>D.5.1</w:t>
      </w:r>
      <w:r>
        <w:rPr>
          <w:rFonts w:cs="Calibri"/>
          <w:szCs w:val="22"/>
        </w:rPr>
        <w:t xml:space="preserve"> Weekly review call agenda: running exercises and their metrics; incidents and alerts; next steps; date of next call.</w:t>
      </w:r>
    </w:p>
    <w:p w14:paraId="0F5A40D6" w14:textId="77777777" w:rsidR="008C4E6E" w:rsidRDefault="00000000">
      <w:r>
        <w:rPr>
          <w:rFonts w:cs="Calibri"/>
          <w:b/>
          <w:szCs w:val="22"/>
        </w:rPr>
        <w:t>D.5.2</w:t>
      </w:r>
      <w:r>
        <w:rPr>
          <w:rFonts w:cs="Calibri"/>
          <w:szCs w:val="22"/>
        </w:rPr>
        <w:t xml:space="preserve"> Quarterly Review agenda: metrics first; incidents second; money third; date of next review. Political items adjourn to the facilitator channel.</w:t>
      </w:r>
    </w:p>
    <w:p w14:paraId="1475FDBA" w14:textId="77777777" w:rsidR="008C4E6E" w:rsidRDefault="00000000">
      <w:pPr>
        <w:pStyle w:val="Heading2"/>
      </w:pPr>
      <w:bookmarkStart w:id="96" w:name="_Toc237650652"/>
      <w:r>
        <w:rPr>
          <w:rFonts w:cs="Calibri Light"/>
          <w:szCs w:val="28"/>
        </w:rPr>
        <w:lastRenderedPageBreak/>
        <w:t>D.6 Identity and Hospitality</w:t>
      </w:r>
      <w:bookmarkEnd w:id="96"/>
    </w:p>
    <w:p w14:paraId="0D9393F4" w14:textId="77777777" w:rsidR="008C4E6E" w:rsidRDefault="00000000">
      <w:r>
        <w:rPr>
          <w:rFonts w:cs="Calibri"/>
          <w:b/>
          <w:szCs w:val="22"/>
        </w:rPr>
        <w:t>D.6.1</w:t>
      </w:r>
      <w:r>
        <w:rPr>
          <w:rFonts w:cs="Calibri"/>
          <w:szCs w:val="22"/>
        </w:rPr>
        <w:t xml:space="preserve"> Exercise and watch officers carry the identity card: name, photograph, nationality, office, exercise or watch assignment, and the Covenant seal. The card carries no rank insignia.</w:t>
      </w:r>
    </w:p>
    <w:p w14:paraId="719FA0C6" w14:textId="77777777" w:rsidR="008C4E6E" w:rsidRDefault="00000000">
      <w:r>
        <w:rPr>
          <w:rFonts w:cs="Calibri"/>
          <w:b/>
          <w:szCs w:val="22"/>
        </w:rPr>
        <w:t>D.6.2</w:t>
      </w:r>
      <w:r>
        <w:rPr>
          <w:rFonts w:cs="Calibri"/>
          <w:szCs w:val="22"/>
        </w:rPr>
        <w:t xml:space="preserve"> The hospitality protocol of Exercise E-2: the host side provides access, workspace, and interpretation; the visiting officers observe and take notes; operational decisions remain with the host watch; and the visit closes with a joint note.</w:t>
      </w:r>
    </w:p>
    <w:p w14:paraId="13E7C16C" w14:textId="77777777" w:rsidR="008C4E6E" w:rsidRDefault="00000000">
      <w:pPr>
        <w:pStyle w:val="Heading2"/>
      </w:pPr>
      <w:bookmarkStart w:id="97" w:name="_Toc237650653"/>
      <w:r>
        <w:rPr>
          <w:rFonts w:cs="Calibri Light"/>
          <w:szCs w:val="28"/>
        </w:rPr>
        <w:t>D.7 The Mariners' Handbook</w:t>
      </w:r>
      <w:bookmarkEnd w:id="97"/>
    </w:p>
    <w:p w14:paraId="3CF3F884" w14:textId="77777777" w:rsidR="008C4E6E" w:rsidRDefault="00000000">
      <w:r>
        <w:rPr>
          <w:rFonts w:cs="Calibri"/>
          <w:szCs w:val="22"/>
        </w:rPr>
        <w:t>The Transit Desk publishes the Mariners' Handbook in English, Farsi, and Arabic: the corridors, the Bulletin, the notice, the convoy windows, the channels, and the report forms, in plain language, with every procedure on one page. The Industry Panel nominates serving deck officers who test each edition before publication. A provision that confuses the mariner fails the standard regardless of its legal elegance.</w:t>
      </w:r>
    </w:p>
    <w:p w14:paraId="7691C734" w14:textId="77777777" w:rsidR="008C4E6E" w:rsidRDefault="00000000">
      <w:pPr>
        <w:pStyle w:val="Heading1"/>
      </w:pPr>
      <w:bookmarkStart w:id="98" w:name="_Toc237650654"/>
      <w:r>
        <w:rPr>
          <w:rFonts w:cs="Calibri Light"/>
          <w:szCs w:val="36"/>
        </w:rPr>
        <w:t>Annex E: The Master Timeline, Gating Thresholds, and Consequence Schedule</w:t>
      </w:r>
      <w:bookmarkEnd w:id="98"/>
    </w:p>
    <w:p w14:paraId="5193FB45" w14:textId="77777777" w:rsidR="008C4E6E" w:rsidRDefault="00000000">
      <w:pPr>
        <w:pStyle w:val="Heading2"/>
      </w:pPr>
      <w:bookmarkStart w:id="99" w:name="_Toc237650655"/>
      <w:r>
        <w:rPr>
          <w:rFonts w:cs="Calibri Light"/>
          <w:szCs w:val="28"/>
        </w:rPr>
        <w:t>E.1 The Master Timeline</w:t>
      </w:r>
      <w:bookmarkEnd w:id="99"/>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1C7D2279"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351B56C4" w14:textId="77777777" w:rsidR="008C4E6E" w:rsidRDefault="00000000">
            <w:pPr>
              <w:spacing w:before="20" w:after="20" w:line="290" w:lineRule="auto"/>
              <w:jc w:val="left"/>
            </w:pPr>
            <w:r>
              <w:rPr>
                <w:rFonts w:cs="Calibri"/>
                <w:b/>
                <w:color w:val="1F4E5F"/>
                <w:sz w:val="19"/>
                <w:szCs w:val="19"/>
              </w:rPr>
              <w:t>Milestone</w:t>
            </w:r>
          </w:p>
        </w:tc>
        <w:tc>
          <w:tcPr>
            <w:tcW w:w="3116" w:type="dxa"/>
            <w:shd w:val="clear" w:color="auto" w:fill="E4EEF1"/>
            <w:tcMar>
              <w:top w:w="60" w:type="dxa"/>
              <w:left w:w="100" w:type="dxa"/>
              <w:bottom w:w="60" w:type="dxa"/>
              <w:right w:w="100" w:type="dxa"/>
            </w:tcMar>
          </w:tcPr>
          <w:p w14:paraId="74DC68BA" w14:textId="77777777" w:rsidR="008C4E6E" w:rsidRDefault="00000000">
            <w:pPr>
              <w:spacing w:before="20" w:after="20" w:line="290" w:lineRule="auto"/>
              <w:jc w:val="left"/>
            </w:pPr>
            <w:r>
              <w:rPr>
                <w:rFonts w:cs="Calibri"/>
                <w:b/>
                <w:color w:val="1F4E5F"/>
                <w:sz w:val="19"/>
                <w:szCs w:val="19"/>
              </w:rPr>
              <w:t>Design target</w:t>
            </w:r>
          </w:p>
        </w:tc>
        <w:tc>
          <w:tcPr>
            <w:tcW w:w="3118" w:type="dxa"/>
            <w:shd w:val="clear" w:color="auto" w:fill="E4EEF1"/>
            <w:tcMar>
              <w:top w:w="60" w:type="dxa"/>
              <w:left w:w="100" w:type="dxa"/>
              <w:bottom w:w="60" w:type="dxa"/>
              <w:right w:w="100" w:type="dxa"/>
            </w:tcMar>
          </w:tcPr>
          <w:p w14:paraId="46AAAB5E" w14:textId="77777777" w:rsidR="008C4E6E" w:rsidRDefault="00000000">
            <w:pPr>
              <w:spacing w:before="20" w:after="20" w:line="290" w:lineRule="auto"/>
              <w:jc w:val="left"/>
            </w:pPr>
            <w:r>
              <w:rPr>
                <w:rFonts w:cs="Calibri"/>
                <w:b/>
                <w:color w:val="1F4E5F"/>
                <w:sz w:val="19"/>
                <w:szCs w:val="19"/>
              </w:rPr>
              <w:t>Trigger</w:t>
            </w:r>
          </w:p>
        </w:tc>
      </w:tr>
      <w:tr w:rsidR="008C4E6E" w14:paraId="04F01231"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07A02FF6" w14:textId="77777777" w:rsidR="008C4E6E" w:rsidRDefault="00000000">
            <w:pPr>
              <w:spacing w:before="20" w:after="20" w:line="290" w:lineRule="auto"/>
              <w:jc w:val="left"/>
            </w:pPr>
            <w:r>
              <w:rPr>
                <w:rFonts w:cs="Calibri"/>
                <w:b/>
                <w:sz w:val="19"/>
                <w:szCs w:val="19"/>
              </w:rPr>
              <w:t>Day 0: signature; Layers One and Two activate concurrently; the interim standstill begins; the Humanitarian Bridge and the Mariner Repatriation Window open</w:t>
            </w:r>
          </w:p>
        </w:tc>
        <w:tc>
          <w:tcPr>
            <w:tcW w:w="3116" w:type="dxa"/>
            <w:shd w:val="clear" w:color="auto" w:fill="E4EEF1"/>
            <w:tcMar>
              <w:top w:w="60" w:type="dxa"/>
              <w:left w:w="100" w:type="dxa"/>
              <w:bottom w:w="60" w:type="dxa"/>
              <w:right w:w="100" w:type="dxa"/>
            </w:tcMar>
          </w:tcPr>
          <w:p w14:paraId="275CA618" w14:textId="77777777" w:rsidR="008C4E6E" w:rsidRDefault="00000000">
            <w:pPr>
              <w:spacing w:before="20" w:after="20" w:line="290" w:lineRule="auto"/>
              <w:jc w:val="left"/>
            </w:pPr>
            <w:r>
              <w:rPr>
                <w:rFonts w:cs="Calibri"/>
                <w:b/>
                <w:sz w:val="19"/>
                <w:szCs w:val="19"/>
              </w:rPr>
              <w:t>Mid-August 2026, indicative</w:t>
            </w:r>
          </w:p>
        </w:tc>
        <w:tc>
          <w:tcPr>
            <w:tcW w:w="3118" w:type="dxa"/>
            <w:shd w:val="clear" w:color="auto" w:fill="E4EEF1"/>
            <w:tcMar>
              <w:top w:w="60" w:type="dxa"/>
              <w:left w:w="100" w:type="dxa"/>
              <w:bottom w:w="60" w:type="dxa"/>
              <w:right w:w="100" w:type="dxa"/>
            </w:tcMar>
          </w:tcPr>
          <w:p w14:paraId="285CA343" w14:textId="77777777" w:rsidR="008C4E6E" w:rsidRDefault="00000000">
            <w:pPr>
              <w:spacing w:before="20" w:after="20" w:line="290" w:lineRule="auto"/>
              <w:jc w:val="left"/>
            </w:pPr>
            <w:r>
              <w:rPr>
                <w:rFonts w:cs="Calibri"/>
                <w:b/>
                <w:sz w:val="19"/>
                <w:szCs w:val="19"/>
              </w:rPr>
              <w:t>Signature; Article 6.11</w:t>
            </w:r>
          </w:p>
        </w:tc>
      </w:tr>
      <w:tr w:rsidR="008C4E6E" w14:paraId="74A50CF8"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08F694E8" w14:textId="77777777" w:rsidR="008C4E6E" w:rsidRDefault="00000000">
            <w:pPr>
              <w:spacing w:before="20" w:after="20" w:line="290" w:lineRule="auto"/>
              <w:jc w:val="left"/>
            </w:pPr>
            <w:r>
              <w:rPr>
                <w:rFonts w:cs="Calibri"/>
                <w:b/>
                <w:sz w:val="19"/>
                <w:szCs w:val="19"/>
              </w:rPr>
              <w:t>Pulse One: Gate One certifies; the Fast-Track Corridor opens; Tranche One relief and blockade drawdown step one execute in the same hour</w:t>
            </w:r>
          </w:p>
        </w:tc>
        <w:tc>
          <w:tcPr>
            <w:tcW w:w="3116" w:type="dxa"/>
            <w:shd w:val="clear" w:color="auto" w:fill="E4EEF1"/>
            <w:tcMar>
              <w:top w:w="60" w:type="dxa"/>
              <w:left w:w="100" w:type="dxa"/>
              <w:bottom w:w="60" w:type="dxa"/>
              <w:right w:w="100" w:type="dxa"/>
            </w:tcMar>
          </w:tcPr>
          <w:p w14:paraId="76BB371C" w14:textId="77777777" w:rsidR="008C4E6E" w:rsidRDefault="00000000">
            <w:pPr>
              <w:spacing w:before="20" w:after="20" w:line="290" w:lineRule="auto"/>
              <w:jc w:val="left"/>
            </w:pPr>
            <w:r>
              <w:rPr>
                <w:rFonts w:cs="Calibri"/>
                <w:b/>
                <w:sz w:val="19"/>
                <w:szCs w:val="19"/>
              </w:rPr>
              <w:t>Day 30</w:t>
            </w:r>
          </w:p>
        </w:tc>
        <w:tc>
          <w:tcPr>
            <w:tcW w:w="3118" w:type="dxa"/>
            <w:shd w:val="clear" w:color="auto" w:fill="E4EEF1"/>
            <w:tcMar>
              <w:top w:w="60" w:type="dxa"/>
              <w:left w:w="100" w:type="dxa"/>
              <w:bottom w:w="60" w:type="dxa"/>
              <w:right w:w="100" w:type="dxa"/>
            </w:tcMar>
          </w:tcPr>
          <w:p w14:paraId="073E1B2C" w14:textId="77777777" w:rsidR="008C4E6E" w:rsidRDefault="00000000">
            <w:pPr>
              <w:spacing w:before="20" w:after="20" w:line="290" w:lineRule="auto"/>
              <w:jc w:val="left"/>
            </w:pPr>
            <w:r>
              <w:rPr>
                <w:rFonts w:cs="Calibri"/>
                <w:b/>
                <w:sz w:val="19"/>
                <w:szCs w:val="19"/>
              </w:rPr>
              <w:t>Article 15 certification; Article 38.7</w:t>
            </w:r>
          </w:p>
        </w:tc>
      </w:tr>
      <w:tr w:rsidR="008C4E6E" w14:paraId="15FCA845"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7AEF89D0" w14:textId="77777777" w:rsidR="008C4E6E" w:rsidRDefault="00000000">
            <w:pPr>
              <w:spacing w:before="20" w:after="20" w:line="290" w:lineRule="auto"/>
              <w:jc w:val="left"/>
            </w:pPr>
            <w:r>
              <w:rPr>
                <w:rFonts w:cs="Calibri"/>
                <w:b/>
                <w:sz w:val="19"/>
                <w:szCs w:val="19"/>
              </w:rPr>
              <w:t>Tranche Two: interim financial authorizations for the escrow and Fund channels execute</w:t>
            </w:r>
          </w:p>
        </w:tc>
        <w:tc>
          <w:tcPr>
            <w:tcW w:w="3116" w:type="dxa"/>
            <w:shd w:val="clear" w:color="auto" w:fill="E4EEF1"/>
            <w:tcMar>
              <w:top w:w="60" w:type="dxa"/>
              <w:left w:w="100" w:type="dxa"/>
              <w:bottom w:w="60" w:type="dxa"/>
              <w:right w:w="100" w:type="dxa"/>
            </w:tcMar>
          </w:tcPr>
          <w:p w14:paraId="5286FD5A" w14:textId="77777777" w:rsidR="008C4E6E" w:rsidRDefault="00000000">
            <w:pPr>
              <w:spacing w:before="20" w:after="20" w:line="290" w:lineRule="auto"/>
              <w:jc w:val="left"/>
            </w:pPr>
            <w:r>
              <w:rPr>
                <w:rFonts w:cs="Calibri"/>
                <w:b/>
                <w:sz w:val="19"/>
                <w:szCs w:val="19"/>
              </w:rPr>
              <w:t>Day 45</w:t>
            </w:r>
          </w:p>
        </w:tc>
        <w:tc>
          <w:tcPr>
            <w:tcW w:w="3118" w:type="dxa"/>
            <w:shd w:val="clear" w:color="auto" w:fill="E4EEF1"/>
            <w:tcMar>
              <w:top w:w="60" w:type="dxa"/>
              <w:left w:w="100" w:type="dxa"/>
              <w:bottom w:w="60" w:type="dxa"/>
              <w:right w:w="100" w:type="dxa"/>
            </w:tcMar>
          </w:tcPr>
          <w:p w14:paraId="1FB24B3A" w14:textId="77777777" w:rsidR="008C4E6E" w:rsidRDefault="00000000">
            <w:pPr>
              <w:spacing w:before="20" w:after="20" w:line="290" w:lineRule="auto"/>
              <w:jc w:val="left"/>
            </w:pPr>
            <w:r>
              <w:rPr>
                <w:rFonts w:cs="Calibri"/>
                <w:b/>
                <w:sz w:val="19"/>
                <w:szCs w:val="19"/>
              </w:rPr>
              <w:t>Article 56.5; Article 18.6 interim report</w:t>
            </w:r>
          </w:p>
        </w:tc>
      </w:tr>
      <w:tr w:rsidR="008C4E6E" w14:paraId="3278283F"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18D01B63" w14:textId="77777777" w:rsidR="008C4E6E" w:rsidRDefault="00000000">
            <w:pPr>
              <w:spacing w:before="20" w:after="20" w:line="290" w:lineRule="auto"/>
              <w:jc w:val="left"/>
            </w:pPr>
            <w:r>
              <w:rPr>
                <w:rFonts w:cs="Calibri"/>
                <w:b/>
                <w:sz w:val="19"/>
                <w:szCs w:val="19"/>
              </w:rPr>
              <w:lastRenderedPageBreak/>
              <w:t>Pulse Two: Gate Two certifies; Corridor One converts to permanent operation; Corridor Two opens; Tranche Three and blockade drawdown step two execute; the crisis-era authority transition executes</w:t>
            </w:r>
          </w:p>
        </w:tc>
        <w:tc>
          <w:tcPr>
            <w:tcW w:w="3116" w:type="dxa"/>
            <w:shd w:val="clear" w:color="auto" w:fill="E4EEF1"/>
            <w:tcMar>
              <w:top w:w="60" w:type="dxa"/>
              <w:left w:w="100" w:type="dxa"/>
              <w:bottom w:w="60" w:type="dxa"/>
              <w:right w:w="100" w:type="dxa"/>
            </w:tcMar>
          </w:tcPr>
          <w:p w14:paraId="02B760E9" w14:textId="77777777" w:rsidR="008C4E6E" w:rsidRDefault="00000000">
            <w:pPr>
              <w:spacing w:before="20" w:after="20" w:line="290" w:lineRule="auto"/>
              <w:jc w:val="left"/>
            </w:pPr>
            <w:r>
              <w:rPr>
                <w:rFonts w:cs="Calibri"/>
                <w:b/>
                <w:sz w:val="19"/>
                <w:szCs w:val="19"/>
              </w:rPr>
              <w:t>Day 60</w:t>
            </w:r>
          </w:p>
        </w:tc>
        <w:tc>
          <w:tcPr>
            <w:tcW w:w="3118" w:type="dxa"/>
            <w:shd w:val="clear" w:color="auto" w:fill="E4EEF1"/>
            <w:tcMar>
              <w:top w:w="60" w:type="dxa"/>
              <w:left w:w="100" w:type="dxa"/>
              <w:bottom w:w="60" w:type="dxa"/>
              <w:right w:w="100" w:type="dxa"/>
            </w:tcMar>
          </w:tcPr>
          <w:p w14:paraId="500D8A1C" w14:textId="77777777" w:rsidR="008C4E6E" w:rsidRDefault="00000000">
            <w:pPr>
              <w:spacing w:before="20" w:after="20" w:line="290" w:lineRule="auto"/>
              <w:jc w:val="left"/>
            </w:pPr>
            <w:r>
              <w:rPr>
                <w:rFonts w:cs="Calibri"/>
                <w:b/>
                <w:sz w:val="19"/>
                <w:szCs w:val="19"/>
              </w:rPr>
              <w:t>Article 20 certification; Articles 38.7 and 41.8</w:t>
            </w:r>
          </w:p>
        </w:tc>
      </w:tr>
      <w:tr w:rsidR="008C4E6E" w14:paraId="2EF87B23"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46ACBBB9" w14:textId="77777777" w:rsidR="008C4E6E" w:rsidRDefault="00000000">
            <w:pPr>
              <w:spacing w:before="20" w:after="20" w:line="290" w:lineRule="auto"/>
              <w:jc w:val="left"/>
            </w:pPr>
            <w:r>
              <w:rPr>
                <w:rFonts w:cs="Calibri"/>
                <w:b/>
                <w:sz w:val="19"/>
                <w:szCs w:val="19"/>
              </w:rPr>
              <w:t>Gates Three and Four certify concurrently; the Calm Waters Cell, the Desk, and the review cycle stand certified; the Early Fee Simulation issues its final report</w:t>
            </w:r>
          </w:p>
        </w:tc>
        <w:tc>
          <w:tcPr>
            <w:tcW w:w="3116" w:type="dxa"/>
            <w:shd w:val="clear" w:color="auto" w:fill="E4EEF1"/>
            <w:tcMar>
              <w:top w:w="60" w:type="dxa"/>
              <w:left w:w="100" w:type="dxa"/>
              <w:bottom w:w="60" w:type="dxa"/>
              <w:right w:w="100" w:type="dxa"/>
            </w:tcMar>
          </w:tcPr>
          <w:p w14:paraId="6BAA82F1" w14:textId="77777777" w:rsidR="008C4E6E" w:rsidRDefault="00000000">
            <w:pPr>
              <w:spacing w:before="20" w:after="20" w:line="290" w:lineRule="auto"/>
              <w:jc w:val="left"/>
            </w:pPr>
            <w:r>
              <w:rPr>
                <w:rFonts w:cs="Calibri"/>
                <w:b/>
                <w:sz w:val="19"/>
                <w:szCs w:val="19"/>
              </w:rPr>
              <w:t>Day 75</w:t>
            </w:r>
          </w:p>
        </w:tc>
        <w:tc>
          <w:tcPr>
            <w:tcW w:w="3118" w:type="dxa"/>
            <w:shd w:val="clear" w:color="auto" w:fill="E4EEF1"/>
            <w:tcMar>
              <w:top w:w="60" w:type="dxa"/>
              <w:left w:w="100" w:type="dxa"/>
              <w:bottom w:w="60" w:type="dxa"/>
              <w:right w:w="100" w:type="dxa"/>
            </w:tcMar>
          </w:tcPr>
          <w:p w14:paraId="076E567C" w14:textId="77777777" w:rsidR="008C4E6E" w:rsidRDefault="00000000">
            <w:pPr>
              <w:spacing w:before="20" w:after="20" w:line="290" w:lineRule="auto"/>
              <w:jc w:val="left"/>
            </w:pPr>
            <w:r>
              <w:rPr>
                <w:rFonts w:cs="Calibri"/>
                <w:b/>
                <w:sz w:val="19"/>
                <w:szCs w:val="19"/>
              </w:rPr>
              <w:t>Articles 25 and 30 certifications; Article 18.6</w:t>
            </w:r>
          </w:p>
        </w:tc>
      </w:tr>
      <w:tr w:rsidR="008C4E6E" w14:paraId="2B9A2C03"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0D98A803" w14:textId="77777777" w:rsidR="008C4E6E" w:rsidRDefault="00000000">
            <w:pPr>
              <w:spacing w:before="20" w:after="20" w:line="290" w:lineRule="auto"/>
              <w:jc w:val="left"/>
            </w:pPr>
            <w:r>
              <w:rPr>
                <w:rFonts w:cs="Calibri"/>
                <w:b/>
                <w:sz w:val="19"/>
                <w:szCs w:val="19"/>
              </w:rPr>
              <w:t>Pulse Three: Gate Five certifies; the Full Simulation consolidates; Corridor Three opens on survey certification; the blockade terminates in full; Tranche Four executes; the standstill governs in permanence</w:t>
            </w:r>
          </w:p>
        </w:tc>
        <w:tc>
          <w:tcPr>
            <w:tcW w:w="3116" w:type="dxa"/>
            <w:shd w:val="clear" w:color="auto" w:fill="E4EEF1"/>
            <w:tcMar>
              <w:top w:w="60" w:type="dxa"/>
              <w:left w:w="100" w:type="dxa"/>
              <w:bottom w:w="60" w:type="dxa"/>
              <w:right w:w="100" w:type="dxa"/>
            </w:tcMar>
          </w:tcPr>
          <w:p w14:paraId="34723AB4" w14:textId="77777777" w:rsidR="008C4E6E" w:rsidRDefault="00000000">
            <w:pPr>
              <w:spacing w:before="20" w:after="20" w:line="290" w:lineRule="auto"/>
              <w:jc w:val="left"/>
            </w:pPr>
            <w:r>
              <w:rPr>
                <w:rFonts w:cs="Calibri"/>
                <w:b/>
                <w:sz w:val="19"/>
                <w:szCs w:val="19"/>
              </w:rPr>
              <w:t>Day 90</w:t>
            </w:r>
          </w:p>
        </w:tc>
        <w:tc>
          <w:tcPr>
            <w:tcW w:w="3118" w:type="dxa"/>
            <w:shd w:val="clear" w:color="auto" w:fill="E4EEF1"/>
            <w:tcMar>
              <w:top w:w="60" w:type="dxa"/>
              <w:left w:w="100" w:type="dxa"/>
              <w:bottom w:w="60" w:type="dxa"/>
              <w:right w:w="100" w:type="dxa"/>
            </w:tcMar>
          </w:tcPr>
          <w:p w14:paraId="1D42ED66" w14:textId="77777777" w:rsidR="008C4E6E" w:rsidRDefault="00000000">
            <w:pPr>
              <w:spacing w:before="20" w:after="20" w:line="290" w:lineRule="auto"/>
              <w:jc w:val="left"/>
            </w:pPr>
            <w:r>
              <w:rPr>
                <w:rFonts w:cs="Calibri"/>
                <w:b/>
                <w:sz w:val="19"/>
                <w:szCs w:val="19"/>
              </w:rPr>
              <w:t>Article 36 certification; Articles 32.5, 38.7, and 46.4</w:t>
            </w:r>
          </w:p>
        </w:tc>
      </w:tr>
      <w:tr w:rsidR="008C4E6E" w14:paraId="3145FD6E"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54972D48" w14:textId="77777777" w:rsidR="008C4E6E" w:rsidRDefault="00000000">
            <w:pPr>
              <w:spacing w:before="20" w:after="20" w:line="290" w:lineRule="auto"/>
              <w:jc w:val="left"/>
            </w:pPr>
            <w:r>
              <w:rPr>
                <w:rFonts w:cs="Calibri"/>
                <w:b/>
                <w:sz w:val="19"/>
                <w:szCs w:val="19"/>
              </w:rPr>
              <w:t>Stability Audit, in two parts: the architecture audit, then the operations audit</w:t>
            </w:r>
          </w:p>
        </w:tc>
        <w:tc>
          <w:tcPr>
            <w:tcW w:w="3116" w:type="dxa"/>
            <w:shd w:val="clear" w:color="auto" w:fill="E4EEF1"/>
            <w:tcMar>
              <w:top w:w="60" w:type="dxa"/>
              <w:left w:w="100" w:type="dxa"/>
              <w:bottom w:w="60" w:type="dxa"/>
              <w:right w:w="100" w:type="dxa"/>
            </w:tcMar>
          </w:tcPr>
          <w:p w14:paraId="46B0F3DB" w14:textId="77777777" w:rsidR="008C4E6E" w:rsidRDefault="00000000">
            <w:pPr>
              <w:spacing w:before="20" w:after="20" w:line="290" w:lineRule="auto"/>
              <w:jc w:val="left"/>
            </w:pPr>
            <w:r>
              <w:rPr>
                <w:rFonts w:cs="Calibri"/>
                <w:b/>
                <w:sz w:val="19"/>
                <w:szCs w:val="19"/>
              </w:rPr>
              <w:t>Day 75 to Day 105</w:t>
            </w:r>
          </w:p>
        </w:tc>
        <w:tc>
          <w:tcPr>
            <w:tcW w:w="3118" w:type="dxa"/>
            <w:shd w:val="clear" w:color="auto" w:fill="E4EEF1"/>
            <w:tcMar>
              <w:top w:w="60" w:type="dxa"/>
              <w:left w:w="100" w:type="dxa"/>
              <w:bottom w:w="60" w:type="dxa"/>
              <w:right w:w="100" w:type="dxa"/>
            </w:tcMar>
          </w:tcPr>
          <w:p w14:paraId="0D87E417" w14:textId="77777777" w:rsidR="008C4E6E" w:rsidRDefault="00000000">
            <w:pPr>
              <w:spacing w:before="20" w:after="20" w:line="290" w:lineRule="auto"/>
              <w:jc w:val="left"/>
            </w:pPr>
            <w:r>
              <w:rPr>
                <w:rFonts w:cs="Calibri"/>
                <w:b/>
                <w:sz w:val="19"/>
                <w:szCs w:val="19"/>
              </w:rPr>
              <w:t>Article 40</w:t>
            </w:r>
          </w:p>
        </w:tc>
      </w:tr>
      <w:tr w:rsidR="008C4E6E" w14:paraId="5D425A4D"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65182BD7" w14:textId="77777777" w:rsidR="008C4E6E" w:rsidRDefault="00000000">
            <w:pPr>
              <w:spacing w:before="20" w:after="20" w:line="290" w:lineRule="auto"/>
              <w:jc w:val="left"/>
            </w:pPr>
            <w:r>
              <w:rPr>
                <w:rFonts w:cs="Calibri"/>
                <w:b/>
                <w:sz w:val="19"/>
                <w:szCs w:val="19"/>
              </w:rPr>
              <w:t>Gate Six certifies; the Final Charter stands signature-ready; the summit convenes and signs</w:t>
            </w:r>
          </w:p>
        </w:tc>
        <w:tc>
          <w:tcPr>
            <w:tcW w:w="3116" w:type="dxa"/>
            <w:shd w:val="clear" w:color="auto" w:fill="E4EEF1"/>
            <w:tcMar>
              <w:top w:w="60" w:type="dxa"/>
              <w:left w:w="100" w:type="dxa"/>
              <w:bottom w:w="60" w:type="dxa"/>
              <w:right w:w="100" w:type="dxa"/>
            </w:tcMar>
          </w:tcPr>
          <w:p w14:paraId="6B56D0DD" w14:textId="77777777" w:rsidR="008C4E6E" w:rsidRDefault="00000000">
            <w:pPr>
              <w:spacing w:before="20" w:after="20" w:line="290" w:lineRule="auto"/>
              <w:jc w:val="left"/>
            </w:pPr>
            <w:r>
              <w:rPr>
                <w:rFonts w:cs="Calibri"/>
                <w:b/>
                <w:sz w:val="19"/>
                <w:szCs w:val="19"/>
              </w:rPr>
              <w:t>Day 105 to Day 120</w:t>
            </w:r>
          </w:p>
        </w:tc>
        <w:tc>
          <w:tcPr>
            <w:tcW w:w="3118" w:type="dxa"/>
            <w:shd w:val="clear" w:color="auto" w:fill="E4EEF1"/>
            <w:tcMar>
              <w:top w:w="60" w:type="dxa"/>
              <w:left w:w="100" w:type="dxa"/>
              <w:bottom w:w="60" w:type="dxa"/>
              <w:right w:w="100" w:type="dxa"/>
            </w:tcMar>
          </w:tcPr>
          <w:p w14:paraId="7C978E7D" w14:textId="77777777" w:rsidR="008C4E6E" w:rsidRDefault="00000000">
            <w:pPr>
              <w:spacing w:before="20" w:after="20" w:line="290" w:lineRule="auto"/>
              <w:jc w:val="left"/>
            </w:pPr>
            <w:r>
              <w:rPr>
                <w:rFonts w:cs="Calibri"/>
                <w:b/>
                <w:sz w:val="19"/>
                <w:szCs w:val="19"/>
              </w:rPr>
              <w:t>Article 40 certification; Annex K</w:t>
            </w:r>
          </w:p>
        </w:tc>
      </w:tr>
      <w:tr w:rsidR="008C4E6E" w14:paraId="309D01F5"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558F36C7" w14:textId="77777777" w:rsidR="008C4E6E" w:rsidRDefault="00000000">
            <w:pPr>
              <w:spacing w:before="20" w:after="20" w:line="290" w:lineRule="auto"/>
              <w:jc w:val="left"/>
            </w:pPr>
            <w:r>
              <w:rPr>
                <w:rFonts w:cs="Calibri"/>
                <w:b/>
                <w:sz w:val="19"/>
                <w:szCs w:val="19"/>
              </w:rPr>
              <w:t>Full-area survey sweep complete</w:t>
            </w:r>
          </w:p>
        </w:tc>
        <w:tc>
          <w:tcPr>
            <w:tcW w:w="3116" w:type="dxa"/>
            <w:shd w:val="clear" w:color="auto" w:fill="E4EEF1"/>
            <w:tcMar>
              <w:top w:w="60" w:type="dxa"/>
              <w:left w:w="100" w:type="dxa"/>
              <w:bottom w:w="60" w:type="dxa"/>
              <w:right w:w="100" w:type="dxa"/>
            </w:tcMar>
          </w:tcPr>
          <w:p w14:paraId="72356554" w14:textId="77777777" w:rsidR="008C4E6E" w:rsidRDefault="00000000">
            <w:pPr>
              <w:spacing w:before="20" w:after="20" w:line="290" w:lineRule="auto"/>
              <w:jc w:val="left"/>
            </w:pPr>
            <w:r>
              <w:rPr>
                <w:rFonts w:cs="Calibri"/>
                <w:b/>
                <w:sz w:val="19"/>
                <w:szCs w:val="19"/>
              </w:rPr>
              <w:t>Day 105</w:t>
            </w:r>
          </w:p>
        </w:tc>
        <w:tc>
          <w:tcPr>
            <w:tcW w:w="3118" w:type="dxa"/>
            <w:shd w:val="clear" w:color="auto" w:fill="E4EEF1"/>
            <w:tcMar>
              <w:top w:w="60" w:type="dxa"/>
              <w:left w:w="100" w:type="dxa"/>
              <w:bottom w:w="60" w:type="dxa"/>
              <w:right w:w="100" w:type="dxa"/>
            </w:tcMar>
          </w:tcPr>
          <w:p w14:paraId="057D3D15" w14:textId="77777777" w:rsidR="008C4E6E" w:rsidRDefault="00000000">
            <w:pPr>
              <w:spacing w:before="20" w:after="20" w:line="290" w:lineRule="auto"/>
              <w:jc w:val="left"/>
            </w:pPr>
            <w:r>
              <w:rPr>
                <w:rFonts w:cs="Calibri"/>
                <w:b/>
                <w:sz w:val="19"/>
                <w:szCs w:val="19"/>
              </w:rPr>
              <w:t>Article 46.3</w:t>
            </w:r>
          </w:p>
        </w:tc>
      </w:tr>
    </w:tbl>
    <w:p w14:paraId="1260D7BE" w14:textId="77777777" w:rsidR="008C4E6E" w:rsidRDefault="008C4E6E">
      <w:pPr>
        <w:spacing w:after="80"/>
      </w:pPr>
    </w:p>
    <w:p w14:paraId="28414F4B" w14:textId="77777777" w:rsidR="008C4E6E" w:rsidRDefault="00000000">
      <w:pPr>
        <w:spacing w:before="40" w:after="200"/>
        <w:jc w:val="left"/>
      </w:pPr>
      <w:r>
        <w:rPr>
          <w:rFonts w:ascii="Calibri Light" w:hAnsi="Calibri Light" w:cs="Calibri Light"/>
          <w:b/>
          <w:i/>
          <w:color w:val="1F4E5F"/>
          <w:sz w:val="36"/>
          <w:szCs w:val="36"/>
        </w:rPr>
        <w:t>Master timeline. Day numbers govern in every case; a change in the signature date moves the calendar without touching the design.</w:t>
      </w:r>
    </w:p>
    <w:p w14:paraId="6C8BBDB8" w14:textId="77777777" w:rsidR="008C4E6E" w:rsidRDefault="00000000">
      <w:pPr>
        <w:pStyle w:val="Heading2"/>
      </w:pPr>
      <w:bookmarkStart w:id="100" w:name="_Toc237650656"/>
      <w:r>
        <w:rPr>
          <w:rFonts w:cs="Calibri Light"/>
          <w:szCs w:val="28"/>
        </w:rPr>
        <w:t>E.2 The Gating Table</w:t>
      </w:r>
      <w:bookmarkEnd w:id="100"/>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031EBEAB"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47FA3501" w14:textId="77777777" w:rsidR="008C4E6E" w:rsidRDefault="00000000">
            <w:pPr>
              <w:spacing w:before="20" w:after="20" w:line="290" w:lineRule="auto"/>
              <w:jc w:val="left"/>
            </w:pPr>
            <w:r>
              <w:rPr>
                <w:rFonts w:cs="Calibri"/>
                <w:b/>
                <w:color w:val="1F4E5F"/>
                <w:sz w:val="19"/>
                <w:szCs w:val="19"/>
              </w:rPr>
              <w:t>Gate</w:t>
            </w:r>
          </w:p>
        </w:tc>
        <w:tc>
          <w:tcPr>
            <w:tcW w:w="3116" w:type="dxa"/>
            <w:shd w:val="clear" w:color="auto" w:fill="E4EEF1"/>
            <w:tcMar>
              <w:top w:w="60" w:type="dxa"/>
              <w:left w:w="100" w:type="dxa"/>
              <w:bottom w:w="60" w:type="dxa"/>
              <w:right w:w="100" w:type="dxa"/>
            </w:tcMar>
          </w:tcPr>
          <w:p w14:paraId="64D03643" w14:textId="77777777" w:rsidR="008C4E6E" w:rsidRDefault="00000000">
            <w:pPr>
              <w:spacing w:before="20" w:after="20" w:line="290" w:lineRule="auto"/>
              <w:jc w:val="left"/>
            </w:pPr>
            <w:r>
              <w:rPr>
                <w:rFonts w:cs="Calibri"/>
                <w:b/>
                <w:color w:val="1F4E5F"/>
                <w:sz w:val="19"/>
                <w:szCs w:val="19"/>
              </w:rPr>
              <w:t>Conditions (summary)</w:t>
            </w:r>
          </w:p>
        </w:tc>
        <w:tc>
          <w:tcPr>
            <w:tcW w:w="3118" w:type="dxa"/>
            <w:shd w:val="clear" w:color="auto" w:fill="E4EEF1"/>
            <w:tcMar>
              <w:top w:w="60" w:type="dxa"/>
              <w:left w:w="100" w:type="dxa"/>
              <w:bottom w:w="60" w:type="dxa"/>
              <w:right w:w="100" w:type="dxa"/>
            </w:tcMar>
          </w:tcPr>
          <w:p w14:paraId="22BE8C72" w14:textId="77777777" w:rsidR="008C4E6E" w:rsidRDefault="00000000">
            <w:pPr>
              <w:spacing w:before="20" w:after="20" w:line="290" w:lineRule="auto"/>
              <w:jc w:val="left"/>
            </w:pPr>
            <w:r>
              <w:rPr>
                <w:rFonts w:cs="Calibri"/>
                <w:b/>
                <w:color w:val="1F4E5F"/>
                <w:sz w:val="19"/>
                <w:szCs w:val="19"/>
              </w:rPr>
              <w:t>Certifiers</w:t>
            </w:r>
          </w:p>
        </w:tc>
      </w:tr>
      <w:tr w:rsidR="008C4E6E" w14:paraId="5AC48812" w14:textId="77777777">
        <w:tblPrEx>
          <w:tblCellMar>
            <w:top w:w="0" w:type="dxa"/>
            <w:bottom w:w="0" w:type="dxa"/>
          </w:tblCellMar>
        </w:tblPrEx>
        <w:tc>
          <w:tcPr>
            <w:tcW w:w="3116" w:type="dxa"/>
            <w:tcMar>
              <w:top w:w="60" w:type="dxa"/>
              <w:left w:w="100" w:type="dxa"/>
              <w:bottom w:w="60" w:type="dxa"/>
              <w:right w:w="100" w:type="dxa"/>
            </w:tcMar>
          </w:tcPr>
          <w:p w14:paraId="4D856403" w14:textId="77777777" w:rsidR="008C4E6E" w:rsidRDefault="00000000">
            <w:pPr>
              <w:spacing w:before="20" w:after="20" w:line="290" w:lineRule="auto"/>
              <w:jc w:val="left"/>
            </w:pPr>
            <w:r>
              <w:rPr>
                <w:rFonts w:cs="Calibri"/>
                <w:sz w:val="19"/>
                <w:szCs w:val="19"/>
              </w:rPr>
              <w:t>One</w:t>
            </w:r>
          </w:p>
        </w:tc>
        <w:tc>
          <w:tcPr>
            <w:tcW w:w="3116" w:type="dxa"/>
            <w:tcMar>
              <w:top w:w="60" w:type="dxa"/>
              <w:left w:w="100" w:type="dxa"/>
              <w:bottom w:w="60" w:type="dxa"/>
              <w:right w:w="100" w:type="dxa"/>
            </w:tcMar>
          </w:tcPr>
          <w:p w14:paraId="115AA248" w14:textId="77777777" w:rsidR="008C4E6E" w:rsidRDefault="00000000">
            <w:pPr>
              <w:spacing w:before="20" w:after="20" w:line="290" w:lineRule="auto"/>
              <w:jc w:val="left"/>
            </w:pPr>
            <w:r>
              <w:rPr>
                <w:rFonts w:cs="Calibri"/>
                <w:sz w:val="19"/>
                <w:szCs w:val="19"/>
              </w:rPr>
              <w:t>40 of 50 exercises passed; corridor tests incident-free at 90 percent; alerts at 90 percent timeliness; compatibility audit closed</w:t>
            </w:r>
          </w:p>
        </w:tc>
        <w:tc>
          <w:tcPr>
            <w:tcW w:w="3118" w:type="dxa"/>
            <w:tcMar>
              <w:top w:w="60" w:type="dxa"/>
              <w:left w:w="100" w:type="dxa"/>
              <w:bottom w:w="60" w:type="dxa"/>
              <w:right w:w="100" w:type="dxa"/>
            </w:tcMar>
          </w:tcPr>
          <w:p w14:paraId="5D1070CE" w14:textId="77777777" w:rsidR="008C4E6E" w:rsidRDefault="00000000">
            <w:pPr>
              <w:spacing w:before="20" w:after="20" w:line="290" w:lineRule="auto"/>
              <w:jc w:val="left"/>
            </w:pPr>
            <w:r>
              <w:rPr>
                <w:rFonts w:cs="Calibri"/>
                <w:sz w:val="19"/>
                <w:szCs w:val="19"/>
              </w:rPr>
              <w:t>Two liaison officers, jointly</w:t>
            </w:r>
          </w:p>
        </w:tc>
      </w:tr>
      <w:tr w:rsidR="008C4E6E" w14:paraId="3E2BDE8C" w14:textId="77777777">
        <w:tblPrEx>
          <w:tblCellMar>
            <w:top w:w="0" w:type="dxa"/>
            <w:bottom w:w="0" w:type="dxa"/>
          </w:tblCellMar>
        </w:tblPrEx>
        <w:tc>
          <w:tcPr>
            <w:tcW w:w="3116" w:type="dxa"/>
            <w:tcMar>
              <w:top w:w="60" w:type="dxa"/>
              <w:left w:w="100" w:type="dxa"/>
              <w:bottom w:w="60" w:type="dxa"/>
              <w:right w:w="100" w:type="dxa"/>
            </w:tcMar>
          </w:tcPr>
          <w:p w14:paraId="40A4F055" w14:textId="77777777" w:rsidR="008C4E6E" w:rsidRDefault="00000000">
            <w:pPr>
              <w:spacing w:before="20" w:after="20" w:line="290" w:lineRule="auto"/>
              <w:jc w:val="left"/>
            </w:pPr>
            <w:r>
              <w:rPr>
                <w:rFonts w:cs="Calibri"/>
                <w:sz w:val="19"/>
                <w:szCs w:val="19"/>
              </w:rPr>
              <w:t>Two</w:t>
            </w:r>
          </w:p>
        </w:tc>
        <w:tc>
          <w:tcPr>
            <w:tcW w:w="3116" w:type="dxa"/>
            <w:tcMar>
              <w:top w:w="60" w:type="dxa"/>
              <w:left w:w="100" w:type="dxa"/>
              <w:bottom w:w="60" w:type="dxa"/>
              <w:right w:w="100" w:type="dxa"/>
            </w:tcMar>
          </w:tcPr>
          <w:p w14:paraId="12A4C5E6" w14:textId="77777777" w:rsidR="008C4E6E" w:rsidRDefault="00000000">
            <w:pPr>
              <w:spacing w:before="20" w:after="20" w:line="290" w:lineRule="auto"/>
              <w:jc w:val="left"/>
            </w:pPr>
            <w:r>
              <w:rPr>
                <w:rFonts w:cs="Calibri"/>
                <w:sz w:val="19"/>
                <w:szCs w:val="19"/>
              </w:rPr>
              <w:t xml:space="preserve">30 consecutive incident-free days per pilot corridor, counted from Day 0; </w:t>
            </w:r>
            <w:r>
              <w:rPr>
                <w:rFonts w:cs="Calibri"/>
                <w:sz w:val="19"/>
                <w:szCs w:val="19"/>
              </w:rPr>
              <w:lastRenderedPageBreak/>
              <w:t>advisory compliance at 70 percent; publications on schedule 30 days; clean channel 30 days; mesh, response, and weather systems at standard for 21 days</w:t>
            </w:r>
          </w:p>
        </w:tc>
        <w:tc>
          <w:tcPr>
            <w:tcW w:w="3118" w:type="dxa"/>
            <w:tcMar>
              <w:top w:w="60" w:type="dxa"/>
              <w:left w:w="100" w:type="dxa"/>
              <w:bottom w:w="60" w:type="dxa"/>
              <w:right w:w="100" w:type="dxa"/>
            </w:tcMar>
          </w:tcPr>
          <w:p w14:paraId="5648B3F0" w14:textId="77777777" w:rsidR="008C4E6E" w:rsidRDefault="00000000">
            <w:pPr>
              <w:spacing w:before="20" w:after="20" w:line="290" w:lineRule="auto"/>
              <w:jc w:val="left"/>
            </w:pPr>
            <w:r>
              <w:rPr>
                <w:rFonts w:cs="Calibri"/>
                <w:sz w:val="19"/>
                <w:szCs w:val="19"/>
              </w:rPr>
              <w:lastRenderedPageBreak/>
              <w:t>Two liaison officers, jointly</w:t>
            </w:r>
          </w:p>
        </w:tc>
      </w:tr>
      <w:tr w:rsidR="008C4E6E" w14:paraId="7313AE83" w14:textId="77777777">
        <w:tblPrEx>
          <w:tblCellMar>
            <w:top w:w="0" w:type="dxa"/>
            <w:bottom w:w="0" w:type="dxa"/>
          </w:tblCellMar>
        </w:tblPrEx>
        <w:tc>
          <w:tcPr>
            <w:tcW w:w="3116" w:type="dxa"/>
            <w:tcMar>
              <w:top w:w="60" w:type="dxa"/>
              <w:left w:w="100" w:type="dxa"/>
              <w:bottom w:w="60" w:type="dxa"/>
              <w:right w:w="100" w:type="dxa"/>
            </w:tcMar>
          </w:tcPr>
          <w:p w14:paraId="34056AF7" w14:textId="77777777" w:rsidR="008C4E6E" w:rsidRDefault="00000000">
            <w:pPr>
              <w:spacing w:before="20" w:after="20" w:line="290" w:lineRule="auto"/>
              <w:jc w:val="left"/>
            </w:pPr>
            <w:r>
              <w:rPr>
                <w:rFonts w:cs="Calibri"/>
                <w:sz w:val="19"/>
                <w:szCs w:val="19"/>
              </w:rPr>
              <w:t>Three</w:t>
            </w:r>
          </w:p>
        </w:tc>
        <w:tc>
          <w:tcPr>
            <w:tcW w:w="3116" w:type="dxa"/>
            <w:tcMar>
              <w:top w:w="60" w:type="dxa"/>
              <w:left w:w="100" w:type="dxa"/>
              <w:bottom w:w="60" w:type="dxa"/>
              <w:right w:w="100" w:type="dxa"/>
            </w:tcMar>
          </w:tcPr>
          <w:p w14:paraId="4EE551DB" w14:textId="77777777" w:rsidR="008C4E6E" w:rsidRDefault="00000000">
            <w:pPr>
              <w:spacing w:before="20" w:after="20" w:line="290" w:lineRule="auto"/>
              <w:jc w:val="left"/>
            </w:pPr>
            <w:r>
              <w:rPr>
                <w:rFonts w:cs="Calibri"/>
                <w:sz w:val="19"/>
                <w:szCs w:val="19"/>
              </w:rPr>
              <w:t>Mesh at 95 percent timeliness for 21 days; readiness matrix current; weather service unbroken 21 days; hazard register actioned within 14 days; Cell, Desk, and review cycle running 30 days</w:t>
            </w:r>
          </w:p>
        </w:tc>
        <w:tc>
          <w:tcPr>
            <w:tcW w:w="3118" w:type="dxa"/>
            <w:tcMar>
              <w:top w:w="60" w:type="dxa"/>
              <w:left w:w="100" w:type="dxa"/>
              <w:bottom w:w="60" w:type="dxa"/>
              <w:right w:w="100" w:type="dxa"/>
            </w:tcMar>
          </w:tcPr>
          <w:p w14:paraId="4E822D61" w14:textId="77777777" w:rsidR="008C4E6E" w:rsidRDefault="00000000">
            <w:pPr>
              <w:spacing w:before="20" w:after="20" w:line="290" w:lineRule="auto"/>
              <w:jc w:val="left"/>
            </w:pPr>
            <w:r>
              <w:rPr>
                <w:rFonts w:cs="Calibri"/>
                <w:sz w:val="19"/>
                <w:szCs w:val="19"/>
              </w:rPr>
              <w:t>Two liaison officers, jointly</w:t>
            </w:r>
          </w:p>
        </w:tc>
      </w:tr>
      <w:tr w:rsidR="008C4E6E" w14:paraId="2F2B0B22" w14:textId="77777777">
        <w:tblPrEx>
          <w:tblCellMar>
            <w:top w:w="0" w:type="dxa"/>
            <w:bottom w:w="0" w:type="dxa"/>
          </w:tblCellMar>
        </w:tblPrEx>
        <w:tc>
          <w:tcPr>
            <w:tcW w:w="3116" w:type="dxa"/>
            <w:tcMar>
              <w:top w:w="60" w:type="dxa"/>
              <w:left w:w="100" w:type="dxa"/>
              <w:bottom w:w="60" w:type="dxa"/>
              <w:right w:w="100" w:type="dxa"/>
            </w:tcMar>
          </w:tcPr>
          <w:p w14:paraId="551AD458" w14:textId="77777777" w:rsidR="008C4E6E" w:rsidRDefault="00000000">
            <w:pPr>
              <w:spacing w:before="20" w:after="20" w:line="290" w:lineRule="auto"/>
              <w:jc w:val="left"/>
            </w:pPr>
            <w:r>
              <w:rPr>
                <w:rFonts w:cs="Calibri"/>
                <w:sz w:val="19"/>
                <w:szCs w:val="19"/>
              </w:rPr>
              <w:t>Four</w:t>
            </w:r>
          </w:p>
        </w:tc>
        <w:tc>
          <w:tcPr>
            <w:tcW w:w="3116" w:type="dxa"/>
            <w:tcMar>
              <w:top w:w="60" w:type="dxa"/>
              <w:left w:w="100" w:type="dxa"/>
              <w:bottom w:w="60" w:type="dxa"/>
              <w:right w:w="100" w:type="dxa"/>
            </w:tcMar>
          </w:tcPr>
          <w:p w14:paraId="01511E72" w14:textId="77777777" w:rsidR="008C4E6E" w:rsidRDefault="00000000">
            <w:pPr>
              <w:spacing w:before="20" w:after="20" w:line="290" w:lineRule="auto"/>
              <w:jc w:val="left"/>
            </w:pPr>
            <w:r>
              <w:rPr>
                <w:rFonts w:cs="Calibri"/>
                <w:sz w:val="19"/>
                <w:szCs w:val="19"/>
              </w:rPr>
              <w:t>Concurrent with Gate Three; Cell operating 30 days; one review cycle closed at 70 percent; daily synthesis at 95 percent; Early Fee Simulation interim report published</w:t>
            </w:r>
          </w:p>
        </w:tc>
        <w:tc>
          <w:tcPr>
            <w:tcW w:w="3118" w:type="dxa"/>
            <w:tcMar>
              <w:top w:w="60" w:type="dxa"/>
              <w:left w:w="100" w:type="dxa"/>
              <w:bottom w:w="60" w:type="dxa"/>
              <w:right w:w="100" w:type="dxa"/>
            </w:tcMar>
          </w:tcPr>
          <w:p w14:paraId="2009B32A" w14:textId="77777777" w:rsidR="008C4E6E" w:rsidRDefault="00000000">
            <w:pPr>
              <w:spacing w:before="20" w:after="20" w:line="290" w:lineRule="auto"/>
              <w:jc w:val="left"/>
            </w:pPr>
            <w:r>
              <w:rPr>
                <w:rFonts w:cs="Calibri"/>
                <w:sz w:val="19"/>
                <w:szCs w:val="19"/>
              </w:rPr>
              <w:t>Two liaison officers, jointly</w:t>
            </w:r>
          </w:p>
        </w:tc>
      </w:tr>
      <w:tr w:rsidR="008C4E6E" w14:paraId="3EC14AE0" w14:textId="77777777">
        <w:tblPrEx>
          <w:tblCellMar>
            <w:top w:w="0" w:type="dxa"/>
            <w:bottom w:w="0" w:type="dxa"/>
          </w:tblCellMar>
        </w:tblPrEx>
        <w:tc>
          <w:tcPr>
            <w:tcW w:w="3116" w:type="dxa"/>
            <w:tcMar>
              <w:top w:w="60" w:type="dxa"/>
              <w:left w:w="100" w:type="dxa"/>
              <w:bottom w:w="60" w:type="dxa"/>
              <w:right w:w="100" w:type="dxa"/>
            </w:tcMar>
          </w:tcPr>
          <w:p w14:paraId="2156D129" w14:textId="77777777" w:rsidR="008C4E6E" w:rsidRDefault="00000000">
            <w:pPr>
              <w:spacing w:before="20" w:after="20" w:line="290" w:lineRule="auto"/>
              <w:jc w:val="left"/>
            </w:pPr>
            <w:r>
              <w:rPr>
                <w:rFonts w:cs="Calibri"/>
                <w:sz w:val="19"/>
                <w:szCs w:val="19"/>
              </w:rPr>
              <w:t>Five</w:t>
            </w:r>
          </w:p>
        </w:tc>
        <w:tc>
          <w:tcPr>
            <w:tcW w:w="3116" w:type="dxa"/>
            <w:tcMar>
              <w:top w:w="60" w:type="dxa"/>
              <w:left w:w="100" w:type="dxa"/>
              <w:bottom w:w="60" w:type="dxa"/>
              <w:right w:w="100" w:type="dxa"/>
            </w:tcMar>
          </w:tcPr>
          <w:p w14:paraId="1AA2DDC3" w14:textId="77777777" w:rsidR="008C4E6E" w:rsidRDefault="00000000">
            <w:pPr>
              <w:spacing w:before="20" w:after="20" w:line="290" w:lineRule="auto"/>
              <w:jc w:val="left"/>
            </w:pPr>
            <w:r>
              <w:rPr>
                <w:rFonts w:cs="Calibri"/>
                <w:sz w:val="19"/>
                <w:szCs w:val="19"/>
              </w:rPr>
              <w:t>Full Simulation consolidated report published; expansion model delivered; insurance confidence report published; five integrations certified; joint instrument accepting the settlement path</w:t>
            </w:r>
          </w:p>
        </w:tc>
        <w:tc>
          <w:tcPr>
            <w:tcW w:w="3118" w:type="dxa"/>
            <w:tcMar>
              <w:top w:w="60" w:type="dxa"/>
              <w:left w:w="100" w:type="dxa"/>
              <w:bottom w:w="60" w:type="dxa"/>
              <w:right w:w="100" w:type="dxa"/>
            </w:tcMar>
          </w:tcPr>
          <w:p w14:paraId="75224516" w14:textId="77777777" w:rsidR="008C4E6E" w:rsidRDefault="00000000">
            <w:pPr>
              <w:spacing w:before="20" w:after="20" w:line="290" w:lineRule="auto"/>
              <w:jc w:val="left"/>
            </w:pPr>
            <w:r>
              <w:rPr>
                <w:rFonts w:cs="Calibri"/>
                <w:sz w:val="19"/>
                <w:szCs w:val="19"/>
              </w:rPr>
              <w:t>Liaison officers plus the joint instrument</w:t>
            </w:r>
          </w:p>
        </w:tc>
      </w:tr>
      <w:tr w:rsidR="008C4E6E" w14:paraId="0845491B" w14:textId="77777777">
        <w:tblPrEx>
          <w:tblCellMar>
            <w:top w:w="0" w:type="dxa"/>
            <w:bottom w:w="0" w:type="dxa"/>
          </w:tblCellMar>
        </w:tblPrEx>
        <w:tc>
          <w:tcPr>
            <w:tcW w:w="3116" w:type="dxa"/>
            <w:tcMar>
              <w:top w:w="60" w:type="dxa"/>
              <w:left w:w="100" w:type="dxa"/>
              <w:bottom w:w="60" w:type="dxa"/>
              <w:right w:w="100" w:type="dxa"/>
            </w:tcMar>
          </w:tcPr>
          <w:p w14:paraId="18624892" w14:textId="77777777" w:rsidR="008C4E6E" w:rsidRDefault="00000000">
            <w:pPr>
              <w:spacing w:before="20" w:after="20" w:line="290" w:lineRule="auto"/>
              <w:jc w:val="left"/>
            </w:pPr>
            <w:r>
              <w:rPr>
                <w:rFonts w:cs="Calibri"/>
                <w:sz w:val="19"/>
                <w:szCs w:val="19"/>
              </w:rPr>
              <w:t>Six</w:t>
            </w:r>
          </w:p>
        </w:tc>
        <w:tc>
          <w:tcPr>
            <w:tcW w:w="3116" w:type="dxa"/>
            <w:tcMar>
              <w:top w:w="60" w:type="dxa"/>
              <w:left w:w="100" w:type="dxa"/>
              <w:bottom w:w="60" w:type="dxa"/>
              <w:right w:w="100" w:type="dxa"/>
            </w:tcMar>
          </w:tcPr>
          <w:p w14:paraId="0D86D0AD" w14:textId="77777777" w:rsidR="008C4E6E" w:rsidRDefault="00000000">
            <w:pPr>
              <w:spacing w:before="20" w:after="20" w:line="290" w:lineRule="auto"/>
              <w:jc w:val="left"/>
            </w:pPr>
            <w:r>
              <w:rPr>
                <w:rFonts w:cs="Calibri"/>
                <w:sz w:val="19"/>
                <w:szCs w:val="19"/>
              </w:rPr>
              <w:t>Stability Audit passed in five domains at Annex E thresholds</w:t>
            </w:r>
          </w:p>
        </w:tc>
        <w:tc>
          <w:tcPr>
            <w:tcW w:w="3118" w:type="dxa"/>
            <w:tcMar>
              <w:top w:w="60" w:type="dxa"/>
              <w:left w:w="100" w:type="dxa"/>
              <w:bottom w:w="60" w:type="dxa"/>
              <w:right w:w="100" w:type="dxa"/>
            </w:tcMar>
          </w:tcPr>
          <w:p w14:paraId="080022D7" w14:textId="77777777" w:rsidR="008C4E6E" w:rsidRDefault="00000000">
            <w:pPr>
              <w:spacing w:before="20" w:after="20" w:line="290" w:lineRule="auto"/>
              <w:jc w:val="left"/>
            </w:pPr>
            <w:r>
              <w:rPr>
                <w:rFonts w:cs="Calibri"/>
                <w:sz w:val="19"/>
                <w:szCs w:val="19"/>
              </w:rPr>
              <w:t>Cell and Swiss auditor, jointly</w:t>
            </w:r>
          </w:p>
        </w:tc>
      </w:tr>
    </w:tbl>
    <w:p w14:paraId="651250B8" w14:textId="77777777" w:rsidR="008C4E6E" w:rsidRDefault="008C4E6E">
      <w:pPr>
        <w:spacing w:after="80"/>
      </w:pPr>
    </w:p>
    <w:p w14:paraId="0AAFA0BA" w14:textId="77777777" w:rsidR="008C4E6E" w:rsidRDefault="00000000">
      <w:pPr>
        <w:spacing w:before="40" w:after="200"/>
        <w:jc w:val="left"/>
      </w:pPr>
      <w:r>
        <w:rPr>
          <w:rFonts w:ascii="Calibri Light" w:hAnsi="Calibri Light" w:cs="Calibri Light"/>
          <w:b/>
          <w:i/>
          <w:color w:val="1F4E5F"/>
          <w:sz w:val="36"/>
          <w:szCs w:val="36"/>
        </w:rPr>
        <w:t>Gating table. A gate condition is binary, observable, and assigned to one named certifier. The Registry shows gate status in real time.</w:t>
      </w:r>
    </w:p>
    <w:p w14:paraId="0EB5B90B" w14:textId="77777777" w:rsidR="008C4E6E" w:rsidRDefault="00000000">
      <w:pPr>
        <w:pStyle w:val="Heading2"/>
      </w:pPr>
      <w:bookmarkStart w:id="101" w:name="_Toc237650657"/>
      <w:r>
        <w:rPr>
          <w:rFonts w:cs="Calibri Light"/>
          <w:szCs w:val="28"/>
        </w:rPr>
        <w:t>E.3 The Event Script (Synchronized Indivisible Hour)</w:t>
      </w:r>
      <w:bookmarkEnd w:id="101"/>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3E582B22"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6C889AAF" w14:textId="77777777" w:rsidR="008C4E6E" w:rsidRDefault="00000000">
            <w:pPr>
              <w:spacing w:before="20" w:after="20" w:line="290" w:lineRule="auto"/>
              <w:jc w:val="left"/>
            </w:pPr>
            <w:r>
              <w:rPr>
                <w:rFonts w:cs="Calibri"/>
                <w:b/>
                <w:color w:val="1F4E5F"/>
                <w:sz w:val="19"/>
                <w:szCs w:val="19"/>
              </w:rPr>
              <w:t>Minute</w:t>
            </w:r>
          </w:p>
        </w:tc>
        <w:tc>
          <w:tcPr>
            <w:tcW w:w="4675" w:type="dxa"/>
            <w:shd w:val="clear" w:color="auto" w:fill="E4EEF1"/>
            <w:tcMar>
              <w:top w:w="60" w:type="dxa"/>
              <w:left w:w="100" w:type="dxa"/>
              <w:bottom w:w="60" w:type="dxa"/>
              <w:right w:w="100" w:type="dxa"/>
            </w:tcMar>
          </w:tcPr>
          <w:p w14:paraId="4FA3148C" w14:textId="77777777" w:rsidR="008C4E6E" w:rsidRDefault="00000000">
            <w:pPr>
              <w:spacing w:before="20" w:after="20" w:line="290" w:lineRule="auto"/>
              <w:jc w:val="left"/>
            </w:pPr>
            <w:r>
              <w:rPr>
                <w:rFonts w:cs="Calibri"/>
                <w:b/>
                <w:color w:val="1F4E5F"/>
                <w:sz w:val="19"/>
                <w:szCs w:val="19"/>
              </w:rPr>
              <w:t>Action</w:t>
            </w:r>
          </w:p>
        </w:tc>
      </w:tr>
      <w:tr w:rsidR="008C4E6E" w14:paraId="4C0FA0FA" w14:textId="77777777">
        <w:tblPrEx>
          <w:tblCellMar>
            <w:top w:w="0" w:type="dxa"/>
            <w:bottom w:w="0" w:type="dxa"/>
          </w:tblCellMar>
        </w:tblPrEx>
        <w:tc>
          <w:tcPr>
            <w:tcW w:w="4675" w:type="dxa"/>
            <w:tcMar>
              <w:top w:w="60" w:type="dxa"/>
              <w:left w:w="100" w:type="dxa"/>
              <w:bottom w:w="60" w:type="dxa"/>
              <w:right w:w="100" w:type="dxa"/>
            </w:tcMar>
          </w:tcPr>
          <w:p w14:paraId="577B7CE2" w14:textId="77777777" w:rsidR="008C4E6E" w:rsidRDefault="00000000">
            <w:pPr>
              <w:spacing w:before="20" w:after="20" w:line="290" w:lineRule="auto"/>
              <w:jc w:val="left"/>
            </w:pPr>
            <w:r>
              <w:rPr>
                <w:rFonts w:cs="Calibri"/>
                <w:sz w:val="19"/>
                <w:szCs w:val="19"/>
              </w:rPr>
              <w:t>00</w:t>
            </w:r>
          </w:p>
        </w:tc>
        <w:tc>
          <w:tcPr>
            <w:tcW w:w="4675" w:type="dxa"/>
            <w:tcMar>
              <w:top w:w="60" w:type="dxa"/>
              <w:left w:w="100" w:type="dxa"/>
              <w:bottom w:w="60" w:type="dxa"/>
              <w:right w:w="100" w:type="dxa"/>
            </w:tcMar>
          </w:tcPr>
          <w:p w14:paraId="3772D985" w14:textId="77777777" w:rsidR="008C4E6E" w:rsidRDefault="00000000">
            <w:pPr>
              <w:spacing w:before="20" w:after="20" w:line="290" w:lineRule="auto"/>
              <w:jc w:val="left"/>
            </w:pPr>
            <w:r>
              <w:rPr>
                <w:rFonts w:cs="Calibri"/>
                <w:sz w:val="19"/>
                <w:szCs w:val="19"/>
              </w:rPr>
              <w:t>Co-directors confirm go on the hotline; the script clock starts</w:t>
            </w:r>
          </w:p>
        </w:tc>
      </w:tr>
      <w:tr w:rsidR="008C4E6E" w14:paraId="156E87BA" w14:textId="77777777">
        <w:tblPrEx>
          <w:tblCellMar>
            <w:top w:w="0" w:type="dxa"/>
            <w:bottom w:w="0" w:type="dxa"/>
          </w:tblCellMar>
        </w:tblPrEx>
        <w:tc>
          <w:tcPr>
            <w:tcW w:w="4675" w:type="dxa"/>
            <w:tcMar>
              <w:top w:w="60" w:type="dxa"/>
              <w:left w:w="100" w:type="dxa"/>
              <w:bottom w:w="60" w:type="dxa"/>
              <w:right w:w="100" w:type="dxa"/>
            </w:tcMar>
          </w:tcPr>
          <w:p w14:paraId="0E9F729C" w14:textId="77777777" w:rsidR="008C4E6E" w:rsidRDefault="00000000">
            <w:pPr>
              <w:spacing w:before="20" w:after="20" w:line="290" w:lineRule="auto"/>
              <w:jc w:val="left"/>
            </w:pPr>
            <w:r>
              <w:rPr>
                <w:rFonts w:cs="Calibri"/>
                <w:sz w:val="19"/>
                <w:szCs w:val="19"/>
              </w:rPr>
              <w:t>05</w:t>
            </w:r>
          </w:p>
        </w:tc>
        <w:tc>
          <w:tcPr>
            <w:tcW w:w="4675" w:type="dxa"/>
            <w:tcMar>
              <w:top w:w="60" w:type="dxa"/>
              <w:left w:w="100" w:type="dxa"/>
              <w:bottom w:w="60" w:type="dxa"/>
              <w:right w:w="100" w:type="dxa"/>
            </w:tcMar>
          </w:tcPr>
          <w:p w14:paraId="15FC91B5" w14:textId="77777777" w:rsidR="008C4E6E" w:rsidRDefault="00000000">
            <w:pPr>
              <w:spacing w:before="20" w:after="20" w:line="290" w:lineRule="auto"/>
              <w:jc w:val="left"/>
            </w:pPr>
            <w:r>
              <w:rPr>
                <w:rFonts w:cs="Calibri"/>
                <w:sz w:val="19"/>
                <w:szCs w:val="19"/>
              </w:rPr>
              <w:t>Transit Desk opens notice filing for Corridors One and Two; Bulletin announces activation</w:t>
            </w:r>
          </w:p>
        </w:tc>
      </w:tr>
      <w:tr w:rsidR="008C4E6E" w14:paraId="53F42907" w14:textId="77777777">
        <w:tblPrEx>
          <w:tblCellMar>
            <w:top w:w="0" w:type="dxa"/>
            <w:bottom w:w="0" w:type="dxa"/>
          </w:tblCellMar>
        </w:tblPrEx>
        <w:tc>
          <w:tcPr>
            <w:tcW w:w="4675" w:type="dxa"/>
            <w:tcMar>
              <w:top w:w="60" w:type="dxa"/>
              <w:left w:w="100" w:type="dxa"/>
              <w:bottom w:w="60" w:type="dxa"/>
              <w:right w:w="100" w:type="dxa"/>
            </w:tcMar>
          </w:tcPr>
          <w:p w14:paraId="4C599C2C" w14:textId="77777777" w:rsidR="008C4E6E" w:rsidRDefault="00000000">
            <w:pPr>
              <w:spacing w:before="20" w:after="20" w:line="290" w:lineRule="auto"/>
              <w:jc w:val="left"/>
            </w:pPr>
            <w:r>
              <w:rPr>
                <w:rFonts w:cs="Calibri"/>
                <w:sz w:val="19"/>
                <w:szCs w:val="19"/>
              </w:rPr>
              <w:t>10</w:t>
            </w:r>
          </w:p>
        </w:tc>
        <w:tc>
          <w:tcPr>
            <w:tcW w:w="4675" w:type="dxa"/>
            <w:tcMar>
              <w:top w:w="60" w:type="dxa"/>
              <w:left w:w="100" w:type="dxa"/>
              <w:bottom w:w="60" w:type="dxa"/>
              <w:right w:w="100" w:type="dxa"/>
            </w:tcMar>
          </w:tcPr>
          <w:p w14:paraId="24C92744" w14:textId="77777777" w:rsidR="008C4E6E" w:rsidRDefault="00000000">
            <w:pPr>
              <w:spacing w:before="20" w:after="20" w:line="290" w:lineRule="auto"/>
              <w:jc w:val="left"/>
            </w:pPr>
            <w:r>
              <w:rPr>
                <w:rFonts w:cs="Calibri"/>
                <w:sz w:val="19"/>
                <w:szCs w:val="19"/>
              </w:rPr>
              <w:t xml:space="preserve">The Endorsing Stakeholder publishes the paired relief instrument of the pulse: drawdown step one at Pulse One, </w:t>
            </w:r>
            <w:r>
              <w:rPr>
                <w:rFonts w:cs="Calibri"/>
                <w:sz w:val="19"/>
                <w:szCs w:val="19"/>
              </w:rPr>
              <w:lastRenderedPageBreak/>
              <w:t>drawdown step two at Pulse Two, full termination at Pulse Three; CENTCOM releases corridor guidance</w:t>
            </w:r>
          </w:p>
        </w:tc>
      </w:tr>
      <w:tr w:rsidR="008C4E6E" w14:paraId="428F8D74" w14:textId="77777777">
        <w:tblPrEx>
          <w:tblCellMar>
            <w:top w:w="0" w:type="dxa"/>
            <w:bottom w:w="0" w:type="dxa"/>
          </w:tblCellMar>
        </w:tblPrEx>
        <w:tc>
          <w:tcPr>
            <w:tcW w:w="4675" w:type="dxa"/>
            <w:tcMar>
              <w:top w:w="60" w:type="dxa"/>
              <w:left w:w="100" w:type="dxa"/>
              <w:bottom w:w="60" w:type="dxa"/>
              <w:right w:w="100" w:type="dxa"/>
            </w:tcMar>
          </w:tcPr>
          <w:p w14:paraId="58D6DCC4" w14:textId="77777777" w:rsidR="008C4E6E" w:rsidRDefault="00000000">
            <w:pPr>
              <w:spacing w:before="20" w:after="20" w:line="290" w:lineRule="auto"/>
              <w:jc w:val="left"/>
            </w:pPr>
            <w:r>
              <w:rPr>
                <w:rFonts w:cs="Calibri"/>
                <w:sz w:val="19"/>
                <w:szCs w:val="19"/>
              </w:rPr>
              <w:lastRenderedPageBreak/>
              <w:t>20</w:t>
            </w:r>
          </w:p>
        </w:tc>
        <w:tc>
          <w:tcPr>
            <w:tcW w:w="4675" w:type="dxa"/>
            <w:tcMar>
              <w:top w:w="60" w:type="dxa"/>
              <w:left w:w="100" w:type="dxa"/>
              <w:bottom w:w="60" w:type="dxa"/>
              <w:right w:w="100" w:type="dxa"/>
            </w:tcMar>
          </w:tcPr>
          <w:p w14:paraId="45E02245" w14:textId="77777777" w:rsidR="008C4E6E" w:rsidRDefault="00000000">
            <w:pPr>
              <w:spacing w:before="20" w:after="20" w:line="290" w:lineRule="auto"/>
              <w:jc w:val="left"/>
            </w:pPr>
            <w:r>
              <w:rPr>
                <w:rFonts w:cs="Calibri"/>
                <w:sz w:val="19"/>
                <w:szCs w:val="19"/>
              </w:rPr>
              <w:t>Crisis-era permit and fee machinery stands down; the Desk absorbs personnel and portal; the authority transition of Article 41.8 executes at Pulse Two</w:t>
            </w:r>
          </w:p>
        </w:tc>
      </w:tr>
      <w:tr w:rsidR="008C4E6E" w14:paraId="14DAD907" w14:textId="77777777">
        <w:tblPrEx>
          <w:tblCellMar>
            <w:top w:w="0" w:type="dxa"/>
            <w:bottom w:w="0" w:type="dxa"/>
          </w:tblCellMar>
        </w:tblPrEx>
        <w:tc>
          <w:tcPr>
            <w:tcW w:w="4675" w:type="dxa"/>
            <w:tcMar>
              <w:top w:w="60" w:type="dxa"/>
              <w:left w:w="100" w:type="dxa"/>
              <w:bottom w:w="60" w:type="dxa"/>
              <w:right w:w="100" w:type="dxa"/>
            </w:tcMar>
          </w:tcPr>
          <w:p w14:paraId="1832738F" w14:textId="77777777" w:rsidR="008C4E6E" w:rsidRDefault="00000000">
            <w:pPr>
              <w:spacing w:before="20" w:after="20" w:line="290" w:lineRule="auto"/>
              <w:jc w:val="left"/>
            </w:pPr>
            <w:r>
              <w:rPr>
                <w:rFonts w:cs="Calibri"/>
                <w:sz w:val="19"/>
                <w:szCs w:val="19"/>
              </w:rPr>
              <w:t>30</w:t>
            </w:r>
          </w:p>
        </w:tc>
        <w:tc>
          <w:tcPr>
            <w:tcW w:w="4675" w:type="dxa"/>
            <w:tcMar>
              <w:top w:w="60" w:type="dxa"/>
              <w:left w:w="100" w:type="dxa"/>
              <w:bottom w:w="60" w:type="dxa"/>
              <w:right w:w="100" w:type="dxa"/>
            </w:tcMar>
          </w:tcPr>
          <w:p w14:paraId="6287F550" w14:textId="77777777" w:rsidR="008C4E6E" w:rsidRDefault="00000000">
            <w:pPr>
              <w:spacing w:before="20" w:after="20" w:line="290" w:lineRule="auto"/>
              <w:jc w:val="left"/>
            </w:pPr>
            <w:r>
              <w:rPr>
                <w:rFonts w:cs="Calibri"/>
                <w:sz w:val="19"/>
                <w:szCs w:val="19"/>
              </w:rPr>
              <w:t>First convoy windows publish; stranded-vessel clearing plan activates in published priority order: humanitarian first, then passenger, then perishable, then energy, then all others</w:t>
            </w:r>
          </w:p>
        </w:tc>
      </w:tr>
      <w:tr w:rsidR="008C4E6E" w14:paraId="2FFD9E28" w14:textId="77777777">
        <w:tblPrEx>
          <w:tblCellMar>
            <w:top w:w="0" w:type="dxa"/>
            <w:bottom w:w="0" w:type="dxa"/>
          </w:tblCellMar>
        </w:tblPrEx>
        <w:tc>
          <w:tcPr>
            <w:tcW w:w="4675" w:type="dxa"/>
            <w:tcMar>
              <w:top w:w="60" w:type="dxa"/>
              <w:left w:w="100" w:type="dxa"/>
              <w:bottom w:w="60" w:type="dxa"/>
              <w:right w:w="100" w:type="dxa"/>
            </w:tcMar>
          </w:tcPr>
          <w:p w14:paraId="2AC4A8A7" w14:textId="77777777" w:rsidR="008C4E6E" w:rsidRDefault="00000000">
            <w:pPr>
              <w:spacing w:before="20" w:after="20" w:line="290" w:lineRule="auto"/>
              <w:jc w:val="left"/>
            </w:pPr>
            <w:r>
              <w:rPr>
                <w:rFonts w:cs="Calibri"/>
                <w:sz w:val="19"/>
                <w:szCs w:val="19"/>
              </w:rPr>
              <w:t>45</w:t>
            </w:r>
          </w:p>
        </w:tc>
        <w:tc>
          <w:tcPr>
            <w:tcW w:w="4675" w:type="dxa"/>
            <w:tcMar>
              <w:top w:w="60" w:type="dxa"/>
              <w:left w:w="100" w:type="dxa"/>
              <w:bottom w:w="60" w:type="dxa"/>
              <w:right w:w="100" w:type="dxa"/>
            </w:tcMar>
          </w:tcPr>
          <w:p w14:paraId="5586D09B" w14:textId="77777777" w:rsidR="008C4E6E" w:rsidRDefault="00000000">
            <w:pPr>
              <w:spacing w:before="20" w:after="20" w:line="290" w:lineRule="auto"/>
              <w:jc w:val="left"/>
            </w:pPr>
            <w:r>
              <w:rPr>
                <w:rFonts w:cs="Calibri"/>
                <w:sz w:val="19"/>
                <w:szCs w:val="19"/>
              </w:rPr>
              <w:t>Survey Group Phase A begins; exclusion zones publish</w:t>
            </w:r>
          </w:p>
        </w:tc>
      </w:tr>
      <w:tr w:rsidR="008C4E6E" w14:paraId="79D8101E" w14:textId="77777777">
        <w:tblPrEx>
          <w:tblCellMar>
            <w:top w:w="0" w:type="dxa"/>
            <w:bottom w:w="0" w:type="dxa"/>
          </w:tblCellMar>
        </w:tblPrEx>
        <w:tc>
          <w:tcPr>
            <w:tcW w:w="4675" w:type="dxa"/>
            <w:tcMar>
              <w:top w:w="60" w:type="dxa"/>
              <w:left w:w="100" w:type="dxa"/>
              <w:bottom w:w="60" w:type="dxa"/>
              <w:right w:w="100" w:type="dxa"/>
            </w:tcMar>
          </w:tcPr>
          <w:p w14:paraId="2FA921D3" w14:textId="77777777" w:rsidR="008C4E6E" w:rsidRDefault="00000000">
            <w:pPr>
              <w:spacing w:before="20" w:after="20" w:line="290" w:lineRule="auto"/>
              <w:jc w:val="left"/>
            </w:pPr>
            <w:r>
              <w:rPr>
                <w:rFonts w:cs="Calibri"/>
                <w:sz w:val="19"/>
                <w:szCs w:val="19"/>
              </w:rPr>
              <w:t>60</w:t>
            </w:r>
          </w:p>
        </w:tc>
        <w:tc>
          <w:tcPr>
            <w:tcW w:w="4675" w:type="dxa"/>
            <w:tcMar>
              <w:top w:w="60" w:type="dxa"/>
              <w:left w:w="100" w:type="dxa"/>
              <w:bottom w:w="60" w:type="dxa"/>
              <w:right w:w="100" w:type="dxa"/>
            </w:tcMar>
          </w:tcPr>
          <w:p w14:paraId="06836576" w14:textId="77777777" w:rsidR="008C4E6E" w:rsidRDefault="00000000">
            <w:pPr>
              <w:spacing w:before="20" w:after="20" w:line="290" w:lineRule="auto"/>
              <w:jc w:val="left"/>
            </w:pPr>
            <w:r>
              <w:rPr>
                <w:rFonts w:cs="Calibri"/>
                <w:sz w:val="19"/>
                <w:szCs w:val="19"/>
              </w:rPr>
              <w:t>Co-directors confirm completion; Bulletin announces in three languages; market version publishes</w:t>
            </w:r>
          </w:p>
        </w:tc>
      </w:tr>
    </w:tbl>
    <w:p w14:paraId="70EF4E33" w14:textId="77777777" w:rsidR="008C4E6E" w:rsidRDefault="008C4E6E">
      <w:pPr>
        <w:spacing w:after="80"/>
      </w:pPr>
    </w:p>
    <w:p w14:paraId="2797EBBF" w14:textId="77777777" w:rsidR="008C4E6E" w:rsidRDefault="00000000">
      <w:pPr>
        <w:spacing w:before="40" w:after="200"/>
        <w:jc w:val="left"/>
      </w:pPr>
      <w:r>
        <w:rPr>
          <w:rFonts w:ascii="Calibri Light" w:hAnsi="Calibri Light" w:cs="Calibri Light"/>
          <w:b/>
          <w:i/>
          <w:color w:val="1F4E5F"/>
          <w:sz w:val="36"/>
          <w:szCs w:val="36"/>
        </w:rPr>
        <w:t>The script of the indivisible hour. The same script governs each pulse, with its paired step substituted. Two full rehearsals precede Pulse One under Article 37.6.</w:t>
      </w:r>
    </w:p>
    <w:p w14:paraId="0A3BC38D" w14:textId="77777777" w:rsidR="008C4E6E" w:rsidRDefault="00000000">
      <w:pPr>
        <w:pStyle w:val="Heading2"/>
      </w:pPr>
      <w:bookmarkStart w:id="102" w:name="_Toc237650658"/>
      <w:r>
        <w:rPr>
          <w:rFonts w:cs="Calibri Light"/>
          <w:szCs w:val="28"/>
        </w:rPr>
        <w:t>E.4 The Consequence Schedule</w:t>
      </w:r>
      <w:bookmarkEnd w:id="102"/>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2376"/>
        <w:gridCol w:w="2376"/>
        <w:gridCol w:w="2376"/>
        <w:gridCol w:w="2378"/>
      </w:tblGrid>
      <w:tr w:rsidR="008C4E6E" w14:paraId="6CB99885" w14:textId="77777777">
        <w:tblPrEx>
          <w:tblCellMar>
            <w:top w:w="0" w:type="dxa"/>
            <w:bottom w:w="0" w:type="dxa"/>
          </w:tblCellMar>
        </w:tblPrEx>
        <w:trPr>
          <w:tblHeader/>
        </w:trPr>
        <w:tc>
          <w:tcPr>
            <w:tcW w:w="2337" w:type="dxa"/>
            <w:shd w:val="clear" w:color="auto" w:fill="E4EEF1"/>
            <w:tcMar>
              <w:top w:w="60" w:type="dxa"/>
              <w:left w:w="100" w:type="dxa"/>
              <w:bottom w:w="60" w:type="dxa"/>
              <w:right w:w="100" w:type="dxa"/>
            </w:tcMar>
          </w:tcPr>
          <w:p w14:paraId="31C99E70" w14:textId="77777777" w:rsidR="008C4E6E" w:rsidRDefault="00000000">
            <w:pPr>
              <w:spacing w:before="20" w:after="20" w:line="290" w:lineRule="auto"/>
              <w:jc w:val="left"/>
            </w:pPr>
            <w:r>
              <w:rPr>
                <w:rFonts w:cs="Calibri"/>
                <w:b/>
                <w:color w:val="1F4E5F"/>
                <w:sz w:val="19"/>
                <w:szCs w:val="19"/>
              </w:rPr>
              <w:t>Event</w:t>
            </w:r>
          </w:p>
        </w:tc>
        <w:tc>
          <w:tcPr>
            <w:tcW w:w="2337" w:type="dxa"/>
            <w:shd w:val="clear" w:color="auto" w:fill="E4EEF1"/>
            <w:tcMar>
              <w:top w:w="60" w:type="dxa"/>
              <w:left w:w="100" w:type="dxa"/>
              <w:bottom w:w="60" w:type="dxa"/>
              <w:right w:w="100" w:type="dxa"/>
            </w:tcMar>
          </w:tcPr>
          <w:p w14:paraId="1ECFFA98" w14:textId="77777777" w:rsidR="008C4E6E" w:rsidRDefault="00000000">
            <w:pPr>
              <w:spacing w:before="20" w:after="20" w:line="290" w:lineRule="auto"/>
              <w:jc w:val="left"/>
            </w:pPr>
            <w:r>
              <w:rPr>
                <w:rFonts w:cs="Calibri"/>
                <w:b/>
                <w:color w:val="1F4E5F"/>
                <w:sz w:val="19"/>
                <w:szCs w:val="19"/>
              </w:rPr>
              <w:t>Tier</w:t>
            </w:r>
          </w:p>
        </w:tc>
        <w:tc>
          <w:tcPr>
            <w:tcW w:w="2337" w:type="dxa"/>
            <w:shd w:val="clear" w:color="auto" w:fill="E4EEF1"/>
            <w:tcMar>
              <w:top w:w="60" w:type="dxa"/>
              <w:left w:w="100" w:type="dxa"/>
              <w:bottom w:w="60" w:type="dxa"/>
              <w:right w:w="100" w:type="dxa"/>
            </w:tcMar>
          </w:tcPr>
          <w:p w14:paraId="2BCD4CC5" w14:textId="77777777" w:rsidR="008C4E6E" w:rsidRDefault="00000000">
            <w:pPr>
              <w:spacing w:before="20" w:after="20" w:line="290" w:lineRule="auto"/>
              <w:jc w:val="left"/>
            </w:pPr>
            <w:r>
              <w:rPr>
                <w:rFonts w:cs="Calibri"/>
                <w:b/>
                <w:color w:val="1F4E5F"/>
                <w:sz w:val="19"/>
                <w:szCs w:val="19"/>
              </w:rPr>
              <w:t>Base measure</w:t>
            </w:r>
          </w:p>
        </w:tc>
        <w:tc>
          <w:tcPr>
            <w:tcW w:w="2339" w:type="dxa"/>
            <w:shd w:val="clear" w:color="auto" w:fill="E4EEF1"/>
            <w:tcMar>
              <w:top w:w="60" w:type="dxa"/>
              <w:left w:w="100" w:type="dxa"/>
              <w:bottom w:w="60" w:type="dxa"/>
              <w:right w:w="100" w:type="dxa"/>
            </w:tcMar>
          </w:tcPr>
          <w:p w14:paraId="7E06FA34" w14:textId="77777777" w:rsidR="008C4E6E" w:rsidRDefault="00000000">
            <w:pPr>
              <w:spacing w:before="20" w:after="20" w:line="290" w:lineRule="auto"/>
              <w:jc w:val="left"/>
            </w:pPr>
            <w:r>
              <w:rPr>
                <w:rFonts w:cs="Calibri"/>
                <w:b/>
                <w:color w:val="1F4E5F"/>
                <w:sz w:val="19"/>
                <w:szCs w:val="19"/>
              </w:rPr>
              <w:t>Earn-back</w:t>
            </w:r>
          </w:p>
        </w:tc>
      </w:tr>
      <w:tr w:rsidR="008C4E6E" w14:paraId="031011E0" w14:textId="77777777">
        <w:tblPrEx>
          <w:tblCellMar>
            <w:top w:w="0" w:type="dxa"/>
            <w:bottom w:w="0" w:type="dxa"/>
          </w:tblCellMar>
        </w:tblPrEx>
        <w:tc>
          <w:tcPr>
            <w:tcW w:w="2337" w:type="dxa"/>
            <w:tcMar>
              <w:top w:w="60" w:type="dxa"/>
              <w:left w:w="100" w:type="dxa"/>
              <w:bottom w:w="60" w:type="dxa"/>
              <w:right w:w="100" w:type="dxa"/>
            </w:tcMar>
          </w:tcPr>
          <w:p w14:paraId="271D1B6E" w14:textId="77777777" w:rsidR="008C4E6E" w:rsidRDefault="00000000">
            <w:pPr>
              <w:spacing w:before="20" w:after="20" w:line="290" w:lineRule="auto"/>
              <w:jc w:val="left"/>
            </w:pPr>
            <w:r>
              <w:rPr>
                <w:rFonts w:cs="Calibri"/>
                <w:sz w:val="19"/>
                <w:szCs w:val="19"/>
              </w:rPr>
              <w:t>Late or missing Transit Notice, first occurrence</w:t>
            </w:r>
          </w:p>
        </w:tc>
        <w:tc>
          <w:tcPr>
            <w:tcW w:w="2337" w:type="dxa"/>
            <w:tcMar>
              <w:top w:w="60" w:type="dxa"/>
              <w:left w:w="100" w:type="dxa"/>
              <w:bottom w:w="60" w:type="dxa"/>
              <w:right w:w="100" w:type="dxa"/>
            </w:tcMar>
          </w:tcPr>
          <w:p w14:paraId="22B22135" w14:textId="77777777" w:rsidR="008C4E6E" w:rsidRDefault="00000000">
            <w:pPr>
              <w:spacing w:before="20" w:after="20" w:line="290" w:lineRule="auto"/>
              <w:jc w:val="left"/>
            </w:pPr>
            <w:r>
              <w:rPr>
                <w:rFonts w:cs="Calibri"/>
                <w:sz w:val="19"/>
                <w:szCs w:val="19"/>
              </w:rPr>
              <w:t>1</w:t>
            </w:r>
          </w:p>
        </w:tc>
        <w:tc>
          <w:tcPr>
            <w:tcW w:w="2337" w:type="dxa"/>
            <w:tcMar>
              <w:top w:w="60" w:type="dxa"/>
              <w:left w:w="100" w:type="dxa"/>
              <w:bottom w:w="60" w:type="dxa"/>
              <w:right w:w="100" w:type="dxa"/>
            </w:tcMar>
          </w:tcPr>
          <w:p w14:paraId="26B0A45B" w14:textId="77777777" w:rsidR="008C4E6E" w:rsidRDefault="00000000">
            <w:pPr>
              <w:spacing w:before="20" w:after="20" w:line="290" w:lineRule="auto"/>
              <w:jc w:val="left"/>
            </w:pPr>
            <w:r>
              <w:rPr>
                <w:rFonts w:cs="Calibri"/>
                <w:sz w:val="19"/>
                <w:szCs w:val="19"/>
              </w:rPr>
              <w:t>Log entry and correction</w:t>
            </w:r>
          </w:p>
        </w:tc>
        <w:tc>
          <w:tcPr>
            <w:tcW w:w="2339" w:type="dxa"/>
            <w:tcMar>
              <w:top w:w="60" w:type="dxa"/>
              <w:left w:w="100" w:type="dxa"/>
              <w:bottom w:w="60" w:type="dxa"/>
              <w:right w:w="100" w:type="dxa"/>
            </w:tcMar>
          </w:tcPr>
          <w:p w14:paraId="619DF014" w14:textId="77777777" w:rsidR="008C4E6E" w:rsidRDefault="00000000">
            <w:pPr>
              <w:spacing w:before="20" w:after="20" w:line="290" w:lineRule="auto"/>
              <w:jc w:val="left"/>
            </w:pPr>
            <w:r>
              <w:rPr>
                <w:rFonts w:cs="Calibri"/>
                <w:sz w:val="19"/>
                <w:szCs w:val="19"/>
              </w:rPr>
              <w:t>Immediate on filing</w:t>
            </w:r>
          </w:p>
        </w:tc>
      </w:tr>
      <w:tr w:rsidR="008C4E6E" w14:paraId="5A6BC77D" w14:textId="77777777">
        <w:tblPrEx>
          <w:tblCellMar>
            <w:top w:w="0" w:type="dxa"/>
            <w:bottom w:w="0" w:type="dxa"/>
          </w:tblCellMar>
        </w:tblPrEx>
        <w:tc>
          <w:tcPr>
            <w:tcW w:w="2337" w:type="dxa"/>
            <w:tcMar>
              <w:top w:w="60" w:type="dxa"/>
              <w:left w:w="100" w:type="dxa"/>
              <w:bottom w:w="60" w:type="dxa"/>
              <w:right w:w="100" w:type="dxa"/>
            </w:tcMar>
          </w:tcPr>
          <w:p w14:paraId="1A8A735A" w14:textId="77777777" w:rsidR="008C4E6E" w:rsidRDefault="00000000">
            <w:pPr>
              <w:spacing w:before="20" w:after="20" w:line="290" w:lineRule="auto"/>
              <w:jc w:val="left"/>
            </w:pPr>
            <w:r>
              <w:rPr>
                <w:rFonts w:cs="Calibri"/>
                <w:sz w:val="19"/>
                <w:szCs w:val="19"/>
              </w:rPr>
              <w:t>Form error or identification gap under six hours, explained</w:t>
            </w:r>
          </w:p>
        </w:tc>
        <w:tc>
          <w:tcPr>
            <w:tcW w:w="2337" w:type="dxa"/>
            <w:tcMar>
              <w:top w:w="60" w:type="dxa"/>
              <w:left w:w="100" w:type="dxa"/>
              <w:bottom w:w="60" w:type="dxa"/>
              <w:right w:w="100" w:type="dxa"/>
            </w:tcMar>
          </w:tcPr>
          <w:p w14:paraId="4C780748" w14:textId="77777777" w:rsidR="008C4E6E" w:rsidRDefault="00000000">
            <w:pPr>
              <w:spacing w:before="20" w:after="20" w:line="290" w:lineRule="auto"/>
              <w:jc w:val="left"/>
            </w:pPr>
            <w:r>
              <w:rPr>
                <w:rFonts w:cs="Calibri"/>
                <w:sz w:val="19"/>
                <w:szCs w:val="19"/>
              </w:rPr>
              <w:t>1</w:t>
            </w:r>
          </w:p>
        </w:tc>
        <w:tc>
          <w:tcPr>
            <w:tcW w:w="2337" w:type="dxa"/>
            <w:tcMar>
              <w:top w:w="60" w:type="dxa"/>
              <w:left w:w="100" w:type="dxa"/>
              <w:bottom w:w="60" w:type="dxa"/>
              <w:right w:w="100" w:type="dxa"/>
            </w:tcMar>
          </w:tcPr>
          <w:p w14:paraId="33BC3FDB" w14:textId="77777777" w:rsidR="008C4E6E" w:rsidRDefault="00000000">
            <w:pPr>
              <w:spacing w:before="20" w:after="20" w:line="290" w:lineRule="auto"/>
              <w:jc w:val="left"/>
            </w:pPr>
            <w:r>
              <w:rPr>
                <w:rFonts w:cs="Calibri"/>
                <w:sz w:val="19"/>
                <w:szCs w:val="19"/>
              </w:rPr>
              <w:t>Log entry and correction</w:t>
            </w:r>
          </w:p>
        </w:tc>
        <w:tc>
          <w:tcPr>
            <w:tcW w:w="2339" w:type="dxa"/>
            <w:tcMar>
              <w:top w:w="60" w:type="dxa"/>
              <w:left w:w="100" w:type="dxa"/>
              <w:bottom w:w="60" w:type="dxa"/>
              <w:right w:w="100" w:type="dxa"/>
            </w:tcMar>
          </w:tcPr>
          <w:p w14:paraId="57EA8136" w14:textId="77777777" w:rsidR="008C4E6E" w:rsidRDefault="00000000">
            <w:pPr>
              <w:spacing w:before="20" w:after="20" w:line="290" w:lineRule="auto"/>
              <w:jc w:val="left"/>
            </w:pPr>
            <w:r>
              <w:rPr>
                <w:rFonts w:cs="Calibri"/>
                <w:sz w:val="19"/>
                <w:szCs w:val="19"/>
              </w:rPr>
              <w:t>Immediate on correction</w:t>
            </w:r>
          </w:p>
        </w:tc>
      </w:tr>
      <w:tr w:rsidR="008C4E6E" w14:paraId="7A27B505" w14:textId="77777777">
        <w:tblPrEx>
          <w:tblCellMar>
            <w:top w:w="0" w:type="dxa"/>
            <w:bottom w:w="0" w:type="dxa"/>
          </w:tblCellMar>
        </w:tblPrEx>
        <w:tc>
          <w:tcPr>
            <w:tcW w:w="2337" w:type="dxa"/>
            <w:tcMar>
              <w:top w:w="60" w:type="dxa"/>
              <w:left w:w="100" w:type="dxa"/>
              <w:bottom w:w="60" w:type="dxa"/>
              <w:right w:w="100" w:type="dxa"/>
            </w:tcMar>
          </w:tcPr>
          <w:p w14:paraId="73D0DC33" w14:textId="77777777" w:rsidR="008C4E6E" w:rsidRDefault="00000000">
            <w:pPr>
              <w:spacing w:before="20" w:after="20" w:line="290" w:lineRule="auto"/>
              <w:jc w:val="left"/>
            </w:pPr>
            <w:r>
              <w:rPr>
                <w:rFonts w:cs="Calibri"/>
                <w:sz w:val="19"/>
                <w:szCs w:val="19"/>
              </w:rPr>
              <w:t>Repeated late notices by one operator after warning</w:t>
            </w:r>
          </w:p>
        </w:tc>
        <w:tc>
          <w:tcPr>
            <w:tcW w:w="2337" w:type="dxa"/>
            <w:tcMar>
              <w:top w:w="60" w:type="dxa"/>
              <w:left w:w="100" w:type="dxa"/>
              <w:bottom w:w="60" w:type="dxa"/>
              <w:right w:w="100" w:type="dxa"/>
            </w:tcMar>
          </w:tcPr>
          <w:p w14:paraId="2E9C8FE8" w14:textId="77777777" w:rsidR="008C4E6E" w:rsidRDefault="00000000">
            <w:pPr>
              <w:spacing w:before="20" w:after="20" w:line="290" w:lineRule="auto"/>
              <w:jc w:val="left"/>
            </w:pPr>
            <w:r>
              <w:rPr>
                <w:rFonts w:cs="Calibri"/>
                <w:sz w:val="19"/>
                <w:szCs w:val="19"/>
              </w:rPr>
              <w:t>2</w:t>
            </w:r>
          </w:p>
        </w:tc>
        <w:tc>
          <w:tcPr>
            <w:tcW w:w="2337" w:type="dxa"/>
            <w:tcMar>
              <w:top w:w="60" w:type="dxa"/>
              <w:left w:w="100" w:type="dxa"/>
              <w:bottom w:w="60" w:type="dxa"/>
              <w:right w:w="100" w:type="dxa"/>
            </w:tcMar>
          </w:tcPr>
          <w:p w14:paraId="47498907" w14:textId="77777777" w:rsidR="008C4E6E" w:rsidRDefault="00000000">
            <w:pPr>
              <w:spacing w:before="20" w:after="20" w:line="290" w:lineRule="auto"/>
              <w:jc w:val="left"/>
            </w:pPr>
            <w:r>
              <w:rPr>
                <w:rFonts w:cs="Calibri"/>
                <w:sz w:val="19"/>
                <w:szCs w:val="19"/>
              </w:rPr>
              <w:t>Operator data products step back; advisory visits</w:t>
            </w:r>
          </w:p>
        </w:tc>
        <w:tc>
          <w:tcPr>
            <w:tcW w:w="2339" w:type="dxa"/>
            <w:tcMar>
              <w:top w:w="60" w:type="dxa"/>
              <w:left w:w="100" w:type="dxa"/>
              <w:bottom w:w="60" w:type="dxa"/>
              <w:right w:w="100" w:type="dxa"/>
            </w:tcMar>
          </w:tcPr>
          <w:p w14:paraId="6B1AB1E6" w14:textId="77777777" w:rsidR="008C4E6E" w:rsidRDefault="00000000">
            <w:pPr>
              <w:spacing w:before="20" w:after="20" w:line="290" w:lineRule="auto"/>
              <w:jc w:val="left"/>
            </w:pPr>
            <w:r>
              <w:rPr>
                <w:rFonts w:cs="Calibri"/>
                <w:sz w:val="19"/>
                <w:szCs w:val="19"/>
              </w:rPr>
              <w:t>Fourteen clean days</w:t>
            </w:r>
          </w:p>
        </w:tc>
      </w:tr>
      <w:tr w:rsidR="008C4E6E" w14:paraId="4C91D9D3" w14:textId="77777777">
        <w:tblPrEx>
          <w:tblCellMar>
            <w:top w:w="0" w:type="dxa"/>
            <w:bottom w:w="0" w:type="dxa"/>
          </w:tblCellMar>
        </w:tblPrEx>
        <w:tc>
          <w:tcPr>
            <w:tcW w:w="2337" w:type="dxa"/>
            <w:tcMar>
              <w:top w:w="60" w:type="dxa"/>
              <w:left w:w="100" w:type="dxa"/>
              <w:bottom w:w="60" w:type="dxa"/>
              <w:right w:w="100" w:type="dxa"/>
            </w:tcMar>
          </w:tcPr>
          <w:p w14:paraId="60587361" w14:textId="77777777" w:rsidR="008C4E6E" w:rsidRDefault="00000000">
            <w:pPr>
              <w:spacing w:before="20" w:after="20" w:line="290" w:lineRule="auto"/>
              <w:jc w:val="left"/>
            </w:pPr>
            <w:r>
              <w:rPr>
                <w:rFonts w:cs="Calibri"/>
                <w:sz w:val="19"/>
                <w:szCs w:val="19"/>
              </w:rPr>
              <w:t>Unexplained identification gaps in a pattern</w:t>
            </w:r>
          </w:p>
        </w:tc>
        <w:tc>
          <w:tcPr>
            <w:tcW w:w="2337" w:type="dxa"/>
            <w:tcMar>
              <w:top w:w="60" w:type="dxa"/>
              <w:left w:w="100" w:type="dxa"/>
              <w:bottom w:w="60" w:type="dxa"/>
              <w:right w:w="100" w:type="dxa"/>
            </w:tcMar>
          </w:tcPr>
          <w:p w14:paraId="3C4F461A" w14:textId="77777777" w:rsidR="008C4E6E" w:rsidRDefault="00000000">
            <w:pPr>
              <w:spacing w:before="20" w:after="20" w:line="290" w:lineRule="auto"/>
              <w:jc w:val="left"/>
            </w:pPr>
            <w:r>
              <w:rPr>
                <w:rFonts w:cs="Calibri"/>
                <w:sz w:val="19"/>
                <w:szCs w:val="19"/>
              </w:rPr>
              <w:t>2</w:t>
            </w:r>
          </w:p>
        </w:tc>
        <w:tc>
          <w:tcPr>
            <w:tcW w:w="2337" w:type="dxa"/>
            <w:tcMar>
              <w:top w:w="60" w:type="dxa"/>
              <w:left w:w="100" w:type="dxa"/>
              <w:bottom w:w="60" w:type="dxa"/>
              <w:right w:w="100" w:type="dxa"/>
            </w:tcMar>
          </w:tcPr>
          <w:p w14:paraId="48412292" w14:textId="77777777" w:rsidR="008C4E6E" w:rsidRDefault="00000000">
            <w:pPr>
              <w:spacing w:before="20" w:after="20" w:line="290" w:lineRule="auto"/>
              <w:jc w:val="left"/>
            </w:pPr>
            <w:r>
              <w:rPr>
                <w:rFonts w:cs="Calibri"/>
                <w:sz w:val="19"/>
                <w:szCs w:val="19"/>
              </w:rPr>
              <w:t>Enhanced observation; exercise exclusion</w:t>
            </w:r>
          </w:p>
        </w:tc>
        <w:tc>
          <w:tcPr>
            <w:tcW w:w="2339" w:type="dxa"/>
            <w:tcMar>
              <w:top w:w="60" w:type="dxa"/>
              <w:left w:w="100" w:type="dxa"/>
              <w:bottom w:w="60" w:type="dxa"/>
              <w:right w:w="100" w:type="dxa"/>
            </w:tcMar>
          </w:tcPr>
          <w:p w14:paraId="05D80DB0" w14:textId="77777777" w:rsidR="008C4E6E" w:rsidRDefault="00000000">
            <w:pPr>
              <w:spacing w:before="20" w:after="20" w:line="290" w:lineRule="auto"/>
              <w:jc w:val="left"/>
            </w:pPr>
            <w:r>
              <w:rPr>
                <w:rFonts w:cs="Calibri"/>
                <w:sz w:val="19"/>
                <w:szCs w:val="19"/>
              </w:rPr>
              <w:t>Fourteen clean days</w:t>
            </w:r>
          </w:p>
        </w:tc>
      </w:tr>
      <w:tr w:rsidR="008C4E6E" w14:paraId="4C00D38A" w14:textId="77777777">
        <w:tblPrEx>
          <w:tblCellMar>
            <w:top w:w="0" w:type="dxa"/>
            <w:bottom w:w="0" w:type="dxa"/>
          </w:tblCellMar>
        </w:tblPrEx>
        <w:tc>
          <w:tcPr>
            <w:tcW w:w="2337" w:type="dxa"/>
            <w:tcMar>
              <w:top w:w="60" w:type="dxa"/>
              <w:left w:w="100" w:type="dxa"/>
              <w:bottom w:w="60" w:type="dxa"/>
              <w:right w:w="100" w:type="dxa"/>
            </w:tcMar>
          </w:tcPr>
          <w:p w14:paraId="125E5909" w14:textId="77777777" w:rsidR="008C4E6E" w:rsidRDefault="00000000">
            <w:pPr>
              <w:spacing w:before="20" w:after="20" w:line="290" w:lineRule="auto"/>
              <w:jc w:val="left"/>
            </w:pPr>
            <w:r>
              <w:rPr>
                <w:rFonts w:cs="Calibri"/>
                <w:sz w:val="19"/>
                <w:szCs w:val="19"/>
              </w:rPr>
              <w:t>Missed watch handover or hotline answer failure</w:t>
            </w:r>
          </w:p>
        </w:tc>
        <w:tc>
          <w:tcPr>
            <w:tcW w:w="2337" w:type="dxa"/>
            <w:tcMar>
              <w:top w:w="60" w:type="dxa"/>
              <w:left w:w="100" w:type="dxa"/>
              <w:bottom w:w="60" w:type="dxa"/>
              <w:right w:w="100" w:type="dxa"/>
            </w:tcMar>
          </w:tcPr>
          <w:p w14:paraId="488A5887" w14:textId="77777777" w:rsidR="008C4E6E" w:rsidRDefault="00000000">
            <w:pPr>
              <w:spacing w:before="20" w:after="20" w:line="290" w:lineRule="auto"/>
              <w:jc w:val="left"/>
            </w:pPr>
            <w:r>
              <w:rPr>
                <w:rFonts w:cs="Calibri"/>
                <w:sz w:val="19"/>
                <w:szCs w:val="19"/>
              </w:rPr>
              <w:t>2</w:t>
            </w:r>
          </w:p>
        </w:tc>
        <w:tc>
          <w:tcPr>
            <w:tcW w:w="2337" w:type="dxa"/>
            <w:tcMar>
              <w:top w:w="60" w:type="dxa"/>
              <w:left w:w="100" w:type="dxa"/>
              <w:bottom w:w="60" w:type="dxa"/>
              <w:right w:w="100" w:type="dxa"/>
            </w:tcMar>
          </w:tcPr>
          <w:p w14:paraId="7E731DF6" w14:textId="77777777" w:rsidR="008C4E6E" w:rsidRDefault="00000000">
            <w:pPr>
              <w:spacing w:before="20" w:after="20" w:line="290" w:lineRule="auto"/>
              <w:jc w:val="left"/>
            </w:pPr>
            <w:r>
              <w:rPr>
                <w:rFonts w:cs="Calibri"/>
                <w:sz w:val="19"/>
                <w:szCs w:val="19"/>
              </w:rPr>
              <w:t>Institutional audit; duty roster review</w:t>
            </w:r>
          </w:p>
        </w:tc>
        <w:tc>
          <w:tcPr>
            <w:tcW w:w="2339" w:type="dxa"/>
            <w:tcMar>
              <w:top w:w="60" w:type="dxa"/>
              <w:left w:w="100" w:type="dxa"/>
              <w:bottom w:w="60" w:type="dxa"/>
              <w:right w:w="100" w:type="dxa"/>
            </w:tcMar>
          </w:tcPr>
          <w:p w14:paraId="21516E4A" w14:textId="77777777" w:rsidR="008C4E6E" w:rsidRDefault="00000000">
            <w:pPr>
              <w:spacing w:before="20" w:after="20" w:line="290" w:lineRule="auto"/>
              <w:jc w:val="left"/>
            </w:pPr>
            <w:r>
              <w:rPr>
                <w:rFonts w:cs="Calibri"/>
                <w:sz w:val="19"/>
                <w:szCs w:val="19"/>
              </w:rPr>
              <w:t>Fourteen clean days</w:t>
            </w:r>
          </w:p>
        </w:tc>
      </w:tr>
      <w:tr w:rsidR="008C4E6E" w14:paraId="481C823A" w14:textId="77777777">
        <w:tblPrEx>
          <w:tblCellMar>
            <w:top w:w="0" w:type="dxa"/>
            <w:bottom w:w="0" w:type="dxa"/>
          </w:tblCellMar>
        </w:tblPrEx>
        <w:tc>
          <w:tcPr>
            <w:tcW w:w="2337" w:type="dxa"/>
            <w:tcMar>
              <w:top w:w="60" w:type="dxa"/>
              <w:left w:w="100" w:type="dxa"/>
              <w:bottom w:w="60" w:type="dxa"/>
              <w:right w:w="100" w:type="dxa"/>
            </w:tcMar>
          </w:tcPr>
          <w:p w14:paraId="56C039FC" w14:textId="77777777" w:rsidR="008C4E6E" w:rsidRDefault="00000000">
            <w:pPr>
              <w:spacing w:before="20" w:after="20" w:line="290" w:lineRule="auto"/>
              <w:jc w:val="left"/>
            </w:pPr>
            <w:r>
              <w:rPr>
                <w:rFonts w:cs="Calibri"/>
                <w:sz w:val="19"/>
                <w:szCs w:val="19"/>
              </w:rPr>
              <w:t>Premature public attribution</w:t>
            </w:r>
          </w:p>
        </w:tc>
        <w:tc>
          <w:tcPr>
            <w:tcW w:w="2337" w:type="dxa"/>
            <w:tcMar>
              <w:top w:w="60" w:type="dxa"/>
              <w:left w:w="100" w:type="dxa"/>
              <w:bottom w:w="60" w:type="dxa"/>
              <w:right w:w="100" w:type="dxa"/>
            </w:tcMar>
          </w:tcPr>
          <w:p w14:paraId="277D651F" w14:textId="77777777" w:rsidR="008C4E6E" w:rsidRDefault="00000000">
            <w:pPr>
              <w:spacing w:before="20" w:after="20" w:line="290" w:lineRule="auto"/>
              <w:jc w:val="left"/>
            </w:pPr>
            <w:r>
              <w:rPr>
                <w:rFonts w:cs="Calibri"/>
                <w:sz w:val="19"/>
                <w:szCs w:val="19"/>
              </w:rPr>
              <w:t>2</w:t>
            </w:r>
          </w:p>
        </w:tc>
        <w:tc>
          <w:tcPr>
            <w:tcW w:w="2337" w:type="dxa"/>
            <w:tcMar>
              <w:top w:w="60" w:type="dxa"/>
              <w:left w:w="100" w:type="dxa"/>
              <w:bottom w:w="60" w:type="dxa"/>
              <w:right w:w="100" w:type="dxa"/>
            </w:tcMar>
          </w:tcPr>
          <w:p w14:paraId="109D114F" w14:textId="77777777" w:rsidR="008C4E6E" w:rsidRDefault="00000000">
            <w:pPr>
              <w:spacing w:before="20" w:after="20" w:line="290" w:lineRule="auto"/>
              <w:jc w:val="left"/>
            </w:pPr>
            <w:r>
              <w:rPr>
                <w:rFonts w:cs="Calibri"/>
                <w:sz w:val="19"/>
                <w:szCs w:val="19"/>
              </w:rPr>
              <w:t>Statement protocol; Registry notice</w:t>
            </w:r>
          </w:p>
        </w:tc>
        <w:tc>
          <w:tcPr>
            <w:tcW w:w="2339" w:type="dxa"/>
            <w:tcMar>
              <w:top w:w="60" w:type="dxa"/>
              <w:left w:w="100" w:type="dxa"/>
              <w:bottom w:w="60" w:type="dxa"/>
              <w:right w:w="100" w:type="dxa"/>
            </w:tcMar>
          </w:tcPr>
          <w:p w14:paraId="74ADBC44" w14:textId="77777777" w:rsidR="008C4E6E" w:rsidRDefault="00000000">
            <w:pPr>
              <w:spacing w:before="20" w:after="20" w:line="290" w:lineRule="auto"/>
              <w:jc w:val="left"/>
            </w:pPr>
            <w:r>
              <w:rPr>
                <w:rFonts w:cs="Calibri"/>
                <w:sz w:val="19"/>
                <w:szCs w:val="19"/>
              </w:rPr>
              <w:t>Fourteen clean days</w:t>
            </w:r>
          </w:p>
        </w:tc>
      </w:tr>
      <w:tr w:rsidR="008C4E6E" w14:paraId="7AC434E1" w14:textId="77777777">
        <w:tblPrEx>
          <w:tblCellMar>
            <w:top w:w="0" w:type="dxa"/>
            <w:bottom w:w="0" w:type="dxa"/>
          </w:tblCellMar>
        </w:tblPrEx>
        <w:tc>
          <w:tcPr>
            <w:tcW w:w="2337" w:type="dxa"/>
            <w:tcMar>
              <w:top w:w="60" w:type="dxa"/>
              <w:left w:w="100" w:type="dxa"/>
              <w:bottom w:w="60" w:type="dxa"/>
              <w:right w:w="100" w:type="dxa"/>
            </w:tcMar>
          </w:tcPr>
          <w:p w14:paraId="08BCB8ED" w14:textId="77777777" w:rsidR="008C4E6E" w:rsidRDefault="00000000">
            <w:pPr>
              <w:spacing w:before="20" w:after="20" w:line="290" w:lineRule="auto"/>
              <w:jc w:val="left"/>
            </w:pPr>
            <w:r>
              <w:rPr>
                <w:rFonts w:cs="Calibri"/>
                <w:sz w:val="19"/>
                <w:szCs w:val="19"/>
              </w:rPr>
              <w:t>Laying or tolerating mines in the water</w:t>
            </w:r>
          </w:p>
        </w:tc>
        <w:tc>
          <w:tcPr>
            <w:tcW w:w="2337" w:type="dxa"/>
            <w:tcMar>
              <w:top w:w="60" w:type="dxa"/>
              <w:left w:w="100" w:type="dxa"/>
              <w:bottom w:w="60" w:type="dxa"/>
              <w:right w:w="100" w:type="dxa"/>
            </w:tcMar>
          </w:tcPr>
          <w:p w14:paraId="4B0F0502" w14:textId="77777777" w:rsidR="008C4E6E" w:rsidRDefault="00000000">
            <w:pPr>
              <w:spacing w:before="20" w:after="20" w:line="290" w:lineRule="auto"/>
              <w:jc w:val="left"/>
            </w:pPr>
            <w:r>
              <w:rPr>
                <w:rFonts w:cs="Calibri"/>
                <w:sz w:val="19"/>
                <w:szCs w:val="19"/>
              </w:rPr>
              <w:t>3</w:t>
            </w:r>
          </w:p>
        </w:tc>
        <w:tc>
          <w:tcPr>
            <w:tcW w:w="2337" w:type="dxa"/>
            <w:tcMar>
              <w:top w:w="60" w:type="dxa"/>
              <w:left w:w="100" w:type="dxa"/>
              <w:bottom w:w="60" w:type="dxa"/>
              <w:right w:w="100" w:type="dxa"/>
            </w:tcMar>
          </w:tcPr>
          <w:p w14:paraId="1A3FFE50" w14:textId="77777777" w:rsidR="008C4E6E" w:rsidRDefault="00000000">
            <w:pPr>
              <w:spacing w:before="20" w:after="20" w:line="290" w:lineRule="auto"/>
              <w:jc w:val="left"/>
            </w:pPr>
            <w:r>
              <w:rPr>
                <w:rFonts w:cs="Calibri"/>
                <w:sz w:val="19"/>
                <w:szCs w:val="19"/>
              </w:rPr>
              <w:t>Commission convening; Fund service exclusion; full exposure of record</w:t>
            </w:r>
          </w:p>
        </w:tc>
        <w:tc>
          <w:tcPr>
            <w:tcW w:w="2339" w:type="dxa"/>
            <w:tcMar>
              <w:top w:w="60" w:type="dxa"/>
              <w:left w:w="100" w:type="dxa"/>
              <w:bottom w:w="60" w:type="dxa"/>
              <w:right w:w="100" w:type="dxa"/>
            </w:tcMar>
          </w:tcPr>
          <w:p w14:paraId="240BFBB6" w14:textId="77777777" w:rsidR="008C4E6E" w:rsidRDefault="00000000">
            <w:pPr>
              <w:spacing w:before="20" w:after="20" w:line="290" w:lineRule="auto"/>
              <w:jc w:val="left"/>
            </w:pPr>
            <w:r>
              <w:rPr>
                <w:rFonts w:cs="Calibri"/>
                <w:sz w:val="19"/>
                <w:szCs w:val="19"/>
              </w:rPr>
              <w:t>Ninety days plus remediation</w:t>
            </w:r>
          </w:p>
        </w:tc>
      </w:tr>
      <w:tr w:rsidR="008C4E6E" w14:paraId="2A366687" w14:textId="77777777">
        <w:tblPrEx>
          <w:tblCellMar>
            <w:top w:w="0" w:type="dxa"/>
            <w:bottom w:w="0" w:type="dxa"/>
          </w:tblCellMar>
        </w:tblPrEx>
        <w:tc>
          <w:tcPr>
            <w:tcW w:w="2337" w:type="dxa"/>
            <w:tcMar>
              <w:top w:w="60" w:type="dxa"/>
              <w:left w:w="100" w:type="dxa"/>
              <w:bottom w:w="60" w:type="dxa"/>
              <w:right w:w="100" w:type="dxa"/>
            </w:tcMar>
          </w:tcPr>
          <w:p w14:paraId="542D8BAE" w14:textId="77777777" w:rsidR="008C4E6E" w:rsidRDefault="00000000">
            <w:pPr>
              <w:spacing w:before="20" w:after="20" w:line="290" w:lineRule="auto"/>
              <w:jc w:val="left"/>
            </w:pPr>
            <w:r>
              <w:rPr>
                <w:rFonts w:cs="Calibri"/>
                <w:sz w:val="19"/>
                <w:szCs w:val="19"/>
              </w:rPr>
              <w:lastRenderedPageBreak/>
              <w:t>Interdiction of a commercial vessel</w:t>
            </w:r>
          </w:p>
        </w:tc>
        <w:tc>
          <w:tcPr>
            <w:tcW w:w="2337" w:type="dxa"/>
            <w:tcMar>
              <w:top w:w="60" w:type="dxa"/>
              <w:left w:w="100" w:type="dxa"/>
              <w:bottom w:w="60" w:type="dxa"/>
              <w:right w:w="100" w:type="dxa"/>
            </w:tcMar>
          </w:tcPr>
          <w:p w14:paraId="72547A6F" w14:textId="77777777" w:rsidR="008C4E6E" w:rsidRDefault="00000000">
            <w:pPr>
              <w:spacing w:before="20" w:after="20" w:line="290" w:lineRule="auto"/>
              <w:jc w:val="left"/>
            </w:pPr>
            <w:r>
              <w:rPr>
                <w:rFonts w:cs="Calibri"/>
                <w:sz w:val="19"/>
                <w:szCs w:val="19"/>
              </w:rPr>
              <w:t>3</w:t>
            </w:r>
          </w:p>
        </w:tc>
        <w:tc>
          <w:tcPr>
            <w:tcW w:w="2337" w:type="dxa"/>
            <w:tcMar>
              <w:top w:w="60" w:type="dxa"/>
              <w:left w:w="100" w:type="dxa"/>
              <w:bottom w:w="60" w:type="dxa"/>
              <w:right w:w="100" w:type="dxa"/>
            </w:tcMar>
          </w:tcPr>
          <w:p w14:paraId="2DE9E791" w14:textId="77777777" w:rsidR="008C4E6E" w:rsidRDefault="00000000">
            <w:pPr>
              <w:spacing w:before="20" w:after="20" w:line="290" w:lineRule="auto"/>
              <w:jc w:val="left"/>
            </w:pPr>
            <w:r>
              <w:rPr>
                <w:rFonts w:cs="Calibri"/>
                <w:sz w:val="19"/>
                <w:szCs w:val="19"/>
              </w:rPr>
              <w:t>Commission convening; privilege suspension; insurer notification</w:t>
            </w:r>
          </w:p>
        </w:tc>
        <w:tc>
          <w:tcPr>
            <w:tcW w:w="2339" w:type="dxa"/>
            <w:tcMar>
              <w:top w:w="60" w:type="dxa"/>
              <w:left w:w="100" w:type="dxa"/>
              <w:bottom w:w="60" w:type="dxa"/>
              <w:right w:w="100" w:type="dxa"/>
            </w:tcMar>
          </w:tcPr>
          <w:p w14:paraId="0165673E" w14:textId="77777777" w:rsidR="008C4E6E" w:rsidRDefault="00000000">
            <w:pPr>
              <w:spacing w:before="20" w:after="20" w:line="290" w:lineRule="auto"/>
              <w:jc w:val="left"/>
            </w:pPr>
            <w:r>
              <w:rPr>
                <w:rFonts w:cs="Calibri"/>
                <w:sz w:val="19"/>
                <w:szCs w:val="19"/>
              </w:rPr>
              <w:t>Ninety days plus remediation</w:t>
            </w:r>
          </w:p>
        </w:tc>
      </w:tr>
      <w:tr w:rsidR="008C4E6E" w14:paraId="29EC1127" w14:textId="77777777">
        <w:tblPrEx>
          <w:tblCellMar>
            <w:top w:w="0" w:type="dxa"/>
            <w:bottom w:w="0" w:type="dxa"/>
          </w:tblCellMar>
        </w:tblPrEx>
        <w:tc>
          <w:tcPr>
            <w:tcW w:w="2337" w:type="dxa"/>
            <w:tcMar>
              <w:top w:w="60" w:type="dxa"/>
              <w:left w:w="100" w:type="dxa"/>
              <w:bottom w:w="60" w:type="dxa"/>
              <w:right w:w="100" w:type="dxa"/>
            </w:tcMar>
          </w:tcPr>
          <w:p w14:paraId="04081AF2" w14:textId="77777777" w:rsidR="008C4E6E" w:rsidRDefault="00000000">
            <w:pPr>
              <w:spacing w:before="20" w:after="20" w:line="290" w:lineRule="auto"/>
              <w:jc w:val="left"/>
            </w:pPr>
            <w:r>
              <w:rPr>
                <w:rFonts w:cs="Calibri"/>
                <w:sz w:val="19"/>
                <w:szCs w:val="19"/>
              </w:rPr>
              <w:t>Any charge demanded on passage</w:t>
            </w:r>
          </w:p>
        </w:tc>
        <w:tc>
          <w:tcPr>
            <w:tcW w:w="2337" w:type="dxa"/>
            <w:tcMar>
              <w:top w:w="60" w:type="dxa"/>
              <w:left w:w="100" w:type="dxa"/>
              <w:bottom w:w="60" w:type="dxa"/>
              <w:right w:w="100" w:type="dxa"/>
            </w:tcMar>
          </w:tcPr>
          <w:p w14:paraId="45FE62FC" w14:textId="77777777" w:rsidR="008C4E6E" w:rsidRDefault="00000000">
            <w:pPr>
              <w:spacing w:before="20" w:after="20" w:line="290" w:lineRule="auto"/>
              <w:jc w:val="left"/>
            </w:pPr>
            <w:r>
              <w:rPr>
                <w:rFonts w:cs="Calibri"/>
                <w:sz w:val="19"/>
                <w:szCs w:val="19"/>
              </w:rPr>
              <w:t>3</w:t>
            </w:r>
          </w:p>
        </w:tc>
        <w:tc>
          <w:tcPr>
            <w:tcW w:w="2337" w:type="dxa"/>
            <w:tcMar>
              <w:top w:w="60" w:type="dxa"/>
              <w:left w:w="100" w:type="dxa"/>
              <w:bottom w:w="60" w:type="dxa"/>
              <w:right w:w="100" w:type="dxa"/>
            </w:tcMar>
          </w:tcPr>
          <w:p w14:paraId="4B282E0F" w14:textId="77777777" w:rsidR="008C4E6E" w:rsidRDefault="00000000">
            <w:pPr>
              <w:spacing w:before="20" w:after="20" w:line="290" w:lineRule="auto"/>
              <w:jc w:val="left"/>
            </w:pPr>
            <w:r>
              <w:rPr>
                <w:rFonts w:cs="Calibri"/>
                <w:sz w:val="19"/>
                <w:szCs w:val="19"/>
              </w:rPr>
              <w:t>Cessation; repayment via Fund; publication</w:t>
            </w:r>
          </w:p>
        </w:tc>
        <w:tc>
          <w:tcPr>
            <w:tcW w:w="2339" w:type="dxa"/>
            <w:tcMar>
              <w:top w:w="60" w:type="dxa"/>
              <w:left w:w="100" w:type="dxa"/>
              <w:bottom w:w="60" w:type="dxa"/>
              <w:right w:w="100" w:type="dxa"/>
            </w:tcMar>
          </w:tcPr>
          <w:p w14:paraId="5F7BC2C6" w14:textId="77777777" w:rsidR="008C4E6E" w:rsidRDefault="00000000">
            <w:pPr>
              <w:spacing w:before="20" w:after="20" w:line="290" w:lineRule="auto"/>
              <w:jc w:val="left"/>
            </w:pPr>
            <w:r>
              <w:rPr>
                <w:rFonts w:cs="Calibri"/>
                <w:sz w:val="19"/>
                <w:szCs w:val="19"/>
              </w:rPr>
              <w:t>Ninety days plus repayment</w:t>
            </w:r>
          </w:p>
        </w:tc>
      </w:tr>
      <w:tr w:rsidR="008C4E6E" w14:paraId="763F0CAD" w14:textId="77777777">
        <w:tblPrEx>
          <w:tblCellMar>
            <w:top w:w="0" w:type="dxa"/>
            <w:bottom w:w="0" w:type="dxa"/>
          </w:tblCellMar>
        </w:tblPrEx>
        <w:tc>
          <w:tcPr>
            <w:tcW w:w="2337" w:type="dxa"/>
            <w:tcMar>
              <w:top w:w="60" w:type="dxa"/>
              <w:left w:w="100" w:type="dxa"/>
              <w:bottom w:w="60" w:type="dxa"/>
              <w:right w:w="100" w:type="dxa"/>
            </w:tcMar>
          </w:tcPr>
          <w:p w14:paraId="605ADC3C" w14:textId="77777777" w:rsidR="008C4E6E" w:rsidRDefault="00000000">
            <w:pPr>
              <w:spacing w:before="20" w:after="20" w:line="290" w:lineRule="auto"/>
              <w:jc w:val="left"/>
            </w:pPr>
            <w:r>
              <w:rPr>
                <w:rFonts w:cs="Calibri"/>
                <w:sz w:val="19"/>
                <w:szCs w:val="19"/>
              </w:rPr>
              <w:t>Knowingly false hazard declaration</w:t>
            </w:r>
          </w:p>
        </w:tc>
        <w:tc>
          <w:tcPr>
            <w:tcW w:w="2337" w:type="dxa"/>
            <w:tcMar>
              <w:top w:w="60" w:type="dxa"/>
              <w:left w:w="100" w:type="dxa"/>
              <w:bottom w:w="60" w:type="dxa"/>
              <w:right w:w="100" w:type="dxa"/>
            </w:tcMar>
          </w:tcPr>
          <w:p w14:paraId="18BFC630" w14:textId="77777777" w:rsidR="008C4E6E" w:rsidRDefault="00000000">
            <w:pPr>
              <w:spacing w:before="20" w:after="20" w:line="290" w:lineRule="auto"/>
              <w:jc w:val="left"/>
            </w:pPr>
            <w:r>
              <w:rPr>
                <w:rFonts w:cs="Calibri"/>
                <w:sz w:val="19"/>
                <w:szCs w:val="19"/>
              </w:rPr>
              <w:t>3</w:t>
            </w:r>
          </w:p>
        </w:tc>
        <w:tc>
          <w:tcPr>
            <w:tcW w:w="2337" w:type="dxa"/>
            <w:tcMar>
              <w:top w:w="60" w:type="dxa"/>
              <w:left w:w="100" w:type="dxa"/>
              <w:bottom w:w="60" w:type="dxa"/>
              <w:right w:w="100" w:type="dxa"/>
            </w:tcMar>
          </w:tcPr>
          <w:p w14:paraId="1022D17E" w14:textId="77777777" w:rsidR="008C4E6E" w:rsidRDefault="00000000">
            <w:pPr>
              <w:spacing w:before="20" w:after="20" w:line="290" w:lineRule="auto"/>
              <w:jc w:val="left"/>
            </w:pPr>
            <w:r>
              <w:rPr>
                <w:rFonts w:cs="Calibri"/>
                <w:sz w:val="19"/>
                <w:szCs w:val="19"/>
              </w:rPr>
              <w:t>Survey audit at declarer's cost; publication</w:t>
            </w:r>
          </w:p>
        </w:tc>
        <w:tc>
          <w:tcPr>
            <w:tcW w:w="2339" w:type="dxa"/>
            <w:tcMar>
              <w:top w:w="60" w:type="dxa"/>
              <w:left w:w="100" w:type="dxa"/>
              <w:bottom w:w="60" w:type="dxa"/>
              <w:right w:w="100" w:type="dxa"/>
            </w:tcMar>
          </w:tcPr>
          <w:p w14:paraId="22CB8F24" w14:textId="77777777" w:rsidR="008C4E6E" w:rsidRDefault="00000000">
            <w:pPr>
              <w:spacing w:before="20" w:after="20" w:line="290" w:lineRule="auto"/>
              <w:jc w:val="left"/>
            </w:pPr>
            <w:r>
              <w:rPr>
                <w:rFonts w:cs="Calibri"/>
                <w:sz w:val="19"/>
                <w:szCs w:val="19"/>
              </w:rPr>
              <w:t>Ninety days plus corrected declaration</w:t>
            </w:r>
          </w:p>
        </w:tc>
      </w:tr>
      <w:tr w:rsidR="008C4E6E" w14:paraId="3A4A9528" w14:textId="77777777">
        <w:tblPrEx>
          <w:tblCellMar>
            <w:top w:w="0" w:type="dxa"/>
            <w:bottom w:w="0" w:type="dxa"/>
          </w:tblCellMar>
        </w:tblPrEx>
        <w:tc>
          <w:tcPr>
            <w:tcW w:w="2337" w:type="dxa"/>
            <w:tcMar>
              <w:top w:w="60" w:type="dxa"/>
              <w:left w:w="100" w:type="dxa"/>
              <w:bottom w:w="60" w:type="dxa"/>
              <w:right w:w="100" w:type="dxa"/>
            </w:tcMar>
          </w:tcPr>
          <w:p w14:paraId="6BD63651" w14:textId="77777777" w:rsidR="008C4E6E" w:rsidRDefault="00000000">
            <w:pPr>
              <w:spacing w:before="20" w:after="20" w:line="290" w:lineRule="auto"/>
              <w:jc w:val="left"/>
            </w:pPr>
            <w:r>
              <w:rPr>
                <w:rFonts w:cs="Calibri"/>
                <w:sz w:val="19"/>
                <w:szCs w:val="19"/>
              </w:rPr>
              <w:t>Signal interference in the Governance Area</w:t>
            </w:r>
          </w:p>
        </w:tc>
        <w:tc>
          <w:tcPr>
            <w:tcW w:w="2337" w:type="dxa"/>
            <w:tcMar>
              <w:top w:w="60" w:type="dxa"/>
              <w:left w:w="100" w:type="dxa"/>
              <w:bottom w:w="60" w:type="dxa"/>
              <w:right w:w="100" w:type="dxa"/>
            </w:tcMar>
          </w:tcPr>
          <w:p w14:paraId="13EEA9CE" w14:textId="77777777" w:rsidR="008C4E6E" w:rsidRDefault="00000000">
            <w:pPr>
              <w:spacing w:before="20" w:after="20" w:line="290" w:lineRule="auto"/>
              <w:jc w:val="left"/>
            </w:pPr>
            <w:r>
              <w:rPr>
                <w:rFonts w:cs="Calibri"/>
                <w:sz w:val="19"/>
                <w:szCs w:val="19"/>
              </w:rPr>
              <w:t>3</w:t>
            </w:r>
          </w:p>
        </w:tc>
        <w:tc>
          <w:tcPr>
            <w:tcW w:w="2337" w:type="dxa"/>
            <w:tcMar>
              <w:top w:w="60" w:type="dxa"/>
              <w:left w:w="100" w:type="dxa"/>
              <w:bottom w:w="60" w:type="dxa"/>
              <w:right w:w="100" w:type="dxa"/>
            </w:tcMar>
          </w:tcPr>
          <w:p w14:paraId="45F4F85C" w14:textId="77777777" w:rsidR="008C4E6E" w:rsidRDefault="00000000">
            <w:pPr>
              <w:spacing w:before="20" w:after="20" w:line="290" w:lineRule="auto"/>
              <w:jc w:val="left"/>
            </w:pPr>
            <w:r>
              <w:rPr>
                <w:rFonts w:cs="Calibri"/>
                <w:sz w:val="19"/>
                <w:szCs w:val="19"/>
              </w:rPr>
              <w:t>Full exposure; Integrity Cell investigation; Commission convening</w:t>
            </w:r>
          </w:p>
        </w:tc>
        <w:tc>
          <w:tcPr>
            <w:tcW w:w="2339" w:type="dxa"/>
            <w:tcMar>
              <w:top w:w="60" w:type="dxa"/>
              <w:left w:w="100" w:type="dxa"/>
              <w:bottom w:w="60" w:type="dxa"/>
              <w:right w:w="100" w:type="dxa"/>
            </w:tcMar>
          </w:tcPr>
          <w:p w14:paraId="61E8C7EC" w14:textId="77777777" w:rsidR="008C4E6E" w:rsidRDefault="00000000">
            <w:pPr>
              <w:spacing w:before="20" w:after="20" w:line="290" w:lineRule="auto"/>
              <w:jc w:val="left"/>
            </w:pPr>
            <w:r>
              <w:rPr>
                <w:rFonts w:cs="Calibri"/>
                <w:sz w:val="19"/>
                <w:szCs w:val="19"/>
              </w:rPr>
              <w:t>Ninety days plus remediation</w:t>
            </w:r>
          </w:p>
        </w:tc>
      </w:tr>
      <w:tr w:rsidR="008C4E6E" w14:paraId="42359BE4" w14:textId="77777777">
        <w:tblPrEx>
          <w:tblCellMar>
            <w:top w:w="0" w:type="dxa"/>
            <w:bottom w:w="0" w:type="dxa"/>
          </w:tblCellMar>
        </w:tblPrEx>
        <w:tc>
          <w:tcPr>
            <w:tcW w:w="2337" w:type="dxa"/>
            <w:tcMar>
              <w:top w:w="60" w:type="dxa"/>
              <w:left w:w="100" w:type="dxa"/>
              <w:bottom w:w="60" w:type="dxa"/>
              <w:right w:w="100" w:type="dxa"/>
            </w:tcMar>
          </w:tcPr>
          <w:p w14:paraId="5A48F300" w14:textId="77777777" w:rsidR="008C4E6E" w:rsidRDefault="00000000">
            <w:pPr>
              <w:spacing w:before="20" w:after="20" w:line="290" w:lineRule="auto"/>
              <w:jc w:val="left"/>
            </w:pPr>
            <w:r>
              <w:rPr>
                <w:rFonts w:cs="Calibri"/>
                <w:sz w:val="19"/>
                <w:szCs w:val="19"/>
              </w:rPr>
              <w:t>Falsification of the Registry or a certificate</w:t>
            </w:r>
          </w:p>
        </w:tc>
        <w:tc>
          <w:tcPr>
            <w:tcW w:w="2337" w:type="dxa"/>
            <w:tcMar>
              <w:top w:w="60" w:type="dxa"/>
              <w:left w:w="100" w:type="dxa"/>
              <w:bottom w:w="60" w:type="dxa"/>
              <w:right w:w="100" w:type="dxa"/>
            </w:tcMar>
          </w:tcPr>
          <w:p w14:paraId="3B9F2E2D" w14:textId="77777777" w:rsidR="008C4E6E" w:rsidRDefault="00000000">
            <w:pPr>
              <w:spacing w:before="20" w:after="20" w:line="290" w:lineRule="auto"/>
              <w:jc w:val="left"/>
            </w:pPr>
            <w:r>
              <w:rPr>
                <w:rFonts w:cs="Calibri"/>
                <w:sz w:val="19"/>
                <w:szCs w:val="19"/>
              </w:rPr>
              <w:t>3</w:t>
            </w:r>
          </w:p>
        </w:tc>
        <w:tc>
          <w:tcPr>
            <w:tcW w:w="2337" w:type="dxa"/>
            <w:tcMar>
              <w:top w:w="60" w:type="dxa"/>
              <w:left w:w="100" w:type="dxa"/>
              <w:bottom w:w="60" w:type="dxa"/>
              <w:right w:w="100" w:type="dxa"/>
            </w:tcMar>
          </w:tcPr>
          <w:p w14:paraId="64BB52C1" w14:textId="77777777" w:rsidR="008C4E6E" w:rsidRDefault="00000000">
            <w:pPr>
              <w:spacing w:before="20" w:after="20" w:line="290" w:lineRule="auto"/>
              <w:jc w:val="left"/>
            </w:pPr>
            <w:r>
              <w:rPr>
                <w:rFonts w:cs="Calibri"/>
                <w:sz w:val="19"/>
                <w:szCs w:val="19"/>
              </w:rPr>
              <w:t>Full exposure; personnel exclusion; Fund audit</w:t>
            </w:r>
          </w:p>
        </w:tc>
        <w:tc>
          <w:tcPr>
            <w:tcW w:w="2339" w:type="dxa"/>
            <w:tcMar>
              <w:top w:w="60" w:type="dxa"/>
              <w:left w:w="100" w:type="dxa"/>
              <w:bottom w:w="60" w:type="dxa"/>
              <w:right w:w="100" w:type="dxa"/>
            </w:tcMar>
          </w:tcPr>
          <w:p w14:paraId="0162B139" w14:textId="77777777" w:rsidR="008C4E6E" w:rsidRDefault="00000000">
            <w:pPr>
              <w:spacing w:before="20" w:after="20" w:line="290" w:lineRule="auto"/>
              <w:jc w:val="left"/>
            </w:pPr>
            <w:r>
              <w:rPr>
                <w:rFonts w:cs="Calibri"/>
                <w:sz w:val="19"/>
                <w:szCs w:val="19"/>
              </w:rPr>
              <w:t>Ninety days plus remediation</w:t>
            </w:r>
          </w:p>
        </w:tc>
      </w:tr>
    </w:tbl>
    <w:p w14:paraId="1DAA5EE9" w14:textId="77777777" w:rsidR="008C4E6E" w:rsidRDefault="008C4E6E">
      <w:pPr>
        <w:spacing w:after="80"/>
      </w:pPr>
    </w:p>
    <w:p w14:paraId="2C07D0DC" w14:textId="77777777" w:rsidR="008C4E6E" w:rsidRDefault="00000000">
      <w:pPr>
        <w:spacing w:before="40" w:after="200"/>
        <w:jc w:val="left"/>
      </w:pPr>
      <w:r>
        <w:rPr>
          <w:rFonts w:ascii="Calibri Light" w:hAnsi="Calibri Light" w:cs="Calibri Light"/>
          <w:b/>
          <w:i/>
          <w:color w:val="1F4E5F"/>
          <w:sz w:val="36"/>
          <w:szCs w:val="36"/>
        </w:rPr>
        <w:t>Consequence schedule. Safety never steps back: no measure touches corridors, humanitarian traffic, or the Bulletin. The measure equals the base measure multiplied by the duration factor, between 0.4 and 1.0, multiplied by the remediation factor, between 0.5 and 1.0.</w:t>
      </w:r>
    </w:p>
    <w:p w14:paraId="42E454F3" w14:textId="77777777" w:rsidR="008C4E6E" w:rsidRDefault="00000000">
      <w:pPr>
        <w:pStyle w:val="Heading2"/>
      </w:pPr>
      <w:bookmarkStart w:id="103" w:name="_Toc237650659"/>
      <w:r>
        <w:rPr>
          <w:rFonts w:cs="Calibri Light"/>
          <w:szCs w:val="28"/>
        </w:rPr>
        <w:t>E.5 Stability Audit Thresholds</w:t>
      </w:r>
      <w:bookmarkEnd w:id="103"/>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14C2E9BD"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4C9BBDA0" w14:textId="77777777" w:rsidR="008C4E6E" w:rsidRDefault="00000000">
            <w:pPr>
              <w:spacing w:before="20" w:after="20" w:line="290" w:lineRule="auto"/>
              <w:jc w:val="left"/>
            </w:pPr>
            <w:r>
              <w:rPr>
                <w:rFonts w:cs="Calibri"/>
                <w:b/>
                <w:color w:val="1F4E5F"/>
                <w:sz w:val="19"/>
                <w:szCs w:val="19"/>
              </w:rPr>
              <w:t>Domain</w:t>
            </w:r>
          </w:p>
        </w:tc>
        <w:tc>
          <w:tcPr>
            <w:tcW w:w="4675" w:type="dxa"/>
            <w:shd w:val="clear" w:color="auto" w:fill="E4EEF1"/>
            <w:tcMar>
              <w:top w:w="60" w:type="dxa"/>
              <w:left w:w="100" w:type="dxa"/>
              <w:bottom w:w="60" w:type="dxa"/>
              <w:right w:w="100" w:type="dxa"/>
            </w:tcMar>
          </w:tcPr>
          <w:p w14:paraId="0DC68AAE" w14:textId="77777777" w:rsidR="008C4E6E" w:rsidRDefault="00000000">
            <w:pPr>
              <w:spacing w:before="20" w:after="20" w:line="290" w:lineRule="auto"/>
              <w:jc w:val="left"/>
            </w:pPr>
            <w:r>
              <w:rPr>
                <w:rFonts w:cs="Calibri"/>
                <w:b/>
                <w:color w:val="1F4E5F"/>
                <w:sz w:val="19"/>
                <w:szCs w:val="19"/>
              </w:rPr>
              <w:t>Threshold for a passed audit</w:t>
            </w:r>
          </w:p>
        </w:tc>
      </w:tr>
      <w:tr w:rsidR="008C4E6E" w14:paraId="3B01A9E1" w14:textId="77777777">
        <w:tblPrEx>
          <w:tblCellMar>
            <w:top w:w="0" w:type="dxa"/>
            <w:bottom w:w="0" w:type="dxa"/>
          </w:tblCellMar>
        </w:tblPrEx>
        <w:tc>
          <w:tcPr>
            <w:tcW w:w="4675" w:type="dxa"/>
            <w:tcMar>
              <w:top w:w="60" w:type="dxa"/>
              <w:left w:w="100" w:type="dxa"/>
              <w:bottom w:w="60" w:type="dxa"/>
              <w:right w:w="100" w:type="dxa"/>
            </w:tcMar>
          </w:tcPr>
          <w:p w14:paraId="148DB7CD" w14:textId="77777777" w:rsidR="008C4E6E" w:rsidRDefault="00000000">
            <w:pPr>
              <w:spacing w:before="20" w:after="20" w:line="290" w:lineRule="auto"/>
              <w:jc w:val="left"/>
            </w:pPr>
            <w:r>
              <w:rPr>
                <w:rFonts w:cs="Calibri"/>
                <w:sz w:val="19"/>
                <w:szCs w:val="19"/>
              </w:rPr>
              <w:t>Navigation and corridor compliance</w:t>
            </w:r>
          </w:p>
        </w:tc>
        <w:tc>
          <w:tcPr>
            <w:tcW w:w="4675" w:type="dxa"/>
            <w:tcMar>
              <w:top w:w="60" w:type="dxa"/>
              <w:left w:w="100" w:type="dxa"/>
              <w:bottom w:w="60" w:type="dxa"/>
              <w:right w:w="100" w:type="dxa"/>
            </w:tcMar>
          </w:tcPr>
          <w:p w14:paraId="1BD0F988" w14:textId="77777777" w:rsidR="008C4E6E" w:rsidRDefault="00000000">
            <w:pPr>
              <w:spacing w:before="20" w:after="20" w:line="290" w:lineRule="auto"/>
              <w:jc w:val="left"/>
            </w:pPr>
            <w:r>
              <w:rPr>
                <w:rFonts w:cs="Calibri"/>
                <w:sz w:val="19"/>
                <w:szCs w:val="19"/>
              </w:rPr>
              <w:t>Zero Tier 3 events; corridor adherence at 95 percent or better; acknowledgment times inside the standard at 99 percent</w:t>
            </w:r>
          </w:p>
        </w:tc>
      </w:tr>
      <w:tr w:rsidR="008C4E6E" w14:paraId="6E7D4398" w14:textId="77777777">
        <w:tblPrEx>
          <w:tblCellMar>
            <w:top w:w="0" w:type="dxa"/>
            <w:bottom w:w="0" w:type="dxa"/>
          </w:tblCellMar>
        </w:tblPrEx>
        <w:tc>
          <w:tcPr>
            <w:tcW w:w="4675" w:type="dxa"/>
            <w:tcMar>
              <w:top w:w="60" w:type="dxa"/>
              <w:left w:w="100" w:type="dxa"/>
              <w:bottom w:w="60" w:type="dxa"/>
              <w:right w:w="100" w:type="dxa"/>
            </w:tcMar>
          </w:tcPr>
          <w:p w14:paraId="49DEDD8D" w14:textId="77777777" w:rsidR="008C4E6E" w:rsidRDefault="00000000">
            <w:pPr>
              <w:spacing w:before="20" w:after="20" w:line="290" w:lineRule="auto"/>
              <w:jc w:val="left"/>
            </w:pPr>
            <w:r>
              <w:rPr>
                <w:rFonts w:cs="Calibri"/>
                <w:sz w:val="19"/>
                <w:szCs w:val="19"/>
              </w:rPr>
              <w:t>Security and de-confliction</w:t>
            </w:r>
          </w:p>
        </w:tc>
        <w:tc>
          <w:tcPr>
            <w:tcW w:w="4675" w:type="dxa"/>
            <w:tcMar>
              <w:top w:w="60" w:type="dxa"/>
              <w:left w:w="100" w:type="dxa"/>
              <w:bottom w:w="60" w:type="dxa"/>
              <w:right w:w="100" w:type="dxa"/>
            </w:tcMar>
          </w:tcPr>
          <w:p w14:paraId="05E648A3" w14:textId="77777777" w:rsidR="008C4E6E" w:rsidRDefault="00000000">
            <w:pPr>
              <w:spacing w:before="20" w:after="20" w:line="290" w:lineRule="auto"/>
              <w:jc w:val="left"/>
            </w:pPr>
            <w:r>
              <w:rPr>
                <w:rFonts w:cs="Calibri"/>
                <w:sz w:val="19"/>
                <w:szCs w:val="19"/>
              </w:rPr>
              <w:t>Hotline answer standard met at 98 percent; zero standoff breaches beyond ladder Level 2</w:t>
            </w:r>
          </w:p>
        </w:tc>
      </w:tr>
      <w:tr w:rsidR="008C4E6E" w14:paraId="350D6103" w14:textId="77777777">
        <w:tblPrEx>
          <w:tblCellMar>
            <w:top w:w="0" w:type="dxa"/>
            <w:bottom w:w="0" w:type="dxa"/>
          </w:tblCellMar>
        </w:tblPrEx>
        <w:tc>
          <w:tcPr>
            <w:tcW w:w="4675" w:type="dxa"/>
            <w:tcMar>
              <w:top w:w="60" w:type="dxa"/>
              <w:left w:w="100" w:type="dxa"/>
              <w:bottom w:w="60" w:type="dxa"/>
              <w:right w:w="100" w:type="dxa"/>
            </w:tcMar>
          </w:tcPr>
          <w:p w14:paraId="569708C4" w14:textId="77777777" w:rsidR="008C4E6E" w:rsidRDefault="00000000">
            <w:pPr>
              <w:spacing w:before="20" w:after="20" w:line="290" w:lineRule="auto"/>
              <w:jc w:val="left"/>
            </w:pPr>
            <w:r>
              <w:rPr>
                <w:rFonts w:cs="Calibri"/>
                <w:sz w:val="19"/>
                <w:szCs w:val="19"/>
              </w:rPr>
              <w:t>Monitoring and transparency</w:t>
            </w:r>
          </w:p>
        </w:tc>
        <w:tc>
          <w:tcPr>
            <w:tcW w:w="4675" w:type="dxa"/>
            <w:tcMar>
              <w:top w:w="60" w:type="dxa"/>
              <w:left w:w="100" w:type="dxa"/>
              <w:bottom w:w="60" w:type="dxa"/>
              <w:right w:w="100" w:type="dxa"/>
            </w:tcMar>
          </w:tcPr>
          <w:p w14:paraId="7B382C6E" w14:textId="77777777" w:rsidR="008C4E6E" w:rsidRDefault="00000000">
            <w:pPr>
              <w:spacing w:before="20" w:after="20" w:line="290" w:lineRule="auto"/>
              <w:jc w:val="left"/>
            </w:pPr>
            <w:r>
              <w:rPr>
                <w:rFonts w:cs="Calibri"/>
                <w:sz w:val="19"/>
                <w:szCs w:val="19"/>
              </w:rPr>
              <w:t>Bulletin issues at 100 percent; Registry latency inside five minutes at 99 percent</w:t>
            </w:r>
          </w:p>
        </w:tc>
      </w:tr>
      <w:tr w:rsidR="008C4E6E" w14:paraId="495F698C" w14:textId="77777777">
        <w:tblPrEx>
          <w:tblCellMar>
            <w:top w:w="0" w:type="dxa"/>
            <w:bottom w:w="0" w:type="dxa"/>
          </w:tblCellMar>
        </w:tblPrEx>
        <w:tc>
          <w:tcPr>
            <w:tcW w:w="4675" w:type="dxa"/>
            <w:tcMar>
              <w:top w:w="60" w:type="dxa"/>
              <w:left w:w="100" w:type="dxa"/>
              <w:bottom w:w="60" w:type="dxa"/>
              <w:right w:w="100" w:type="dxa"/>
            </w:tcMar>
          </w:tcPr>
          <w:p w14:paraId="5D4F7D0A" w14:textId="77777777" w:rsidR="008C4E6E" w:rsidRDefault="00000000">
            <w:pPr>
              <w:spacing w:before="20" w:after="20" w:line="290" w:lineRule="auto"/>
              <w:jc w:val="left"/>
            </w:pPr>
            <w:r>
              <w:rPr>
                <w:rFonts w:cs="Calibri"/>
                <w:sz w:val="19"/>
                <w:szCs w:val="19"/>
              </w:rPr>
              <w:t>Environment and safety</w:t>
            </w:r>
          </w:p>
        </w:tc>
        <w:tc>
          <w:tcPr>
            <w:tcW w:w="4675" w:type="dxa"/>
            <w:tcMar>
              <w:top w:w="60" w:type="dxa"/>
              <w:left w:w="100" w:type="dxa"/>
              <w:bottom w:w="60" w:type="dxa"/>
              <w:right w:w="100" w:type="dxa"/>
            </w:tcMar>
          </w:tcPr>
          <w:p w14:paraId="4D7CD760" w14:textId="77777777" w:rsidR="008C4E6E" w:rsidRDefault="00000000">
            <w:pPr>
              <w:spacing w:before="20" w:after="20" w:line="290" w:lineRule="auto"/>
              <w:jc w:val="left"/>
            </w:pPr>
            <w:r>
              <w:rPr>
                <w:rFonts w:cs="Calibri"/>
                <w:sz w:val="19"/>
                <w:szCs w:val="19"/>
              </w:rPr>
              <w:t>Hazard register current; survey sequence on schedule; zero unreported discharge events</w:t>
            </w:r>
          </w:p>
        </w:tc>
      </w:tr>
      <w:tr w:rsidR="008C4E6E" w14:paraId="32587A82" w14:textId="77777777">
        <w:tblPrEx>
          <w:tblCellMar>
            <w:top w:w="0" w:type="dxa"/>
            <w:bottom w:w="0" w:type="dxa"/>
          </w:tblCellMar>
        </w:tblPrEx>
        <w:tc>
          <w:tcPr>
            <w:tcW w:w="4675" w:type="dxa"/>
            <w:tcMar>
              <w:top w:w="60" w:type="dxa"/>
              <w:left w:w="100" w:type="dxa"/>
              <w:bottom w:w="60" w:type="dxa"/>
              <w:right w:w="100" w:type="dxa"/>
            </w:tcMar>
          </w:tcPr>
          <w:p w14:paraId="6C60FA5F" w14:textId="77777777" w:rsidR="008C4E6E" w:rsidRDefault="00000000">
            <w:pPr>
              <w:spacing w:before="20" w:after="20" w:line="290" w:lineRule="auto"/>
              <w:jc w:val="left"/>
            </w:pPr>
            <w:r>
              <w:rPr>
                <w:rFonts w:cs="Calibri"/>
                <w:sz w:val="19"/>
                <w:szCs w:val="19"/>
              </w:rPr>
              <w:t>Finance and payments</w:t>
            </w:r>
          </w:p>
        </w:tc>
        <w:tc>
          <w:tcPr>
            <w:tcW w:w="4675" w:type="dxa"/>
            <w:tcMar>
              <w:top w:w="60" w:type="dxa"/>
              <w:left w:w="100" w:type="dxa"/>
              <w:bottom w:w="60" w:type="dxa"/>
              <w:right w:w="100" w:type="dxa"/>
            </w:tcMar>
          </w:tcPr>
          <w:p w14:paraId="5F71F889" w14:textId="77777777" w:rsidR="008C4E6E" w:rsidRDefault="00000000">
            <w:pPr>
              <w:spacing w:before="20" w:after="20" w:line="290" w:lineRule="auto"/>
              <w:jc w:val="left"/>
            </w:pPr>
            <w:r>
              <w:rPr>
                <w:rFonts w:cs="Calibri"/>
                <w:sz w:val="19"/>
                <w:szCs w:val="19"/>
              </w:rPr>
              <w:t>Fund accounts published on schedule; zero unresolved payment complaints older than seven days</w:t>
            </w:r>
          </w:p>
        </w:tc>
      </w:tr>
    </w:tbl>
    <w:p w14:paraId="0760A5CC" w14:textId="77777777" w:rsidR="008C4E6E" w:rsidRDefault="008C4E6E">
      <w:pPr>
        <w:spacing w:after="80"/>
      </w:pPr>
    </w:p>
    <w:p w14:paraId="21C52B0C" w14:textId="77777777" w:rsidR="008C4E6E" w:rsidRDefault="00000000">
      <w:pPr>
        <w:spacing w:before="40" w:after="200"/>
        <w:jc w:val="left"/>
      </w:pPr>
      <w:r>
        <w:rPr>
          <w:rFonts w:ascii="Calibri Light" w:hAnsi="Calibri Light" w:cs="Calibri Light"/>
          <w:b/>
          <w:i/>
          <w:color w:val="1F4E5F"/>
          <w:sz w:val="36"/>
          <w:szCs w:val="36"/>
        </w:rPr>
        <w:lastRenderedPageBreak/>
        <w:t>Stability Audit thresholds. A failed domain returns to repair under Article 40.3; every other domain proceeds.</w:t>
      </w:r>
    </w:p>
    <w:p w14:paraId="24113E15" w14:textId="77777777" w:rsidR="008C4E6E" w:rsidRDefault="00000000">
      <w:r>
        <w:br w:type="page"/>
      </w:r>
    </w:p>
    <w:p w14:paraId="4487737C" w14:textId="77777777" w:rsidR="008C4E6E" w:rsidRDefault="00000000">
      <w:pPr>
        <w:pStyle w:val="Heading1"/>
      </w:pPr>
      <w:bookmarkStart w:id="104" w:name="_Toc237650660"/>
      <w:r>
        <w:rPr>
          <w:rFonts w:ascii="Calibri" w:hAnsi="Calibri" w:cs="Calibri"/>
          <w:color w:val="2B3A42"/>
          <w:sz w:val="19"/>
          <w:szCs w:val="19"/>
        </w:rPr>
        <w:lastRenderedPageBreak/>
        <w:t>Annex F: The Red Lines Register</w:t>
      </w:r>
      <w:bookmarkEnd w:id="104"/>
    </w:p>
    <w:p w14:paraId="1B663D4E" w14:textId="77777777" w:rsidR="008C4E6E" w:rsidRDefault="00000000">
      <w:r>
        <w:rPr>
          <w:rFonts w:cs="Calibri"/>
          <w:szCs w:val="22"/>
        </w:rPr>
        <w:t>This Register records each red line, the participant that holds it, and the design consequence that keeps the Covenant inside it. Article 8 governs its application. The Register protects every holder equally, and the Perimeter Test applies to every measure before adoption.</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3168"/>
        <w:gridCol w:w="3168"/>
        <w:gridCol w:w="3170"/>
      </w:tblGrid>
      <w:tr w:rsidR="008C4E6E" w14:paraId="2487EB8E" w14:textId="77777777">
        <w:tblPrEx>
          <w:tblCellMar>
            <w:top w:w="0" w:type="dxa"/>
            <w:bottom w:w="0" w:type="dxa"/>
          </w:tblCellMar>
        </w:tblPrEx>
        <w:trPr>
          <w:tblHeader/>
        </w:trPr>
        <w:tc>
          <w:tcPr>
            <w:tcW w:w="3116" w:type="dxa"/>
            <w:shd w:val="clear" w:color="auto" w:fill="E4EEF1"/>
            <w:tcMar>
              <w:top w:w="60" w:type="dxa"/>
              <w:left w:w="100" w:type="dxa"/>
              <w:bottom w:w="60" w:type="dxa"/>
              <w:right w:w="100" w:type="dxa"/>
            </w:tcMar>
          </w:tcPr>
          <w:p w14:paraId="3C4AAA55" w14:textId="77777777" w:rsidR="008C4E6E" w:rsidRDefault="00000000">
            <w:pPr>
              <w:spacing w:before="20" w:after="20" w:line="290" w:lineRule="auto"/>
              <w:jc w:val="left"/>
            </w:pPr>
            <w:r>
              <w:rPr>
                <w:rFonts w:cs="Calibri"/>
                <w:b/>
                <w:color w:val="1F4E5F"/>
                <w:sz w:val="19"/>
                <w:szCs w:val="19"/>
              </w:rPr>
              <w:t>Line</w:t>
            </w:r>
          </w:p>
        </w:tc>
        <w:tc>
          <w:tcPr>
            <w:tcW w:w="3116" w:type="dxa"/>
            <w:shd w:val="clear" w:color="auto" w:fill="E4EEF1"/>
            <w:tcMar>
              <w:top w:w="60" w:type="dxa"/>
              <w:left w:w="100" w:type="dxa"/>
              <w:bottom w:w="60" w:type="dxa"/>
              <w:right w:w="100" w:type="dxa"/>
            </w:tcMar>
          </w:tcPr>
          <w:p w14:paraId="17756648" w14:textId="77777777" w:rsidR="008C4E6E" w:rsidRDefault="00000000">
            <w:pPr>
              <w:spacing w:before="20" w:after="20" w:line="290" w:lineRule="auto"/>
              <w:jc w:val="left"/>
            </w:pPr>
            <w:r>
              <w:rPr>
                <w:rFonts w:cs="Calibri"/>
                <w:b/>
                <w:color w:val="1F4E5F"/>
                <w:sz w:val="19"/>
                <w:szCs w:val="19"/>
              </w:rPr>
              <w:t>Holder</w:t>
            </w:r>
          </w:p>
        </w:tc>
        <w:tc>
          <w:tcPr>
            <w:tcW w:w="3118" w:type="dxa"/>
            <w:shd w:val="clear" w:color="auto" w:fill="E4EEF1"/>
            <w:tcMar>
              <w:top w:w="60" w:type="dxa"/>
              <w:left w:w="100" w:type="dxa"/>
              <w:bottom w:w="60" w:type="dxa"/>
              <w:right w:w="100" w:type="dxa"/>
            </w:tcMar>
          </w:tcPr>
          <w:p w14:paraId="0DE1A51C" w14:textId="77777777" w:rsidR="008C4E6E" w:rsidRDefault="00000000">
            <w:pPr>
              <w:spacing w:before="20" w:after="20" w:line="290" w:lineRule="auto"/>
              <w:jc w:val="left"/>
            </w:pPr>
            <w:r>
              <w:rPr>
                <w:rFonts w:cs="Calibri"/>
                <w:b/>
                <w:color w:val="1F4E5F"/>
                <w:sz w:val="19"/>
                <w:szCs w:val="19"/>
              </w:rPr>
              <w:t>Design consequence</w:t>
            </w:r>
          </w:p>
        </w:tc>
      </w:tr>
      <w:tr w:rsidR="008C4E6E" w14:paraId="0BA20E2D" w14:textId="77777777">
        <w:tblPrEx>
          <w:tblCellMar>
            <w:top w:w="0" w:type="dxa"/>
            <w:bottom w:w="0" w:type="dxa"/>
          </w:tblCellMar>
        </w:tblPrEx>
        <w:tc>
          <w:tcPr>
            <w:tcW w:w="3116" w:type="dxa"/>
            <w:tcMar>
              <w:top w:w="60" w:type="dxa"/>
              <w:left w:w="100" w:type="dxa"/>
              <w:bottom w:w="60" w:type="dxa"/>
              <w:right w:w="100" w:type="dxa"/>
            </w:tcMar>
          </w:tcPr>
          <w:p w14:paraId="0D646BE6" w14:textId="77777777" w:rsidR="008C4E6E" w:rsidRDefault="00000000">
            <w:pPr>
              <w:spacing w:before="20" w:after="20" w:line="290" w:lineRule="auto"/>
              <w:jc w:val="left"/>
            </w:pPr>
            <w:r>
              <w:rPr>
                <w:rFonts w:cs="Calibri"/>
                <w:sz w:val="19"/>
                <w:szCs w:val="19"/>
              </w:rPr>
              <w:t>No toll or charge of any kind on passage</w:t>
            </w:r>
          </w:p>
        </w:tc>
        <w:tc>
          <w:tcPr>
            <w:tcW w:w="3116" w:type="dxa"/>
            <w:tcMar>
              <w:top w:w="60" w:type="dxa"/>
              <w:left w:w="100" w:type="dxa"/>
              <w:bottom w:w="60" w:type="dxa"/>
              <w:right w:w="100" w:type="dxa"/>
            </w:tcMar>
          </w:tcPr>
          <w:p w14:paraId="608C0AB4" w14:textId="77777777" w:rsidR="008C4E6E" w:rsidRDefault="00000000">
            <w:pPr>
              <w:spacing w:before="20" w:after="20" w:line="290" w:lineRule="auto"/>
              <w:jc w:val="left"/>
            </w:pPr>
            <w:r>
              <w:rPr>
                <w:rFonts w:cs="Calibri"/>
                <w:sz w:val="19"/>
                <w:szCs w:val="19"/>
              </w:rPr>
              <w:t>United States; GCC states; European states; shipping industry</w:t>
            </w:r>
          </w:p>
        </w:tc>
        <w:tc>
          <w:tcPr>
            <w:tcW w:w="3118" w:type="dxa"/>
            <w:tcMar>
              <w:top w:w="60" w:type="dxa"/>
              <w:left w:w="100" w:type="dxa"/>
              <w:bottom w:w="60" w:type="dxa"/>
              <w:right w:w="100" w:type="dxa"/>
            </w:tcMar>
          </w:tcPr>
          <w:p w14:paraId="77838569" w14:textId="77777777" w:rsidR="008C4E6E" w:rsidRDefault="00000000">
            <w:pPr>
              <w:spacing w:before="20" w:after="20" w:line="290" w:lineRule="auto"/>
              <w:jc w:val="left"/>
            </w:pPr>
            <w:r>
              <w:rPr>
                <w:rFonts w:cs="Calibri"/>
                <w:sz w:val="19"/>
                <w:szCs w:val="19"/>
              </w:rPr>
              <w:t>Zero-Toll Rule (Article 50); anti-circumvention (Article 52.5); substance test (Annex C.1.8); Tier 3 classification</w:t>
            </w:r>
          </w:p>
        </w:tc>
      </w:tr>
      <w:tr w:rsidR="008C4E6E" w14:paraId="5221E4D2" w14:textId="77777777">
        <w:tblPrEx>
          <w:tblCellMar>
            <w:top w:w="0" w:type="dxa"/>
            <w:bottom w:w="0" w:type="dxa"/>
          </w:tblCellMar>
        </w:tblPrEx>
        <w:tc>
          <w:tcPr>
            <w:tcW w:w="3116" w:type="dxa"/>
            <w:tcMar>
              <w:top w:w="60" w:type="dxa"/>
              <w:left w:w="100" w:type="dxa"/>
              <w:bottom w:w="60" w:type="dxa"/>
              <w:right w:w="100" w:type="dxa"/>
            </w:tcMar>
          </w:tcPr>
          <w:p w14:paraId="63067FBB" w14:textId="77777777" w:rsidR="008C4E6E" w:rsidRDefault="00000000">
            <w:pPr>
              <w:spacing w:before="20" w:after="20" w:line="290" w:lineRule="auto"/>
              <w:jc w:val="left"/>
            </w:pPr>
            <w:r>
              <w:rPr>
                <w:rFonts w:cs="Calibri"/>
                <w:sz w:val="19"/>
                <w:szCs w:val="19"/>
              </w:rPr>
              <w:t>No permission regime over transit</w:t>
            </w:r>
          </w:p>
        </w:tc>
        <w:tc>
          <w:tcPr>
            <w:tcW w:w="3116" w:type="dxa"/>
            <w:tcMar>
              <w:top w:w="60" w:type="dxa"/>
              <w:left w:w="100" w:type="dxa"/>
              <w:bottom w:w="60" w:type="dxa"/>
              <w:right w:w="100" w:type="dxa"/>
            </w:tcMar>
          </w:tcPr>
          <w:p w14:paraId="0B5F094B" w14:textId="77777777" w:rsidR="008C4E6E" w:rsidRDefault="00000000">
            <w:pPr>
              <w:spacing w:before="20" w:after="20" w:line="290" w:lineRule="auto"/>
              <w:jc w:val="left"/>
            </w:pPr>
            <w:r>
              <w:rPr>
                <w:rFonts w:cs="Calibri"/>
                <w:sz w:val="19"/>
                <w:szCs w:val="19"/>
              </w:rPr>
              <w:t>United States; industry</w:t>
            </w:r>
          </w:p>
        </w:tc>
        <w:tc>
          <w:tcPr>
            <w:tcW w:w="3118" w:type="dxa"/>
            <w:tcMar>
              <w:top w:w="60" w:type="dxa"/>
              <w:left w:w="100" w:type="dxa"/>
              <w:bottom w:w="60" w:type="dxa"/>
              <w:right w:w="100" w:type="dxa"/>
            </w:tcMar>
          </w:tcPr>
          <w:p w14:paraId="57F44C59" w14:textId="77777777" w:rsidR="008C4E6E" w:rsidRDefault="00000000">
            <w:pPr>
              <w:spacing w:before="20" w:after="20" w:line="290" w:lineRule="auto"/>
              <w:jc w:val="left"/>
            </w:pPr>
            <w:r>
              <w:rPr>
                <w:rFonts w:cs="Calibri"/>
                <w:sz w:val="19"/>
                <w:szCs w:val="19"/>
              </w:rPr>
              <w:t>File-and-acknowledge (Article 43); silence-is-consent; Desk prohibited from delay, condition, or denial</w:t>
            </w:r>
          </w:p>
        </w:tc>
      </w:tr>
      <w:tr w:rsidR="008C4E6E" w14:paraId="074C3AC4" w14:textId="77777777">
        <w:tblPrEx>
          <w:tblCellMar>
            <w:top w:w="0" w:type="dxa"/>
            <w:bottom w:w="0" w:type="dxa"/>
          </w:tblCellMar>
        </w:tblPrEx>
        <w:tc>
          <w:tcPr>
            <w:tcW w:w="3116" w:type="dxa"/>
            <w:tcMar>
              <w:top w:w="60" w:type="dxa"/>
              <w:left w:w="100" w:type="dxa"/>
              <w:bottom w:w="60" w:type="dxa"/>
              <w:right w:w="100" w:type="dxa"/>
            </w:tcMar>
          </w:tcPr>
          <w:p w14:paraId="79543B1B" w14:textId="77777777" w:rsidR="008C4E6E" w:rsidRDefault="00000000">
            <w:pPr>
              <w:spacing w:before="20" w:after="20" w:line="290" w:lineRule="auto"/>
              <w:jc w:val="left"/>
            </w:pPr>
            <w:r>
              <w:rPr>
                <w:rFonts w:cs="Calibri"/>
                <w:sz w:val="19"/>
                <w:szCs w:val="19"/>
              </w:rPr>
              <w:t>No unilateral control of the Strait by any one state</w:t>
            </w:r>
          </w:p>
        </w:tc>
        <w:tc>
          <w:tcPr>
            <w:tcW w:w="3116" w:type="dxa"/>
            <w:tcMar>
              <w:top w:w="60" w:type="dxa"/>
              <w:left w:w="100" w:type="dxa"/>
              <w:bottom w:w="60" w:type="dxa"/>
              <w:right w:w="100" w:type="dxa"/>
            </w:tcMar>
          </w:tcPr>
          <w:p w14:paraId="2F6C6D73" w14:textId="77777777" w:rsidR="008C4E6E" w:rsidRDefault="00000000">
            <w:pPr>
              <w:spacing w:before="20" w:after="20" w:line="290" w:lineRule="auto"/>
              <w:jc w:val="left"/>
            </w:pPr>
            <w:r>
              <w:rPr>
                <w:rFonts w:cs="Calibri"/>
                <w:sz w:val="19"/>
                <w:szCs w:val="19"/>
              </w:rPr>
              <w:t>United States; GCC states</w:t>
            </w:r>
          </w:p>
        </w:tc>
        <w:tc>
          <w:tcPr>
            <w:tcW w:w="3118" w:type="dxa"/>
            <w:tcMar>
              <w:top w:w="60" w:type="dxa"/>
              <w:left w:w="100" w:type="dxa"/>
              <w:bottom w:w="60" w:type="dxa"/>
              <w:right w:w="100" w:type="dxa"/>
            </w:tcMar>
          </w:tcPr>
          <w:p w14:paraId="6DAFAB51" w14:textId="77777777" w:rsidR="008C4E6E" w:rsidRDefault="00000000">
            <w:pPr>
              <w:spacing w:before="20" w:after="20" w:line="290" w:lineRule="auto"/>
              <w:jc w:val="left"/>
            </w:pPr>
            <w:r>
              <w:rPr>
                <w:rFonts w:cs="Calibri"/>
                <w:sz w:val="19"/>
                <w:szCs w:val="19"/>
              </w:rPr>
              <w:t>Twin Key (Article 49); no pocket veto; paired watch staffing; Commission consensus-minus-one</w:t>
            </w:r>
          </w:p>
        </w:tc>
      </w:tr>
      <w:tr w:rsidR="008C4E6E" w14:paraId="4FA5C5E0" w14:textId="77777777">
        <w:tblPrEx>
          <w:tblCellMar>
            <w:top w:w="0" w:type="dxa"/>
            <w:bottom w:w="0" w:type="dxa"/>
          </w:tblCellMar>
        </w:tblPrEx>
        <w:tc>
          <w:tcPr>
            <w:tcW w:w="3116" w:type="dxa"/>
            <w:tcMar>
              <w:top w:w="60" w:type="dxa"/>
              <w:left w:w="100" w:type="dxa"/>
              <w:bottom w:w="60" w:type="dxa"/>
              <w:right w:w="100" w:type="dxa"/>
            </w:tcMar>
          </w:tcPr>
          <w:p w14:paraId="127719E4" w14:textId="77777777" w:rsidR="008C4E6E" w:rsidRDefault="00000000">
            <w:pPr>
              <w:spacing w:before="20" w:after="20" w:line="290" w:lineRule="auto"/>
              <w:jc w:val="left"/>
            </w:pPr>
            <w:r>
              <w:rPr>
                <w:rFonts w:cs="Calibri"/>
                <w:sz w:val="19"/>
                <w:szCs w:val="19"/>
              </w:rPr>
              <w:t>Recognition of the coastal management role in own waters</w:t>
            </w:r>
          </w:p>
        </w:tc>
        <w:tc>
          <w:tcPr>
            <w:tcW w:w="3116" w:type="dxa"/>
            <w:tcMar>
              <w:top w:w="60" w:type="dxa"/>
              <w:left w:w="100" w:type="dxa"/>
              <w:bottom w:w="60" w:type="dxa"/>
              <w:right w:w="100" w:type="dxa"/>
            </w:tcMar>
          </w:tcPr>
          <w:p w14:paraId="7E290B81" w14:textId="77777777" w:rsidR="008C4E6E" w:rsidRDefault="00000000">
            <w:pPr>
              <w:spacing w:before="20" w:after="20" w:line="290" w:lineRule="auto"/>
              <w:jc w:val="left"/>
            </w:pPr>
            <w:r>
              <w:rPr>
                <w:rFonts w:cs="Calibri"/>
                <w:sz w:val="19"/>
                <w:szCs w:val="19"/>
              </w:rPr>
              <w:t>Iran; Oman</w:t>
            </w:r>
          </w:p>
        </w:tc>
        <w:tc>
          <w:tcPr>
            <w:tcW w:w="3118" w:type="dxa"/>
            <w:tcMar>
              <w:top w:w="60" w:type="dxa"/>
              <w:left w:w="100" w:type="dxa"/>
              <w:bottom w:w="60" w:type="dxa"/>
              <w:right w:w="100" w:type="dxa"/>
            </w:tcMar>
          </w:tcPr>
          <w:p w14:paraId="07AB3F3D" w14:textId="77777777" w:rsidR="008C4E6E" w:rsidRDefault="00000000">
            <w:pPr>
              <w:spacing w:before="20" w:after="20" w:line="290" w:lineRule="auto"/>
              <w:jc w:val="left"/>
            </w:pPr>
            <w:r>
              <w:rPr>
                <w:rFonts w:cs="Calibri"/>
                <w:sz w:val="19"/>
                <w:szCs w:val="19"/>
              </w:rPr>
              <w:t>Corridor functions per littoral (Article 41); recognized, formal, continuous function in own waters (Declaration line 6)</w:t>
            </w:r>
          </w:p>
        </w:tc>
      </w:tr>
      <w:tr w:rsidR="008C4E6E" w14:paraId="24D77420" w14:textId="77777777">
        <w:tblPrEx>
          <w:tblCellMar>
            <w:top w:w="0" w:type="dxa"/>
            <w:bottom w:w="0" w:type="dxa"/>
          </w:tblCellMar>
        </w:tblPrEx>
        <w:tc>
          <w:tcPr>
            <w:tcW w:w="3116" w:type="dxa"/>
            <w:tcMar>
              <w:top w:w="60" w:type="dxa"/>
              <w:left w:w="100" w:type="dxa"/>
              <w:bottom w:w="60" w:type="dxa"/>
              <w:right w:w="100" w:type="dxa"/>
            </w:tcMar>
          </w:tcPr>
          <w:p w14:paraId="25A4FD7D" w14:textId="77777777" w:rsidR="008C4E6E" w:rsidRDefault="00000000">
            <w:pPr>
              <w:spacing w:before="20" w:after="20" w:line="290" w:lineRule="auto"/>
              <w:jc w:val="left"/>
            </w:pPr>
            <w:r>
              <w:rPr>
                <w:rFonts w:cs="Calibri"/>
                <w:sz w:val="19"/>
                <w:szCs w:val="19"/>
              </w:rPr>
              <w:t>No foreign command over any element of the architecture</w:t>
            </w:r>
          </w:p>
        </w:tc>
        <w:tc>
          <w:tcPr>
            <w:tcW w:w="3116" w:type="dxa"/>
            <w:tcMar>
              <w:top w:w="60" w:type="dxa"/>
              <w:left w:w="100" w:type="dxa"/>
              <w:bottom w:w="60" w:type="dxa"/>
              <w:right w:w="100" w:type="dxa"/>
            </w:tcMar>
          </w:tcPr>
          <w:p w14:paraId="459D7974" w14:textId="77777777" w:rsidR="008C4E6E" w:rsidRDefault="00000000">
            <w:pPr>
              <w:spacing w:before="20" w:after="20" w:line="290" w:lineRule="auto"/>
              <w:jc w:val="left"/>
            </w:pPr>
            <w:r>
              <w:rPr>
                <w:rFonts w:cs="Calibri"/>
                <w:sz w:val="19"/>
                <w:szCs w:val="19"/>
              </w:rPr>
              <w:t>Iran; Oman; GCC states</w:t>
            </w:r>
          </w:p>
        </w:tc>
        <w:tc>
          <w:tcPr>
            <w:tcW w:w="3118" w:type="dxa"/>
            <w:tcMar>
              <w:top w:w="60" w:type="dxa"/>
              <w:left w:w="100" w:type="dxa"/>
              <w:bottom w:w="60" w:type="dxa"/>
              <w:right w:w="100" w:type="dxa"/>
            </w:tcMar>
          </w:tcPr>
          <w:p w14:paraId="45493733" w14:textId="77777777" w:rsidR="008C4E6E" w:rsidRDefault="00000000">
            <w:pPr>
              <w:spacing w:before="20" w:after="20" w:line="290" w:lineRule="auto"/>
              <w:jc w:val="left"/>
            </w:pPr>
            <w:r>
              <w:rPr>
                <w:rFonts w:cs="Calibri"/>
                <w:sz w:val="19"/>
                <w:szCs w:val="19"/>
              </w:rPr>
              <w:t>Endorsing Stakeholder limits (Articles 2.2, 57.3); external forces outside the corridors (Article 47.6)</w:t>
            </w:r>
          </w:p>
        </w:tc>
      </w:tr>
      <w:tr w:rsidR="008C4E6E" w14:paraId="40DB327B" w14:textId="77777777">
        <w:tblPrEx>
          <w:tblCellMar>
            <w:top w:w="0" w:type="dxa"/>
            <w:bottom w:w="0" w:type="dxa"/>
          </w:tblCellMar>
        </w:tblPrEx>
        <w:tc>
          <w:tcPr>
            <w:tcW w:w="3116" w:type="dxa"/>
            <w:tcMar>
              <w:top w:w="60" w:type="dxa"/>
              <w:left w:w="100" w:type="dxa"/>
              <w:bottom w:w="60" w:type="dxa"/>
              <w:right w:w="100" w:type="dxa"/>
            </w:tcMar>
          </w:tcPr>
          <w:p w14:paraId="788EA5DF" w14:textId="77777777" w:rsidR="008C4E6E" w:rsidRDefault="00000000">
            <w:pPr>
              <w:spacing w:before="20" w:after="20" w:line="290" w:lineRule="auto"/>
              <w:jc w:val="left"/>
            </w:pPr>
            <w:r>
              <w:rPr>
                <w:rFonts w:cs="Calibri"/>
                <w:sz w:val="19"/>
                <w:szCs w:val="19"/>
              </w:rPr>
              <w:t>End of the blockade of Iranian ports</w:t>
            </w:r>
          </w:p>
        </w:tc>
        <w:tc>
          <w:tcPr>
            <w:tcW w:w="3116" w:type="dxa"/>
            <w:tcMar>
              <w:top w:w="60" w:type="dxa"/>
              <w:left w:w="100" w:type="dxa"/>
              <w:bottom w:w="60" w:type="dxa"/>
              <w:right w:w="100" w:type="dxa"/>
            </w:tcMar>
          </w:tcPr>
          <w:p w14:paraId="137E4956" w14:textId="77777777" w:rsidR="008C4E6E" w:rsidRDefault="00000000">
            <w:pPr>
              <w:spacing w:before="20" w:after="20" w:line="290" w:lineRule="auto"/>
              <w:jc w:val="left"/>
            </w:pPr>
            <w:r>
              <w:rPr>
                <w:rFonts w:cs="Calibri"/>
                <w:sz w:val="19"/>
                <w:szCs w:val="19"/>
              </w:rPr>
              <w:t>Iran</w:t>
            </w:r>
          </w:p>
        </w:tc>
        <w:tc>
          <w:tcPr>
            <w:tcW w:w="3118" w:type="dxa"/>
            <w:tcMar>
              <w:top w:w="60" w:type="dxa"/>
              <w:left w:w="100" w:type="dxa"/>
              <w:bottom w:w="60" w:type="dxa"/>
              <w:right w:w="100" w:type="dxa"/>
            </w:tcMar>
          </w:tcPr>
          <w:p w14:paraId="6ED01C51" w14:textId="77777777" w:rsidR="008C4E6E" w:rsidRDefault="00000000">
            <w:pPr>
              <w:spacing w:before="20" w:after="20" w:line="290" w:lineRule="auto"/>
              <w:jc w:val="left"/>
            </w:pPr>
            <w:r>
              <w:rPr>
                <w:rFonts w:cs="Calibri"/>
                <w:sz w:val="19"/>
                <w:szCs w:val="19"/>
              </w:rPr>
              <w:t>Synchronized Indivisible Event (Article 38); pairing in the adherence instrument (Article 57.4)</w:t>
            </w:r>
          </w:p>
        </w:tc>
      </w:tr>
      <w:tr w:rsidR="008C4E6E" w14:paraId="213B7602" w14:textId="77777777">
        <w:tblPrEx>
          <w:tblCellMar>
            <w:top w:w="0" w:type="dxa"/>
            <w:bottom w:w="0" w:type="dxa"/>
          </w:tblCellMar>
        </w:tblPrEx>
        <w:tc>
          <w:tcPr>
            <w:tcW w:w="3116" w:type="dxa"/>
            <w:tcMar>
              <w:top w:w="60" w:type="dxa"/>
              <w:left w:w="100" w:type="dxa"/>
              <w:bottom w:w="60" w:type="dxa"/>
              <w:right w:w="100" w:type="dxa"/>
            </w:tcMar>
          </w:tcPr>
          <w:p w14:paraId="342C779E" w14:textId="77777777" w:rsidR="008C4E6E" w:rsidRDefault="00000000">
            <w:pPr>
              <w:spacing w:before="20" w:after="20" w:line="290" w:lineRule="auto"/>
              <w:jc w:val="left"/>
            </w:pPr>
            <w:r>
              <w:rPr>
                <w:rFonts w:cs="Calibri"/>
                <w:sz w:val="19"/>
                <w:szCs w:val="19"/>
              </w:rPr>
              <w:t>End of strikes and threats against Iranian territory</w:t>
            </w:r>
          </w:p>
        </w:tc>
        <w:tc>
          <w:tcPr>
            <w:tcW w:w="3116" w:type="dxa"/>
            <w:tcMar>
              <w:top w:w="60" w:type="dxa"/>
              <w:left w:w="100" w:type="dxa"/>
              <w:bottom w:w="60" w:type="dxa"/>
              <w:right w:w="100" w:type="dxa"/>
            </w:tcMar>
          </w:tcPr>
          <w:p w14:paraId="28F5C78F" w14:textId="77777777" w:rsidR="008C4E6E" w:rsidRDefault="00000000">
            <w:pPr>
              <w:spacing w:before="20" w:after="20" w:line="290" w:lineRule="auto"/>
              <w:jc w:val="left"/>
            </w:pPr>
            <w:r>
              <w:rPr>
                <w:rFonts w:cs="Calibri"/>
                <w:sz w:val="19"/>
                <w:szCs w:val="19"/>
              </w:rPr>
              <w:t>Iran</w:t>
            </w:r>
          </w:p>
        </w:tc>
        <w:tc>
          <w:tcPr>
            <w:tcW w:w="3118" w:type="dxa"/>
            <w:tcMar>
              <w:top w:w="60" w:type="dxa"/>
              <w:left w:w="100" w:type="dxa"/>
              <w:bottom w:w="60" w:type="dxa"/>
              <w:right w:w="100" w:type="dxa"/>
            </w:tcMar>
          </w:tcPr>
          <w:p w14:paraId="77F586A6" w14:textId="77777777" w:rsidR="008C4E6E" w:rsidRDefault="00000000">
            <w:pPr>
              <w:spacing w:before="20" w:after="20" w:line="290" w:lineRule="auto"/>
              <w:jc w:val="left"/>
            </w:pPr>
            <w:r>
              <w:rPr>
                <w:rFonts w:cs="Calibri"/>
                <w:sz w:val="19"/>
                <w:szCs w:val="19"/>
              </w:rPr>
              <w:t>Ceasefire interface (Article 38.4); standstill (Article 38.2); sealed bulkhead (Article 3.6)</w:t>
            </w:r>
          </w:p>
        </w:tc>
      </w:tr>
      <w:tr w:rsidR="008C4E6E" w14:paraId="0216E6A3" w14:textId="77777777">
        <w:tblPrEx>
          <w:tblCellMar>
            <w:top w:w="0" w:type="dxa"/>
            <w:bottom w:w="0" w:type="dxa"/>
          </w:tblCellMar>
        </w:tblPrEx>
        <w:tc>
          <w:tcPr>
            <w:tcW w:w="3116" w:type="dxa"/>
            <w:tcMar>
              <w:top w:w="60" w:type="dxa"/>
              <w:left w:w="100" w:type="dxa"/>
              <w:bottom w:w="60" w:type="dxa"/>
              <w:right w:w="100" w:type="dxa"/>
            </w:tcMar>
          </w:tcPr>
          <w:p w14:paraId="012AED31" w14:textId="77777777" w:rsidR="008C4E6E" w:rsidRDefault="00000000">
            <w:pPr>
              <w:spacing w:before="20" w:after="20" w:line="290" w:lineRule="auto"/>
              <w:jc w:val="left"/>
            </w:pPr>
            <w:r>
              <w:rPr>
                <w:rFonts w:cs="Calibri"/>
                <w:sz w:val="19"/>
                <w:szCs w:val="19"/>
              </w:rPr>
              <w:t>End of attacks on commercial shipping</w:t>
            </w:r>
          </w:p>
        </w:tc>
        <w:tc>
          <w:tcPr>
            <w:tcW w:w="3116" w:type="dxa"/>
            <w:tcMar>
              <w:top w:w="60" w:type="dxa"/>
              <w:left w:w="100" w:type="dxa"/>
              <w:bottom w:w="60" w:type="dxa"/>
              <w:right w:w="100" w:type="dxa"/>
            </w:tcMar>
          </w:tcPr>
          <w:p w14:paraId="66DA28B2" w14:textId="77777777" w:rsidR="008C4E6E" w:rsidRDefault="00000000">
            <w:pPr>
              <w:spacing w:before="20" w:after="20" w:line="290" w:lineRule="auto"/>
              <w:jc w:val="left"/>
            </w:pPr>
            <w:r>
              <w:rPr>
                <w:rFonts w:cs="Calibri"/>
                <w:sz w:val="19"/>
                <w:szCs w:val="19"/>
              </w:rPr>
              <w:t>United States; GCC states; industry</w:t>
            </w:r>
          </w:p>
        </w:tc>
        <w:tc>
          <w:tcPr>
            <w:tcW w:w="3118" w:type="dxa"/>
            <w:tcMar>
              <w:top w:w="60" w:type="dxa"/>
              <w:left w:w="100" w:type="dxa"/>
              <w:bottom w:w="60" w:type="dxa"/>
              <w:right w:w="100" w:type="dxa"/>
            </w:tcMar>
          </w:tcPr>
          <w:p w14:paraId="5A5821D6" w14:textId="77777777" w:rsidR="008C4E6E" w:rsidRDefault="00000000">
            <w:pPr>
              <w:spacing w:before="20" w:after="20" w:line="290" w:lineRule="auto"/>
              <w:jc w:val="left"/>
            </w:pPr>
            <w:r>
              <w:rPr>
                <w:rFonts w:cs="Calibri"/>
                <w:sz w:val="19"/>
                <w:szCs w:val="19"/>
              </w:rPr>
              <w:t>Absolute non-interdiction protocol (Article 45); Tier 3 classification; group response (Article 55.4)</w:t>
            </w:r>
          </w:p>
        </w:tc>
      </w:tr>
      <w:tr w:rsidR="008C4E6E" w14:paraId="38D8BC0C" w14:textId="77777777">
        <w:tblPrEx>
          <w:tblCellMar>
            <w:top w:w="0" w:type="dxa"/>
            <w:bottom w:w="0" w:type="dxa"/>
          </w:tblCellMar>
        </w:tblPrEx>
        <w:tc>
          <w:tcPr>
            <w:tcW w:w="3116" w:type="dxa"/>
            <w:tcMar>
              <w:top w:w="60" w:type="dxa"/>
              <w:left w:w="100" w:type="dxa"/>
              <w:bottom w:w="60" w:type="dxa"/>
              <w:right w:w="100" w:type="dxa"/>
            </w:tcMar>
          </w:tcPr>
          <w:p w14:paraId="439AB12A" w14:textId="77777777" w:rsidR="008C4E6E" w:rsidRDefault="00000000">
            <w:pPr>
              <w:spacing w:before="20" w:after="20" w:line="290" w:lineRule="auto"/>
              <w:jc w:val="left"/>
            </w:pPr>
            <w:r>
              <w:rPr>
                <w:rFonts w:cs="Calibri"/>
                <w:sz w:val="19"/>
                <w:szCs w:val="19"/>
              </w:rPr>
              <w:t>Lawful compensation for real services</w:t>
            </w:r>
          </w:p>
        </w:tc>
        <w:tc>
          <w:tcPr>
            <w:tcW w:w="3116" w:type="dxa"/>
            <w:tcMar>
              <w:top w:w="60" w:type="dxa"/>
              <w:left w:w="100" w:type="dxa"/>
              <w:bottom w:w="60" w:type="dxa"/>
              <w:right w:w="100" w:type="dxa"/>
            </w:tcMar>
          </w:tcPr>
          <w:p w14:paraId="208B69B6" w14:textId="77777777" w:rsidR="008C4E6E" w:rsidRDefault="00000000">
            <w:pPr>
              <w:spacing w:before="20" w:after="20" w:line="290" w:lineRule="auto"/>
              <w:jc w:val="left"/>
            </w:pPr>
            <w:r>
              <w:rPr>
                <w:rFonts w:cs="Calibri"/>
                <w:sz w:val="19"/>
                <w:szCs w:val="19"/>
              </w:rPr>
              <w:t>Iran</w:t>
            </w:r>
          </w:p>
        </w:tc>
        <w:tc>
          <w:tcPr>
            <w:tcW w:w="3118" w:type="dxa"/>
            <w:tcMar>
              <w:top w:w="60" w:type="dxa"/>
              <w:left w:w="100" w:type="dxa"/>
              <w:bottom w:w="60" w:type="dxa"/>
              <w:right w:w="100" w:type="dxa"/>
            </w:tcMar>
          </w:tcPr>
          <w:p w14:paraId="1F63203E" w14:textId="77777777" w:rsidR="008C4E6E" w:rsidRDefault="00000000">
            <w:pPr>
              <w:spacing w:before="20" w:after="20" w:line="290" w:lineRule="auto"/>
              <w:jc w:val="left"/>
            </w:pPr>
            <w:r>
              <w:rPr>
                <w:rFonts w:cs="Calibri"/>
                <w:sz w:val="19"/>
                <w:szCs w:val="19"/>
              </w:rPr>
              <w:t>Service distinction (Article 50.3); Fund reimbursement against certification (Article 51.5); rate card (Annex C.2)</w:t>
            </w:r>
          </w:p>
        </w:tc>
      </w:tr>
      <w:tr w:rsidR="008C4E6E" w14:paraId="52B66768" w14:textId="77777777">
        <w:tblPrEx>
          <w:tblCellMar>
            <w:top w:w="0" w:type="dxa"/>
            <w:bottom w:w="0" w:type="dxa"/>
          </w:tblCellMar>
        </w:tblPrEx>
        <w:tc>
          <w:tcPr>
            <w:tcW w:w="3116" w:type="dxa"/>
            <w:tcMar>
              <w:top w:w="60" w:type="dxa"/>
              <w:left w:w="100" w:type="dxa"/>
              <w:bottom w:w="60" w:type="dxa"/>
              <w:right w:w="100" w:type="dxa"/>
            </w:tcMar>
          </w:tcPr>
          <w:p w14:paraId="6DB2E3CF" w14:textId="77777777" w:rsidR="008C4E6E" w:rsidRDefault="00000000">
            <w:pPr>
              <w:spacing w:before="20" w:after="20" w:line="290" w:lineRule="auto"/>
              <w:jc w:val="left"/>
            </w:pPr>
            <w:r>
              <w:rPr>
                <w:rFonts w:cs="Calibri"/>
                <w:sz w:val="19"/>
                <w:szCs w:val="19"/>
              </w:rPr>
              <w:t>Sanctions-compatible payment channels</w:t>
            </w:r>
          </w:p>
        </w:tc>
        <w:tc>
          <w:tcPr>
            <w:tcW w:w="3116" w:type="dxa"/>
            <w:tcMar>
              <w:top w:w="60" w:type="dxa"/>
              <w:left w:w="100" w:type="dxa"/>
              <w:bottom w:w="60" w:type="dxa"/>
              <w:right w:w="100" w:type="dxa"/>
            </w:tcMar>
          </w:tcPr>
          <w:p w14:paraId="02DA7909" w14:textId="77777777" w:rsidR="008C4E6E" w:rsidRDefault="00000000">
            <w:pPr>
              <w:spacing w:before="20" w:after="20" w:line="290" w:lineRule="auto"/>
              <w:jc w:val="left"/>
            </w:pPr>
            <w:r>
              <w:rPr>
                <w:rFonts w:cs="Calibri"/>
                <w:sz w:val="19"/>
                <w:szCs w:val="19"/>
              </w:rPr>
              <w:t>United States; Oman; contributors</w:t>
            </w:r>
          </w:p>
        </w:tc>
        <w:tc>
          <w:tcPr>
            <w:tcW w:w="3118" w:type="dxa"/>
            <w:tcMar>
              <w:top w:w="60" w:type="dxa"/>
              <w:left w:w="100" w:type="dxa"/>
              <w:bottom w:w="60" w:type="dxa"/>
              <w:right w:w="100" w:type="dxa"/>
            </w:tcMar>
          </w:tcPr>
          <w:p w14:paraId="1261F310" w14:textId="77777777" w:rsidR="008C4E6E" w:rsidRDefault="00000000">
            <w:pPr>
              <w:spacing w:before="20" w:after="20" w:line="290" w:lineRule="auto"/>
              <w:jc w:val="left"/>
            </w:pPr>
            <w:r>
              <w:rPr>
                <w:rFonts w:cs="Calibri"/>
                <w:sz w:val="19"/>
                <w:szCs w:val="19"/>
              </w:rPr>
              <w:t>Swiss-administered firewall (Article 52.1); compliance opinions; escrow rule (Article 52.2)</w:t>
            </w:r>
          </w:p>
        </w:tc>
      </w:tr>
      <w:tr w:rsidR="008C4E6E" w14:paraId="106ACB6B" w14:textId="77777777">
        <w:tblPrEx>
          <w:tblCellMar>
            <w:top w:w="0" w:type="dxa"/>
            <w:bottom w:w="0" w:type="dxa"/>
          </w:tblCellMar>
        </w:tblPrEx>
        <w:tc>
          <w:tcPr>
            <w:tcW w:w="3116" w:type="dxa"/>
            <w:tcMar>
              <w:top w:w="60" w:type="dxa"/>
              <w:left w:w="100" w:type="dxa"/>
              <w:bottom w:w="60" w:type="dxa"/>
              <w:right w:w="100" w:type="dxa"/>
            </w:tcMar>
          </w:tcPr>
          <w:p w14:paraId="3AA9F346" w14:textId="77777777" w:rsidR="008C4E6E" w:rsidRDefault="00000000">
            <w:pPr>
              <w:spacing w:before="20" w:after="20" w:line="290" w:lineRule="auto"/>
              <w:jc w:val="left"/>
            </w:pPr>
            <w:r>
              <w:rPr>
                <w:rFonts w:cs="Calibri"/>
                <w:sz w:val="19"/>
                <w:szCs w:val="19"/>
              </w:rPr>
              <w:t>Sovereignty and boundaries untouched</w:t>
            </w:r>
          </w:p>
        </w:tc>
        <w:tc>
          <w:tcPr>
            <w:tcW w:w="3116" w:type="dxa"/>
            <w:tcMar>
              <w:top w:w="60" w:type="dxa"/>
              <w:left w:w="100" w:type="dxa"/>
              <w:bottom w:w="60" w:type="dxa"/>
              <w:right w:w="100" w:type="dxa"/>
            </w:tcMar>
          </w:tcPr>
          <w:p w14:paraId="24E68CE3" w14:textId="77777777" w:rsidR="008C4E6E" w:rsidRDefault="00000000">
            <w:pPr>
              <w:spacing w:before="20" w:after="20" w:line="290" w:lineRule="auto"/>
              <w:jc w:val="left"/>
            </w:pPr>
            <w:r>
              <w:rPr>
                <w:rFonts w:cs="Calibri"/>
                <w:sz w:val="19"/>
                <w:szCs w:val="19"/>
              </w:rPr>
              <w:t>Iran; Oman; all littoral states</w:t>
            </w:r>
          </w:p>
        </w:tc>
        <w:tc>
          <w:tcPr>
            <w:tcW w:w="3118" w:type="dxa"/>
            <w:tcMar>
              <w:top w:w="60" w:type="dxa"/>
              <w:left w:w="100" w:type="dxa"/>
              <w:bottom w:w="60" w:type="dxa"/>
              <w:right w:w="100" w:type="dxa"/>
            </w:tcMar>
          </w:tcPr>
          <w:p w14:paraId="3BB7ACBE" w14:textId="77777777" w:rsidR="008C4E6E" w:rsidRDefault="00000000">
            <w:pPr>
              <w:spacing w:before="20" w:after="20" w:line="290" w:lineRule="auto"/>
              <w:jc w:val="left"/>
            </w:pPr>
            <w:r>
              <w:rPr>
                <w:rFonts w:cs="Calibri"/>
                <w:sz w:val="19"/>
                <w:szCs w:val="19"/>
              </w:rPr>
              <w:t>Non-prejudice (Article 3.3); functions, never title (Declaration line 6)</w:t>
            </w:r>
          </w:p>
        </w:tc>
      </w:tr>
      <w:tr w:rsidR="008C4E6E" w14:paraId="51FE4918" w14:textId="77777777">
        <w:tblPrEx>
          <w:tblCellMar>
            <w:top w:w="0" w:type="dxa"/>
            <w:bottom w:w="0" w:type="dxa"/>
          </w:tblCellMar>
        </w:tblPrEx>
        <w:tc>
          <w:tcPr>
            <w:tcW w:w="3116" w:type="dxa"/>
            <w:tcMar>
              <w:top w:w="60" w:type="dxa"/>
              <w:left w:w="100" w:type="dxa"/>
              <w:bottom w:w="60" w:type="dxa"/>
              <w:right w:w="100" w:type="dxa"/>
            </w:tcMar>
          </w:tcPr>
          <w:p w14:paraId="6C0A8BE7" w14:textId="77777777" w:rsidR="008C4E6E" w:rsidRDefault="00000000">
            <w:pPr>
              <w:spacing w:before="20" w:after="20" w:line="290" w:lineRule="auto"/>
              <w:jc w:val="left"/>
            </w:pPr>
            <w:r>
              <w:rPr>
                <w:rFonts w:cs="Calibri"/>
                <w:sz w:val="19"/>
                <w:szCs w:val="19"/>
              </w:rPr>
              <w:lastRenderedPageBreak/>
              <w:t>No mines in the Strait</w:t>
            </w:r>
          </w:p>
        </w:tc>
        <w:tc>
          <w:tcPr>
            <w:tcW w:w="3116" w:type="dxa"/>
            <w:tcMar>
              <w:top w:w="60" w:type="dxa"/>
              <w:left w:w="100" w:type="dxa"/>
              <w:bottom w:w="60" w:type="dxa"/>
              <w:right w:w="100" w:type="dxa"/>
            </w:tcMar>
          </w:tcPr>
          <w:p w14:paraId="6BA61A6C" w14:textId="77777777" w:rsidR="008C4E6E" w:rsidRDefault="00000000">
            <w:pPr>
              <w:spacing w:before="20" w:after="20" w:line="290" w:lineRule="auto"/>
              <w:jc w:val="left"/>
            </w:pPr>
            <w:r>
              <w:rPr>
                <w:rFonts w:cs="Calibri"/>
                <w:sz w:val="19"/>
                <w:szCs w:val="19"/>
              </w:rPr>
              <w:t>All participants; industry</w:t>
            </w:r>
          </w:p>
        </w:tc>
        <w:tc>
          <w:tcPr>
            <w:tcW w:w="3118" w:type="dxa"/>
            <w:tcMar>
              <w:top w:w="60" w:type="dxa"/>
              <w:left w:w="100" w:type="dxa"/>
              <w:bottom w:w="60" w:type="dxa"/>
              <w:right w:w="100" w:type="dxa"/>
            </w:tcMar>
          </w:tcPr>
          <w:p w14:paraId="5E5084AA" w14:textId="77777777" w:rsidR="008C4E6E" w:rsidRDefault="00000000">
            <w:pPr>
              <w:spacing w:before="20" w:after="20" w:line="290" w:lineRule="auto"/>
              <w:jc w:val="left"/>
            </w:pPr>
            <w:r>
              <w:rPr>
                <w:rFonts w:cs="Calibri"/>
                <w:sz w:val="19"/>
                <w:szCs w:val="19"/>
              </w:rPr>
              <w:t>Mine exclusion (Article 46); clearance precedes attribution; Tier 3 classification</w:t>
            </w:r>
          </w:p>
        </w:tc>
      </w:tr>
      <w:tr w:rsidR="008C4E6E" w14:paraId="7BEC24FC" w14:textId="77777777">
        <w:tblPrEx>
          <w:tblCellMar>
            <w:top w:w="0" w:type="dxa"/>
            <w:bottom w:w="0" w:type="dxa"/>
          </w:tblCellMar>
        </w:tblPrEx>
        <w:tc>
          <w:tcPr>
            <w:tcW w:w="3116" w:type="dxa"/>
            <w:tcMar>
              <w:top w:w="60" w:type="dxa"/>
              <w:left w:w="100" w:type="dxa"/>
              <w:bottom w:w="60" w:type="dxa"/>
              <w:right w:w="100" w:type="dxa"/>
            </w:tcMar>
          </w:tcPr>
          <w:p w14:paraId="234707AB" w14:textId="77777777" w:rsidR="008C4E6E" w:rsidRDefault="00000000">
            <w:pPr>
              <w:spacing w:before="20" w:after="20" w:line="290" w:lineRule="auto"/>
              <w:jc w:val="left"/>
            </w:pPr>
            <w:r>
              <w:rPr>
                <w:rFonts w:cs="Calibri"/>
                <w:sz w:val="19"/>
                <w:szCs w:val="19"/>
              </w:rPr>
              <w:t>Humanitarian cargo moves first, always</w:t>
            </w:r>
          </w:p>
        </w:tc>
        <w:tc>
          <w:tcPr>
            <w:tcW w:w="3116" w:type="dxa"/>
            <w:tcMar>
              <w:top w:w="60" w:type="dxa"/>
              <w:left w:w="100" w:type="dxa"/>
              <w:bottom w:w="60" w:type="dxa"/>
              <w:right w:w="100" w:type="dxa"/>
            </w:tcMar>
          </w:tcPr>
          <w:p w14:paraId="76FDFED0" w14:textId="77777777" w:rsidR="008C4E6E" w:rsidRDefault="00000000">
            <w:pPr>
              <w:spacing w:before="20" w:after="20" w:line="290" w:lineRule="auto"/>
              <w:jc w:val="left"/>
            </w:pPr>
            <w:r>
              <w:rPr>
                <w:rFonts w:cs="Calibri"/>
                <w:sz w:val="19"/>
                <w:szCs w:val="19"/>
              </w:rPr>
              <w:t>All participants; humanitarian bodies</w:t>
            </w:r>
          </w:p>
        </w:tc>
        <w:tc>
          <w:tcPr>
            <w:tcW w:w="3118" w:type="dxa"/>
            <w:tcMar>
              <w:top w:w="60" w:type="dxa"/>
              <w:left w:w="100" w:type="dxa"/>
              <w:bottom w:w="60" w:type="dxa"/>
              <w:right w:w="100" w:type="dxa"/>
            </w:tcMar>
          </w:tcPr>
          <w:p w14:paraId="09256DA6" w14:textId="77777777" w:rsidR="008C4E6E" w:rsidRDefault="00000000">
            <w:pPr>
              <w:spacing w:before="20" w:after="20" w:line="290" w:lineRule="auto"/>
              <w:jc w:val="left"/>
            </w:pPr>
            <w:r>
              <w:rPr>
                <w:rFonts w:cs="Calibri"/>
                <w:sz w:val="19"/>
                <w:szCs w:val="19"/>
              </w:rPr>
              <w:t>Humanitarian absolute (Articles 1.7, 42.3, 44.2)</w:t>
            </w:r>
          </w:p>
        </w:tc>
      </w:tr>
      <w:tr w:rsidR="008C4E6E" w14:paraId="3A5EAB63" w14:textId="77777777">
        <w:tblPrEx>
          <w:tblCellMar>
            <w:top w:w="0" w:type="dxa"/>
            <w:bottom w:w="0" w:type="dxa"/>
          </w:tblCellMar>
        </w:tblPrEx>
        <w:tc>
          <w:tcPr>
            <w:tcW w:w="3116" w:type="dxa"/>
            <w:tcMar>
              <w:top w:w="60" w:type="dxa"/>
              <w:left w:w="100" w:type="dxa"/>
              <w:bottom w:w="60" w:type="dxa"/>
              <w:right w:w="100" w:type="dxa"/>
            </w:tcMar>
          </w:tcPr>
          <w:p w14:paraId="2D53D3C8" w14:textId="77777777" w:rsidR="008C4E6E" w:rsidRDefault="00000000">
            <w:pPr>
              <w:spacing w:before="20" w:after="20" w:line="290" w:lineRule="auto"/>
              <w:jc w:val="left"/>
            </w:pPr>
            <w:r>
              <w:rPr>
                <w:rFonts w:cs="Calibri"/>
                <w:sz w:val="19"/>
                <w:szCs w:val="19"/>
              </w:rPr>
              <w:t>Data never serves kinetic action, targeting, or sanctions enforcement</w:t>
            </w:r>
          </w:p>
        </w:tc>
        <w:tc>
          <w:tcPr>
            <w:tcW w:w="3116" w:type="dxa"/>
            <w:tcMar>
              <w:top w:w="60" w:type="dxa"/>
              <w:left w:w="100" w:type="dxa"/>
              <w:bottom w:w="60" w:type="dxa"/>
              <w:right w:w="100" w:type="dxa"/>
            </w:tcMar>
          </w:tcPr>
          <w:p w14:paraId="03F0596E" w14:textId="77777777" w:rsidR="008C4E6E" w:rsidRDefault="00000000">
            <w:pPr>
              <w:spacing w:before="20" w:after="20" w:line="290" w:lineRule="auto"/>
              <w:jc w:val="left"/>
            </w:pPr>
            <w:r>
              <w:rPr>
                <w:rFonts w:cs="Calibri"/>
                <w:sz w:val="19"/>
                <w:szCs w:val="19"/>
              </w:rPr>
              <w:t>Iran; all participants</w:t>
            </w:r>
          </w:p>
        </w:tc>
        <w:tc>
          <w:tcPr>
            <w:tcW w:w="3118" w:type="dxa"/>
            <w:tcMar>
              <w:top w:w="60" w:type="dxa"/>
              <w:left w:w="100" w:type="dxa"/>
              <w:bottom w:w="60" w:type="dxa"/>
              <w:right w:w="100" w:type="dxa"/>
            </w:tcMar>
          </w:tcPr>
          <w:p w14:paraId="36A38629" w14:textId="77777777" w:rsidR="008C4E6E" w:rsidRDefault="00000000">
            <w:pPr>
              <w:spacing w:before="20" w:after="20" w:line="290" w:lineRule="auto"/>
              <w:jc w:val="left"/>
            </w:pPr>
            <w:r>
              <w:rPr>
                <w:rFonts w:cs="Calibri"/>
                <w:sz w:val="19"/>
                <w:szCs w:val="19"/>
              </w:rPr>
              <w:t>Data custody (Articles 43.6, 53.4); NVO data audits (Article 48.4)</w:t>
            </w:r>
          </w:p>
        </w:tc>
      </w:tr>
      <w:tr w:rsidR="008C4E6E" w14:paraId="7D4FD389" w14:textId="77777777">
        <w:tblPrEx>
          <w:tblCellMar>
            <w:top w:w="0" w:type="dxa"/>
            <w:bottom w:w="0" w:type="dxa"/>
          </w:tblCellMar>
        </w:tblPrEx>
        <w:tc>
          <w:tcPr>
            <w:tcW w:w="3116" w:type="dxa"/>
            <w:tcMar>
              <w:top w:w="60" w:type="dxa"/>
              <w:left w:w="100" w:type="dxa"/>
              <w:bottom w:w="60" w:type="dxa"/>
              <w:right w:w="100" w:type="dxa"/>
            </w:tcMar>
          </w:tcPr>
          <w:p w14:paraId="5CE1BC4C" w14:textId="77777777" w:rsidR="008C4E6E" w:rsidRDefault="00000000">
            <w:pPr>
              <w:spacing w:before="20" w:after="20" w:line="290" w:lineRule="auto"/>
              <w:jc w:val="left"/>
            </w:pPr>
            <w:r>
              <w:rPr>
                <w:rFonts w:cs="Calibri"/>
                <w:sz w:val="19"/>
                <w:szCs w:val="19"/>
              </w:rPr>
              <w:t>Transparency and a seat at the table for Gulf states</w:t>
            </w:r>
          </w:p>
        </w:tc>
        <w:tc>
          <w:tcPr>
            <w:tcW w:w="3116" w:type="dxa"/>
            <w:tcMar>
              <w:top w:w="60" w:type="dxa"/>
              <w:left w:w="100" w:type="dxa"/>
              <w:bottom w:w="60" w:type="dxa"/>
              <w:right w:w="100" w:type="dxa"/>
            </w:tcMar>
          </w:tcPr>
          <w:p w14:paraId="5B018673" w14:textId="77777777" w:rsidR="008C4E6E" w:rsidRDefault="00000000">
            <w:pPr>
              <w:spacing w:before="20" w:after="20" w:line="290" w:lineRule="auto"/>
              <w:jc w:val="left"/>
            </w:pPr>
            <w:r>
              <w:rPr>
                <w:rFonts w:cs="Calibri"/>
                <w:sz w:val="19"/>
                <w:szCs w:val="19"/>
              </w:rPr>
              <w:t>GCC states; Iraq</w:t>
            </w:r>
          </w:p>
        </w:tc>
        <w:tc>
          <w:tcPr>
            <w:tcW w:w="3118" w:type="dxa"/>
            <w:tcMar>
              <w:top w:w="60" w:type="dxa"/>
              <w:left w:w="100" w:type="dxa"/>
              <w:bottom w:w="60" w:type="dxa"/>
              <w:right w:w="100" w:type="dxa"/>
            </w:tcMar>
          </w:tcPr>
          <w:p w14:paraId="648FD79F" w14:textId="77777777" w:rsidR="008C4E6E" w:rsidRDefault="00000000">
            <w:pPr>
              <w:spacing w:before="20" w:after="20" w:line="290" w:lineRule="auto"/>
              <w:jc w:val="left"/>
            </w:pPr>
            <w:r>
              <w:rPr>
                <w:rFonts w:cs="Calibri"/>
                <w:sz w:val="19"/>
                <w:szCs w:val="19"/>
              </w:rPr>
              <w:t>Observer membership (Articles 2.3, 57.2); fused picture access; Commission seats</w:t>
            </w:r>
          </w:p>
        </w:tc>
      </w:tr>
      <w:tr w:rsidR="008C4E6E" w14:paraId="202ABE2C" w14:textId="77777777">
        <w:tblPrEx>
          <w:tblCellMar>
            <w:top w:w="0" w:type="dxa"/>
            <w:bottom w:w="0" w:type="dxa"/>
          </w:tblCellMar>
        </w:tblPrEx>
        <w:tc>
          <w:tcPr>
            <w:tcW w:w="3116" w:type="dxa"/>
            <w:tcMar>
              <w:top w:w="60" w:type="dxa"/>
              <w:left w:w="100" w:type="dxa"/>
              <w:bottom w:w="60" w:type="dxa"/>
              <w:right w:w="100" w:type="dxa"/>
            </w:tcMar>
          </w:tcPr>
          <w:p w14:paraId="7A733ABB" w14:textId="77777777" w:rsidR="008C4E6E" w:rsidRDefault="00000000">
            <w:pPr>
              <w:spacing w:before="20" w:after="20" w:line="290" w:lineRule="auto"/>
              <w:jc w:val="left"/>
            </w:pPr>
            <w:r>
              <w:rPr>
                <w:rFonts w:cs="Calibri"/>
                <w:sz w:val="19"/>
                <w:szCs w:val="19"/>
              </w:rPr>
              <w:t>Verification acceptable to all sides</w:t>
            </w:r>
          </w:p>
        </w:tc>
        <w:tc>
          <w:tcPr>
            <w:tcW w:w="3116" w:type="dxa"/>
            <w:tcMar>
              <w:top w:w="60" w:type="dxa"/>
              <w:left w:w="100" w:type="dxa"/>
              <w:bottom w:w="60" w:type="dxa"/>
              <w:right w:w="100" w:type="dxa"/>
            </w:tcMar>
          </w:tcPr>
          <w:p w14:paraId="31A123D3" w14:textId="77777777" w:rsidR="008C4E6E" w:rsidRDefault="00000000">
            <w:pPr>
              <w:spacing w:before="20" w:after="20" w:line="290" w:lineRule="auto"/>
              <w:jc w:val="left"/>
            </w:pPr>
            <w:r>
              <w:rPr>
                <w:rFonts w:cs="Calibri"/>
                <w:sz w:val="19"/>
                <w:szCs w:val="19"/>
              </w:rPr>
              <w:t>United States; Iran</w:t>
            </w:r>
          </w:p>
        </w:tc>
        <w:tc>
          <w:tcPr>
            <w:tcW w:w="3118" w:type="dxa"/>
            <w:tcMar>
              <w:top w:w="60" w:type="dxa"/>
              <w:left w:w="100" w:type="dxa"/>
              <w:bottom w:w="60" w:type="dxa"/>
              <w:right w:w="100" w:type="dxa"/>
            </w:tcMar>
          </w:tcPr>
          <w:p w14:paraId="0DE8344A" w14:textId="77777777" w:rsidR="008C4E6E" w:rsidRDefault="00000000">
            <w:pPr>
              <w:spacing w:before="20" w:after="20" w:line="290" w:lineRule="auto"/>
              <w:jc w:val="left"/>
            </w:pPr>
            <w:r>
              <w:rPr>
                <w:rFonts w:cs="Calibri"/>
                <w:sz w:val="19"/>
                <w:szCs w:val="19"/>
              </w:rPr>
              <w:t>Human anchor and convergence (Article 53); paired officers; NVO neutral staffing</w:t>
            </w:r>
          </w:p>
        </w:tc>
      </w:tr>
      <w:tr w:rsidR="008C4E6E" w14:paraId="1F652EAB" w14:textId="77777777">
        <w:tblPrEx>
          <w:tblCellMar>
            <w:top w:w="0" w:type="dxa"/>
            <w:bottom w:w="0" w:type="dxa"/>
          </w:tblCellMar>
        </w:tblPrEx>
        <w:tc>
          <w:tcPr>
            <w:tcW w:w="3116" w:type="dxa"/>
            <w:tcMar>
              <w:top w:w="60" w:type="dxa"/>
              <w:left w:w="100" w:type="dxa"/>
              <w:bottom w:w="60" w:type="dxa"/>
              <w:right w:w="100" w:type="dxa"/>
            </w:tcMar>
          </w:tcPr>
          <w:p w14:paraId="22CE55CF" w14:textId="77777777" w:rsidR="008C4E6E" w:rsidRDefault="00000000">
            <w:pPr>
              <w:spacing w:before="20" w:after="20" w:line="290" w:lineRule="auto"/>
              <w:jc w:val="left"/>
            </w:pPr>
            <w:r>
              <w:rPr>
                <w:rFonts w:cs="Calibri"/>
                <w:sz w:val="19"/>
                <w:szCs w:val="19"/>
              </w:rPr>
              <w:t>Neutrality and quiet process</w:t>
            </w:r>
          </w:p>
        </w:tc>
        <w:tc>
          <w:tcPr>
            <w:tcW w:w="3116" w:type="dxa"/>
            <w:tcMar>
              <w:top w:w="60" w:type="dxa"/>
              <w:left w:w="100" w:type="dxa"/>
              <w:bottom w:w="60" w:type="dxa"/>
              <w:right w:w="100" w:type="dxa"/>
            </w:tcMar>
          </w:tcPr>
          <w:p w14:paraId="60BEA609" w14:textId="77777777" w:rsidR="008C4E6E" w:rsidRDefault="00000000">
            <w:pPr>
              <w:spacing w:before="20" w:after="20" w:line="290" w:lineRule="auto"/>
              <w:jc w:val="left"/>
            </w:pPr>
            <w:r>
              <w:rPr>
                <w:rFonts w:cs="Calibri"/>
                <w:sz w:val="19"/>
                <w:szCs w:val="19"/>
              </w:rPr>
              <w:t>Oman</w:t>
            </w:r>
          </w:p>
        </w:tc>
        <w:tc>
          <w:tcPr>
            <w:tcW w:w="3118" w:type="dxa"/>
            <w:tcMar>
              <w:top w:w="60" w:type="dxa"/>
              <w:left w:w="100" w:type="dxa"/>
              <w:bottom w:w="60" w:type="dxa"/>
              <w:right w:w="100" w:type="dxa"/>
            </w:tcMar>
          </w:tcPr>
          <w:p w14:paraId="0CF49E2F" w14:textId="77777777" w:rsidR="008C4E6E" w:rsidRDefault="00000000">
            <w:pPr>
              <w:spacing w:before="20" w:after="20" w:line="290" w:lineRule="auto"/>
              <w:jc w:val="left"/>
            </w:pPr>
            <w:r>
              <w:rPr>
                <w:rFonts w:cs="Calibri"/>
                <w:sz w:val="19"/>
                <w:szCs w:val="19"/>
              </w:rPr>
              <w:t>Civilian character (Article 4.5); Mediator of Record role; Muscat seat with equal mirror</w:t>
            </w:r>
          </w:p>
        </w:tc>
      </w:tr>
      <w:tr w:rsidR="008C4E6E" w14:paraId="028D73A1" w14:textId="77777777">
        <w:tblPrEx>
          <w:tblCellMar>
            <w:top w:w="0" w:type="dxa"/>
            <w:bottom w:w="0" w:type="dxa"/>
          </w:tblCellMar>
        </w:tblPrEx>
        <w:tc>
          <w:tcPr>
            <w:tcW w:w="3116" w:type="dxa"/>
            <w:tcMar>
              <w:top w:w="60" w:type="dxa"/>
              <w:left w:w="100" w:type="dxa"/>
              <w:bottom w:w="60" w:type="dxa"/>
              <w:right w:w="100" w:type="dxa"/>
            </w:tcMar>
          </w:tcPr>
          <w:p w14:paraId="07BC1570" w14:textId="77777777" w:rsidR="008C4E6E" w:rsidRDefault="00000000">
            <w:pPr>
              <w:spacing w:before="20" w:after="20" w:line="290" w:lineRule="auto"/>
              <w:jc w:val="left"/>
            </w:pPr>
            <w:r>
              <w:rPr>
                <w:rFonts w:cs="Calibri"/>
                <w:sz w:val="19"/>
                <w:szCs w:val="19"/>
              </w:rPr>
              <w:t>No precedent for tolls in other straits</w:t>
            </w:r>
          </w:p>
        </w:tc>
        <w:tc>
          <w:tcPr>
            <w:tcW w:w="3116" w:type="dxa"/>
            <w:tcMar>
              <w:top w:w="60" w:type="dxa"/>
              <w:left w:w="100" w:type="dxa"/>
              <w:bottom w:w="60" w:type="dxa"/>
              <w:right w:w="100" w:type="dxa"/>
            </w:tcMar>
          </w:tcPr>
          <w:p w14:paraId="558F2FD2" w14:textId="77777777" w:rsidR="008C4E6E" w:rsidRDefault="00000000">
            <w:pPr>
              <w:spacing w:before="20" w:after="20" w:line="290" w:lineRule="auto"/>
              <w:jc w:val="left"/>
            </w:pPr>
            <w:r>
              <w:rPr>
                <w:rFonts w:cs="Calibri"/>
                <w:sz w:val="19"/>
                <w:szCs w:val="19"/>
              </w:rPr>
              <w:t>Industry; maritime states</w:t>
            </w:r>
          </w:p>
        </w:tc>
        <w:tc>
          <w:tcPr>
            <w:tcW w:w="3118" w:type="dxa"/>
            <w:tcMar>
              <w:top w:w="60" w:type="dxa"/>
              <w:left w:w="100" w:type="dxa"/>
              <w:bottom w:w="60" w:type="dxa"/>
              <w:right w:w="100" w:type="dxa"/>
            </w:tcMar>
          </w:tcPr>
          <w:p w14:paraId="712A65BA" w14:textId="77777777" w:rsidR="008C4E6E" w:rsidRDefault="00000000">
            <w:pPr>
              <w:spacing w:before="20" w:after="20" w:line="290" w:lineRule="auto"/>
              <w:jc w:val="left"/>
            </w:pPr>
            <w:r>
              <w:rPr>
                <w:rFonts w:cs="Calibri"/>
                <w:sz w:val="19"/>
                <w:szCs w:val="19"/>
              </w:rPr>
              <w:t>Precedent safeguard (Article 50.5)</w:t>
            </w:r>
          </w:p>
        </w:tc>
      </w:tr>
      <w:tr w:rsidR="008C4E6E" w14:paraId="2E8AA489" w14:textId="77777777">
        <w:tblPrEx>
          <w:tblCellMar>
            <w:top w:w="0" w:type="dxa"/>
            <w:bottom w:w="0" w:type="dxa"/>
          </w:tblCellMar>
        </w:tblPrEx>
        <w:tc>
          <w:tcPr>
            <w:tcW w:w="3116" w:type="dxa"/>
            <w:tcMar>
              <w:top w:w="60" w:type="dxa"/>
              <w:left w:w="100" w:type="dxa"/>
              <w:bottom w:w="60" w:type="dxa"/>
              <w:right w:w="100" w:type="dxa"/>
            </w:tcMar>
          </w:tcPr>
          <w:p w14:paraId="0799A010" w14:textId="77777777" w:rsidR="008C4E6E" w:rsidRDefault="00000000">
            <w:pPr>
              <w:spacing w:before="20" w:after="20" w:line="290" w:lineRule="auto"/>
              <w:jc w:val="left"/>
            </w:pPr>
            <w:r>
              <w:rPr>
                <w:rFonts w:cs="Calibri"/>
                <w:sz w:val="19"/>
                <w:szCs w:val="19"/>
              </w:rPr>
              <w:t>Cost certainty for operators</w:t>
            </w:r>
          </w:p>
        </w:tc>
        <w:tc>
          <w:tcPr>
            <w:tcW w:w="3116" w:type="dxa"/>
            <w:tcMar>
              <w:top w:w="60" w:type="dxa"/>
              <w:left w:w="100" w:type="dxa"/>
              <w:bottom w:w="60" w:type="dxa"/>
              <w:right w:w="100" w:type="dxa"/>
            </w:tcMar>
          </w:tcPr>
          <w:p w14:paraId="2B9E3E9D" w14:textId="77777777" w:rsidR="008C4E6E" w:rsidRDefault="00000000">
            <w:pPr>
              <w:spacing w:before="20" w:after="20" w:line="290" w:lineRule="auto"/>
              <w:jc w:val="left"/>
            </w:pPr>
            <w:r>
              <w:rPr>
                <w:rFonts w:cs="Calibri"/>
                <w:sz w:val="19"/>
                <w:szCs w:val="19"/>
              </w:rPr>
              <w:t>Industry</w:t>
            </w:r>
          </w:p>
        </w:tc>
        <w:tc>
          <w:tcPr>
            <w:tcW w:w="3118" w:type="dxa"/>
            <w:tcMar>
              <w:top w:w="60" w:type="dxa"/>
              <w:left w:w="100" w:type="dxa"/>
              <w:bottom w:w="60" w:type="dxa"/>
              <w:right w:w="100" w:type="dxa"/>
            </w:tcMar>
          </w:tcPr>
          <w:p w14:paraId="70D4CB5D" w14:textId="77777777" w:rsidR="008C4E6E" w:rsidRDefault="00000000">
            <w:pPr>
              <w:spacing w:before="20" w:after="20" w:line="290" w:lineRule="auto"/>
              <w:jc w:val="left"/>
            </w:pPr>
            <w:r>
              <w:rPr>
                <w:rFonts w:cs="Calibri"/>
                <w:sz w:val="19"/>
                <w:szCs w:val="19"/>
              </w:rPr>
              <w:t>Heavy-user cap (Annex C.1.6); published rate card; no point-of-passage charging</w:t>
            </w:r>
          </w:p>
        </w:tc>
      </w:tr>
      <w:tr w:rsidR="008C4E6E" w14:paraId="2715C260" w14:textId="77777777">
        <w:tblPrEx>
          <w:tblCellMar>
            <w:top w:w="0" w:type="dxa"/>
            <w:bottom w:w="0" w:type="dxa"/>
          </w:tblCellMar>
        </w:tblPrEx>
        <w:tc>
          <w:tcPr>
            <w:tcW w:w="3116" w:type="dxa"/>
            <w:tcMar>
              <w:top w:w="60" w:type="dxa"/>
              <w:left w:w="100" w:type="dxa"/>
              <w:bottom w:w="60" w:type="dxa"/>
              <w:right w:w="100" w:type="dxa"/>
            </w:tcMar>
          </w:tcPr>
          <w:p w14:paraId="17D6F3AA" w14:textId="77777777" w:rsidR="008C4E6E" w:rsidRDefault="00000000">
            <w:pPr>
              <w:spacing w:before="20" w:after="20" w:line="290" w:lineRule="auto"/>
              <w:jc w:val="left"/>
            </w:pPr>
            <w:r>
              <w:rPr>
                <w:rFonts w:cs="Calibri"/>
                <w:sz w:val="19"/>
                <w:szCs w:val="19"/>
              </w:rPr>
              <w:t>Continuity regardless of politics</w:t>
            </w:r>
          </w:p>
        </w:tc>
        <w:tc>
          <w:tcPr>
            <w:tcW w:w="3116" w:type="dxa"/>
            <w:tcMar>
              <w:top w:w="60" w:type="dxa"/>
              <w:left w:w="100" w:type="dxa"/>
              <w:bottom w:w="60" w:type="dxa"/>
              <w:right w:w="100" w:type="dxa"/>
            </w:tcMar>
          </w:tcPr>
          <w:p w14:paraId="2C4E76B5" w14:textId="77777777" w:rsidR="008C4E6E" w:rsidRDefault="00000000">
            <w:pPr>
              <w:spacing w:before="20" w:after="20" w:line="290" w:lineRule="auto"/>
              <w:jc w:val="left"/>
            </w:pPr>
            <w:r>
              <w:rPr>
                <w:rFonts w:cs="Calibri"/>
                <w:sz w:val="19"/>
                <w:szCs w:val="19"/>
              </w:rPr>
              <w:t>All participants; markets</w:t>
            </w:r>
          </w:p>
        </w:tc>
        <w:tc>
          <w:tcPr>
            <w:tcW w:w="3118" w:type="dxa"/>
            <w:tcMar>
              <w:top w:w="60" w:type="dxa"/>
              <w:left w:w="100" w:type="dxa"/>
              <w:bottom w:w="60" w:type="dxa"/>
              <w:right w:w="100" w:type="dxa"/>
            </w:tcMar>
          </w:tcPr>
          <w:p w14:paraId="592CCF33" w14:textId="77777777" w:rsidR="008C4E6E" w:rsidRDefault="00000000">
            <w:pPr>
              <w:spacing w:before="20" w:after="20" w:line="290" w:lineRule="auto"/>
              <w:jc w:val="left"/>
            </w:pPr>
            <w:r>
              <w:rPr>
                <w:rFonts w:cs="Calibri"/>
                <w:sz w:val="19"/>
                <w:szCs w:val="19"/>
              </w:rPr>
              <w:t>Standing Continuity Guarantee (Article 5); dormancy never death (Article 59.3)</w:t>
            </w:r>
          </w:p>
        </w:tc>
      </w:tr>
      <w:tr w:rsidR="008C4E6E" w14:paraId="4EC5E747" w14:textId="77777777">
        <w:tblPrEx>
          <w:tblCellMar>
            <w:top w:w="0" w:type="dxa"/>
            <w:bottom w:w="0" w:type="dxa"/>
          </w:tblCellMar>
        </w:tblPrEx>
        <w:tc>
          <w:tcPr>
            <w:tcW w:w="3116" w:type="dxa"/>
            <w:tcMar>
              <w:top w:w="60" w:type="dxa"/>
              <w:left w:w="100" w:type="dxa"/>
              <w:bottom w:w="60" w:type="dxa"/>
              <w:right w:w="100" w:type="dxa"/>
            </w:tcMar>
          </w:tcPr>
          <w:p w14:paraId="08CEB778" w14:textId="77777777" w:rsidR="008C4E6E" w:rsidRDefault="00000000">
            <w:pPr>
              <w:spacing w:before="20" w:after="20" w:line="290" w:lineRule="auto"/>
              <w:jc w:val="left"/>
            </w:pPr>
            <w:r>
              <w:rPr>
                <w:rFonts w:cs="Calibri"/>
                <w:b/>
                <w:sz w:val="19"/>
                <w:szCs w:val="19"/>
              </w:rPr>
              <w:t>The Strait never reverts to unmanaged passage</w:t>
            </w:r>
          </w:p>
        </w:tc>
        <w:tc>
          <w:tcPr>
            <w:tcW w:w="3116" w:type="dxa"/>
            <w:tcMar>
              <w:top w:w="60" w:type="dxa"/>
              <w:left w:w="100" w:type="dxa"/>
              <w:bottom w:w="60" w:type="dxa"/>
              <w:right w:w="100" w:type="dxa"/>
            </w:tcMar>
          </w:tcPr>
          <w:p w14:paraId="7D611ADB" w14:textId="77777777" w:rsidR="008C4E6E" w:rsidRDefault="00000000">
            <w:pPr>
              <w:spacing w:before="20" w:after="20" w:line="290" w:lineRule="auto"/>
              <w:jc w:val="left"/>
            </w:pPr>
            <w:r>
              <w:rPr>
                <w:rFonts w:cs="Calibri"/>
                <w:b/>
                <w:sz w:val="19"/>
                <w:szCs w:val="19"/>
              </w:rPr>
              <w:t>Iran</w:t>
            </w:r>
          </w:p>
        </w:tc>
        <w:tc>
          <w:tcPr>
            <w:tcW w:w="3118" w:type="dxa"/>
            <w:tcMar>
              <w:top w:w="60" w:type="dxa"/>
              <w:left w:w="100" w:type="dxa"/>
              <w:bottom w:w="60" w:type="dxa"/>
              <w:right w:w="100" w:type="dxa"/>
            </w:tcMar>
          </w:tcPr>
          <w:p w14:paraId="11504078" w14:textId="77777777" w:rsidR="008C4E6E" w:rsidRDefault="00000000">
            <w:pPr>
              <w:spacing w:before="20" w:after="20" w:line="290" w:lineRule="auto"/>
              <w:jc w:val="left"/>
            </w:pPr>
            <w:r>
              <w:rPr>
                <w:rFonts w:cs="Calibri"/>
                <w:b/>
                <w:sz w:val="19"/>
                <w:szCs w:val="19"/>
              </w:rPr>
              <w:t>Recognized corridor functions per littoral (Article 41); the crisis-era authority transition (Article 41.8); framing autonomy (Article 39.2): the architecture constitutes the new model and restores nothing</w:t>
            </w:r>
          </w:p>
        </w:tc>
      </w:tr>
      <w:tr w:rsidR="008C4E6E" w14:paraId="7D053C04" w14:textId="77777777">
        <w:tblPrEx>
          <w:tblCellMar>
            <w:top w:w="0" w:type="dxa"/>
            <w:bottom w:w="0" w:type="dxa"/>
          </w:tblCellMar>
        </w:tblPrEx>
        <w:tc>
          <w:tcPr>
            <w:tcW w:w="3116" w:type="dxa"/>
            <w:tcMar>
              <w:top w:w="60" w:type="dxa"/>
              <w:left w:w="100" w:type="dxa"/>
              <w:bottom w:w="60" w:type="dxa"/>
              <w:right w:w="100" w:type="dxa"/>
            </w:tcMar>
          </w:tcPr>
          <w:p w14:paraId="194664AA" w14:textId="77777777" w:rsidR="008C4E6E" w:rsidRDefault="00000000">
            <w:pPr>
              <w:spacing w:before="20" w:after="20" w:line="290" w:lineRule="auto"/>
              <w:jc w:val="left"/>
            </w:pPr>
            <w:r>
              <w:rPr>
                <w:rFonts w:cs="Calibri"/>
                <w:b/>
                <w:sz w:val="19"/>
                <w:szCs w:val="19"/>
              </w:rPr>
              <w:t>No third-state clearance activity without coastal-state invitation</w:t>
            </w:r>
          </w:p>
        </w:tc>
        <w:tc>
          <w:tcPr>
            <w:tcW w:w="3116" w:type="dxa"/>
            <w:tcMar>
              <w:top w:w="60" w:type="dxa"/>
              <w:left w:w="100" w:type="dxa"/>
              <w:bottom w:w="60" w:type="dxa"/>
              <w:right w:w="100" w:type="dxa"/>
            </w:tcMar>
          </w:tcPr>
          <w:p w14:paraId="3C908761" w14:textId="77777777" w:rsidR="008C4E6E" w:rsidRDefault="00000000">
            <w:pPr>
              <w:spacing w:before="20" w:after="20" w:line="290" w:lineRule="auto"/>
              <w:jc w:val="left"/>
            </w:pPr>
            <w:r>
              <w:rPr>
                <w:rFonts w:cs="Calibri"/>
                <w:b/>
                <w:sz w:val="19"/>
                <w:szCs w:val="19"/>
              </w:rPr>
              <w:t>Iran; Oman</w:t>
            </w:r>
          </w:p>
        </w:tc>
        <w:tc>
          <w:tcPr>
            <w:tcW w:w="3118" w:type="dxa"/>
            <w:tcMar>
              <w:top w:w="60" w:type="dxa"/>
              <w:left w:w="100" w:type="dxa"/>
              <w:bottom w:w="60" w:type="dxa"/>
              <w:right w:w="100" w:type="dxa"/>
            </w:tcMar>
          </w:tcPr>
          <w:p w14:paraId="0FA661DE" w14:textId="77777777" w:rsidR="008C4E6E" w:rsidRDefault="00000000">
            <w:pPr>
              <w:spacing w:before="20" w:after="20" w:line="290" w:lineRule="auto"/>
              <w:jc w:val="left"/>
            </w:pPr>
            <w:r>
              <w:rPr>
                <w:rFonts w:cs="Calibri"/>
                <w:b/>
                <w:sz w:val="19"/>
                <w:szCs w:val="19"/>
              </w:rPr>
              <w:t>Joint Survey Group co-led by the two littorals under United Nations coordination; Contributing Participants operate at the invitation of both Founding Parties (Article 46.2)</w:t>
            </w:r>
          </w:p>
        </w:tc>
      </w:tr>
      <w:tr w:rsidR="008C4E6E" w14:paraId="3C4EC78D" w14:textId="77777777">
        <w:tblPrEx>
          <w:tblCellMar>
            <w:top w:w="0" w:type="dxa"/>
            <w:bottom w:w="0" w:type="dxa"/>
          </w:tblCellMar>
        </w:tblPrEx>
        <w:tc>
          <w:tcPr>
            <w:tcW w:w="3116" w:type="dxa"/>
            <w:tcMar>
              <w:top w:w="60" w:type="dxa"/>
              <w:left w:w="100" w:type="dxa"/>
              <w:bottom w:w="60" w:type="dxa"/>
              <w:right w:w="100" w:type="dxa"/>
            </w:tcMar>
          </w:tcPr>
          <w:p w14:paraId="4CDC5266" w14:textId="77777777" w:rsidR="008C4E6E" w:rsidRDefault="00000000">
            <w:pPr>
              <w:spacing w:before="20" w:after="20" w:line="290" w:lineRule="auto"/>
              <w:jc w:val="left"/>
            </w:pPr>
            <w:r>
              <w:rPr>
                <w:rFonts w:cs="Calibri"/>
                <w:b/>
                <w:sz w:val="19"/>
                <w:szCs w:val="19"/>
              </w:rPr>
              <w:t>Acknowledgment and a hearing for alleged violations of the June Memorandum</w:t>
            </w:r>
          </w:p>
        </w:tc>
        <w:tc>
          <w:tcPr>
            <w:tcW w:w="3116" w:type="dxa"/>
            <w:tcMar>
              <w:top w:w="60" w:type="dxa"/>
              <w:left w:w="100" w:type="dxa"/>
              <w:bottom w:w="60" w:type="dxa"/>
              <w:right w:w="100" w:type="dxa"/>
            </w:tcMar>
          </w:tcPr>
          <w:p w14:paraId="3B51F117" w14:textId="77777777" w:rsidR="008C4E6E" w:rsidRDefault="00000000">
            <w:pPr>
              <w:spacing w:before="20" w:after="20" w:line="290" w:lineRule="auto"/>
              <w:jc w:val="left"/>
            </w:pPr>
            <w:r>
              <w:rPr>
                <w:rFonts w:cs="Calibri"/>
                <w:b/>
                <w:sz w:val="19"/>
                <w:szCs w:val="19"/>
              </w:rPr>
              <w:t>Iran</w:t>
            </w:r>
          </w:p>
        </w:tc>
        <w:tc>
          <w:tcPr>
            <w:tcW w:w="3118" w:type="dxa"/>
            <w:tcMar>
              <w:top w:w="60" w:type="dxa"/>
              <w:left w:w="100" w:type="dxa"/>
              <w:bottom w:w="60" w:type="dxa"/>
              <w:right w:w="100" w:type="dxa"/>
            </w:tcMar>
          </w:tcPr>
          <w:p w14:paraId="519AD79F" w14:textId="77777777" w:rsidR="008C4E6E" w:rsidRDefault="00000000">
            <w:pPr>
              <w:spacing w:before="20" w:after="20" w:line="290" w:lineRule="auto"/>
              <w:jc w:val="left"/>
            </w:pPr>
            <w:r>
              <w:rPr>
                <w:rFonts w:cs="Calibri"/>
                <w:b/>
                <w:sz w:val="19"/>
                <w:szCs w:val="19"/>
              </w:rPr>
              <w:t>The Claims Ledger (Article 56.6): claims preserve on the record and transmit to the Islamabad track; the operational architecture never adjudicates</w:t>
            </w:r>
          </w:p>
        </w:tc>
      </w:tr>
      <w:tr w:rsidR="008C4E6E" w14:paraId="02D0436A" w14:textId="77777777">
        <w:tblPrEx>
          <w:tblCellMar>
            <w:top w:w="0" w:type="dxa"/>
            <w:bottom w:w="0" w:type="dxa"/>
          </w:tblCellMar>
        </w:tblPrEx>
        <w:tc>
          <w:tcPr>
            <w:tcW w:w="3116" w:type="dxa"/>
            <w:tcMar>
              <w:top w:w="60" w:type="dxa"/>
              <w:left w:w="100" w:type="dxa"/>
              <w:bottom w:w="60" w:type="dxa"/>
              <w:right w:w="100" w:type="dxa"/>
            </w:tcMar>
          </w:tcPr>
          <w:p w14:paraId="354A4F6E" w14:textId="77777777" w:rsidR="008C4E6E" w:rsidRDefault="00000000">
            <w:pPr>
              <w:spacing w:before="20" w:after="20" w:line="290" w:lineRule="auto"/>
              <w:jc w:val="left"/>
            </w:pPr>
            <w:r>
              <w:rPr>
                <w:rFonts w:cs="Calibri"/>
                <w:b/>
                <w:sz w:val="19"/>
                <w:szCs w:val="19"/>
              </w:rPr>
              <w:lastRenderedPageBreak/>
              <w:t>No direct-contact requirement between adversaries</w:t>
            </w:r>
          </w:p>
        </w:tc>
        <w:tc>
          <w:tcPr>
            <w:tcW w:w="3116" w:type="dxa"/>
            <w:tcMar>
              <w:top w:w="60" w:type="dxa"/>
              <w:left w:w="100" w:type="dxa"/>
              <w:bottom w:w="60" w:type="dxa"/>
              <w:right w:w="100" w:type="dxa"/>
            </w:tcMar>
          </w:tcPr>
          <w:p w14:paraId="7ED5F551" w14:textId="77777777" w:rsidR="008C4E6E" w:rsidRDefault="00000000">
            <w:pPr>
              <w:spacing w:before="20" w:after="20" w:line="290" w:lineRule="auto"/>
              <w:jc w:val="left"/>
            </w:pPr>
            <w:r>
              <w:rPr>
                <w:rFonts w:cs="Calibri"/>
                <w:b/>
                <w:sz w:val="19"/>
                <w:szCs w:val="19"/>
              </w:rPr>
              <w:t>Iran; United States</w:t>
            </w:r>
          </w:p>
        </w:tc>
        <w:tc>
          <w:tcPr>
            <w:tcW w:w="3118" w:type="dxa"/>
            <w:tcMar>
              <w:top w:w="60" w:type="dxa"/>
              <w:left w:w="100" w:type="dxa"/>
              <w:bottom w:w="60" w:type="dxa"/>
              <w:right w:w="100" w:type="dxa"/>
            </w:tcMar>
          </w:tcPr>
          <w:p w14:paraId="713113C4" w14:textId="77777777" w:rsidR="008C4E6E" w:rsidRDefault="00000000">
            <w:pPr>
              <w:spacing w:before="20" w:after="20" w:line="290" w:lineRule="auto"/>
              <w:jc w:val="left"/>
            </w:pPr>
            <w:r>
              <w:rPr>
                <w:rFonts w:cs="Calibri"/>
                <w:b/>
                <w:sz w:val="19"/>
                <w:szCs w:val="19"/>
              </w:rPr>
              <w:t>The Intermediary Bridge (Article 2.9): every step runs through the Mediator of Record, the facilitators, the Registry, or the hotline</w:t>
            </w:r>
          </w:p>
        </w:tc>
      </w:tr>
      <w:tr w:rsidR="008C4E6E" w14:paraId="774E675E" w14:textId="77777777">
        <w:tblPrEx>
          <w:tblCellMar>
            <w:top w:w="0" w:type="dxa"/>
            <w:bottom w:w="0" w:type="dxa"/>
          </w:tblCellMar>
        </w:tblPrEx>
        <w:tc>
          <w:tcPr>
            <w:tcW w:w="3116" w:type="dxa"/>
            <w:tcMar>
              <w:top w:w="60" w:type="dxa"/>
              <w:left w:w="100" w:type="dxa"/>
              <w:bottom w:w="60" w:type="dxa"/>
              <w:right w:w="100" w:type="dxa"/>
            </w:tcMar>
          </w:tcPr>
          <w:p w14:paraId="0AB6DAB4" w14:textId="77777777" w:rsidR="008C4E6E" w:rsidRDefault="00000000">
            <w:pPr>
              <w:spacing w:before="20" w:after="20" w:line="290" w:lineRule="auto"/>
              <w:jc w:val="left"/>
            </w:pPr>
            <w:r>
              <w:rPr>
                <w:rFonts w:cs="Calibri"/>
                <w:b/>
                <w:sz w:val="19"/>
                <w:szCs w:val="19"/>
              </w:rPr>
              <w:t>Immediate relief for stranded mariners and humanitarian cargo</w:t>
            </w:r>
          </w:p>
        </w:tc>
        <w:tc>
          <w:tcPr>
            <w:tcW w:w="3116" w:type="dxa"/>
            <w:tcMar>
              <w:top w:w="60" w:type="dxa"/>
              <w:left w:w="100" w:type="dxa"/>
              <w:bottom w:w="60" w:type="dxa"/>
              <w:right w:w="100" w:type="dxa"/>
            </w:tcMar>
          </w:tcPr>
          <w:p w14:paraId="23F0F0C7" w14:textId="77777777" w:rsidR="008C4E6E" w:rsidRDefault="00000000">
            <w:pPr>
              <w:spacing w:before="20" w:after="20" w:line="290" w:lineRule="auto"/>
              <w:jc w:val="left"/>
            </w:pPr>
            <w:r>
              <w:rPr>
                <w:rFonts w:cs="Calibri"/>
                <w:b/>
                <w:sz w:val="19"/>
                <w:szCs w:val="19"/>
              </w:rPr>
              <w:t>All participants; humanitarian bodies</w:t>
            </w:r>
          </w:p>
        </w:tc>
        <w:tc>
          <w:tcPr>
            <w:tcW w:w="3118" w:type="dxa"/>
            <w:tcMar>
              <w:top w:w="60" w:type="dxa"/>
              <w:left w:w="100" w:type="dxa"/>
              <w:bottom w:w="60" w:type="dxa"/>
              <w:right w:w="100" w:type="dxa"/>
            </w:tcMar>
          </w:tcPr>
          <w:p w14:paraId="6D51D467" w14:textId="77777777" w:rsidR="008C4E6E" w:rsidRDefault="00000000">
            <w:pPr>
              <w:spacing w:before="20" w:after="20" w:line="290" w:lineRule="auto"/>
              <w:jc w:val="left"/>
            </w:pPr>
            <w:r>
              <w:rPr>
                <w:rFonts w:cs="Calibri"/>
                <w:b/>
                <w:sz w:val="19"/>
                <w:szCs w:val="19"/>
              </w:rPr>
              <w:t>The Crisis Entry Protocol (Article 6.11); the Humanitarian Bridge (Article 43.8); the Mariner Repatriation Window</w:t>
            </w:r>
          </w:p>
        </w:tc>
      </w:tr>
      <w:tr w:rsidR="008C4E6E" w14:paraId="3778B1AB" w14:textId="77777777">
        <w:tblPrEx>
          <w:tblCellMar>
            <w:top w:w="0" w:type="dxa"/>
            <w:bottom w:w="0" w:type="dxa"/>
          </w:tblCellMar>
        </w:tblPrEx>
        <w:tc>
          <w:tcPr>
            <w:tcW w:w="3116" w:type="dxa"/>
            <w:tcMar>
              <w:top w:w="60" w:type="dxa"/>
              <w:left w:w="100" w:type="dxa"/>
              <w:bottom w:w="60" w:type="dxa"/>
              <w:right w:w="100" w:type="dxa"/>
            </w:tcMar>
          </w:tcPr>
          <w:p w14:paraId="15E0719E" w14:textId="77777777" w:rsidR="008C4E6E" w:rsidRDefault="00000000">
            <w:pPr>
              <w:spacing w:before="20" w:after="20" w:line="290" w:lineRule="auto"/>
              <w:jc w:val="left"/>
            </w:pPr>
            <w:r>
              <w:rPr>
                <w:rFonts w:cs="Calibri"/>
                <w:b/>
                <w:sz w:val="19"/>
                <w:szCs w:val="19"/>
              </w:rPr>
              <w:t>A crisis-speed timeline that never trades proof for haste</w:t>
            </w:r>
          </w:p>
        </w:tc>
        <w:tc>
          <w:tcPr>
            <w:tcW w:w="3116" w:type="dxa"/>
            <w:tcMar>
              <w:top w:w="60" w:type="dxa"/>
              <w:left w:w="100" w:type="dxa"/>
              <w:bottom w:w="60" w:type="dxa"/>
              <w:right w:w="100" w:type="dxa"/>
            </w:tcMar>
          </w:tcPr>
          <w:p w14:paraId="5E738699" w14:textId="77777777" w:rsidR="008C4E6E" w:rsidRDefault="00000000">
            <w:pPr>
              <w:spacing w:before="20" w:after="20" w:line="290" w:lineRule="auto"/>
              <w:jc w:val="left"/>
            </w:pPr>
            <w:r>
              <w:rPr>
                <w:rFonts w:cs="Calibri"/>
                <w:b/>
                <w:sz w:val="19"/>
                <w:szCs w:val="19"/>
              </w:rPr>
              <w:t>All participants; markets</w:t>
            </w:r>
          </w:p>
        </w:tc>
        <w:tc>
          <w:tcPr>
            <w:tcW w:w="3118" w:type="dxa"/>
            <w:tcMar>
              <w:top w:w="60" w:type="dxa"/>
              <w:left w:w="100" w:type="dxa"/>
              <w:bottom w:w="60" w:type="dxa"/>
              <w:right w:w="100" w:type="dxa"/>
            </w:tcMar>
          </w:tcPr>
          <w:p w14:paraId="10FF915F" w14:textId="77777777" w:rsidR="008C4E6E" w:rsidRDefault="00000000">
            <w:pPr>
              <w:spacing w:before="20" w:after="20" w:line="290" w:lineRule="auto"/>
              <w:jc w:val="left"/>
            </w:pPr>
            <w:r>
              <w:rPr>
                <w:rFonts w:cs="Calibri"/>
                <w:b/>
                <w:sz w:val="19"/>
                <w:szCs w:val="19"/>
              </w:rPr>
              <w:t>The Concurrent Activation Doctrine (Article 6.9); the Emergency Acceleration Clause (Article 6.10); the accelerated master timeline (Annex E)</w:t>
            </w:r>
          </w:p>
        </w:tc>
      </w:tr>
    </w:tbl>
    <w:p w14:paraId="2C44C3E4" w14:textId="77777777" w:rsidR="008C4E6E" w:rsidRDefault="008C4E6E">
      <w:pPr>
        <w:spacing w:after="80"/>
      </w:pPr>
    </w:p>
    <w:p w14:paraId="651BC257" w14:textId="77777777" w:rsidR="008C4E6E" w:rsidRDefault="00000000">
      <w:pPr>
        <w:spacing w:before="40" w:after="200"/>
        <w:jc w:val="left"/>
      </w:pPr>
      <w:r>
        <w:rPr>
          <w:rFonts w:ascii="Calibri Light" w:hAnsi="Calibri Light" w:cs="Calibri Light"/>
          <w:b/>
          <w:i/>
          <w:color w:val="1F4E5F"/>
          <w:sz w:val="36"/>
          <w:szCs w:val="36"/>
        </w:rPr>
        <w:t>The Red Lines Register. Amendment follows Article 8.4: consensus of the Founding Parties and written non-objection of every holder of the affected line.</w:t>
      </w:r>
    </w:p>
    <w:p w14:paraId="74FB6C81" w14:textId="77777777" w:rsidR="008C4E6E" w:rsidRDefault="00000000">
      <w:pPr>
        <w:pStyle w:val="Heading1"/>
      </w:pPr>
      <w:bookmarkStart w:id="105" w:name="_Toc237650661"/>
      <w:r>
        <w:rPr>
          <w:rFonts w:ascii="Calibri" w:hAnsi="Calibri" w:cs="Calibri"/>
          <w:color w:val="2B3A42"/>
          <w:sz w:val="19"/>
          <w:szCs w:val="19"/>
        </w:rPr>
        <w:t>Annex G: The Demand Reconciliation Register</w:t>
      </w:r>
      <w:bookmarkEnd w:id="105"/>
    </w:p>
    <w:p w14:paraId="6C7E7617" w14:textId="77777777" w:rsidR="008C4E6E" w:rsidRDefault="00000000">
      <w:r>
        <w:rPr>
          <w:rFonts w:cs="Calibri"/>
          <w:szCs w:val="22"/>
        </w:rPr>
        <w:t>This Register maps the publicly stated demands of each participant, as they stand in August 2026, to the articles that answer them. The Register exists so that every negotiator reads, in one place, where their own ask lives in the architecture. Demands that fall outside the strait file appear here with their track, honestly marked.</w:t>
      </w:r>
    </w:p>
    <w:p w14:paraId="4A85397B" w14:textId="77777777" w:rsidR="008C4E6E" w:rsidRDefault="00000000">
      <w:pPr>
        <w:pStyle w:val="Heading2"/>
      </w:pPr>
      <w:bookmarkStart w:id="106" w:name="_Toc237650662"/>
      <w:r>
        <w:rPr>
          <w:rFonts w:cs="Calibri Light"/>
          <w:szCs w:val="28"/>
        </w:rPr>
        <w:t>G.1 The United States</w:t>
      </w:r>
      <w:bookmarkEnd w:id="106"/>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020A71FC"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73FAF787" w14:textId="77777777" w:rsidR="008C4E6E" w:rsidRDefault="00000000">
            <w:pPr>
              <w:spacing w:before="20" w:after="20" w:line="290" w:lineRule="auto"/>
              <w:jc w:val="left"/>
            </w:pPr>
            <w:r>
              <w:rPr>
                <w:rFonts w:cs="Calibri"/>
                <w:b/>
                <w:color w:val="1F4E5F"/>
                <w:sz w:val="19"/>
                <w:szCs w:val="19"/>
              </w:rPr>
              <w:t>Demand as stated</w:t>
            </w:r>
          </w:p>
        </w:tc>
        <w:tc>
          <w:tcPr>
            <w:tcW w:w="4675" w:type="dxa"/>
            <w:shd w:val="clear" w:color="auto" w:fill="E4EEF1"/>
            <w:tcMar>
              <w:top w:w="60" w:type="dxa"/>
              <w:left w:w="100" w:type="dxa"/>
              <w:bottom w:w="60" w:type="dxa"/>
              <w:right w:w="100" w:type="dxa"/>
            </w:tcMar>
          </w:tcPr>
          <w:p w14:paraId="7DF6D9B2" w14:textId="77777777" w:rsidR="008C4E6E" w:rsidRDefault="00000000">
            <w:pPr>
              <w:spacing w:before="20" w:after="20" w:line="290" w:lineRule="auto"/>
              <w:jc w:val="left"/>
            </w:pPr>
            <w:r>
              <w:rPr>
                <w:rFonts w:cs="Calibri"/>
                <w:b/>
                <w:color w:val="1F4E5F"/>
                <w:sz w:val="19"/>
                <w:szCs w:val="19"/>
              </w:rPr>
              <w:t>Answer in this Covenant</w:t>
            </w:r>
          </w:p>
        </w:tc>
      </w:tr>
      <w:tr w:rsidR="008C4E6E" w14:paraId="3AE54AD8" w14:textId="77777777">
        <w:tblPrEx>
          <w:tblCellMar>
            <w:top w:w="0" w:type="dxa"/>
            <w:bottom w:w="0" w:type="dxa"/>
          </w:tblCellMar>
        </w:tblPrEx>
        <w:tc>
          <w:tcPr>
            <w:tcW w:w="4675" w:type="dxa"/>
            <w:tcMar>
              <w:top w:w="60" w:type="dxa"/>
              <w:left w:w="100" w:type="dxa"/>
              <w:bottom w:w="60" w:type="dxa"/>
              <w:right w:w="100" w:type="dxa"/>
            </w:tcMar>
          </w:tcPr>
          <w:p w14:paraId="65C38ECF" w14:textId="77777777" w:rsidR="008C4E6E" w:rsidRDefault="00000000">
            <w:pPr>
              <w:spacing w:before="20" w:after="20" w:line="290" w:lineRule="auto"/>
              <w:jc w:val="left"/>
            </w:pPr>
            <w:r>
              <w:rPr>
                <w:rFonts w:cs="Calibri"/>
                <w:sz w:val="19"/>
                <w:szCs w:val="19"/>
              </w:rPr>
              <w:t>Free, safe, toll-free navigation; stop all attacks on ships; no tolls or charges on any shipping lane</w:t>
            </w:r>
          </w:p>
        </w:tc>
        <w:tc>
          <w:tcPr>
            <w:tcW w:w="4675" w:type="dxa"/>
            <w:tcMar>
              <w:top w:w="60" w:type="dxa"/>
              <w:left w:w="100" w:type="dxa"/>
              <w:bottom w:w="60" w:type="dxa"/>
              <w:right w:w="100" w:type="dxa"/>
            </w:tcMar>
          </w:tcPr>
          <w:p w14:paraId="1A4A993C" w14:textId="77777777" w:rsidR="008C4E6E" w:rsidRDefault="00000000">
            <w:pPr>
              <w:spacing w:before="20" w:after="20" w:line="290" w:lineRule="auto"/>
              <w:jc w:val="left"/>
            </w:pPr>
            <w:r>
              <w:rPr>
                <w:rFonts w:cs="Calibri"/>
                <w:sz w:val="19"/>
                <w:szCs w:val="19"/>
              </w:rPr>
              <w:t>Articles 44, 45, 50; the Zero-Toll Rule is absolute and the anti-circumvention rule closes every workaround</w:t>
            </w:r>
          </w:p>
        </w:tc>
      </w:tr>
      <w:tr w:rsidR="008C4E6E" w14:paraId="186F6757" w14:textId="77777777">
        <w:tblPrEx>
          <w:tblCellMar>
            <w:top w:w="0" w:type="dxa"/>
            <w:bottom w:w="0" w:type="dxa"/>
          </w:tblCellMar>
        </w:tblPrEx>
        <w:tc>
          <w:tcPr>
            <w:tcW w:w="4675" w:type="dxa"/>
            <w:tcMar>
              <w:top w:w="60" w:type="dxa"/>
              <w:left w:w="100" w:type="dxa"/>
              <w:bottom w:w="60" w:type="dxa"/>
              <w:right w:w="100" w:type="dxa"/>
            </w:tcMar>
          </w:tcPr>
          <w:p w14:paraId="09751537" w14:textId="77777777" w:rsidR="008C4E6E" w:rsidRDefault="00000000">
            <w:pPr>
              <w:spacing w:before="20" w:after="20" w:line="290" w:lineRule="auto"/>
              <w:jc w:val="left"/>
            </w:pPr>
            <w:r>
              <w:rPr>
                <w:rFonts w:cs="Calibri"/>
                <w:sz w:val="19"/>
                <w:szCs w:val="19"/>
              </w:rPr>
              <w:t>Public commitment to halt ship attacks and keep lanes open</w:t>
            </w:r>
          </w:p>
        </w:tc>
        <w:tc>
          <w:tcPr>
            <w:tcW w:w="4675" w:type="dxa"/>
            <w:tcMar>
              <w:top w:w="60" w:type="dxa"/>
              <w:left w:w="100" w:type="dxa"/>
              <w:bottom w:w="60" w:type="dxa"/>
              <w:right w:w="100" w:type="dxa"/>
            </w:tcMar>
          </w:tcPr>
          <w:p w14:paraId="6BBBA32A" w14:textId="77777777" w:rsidR="008C4E6E" w:rsidRDefault="00000000">
            <w:pPr>
              <w:spacing w:before="20" w:after="20" w:line="290" w:lineRule="auto"/>
              <w:jc w:val="left"/>
            </w:pPr>
            <w:r>
              <w:rPr>
                <w:rFonts w:cs="Calibri"/>
                <w:sz w:val="19"/>
                <w:szCs w:val="19"/>
              </w:rPr>
              <w:t>Declaration lines 1 and 4; the standstill of Article 38.2; the Bulletin record as the standing public proof</w:t>
            </w:r>
          </w:p>
        </w:tc>
      </w:tr>
      <w:tr w:rsidR="008C4E6E" w14:paraId="41E5F865" w14:textId="77777777">
        <w:tblPrEx>
          <w:tblCellMar>
            <w:top w:w="0" w:type="dxa"/>
            <w:bottom w:w="0" w:type="dxa"/>
          </w:tblCellMar>
        </w:tblPrEx>
        <w:tc>
          <w:tcPr>
            <w:tcW w:w="4675" w:type="dxa"/>
            <w:tcMar>
              <w:top w:w="60" w:type="dxa"/>
              <w:left w:w="100" w:type="dxa"/>
              <w:bottom w:w="60" w:type="dxa"/>
              <w:right w:w="100" w:type="dxa"/>
            </w:tcMar>
          </w:tcPr>
          <w:p w14:paraId="04DC296F" w14:textId="77777777" w:rsidR="008C4E6E" w:rsidRDefault="00000000">
            <w:pPr>
              <w:spacing w:before="20" w:after="20" w:line="290" w:lineRule="auto"/>
              <w:jc w:val="left"/>
            </w:pPr>
            <w:r>
              <w:rPr>
                <w:rFonts w:cs="Calibri"/>
                <w:sz w:val="19"/>
                <w:szCs w:val="19"/>
              </w:rPr>
              <w:t>Adherence to the June Memorandum: end of military operations, respect for sovereignty, non-interference, no nuclear weapons, disposition of enriched material</w:t>
            </w:r>
          </w:p>
        </w:tc>
        <w:tc>
          <w:tcPr>
            <w:tcW w:w="4675" w:type="dxa"/>
            <w:tcMar>
              <w:top w:w="60" w:type="dxa"/>
              <w:left w:w="100" w:type="dxa"/>
              <w:bottom w:w="60" w:type="dxa"/>
              <w:right w:w="100" w:type="dxa"/>
            </w:tcMar>
          </w:tcPr>
          <w:p w14:paraId="0D2E3CFA" w14:textId="77777777" w:rsidR="008C4E6E" w:rsidRDefault="00000000">
            <w:pPr>
              <w:spacing w:before="20" w:after="20" w:line="290" w:lineRule="auto"/>
              <w:jc w:val="left"/>
            </w:pPr>
            <w:r>
              <w:rPr>
                <w:rFonts w:cs="Calibri"/>
                <w:sz w:val="19"/>
                <w:szCs w:val="19"/>
              </w:rPr>
              <w:t>Articles 38.4 and 3.5 operationalize the Memorandum's strait provisions; the nuclear items travel on the Islamabad track under the sealed bulkhead of Article 3.6, and this Covenant claims no competence over them</w:t>
            </w:r>
          </w:p>
        </w:tc>
      </w:tr>
      <w:tr w:rsidR="008C4E6E" w14:paraId="351330C3" w14:textId="77777777">
        <w:tblPrEx>
          <w:tblCellMar>
            <w:top w:w="0" w:type="dxa"/>
            <w:bottom w:w="0" w:type="dxa"/>
          </w:tblCellMar>
        </w:tblPrEx>
        <w:tc>
          <w:tcPr>
            <w:tcW w:w="4675" w:type="dxa"/>
            <w:tcMar>
              <w:top w:w="60" w:type="dxa"/>
              <w:left w:w="100" w:type="dxa"/>
              <w:bottom w:w="60" w:type="dxa"/>
              <w:right w:w="100" w:type="dxa"/>
            </w:tcMar>
          </w:tcPr>
          <w:p w14:paraId="2E770FA9" w14:textId="77777777" w:rsidR="008C4E6E" w:rsidRDefault="00000000">
            <w:pPr>
              <w:spacing w:before="20" w:after="20" w:line="290" w:lineRule="auto"/>
              <w:jc w:val="left"/>
            </w:pPr>
            <w:r>
              <w:rPr>
                <w:rFonts w:cs="Calibri"/>
                <w:sz w:val="19"/>
                <w:szCs w:val="19"/>
              </w:rPr>
              <w:t xml:space="preserve">Safe-passage mechanisms negotiated with Oman: </w:t>
            </w:r>
            <w:r>
              <w:rPr>
                <w:rFonts w:cs="Calibri"/>
                <w:sz w:val="19"/>
                <w:szCs w:val="19"/>
              </w:rPr>
              <w:lastRenderedPageBreak/>
              <w:t>southern corridor free; northern corridor with prior notification but no tolls</w:t>
            </w:r>
          </w:p>
        </w:tc>
        <w:tc>
          <w:tcPr>
            <w:tcW w:w="4675" w:type="dxa"/>
            <w:tcMar>
              <w:top w:w="60" w:type="dxa"/>
              <w:left w:w="100" w:type="dxa"/>
              <w:bottom w:w="60" w:type="dxa"/>
              <w:right w:w="100" w:type="dxa"/>
            </w:tcMar>
          </w:tcPr>
          <w:p w14:paraId="28A09F7C" w14:textId="77777777" w:rsidR="008C4E6E" w:rsidRDefault="00000000">
            <w:pPr>
              <w:spacing w:before="20" w:after="20" w:line="290" w:lineRule="auto"/>
              <w:jc w:val="left"/>
            </w:pPr>
            <w:r>
              <w:rPr>
                <w:rFonts w:cs="Calibri"/>
                <w:sz w:val="19"/>
                <w:szCs w:val="19"/>
              </w:rPr>
              <w:lastRenderedPageBreak/>
              <w:t xml:space="preserve">Articles 41.2, 41.3, 43: the southern corridor is </w:t>
            </w:r>
            <w:r>
              <w:rPr>
                <w:rFonts w:cs="Calibri"/>
                <w:sz w:val="19"/>
                <w:szCs w:val="19"/>
              </w:rPr>
              <w:lastRenderedPageBreak/>
              <w:t>unconditional; the northern corridor runs file-and-acknowledge, and the acknowledgment is never permission</w:t>
            </w:r>
          </w:p>
        </w:tc>
      </w:tr>
      <w:tr w:rsidR="008C4E6E" w14:paraId="6F26D9FD" w14:textId="77777777">
        <w:tblPrEx>
          <w:tblCellMar>
            <w:top w:w="0" w:type="dxa"/>
            <w:bottom w:w="0" w:type="dxa"/>
          </w:tblCellMar>
        </w:tblPrEx>
        <w:tc>
          <w:tcPr>
            <w:tcW w:w="4675" w:type="dxa"/>
            <w:tcMar>
              <w:top w:w="60" w:type="dxa"/>
              <w:left w:w="100" w:type="dxa"/>
              <w:bottom w:w="60" w:type="dxa"/>
              <w:right w:w="100" w:type="dxa"/>
            </w:tcMar>
          </w:tcPr>
          <w:p w14:paraId="3C428514" w14:textId="77777777" w:rsidR="008C4E6E" w:rsidRDefault="00000000">
            <w:pPr>
              <w:spacing w:before="20" w:after="20" w:line="290" w:lineRule="auto"/>
              <w:jc w:val="left"/>
            </w:pPr>
            <w:r>
              <w:rPr>
                <w:rFonts w:cs="Calibri"/>
                <w:sz w:val="19"/>
                <w:szCs w:val="19"/>
              </w:rPr>
              <w:lastRenderedPageBreak/>
              <w:t>Continuation of diplomacy through mediator channels</w:t>
            </w:r>
          </w:p>
        </w:tc>
        <w:tc>
          <w:tcPr>
            <w:tcW w:w="4675" w:type="dxa"/>
            <w:tcMar>
              <w:top w:w="60" w:type="dxa"/>
              <w:left w:w="100" w:type="dxa"/>
              <w:bottom w:w="60" w:type="dxa"/>
              <w:right w:w="100" w:type="dxa"/>
            </w:tcMar>
          </w:tcPr>
          <w:p w14:paraId="5EF81ABE" w14:textId="77777777" w:rsidR="008C4E6E" w:rsidRDefault="00000000">
            <w:pPr>
              <w:spacing w:before="20" w:after="20" w:line="290" w:lineRule="auto"/>
              <w:jc w:val="left"/>
            </w:pPr>
            <w:r>
              <w:rPr>
                <w:rFonts w:cs="Calibri"/>
                <w:sz w:val="19"/>
                <w:szCs w:val="19"/>
              </w:rPr>
              <w:t>Articles 2.6, 56.2; the facilitator channel stands open permanently</w:t>
            </w:r>
          </w:p>
        </w:tc>
      </w:tr>
      <w:tr w:rsidR="008C4E6E" w14:paraId="0BF3151A" w14:textId="77777777">
        <w:tblPrEx>
          <w:tblCellMar>
            <w:top w:w="0" w:type="dxa"/>
            <w:bottom w:w="0" w:type="dxa"/>
          </w:tblCellMar>
        </w:tblPrEx>
        <w:tc>
          <w:tcPr>
            <w:tcW w:w="4675" w:type="dxa"/>
            <w:tcMar>
              <w:top w:w="60" w:type="dxa"/>
              <w:left w:w="100" w:type="dxa"/>
              <w:bottom w:w="60" w:type="dxa"/>
              <w:right w:w="100" w:type="dxa"/>
            </w:tcMar>
          </w:tcPr>
          <w:p w14:paraId="4085BF7D" w14:textId="77777777" w:rsidR="008C4E6E" w:rsidRDefault="00000000">
            <w:pPr>
              <w:spacing w:before="20" w:after="20" w:line="290" w:lineRule="auto"/>
              <w:jc w:val="left"/>
            </w:pPr>
            <w:r>
              <w:rPr>
                <w:rFonts w:cs="Calibri"/>
                <w:sz w:val="19"/>
                <w:szCs w:val="19"/>
              </w:rPr>
              <w:t>No deal that cements one state's grip on the waterway</w:t>
            </w:r>
          </w:p>
        </w:tc>
        <w:tc>
          <w:tcPr>
            <w:tcW w:w="4675" w:type="dxa"/>
            <w:tcMar>
              <w:top w:w="60" w:type="dxa"/>
              <w:left w:w="100" w:type="dxa"/>
              <w:bottom w:w="60" w:type="dxa"/>
              <w:right w:w="100" w:type="dxa"/>
            </w:tcMar>
          </w:tcPr>
          <w:p w14:paraId="660FEC8F" w14:textId="77777777" w:rsidR="008C4E6E" w:rsidRDefault="00000000">
            <w:pPr>
              <w:spacing w:before="20" w:after="20" w:line="290" w:lineRule="auto"/>
              <w:jc w:val="left"/>
            </w:pPr>
            <w:r>
              <w:rPr>
                <w:rFonts w:cs="Calibri"/>
                <w:sz w:val="19"/>
                <w:szCs w:val="19"/>
              </w:rPr>
              <w:t>Twin Key (Article 49); paired staffing (Article 48.2); external-command exclusion (Declaration line 8)</w:t>
            </w:r>
          </w:p>
        </w:tc>
      </w:tr>
      <w:tr w:rsidR="008C4E6E" w14:paraId="7E3C7D62" w14:textId="77777777">
        <w:tblPrEx>
          <w:tblCellMar>
            <w:top w:w="0" w:type="dxa"/>
            <w:bottom w:w="0" w:type="dxa"/>
          </w:tblCellMar>
        </w:tblPrEx>
        <w:tc>
          <w:tcPr>
            <w:tcW w:w="4675" w:type="dxa"/>
            <w:tcMar>
              <w:top w:w="60" w:type="dxa"/>
              <w:left w:w="100" w:type="dxa"/>
              <w:bottom w:w="60" w:type="dxa"/>
              <w:right w:w="100" w:type="dxa"/>
            </w:tcMar>
          </w:tcPr>
          <w:p w14:paraId="077D302F" w14:textId="77777777" w:rsidR="008C4E6E" w:rsidRDefault="00000000">
            <w:pPr>
              <w:spacing w:before="20" w:after="20" w:line="290" w:lineRule="auto"/>
              <w:jc w:val="left"/>
            </w:pPr>
            <w:r>
              <w:rPr>
                <w:rFonts w:cs="Calibri"/>
                <w:sz w:val="19"/>
                <w:szCs w:val="19"/>
              </w:rPr>
              <w:t>Verification of performance</w:t>
            </w:r>
          </w:p>
        </w:tc>
        <w:tc>
          <w:tcPr>
            <w:tcW w:w="4675" w:type="dxa"/>
            <w:tcMar>
              <w:top w:w="60" w:type="dxa"/>
              <w:left w:w="100" w:type="dxa"/>
              <w:bottom w:w="60" w:type="dxa"/>
              <w:right w:w="100" w:type="dxa"/>
            </w:tcMar>
          </w:tcPr>
          <w:p w14:paraId="68AE3537" w14:textId="77777777" w:rsidR="008C4E6E" w:rsidRDefault="00000000">
            <w:pPr>
              <w:spacing w:before="20" w:after="20" w:line="290" w:lineRule="auto"/>
              <w:jc w:val="left"/>
            </w:pPr>
            <w:r>
              <w:rPr>
                <w:rFonts w:cs="Calibri"/>
                <w:sz w:val="19"/>
                <w:szCs w:val="19"/>
              </w:rPr>
              <w:t>Human anchor and convergence (Article 53); monitoring access to the full Registry (Article 2.2)</w:t>
            </w:r>
          </w:p>
        </w:tc>
      </w:tr>
      <w:tr w:rsidR="008C4E6E" w14:paraId="4953AA78" w14:textId="77777777">
        <w:tblPrEx>
          <w:tblCellMar>
            <w:top w:w="0" w:type="dxa"/>
            <w:bottom w:w="0" w:type="dxa"/>
          </w:tblCellMar>
        </w:tblPrEx>
        <w:tc>
          <w:tcPr>
            <w:tcW w:w="4675" w:type="dxa"/>
            <w:tcMar>
              <w:top w:w="60" w:type="dxa"/>
              <w:left w:w="100" w:type="dxa"/>
              <w:bottom w:w="60" w:type="dxa"/>
              <w:right w:w="100" w:type="dxa"/>
            </w:tcMar>
          </w:tcPr>
          <w:p w14:paraId="71A302D9" w14:textId="77777777" w:rsidR="008C4E6E" w:rsidRDefault="00000000">
            <w:pPr>
              <w:spacing w:before="20" w:after="20" w:line="290" w:lineRule="auto"/>
              <w:jc w:val="left"/>
            </w:pPr>
            <w:r>
              <w:rPr>
                <w:rFonts w:cs="Calibri"/>
                <w:b/>
                <w:sz w:val="19"/>
                <w:szCs w:val="19"/>
              </w:rPr>
              <w:t>No tolls, fees, or service charges on any shipping lane, under any name, including under any bilateral route arrangement</w:t>
            </w:r>
          </w:p>
        </w:tc>
        <w:tc>
          <w:tcPr>
            <w:tcW w:w="4675" w:type="dxa"/>
            <w:tcMar>
              <w:top w:w="60" w:type="dxa"/>
              <w:left w:w="100" w:type="dxa"/>
              <w:bottom w:w="60" w:type="dxa"/>
              <w:right w:w="100" w:type="dxa"/>
            </w:tcMar>
          </w:tcPr>
          <w:p w14:paraId="15B12E8E" w14:textId="77777777" w:rsidR="008C4E6E" w:rsidRDefault="00000000">
            <w:pPr>
              <w:spacing w:before="20" w:after="20" w:line="290" w:lineRule="auto"/>
              <w:jc w:val="left"/>
            </w:pPr>
            <w:r>
              <w:rPr>
                <w:rFonts w:cs="Calibri"/>
                <w:b/>
                <w:sz w:val="19"/>
                <w:szCs w:val="19"/>
              </w:rPr>
              <w:t>Articles 50 and 52.5 hold the Zero-Toll Rule absolute across every corridor, including the Fast-Track Corridor; the Fund model of Article 51 answers the coastal revenue interest without any point-of-passage charge</w:t>
            </w:r>
          </w:p>
        </w:tc>
      </w:tr>
      <w:tr w:rsidR="008C4E6E" w14:paraId="35189F12" w14:textId="77777777">
        <w:tblPrEx>
          <w:tblCellMar>
            <w:top w:w="0" w:type="dxa"/>
            <w:bottom w:w="0" w:type="dxa"/>
          </w:tblCellMar>
        </w:tblPrEx>
        <w:tc>
          <w:tcPr>
            <w:tcW w:w="4675" w:type="dxa"/>
            <w:tcMar>
              <w:top w:w="60" w:type="dxa"/>
              <w:left w:w="100" w:type="dxa"/>
              <w:bottom w:w="60" w:type="dxa"/>
              <w:right w:w="100" w:type="dxa"/>
            </w:tcMar>
          </w:tcPr>
          <w:p w14:paraId="29BF8FDE" w14:textId="77777777" w:rsidR="008C4E6E" w:rsidRDefault="00000000">
            <w:pPr>
              <w:spacing w:before="20" w:after="20" w:line="290" w:lineRule="auto"/>
              <w:jc w:val="left"/>
            </w:pPr>
            <w:r>
              <w:rPr>
                <w:rFonts w:cs="Calibri"/>
                <w:b/>
                <w:sz w:val="19"/>
                <w:szCs w:val="19"/>
              </w:rPr>
              <w:t>Reopening measured in days, and a structure that holds even while the capitals talk only through intermediaries</w:t>
            </w:r>
          </w:p>
        </w:tc>
        <w:tc>
          <w:tcPr>
            <w:tcW w:w="4675" w:type="dxa"/>
            <w:tcMar>
              <w:top w:w="60" w:type="dxa"/>
              <w:left w:w="100" w:type="dxa"/>
              <w:bottom w:w="60" w:type="dxa"/>
              <w:right w:w="100" w:type="dxa"/>
            </w:tcMar>
          </w:tcPr>
          <w:p w14:paraId="34FEFC0F" w14:textId="77777777" w:rsidR="008C4E6E" w:rsidRDefault="00000000">
            <w:pPr>
              <w:spacing w:before="20" w:after="20" w:line="290" w:lineRule="auto"/>
              <w:jc w:val="left"/>
            </w:pPr>
            <w:r>
              <w:rPr>
                <w:rFonts w:cs="Calibri"/>
                <w:b/>
                <w:sz w:val="19"/>
                <w:szCs w:val="19"/>
              </w:rPr>
              <w:t>The Crisis Entry Protocol (Article 6.11) opens the Humanitarian Bridge at Day 0; the Fast-Track Corridor opens at Day 30 (Article 18.5); the full corridor system operates by Day 90 (Annex E); the Intermediary Bridge (Article 2.9) carries every step</w:t>
            </w:r>
          </w:p>
        </w:tc>
      </w:tr>
      <w:tr w:rsidR="008C4E6E" w14:paraId="430A4537" w14:textId="77777777">
        <w:tblPrEx>
          <w:tblCellMar>
            <w:top w:w="0" w:type="dxa"/>
            <w:bottom w:w="0" w:type="dxa"/>
          </w:tblCellMar>
        </w:tblPrEx>
        <w:tc>
          <w:tcPr>
            <w:tcW w:w="4675" w:type="dxa"/>
            <w:tcMar>
              <w:top w:w="60" w:type="dxa"/>
              <w:left w:w="100" w:type="dxa"/>
              <w:bottom w:w="60" w:type="dxa"/>
              <w:right w:w="100" w:type="dxa"/>
            </w:tcMar>
          </w:tcPr>
          <w:p w14:paraId="0C9B444B" w14:textId="77777777" w:rsidR="008C4E6E" w:rsidRDefault="00000000">
            <w:pPr>
              <w:spacing w:before="20" w:after="20" w:line="290" w:lineRule="auto"/>
              <w:jc w:val="left"/>
            </w:pPr>
            <w:r>
              <w:rPr>
                <w:rFonts w:cs="Calibri"/>
                <w:b/>
                <w:sz w:val="19"/>
                <w:szCs w:val="19"/>
              </w:rPr>
              <w:t>An end to attacks on shipping, verifiable and immediate</w:t>
            </w:r>
          </w:p>
        </w:tc>
        <w:tc>
          <w:tcPr>
            <w:tcW w:w="4675" w:type="dxa"/>
            <w:tcMar>
              <w:top w:w="60" w:type="dxa"/>
              <w:left w:w="100" w:type="dxa"/>
              <w:bottom w:w="60" w:type="dxa"/>
              <w:right w:w="100" w:type="dxa"/>
            </w:tcMar>
          </w:tcPr>
          <w:p w14:paraId="3B97A10D" w14:textId="77777777" w:rsidR="008C4E6E" w:rsidRDefault="00000000">
            <w:pPr>
              <w:spacing w:before="20" w:after="20" w:line="290" w:lineRule="auto"/>
              <w:jc w:val="left"/>
            </w:pPr>
            <w:r>
              <w:rPr>
                <w:rFonts w:cs="Calibri"/>
                <w:b/>
                <w:sz w:val="19"/>
                <w:szCs w:val="19"/>
              </w:rPr>
              <w:t>The interim standstill of Article 6.11 binds every participant from the first minute of Day 0; the non-interdiction protocol of Article 45 and the forensic protocol of Article 37.7 make every incident legible within fourteen days</w:t>
            </w:r>
          </w:p>
        </w:tc>
      </w:tr>
    </w:tbl>
    <w:p w14:paraId="7C0E327B" w14:textId="77777777" w:rsidR="008C4E6E" w:rsidRDefault="008C4E6E">
      <w:pPr>
        <w:spacing w:after="80"/>
      </w:pPr>
    </w:p>
    <w:p w14:paraId="47B3A147" w14:textId="77777777" w:rsidR="008C4E6E" w:rsidRDefault="00000000">
      <w:pPr>
        <w:pStyle w:val="Heading2"/>
      </w:pPr>
      <w:bookmarkStart w:id="107" w:name="_Toc237650663"/>
      <w:r>
        <w:rPr>
          <w:rFonts w:cs="Calibri Light"/>
          <w:szCs w:val="28"/>
        </w:rPr>
        <w:t>G.2 The Islamic Republic of Iran</w:t>
      </w:r>
      <w:bookmarkEnd w:id="107"/>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12E310A3"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513EFFBA" w14:textId="77777777" w:rsidR="008C4E6E" w:rsidRDefault="00000000">
            <w:pPr>
              <w:spacing w:before="20" w:after="20" w:line="290" w:lineRule="auto"/>
              <w:jc w:val="left"/>
            </w:pPr>
            <w:r>
              <w:rPr>
                <w:rFonts w:cs="Calibri"/>
                <w:b/>
                <w:color w:val="1F4E5F"/>
                <w:sz w:val="19"/>
                <w:szCs w:val="19"/>
              </w:rPr>
              <w:t>Demand as stated</w:t>
            </w:r>
          </w:p>
        </w:tc>
        <w:tc>
          <w:tcPr>
            <w:tcW w:w="4675" w:type="dxa"/>
            <w:shd w:val="clear" w:color="auto" w:fill="E4EEF1"/>
            <w:tcMar>
              <w:top w:w="60" w:type="dxa"/>
              <w:left w:w="100" w:type="dxa"/>
              <w:bottom w:w="60" w:type="dxa"/>
              <w:right w:w="100" w:type="dxa"/>
            </w:tcMar>
          </w:tcPr>
          <w:p w14:paraId="78E561BA" w14:textId="77777777" w:rsidR="008C4E6E" w:rsidRDefault="00000000">
            <w:pPr>
              <w:spacing w:before="20" w:after="20" w:line="290" w:lineRule="auto"/>
              <w:jc w:val="left"/>
            </w:pPr>
            <w:r>
              <w:rPr>
                <w:rFonts w:cs="Calibri"/>
                <w:b/>
                <w:color w:val="1F4E5F"/>
                <w:sz w:val="19"/>
                <w:szCs w:val="19"/>
              </w:rPr>
              <w:t>Answer in this Covenant</w:t>
            </w:r>
          </w:p>
        </w:tc>
      </w:tr>
      <w:tr w:rsidR="008C4E6E" w14:paraId="7A452482" w14:textId="77777777">
        <w:tblPrEx>
          <w:tblCellMar>
            <w:top w:w="0" w:type="dxa"/>
            <w:bottom w:w="0" w:type="dxa"/>
          </w:tblCellMar>
        </w:tblPrEx>
        <w:tc>
          <w:tcPr>
            <w:tcW w:w="4675" w:type="dxa"/>
            <w:tcMar>
              <w:top w:w="60" w:type="dxa"/>
              <w:left w:w="100" w:type="dxa"/>
              <w:bottom w:w="60" w:type="dxa"/>
              <w:right w:w="100" w:type="dxa"/>
            </w:tcMar>
          </w:tcPr>
          <w:p w14:paraId="2C01FEA1" w14:textId="77777777" w:rsidR="008C4E6E" w:rsidRDefault="00000000">
            <w:pPr>
              <w:spacing w:before="20" w:after="20" w:line="290" w:lineRule="auto"/>
              <w:jc w:val="left"/>
            </w:pPr>
            <w:r>
              <w:rPr>
                <w:rFonts w:cs="Calibri"/>
                <w:sz w:val="19"/>
                <w:szCs w:val="19"/>
              </w:rPr>
              <w:t>Cessation of strikes on Iranian military sites and infrastructure</w:t>
            </w:r>
          </w:p>
        </w:tc>
        <w:tc>
          <w:tcPr>
            <w:tcW w:w="4675" w:type="dxa"/>
            <w:tcMar>
              <w:top w:w="60" w:type="dxa"/>
              <w:left w:w="100" w:type="dxa"/>
              <w:bottom w:w="60" w:type="dxa"/>
              <w:right w:w="100" w:type="dxa"/>
            </w:tcMar>
          </w:tcPr>
          <w:p w14:paraId="63922FEB" w14:textId="77777777" w:rsidR="008C4E6E" w:rsidRDefault="00000000">
            <w:pPr>
              <w:spacing w:before="20" w:after="20" w:line="290" w:lineRule="auto"/>
              <w:jc w:val="left"/>
            </w:pPr>
            <w:r>
              <w:rPr>
                <w:rFonts w:cs="Calibri"/>
                <w:sz w:val="19"/>
                <w:szCs w:val="19"/>
              </w:rPr>
              <w:t>Ceasefire interface of Article 38.4; the standstill binds every participant's forces equally</w:t>
            </w:r>
          </w:p>
        </w:tc>
      </w:tr>
      <w:tr w:rsidR="008C4E6E" w14:paraId="2B8A2135" w14:textId="77777777">
        <w:tblPrEx>
          <w:tblCellMar>
            <w:top w:w="0" w:type="dxa"/>
            <w:bottom w:w="0" w:type="dxa"/>
          </w:tblCellMar>
        </w:tblPrEx>
        <w:tc>
          <w:tcPr>
            <w:tcW w:w="4675" w:type="dxa"/>
            <w:tcMar>
              <w:top w:w="60" w:type="dxa"/>
              <w:left w:w="100" w:type="dxa"/>
              <w:bottom w:w="60" w:type="dxa"/>
              <w:right w:w="100" w:type="dxa"/>
            </w:tcMar>
          </w:tcPr>
          <w:p w14:paraId="49967CC5" w14:textId="77777777" w:rsidR="008C4E6E" w:rsidRDefault="00000000">
            <w:pPr>
              <w:spacing w:before="20" w:after="20" w:line="290" w:lineRule="auto"/>
              <w:jc w:val="left"/>
            </w:pPr>
            <w:r>
              <w:rPr>
                <w:rFonts w:cs="Calibri"/>
                <w:sz w:val="19"/>
                <w:szCs w:val="19"/>
              </w:rPr>
              <w:t>Respect for sovereignty and infrastructure</w:t>
            </w:r>
          </w:p>
        </w:tc>
        <w:tc>
          <w:tcPr>
            <w:tcW w:w="4675" w:type="dxa"/>
            <w:tcMar>
              <w:top w:w="60" w:type="dxa"/>
              <w:left w:w="100" w:type="dxa"/>
              <w:bottom w:w="60" w:type="dxa"/>
              <w:right w:w="100" w:type="dxa"/>
            </w:tcMar>
          </w:tcPr>
          <w:p w14:paraId="2D3D80FC" w14:textId="77777777" w:rsidR="008C4E6E" w:rsidRDefault="00000000">
            <w:pPr>
              <w:spacing w:before="20" w:after="20" w:line="290" w:lineRule="auto"/>
              <w:jc w:val="left"/>
            </w:pPr>
            <w:r>
              <w:rPr>
                <w:rFonts w:cs="Calibri"/>
                <w:sz w:val="19"/>
                <w:szCs w:val="19"/>
              </w:rPr>
              <w:t>Declaration line 6; non-prejudice (Article 3.3); corridor functions allocate tasks, never title</w:t>
            </w:r>
          </w:p>
        </w:tc>
      </w:tr>
      <w:tr w:rsidR="008C4E6E" w14:paraId="1BA220E1" w14:textId="77777777">
        <w:tblPrEx>
          <w:tblCellMar>
            <w:top w:w="0" w:type="dxa"/>
            <w:bottom w:w="0" w:type="dxa"/>
          </w:tblCellMar>
        </w:tblPrEx>
        <w:tc>
          <w:tcPr>
            <w:tcW w:w="4675" w:type="dxa"/>
            <w:tcMar>
              <w:top w:w="60" w:type="dxa"/>
              <w:left w:w="100" w:type="dxa"/>
              <w:bottom w:w="60" w:type="dxa"/>
              <w:right w:w="100" w:type="dxa"/>
            </w:tcMar>
          </w:tcPr>
          <w:p w14:paraId="6D28CA0A" w14:textId="77777777" w:rsidR="008C4E6E" w:rsidRDefault="00000000">
            <w:pPr>
              <w:spacing w:before="20" w:after="20" w:line="290" w:lineRule="auto"/>
              <w:jc w:val="left"/>
            </w:pPr>
            <w:r>
              <w:rPr>
                <w:rFonts w:cs="Calibri"/>
                <w:sz w:val="19"/>
                <w:szCs w:val="19"/>
              </w:rPr>
              <w:t>Reduction of external military presence used for operations against Iran</w:t>
            </w:r>
          </w:p>
        </w:tc>
        <w:tc>
          <w:tcPr>
            <w:tcW w:w="4675" w:type="dxa"/>
            <w:tcMar>
              <w:top w:w="60" w:type="dxa"/>
              <w:left w:w="100" w:type="dxa"/>
              <w:bottom w:w="60" w:type="dxa"/>
              <w:right w:w="100" w:type="dxa"/>
            </w:tcMar>
          </w:tcPr>
          <w:p w14:paraId="50DBCF07" w14:textId="77777777" w:rsidR="008C4E6E" w:rsidRDefault="00000000">
            <w:pPr>
              <w:spacing w:before="20" w:after="20" w:line="290" w:lineRule="auto"/>
              <w:jc w:val="left"/>
            </w:pPr>
            <w:r>
              <w:rPr>
                <w:rFonts w:cs="Calibri"/>
                <w:sz w:val="19"/>
                <w:szCs w:val="19"/>
              </w:rPr>
              <w:t>External-force rule of Article 47.6: no stationing inside the Governance Area, no corridor functions for external forces; the regional posture interface of Article 47.7 carries the wider file</w:t>
            </w:r>
          </w:p>
        </w:tc>
      </w:tr>
      <w:tr w:rsidR="008C4E6E" w14:paraId="51C19ECA" w14:textId="77777777">
        <w:tblPrEx>
          <w:tblCellMar>
            <w:top w:w="0" w:type="dxa"/>
            <w:bottom w:w="0" w:type="dxa"/>
          </w:tblCellMar>
        </w:tblPrEx>
        <w:tc>
          <w:tcPr>
            <w:tcW w:w="4675" w:type="dxa"/>
            <w:tcMar>
              <w:top w:w="60" w:type="dxa"/>
              <w:left w:w="100" w:type="dxa"/>
              <w:bottom w:w="60" w:type="dxa"/>
              <w:right w:w="100" w:type="dxa"/>
            </w:tcMar>
          </w:tcPr>
          <w:p w14:paraId="35D40957" w14:textId="77777777" w:rsidR="008C4E6E" w:rsidRDefault="00000000">
            <w:pPr>
              <w:spacing w:before="20" w:after="20" w:line="290" w:lineRule="auto"/>
              <w:jc w:val="left"/>
            </w:pPr>
            <w:r>
              <w:rPr>
                <w:rFonts w:cs="Calibri"/>
                <w:sz w:val="19"/>
                <w:szCs w:val="19"/>
              </w:rPr>
              <w:t>Recognition of Iran's control and regulatory authority in the Strait</w:t>
            </w:r>
          </w:p>
        </w:tc>
        <w:tc>
          <w:tcPr>
            <w:tcW w:w="4675" w:type="dxa"/>
            <w:tcMar>
              <w:top w:w="60" w:type="dxa"/>
              <w:left w:w="100" w:type="dxa"/>
              <w:bottom w:w="60" w:type="dxa"/>
              <w:right w:w="100" w:type="dxa"/>
            </w:tcMar>
          </w:tcPr>
          <w:p w14:paraId="227731E3" w14:textId="77777777" w:rsidR="008C4E6E" w:rsidRDefault="00000000">
            <w:pPr>
              <w:spacing w:before="20" w:after="20" w:line="290" w:lineRule="auto"/>
              <w:jc w:val="left"/>
            </w:pPr>
            <w:r>
              <w:rPr>
                <w:rFonts w:cs="Calibri"/>
                <w:sz w:val="19"/>
                <w:szCs w:val="19"/>
              </w:rPr>
              <w:t>Recognized, formal, continuous management function in the northern waters (Article 41.3), exercised through the Twin Key architecture so that recognition never reads as unilateral control to any other participant</w:t>
            </w:r>
          </w:p>
        </w:tc>
      </w:tr>
      <w:tr w:rsidR="008C4E6E" w14:paraId="6F4C3242" w14:textId="77777777">
        <w:tblPrEx>
          <w:tblCellMar>
            <w:top w:w="0" w:type="dxa"/>
            <w:bottom w:w="0" w:type="dxa"/>
          </w:tblCellMar>
        </w:tblPrEx>
        <w:tc>
          <w:tcPr>
            <w:tcW w:w="4675" w:type="dxa"/>
            <w:tcMar>
              <w:top w:w="60" w:type="dxa"/>
              <w:left w:w="100" w:type="dxa"/>
              <w:bottom w:w="60" w:type="dxa"/>
              <w:right w:w="100" w:type="dxa"/>
            </w:tcMar>
          </w:tcPr>
          <w:p w14:paraId="0BF5969C" w14:textId="77777777" w:rsidR="008C4E6E" w:rsidRDefault="00000000">
            <w:pPr>
              <w:spacing w:before="20" w:after="20" w:line="290" w:lineRule="auto"/>
              <w:jc w:val="left"/>
            </w:pPr>
            <w:r>
              <w:rPr>
                <w:rFonts w:cs="Calibri"/>
                <w:sz w:val="19"/>
                <w:szCs w:val="19"/>
              </w:rPr>
              <w:lastRenderedPageBreak/>
              <w:t>Compensation for services provided to shipping</w:t>
            </w:r>
          </w:p>
        </w:tc>
        <w:tc>
          <w:tcPr>
            <w:tcW w:w="4675" w:type="dxa"/>
            <w:tcMar>
              <w:top w:w="60" w:type="dxa"/>
              <w:left w:w="100" w:type="dxa"/>
              <w:bottom w:w="60" w:type="dxa"/>
              <w:right w:w="100" w:type="dxa"/>
            </w:tcMar>
          </w:tcPr>
          <w:p w14:paraId="679F8F60" w14:textId="77777777" w:rsidR="008C4E6E" w:rsidRDefault="00000000">
            <w:pPr>
              <w:spacing w:before="20" w:after="20" w:line="290" w:lineRule="auto"/>
              <w:jc w:val="left"/>
            </w:pPr>
            <w:r>
              <w:rPr>
                <w:rFonts w:cs="Calibri"/>
                <w:sz w:val="19"/>
                <w:szCs w:val="19"/>
              </w:rPr>
              <w:t>Service distinction and Fund reimbursement (Articles 50.3, 51.5); the rate card of Annex C; the development windows of Annex C.3</w:t>
            </w:r>
          </w:p>
        </w:tc>
      </w:tr>
      <w:tr w:rsidR="008C4E6E" w14:paraId="5FE8C911" w14:textId="77777777">
        <w:tblPrEx>
          <w:tblCellMar>
            <w:top w:w="0" w:type="dxa"/>
            <w:bottom w:w="0" w:type="dxa"/>
          </w:tblCellMar>
        </w:tblPrEx>
        <w:tc>
          <w:tcPr>
            <w:tcW w:w="4675" w:type="dxa"/>
            <w:tcMar>
              <w:top w:w="60" w:type="dxa"/>
              <w:left w:w="100" w:type="dxa"/>
              <w:bottom w:w="60" w:type="dxa"/>
              <w:right w:w="100" w:type="dxa"/>
            </w:tcMar>
          </w:tcPr>
          <w:p w14:paraId="59310CC1" w14:textId="77777777" w:rsidR="008C4E6E" w:rsidRDefault="00000000">
            <w:pPr>
              <w:spacing w:before="20" w:after="20" w:line="290" w:lineRule="auto"/>
              <w:jc w:val="left"/>
            </w:pPr>
            <w:r>
              <w:rPr>
                <w:rFonts w:cs="Calibri"/>
                <w:sz w:val="19"/>
                <w:szCs w:val="19"/>
              </w:rPr>
              <w:t>Return to diplomacy under the June Memorandum</w:t>
            </w:r>
          </w:p>
        </w:tc>
        <w:tc>
          <w:tcPr>
            <w:tcW w:w="4675" w:type="dxa"/>
            <w:tcMar>
              <w:top w:w="60" w:type="dxa"/>
              <w:left w:w="100" w:type="dxa"/>
              <w:bottom w:w="60" w:type="dxa"/>
              <w:right w:w="100" w:type="dxa"/>
            </w:tcMar>
          </w:tcPr>
          <w:p w14:paraId="49C32ED7" w14:textId="77777777" w:rsidR="008C4E6E" w:rsidRDefault="00000000">
            <w:pPr>
              <w:spacing w:before="20" w:after="20" w:line="290" w:lineRule="auto"/>
              <w:jc w:val="left"/>
            </w:pPr>
            <w:r>
              <w:rPr>
                <w:rFonts w:cs="Calibri"/>
                <w:sz w:val="19"/>
                <w:szCs w:val="19"/>
              </w:rPr>
              <w:t>Articles 3.5, 56.2; the Covenant operationalizes the Memorandum's strait track</w:t>
            </w:r>
          </w:p>
        </w:tc>
      </w:tr>
      <w:tr w:rsidR="008C4E6E" w14:paraId="67DCE65E" w14:textId="77777777">
        <w:tblPrEx>
          <w:tblCellMar>
            <w:top w:w="0" w:type="dxa"/>
            <w:bottom w:w="0" w:type="dxa"/>
          </w:tblCellMar>
        </w:tblPrEx>
        <w:tc>
          <w:tcPr>
            <w:tcW w:w="4675" w:type="dxa"/>
            <w:tcMar>
              <w:top w:w="60" w:type="dxa"/>
              <w:left w:w="100" w:type="dxa"/>
              <w:bottom w:w="60" w:type="dxa"/>
              <w:right w:w="100" w:type="dxa"/>
            </w:tcMar>
          </w:tcPr>
          <w:p w14:paraId="00767EA6" w14:textId="77777777" w:rsidR="008C4E6E" w:rsidRDefault="00000000">
            <w:pPr>
              <w:spacing w:before="20" w:after="20" w:line="290" w:lineRule="auto"/>
              <w:jc w:val="left"/>
            </w:pPr>
            <w:r>
              <w:rPr>
                <w:rFonts w:cs="Calibri"/>
                <w:sz w:val="19"/>
                <w:szCs w:val="19"/>
              </w:rPr>
              <w:t>End of the blockade</w:t>
            </w:r>
          </w:p>
        </w:tc>
        <w:tc>
          <w:tcPr>
            <w:tcW w:w="4675" w:type="dxa"/>
            <w:tcMar>
              <w:top w:w="60" w:type="dxa"/>
              <w:left w:w="100" w:type="dxa"/>
              <w:bottom w:w="60" w:type="dxa"/>
              <w:right w:w="100" w:type="dxa"/>
            </w:tcMar>
          </w:tcPr>
          <w:p w14:paraId="5CE5683D" w14:textId="77777777" w:rsidR="008C4E6E" w:rsidRDefault="00000000">
            <w:pPr>
              <w:spacing w:before="20" w:after="20" w:line="290" w:lineRule="auto"/>
              <w:jc w:val="left"/>
            </w:pPr>
            <w:r>
              <w:rPr>
                <w:rFonts w:cs="Calibri"/>
                <w:sz w:val="19"/>
                <w:szCs w:val="19"/>
              </w:rPr>
              <w:t>Synchronized Indivisible Event (Article 38); the pairing is written into the United States adherence instrument (Article 57.4)</w:t>
            </w:r>
          </w:p>
        </w:tc>
      </w:tr>
      <w:tr w:rsidR="008C4E6E" w14:paraId="0309BA79" w14:textId="77777777">
        <w:tblPrEx>
          <w:tblCellMar>
            <w:top w:w="0" w:type="dxa"/>
            <w:bottom w:w="0" w:type="dxa"/>
          </w:tblCellMar>
        </w:tblPrEx>
        <w:tc>
          <w:tcPr>
            <w:tcW w:w="4675" w:type="dxa"/>
            <w:tcMar>
              <w:top w:w="60" w:type="dxa"/>
              <w:left w:w="100" w:type="dxa"/>
              <w:bottom w:w="60" w:type="dxa"/>
              <w:right w:w="100" w:type="dxa"/>
            </w:tcMar>
          </w:tcPr>
          <w:p w14:paraId="207E9345" w14:textId="77777777" w:rsidR="008C4E6E" w:rsidRDefault="00000000">
            <w:pPr>
              <w:spacing w:before="20" w:after="20" w:line="290" w:lineRule="auto"/>
              <w:jc w:val="left"/>
            </w:pPr>
            <w:r>
              <w:rPr>
                <w:rFonts w:cs="Calibri"/>
                <w:b/>
                <w:sz w:val="19"/>
                <w:szCs w:val="19"/>
              </w:rPr>
              <w:t>The Strait does not reopen until the United States corrects its behavior: an end to the blockade, an end to strikes and threats, and compensation for violations of the June Memorandum</w:t>
            </w:r>
          </w:p>
        </w:tc>
        <w:tc>
          <w:tcPr>
            <w:tcW w:w="4675" w:type="dxa"/>
            <w:tcMar>
              <w:top w:w="60" w:type="dxa"/>
              <w:left w:w="100" w:type="dxa"/>
              <w:bottom w:w="60" w:type="dxa"/>
              <w:right w:w="100" w:type="dxa"/>
            </w:tcMar>
          </w:tcPr>
          <w:p w14:paraId="32E47FDB" w14:textId="77777777" w:rsidR="008C4E6E" w:rsidRDefault="00000000">
            <w:pPr>
              <w:spacing w:before="20" w:after="20" w:line="290" w:lineRule="auto"/>
              <w:jc w:val="left"/>
            </w:pPr>
            <w:r>
              <w:rPr>
                <w:rFonts w:cs="Calibri"/>
                <w:b/>
                <w:sz w:val="19"/>
                <w:szCs w:val="19"/>
              </w:rPr>
              <w:t>Pulses One to Three pair every reopening step with a blockade drawdown step, and the blockade terminates in full at Pulse Three (Article 38.7); the interim standstill and the permanent standstill bind all forces equally (Articles 6.11 and 38.2); the Claims Ledger preserves every compensation claim and transmits it to the Islamabad track (Article 56.6)</w:t>
            </w:r>
          </w:p>
        </w:tc>
      </w:tr>
      <w:tr w:rsidR="008C4E6E" w14:paraId="0764B4AA" w14:textId="77777777">
        <w:tblPrEx>
          <w:tblCellMar>
            <w:top w:w="0" w:type="dxa"/>
            <w:bottom w:w="0" w:type="dxa"/>
          </w:tblCellMar>
        </w:tblPrEx>
        <w:tc>
          <w:tcPr>
            <w:tcW w:w="4675" w:type="dxa"/>
            <w:tcMar>
              <w:top w:w="60" w:type="dxa"/>
              <w:left w:w="100" w:type="dxa"/>
              <w:bottom w:w="60" w:type="dxa"/>
              <w:right w:w="100" w:type="dxa"/>
            </w:tcMar>
          </w:tcPr>
          <w:p w14:paraId="27435321" w14:textId="77777777" w:rsidR="008C4E6E" w:rsidRDefault="00000000">
            <w:pPr>
              <w:spacing w:before="20" w:after="20" w:line="290" w:lineRule="auto"/>
              <w:jc w:val="left"/>
            </w:pPr>
            <w:r>
              <w:rPr>
                <w:rFonts w:cs="Calibri"/>
                <w:b/>
                <w:sz w:val="19"/>
                <w:szCs w:val="19"/>
              </w:rPr>
              <w:t>The Strait never returns to its pre-war state; sovereignty and management remain in Iran, in coordination with Oman</w:t>
            </w:r>
          </w:p>
        </w:tc>
        <w:tc>
          <w:tcPr>
            <w:tcW w:w="4675" w:type="dxa"/>
            <w:tcMar>
              <w:top w:w="60" w:type="dxa"/>
              <w:left w:w="100" w:type="dxa"/>
              <w:bottom w:w="60" w:type="dxa"/>
              <w:right w:w="100" w:type="dxa"/>
            </w:tcMar>
          </w:tcPr>
          <w:p w14:paraId="5CD8E20B" w14:textId="77777777" w:rsidR="008C4E6E" w:rsidRDefault="00000000">
            <w:pPr>
              <w:spacing w:before="20" w:after="20" w:line="290" w:lineRule="auto"/>
              <w:jc w:val="left"/>
            </w:pPr>
            <w:r>
              <w:rPr>
                <w:rFonts w:cs="Calibri"/>
                <w:b/>
                <w:sz w:val="19"/>
                <w:szCs w:val="19"/>
              </w:rPr>
              <w:t>The corridor functions of Article 41 and the authority transition of Article 41.8 recognize Iranian management of the northern waters inside the joint architecture; the Covenant constitutes the new model of the Strait and restores nothing</w:t>
            </w:r>
          </w:p>
        </w:tc>
      </w:tr>
      <w:tr w:rsidR="008C4E6E" w14:paraId="036D9560" w14:textId="77777777">
        <w:tblPrEx>
          <w:tblCellMar>
            <w:top w:w="0" w:type="dxa"/>
            <w:bottom w:w="0" w:type="dxa"/>
          </w:tblCellMar>
        </w:tblPrEx>
        <w:tc>
          <w:tcPr>
            <w:tcW w:w="4675" w:type="dxa"/>
            <w:tcMar>
              <w:top w:w="60" w:type="dxa"/>
              <w:left w:w="100" w:type="dxa"/>
              <w:bottom w:w="60" w:type="dxa"/>
              <w:right w:w="100" w:type="dxa"/>
            </w:tcMar>
          </w:tcPr>
          <w:p w14:paraId="3D738A1E" w14:textId="77777777" w:rsidR="008C4E6E" w:rsidRDefault="00000000">
            <w:pPr>
              <w:spacing w:before="20" w:after="20" w:line="290" w:lineRule="auto"/>
              <w:jc w:val="left"/>
            </w:pPr>
            <w:r>
              <w:rPr>
                <w:rFonts w:cs="Calibri"/>
                <w:b/>
                <w:sz w:val="19"/>
                <w:szCs w:val="19"/>
              </w:rPr>
              <w:t>Reopening follows the mechanisms and conditions of the Islamic Republic, through the Oman channel, not through direct talks</w:t>
            </w:r>
          </w:p>
        </w:tc>
        <w:tc>
          <w:tcPr>
            <w:tcW w:w="4675" w:type="dxa"/>
            <w:tcMar>
              <w:top w:w="60" w:type="dxa"/>
              <w:left w:w="100" w:type="dxa"/>
              <w:bottom w:w="60" w:type="dxa"/>
              <w:right w:w="100" w:type="dxa"/>
            </w:tcMar>
          </w:tcPr>
          <w:p w14:paraId="148668C2" w14:textId="77777777" w:rsidR="008C4E6E" w:rsidRDefault="00000000">
            <w:pPr>
              <w:spacing w:before="20" w:after="20" w:line="290" w:lineRule="auto"/>
              <w:jc w:val="left"/>
            </w:pPr>
            <w:r>
              <w:rPr>
                <w:rFonts w:cs="Calibri"/>
                <w:b/>
                <w:sz w:val="19"/>
                <w:szCs w:val="19"/>
              </w:rPr>
              <w:t>The Intermediary Bridge (Article 2.9) runs every step through the Mediator of Record; the route bridge of Article 6.11(d) converts the agreed August 2026 coordinates into the interim corridor geometry; no article requires direct contact</w:t>
            </w:r>
          </w:p>
        </w:tc>
      </w:tr>
    </w:tbl>
    <w:p w14:paraId="1E082E83" w14:textId="77777777" w:rsidR="008C4E6E" w:rsidRDefault="008C4E6E">
      <w:pPr>
        <w:spacing w:after="80"/>
      </w:pPr>
    </w:p>
    <w:p w14:paraId="3AED18A1" w14:textId="77777777" w:rsidR="008C4E6E" w:rsidRDefault="00000000">
      <w:pPr>
        <w:pStyle w:val="Heading2"/>
      </w:pPr>
      <w:bookmarkStart w:id="108" w:name="_Toc237650664"/>
      <w:r>
        <w:rPr>
          <w:rFonts w:cs="Calibri Light"/>
          <w:szCs w:val="28"/>
        </w:rPr>
        <w:t>G.3 The Sultanate of Oman</w:t>
      </w:r>
      <w:bookmarkEnd w:id="108"/>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6D6B6FA1"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34D6A571" w14:textId="77777777" w:rsidR="008C4E6E" w:rsidRDefault="00000000">
            <w:pPr>
              <w:spacing w:before="20" w:after="20" w:line="290" w:lineRule="auto"/>
              <w:jc w:val="left"/>
            </w:pPr>
            <w:r>
              <w:rPr>
                <w:rFonts w:cs="Calibri"/>
                <w:b/>
                <w:color w:val="1F4E5F"/>
                <w:sz w:val="19"/>
                <w:szCs w:val="19"/>
              </w:rPr>
              <w:t>Demand as stated</w:t>
            </w:r>
          </w:p>
        </w:tc>
        <w:tc>
          <w:tcPr>
            <w:tcW w:w="4675" w:type="dxa"/>
            <w:shd w:val="clear" w:color="auto" w:fill="E4EEF1"/>
            <w:tcMar>
              <w:top w:w="60" w:type="dxa"/>
              <w:left w:w="100" w:type="dxa"/>
              <w:bottom w:w="60" w:type="dxa"/>
              <w:right w:w="100" w:type="dxa"/>
            </w:tcMar>
          </w:tcPr>
          <w:p w14:paraId="2995A86F" w14:textId="77777777" w:rsidR="008C4E6E" w:rsidRDefault="00000000">
            <w:pPr>
              <w:spacing w:before="20" w:after="20" w:line="290" w:lineRule="auto"/>
              <w:jc w:val="left"/>
            </w:pPr>
            <w:r>
              <w:rPr>
                <w:rFonts w:cs="Calibri"/>
                <w:b/>
                <w:color w:val="1F4E5F"/>
                <w:sz w:val="19"/>
                <w:szCs w:val="19"/>
              </w:rPr>
              <w:t>Answer in this Covenant</w:t>
            </w:r>
          </w:p>
        </w:tc>
      </w:tr>
      <w:tr w:rsidR="008C4E6E" w14:paraId="5777C8DD" w14:textId="77777777">
        <w:tblPrEx>
          <w:tblCellMar>
            <w:top w:w="0" w:type="dxa"/>
            <w:bottom w:w="0" w:type="dxa"/>
          </w:tblCellMar>
        </w:tblPrEx>
        <w:tc>
          <w:tcPr>
            <w:tcW w:w="4675" w:type="dxa"/>
            <w:tcMar>
              <w:top w:w="60" w:type="dxa"/>
              <w:left w:w="100" w:type="dxa"/>
              <w:bottom w:w="60" w:type="dxa"/>
              <w:right w:w="100" w:type="dxa"/>
            </w:tcMar>
          </w:tcPr>
          <w:p w14:paraId="4DA6745D" w14:textId="77777777" w:rsidR="008C4E6E" w:rsidRDefault="00000000">
            <w:pPr>
              <w:spacing w:before="20" w:after="20" w:line="290" w:lineRule="auto"/>
              <w:jc w:val="left"/>
            </w:pPr>
            <w:r>
              <w:rPr>
                <w:rFonts w:cs="Calibri"/>
                <w:sz w:val="19"/>
                <w:szCs w:val="19"/>
              </w:rPr>
              <w:t>Neutrality and protection from sanctions exposure</w:t>
            </w:r>
          </w:p>
        </w:tc>
        <w:tc>
          <w:tcPr>
            <w:tcW w:w="4675" w:type="dxa"/>
            <w:tcMar>
              <w:top w:w="60" w:type="dxa"/>
              <w:left w:w="100" w:type="dxa"/>
              <w:bottom w:w="60" w:type="dxa"/>
              <w:right w:w="100" w:type="dxa"/>
            </w:tcMar>
          </w:tcPr>
          <w:p w14:paraId="05CAFDD0" w14:textId="77777777" w:rsidR="008C4E6E" w:rsidRDefault="00000000">
            <w:pPr>
              <w:spacing w:before="20" w:after="20" w:line="290" w:lineRule="auto"/>
              <w:jc w:val="left"/>
            </w:pPr>
            <w:r>
              <w:rPr>
                <w:rFonts w:cs="Calibri"/>
                <w:sz w:val="19"/>
                <w:szCs w:val="19"/>
              </w:rPr>
              <w:t>Swiss-administered firewall (Article 52.1); no direct payment between any shipper and any state; the administrator's compliance opinion settles coverage questions</w:t>
            </w:r>
          </w:p>
        </w:tc>
      </w:tr>
      <w:tr w:rsidR="008C4E6E" w14:paraId="1C516607" w14:textId="77777777">
        <w:tblPrEx>
          <w:tblCellMar>
            <w:top w:w="0" w:type="dxa"/>
            <w:bottom w:w="0" w:type="dxa"/>
          </w:tblCellMar>
        </w:tblPrEx>
        <w:tc>
          <w:tcPr>
            <w:tcW w:w="4675" w:type="dxa"/>
            <w:tcMar>
              <w:top w:w="60" w:type="dxa"/>
              <w:left w:w="100" w:type="dxa"/>
              <w:bottom w:w="60" w:type="dxa"/>
              <w:right w:w="100" w:type="dxa"/>
            </w:tcMar>
          </w:tcPr>
          <w:p w14:paraId="296197E2" w14:textId="77777777" w:rsidR="008C4E6E" w:rsidRDefault="00000000">
            <w:pPr>
              <w:spacing w:before="20" w:after="20" w:line="290" w:lineRule="auto"/>
              <w:jc w:val="left"/>
            </w:pPr>
            <w:r>
              <w:rPr>
                <w:rFonts w:cs="Calibri"/>
                <w:sz w:val="19"/>
                <w:szCs w:val="19"/>
              </w:rPr>
              <w:t>Joint management on the Malacca model</w:t>
            </w:r>
          </w:p>
        </w:tc>
        <w:tc>
          <w:tcPr>
            <w:tcW w:w="4675" w:type="dxa"/>
            <w:tcMar>
              <w:top w:w="60" w:type="dxa"/>
              <w:left w:w="100" w:type="dxa"/>
              <w:bottom w:w="60" w:type="dxa"/>
              <w:right w:w="100" w:type="dxa"/>
            </w:tcMar>
          </w:tcPr>
          <w:p w14:paraId="200C8B86" w14:textId="77777777" w:rsidR="008C4E6E" w:rsidRDefault="00000000">
            <w:pPr>
              <w:spacing w:before="20" w:after="20" w:line="290" w:lineRule="auto"/>
              <w:jc w:val="left"/>
            </w:pPr>
            <w:r>
              <w:rPr>
                <w:rFonts w:cs="Calibri"/>
                <w:sz w:val="19"/>
                <w:szCs w:val="19"/>
              </w:rPr>
              <w:t>Co-management of Corridor Three (Article 41.4); the Fund's cooperative mechanism (Article 51.3); the Omani proposal of 28 July 2026 cited as the model</w:t>
            </w:r>
          </w:p>
        </w:tc>
      </w:tr>
      <w:tr w:rsidR="008C4E6E" w14:paraId="3823F2FF" w14:textId="77777777">
        <w:tblPrEx>
          <w:tblCellMar>
            <w:top w:w="0" w:type="dxa"/>
            <w:bottom w:w="0" w:type="dxa"/>
          </w:tblCellMar>
        </w:tblPrEx>
        <w:tc>
          <w:tcPr>
            <w:tcW w:w="4675" w:type="dxa"/>
            <w:tcMar>
              <w:top w:w="60" w:type="dxa"/>
              <w:left w:w="100" w:type="dxa"/>
              <w:bottom w:w="60" w:type="dxa"/>
              <w:right w:w="100" w:type="dxa"/>
            </w:tcMar>
          </w:tcPr>
          <w:p w14:paraId="79C3E5EB" w14:textId="77777777" w:rsidR="008C4E6E" w:rsidRDefault="00000000">
            <w:pPr>
              <w:spacing w:before="20" w:after="20" w:line="290" w:lineRule="auto"/>
              <w:jc w:val="left"/>
            </w:pPr>
            <w:r>
              <w:rPr>
                <w:rFonts w:cs="Calibri"/>
                <w:sz w:val="19"/>
                <w:szCs w:val="19"/>
              </w:rPr>
              <w:t>No militarization near Omani shores</w:t>
            </w:r>
          </w:p>
        </w:tc>
        <w:tc>
          <w:tcPr>
            <w:tcW w:w="4675" w:type="dxa"/>
            <w:tcMar>
              <w:top w:w="60" w:type="dxa"/>
              <w:left w:w="100" w:type="dxa"/>
              <w:bottom w:w="60" w:type="dxa"/>
              <w:right w:w="100" w:type="dxa"/>
            </w:tcMar>
          </w:tcPr>
          <w:p w14:paraId="6B585E3B" w14:textId="77777777" w:rsidR="008C4E6E" w:rsidRDefault="00000000">
            <w:pPr>
              <w:spacing w:before="20" w:after="20" w:line="290" w:lineRule="auto"/>
              <w:jc w:val="left"/>
            </w:pPr>
            <w:r>
              <w:rPr>
                <w:rFonts w:cs="Calibri"/>
                <w:sz w:val="19"/>
                <w:szCs w:val="19"/>
              </w:rPr>
              <w:t>Standstill (Article 38.2); standoff geometry (Article 47.1); external-force rule (Article 47.6)</w:t>
            </w:r>
          </w:p>
        </w:tc>
      </w:tr>
      <w:tr w:rsidR="008C4E6E" w14:paraId="585374E1" w14:textId="77777777">
        <w:tblPrEx>
          <w:tblCellMar>
            <w:top w:w="0" w:type="dxa"/>
            <w:bottom w:w="0" w:type="dxa"/>
          </w:tblCellMar>
        </w:tblPrEx>
        <w:tc>
          <w:tcPr>
            <w:tcW w:w="4675" w:type="dxa"/>
            <w:tcMar>
              <w:top w:w="60" w:type="dxa"/>
              <w:left w:w="100" w:type="dxa"/>
              <w:bottom w:w="60" w:type="dxa"/>
              <w:right w:w="100" w:type="dxa"/>
            </w:tcMar>
          </w:tcPr>
          <w:p w14:paraId="562DFA53" w14:textId="77777777" w:rsidR="008C4E6E" w:rsidRDefault="00000000">
            <w:pPr>
              <w:spacing w:before="20" w:after="20" w:line="290" w:lineRule="auto"/>
              <w:jc w:val="left"/>
            </w:pPr>
            <w:r>
              <w:rPr>
                <w:rFonts w:cs="Calibri"/>
                <w:sz w:val="19"/>
                <w:szCs w:val="19"/>
              </w:rPr>
              <w:t>Transparent, internationally registered procedure</w:t>
            </w:r>
          </w:p>
        </w:tc>
        <w:tc>
          <w:tcPr>
            <w:tcW w:w="4675" w:type="dxa"/>
            <w:tcMar>
              <w:top w:w="60" w:type="dxa"/>
              <w:left w:w="100" w:type="dxa"/>
              <w:bottom w:w="60" w:type="dxa"/>
              <w:right w:w="100" w:type="dxa"/>
            </w:tcMar>
          </w:tcPr>
          <w:p w14:paraId="3CE92C40" w14:textId="77777777" w:rsidR="008C4E6E" w:rsidRDefault="00000000">
            <w:pPr>
              <w:spacing w:before="20" w:after="20" w:line="290" w:lineRule="auto"/>
              <w:jc w:val="left"/>
            </w:pPr>
            <w:r>
              <w:rPr>
                <w:rFonts w:cs="Calibri"/>
                <w:sz w:val="19"/>
                <w:szCs w:val="19"/>
              </w:rPr>
              <w:t xml:space="preserve">IMO and IHO registration (Article 41.7); the public Bulletin; </w:t>
            </w:r>
            <w:r>
              <w:rPr>
                <w:rFonts w:cs="Calibri"/>
                <w:sz w:val="19"/>
                <w:szCs w:val="19"/>
              </w:rPr>
              <w:lastRenderedPageBreak/>
              <w:t>the published rate card</w:t>
            </w:r>
          </w:p>
        </w:tc>
      </w:tr>
    </w:tbl>
    <w:p w14:paraId="14B7CF95" w14:textId="77777777" w:rsidR="008C4E6E" w:rsidRDefault="008C4E6E">
      <w:pPr>
        <w:spacing w:after="80"/>
      </w:pPr>
    </w:p>
    <w:p w14:paraId="6AA3338F" w14:textId="77777777" w:rsidR="008C4E6E" w:rsidRDefault="00000000">
      <w:pPr>
        <w:pStyle w:val="Heading2"/>
      </w:pPr>
      <w:bookmarkStart w:id="109" w:name="_Toc237650665"/>
      <w:r>
        <w:rPr>
          <w:rFonts w:cs="Calibri Light"/>
          <w:szCs w:val="28"/>
        </w:rPr>
        <w:t>G.4 The Gulf Cooperation Council States and Iraq</w:t>
      </w:r>
      <w:bookmarkEnd w:id="109"/>
    </w:p>
    <w:p w14:paraId="11FDEA24" w14:textId="77777777" w:rsidR="008C4E6E" w:rsidRDefault="00000000">
      <w:r>
        <w:rPr>
          <w:rFonts w:cs="Calibri"/>
          <w:szCs w:val="22"/>
        </w:rPr>
        <w:t>Predictability, transparency, and a seat at any table that governs their waters: Observer membership with Commission seats, watch pairs, and the full fused picture (Articles 2.3, 57.2); the accession pathway to fuller status (Article 57.1); the opening contribution window as stakeholders rather than bystanders (Article 51.3). The Houthis' pressure on Red Sea lanes travels on its own track under the sealed bulkhead; the Covenant's answer to it is proof that a Gulf waterway stays open under regional management.</w:t>
      </w:r>
    </w:p>
    <w:p w14:paraId="550C1DDA" w14:textId="77777777" w:rsidR="008C4E6E" w:rsidRDefault="00000000">
      <w:pPr>
        <w:pStyle w:val="Heading2"/>
      </w:pPr>
      <w:bookmarkStart w:id="110" w:name="_Toc237650666"/>
      <w:r>
        <w:rPr>
          <w:rFonts w:cs="Calibri Light"/>
          <w:szCs w:val="28"/>
        </w:rPr>
        <w:t>G.5 The European States and Maritime Bodies</w:t>
      </w:r>
      <w:bookmarkEnd w:id="110"/>
    </w:p>
    <w:p w14:paraId="4CE20591" w14:textId="77777777" w:rsidR="008C4E6E" w:rsidRDefault="00000000">
      <w:r>
        <w:rPr>
          <w:rFonts w:cs="Calibri"/>
          <w:szCs w:val="22"/>
        </w:rPr>
        <w:t>Safety of navigation, mine clearance that parliaments support, and registration with international bodies: the Joint Survey Group under United Nations coordination with Contributing Participant capability (Article 46.2); IMO and IHO registration (Article 41.7); Technical Participant status (Article 2.4). The France-United Kingdom mission's offered capability converts into a defined, civilian-supervised survey and certification function rather than a parallel command.</w:t>
      </w:r>
    </w:p>
    <w:p w14:paraId="15FC6F8F" w14:textId="77777777" w:rsidR="008C4E6E" w:rsidRDefault="00000000">
      <w:pPr>
        <w:pStyle w:val="Heading2"/>
      </w:pPr>
      <w:bookmarkStart w:id="111" w:name="_Toc237650667"/>
      <w:r>
        <w:rPr>
          <w:rFonts w:cs="Calibri Light"/>
          <w:szCs w:val="28"/>
        </w:rPr>
        <w:t>G.6 The Shipping and Insurance Industries</w:t>
      </w:r>
      <w:bookmarkEnd w:id="111"/>
    </w:p>
    <w:p w14:paraId="1050794C" w14:textId="77777777" w:rsidR="008C4E6E" w:rsidRDefault="00000000">
      <w:r>
        <w:rPr>
          <w:rFonts w:cs="Calibri"/>
          <w:szCs w:val="22"/>
        </w:rPr>
        <w:t>No fees at the point of transit, cost certainty, and honest risk data: the Zero-Toll Rule and the port-processing valve (Articles 50, 52.4); the heavy-user cap (Annex C.1.6); the Industry Panel's seat inside the system (Article 48.6); the insurance benchmark of Article 34.2; the market version of the Bulletin (Article 44.4).</w:t>
      </w:r>
    </w:p>
    <w:p w14:paraId="7A4A22DC" w14:textId="77777777" w:rsidR="008C4E6E" w:rsidRDefault="00000000">
      <w:pPr>
        <w:pStyle w:val="Heading2"/>
      </w:pPr>
      <w:bookmarkStart w:id="112" w:name="_Toc237650668"/>
      <w:r>
        <w:rPr>
          <w:rFonts w:cs="Calibri Light"/>
          <w:szCs w:val="28"/>
        </w:rPr>
        <w:t>G.7 Demands Outside This Covenant</w:t>
      </w:r>
      <w:bookmarkEnd w:id="112"/>
    </w:p>
    <w:p w14:paraId="0928525A" w14:textId="77777777" w:rsidR="008C4E6E" w:rsidRDefault="00000000">
      <w:r>
        <w:rPr>
          <w:rFonts w:cs="Calibri"/>
          <w:szCs w:val="22"/>
        </w:rPr>
        <w:t>Three publicly stated demands fall outside the strait file, and this Register marks them honestly rather than pretending otherwise. The nuclear file, including enrichment limits and the disposition of enriched material, travels on the Islamabad track. The political constitution of any state answers to its own people, and this Covenant is deliberately indifferent to it: the architecture measures performance on the water and ignores rhetoric and regime questions alike (Article 4.11). Regional conflicts beyond the Governance Area travel on their own tracks. The Covenant supports all three tracks by proving, on the water, that synchronized, verified, reversible cooperation works; it claims no authority over any of them.</w:t>
      </w:r>
    </w:p>
    <w:p w14:paraId="6AEC070E" w14:textId="77777777" w:rsidR="008C4E6E" w:rsidRDefault="00000000">
      <w:pPr>
        <w:pStyle w:val="Heading1"/>
      </w:pPr>
      <w:bookmarkStart w:id="113" w:name="_Toc237650669"/>
      <w:r>
        <w:rPr>
          <w:rFonts w:ascii="Calibri" w:hAnsi="Calibri" w:cs="Calibri"/>
          <w:color w:val="2B3A42"/>
          <w:sz w:val="19"/>
          <w:szCs w:val="19"/>
        </w:rPr>
        <w:lastRenderedPageBreak/>
        <w:t>Annex H: Model Public Statements and Holding Statements</w:t>
      </w:r>
      <w:bookmarkEnd w:id="113"/>
    </w:p>
    <w:p w14:paraId="7BD7A569" w14:textId="77777777" w:rsidR="008C4E6E" w:rsidRDefault="00000000">
      <w:r>
        <w:rPr>
          <w:rFonts w:cs="Calibri"/>
          <w:szCs w:val="22"/>
        </w:rPr>
        <w:t>Framing autonomy is a design principle: each capital presents the Covenant in its own words. These model statements supply the cleared language for the sensitive moments. A participant adapts them freely for tone; the factual content stays inside the Registry record.</w:t>
      </w:r>
    </w:p>
    <w:p w14:paraId="1AF19AC4" w14:textId="77777777" w:rsidR="008C4E6E" w:rsidRDefault="00000000">
      <w:pPr>
        <w:pStyle w:val="Heading2"/>
      </w:pPr>
      <w:bookmarkStart w:id="114" w:name="_Toc237650670"/>
      <w:r>
        <w:rPr>
          <w:rFonts w:cs="Calibri Light"/>
          <w:szCs w:val="28"/>
        </w:rPr>
        <w:t>H.1 The Synchronized Indivisible Event</w:t>
      </w:r>
      <w:bookmarkEnd w:id="114"/>
    </w:p>
    <w:p w14:paraId="41CB2127" w14:textId="77777777" w:rsidR="008C4E6E" w:rsidRDefault="00000000">
      <w:pPr>
        <w:spacing w:after="100" w:line="310" w:lineRule="auto"/>
        <w:ind w:left="430" w:hanging="230"/>
      </w:pPr>
      <w:r>
        <w:rPr>
          <w:rFonts w:cs="Calibri"/>
          <w:i/>
          <w:color w:val="6E8A96"/>
          <w:sz w:val="19"/>
          <w:szCs w:val="19"/>
        </w:rPr>
        <w:t xml:space="preserve">•  </w:t>
      </w:r>
      <w:r>
        <w:rPr>
          <w:rFonts w:cs="Calibri"/>
          <w:szCs w:val="22"/>
        </w:rPr>
        <w:t>Tehran: Iran's sovereignty over its waters stands fully recognized. Iranian officers manage the northern corridor, the blockade of our ports ends in this same hour, and our services to world shipping receive lawful compensation through an international fund. The Strait is open, and it opens under Iranian management of Iranian waters.</w:t>
      </w:r>
    </w:p>
    <w:p w14:paraId="28C3A7BE" w14:textId="77777777" w:rsidR="008C4E6E" w:rsidRDefault="00000000">
      <w:pPr>
        <w:spacing w:after="100" w:line="310" w:lineRule="auto"/>
        <w:ind w:left="430" w:hanging="230"/>
      </w:pPr>
      <w:r>
        <w:rPr>
          <w:rFonts w:cs="Calibri"/>
          <w:i/>
          <w:color w:val="6E8A96"/>
          <w:sz w:val="19"/>
          <w:szCs w:val="19"/>
        </w:rPr>
        <w:t xml:space="preserve">•  </w:t>
      </w:r>
      <w:r>
        <w:rPr>
          <w:rFonts w:cs="Calibri"/>
          <w:szCs w:val="22"/>
        </w:rPr>
        <w:t>Muscat: The two coastal states of the Strait of Hormuz today activate a joint, civilian, internationally registered system for safe and free navigation. Oman is honored to host its center and to serve as Mediator of Record.</w:t>
      </w:r>
    </w:p>
    <w:p w14:paraId="7506DDF1" w14:textId="77777777" w:rsidR="008C4E6E" w:rsidRDefault="00000000">
      <w:pPr>
        <w:spacing w:after="100" w:line="310" w:lineRule="auto"/>
        <w:ind w:left="430" w:hanging="230"/>
      </w:pPr>
      <w:r>
        <w:rPr>
          <w:rFonts w:cs="Calibri"/>
          <w:i/>
          <w:color w:val="6E8A96"/>
          <w:sz w:val="19"/>
          <w:szCs w:val="19"/>
        </w:rPr>
        <w:t xml:space="preserve">•  </w:t>
      </w:r>
      <w:r>
        <w:rPr>
          <w:rFonts w:cs="Calibri"/>
          <w:szCs w:val="22"/>
        </w:rPr>
        <w:t>Washington: The Strait of Hormuz is open, toll-free, and verified. Not one dollar charges passage, not one ship needs anyone's permission, and American monitoring sees every transit in real time. The blockade ends because the strait opened, in the same hour, exactly as the deal required.</w:t>
      </w:r>
    </w:p>
    <w:p w14:paraId="237D500D" w14:textId="77777777" w:rsidR="008C4E6E" w:rsidRDefault="00000000">
      <w:pPr>
        <w:pStyle w:val="Heading2"/>
      </w:pPr>
      <w:bookmarkStart w:id="115" w:name="_Toc237650671"/>
      <w:r>
        <w:rPr>
          <w:rFonts w:cs="Calibri Light"/>
          <w:szCs w:val="28"/>
        </w:rPr>
        <w:t>H.2 Holding Statements (First Forty-Eight Hours After an Incident)</w:t>
      </w:r>
      <w:bookmarkEnd w:id="115"/>
    </w:p>
    <w:p w14:paraId="1974D2F9" w14:textId="77777777" w:rsidR="008C4E6E" w:rsidRDefault="00000000">
      <w:pPr>
        <w:spacing w:after="100" w:line="310" w:lineRule="auto"/>
        <w:ind w:left="430" w:hanging="230"/>
      </w:pPr>
      <w:r>
        <w:rPr>
          <w:rFonts w:cs="Calibri"/>
          <w:i/>
          <w:color w:val="6E8A96"/>
          <w:sz w:val="19"/>
          <w:szCs w:val="19"/>
        </w:rPr>
        <w:t xml:space="preserve">•  </w:t>
      </w:r>
      <w:r>
        <w:rPr>
          <w:rFonts w:cs="Calibri"/>
          <w:szCs w:val="22"/>
        </w:rPr>
        <w:t>We are aware of an incident in the Strait of Hormuz. The facts are under joint verification. The corridors remain open and traffic continues. We speak again when the record converges.</w:t>
      </w:r>
    </w:p>
    <w:p w14:paraId="31CE628A" w14:textId="77777777" w:rsidR="008C4E6E" w:rsidRDefault="00000000">
      <w:pPr>
        <w:spacing w:after="100" w:line="310" w:lineRule="auto"/>
        <w:ind w:left="430" w:hanging="230"/>
      </w:pPr>
      <w:r>
        <w:rPr>
          <w:rFonts w:cs="Calibri"/>
          <w:i/>
          <w:color w:val="6E8A96"/>
          <w:sz w:val="19"/>
          <w:szCs w:val="19"/>
        </w:rPr>
        <w:t xml:space="preserve">•  </w:t>
      </w:r>
      <w:r>
        <w:rPr>
          <w:rFonts w:cs="Calibri"/>
          <w:szCs w:val="22"/>
        </w:rPr>
        <w:t>No participant attributes this incident at this time. The verification architecture exists for exactly this moment, and it is working.</w:t>
      </w:r>
    </w:p>
    <w:p w14:paraId="55A717EE" w14:textId="77777777" w:rsidR="008C4E6E" w:rsidRDefault="00000000">
      <w:pPr>
        <w:pStyle w:val="Heading2"/>
      </w:pPr>
      <w:bookmarkStart w:id="116" w:name="_Toc237650672"/>
      <w:r>
        <w:rPr>
          <w:rFonts w:cs="Calibri Light"/>
          <w:szCs w:val="28"/>
        </w:rPr>
        <w:t>H.3 Gate Certifications</w:t>
      </w:r>
      <w:bookmarkEnd w:id="116"/>
    </w:p>
    <w:p w14:paraId="064DF076" w14:textId="77777777" w:rsidR="008C4E6E" w:rsidRDefault="00000000">
      <w:pPr>
        <w:spacing w:after="100" w:line="310" w:lineRule="auto"/>
        <w:ind w:left="430" w:hanging="230"/>
      </w:pPr>
      <w:r>
        <w:rPr>
          <w:rFonts w:cs="Calibri"/>
          <w:i/>
          <w:color w:val="6E8A96"/>
          <w:sz w:val="19"/>
          <w:szCs w:val="19"/>
        </w:rPr>
        <w:t xml:space="preserve">•  </w:t>
      </w:r>
      <w:r>
        <w:rPr>
          <w:rFonts w:cs="Calibri"/>
          <w:szCs w:val="22"/>
        </w:rPr>
        <w:t>The participants announce that the measured conditions of Gate [number] stand certified on the converged record. Layer [number] activates at the next activation window. The water, not any capital, made this decision.</w:t>
      </w:r>
    </w:p>
    <w:p w14:paraId="770EA107" w14:textId="77777777" w:rsidR="008C4E6E" w:rsidRDefault="00000000">
      <w:pPr>
        <w:pStyle w:val="Heading1"/>
      </w:pPr>
      <w:bookmarkStart w:id="117" w:name="_Toc237650673"/>
      <w:r>
        <w:rPr>
          <w:rFonts w:ascii="Calibri" w:eastAsia="Calibri" w:hAnsi="Calibri" w:cs="Calibri"/>
          <w:sz w:val="22"/>
          <w:szCs w:val="22"/>
        </w:rPr>
        <w:t>Annex I: Glossary and Neutral Terminology</w:t>
      </w:r>
      <w:bookmarkEnd w:id="117"/>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50C5FECD"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0744724C" w14:textId="77777777" w:rsidR="008C4E6E" w:rsidRDefault="00000000">
            <w:pPr>
              <w:spacing w:before="20" w:after="20" w:line="290" w:lineRule="auto"/>
              <w:jc w:val="left"/>
            </w:pPr>
            <w:r>
              <w:rPr>
                <w:rFonts w:cs="Calibri"/>
                <w:b/>
                <w:color w:val="1F4E5F"/>
                <w:sz w:val="19"/>
                <w:szCs w:val="19"/>
              </w:rPr>
              <w:t>Term</w:t>
            </w:r>
          </w:p>
        </w:tc>
        <w:tc>
          <w:tcPr>
            <w:tcW w:w="4675" w:type="dxa"/>
            <w:shd w:val="clear" w:color="auto" w:fill="E4EEF1"/>
            <w:tcMar>
              <w:top w:w="60" w:type="dxa"/>
              <w:left w:w="100" w:type="dxa"/>
              <w:bottom w:w="60" w:type="dxa"/>
              <w:right w:w="100" w:type="dxa"/>
            </w:tcMar>
          </w:tcPr>
          <w:p w14:paraId="67E17EAF" w14:textId="77777777" w:rsidR="008C4E6E" w:rsidRDefault="00000000">
            <w:pPr>
              <w:spacing w:before="20" w:after="20" w:line="290" w:lineRule="auto"/>
              <w:jc w:val="left"/>
            </w:pPr>
            <w:r>
              <w:rPr>
                <w:rFonts w:cs="Calibri"/>
                <w:b/>
                <w:color w:val="1F4E5F"/>
                <w:sz w:val="19"/>
                <w:szCs w:val="19"/>
              </w:rPr>
              <w:t>Meaning</w:t>
            </w:r>
          </w:p>
        </w:tc>
      </w:tr>
      <w:tr w:rsidR="008C4E6E" w14:paraId="14039FDB" w14:textId="77777777">
        <w:tblPrEx>
          <w:tblCellMar>
            <w:top w:w="0" w:type="dxa"/>
            <w:bottom w:w="0" w:type="dxa"/>
          </w:tblCellMar>
        </w:tblPrEx>
        <w:tc>
          <w:tcPr>
            <w:tcW w:w="4675" w:type="dxa"/>
            <w:tcMar>
              <w:top w:w="60" w:type="dxa"/>
              <w:left w:w="100" w:type="dxa"/>
              <w:bottom w:w="60" w:type="dxa"/>
              <w:right w:w="100" w:type="dxa"/>
            </w:tcMar>
          </w:tcPr>
          <w:p w14:paraId="56CCE8A5" w14:textId="77777777" w:rsidR="008C4E6E" w:rsidRDefault="00000000">
            <w:pPr>
              <w:spacing w:before="20" w:after="20" w:line="290" w:lineRule="auto"/>
              <w:jc w:val="left"/>
            </w:pPr>
            <w:r>
              <w:rPr>
                <w:rFonts w:cs="Calibri"/>
                <w:sz w:val="19"/>
                <w:szCs w:val="19"/>
              </w:rPr>
              <w:t>Activation window</w:t>
            </w:r>
          </w:p>
        </w:tc>
        <w:tc>
          <w:tcPr>
            <w:tcW w:w="4675" w:type="dxa"/>
            <w:tcMar>
              <w:top w:w="60" w:type="dxa"/>
              <w:left w:w="100" w:type="dxa"/>
              <w:bottom w:w="60" w:type="dxa"/>
              <w:right w:w="100" w:type="dxa"/>
            </w:tcMar>
          </w:tcPr>
          <w:p w14:paraId="0E05EA8B" w14:textId="77777777" w:rsidR="008C4E6E" w:rsidRDefault="00000000">
            <w:pPr>
              <w:spacing w:before="20" w:after="20" w:line="290" w:lineRule="auto"/>
              <w:jc w:val="left"/>
            </w:pPr>
            <w:r>
              <w:rPr>
                <w:rFonts w:cs="Calibri"/>
                <w:sz w:val="19"/>
                <w:szCs w:val="19"/>
              </w:rPr>
              <w:t>Monday at 00:01 Gulf Standard Time, the weekly moment at which a certified layer activates</w:t>
            </w:r>
          </w:p>
        </w:tc>
      </w:tr>
      <w:tr w:rsidR="008C4E6E" w14:paraId="254FF0AC" w14:textId="77777777">
        <w:tblPrEx>
          <w:tblCellMar>
            <w:top w:w="0" w:type="dxa"/>
            <w:bottom w:w="0" w:type="dxa"/>
          </w:tblCellMar>
        </w:tblPrEx>
        <w:tc>
          <w:tcPr>
            <w:tcW w:w="4675" w:type="dxa"/>
            <w:tcMar>
              <w:top w:w="60" w:type="dxa"/>
              <w:left w:w="100" w:type="dxa"/>
              <w:bottom w:w="60" w:type="dxa"/>
              <w:right w:w="100" w:type="dxa"/>
            </w:tcMar>
          </w:tcPr>
          <w:p w14:paraId="6A18415D" w14:textId="77777777" w:rsidR="008C4E6E" w:rsidRDefault="00000000">
            <w:pPr>
              <w:spacing w:before="20" w:after="20" w:line="290" w:lineRule="auto"/>
              <w:jc w:val="left"/>
            </w:pPr>
            <w:r>
              <w:rPr>
                <w:rFonts w:cs="Calibri"/>
                <w:sz w:val="19"/>
                <w:szCs w:val="19"/>
              </w:rPr>
              <w:t>Anchor officer</w:t>
            </w:r>
          </w:p>
        </w:tc>
        <w:tc>
          <w:tcPr>
            <w:tcW w:w="4675" w:type="dxa"/>
            <w:tcMar>
              <w:top w:w="60" w:type="dxa"/>
              <w:left w:w="100" w:type="dxa"/>
              <w:bottom w:w="60" w:type="dxa"/>
              <w:right w:w="100" w:type="dxa"/>
            </w:tcMar>
          </w:tcPr>
          <w:p w14:paraId="3F907E74" w14:textId="77777777" w:rsidR="008C4E6E" w:rsidRDefault="00000000">
            <w:pPr>
              <w:spacing w:before="20" w:after="20" w:line="290" w:lineRule="auto"/>
              <w:jc w:val="left"/>
            </w:pPr>
            <w:r>
              <w:rPr>
                <w:rFonts w:cs="Calibri"/>
                <w:sz w:val="19"/>
                <w:szCs w:val="19"/>
              </w:rPr>
              <w:t>A named human officer who records a claim under the anchor-and-verify protocol</w:t>
            </w:r>
          </w:p>
        </w:tc>
      </w:tr>
      <w:tr w:rsidR="008C4E6E" w14:paraId="7E4DFEA9" w14:textId="77777777">
        <w:tblPrEx>
          <w:tblCellMar>
            <w:top w:w="0" w:type="dxa"/>
            <w:bottom w:w="0" w:type="dxa"/>
          </w:tblCellMar>
        </w:tblPrEx>
        <w:tc>
          <w:tcPr>
            <w:tcW w:w="4675" w:type="dxa"/>
            <w:tcMar>
              <w:top w:w="60" w:type="dxa"/>
              <w:left w:w="100" w:type="dxa"/>
              <w:bottom w:w="60" w:type="dxa"/>
              <w:right w:w="100" w:type="dxa"/>
            </w:tcMar>
          </w:tcPr>
          <w:p w14:paraId="06D0C9BC" w14:textId="77777777" w:rsidR="008C4E6E" w:rsidRDefault="00000000">
            <w:pPr>
              <w:spacing w:before="20" w:after="20" w:line="290" w:lineRule="auto"/>
              <w:jc w:val="left"/>
            </w:pPr>
            <w:r>
              <w:rPr>
                <w:rFonts w:cs="Calibri"/>
                <w:sz w:val="19"/>
                <w:szCs w:val="19"/>
              </w:rPr>
              <w:lastRenderedPageBreak/>
              <w:t>Banked performance</w:t>
            </w:r>
          </w:p>
        </w:tc>
        <w:tc>
          <w:tcPr>
            <w:tcW w:w="4675" w:type="dxa"/>
            <w:tcMar>
              <w:top w:w="60" w:type="dxa"/>
              <w:left w:w="100" w:type="dxa"/>
              <w:bottom w:w="60" w:type="dxa"/>
              <w:right w:w="100" w:type="dxa"/>
            </w:tcMar>
          </w:tcPr>
          <w:p w14:paraId="12D7DD35" w14:textId="77777777" w:rsidR="008C4E6E" w:rsidRDefault="00000000">
            <w:pPr>
              <w:spacing w:before="20" w:after="20" w:line="290" w:lineRule="auto"/>
              <w:jc w:val="left"/>
            </w:pPr>
            <w:r>
              <w:rPr>
                <w:rFonts w:cs="Calibri"/>
                <w:sz w:val="19"/>
                <w:szCs w:val="19"/>
              </w:rPr>
              <w:t>Verified performance that, once certified, never uncertifies under the continuity guarantee</w:t>
            </w:r>
          </w:p>
        </w:tc>
      </w:tr>
      <w:tr w:rsidR="008C4E6E" w14:paraId="4DECC614" w14:textId="77777777">
        <w:tblPrEx>
          <w:tblCellMar>
            <w:top w:w="0" w:type="dxa"/>
            <w:bottom w:w="0" w:type="dxa"/>
          </w:tblCellMar>
        </w:tblPrEx>
        <w:tc>
          <w:tcPr>
            <w:tcW w:w="4675" w:type="dxa"/>
            <w:tcMar>
              <w:top w:w="60" w:type="dxa"/>
              <w:left w:w="100" w:type="dxa"/>
              <w:bottom w:w="60" w:type="dxa"/>
              <w:right w:w="100" w:type="dxa"/>
            </w:tcMar>
          </w:tcPr>
          <w:p w14:paraId="112F9362" w14:textId="77777777" w:rsidR="008C4E6E" w:rsidRDefault="00000000">
            <w:pPr>
              <w:spacing w:before="20" w:after="20" w:line="290" w:lineRule="auto"/>
              <w:jc w:val="left"/>
            </w:pPr>
            <w:r>
              <w:rPr>
                <w:rFonts w:cs="Calibri"/>
                <w:sz w:val="19"/>
                <w:szCs w:val="19"/>
              </w:rPr>
              <w:t>Calm Waters Cell</w:t>
            </w:r>
          </w:p>
        </w:tc>
        <w:tc>
          <w:tcPr>
            <w:tcW w:w="4675" w:type="dxa"/>
            <w:tcMar>
              <w:top w:w="60" w:type="dxa"/>
              <w:left w:w="100" w:type="dxa"/>
              <w:bottom w:w="60" w:type="dxa"/>
              <w:right w:w="100" w:type="dxa"/>
            </w:tcMar>
          </w:tcPr>
          <w:p w14:paraId="6935BEFC" w14:textId="77777777" w:rsidR="008C4E6E" w:rsidRDefault="00000000">
            <w:pPr>
              <w:spacing w:before="20" w:after="20" w:line="290" w:lineRule="auto"/>
              <w:jc w:val="left"/>
            </w:pPr>
            <w:r>
              <w:rPr>
                <w:rFonts w:cs="Calibri"/>
                <w:sz w:val="19"/>
                <w:szCs w:val="19"/>
              </w:rPr>
              <w:t>The eight-officer proto-institution of Layer Four</w:t>
            </w:r>
          </w:p>
        </w:tc>
      </w:tr>
      <w:tr w:rsidR="008C4E6E" w14:paraId="010FD26B" w14:textId="77777777">
        <w:tblPrEx>
          <w:tblCellMar>
            <w:top w:w="0" w:type="dxa"/>
            <w:bottom w:w="0" w:type="dxa"/>
          </w:tblCellMar>
        </w:tblPrEx>
        <w:tc>
          <w:tcPr>
            <w:tcW w:w="4675" w:type="dxa"/>
            <w:tcMar>
              <w:top w:w="60" w:type="dxa"/>
              <w:left w:w="100" w:type="dxa"/>
              <w:bottom w:w="60" w:type="dxa"/>
              <w:right w:w="100" w:type="dxa"/>
            </w:tcMar>
          </w:tcPr>
          <w:p w14:paraId="0F77C2C3" w14:textId="77777777" w:rsidR="008C4E6E" w:rsidRDefault="00000000">
            <w:pPr>
              <w:spacing w:before="20" w:after="20" w:line="290" w:lineRule="auto"/>
              <w:jc w:val="left"/>
            </w:pPr>
            <w:r>
              <w:rPr>
                <w:rFonts w:cs="Calibri"/>
                <w:sz w:val="19"/>
                <w:szCs w:val="19"/>
              </w:rPr>
              <w:t>Convergence standard</w:t>
            </w:r>
          </w:p>
        </w:tc>
        <w:tc>
          <w:tcPr>
            <w:tcW w:w="4675" w:type="dxa"/>
            <w:tcMar>
              <w:top w:w="60" w:type="dxa"/>
              <w:left w:w="100" w:type="dxa"/>
              <w:bottom w:w="60" w:type="dxa"/>
              <w:right w:w="100" w:type="dxa"/>
            </w:tcMar>
          </w:tcPr>
          <w:p w14:paraId="00776FFC" w14:textId="77777777" w:rsidR="008C4E6E" w:rsidRDefault="00000000">
            <w:pPr>
              <w:spacing w:before="20" w:after="20" w:line="290" w:lineRule="auto"/>
              <w:jc w:val="left"/>
            </w:pPr>
            <w:r>
              <w:rPr>
                <w:rFonts w:cs="Calibri"/>
                <w:sz w:val="19"/>
                <w:szCs w:val="19"/>
              </w:rPr>
              <w:t>Two independent inputs and a named human certifier before any finding enters the record</w:t>
            </w:r>
          </w:p>
        </w:tc>
      </w:tr>
      <w:tr w:rsidR="008C4E6E" w14:paraId="6F5F199C" w14:textId="77777777">
        <w:tblPrEx>
          <w:tblCellMar>
            <w:top w:w="0" w:type="dxa"/>
            <w:bottom w:w="0" w:type="dxa"/>
          </w:tblCellMar>
        </w:tblPrEx>
        <w:tc>
          <w:tcPr>
            <w:tcW w:w="4675" w:type="dxa"/>
            <w:tcMar>
              <w:top w:w="60" w:type="dxa"/>
              <w:left w:w="100" w:type="dxa"/>
              <w:bottom w:w="60" w:type="dxa"/>
              <w:right w:w="100" w:type="dxa"/>
            </w:tcMar>
          </w:tcPr>
          <w:p w14:paraId="57080B5E" w14:textId="77777777" w:rsidR="008C4E6E" w:rsidRDefault="00000000">
            <w:pPr>
              <w:spacing w:before="20" w:after="20" w:line="290" w:lineRule="auto"/>
              <w:jc w:val="left"/>
            </w:pPr>
            <w:r>
              <w:rPr>
                <w:rFonts w:cs="Calibri"/>
                <w:sz w:val="19"/>
                <w:szCs w:val="19"/>
              </w:rPr>
              <w:t>Exercise sheet</w:t>
            </w:r>
          </w:p>
        </w:tc>
        <w:tc>
          <w:tcPr>
            <w:tcW w:w="4675" w:type="dxa"/>
            <w:tcMar>
              <w:top w:w="60" w:type="dxa"/>
              <w:left w:w="100" w:type="dxa"/>
              <w:bottom w:w="60" w:type="dxa"/>
              <w:right w:w="100" w:type="dxa"/>
            </w:tcMar>
          </w:tcPr>
          <w:p w14:paraId="6AA8F8D6" w14:textId="77777777" w:rsidR="008C4E6E" w:rsidRDefault="00000000">
            <w:pPr>
              <w:spacing w:before="20" w:after="20" w:line="290" w:lineRule="auto"/>
              <w:jc w:val="left"/>
            </w:pPr>
            <w:r>
              <w:rPr>
                <w:rFonts w:cs="Calibri"/>
                <w:sz w:val="19"/>
                <w:szCs w:val="19"/>
              </w:rPr>
              <w:t>The one-page registration of a micro-exercise under Article 9.3</w:t>
            </w:r>
          </w:p>
        </w:tc>
      </w:tr>
      <w:tr w:rsidR="008C4E6E" w14:paraId="7747D11F" w14:textId="77777777">
        <w:tblPrEx>
          <w:tblCellMar>
            <w:top w:w="0" w:type="dxa"/>
            <w:bottom w:w="0" w:type="dxa"/>
          </w:tblCellMar>
        </w:tblPrEx>
        <w:tc>
          <w:tcPr>
            <w:tcW w:w="4675" w:type="dxa"/>
            <w:tcMar>
              <w:top w:w="60" w:type="dxa"/>
              <w:left w:w="100" w:type="dxa"/>
              <w:bottom w:w="60" w:type="dxa"/>
              <w:right w:w="100" w:type="dxa"/>
            </w:tcMar>
          </w:tcPr>
          <w:p w14:paraId="2E6656C8" w14:textId="77777777" w:rsidR="008C4E6E" w:rsidRDefault="00000000">
            <w:pPr>
              <w:spacing w:before="20" w:after="20" w:line="290" w:lineRule="auto"/>
              <w:jc w:val="left"/>
            </w:pPr>
            <w:r>
              <w:rPr>
                <w:rFonts w:cs="Calibri"/>
                <w:sz w:val="19"/>
                <w:szCs w:val="19"/>
              </w:rPr>
              <w:t>Fused picture</w:t>
            </w:r>
          </w:p>
        </w:tc>
        <w:tc>
          <w:tcPr>
            <w:tcW w:w="4675" w:type="dxa"/>
            <w:tcMar>
              <w:top w:w="60" w:type="dxa"/>
              <w:left w:w="100" w:type="dxa"/>
              <w:bottom w:w="60" w:type="dxa"/>
              <w:right w:w="100" w:type="dxa"/>
            </w:tcMar>
          </w:tcPr>
          <w:p w14:paraId="271BF9B8" w14:textId="77777777" w:rsidR="008C4E6E" w:rsidRDefault="00000000">
            <w:pPr>
              <w:spacing w:before="20" w:after="20" w:line="290" w:lineRule="auto"/>
              <w:jc w:val="left"/>
            </w:pPr>
            <w:r>
              <w:rPr>
                <w:rFonts w:cs="Calibri"/>
                <w:sz w:val="19"/>
                <w:szCs w:val="19"/>
              </w:rPr>
              <w:t>The merged radar, AIS, and satellite operational picture, identical in Muscat and Bandar Abbas</w:t>
            </w:r>
          </w:p>
        </w:tc>
      </w:tr>
      <w:tr w:rsidR="008C4E6E" w14:paraId="3143FF14" w14:textId="77777777">
        <w:tblPrEx>
          <w:tblCellMar>
            <w:top w:w="0" w:type="dxa"/>
            <w:bottom w:w="0" w:type="dxa"/>
          </w:tblCellMar>
        </w:tblPrEx>
        <w:tc>
          <w:tcPr>
            <w:tcW w:w="4675" w:type="dxa"/>
            <w:tcMar>
              <w:top w:w="60" w:type="dxa"/>
              <w:left w:w="100" w:type="dxa"/>
              <w:bottom w:w="60" w:type="dxa"/>
              <w:right w:w="100" w:type="dxa"/>
            </w:tcMar>
          </w:tcPr>
          <w:p w14:paraId="192E84D4" w14:textId="77777777" w:rsidR="008C4E6E" w:rsidRDefault="00000000">
            <w:pPr>
              <w:spacing w:before="20" w:after="20" w:line="290" w:lineRule="auto"/>
              <w:jc w:val="left"/>
            </w:pPr>
            <w:r>
              <w:rPr>
                <w:rFonts w:cs="Calibri"/>
                <w:sz w:val="19"/>
                <w:szCs w:val="19"/>
              </w:rPr>
              <w:t>Gate</w:t>
            </w:r>
          </w:p>
        </w:tc>
        <w:tc>
          <w:tcPr>
            <w:tcW w:w="4675" w:type="dxa"/>
            <w:tcMar>
              <w:top w:w="60" w:type="dxa"/>
              <w:left w:w="100" w:type="dxa"/>
              <w:bottom w:w="60" w:type="dxa"/>
              <w:right w:w="100" w:type="dxa"/>
            </w:tcMar>
          </w:tcPr>
          <w:p w14:paraId="28AA8884" w14:textId="77777777" w:rsidR="008C4E6E" w:rsidRDefault="00000000">
            <w:pPr>
              <w:spacing w:before="20" w:after="20" w:line="290" w:lineRule="auto"/>
              <w:jc w:val="left"/>
            </w:pPr>
            <w:r>
              <w:rPr>
                <w:rFonts w:cs="Calibri"/>
                <w:sz w:val="19"/>
                <w:szCs w:val="19"/>
              </w:rPr>
              <w:t>The certified conditions activating a layer</w:t>
            </w:r>
          </w:p>
        </w:tc>
      </w:tr>
      <w:tr w:rsidR="008C4E6E" w14:paraId="32D83792" w14:textId="77777777">
        <w:tblPrEx>
          <w:tblCellMar>
            <w:top w:w="0" w:type="dxa"/>
            <w:bottom w:w="0" w:type="dxa"/>
          </w:tblCellMar>
        </w:tblPrEx>
        <w:tc>
          <w:tcPr>
            <w:tcW w:w="4675" w:type="dxa"/>
            <w:tcMar>
              <w:top w:w="60" w:type="dxa"/>
              <w:left w:w="100" w:type="dxa"/>
              <w:bottom w:w="60" w:type="dxa"/>
              <w:right w:w="100" w:type="dxa"/>
            </w:tcMar>
          </w:tcPr>
          <w:p w14:paraId="189D74EA" w14:textId="77777777" w:rsidR="008C4E6E" w:rsidRDefault="00000000">
            <w:pPr>
              <w:spacing w:before="20" w:after="20" w:line="290" w:lineRule="auto"/>
              <w:jc w:val="left"/>
            </w:pPr>
            <w:r>
              <w:rPr>
                <w:rFonts w:cs="Calibri"/>
                <w:sz w:val="19"/>
                <w:szCs w:val="19"/>
              </w:rPr>
              <w:t>Gulf Standard Time</w:t>
            </w:r>
          </w:p>
        </w:tc>
        <w:tc>
          <w:tcPr>
            <w:tcW w:w="4675" w:type="dxa"/>
            <w:tcMar>
              <w:top w:w="60" w:type="dxa"/>
              <w:left w:w="100" w:type="dxa"/>
              <w:bottom w:w="60" w:type="dxa"/>
              <w:right w:w="100" w:type="dxa"/>
            </w:tcMar>
          </w:tcPr>
          <w:p w14:paraId="6B9AF5E5" w14:textId="77777777" w:rsidR="008C4E6E" w:rsidRDefault="00000000">
            <w:pPr>
              <w:spacing w:before="20" w:after="20" w:line="290" w:lineRule="auto"/>
              <w:jc w:val="left"/>
            </w:pPr>
            <w:r>
              <w:rPr>
                <w:rFonts w:cs="Calibri"/>
                <w:sz w:val="19"/>
                <w:szCs w:val="19"/>
              </w:rPr>
              <w:t>The time reference of this Covenant</w:t>
            </w:r>
          </w:p>
        </w:tc>
      </w:tr>
      <w:tr w:rsidR="008C4E6E" w14:paraId="4B9300DF" w14:textId="77777777">
        <w:tblPrEx>
          <w:tblCellMar>
            <w:top w:w="0" w:type="dxa"/>
            <w:bottom w:w="0" w:type="dxa"/>
          </w:tblCellMar>
        </w:tblPrEx>
        <w:tc>
          <w:tcPr>
            <w:tcW w:w="4675" w:type="dxa"/>
            <w:tcMar>
              <w:top w:w="60" w:type="dxa"/>
              <w:left w:w="100" w:type="dxa"/>
              <w:bottom w:w="60" w:type="dxa"/>
              <w:right w:w="100" w:type="dxa"/>
            </w:tcMar>
          </w:tcPr>
          <w:p w14:paraId="2BD8ACBD" w14:textId="77777777" w:rsidR="008C4E6E" w:rsidRDefault="00000000">
            <w:pPr>
              <w:spacing w:before="20" w:after="20" w:line="290" w:lineRule="auto"/>
              <w:jc w:val="left"/>
            </w:pPr>
            <w:r>
              <w:rPr>
                <w:rFonts w:cs="Calibri"/>
                <w:sz w:val="19"/>
                <w:szCs w:val="19"/>
              </w:rPr>
              <w:t>Human anchor</w:t>
            </w:r>
          </w:p>
        </w:tc>
        <w:tc>
          <w:tcPr>
            <w:tcW w:w="4675" w:type="dxa"/>
            <w:tcMar>
              <w:top w:w="60" w:type="dxa"/>
              <w:left w:w="100" w:type="dxa"/>
              <w:bottom w:w="60" w:type="dxa"/>
              <w:right w:w="100" w:type="dxa"/>
            </w:tcMar>
          </w:tcPr>
          <w:p w14:paraId="32679A30" w14:textId="77777777" w:rsidR="008C4E6E" w:rsidRDefault="00000000">
            <w:pPr>
              <w:spacing w:before="20" w:after="20" w:line="290" w:lineRule="auto"/>
              <w:jc w:val="left"/>
            </w:pPr>
            <w:r>
              <w:rPr>
                <w:rFonts w:cs="Calibri"/>
                <w:sz w:val="19"/>
                <w:szCs w:val="19"/>
              </w:rPr>
              <w:t>The principle that every critical fact enters the record through a named human</w:t>
            </w:r>
          </w:p>
        </w:tc>
      </w:tr>
      <w:tr w:rsidR="008C4E6E" w14:paraId="59BFAFB8" w14:textId="77777777">
        <w:tblPrEx>
          <w:tblCellMar>
            <w:top w:w="0" w:type="dxa"/>
            <w:bottom w:w="0" w:type="dxa"/>
          </w:tblCellMar>
        </w:tblPrEx>
        <w:tc>
          <w:tcPr>
            <w:tcW w:w="4675" w:type="dxa"/>
            <w:tcMar>
              <w:top w:w="60" w:type="dxa"/>
              <w:left w:w="100" w:type="dxa"/>
              <w:bottom w:w="60" w:type="dxa"/>
              <w:right w:w="100" w:type="dxa"/>
            </w:tcMar>
          </w:tcPr>
          <w:p w14:paraId="61955841" w14:textId="77777777" w:rsidR="008C4E6E" w:rsidRDefault="00000000">
            <w:pPr>
              <w:spacing w:before="20" w:after="20" w:line="290" w:lineRule="auto"/>
              <w:jc w:val="left"/>
            </w:pPr>
            <w:r>
              <w:rPr>
                <w:rFonts w:cs="Calibri"/>
                <w:sz w:val="19"/>
                <w:szCs w:val="19"/>
              </w:rPr>
              <w:t>Layer</w:t>
            </w:r>
          </w:p>
        </w:tc>
        <w:tc>
          <w:tcPr>
            <w:tcW w:w="4675" w:type="dxa"/>
            <w:tcMar>
              <w:top w:w="60" w:type="dxa"/>
              <w:left w:w="100" w:type="dxa"/>
              <w:bottom w:w="60" w:type="dxa"/>
              <w:right w:w="100" w:type="dxa"/>
            </w:tcMar>
          </w:tcPr>
          <w:p w14:paraId="3967AF5F" w14:textId="77777777" w:rsidR="008C4E6E" w:rsidRDefault="00000000">
            <w:pPr>
              <w:spacing w:before="20" w:after="20" w:line="290" w:lineRule="auto"/>
              <w:jc w:val="left"/>
            </w:pPr>
            <w:r>
              <w:rPr>
                <w:rFonts w:cs="Calibri"/>
                <w:sz w:val="19"/>
                <w:szCs w:val="19"/>
              </w:rPr>
              <w:t>One of the seven layers of the Covenant's activation doctrine</w:t>
            </w:r>
          </w:p>
        </w:tc>
      </w:tr>
      <w:tr w:rsidR="008C4E6E" w14:paraId="38BE7B98" w14:textId="77777777">
        <w:tblPrEx>
          <w:tblCellMar>
            <w:top w:w="0" w:type="dxa"/>
            <w:bottom w:w="0" w:type="dxa"/>
          </w:tblCellMar>
        </w:tblPrEx>
        <w:tc>
          <w:tcPr>
            <w:tcW w:w="4675" w:type="dxa"/>
            <w:tcMar>
              <w:top w:w="60" w:type="dxa"/>
              <w:left w:w="100" w:type="dxa"/>
              <w:bottom w:w="60" w:type="dxa"/>
              <w:right w:w="100" w:type="dxa"/>
            </w:tcMar>
          </w:tcPr>
          <w:p w14:paraId="29C50860" w14:textId="77777777" w:rsidR="008C4E6E" w:rsidRDefault="00000000">
            <w:pPr>
              <w:spacing w:before="20" w:after="20" w:line="290" w:lineRule="auto"/>
              <w:jc w:val="left"/>
            </w:pPr>
            <w:r>
              <w:rPr>
                <w:rFonts w:cs="Calibri"/>
                <w:sz w:val="19"/>
                <w:szCs w:val="19"/>
              </w:rPr>
              <w:t>Micro-exercise</w:t>
            </w:r>
          </w:p>
        </w:tc>
        <w:tc>
          <w:tcPr>
            <w:tcW w:w="4675" w:type="dxa"/>
            <w:tcMar>
              <w:top w:w="60" w:type="dxa"/>
              <w:left w:w="100" w:type="dxa"/>
              <w:bottom w:w="60" w:type="dxa"/>
              <w:right w:w="100" w:type="dxa"/>
            </w:tcMar>
          </w:tcPr>
          <w:p w14:paraId="06DF1F40" w14:textId="77777777" w:rsidR="008C4E6E" w:rsidRDefault="00000000">
            <w:pPr>
              <w:spacing w:before="20" w:after="20" w:line="290" w:lineRule="auto"/>
              <w:jc w:val="left"/>
            </w:pPr>
            <w:r>
              <w:rPr>
                <w:rFonts w:cs="Calibri"/>
                <w:sz w:val="19"/>
                <w:szCs w:val="19"/>
              </w:rPr>
              <w:t>A reversible cooperative activity of Layer One, defined by the five tests of Article 9.1</w:t>
            </w:r>
          </w:p>
        </w:tc>
      </w:tr>
      <w:tr w:rsidR="008C4E6E" w14:paraId="3AC97F3D" w14:textId="77777777">
        <w:tblPrEx>
          <w:tblCellMar>
            <w:top w:w="0" w:type="dxa"/>
            <w:bottom w:w="0" w:type="dxa"/>
          </w:tblCellMar>
        </w:tblPrEx>
        <w:tc>
          <w:tcPr>
            <w:tcW w:w="4675" w:type="dxa"/>
            <w:tcMar>
              <w:top w:w="60" w:type="dxa"/>
              <w:left w:w="100" w:type="dxa"/>
              <w:bottom w:w="60" w:type="dxa"/>
              <w:right w:w="100" w:type="dxa"/>
            </w:tcMar>
          </w:tcPr>
          <w:p w14:paraId="7E984989" w14:textId="77777777" w:rsidR="008C4E6E" w:rsidRDefault="00000000">
            <w:pPr>
              <w:spacing w:before="20" w:after="20" w:line="290" w:lineRule="auto"/>
              <w:jc w:val="left"/>
            </w:pPr>
            <w:r>
              <w:rPr>
                <w:rFonts w:cs="Calibri"/>
                <w:sz w:val="19"/>
                <w:szCs w:val="19"/>
              </w:rPr>
              <w:t>Nofade</w:t>
            </w:r>
          </w:p>
        </w:tc>
        <w:tc>
          <w:tcPr>
            <w:tcW w:w="4675" w:type="dxa"/>
            <w:tcMar>
              <w:top w:w="60" w:type="dxa"/>
              <w:left w:w="100" w:type="dxa"/>
              <w:bottom w:w="60" w:type="dxa"/>
              <w:right w:w="100" w:type="dxa"/>
            </w:tcMar>
          </w:tcPr>
          <w:p w14:paraId="334A0C60" w14:textId="77777777" w:rsidR="008C4E6E" w:rsidRDefault="00000000">
            <w:pPr>
              <w:spacing w:before="20" w:after="20" w:line="290" w:lineRule="auto"/>
              <w:jc w:val="left"/>
            </w:pPr>
            <w:r>
              <w:rPr>
                <w:rFonts w:cs="Calibri"/>
                <w:sz w:val="19"/>
                <w:szCs w:val="19"/>
              </w:rPr>
              <w:t>The standing continuity property of the Covenant: no sunset, renewal by silence, exit only by deliberate act</w:t>
            </w:r>
          </w:p>
        </w:tc>
      </w:tr>
      <w:tr w:rsidR="008C4E6E" w14:paraId="0CE6AA3D" w14:textId="77777777">
        <w:tblPrEx>
          <w:tblCellMar>
            <w:top w:w="0" w:type="dxa"/>
            <w:bottom w:w="0" w:type="dxa"/>
          </w:tblCellMar>
        </w:tblPrEx>
        <w:tc>
          <w:tcPr>
            <w:tcW w:w="4675" w:type="dxa"/>
            <w:tcMar>
              <w:top w:w="60" w:type="dxa"/>
              <w:left w:w="100" w:type="dxa"/>
              <w:bottom w:w="60" w:type="dxa"/>
              <w:right w:w="100" w:type="dxa"/>
            </w:tcMar>
          </w:tcPr>
          <w:p w14:paraId="5F23221F" w14:textId="77777777" w:rsidR="008C4E6E" w:rsidRDefault="00000000">
            <w:pPr>
              <w:spacing w:before="20" w:after="20" w:line="290" w:lineRule="auto"/>
              <w:jc w:val="left"/>
            </w:pPr>
            <w:r>
              <w:rPr>
                <w:rFonts w:cs="Calibri"/>
                <w:sz w:val="19"/>
                <w:szCs w:val="19"/>
              </w:rPr>
              <w:t>Open Strait Package</w:t>
            </w:r>
          </w:p>
        </w:tc>
        <w:tc>
          <w:tcPr>
            <w:tcW w:w="4675" w:type="dxa"/>
            <w:tcMar>
              <w:top w:w="60" w:type="dxa"/>
              <w:left w:w="100" w:type="dxa"/>
              <w:bottom w:w="60" w:type="dxa"/>
              <w:right w:w="100" w:type="dxa"/>
            </w:tcMar>
          </w:tcPr>
          <w:p w14:paraId="61E0ECBB" w14:textId="77777777" w:rsidR="008C4E6E" w:rsidRDefault="00000000">
            <w:pPr>
              <w:spacing w:before="20" w:after="20" w:line="290" w:lineRule="auto"/>
              <w:jc w:val="left"/>
            </w:pPr>
            <w:r>
              <w:rPr>
                <w:rFonts w:cs="Calibri"/>
                <w:sz w:val="19"/>
                <w:szCs w:val="19"/>
              </w:rPr>
              <w:t>The public package announced on completion of the Synchronized Indivisible Event</w:t>
            </w:r>
          </w:p>
        </w:tc>
      </w:tr>
      <w:tr w:rsidR="008C4E6E" w14:paraId="691B6D99" w14:textId="77777777">
        <w:tblPrEx>
          <w:tblCellMar>
            <w:top w:w="0" w:type="dxa"/>
            <w:bottom w:w="0" w:type="dxa"/>
          </w:tblCellMar>
        </w:tblPrEx>
        <w:tc>
          <w:tcPr>
            <w:tcW w:w="4675" w:type="dxa"/>
            <w:tcMar>
              <w:top w:w="60" w:type="dxa"/>
              <w:left w:w="100" w:type="dxa"/>
              <w:bottom w:w="60" w:type="dxa"/>
              <w:right w:w="100" w:type="dxa"/>
            </w:tcMar>
          </w:tcPr>
          <w:p w14:paraId="081D93A5" w14:textId="77777777" w:rsidR="008C4E6E" w:rsidRDefault="00000000">
            <w:pPr>
              <w:spacing w:before="20" w:after="20" w:line="290" w:lineRule="auto"/>
              <w:jc w:val="left"/>
            </w:pPr>
            <w:r>
              <w:rPr>
                <w:rFonts w:cs="Calibri"/>
                <w:sz w:val="19"/>
                <w:szCs w:val="19"/>
              </w:rPr>
              <w:t>Perimeter Test</w:t>
            </w:r>
          </w:p>
        </w:tc>
        <w:tc>
          <w:tcPr>
            <w:tcW w:w="4675" w:type="dxa"/>
            <w:tcMar>
              <w:top w:w="60" w:type="dxa"/>
              <w:left w:w="100" w:type="dxa"/>
              <w:bottom w:w="60" w:type="dxa"/>
              <w:right w:w="100" w:type="dxa"/>
            </w:tcMar>
          </w:tcPr>
          <w:p w14:paraId="71B5DE3B" w14:textId="77777777" w:rsidR="008C4E6E" w:rsidRDefault="00000000">
            <w:pPr>
              <w:spacing w:before="20" w:after="20" w:line="290" w:lineRule="auto"/>
              <w:jc w:val="left"/>
            </w:pPr>
            <w:r>
              <w:rPr>
                <w:rFonts w:cs="Calibri"/>
                <w:sz w:val="19"/>
                <w:szCs w:val="19"/>
              </w:rPr>
              <w:t>The three-question test of Article 8.2 applied before any implementing measure</w:t>
            </w:r>
          </w:p>
        </w:tc>
      </w:tr>
      <w:tr w:rsidR="008C4E6E" w14:paraId="3BB26648" w14:textId="77777777">
        <w:tblPrEx>
          <w:tblCellMar>
            <w:top w:w="0" w:type="dxa"/>
            <w:bottom w:w="0" w:type="dxa"/>
          </w:tblCellMar>
        </w:tblPrEx>
        <w:tc>
          <w:tcPr>
            <w:tcW w:w="4675" w:type="dxa"/>
            <w:tcMar>
              <w:top w:w="60" w:type="dxa"/>
              <w:left w:w="100" w:type="dxa"/>
              <w:bottom w:w="60" w:type="dxa"/>
              <w:right w:w="100" w:type="dxa"/>
            </w:tcMar>
          </w:tcPr>
          <w:p w14:paraId="5C4883A3" w14:textId="77777777" w:rsidR="008C4E6E" w:rsidRDefault="00000000">
            <w:pPr>
              <w:spacing w:before="20" w:after="20" w:line="290" w:lineRule="auto"/>
              <w:jc w:val="left"/>
            </w:pPr>
            <w:r>
              <w:rPr>
                <w:rFonts w:cs="Calibri"/>
                <w:sz w:val="19"/>
                <w:szCs w:val="19"/>
              </w:rPr>
              <w:t>Pilot corridor</w:t>
            </w:r>
          </w:p>
        </w:tc>
        <w:tc>
          <w:tcPr>
            <w:tcW w:w="4675" w:type="dxa"/>
            <w:tcMar>
              <w:top w:w="60" w:type="dxa"/>
              <w:left w:w="100" w:type="dxa"/>
              <w:bottom w:w="60" w:type="dxa"/>
              <w:right w:w="100" w:type="dxa"/>
            </w:tcMar>
          </w:tcPr>
          <w:p w14:paraId="64EEE41F" w14:textId="77777777" w:rsidR="008C4E6E" w:rsidRDefault="00000000">
            <w:pPr>
              <w:spacing w:before="20" w:after="20" w:line="290" w:lineRule="auto"/>
              <w:jc w:val="left"/>
            </w:pPr>
            <w:r>
              <w:rPr>
                <w:rFonts w:cs="Calibri"/>
                <w:sz w:val="19"/>
                <w:szCs w:val="19"/>
              </w:rPr>
              <w:t>A standing advisory corridor of Layer Two</w:t>
            </w:r>
          </w:p>
        </w:tc>
      </w:tr>
      <w:tr w:rsidR="008C4E6E" w14:paraId="54535F04" w14:textId="77777777">
        <w:tblPrEx>
          <w:tblCellMar>
            <w:top w:w="0" w:type="dxa"/>
            <w:bottom w:w="0" w:type="dxa"/>
          </w:tblCellMar>
        </w:tblPrEx>
        <w:tc>
          <w:tcPr>
            <w:tcW w:w="4675" w:type="dxa"/>
            <w:tcMar>
              <w:top w:w="60" w:type="dxa"/>
              <w:left w:w="100" w:type="dxa"/>
              <w:bottom w:w="60" w:type="dxa"/>
              <w:right w:w="100" w:type="dxa"/>
            </w:tcMar>
          </w:tcPr>
          <w:p w14:paraId="460ABD02" w14:textId="77777777" w:rsidR="008C4E6E" w:rsidRDefault="00000000">
            <w:pPr>
              <w:spacing w:before="20" w:after="20" w:line="290" w:lineRule="auto"/>
              <w:jc w:val="left"/>
            </w:pPr>
            <w:r>
              <w:rPr>
                <w:rFonts w:cs="Calibri"/>
                <w:sz w:val="19"/>
                <w:szCs w:val="19"/>
              </w:rPr>
              <w:t>Result sheet</w:t>
            </w:r>
          </w:p>
        </w:tc>
        <w:tc>
          <w:tcPr>
            <w:tcW w:w="4675" w:type="dxa"/>
            <w:tcMar>
              <w:top w:w="60" w:type="dxa"/>
              <w:left w:w="100" w:type="dxa"/>
              <w:bottom w:w="60" w:type="dxa"/>
              <w:right w:w="100" w:type="dxa"/>
            </w:tcMar>
          </w:tcPr>
          <w:p w14:paraId="2501E24D" w14:textId="77777777" w:rsidR="008C4E6E" w:rsidRDefault="00000000">
            <w:pPr>
              <w:spacing w:before="20" w:after="20" w:line="290" w:lineRule="auto"/>
              <w:jc w:val="left"/>
            </w:pPr>
            <w:r>
              <w:rPr>
                <w:rFonts w:cs="Calibri"/>
                <w:sz w:val="19"/>
                <w:szCs w:val="19"/>
              </w:rPr>
              <w:t>The one-page closing record of a micro-exercise under Article 9.4</w:t>
            </w:r>
          </w:p>
        </w:tc>
      </w:tr>
      <w:tr w:rsidR="008C4E6E" w14:paraId="5D046D53" w14:textId="77777777">
        <w:tblPrEx>
          <w:tblCellMar>
            <w:top w:w="0" w:type="dxa"/>
            <w:bottom w:w="0" w:type="dxa"/>
          </w:tblCellMar>
        </w:tblPrEx>
        <w:tc>
          <w:tcPr>
            <w:tcW w:w="4675" w:type="dxa"/>
            <w:tcMar>
              <w:top w:w="60" w:type="dxa"/>
              <w:left w:w="100" w:type="dxa"/>
              <w:bottom w:w="60" w:type="dxa"/>
              <w:right w:w="100" w:type="dxa"/>
            </w:tcMar>
          </w:tcPr>
          <w:p w14:paraId="1D70FB64" w14:textId="77777777" w:rsidR="008C4E6E" w:rsidRDefault="00000000">
            <w:pPr>
              <w:spacing w:before="20" w:after="20" w:line="290" w:lineRule="auto"/>
              <w:jc w:val="left"/>
            </w:pPr>
            <w:r>
              <w:rPr>
                <w:rFonts w:cs="Calibri"/>
                <w:sz w:val="19"/>
                <w:szCs w:val="19"/>
              </w:rPr>
              <w:t>Sealed bulkhead</w:t>
            </w:r>
          </w:p>
        </w:tc>
        <w:tc>
          <w:tcPr>
            <w:tcW w:w="4675" w:type="dxa"/>
            <w:tcMar>
              <w:top w:w="60" w:type="dxa"/>
              <w:left w:w="100" w:type="dxa"/>
              <w:bottom w:w="60" w:type="dxa"/>
              <w:right w:w="100" w:type="dxa"/>
            </w:tcMar>
          </w:tcPr>
          <w:p w14:paraId="1268E420" w14:textId="77777777" w:rsidR="008C4E6E" w:rsidRDefault="00000000">
            <w:pPr>
              <w:spacing w:before="20" w:after="20" w:line="290" w:lineRule="auto"/>
              <w:jc w:val="left"/>
            </w:pPr>
            <w:r>
              <w:rPr>
                <w:rFonts w:cs="Calibri"/>
                <w:sz w:val="19"/>
                <w:szCs w:val="19"/>
              </w:rPr>
              <w:t>The separation of the strait file from every other file, under Article 3.6</w:t>
            </w:r>
          </w:p>
        </w:tc>
      </w:tr>
      <w:tr w:rsidR="008C4E6E" w14:paraId="40F2D214" w14:textId="77777777">
        <w:tblPrEx>
          <w:tblCellMar>
            <w:top w:w="0" w:type="dxa"/>
            <w:bottom w:w="0" w:type="dxa"/>
          </w:tblCellMar>
        </w:tblPrEx>
        <w:tc>
          <w:tcPr>
            <w:tcW w:w="4675" w:type="dxa"/>
            <w:tcMar>
              <w:top w:w="60" w:type="dxa"/>
              <w:left w:w="100" w:type="dxa"/>
              <w:bottom w:w="60" w:type="dxa"/>
              <w:right w:w="100" w:type="dxa"/>
            </w:tcMar>
          </w:tcPr>
          <w:p w14:paraId="0DE2F0DB" w14:textId="77777777" w:rsidR="008C4E6E" w:rsidRDefault="00000000">
            <w:pPr>
              <w:spacing w:before="20" w:after="20" w:line="290" w:lineRule="auto"/>
              <w:jc w:val="left"/>
            </w:pPr>
            <w:r>
              <w:rPr>
                <w:rFonts w:cs="Calibri"/>
                <w:sz w:val="19"/>
                <w:szCs w:val="19"/>
              </w:rPr>
              <w:t>Stop-loss</w:t>
            </w:r>
          </w:p>
        </w:tc>
        <w:tc>
          <w:tcPr>
            <w:tcW w:w="4675" w:type="dxa"/>
            <w:tcMar>
              <w:top w:w="60" w:type="dxa"/>
              <w:left w:w="100" w:type="dxa"/>
              <w:bottom w:w="60" w:type="dxa"/>
              <w:right w:w="100" w:type="dxa"/>
            </w:tcMar>
          </w:tcPr>
          <w:p w14:paraId="563EC405" w14:textId="77777777" w:rsidR="008C4E6E" w:rsidRDefault="00000000">
            <w:pPr>
              <w:spacing w:before="20" w:after="20" w:line="290" w:lineRule="auto"/>
              <w:jc w:val="left"/>
            </w:pPr>
            <w:r>
              <w:rPr>
                <w:rFonts w:cs="Calibri"/>
                <w:sz w:val="19"/>
                <w:szCs w:val="19"/>
              </w:rPr>
              <w:t>The NVO's single delay power: Managed Flow for one corridor for up to twenty-four hours</w:t>
            </w:r>
          </w:p>
        </w:tc>
      </w:tr>
      <w:tr w:rsidR="008C4E6E" w14:paraId="6FA4FBD8" w14:textId="77777777">
        <w:tblPrEx>
          <w:tblCellMar>
            <w:top w:w="0" w:type="dxa"/>
            <w:bottom w:w="0" w:type="dxa"/>
          </w:tblCellMar>
        </w:tblPrEx>
        <w:tc>
          <w:tcPr>
            <w:tcW w:w="4675" w:type="dxa"/>
            <w:tcMar>
              <w:top w:w="60" w:type="dxa"/>
              <w:left w:w="100" w:type="dxa"/>
              <w:bottom w:w="60" w:type="dxa"/>
              <w:right w:w="100" w:type="dxa"/>
            </w:tcMar>
          </w:tcPr>
          <w:p w14:paraId="3E721013" w14:textId="77777777" w:rsidR="008C4E6E" w:rsidRDefault="00000000">
            <w:pPr>
              <w:spacing w:before="20" w:after="20" w:line="290" w:lineRule="auto"/>
              <w:jc w:val="left"/>
            </w:pPr>
            <w:r>
              <w:rPr>
                <w:rFonts w:cs="Calibri"/>
                <w:sz w:val="19"/>
                <w:szCs w:val="19"/>
              </w:rPr>
              <w:t>Synchronized Indivisible Event</w:t>
            </w:r>
          </w:p>
        </w:tc>
        <w:tc>
          <w:tcPr>
            <w:tcW w:w="4675" w:type="dxa"/>
            <w:tcMar>
              <w:top w:w="60" w:type="dxa"/>
              <w:left w:w="100" w:type="dxa"/>
              <w:bottom w:w="60" w:type="dxa"/>
              <w:right w:w="100" w:type="dxa"/>
            </w:tcMar>
          </w:tcPr>
          <w:p w14:paraId="38DF7554" w14:textId="77777777" w:rsidR="008C4E6E" w:rsidRDefault="00000000">
            <w:pPr>
              <w:spacing w:before="20" w:after="20" w:line="290" w:lineRule="auto"/>
              <w:jc w:val="left"/>
            </w:pPr>
            <w:r>
              <w:rPr>
                <w:rFonts w:cs="Calibri"/>
                <w:sz w:val="19"/>
                <w:szCs w:val="19"/>
              </w:rPr>
              <w:t>The one-hour paired execution of corridor activation and impediment termination</w:t>
            </w:r>
          </w:p>
        </w:tc>
      </w:tr>
      <w:tr w:rsidR="008C4E6E" w14:paraId="60B7A681" w14:textId="77777777">
        <w:tblPrEx>
          <w:tblCellMar>
            <w:top w:w="0" w:type="dxa"/>
            <w:bottom w:w="0" w:type="dxa"/>
          </w:tblCellMar>
        </w:tblPrEx>
        <w:tc>
          <w:tcPr>
            <w:tcW w:w="4675" w:type="dxa"/>
            <w:tcMar>
              <w:top w:w="60" w:type="dxa"/>
              <w:left w:w="100" w:type="dxa"/>
              <w:bottom w:w="60" w:type="dxa"/>
              <w:right w:w="100" w:type="dxa"/>
            </w:tcMar>
          </w:tcPr>
          <w:p w14:paraId="275E6FA0" w14:textId="77777777" w:rsidR="008C4E6E" w:rsidRDefault="00000000">
            <w:pPr>
              <w:spacing w:before="20" w:after="20" w:line="290" w:lineRule="auto"/>
              <w:jc w:val="left"/>
            </w:pPr>
            <w:r>
              <w:rPr>
                <w:rFonts w:cs="Calibri"/>
                <w:sz w:val="19"/>
                <w:szCs w:val="19"/>
              </w:rPr>
              <w:t>Twin Key</w:t>
            </w:r>
          </w:p>
        </w:tc>
        <w:tc>
          <w:tcPr>
            <w:tcW w:w="4675" w:type="dxa"/>
            <w:tcMar>
              <w:top w:w="60" w:type="dxa"/>
              <w:left w:w="100" w:type="dxa"/>
              <w:bottom w:w="60" w:type="dxa"/>
              <w:right w:w="100" w:type="dxa"/>
            </w:tcMar>
          </w:tcPr>
          <w:p w14:paraId="6CED252A" w14:textId="77777777" w:rsidR="008C4E6E" w:rsidRDefault="00000000">
            <w:pPr>
              <w:spacing w:before="20" w:after="20" w:line="290" w:lineRule="auto"/>
              <w:jc w:val="left"/>
            </w:pPr>
            <w:r>
              <w:rPr>
                <w:rFonts w:cs="Calibri"/>
                <w:sz w:val="19"/>
                <w:szCs w:val="19"/>
              </w:rPr>
              <w:t>The paired-consent rule over consequential actions</w:t>
            </w:r>
          </w:p>
        </w:tc>
      </w:tr>
      <w:tr w:rsidR="008C4E6E" w14:paraId="38772247" w14:textId="77777777">
        <w:tblPrEx>
          <w:tblCellMar>
            <w:top w:w="0" w:type="dxa"/>
            <w:bottom w:w="0" w:type="dxa"/>
          </w:tblCellMar>
        </w:tblPrEx>
        <w:tc>
          <w:tcPr>
            <w:tcW w:w="4675" w:type="dxa"/>
            <w:tcMar>
              <w:top w:w="60" w:type="dxa"/>
              <w:left w:w="100" w:type="dxa"/>
              <w:bottom w:w="60" w:type="dxa"/>
              <w:right w:w="100" w:type="dxa"/>
            </w:tcMar>
          </w:tcPr>
          <w:p w14:paraId="007B9296" w14:textId="77777777" w:rsidR="008C4E6E" w:rsidRDefault="00000000">
            <w:pPr>
              <w:spacing w:before="20" w:after="20" w:line="290" w:lineRule="auto"/>
              <w:jc w:val="left"/>
            </w:pPr>
            <w:r>
              <w:rPr>
                <w:rFonts w:cs="Calibri"/>
                <w:b/>
                <w:sz w:val="19"/>
                <w:szCs w:val="19"/>
              </w:rPr>
              <w:t>Fast-Track Corridor</w:t>
            </w:r>
          </w:p>
        </w:tc>
        <w:tc>
          <w:tcPr>
            <w:tcW w:w="4675" w:type="dxa"/>
            <w:tcMar>
              <w:top w:w="60" w:type="dxa"/>
              <w:left w:w="100" w:type="dxa"/>
              <w:bottom w:w="60" w:type="dxa"/>
              <w:right w:w="100" w:type="dxa"/>
            </w:tcMar>
          </w:tcPr>
          <w:p w14:paraId="1FB3314D" w14:textId="77777777" w:rsidR="008C4E6E" w:rsidRDefault="00000000">
            <w:pPr>
              <w:spacing w:before="20" w:after="20" w:line="290" w:lineRule="auto"/>
              <w:jc w:val="left"/>
            </w:pPr>
            <w:r>
              <w:rPr>
                <w:rFonts w:cs="Calibri"/>
                <w:b/>
                <w:sz w:val="19"/>
                <w:szCs w:val="19"/>
              </w:rPr>
              <w:t>The provisional opening of the Southern Assurance Corridor from Gate One, under Article 18.5</w:t>
            </w:r>
          </w:p>
        </w:tc>
      </w:tr>
      <w:tr w:rsidR="008C4E6E" w14:paraId="2975F69C" w14:textId="77777777">
        <w:tblPrEx>
          <w:tblCellMar>
            <w:top w:w="0" w:type="dxa"/>
            <w:bottom w:w="0" w:type="dxa"/>
          </w:tblCellMar>
        </w:tblPrEx>
        <w:tc>
          <w:tcPr>
            <w:tcW w:w="4675" w:type="dxa"/>
            <w:tcMar>
              <w:top w:w="60" w:type="dxa"/>
              <w:left w:w="100" w:type="dxa"/>
              <w:bottom w:w="60" w:type="dxa"/>
              <w:right w:w="100" w:type="dxa"/>
            </w:tcMar>
          </w:tcPr>
          <w:p w14:paraId="4D6AD1D3" w14:textId="77777777" w:rsidR="008C4E6E" w:rsidRDefault="00000000">
            <w:pPr>
              <w:spacing w:before="20" w:after="20" w:line="290" w:lineRule="auto"/>
              <w:jc w:val="left"/>
            </w:pPr>
            <w:r>
              <w:rPr>
                <w:rFonts w:cs="Calibri"/>
                <w:b/>
                <w:sz w:val="19"/>
                <w:szCs w:val="19"/>
              </w:rPr>
              <w:lastRenderedPageBreak/>
              <w:t>Humanitarian Bridge</w:t>
            </w:r>
          </w:p>
        </w:tc>
        <w:tc>
          <w:tcPr>
            <w:tcW w:w="4675" w:type="dxa"/>
            <w:tcMar>
              <w:top w:w="60" w:type="dxa"/>
              <w:left w:w="100" w:type="dxa"/>
              <w:bottom w:w="60" w:type="dxa"/>
              <w:right w:w="100" w:type="dxa"/>
            </w:tcMar>
          </w:tcPr>
          <w:p w14:paraId="16006D83" w14:textId="77777777" w:rsidR="008C4E6E" w:rsidRDefault="00000000">
            <w:pPr>
              <w:spacing w:before="20" w:after="20" w:line="290" w:lineRule="auto"/>
              <w:jc w:val="left"/>
            </w:pPr>
            <w:r>
              <w:rPr>
                <w:rFonts w:cs="Calibri"/>
                <w:b/>
                <w:sz w:val="19"/>
                <w:szCs w:val="19"/>
              </w:rPr>
              <w:t>The dedicated priority lane for relief cargo and repatriation, from Day 0, under Article 43.8</w:t>
            </w:r>
          </w:p>
        </w:tc>
      </w:tr>
      <w:tr w:rsidR="008C4E6E" w14:paraId="4376E10C" w14:textId="77777777">
        <w:tblPrEx>
          <w:tblCellMar>
            <w:top w:w="0" w:type="dxa"/>
            <w:bottom w:w="0" w:type="dxa"/>
          </w:tblCellMar>
        </w:tblPrEx>
        <w:tc>
          <w:tcPr>
            <w:tcW w:w="4675" w:type="dxa"/>
            <w:tcMar>
              <w:top w:w="60" w:type="dxa"/>
              <w:left w:w="100" w:type="dxa"/>
              <w:bottom w:w="60" w:type="dxa"/>
              <w:right w:w="100" w:type="dxa"/>
            </w:tcMar>
          </w:tcPr>
          <w:p w14:paraId="2D82851B" w14:textId="77777777" w:rsidR="008C4E6E" w:rsidRDefault="00000000">
            <w:pPr>
              <w:spacing w:before="20" w:after="20" w:line="290" w:lineRule="auto"/>
              <w:jc w:val="left"/>
            </w:pPr>
            <w:r>
              <w:rPr>
                <w:rFonts w:cs="Calibri"/>
                <w:b/>
                <w:sz w:val="19"/>
                <w:szCs w:val="19"/>
              </w:rPr>
              <w:t>Interim standstill</w:t>
            </w:r>
          </w:p>
        </w:tc>
        <w:tc>
          <w:tcPr>
            <w:tcW w:w="4675" w:type="dxa"/>
            <w:tcMar>
              <w:top w:w="60" w:type="dxa"/>
              <w:left w:w="100" w:type="dxa"/>
              <w:bottom w:w="60" w:type="dxa"/>
              <w:right w:w="100" w:type="dxa"/>
            </w:tcMar>
          </w:tcPr>
          <w:p w14:paraId="03392CC3" w14:textId="77777777" w:rsidR="008C4E6E" w:rsidRDefault="00000000">
            <w:pPr>
              <w:spacing w:before="20" w:after="20" w:line="290" w:lineRule="auto"/>
              <w:jc w:val="left"/>
            </w:pPr>
            <w:r>
              <w:rPr>
                <w:rFonts w:cs="Calibri"/>
                <w:b/>
                <w:sz w:val="19"/>
                <w:szCs w:val="19"/>
              </w:rPr>
              <w:t>The Day-0 mutual hold on military and enforcement measures, under Article 6.11</w:t>
            </w:r>
          </w:p>
        </w:tc>
      </w:tr>
      <w:tr w:rsidR="008C4E6E" w14:paraId="174A21D0" w14:textId="77777777">
        <w:tblPrEx>
          <w:tblCellMar>
            <w:top w:w="0" w:type="dxa"/>
            <w:bottom w:w="0" w:type="dxa"/>
          </w:tblCellMar>
        </w:tblPrEx>
        <w:tc>
          <w:tcPr>
            <w:tcW w:w="4675" w:type="dxa"/>
            <w:tcMar>
              <w:top w:w="60" w:type="dxa"/>
              <w:left w:w="100" w:type="dxa"/>
              <w:bottom w:w="60" w:type="dxa"/>
              <w:right w:w="100" w:type="dxa"/>
            </w:tcMar>
          </w:tcPr>
          <w:p w14:paraId="42A469A5" w14:textId="77777777" w:rsidR="008C4E6E" w:rsidRDefault="00000000">
            <w:pPr>
              <w:spacing w:before="20" w:after="20" w:line="290" w:lineRule="auto"/>
              <w:jc w:val="left"/>
            </w:pPr>
            <w:r>
              <w:rPr>
                <w:rFonts w:cs="Calibri"/>
                <w:b/>
                <w:sz w:val="19"/>
                <w:szCs w:val="19"/>
              </w:rPr>
              <w:t>Intermediary Bridge</w:t>
            </w:r>
          </w:p>
        </w:tc>
        <w:tc>
          <w:tcPr>
            <w:tcW w:w="4675" w:type="dxa"/>
            <w:tcMar>
              <w:top w:w="60" w:type="dxa"/>
              <w:left w:w="100" w:type="dxa"/>
              <w:bottom w:w="60" w:type="dxa"/>
              <w:right w:w="100" w:type="dxa"/>
            </w:tcMar>
          </w:tcPr>
          <w:p w14:paraId="3875B915" w14:textId="77777777" w:rsidR="008C4E6E" w:rsidRDefault="00000000">
            <w:pPr>
              <w:spacing w:before="20" w:after="20" w:line="290" w:lineRule="auto"/>
              <w:jc w:val="left"/>
            </w:pPr>
            <w:r>
              <w:rPr>
                <w:rFonts w:cs="Calibri"/>
                <w:b/>
                <w:sz w:val="19"/>
                <w:szCs w:val="19"/>
              </w:rPr>
              <w:t>The rule that no step requires direct contact between adversaries, under Article 2.9</w:t>
            </w:r>
          </w:p>
        </w:tc>
      </w:tr>
      <w:tr w:rsidR="008C4E6E" w14:paraId="6D4BFF74" w14:textId="77777777">
        <w:tblPrEx>
          <w:tblCellMar>
            <w:top w:w="0" w:type="dxa"/>
            <w:bottom w:w="0" w:type="dxa"/>
          </w:tblCellMar>
        </w:tblPrEx>
        <w:tc>
          <w:tcPr>
            <w:tcW w:w="4675" w:type="dxa"/>
            <w:tcMar>
              <w:top w:w="60" w:type="dxa"/>
              <w:left w:w="100" w:type="dxa"/>
              <w:bottom w:w="60" w:type="dxa"/>
              <w:right w:w="100" w:type="dxa"/>
            </w:tcMar>
          </w:tcPr>
          <w:p w14:paraId="11FFF179" w14:textId="77777777" w:rsidR="008C4E6E" w:rsidRDefault="00000000">
            <w:pPr>
              <w:spacing w:before="20" w:after="20" w:line="290" w:lineRule="auto"/>
              <w:jc w:val="left"/>
            </w:pPr>
            <w:r>
              <w:rPr>
                <w:rFonts w:cs="Calibri"/>
                <w:b/>
                <w:sz w:val="19"/>
                <w:szCs w:val="19"/>
              </w:rPr>
              <w:t>Pulse</w:t>
            </w:r>
          </w:p>
        </w:tc>
        <w:tc>
          <w:tcPr>
            <w:tcW w:w="4675" w:type="dxa"/>
            <w:tcMar>
              <w:top w:w="60" w:type="dxa"/>
              <w:left w:w="100" w:type="dxa"/>
              <w:bottom w:w="60" w:type="dxa"/>
              <w:right w:w="100" w:type="dxa"/>
            </w:tcMar>
          </w:tcPr>
          <w:p w14:paraId="22DF5852" w14:textId="77777777" w:rsidR="008C4E6E" w:rsidRDefault="00000000">
            <w:pPr>
              <w:spacing w:before="20" w:after="20" w:line="290" w:lineRule="auto"/>
              <w:jc w:val="left"/>
            </w:pPr>
            <w:r>
              <w:rPr>
                <w:rFonts w:cs="Calibri"/>
                <w:b/>
                <w:sz w:val="19"/>
                <w:szCs w:val="19"/>
              </w:rPr>
              <w:t>One of the three paired, indivisible execution hours of the Synchronized Indivisible Event, under Article 38.7</w:t>
            </w:r>
          </w:p>
        </w:tc>
      </w:tr>
      <w:tr w:rsidR="008C4E6E" w14:paraId="67E2813E" w14:textId="77777777">
        <w:tblPrEx>
          <w:tblCellMar>
            <w:top w:w="0" w:type="dxa"/>
            <w:bottom w:w="0" w:type="dxa"/>
          </w:tblCellMar>
        </w:tblPrEx>
        <w:tc>
          <w:tcPr>
            <w:tcW w:w="4675" w:type="dxa"/>
            <w:tcMar>
              <w:top w:w="60" w:type="dxa"/>
              <w:left w:w="100" w:type="dxa"/>
              <w:bottom w:w="60" w:type="dxa"/>
              <w:right w:w="100" w:type="dxa"/>
            </w:tcMar>
          </w:tcPr>
          <w:p w14:paraId="1793F1CA" w14:textId="77777777" w:rsidR="008C4E6E" w:rsidRDefault="00000000">
            <w:pPr>
              <w:spacing w:before="20" w:after="20" w:line="290" w:lineRule="auto"/>
              <w:jc w:val="left"/>
            </w:pPr>
            <w:r>
              <w:rPr>
                <w:rFonts w:cs="Calibri"/>
                <w:b/>
                <w:sz w:val="19"/>
                <w:szCs w:val="19"/>
              </w:rPr>
              <w:t>Reciprocity Ledger</w:t>
            </w:r>
          </w:p>
        </w:tc>
        <w:tc>
          <w:tcPr>
            <w:tcW w:w="4675" w:type="dxa"/>
            <w:tcMar>
              <w:top w:w="60" w:type="dxa"/>
              <w:left w:w="100" w:type="dxa"/>
              <w:bottom w:w="60" w:type="dxa"/>
              <w:right w:w="100" w:type="dxa"/>
            </w:tcMar>
          </w:tcPr>
          <w:p w14:paraId="21AF948C" w14:textId="77777777" w:rsidR="008C4E6E" w:rsidRDefault="00000000">
            <w:pPr>
              <w:spacing w:before="20" w:after="20" w:line="290" w:lineRule="auto"/>
              <w:jc w:val="left"/>
            </w:pPr>
            <w:r>
              <w:rPr>
                <w:rFonts w:cs="Calibri"/>
                <w:b/>
                <w:sz w:val="19"/>
                <w:szCs w:val="19"/>
              </w:rPr>
              <w:t>The Registry’s paired record of relief and stabilization steps, under Article 56.5</w:t>
            </w:r>
          </w:p>
        </w:tc>
      </w:tr>
      <w:tr w:rsidR="008C4E6E" w14:paraId="1C20FFA2" w14:textId="77777777">
        <w:tblPrEx>
          <w:tblCellMar>
            <w:top w:w="0" w:type="dxa"/>
            <w:bottom w:w="0" w:type="dxa"/>
          </w:tblCellMar>
        </w:tblPrEx>
        <w:tc>
          <w:tcPr>
            <w:tcW w:w="4675" w:type="dxa"/>
            <w:tcMar>
              <w:top w:w="60" w:type="dxa"/>
              <w:left w:w="100" w:type="dxa"/>
              <w:bottom w:w="60" w:type="dxa"/>
              <w:right w:w="100" w:type="dxa"/>
            </w:tcMar>
          </w:tcPr>
          <w:p w14:paraId="7785252D" w14:textId="77777777" w:rsidR="008C4E6E" w:rsidRDefault="00000000">
            <w:pPr>
              <w:spacing w:before="20" w:after="20" w:line="290" w:lineRule="auto"/>
              <w:jc w:val="left"/>
            </w:pPr>
            <w:r>
              <w:rPr>
                <w:rFonts w:cs="Calibri"/>
                <w:b/>
                <w:sz w:val="19"/>
                <w:szCs w:val="19"/>
              </w:rPr>
              <w:t>Claims Ledger</w:t>
            </w:r>
          </w:p>
        </w:tc>
        <w:tc>
          <w:tcPr>
            <w:tcW w:w="4675" w:type="dxa"/>
            <w:tcMar>
              <w:top w:w="60" w:type="dxa"/>
              <w:left w:w="100" w:type="dxa"/>
              <w:bottom w:w="60" w:type="dxa"/>
              <w:right w:w="100" w:type="dxa"/>
            </w:tcMar>
          </w:tcPr>
          <w:p w14:paraId="49F020A4" w14:textId="77777777" w:rsidR="008C4E6E" w:rsidRDefault="00000000">
            <w:pPr>
              <w:spacing w:before="20" w:after="20" w:line="290" w:lineRule="auto"/>
              <w:jc w:val="left"/>
            </w:pPr>
            <w:r>
              <w:rPr>
                <w:rFonts w:cs="Calibri"/>
                <w:b/>
                <w:sz w:val="19"/>
                <w:szCs w:val="19"/>
              </w:rPr>
              <w:t>The standing register of alleged violations, transmitting to the Islamabad track, under Article 56.6</w:t>
            </w:r>
          </w:p>
        </w:tc>
      </w:tr>
    </w:tbl>
    <w:p w14:paraId="38FBAB57" w14:textId="77777777" w:rsidR="008C4E6E" w:rsidRDefault="008C4E6E">
      <w:pPr>
        <w:spacing w:after="80"/>
      </w:pPr>
    </w:p>
    <w:p w14:paraId="29E8F901" w14:textId="77777777" w:rsidR="008C4E6E" w:rsidRDefault="00000000">
      <w:pPr>
        <w:spacing w:before="40" w:after="200"/>
        <w:jc w:val="left"/>
      </w:pPr>
      <w:r>
        <w:rPr>
          <w:rFonts w:ascii="Calibri Light" w:hAnsi="Calibri Light" w:cs="Calibri Light"/>
          <w:b/>
          <w:i/>
          <w:color w:val="1F4E5F"/>
          <w:sz w:val="36"/>
          <w:szCs w:val="36"/>
        </w:rPr>
        <w:t>Glossary of standing terms. Neutral terminology protects every participant's framing autonomy.</w:t>
      </w:r>
    </w:p>
    <w:p w14:paraId="69A57161" w14:textId="77777777" w:rsidR="008C4E6E" w:rsidRDefault="00000000">
      <w:pPr>
        <w:pStyle w:val="Heading1"/>
      </w:pPr>
      <w:bookmarkStart w:id="118" w:name="_Toc237650674"/>
      <w:r>
        <w:rPr>
          <w:rFonts w:ascii="Calibri" w:eastAsia="Calibri" w:hAnsi="Calibri" w:cs="Calibri"/>
          <w:sz w:val="22"/>
          <w:szCs w:val="22"/>
        </w:rPr>
        <w:t>Annex J: Source Frameworks and Method Note</w:t>
      </w:r>
      <w:bookmarkEnd w:id="118"/>
    </w:p>
    <w:p w14:paraId="0AFB8429" w14:textId="77777777" w:rsidR="008C4E6E" w:rsidRDefault="00000000">
      <w:r>
        <w:rPr>
          <w:rFonts w:cs="Calibri"/>
          <w:szCs w:val="22"/>
        </w:rPr>
        <w:t>This Covenant consolidates a family of frameworks developed for the Strait of Hormuz during 2026, and records its debt to each: the Hormuz Provisional Protocol; the Hormuz Multilateral Peace Understanding; the Hormuz Global Commerce Accord; the Gulf Transit Assurance Network Framework; the Strait Stability Horizon Compact; the Sobat Payedar Framework; the Stillwater Accord; the Lit Beacon Accord; the Tolou-e Jadid Compact; and the Triad Bridge Compact. The layered activation method draws on the governance design record of the summer 2026 negotiations: the phased micro-pilot methodology, the three parallel frameworks of operational safety, governance-lite, and political-safe phasing, and the negotiator's sequence of defusing, splitting, proving, buffering, and merging. Where this Covenant adopts a mechanism from a source framework, the mechanism's drafting follows the Immutable Present-Tense Matrix as restated in the Drafting Discipline.</w:t>
      </w:r>
    </w:p>
    <w:p w14:paraId="6E09DE47" w14:textId="77777777" w:rsidR="008C4E6E" w:rsidRDefault="00000000">
      <w:r>
        <w:rPr>
          <w:rFonts w:cs="Calibri"/>
          <w:szCs w:val="22"/>
        </w:rPr>
        <w:t>The legal architecture of Part 0 follows the escalating-commitment method set out in the legal-architecture review of August 2026: each layer carries a defined legal status, a defined signatory level, and a defined reversibility rule, and the Covenant reads as a staircase to a treaty rather than a single leap. Small, reversible commitments at the base make the large commitments at the summit politically possible, because a Coast Guard chief signs without parliamentary approval, a Foreign Minister signs only after the system has run informally, and a Head of State or Government signs only a certificate of completion.</w:t>
      </w:r>
    </w:p>
    <w:p w14:paraId="0BA12B47" w14:textId="77777777" w:rsidR="008C4E6E" w:rsidRDefault="00000000">
      <w:r>
        <w:rPr>
          <w:rFonts w:cs="Calibri"/>
          <w:szCs w:val="22"/>
        </w:rPr>
        <w:lastRenderedPageBreak/>
        <w:t>The factual grounding of the Preamble reflects the public record of 5 to 10 August 2026: the completion of the Iran-Oman draft route understanding and its pending approval; the agreed coordinates of the inbound and outbound routes; the Iranian position that full reopening follows the end of the blockade and of threats; the service-fee versus toll distinction stated by Iranian officials; the United States position rejecting any charge on passage and warning against facilitation; the shipping associations' protest of transit fees; the suspended strike decision of the first weekend of August; and the standing sixty-day window of the June Memorandum. Where events move after this instrument's drafting, the Covenant's mechanisms absorb the movement: the layers activate on proof, at whatever pace the water sets.</w:t>
      </w:r>
    </w:p>
    <w:p w14:paraId="41060268" w14:textId="77777777" w:rsidR="008C4E6E" w:rsidRDefault="00000000">
      <w:pPr>
        <w:pStyle w:val="Heading1"/>
      </w:pPr>
      <w:bookmarkStart w:id="119" w:name="_Toc237650675"/>
      <w:r>
        <w:rPr>
          <w:rFonts w:ascii="Calibri" w:eastAsia="Calibri" w:hAnsi="Calibri" w:cs="Calibri"/>
          <w:sz w:val="22"/>
          <w:szCs w:val="22"/>
        </w:rPr>
        <w:t>Annex K: The Signature and Commitment Roadmap</w:t>
      </w:r>
      <w:bookmarkEnd w:id="119"/>
    </w:p>
    <w:p w14:paraId="1E9731CA" w14:textId="77777777" w:rsidR="008C4E6E" w:rsidRDefault="00000000">
      <w:r>
        <w:rPr>
          <w:rFonts w:cs="Calibri"/>
          <w:szCs w:val="22"/>
        </w:rPr>
        <w:t>This Annex tabulates the complete commitment sequence of the Covenant: which instrument each gate executes, who signs it, and what legal effect follows. The roadmap implements Article 0.3.3, and the Registry publishes the live status of every line.</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1902"/>
        <w:gridCol w:w="1901"/>
        <w:gridCol w:w="1901"/>
        <w:gridCol w:w="1901"/>
        <w:gridCol w:w="1901"/>
      </w:tblGrid>
      <w:tr w:rsidR="008C4E6E" w14:paraId="35D8199C" w14:textId="77777777">
        <w:tblPrEx>
          <w:tblCellMar>
            <w:top w:w="0" w:type="dxa"/>
            <w:bottom w:w="0" w:type="dxa"/>
          </w:tblCellMar>
        </w:tblPrEx>
        <w:trPr>
          <w:tblHeader/>
        </w:trPr>
        <w:tc>
          <w:tcPr>
            <w:tcW w:w="1870" w:type="dxa"/>
            <w:shd w:val="clear" w:color="auto" w:fill="E4EEF1"/>
            <w:tcMar>
              <w:top w:w="60" w:type="dxa"/>
              <w:left w:w="100" w:type="dxa"/>
              <w:bottom w:w="60" w:type="dxa"/>
              <w:right w:w="100" w:type="dxa"/>
            </w:tcMar>
          </w:tcPr>
          <w:p w14:paraId="295DDC57" w14:textId="77777777" w:rsidR="008C4E6E" w:rsidRDefault="00000000">
            <w:pPr>
              <w:spacing w:before="20" w:after="20" w:line="290" w:lineRule="auto"/>
              <w:jc w:val="left"/>
            </w:pPr>
            <w:r>
              <w:rPr>
                <w:rFonts w:cs="Calibri"/>
                <w:b/>
                <w:color w:val="1F4E5F"/>
                <w:sz w:val="19"/>
                <w:szCs w:val="19"/>
              </w:rPr>
              <w:t>Gate or trigger</w:t>
            </w:r>
          </w:p>
        </w:tc>
        <w:tc>
          <w:tcPr>
            <w:tcW w:w="1870" w:type="dxa"/>
            <w:shd w:val="clear" w:color="auto" w:fill="E4EEF1"/>
            <w:tcMar>
              <w:top w:w="60" w:type="dxa"/>
              <w:left w:w="100" w:type="dxa"/>
              <w:bottom w:w="60" w:type="dxa"/>
              <w:right w:w="100" w:type="dxa"/>
            </w:tcMar>
          </w:tcPr>
          <w:p w14:paraId="10DAB3CD" w14:textId="77777777" w:rsidR="008C4E6E" w:rsidRDefault="00000000">
            <w:pPr>
              <w:spacing w:before="20" w:after="20" w:line="290" w:lineRule="auto"/>
              <w:jc w:val="left"/>
            </w:pPr>
            <w:r>
              <w:rPr>
                <w:rFonts w:cs="Calibri"/>
                <w:b/>
                <w:color w:val="1F4E5F"/>
                <w:sz w:val="19"/>
                <w:szCs w:val="19"/>
              </w:rPr>
              <w:t>Date or condition</w:t>
            </w:r>
          </w:p>
        </w:tc>
        <w:tc>
          <w:tcPr>
            <w:tcW w:w="1870" w:type="dxa"/>
            <w:shd w:val="clear" w:color="auto" w:fill="E4EEF1"/>
            <w:tcMar>
              <w:top w:w="60" w:type="dxa"/>
              <w:left w:w="100" w:type="dxa"/>
              <w:bottom w:w="60" w:type="dxa"/>
              <w:right w:w="100" w:type="dxa"/>
            </w:tcMar>
          </w:tcPr>
          <w:p w14:paraId="313069CF" w14:textId="77777777" w:rsidR="008C4E6E" w:rsidRDefault="00000000">
            <w:pPr>
              <w:spacing w:before="20" w:after="20" w:line="290" w:lineRule="auto"/>
              <w:jc w:val="left"/>
            </w:pPr>
            <w:r>
              <w:rPr>
                <w:rFonts w:cs="Calibri"/>
                <w:b/>
                <w:color w:val="1F4E5F"/>
                <w:sz w:val="19"/>
                <w:szCs w:val="19"/>
              </w:rPr>
              <w:t>Document or commitment</w:t>
            </w:r>
          </w:p>
        </w:tc>
        <w:tc>
          <w:tcPr>
            <w:tcW w:w="1870" w:type="dxa"/>
            <w:shd w:val="clear" w:color="auto" w:fill="E4EEF1"/>
            <w:tcMar>
              <w:top w:w="60" w:type="dxa"/>
              <w:left w:w="100" w:type="dxa"/>
              <w:bottom w:w="60" w:type="dxa"/>
              <w:right w:w="100" w:type="dxa"/>
            </w:tcMar>
          </w:tcPr>
          <w:p w14:paraId="2957F5BB" w14:textId="77777777" w:rsidR="008C4E6E" w:rsidRDefault="00000000">
            <w:pPr>
              <w:spacing w:before="20" w:after="20" w:line="290" w:lineRule="auto"/>
              <w:jc w:val="left"/>
            </w:pPr>
            <w:r>
              <w:rPr>
                <w:rFonts w:cs="Calibri"/>
                <w:b/>
                <w:color w:val="1F4E5F"/>
                <w:sz w:val="19"/>
                <w:szCs w:val="19"/>
              </w:rPr>
              <w:t>Level of signatory</w:t>
            </w:r>
          </w:p>
        </w:tc>
        <w:tc>
          <w:tcPr>
            <w:tcW w:w="1870" w:type="dxa"/>
            <w:shd w:val="clear" w:color="auto" w:fill="E4EEF1"/>
            <w:tcMar>
              <w:top w:w="60" w:type="dxa"/>
              <w:left w:w="100" w:type="dxa"/>
              <w:bottom w:w="60" w:type="dxa"/>
              <w:right w:w="100" w:type="dxa"/>
            </w:tcMar>
          </w:tcPr>
          <w:p w14:paraId="2E7ABE02" w14:textId="77777777" w:rsidR="008C4E6E" w:rsidRDefault="00000000">
            <w:pPr>
              <w:spacing w:before="20" w:after="20" w:line="290" w:lineRule="auto"/>
              <w:jc w:val="left"/>
            </w:pPr>
            <w:r>
              <w:rPr>
                <w:rFonts w:cs="Calibri"/>
                <w:b/>
                <w:color w:val="1F4E5F"/>
                <w:sz w:val="19"/>
                <w:szCs w:val="19"/>
              </w:rPr>
              <w:t>Legal effect</w:t>
            </w:r>
          </w:p>
        </w:tc>
      </w:tr>
      <w:tr w:rsidR="008C4E6E" w14:paraId="21F84B68" w14:textId="77777777">
        <w:tblPrEx>
          <w:tblCellMar>
            <w:top w:w="0" w:type="dxa"/>
            <w:bottom w:w="0" w:type="dxa"/>
          </w:tblCellMar>
        </w:tblPrEx>
        <w:tc>
          <w:tcPr>
            <w:tcW w:w="1870" w:type="dxa"/>
            <w:tcMar>
              <w:top w:w="60" w:type="dxa"/>
              <w:left w:w="100" w:type="dxa"/>
              <w:bottom w:w="60" w:type="dxa"/>
              <w:right w:w="100" w:type="dxa"/>
            </w:tcMar>
          </w:tcPr>
          <w:p w14:paraId="3E5B4911" w14:textId="77777777" w:rsidR="008C4E6E" w:rsidRDefault="00000000">
            <w:pPr>
              <w:spacing w:before="20" w:after="20" w:line="290" w:lineRule="auto"/>
              <w:jc w:val="left"/>
            </w:pPr>
            <w:r>
              <w:rPr>
                <w:rFonts w:cs="Calibri"/>
                <w:sz w:val="19"/>
                <w:szCs w:val="19"/>
              </w:rPr>
              <w:t>Day 0</w:t>
            </w:r>
          </w:p>
        </w:tc>
        <w:tc>
          <w:tcPr>
            <w:tcW w:w="1870" w:type="dxa"/>
            <w:tcMar>
              <w:top w:w="60" w:type="dxa"/>
              <w:left w:w="100" w:type="dxa"/>
              <w:bottom w:w="60" w:type="dxa"/>
              <w:right w:w="100" w:type="dxa"/>
            </w:tcMar>
          </w:tcPr>
          <w:p w14:paraId="4F0EF162" w14:textId="77777777" w:rsidR="008C4E6E" w:rsidRDefault="00000000">
            <w:pPr>
              <w:spacing w:before="20" w:after="20" w:line="290" w:lineRule="auto"/>
              <w:jc w:val="left"/>
            </w:pPr>
            <w:r>
              <w:rPr>
                <w:rFonts w:cs="Calibri"/>
                <w:sz w:val="19"/>
                <w:szCs w:val="19"/>
              </w:rPr>
              <w:t>Signature</w:t>
            </w:r>
          </w:p>
        </w:tc>
        <w:tc>
          <w:tcPr>
            <w:tcW w:w="1870" w:type="dxa"/>
            <w:tcMar>
              <w:top w:w="60" w:type="dxa"/>
              <w:left w:w="100" w:type="dxa"/>
              <w:bottom w:w="60" w:type="dxa"/>
              <w:right w:w="100" w:type="dxa"/>
            </w:tcMar>
          </w:tcPr>
          <w:p w14:paraId="0B4F1F23" w14:textId="77777777" w:rsidR="008C4E6E" w:rsidRDefault="00000000">
            <w:pPr>
              <w:spacing w:before="20" w:after="20" w:line="290" w:lineRule="auto"/>
              <w:jc w:val="left"/>
            </w:pPr>
            <w:r>
              <w:rPr>
                <w:rFonts w:cs="Calibri"/>
                <w:sz w:val="19"/>
                <w:szCs w:val="19"/>
              </w:rPr>
              <w:t>The Hormuz Exploratory Framework: the entire instrument stands initialed by all participants, and only the obligations of Layer One stand active</w:t>
            </w:r>
          </w:p>
        </w:tc>
        <w:tc>
          <w:tcPr>
            <w:tcW w:w="1870" w:type="dxa"/>
            <w:tcMar>
              <w:top w:w="60" w:type="dxa"/>
              <w:left w:w="100" w:type="dxa"/>
              <w:bottom w:w="60" w:type="dxa"/>
              <w:right w:w="100" w:type="dxa"/>
            </w:tcMar>
          </w:tcPr>
          <w:p w14:paraId="756A2FB8" w14:textId="77777777" w:rsidR="008C4E6E" w:rsidRDefault="00000000">
            <w:pPr>
              <w:spacing w:before="20" w:after="20" w:line="290" w:lineRule="auto"/>
              <w:jc w:val="left"/>
            </w:pPr>
            <w:r>
              <w:rPr>
                <w:rFonts w:cs="Calibri"/>
                <w:sz w:val="19"/>
                <w:szCs w:val="19"/>
              </w:rPr>
              <w:t>Senior civil servants serving as Liaison Officers</w:t>
            </w:r>
          </w:p>
        </w:tc>
        <w:tc>
          <w:tcPr>
            <w:tcW w:w="1870" w:type="dxa"/>
            <w:tcMar>
              <w:top w:w="60" w:type="dxa"/>
              <w:left w:w="100" w:type="dxa"/>
              <w:bottom w:w="60" w:type="dxa"/>
              <w:right w:w="100" w:type="dxa"/>
            </w:tcMar>
          </w:tcPr>
          <w:p w14:paraId="05B593EB" w14:textId="77777777" w:rsidR="008C4E6E" w:rsidRDefault="00000000">
            <w:pPr>
              <w:spacing w:before="20" w:after="20" w:line="290" w:lineRule="auto"/>
              <w:jc w:val="left"/>
            </w:pPr>
            <w:r>
              <w:rPr>
                <w:rFonts w:cs="Calibri"/>
                <w:sz w:val="19"/>
                <w:szCs w:val="19"/>
              </w:rPr>
              <w:t>Creates a project plan, not a legal obligation</w:t>
            </w:r>
          </w:p>
        </w:tc>
      </w:tr>
      <w:tr w:rsidR="008C4E6E" w14:paraId="5857C927" w14:textId="77777777">
        <w:tblPrEx>
          <w:tblCellMar>
            <w:top w:w="0" w:type="dxa"/>
            <w:bottom w:w="0" w:type="dxa"/>
          </w:tblCellMar>
        </w:tblPrEx>
        <w:tc>
          <w:tcPr>
            <w:tcW w:w="1870" w:type="dxa"/>
            <w:tcMar>
              <w:top w:w="60" w:type="dxa"/>
              <w:left w:w="100" w:type="dxa"/>
              <w:bottom w:w="60" w:type="dxa"/>
              <w:right w:w="100" w:type="dxa"/>
            </w:tcMar>
          </w:tcPr>
          <w:p w14:paraId="4D718EA0" w14:textId="77777777" w:rsidR="008C4E6E" w:rsidRDefault="00000000">
            <w:pPr>
              <w:spacing w:before="20" w:after="20" w:line="290" w:lineRule="auto"/>
              <w:jc w:val="left"/>
            </w:pPr>
            <w:r>
              <w:rPr>
                <w:rFonts w:cs="Calibri"/>
                <w:sz w:val="19"/>
                <w:szCs w:val="19"/>
              </w:rPr>
              <w:t>Gate One</w:t>
            </w:r>
          </w:p>
        </w:tc>
        <w:tc>
          <w:tcPr>
            <w:tcW w:w="1870" w:type="dxa"/>
            <w:tcMar>
              <w:top w:w="60" w:type="dxa"/>
              <w:left w:w="100" w:type="dxa"/>
              <w:bottom w:w="60" w:type="dxa"/>
              <w:right w:w="100" w:type="dxa"/>
            </w:tcMar>
          </w:tcPr>
          <w:p w14:paraId="187972A9" w14:textId="77777777" w:rsidR="008C4E6E" w:rsidRDefault="00000000">
            <w:pPr>
              <w:spacing w:before="20" w:after="20" w:line="290" w:lineRule="auto"/>
              <w:jc w:val="left"/>
            </w:pPr>
            <w:r>
              <w:rPr>
                <w:rFonts w:cs="Calibri"/>
                <w:sz w:val="19"/>
                <w:szCs w:val="19"/>
              </w:rPr>
              <w:t>About Day 30</w:t>
            </w:r>
          </w:p>
        </w:tc>
        <w:tc>
          <w:tcPr>
            <w:tcW w:w="1870" w:type="dxa"/>
            <w:tcMar>
              <w:top w:w="60" w:type="dxa"/>
              <w:left w:w="100" w:type="dxa"/>
              <w:bottom w:w="60" w:type="dxa"/>
              <w:right w:w="100" w:type="dxa"/>
            </w:tcMar>
          </w:tcPr>
          <w:p w14:paraId="06306B68" w14:textId="77777777" w:rsidR="008C4E6E" w:rsidRDefault="00000000">
            <w:pPr>
              <w:spacing w:before="20" w:after="20" w:line="290" w:lineRule="auto"/>
              <w:jc w:val="left"/>
            </w:pPr>
            <w:r>
              <w:rPr>
                <w:rFonts w:cs="Calibri"/>
                <w:sz w:val="19"/>
                <w:szCs w:val="19"/>
              </w:rPr>
              <w:t>Layer One certified; no signature; the Liaison Officers hold authorization to begin Layer Two</w:t>
            </w:r>
          </w:p>
        </w:tc>
        <w:tc>
          <w:tcPr>
            <w:tcW w:w="1870" w:type="dxa"/>
            <w:tcMar>
              <w:top w:w="60" w:type="dxa"/>
              <w:left w:w="100" w:type="dxa"/>
              <w:bottom w:w="60" w:type="dxa"/>
              <w:right w:w="100" w:type="dxa"/>
            </w:tcMar>
          </w:tcPr>
          <w:p w14:paraId="0A951621" w14:textId="77777777" w:rsidR="008C4E6E" w:rsidRDefault="00000000">
            <w:pPr>
              <w:spacing w:before="20" w:after="20" w:line="290" w:lineRule="auto"/>
              <w:jc w:val="left"/>
            </w:pPr>
            <w:r>
              <w:rPr>
                <w:rFonts w:cs="Calibri"/>
                <w:sz w:val="19"/>
                <w:szCs w:val="19"/>
              </w:rPr>
              <w:t>Not applicable: the certification itself is the trigger</w:t>
            </w:r>
          </w:p>
        </w:tc>
        <w:tc>
          <w:tcPr>
            <w:tcW w:w="1870" w:type="dxa"/>
            <w:tcMar>
              <w:top w:w="60" w:type="dxa"/>
              <w:left w:w="100" w:type="dxa"/>
              <w:bottom w:w="60" w:type="dxa"/>
              <w:right w:w="100" w:type="dxa"/>
            </w:tcMar>
          </w:tcPr>
          <w:p w14:paraId="147E9CF3" w14:textId="77777777" w:rsidR="008C4E6E" w:rsidRDefault="00000000">
            <w:pPr>
              <w:spacing w:before="20" w:after="20" w:line="290" w:lineRule="auto"/>
              <w:jc w:val="left"/>
            </w:pPr>
            <w:r>
              <w:rPr>
                <w:rFonts w:cs="Calibri"/>
                <w:sz w:val="19"/>
                <w:szCs w:val="19"/>
              </w:rPr>
              <w:t>The Administrative Letter of Intent stands executed</w:t>
            </w:r>
          </w:p>
        </w:tc>
      </w:tr>
      <w:tr w:rsidR="008C4E6E" w14:paraId="64F18ADB" w14:textId="77777777">
        <w:tblPrEx>
          <w:tblCellMar>
            <w:top w:w="0" w:type="dxa"/>
            <w:bottom w:w="0" w:type="dxa"/>
          </w:tblCellMar>
        </w:tblPrEx>
        <w:tc>
          <w:tcPr>
            <w:tcW w:w="1870" w:type="dxa"/>
            <w:tcMar>
              <w:top w:w="60" w:type="dxa"/>
              <w:left w:w="100" w:type="dxa"/>
              <w:bottom w:w="60" w:type="dxa"/>
              <w:right w:w="100" w:type="dxa"/>
            </w:tcMar>
          </w:tcPr>
          <w:p w14:paraId="3ACCC3D2" w14:textId="77777777" w:rsidR="008C4E6E" w:rsidRDefault="00000000">
            <w:pPr>
              <w:spacing w:before="20" w:after="20" w:line="290" w:lineRule="auto"/>
              <w:jc w:val="left"/>
            </w:pPr>
            <w:r>
              <w:rPr>
                <w:rFonts w:cs="Calibri"/>
                <w:sz w:val="19"/>
                <w:szCs w:val="19"/>
              </w:rPr>
              <w:t>Gate Two</w:t>
            </w:r>
          </w:p>
        </w:tc>
        <w:tc>
          <w:tcPr>
            <w:tcW w:w="1870" w:type="dxa"/>
            <w:tcMar>
              <w:top w:w="60" w:type="dxa"/>
              <w:left w:w="100" w:type="dxa"/>
              <w:bottom w:w="60" w:type="dxa"/>
              <w:right w:w="100" w:type="dxa"/>
            </w:tcMar>
          </w:tcPr>
          <w:p w14:paraId="5C812348" w14:textId="77777777" w:rsidR="008C4E6E" w:rsidRDefault="00000000">
            <w:pPr>
              <w:spacing w:before="20" w:after="20" w:line="290" w:lineRule="auto"/>
              <w:jc w:val="left"/>
            </w:pPr>
            <w:r>
              <w:rPr>
                <w:rFonts w:cs="Calibri"/>
                <w:sz w:val="19"/>
                <w:szCs w:val="19"/>
              </w:rPr>
              <w:t>Day 60</w:t>
            </w:r>
          </w:p>
        </w:tc>
        <w:tc>
          <w:tcPr>
            <w:tcW w:w="1870" w:type="dxa"/>
            <w:tcMar>
              <w:top w:w="60" w:type="dxa"/>
              <w:left w:w="100" w:type="dxa"/>
              <w:bottom w:w="60" w:type="dxa"/>
              <w:right w:w="100" w:type="dxa"/>
            </w:tcMar>
          </w:tcPr>
          <w:p w14:paraId="613372BF" w14:textId="77777777" w:rsidR="008C4E6E" w:rsidRDefault="00000000">
            <w:pPr>
              <w:spacing w:before="20" w:after="20" w:line="290" w:lineRule="auto"/>
              <w:jc w:val="left"/>
            </w:pPr>
            <w:r>
              <w:rPr>
                <w:rFonts w:cs="Calibri"/>
                <w:sz w:val="19"/>
                <w:szCs w:val="19"/>
              </w:rPr>
              <w:t>Layers One and Two certified; the Protocols of Predictability adopted</w:t>
            </w:r>
          </w:p>
        </w:tc>
        <w:tc>
          <w:tcPr>
            <w:tcW w:w="1870" w:type="dxa"/>
            <w:tcMar>
              <w:top w:w="60" w:type="dxa"/>
              <w:left w:w="100" w:type="dxa"/>
              <w:bottom w:w="60" w:type="dxa"/>
              <w:right w:w="100" w:type="dxa"/>
            </w:tcMar>
          </w:tcPr>
          <w:p w14:paraId="0DC5F151" w14:textId="77777777" w:rsidR="008C4E6E" w:rsidRDefault="00000000">
            <w:pPr>
              <w:spacing w:before="20" w:after="20" w:line="290" w:lineRule="auto"/>
              <w:jc w:val="left"/>
            </w:pPr>
            <w:r>
              <w:rPr>
                <w:rFonts w:cs="Calibri"/>
                <w:sz w:val="19"/>
                <w:szCs w:val="19"/>
              </w:rPr>
              <w:t>Directors of Maritime Affairs</w:t>
            </w:r>
          </w:p>
        </w:tc>
        <w:tc>
          <w:tcPr>
            <w:tcW w:w="1870" w:type="dxa"/>
            <w:tcMar>
              <w:top w:w="60" w:type="dxa"/>
              <w:left w:w="100" w:type="dxa"/>
              <w:bottom w:w="60" w:type="dxa"/>
              <w:right w:w="100" w:type="dxa"/>
            </w:tcMar>
          </w:tcPr>
          <w:p w14:paraId="7DC7616D" w14:textId="77777777" w:rsidR="008C4E6E" w:rsidRDefault="00000000">
            <w:pPr>
              <w:spacing w:before="20" w:after="20" w:line="290" w:lineRule="auto"/>
              <w:jc w:val="left"/>
            </w:pPr>
            <w:r>
              <w:rPr>
                <w:rFonts w:cs="Calibri"/>
                <w:sz w:val="19"/>
                <w:szCs w:val="19"/>
              </w:rPr>
              <w:t>Non-binding Executive Memorandum of Understanding</w:t>
            </w:r>
          </w:p>
        </w:tc>
      </w:tr>
      <w:tr w:rsidR="008C4E6E" w14:paraId="4100A0E0" w14:textId="77777777">
        <w:tblPrEx>
          <w:tblCellMar>
            <w:top w:w="0" w:type="dxa"/>
            <w:bottom w:w="0" w:type="dxa"/>
          </w:tblCellMar>
        </w:tblPrEx>
        <w:tc>
          <w:tcPr>
            <w:tcW w:w="1870" w:type="dxa"/>
            <w:tcMar>
              <w:top w:w="60" w:type="dxa"/>
              <w:left w:w="100" w:type="dxa"/>
              <w:bottom w:w="60" w:type="dxa"/>
              <w:right w:w="100" w:type="dxa"/>
            </w:tcMar>
          </w:tcPr>
          <w:p w14:paraId="2168E1EE" w14:textId="77777777" w:rsidR="008C4E6E" w:rsidRDefault="00000000">
            <w:pPr>
              <w:spacing w:before="20" w:after="20" w:line="290" w:lineRule="auto"/>
              <w:jc w:val="left"/>
            </w:pPr>
            <w:r>
              <w:rPr>
                <w:rFonts w:cs="Calibri"/>
                <w:sz w:val="19"/>
                <w:szCs w:val="19"/>
              </w:rPr>
              <w:t>Gate Three</w:t>
            </w:r>
          </w:p>
        </w:tc>
        <w:tc>
          <w:tcPr>
            <w:tcW w:w="1870" w:type="dxa"/>
            <w:tcMar>
              <w:top w:w="60" w:type="dxa"/>
              <w:left w:w="100" w:type="dxa"/>
              <w:bottom w:w="60" w:type="dxa"/>
              <w:right w:w="100" w:type="dxa"/>
            </w:tcMar>
          </w:tcPr>
          <w:p w14:paraId="4FB0304A" w14:textId="77777777" w:rsidR="008C4E6E" w:rsidRDefault="00000000">
            <w:pPr>
              <w:spacing w:before="20" w:after="20" w:line="290" w:lineRule="auto"/>
              <w:jc w:val="left"/>
            </w:pPr>
            <w:r>
              <w:rPr>
                <w:rFonts w:cs="Calibri"/>
                <w:sz w:val="19"/>
                <w:szCs w:val="19"/>
              </w:rPr>
              <w:t>Day 75</w:t>
            </w:r>
          </w:p>
        </w:tc>
        <w:tc>
          <w:tcPr>
            <w:tcW w:w="1870" w:type="dxa"/>
            <w:tcMar>
              <w:top w:w="60" w:type="dxa"/>
              <w:left w:w="100" w:type="dxa"/>
              <w:bottom w:w="60" w:type="dxa"/>
              <w:right w:w="100" w:type="dxa"/>
            </w:tcMar>
          </w:tcPr>
          <w:p w14:paraId="35397601" w14:textId="77777777" w:rsidR="008C4E6E" w:rsidRDefault="00000000">
            <w:pPr>
              <w:spacing w:before="20" w:after="20" w:line="290" w:lineRule="auto"/>
              <w:jc w:val="left"/>
            </w:pPr>
            <w:r>
              <w:rPr>
                <w:rFonts w:cs="Calibri"/>
                <w:sz w:val="19"/>
                <w:szCs w:val="19"/>
              </w:rPr>
              <w:t>Layers One, Two, and Three certified; the Safety Mesh Understanding adopted</w:t>
            </w:r>
          </w:p>
        </w:tc>
        <w:tc>
          <w:tcPr>
            <w:tcW w:w="1870" w:type="dxa"/>
            <w:tcMar>
              <w:top w:w="60" w:type="dxa"/>
              <w:left w:w="100" w:type="dxa"/>
              <w:bottom w:w="60" w:type="dxa"/>
              <w:right w:w="100" w:type="dxa"/>
            </w:tcMar>
          </w:tcPr>
          <w:p w14:paraId="7870C626" w14:textId="77777777" w:rsidR="008C4E6E" w:rsidRDefault="00000000">
            <w:pPr>
              <w:spacing w:before="20" w:after="20" w:line="290" w:lineRule="auto"/>
              <w:jc w:val="left"/>
            </w:pPr>
            <w:r>
              <w:rPr>
                <w:rFonts w:cs="Calibri"/>
                <w:sz w:val="19"/>
                <w:szCs w:val="19"/>
              </w:rPr>
              <w:t>Heads of Coast Guard and Hydrographic Offices</w:t>
            </w:r>
          </w:p>
        </w:tc>
        <w:tc>
          <w:tcPr>
            <w:tcW w:w="1870" w:type="dxa"/>
            <w:tcMar>
              <w:top w:w="60" w:type="dxa"/>
              <w:left w:w="100" w:type="dxa"/>
              <w:bottom w:w="60" w:type="dxa"/>
              <w:right w:w="100" w:type="dxa"/>
            </w:tcMar>
          </w:tcPr>
          <w:p w14:paraId="196E8C14" w14:textId="77777777" w:rsidR="008C4E6E" w:rsidRDefault="00000000">
            <w:pPr>
              <w:spacing w:before="20" w:after="20" w:line="290" w:lineRule="auto"/>
              <w:jc w:val="left"/>
            </w:pPr>
            <w:r>
              <w:rPr>
                <w:rFonts w:cs="Calibri"/>
                <w:sz w:val="19"/>
                <w:szCs w:val="19"/>
              </w:rPr>
              <w:t>Administrative Arrangement binding on the agencies</w:t>
            </w:r>
          </w:p>
        </w:tc>
      </w:tr>
      <w:tr w:rsidR="008C4E6E" w14:paraId="632EFE2D" w14:textId="77777777">
        <w:tblPrEx>
          <w:tblCellMar>
            <w:top w:w="0" w:type="dxa"/>
            <w:bottom w:w="0" w:type="dxa"/>
          </w:tblCellMar>
        </w:tblPrEx>
        <w:tc>
          <w:tcPr>
            <w:tcW w:w="1870" w:type="dxa"/>
            <w:tcMar>
              <w:top w:w="60" w:type="dxa"/>
              <w:left w:w="100" w:type="dxa"/>
              <w:bottom w:w="60" w:type="dxa"/>
              <w:right w:w="100" w:type="dxa"/>
            </w:tcMar>
          </w:tcPr>
          <w:p w14:paraId="50288166" w14:textId="77777777" w:rsidR="008C4E6E" w:rsidRDefault="00000000">
            <w:pPr>
              <w:spacing w:before="20" w:after="20" w:line="290" w:lineRule="auto"/>
              <w:jc w:val="left"/>
            </w:pPr>
            <w:r>
              <w:rPr>
                <w:rFonts w:cs="Calibri"/>
                <w:sz w:val="19"/>
                <w:szCs w:val="19"/>
              </w:rPr>
              <w:lastRenderedPageBreak/>
              <w:t>Gate Four</w:t>
            </w:r>
          </w:p>
        </w:tc>
        <w:tc>
          <w:tcPr>
            <w:tcW w:w="1870" w:type="dxa"/>
            <w:tcMar>
              <w:top w:w="60" w:type="dxa"/>
              <w:left w:w="100" w:type="dxa"/>
              <w:bottom w:w="60" w:type="dxa"/>
              <w:right w:w="100" w:type="dxa"/>
            </w:tcMar>
          </w:tcPr>
          <w:p w14:paraId="3CF8FF98" w14:textId="77777777" w:rsidR="008C4E6E" w:rsidRDefault="00000000">
            <w:pPr>
              <w:spacing w:before="20" w:after="20" w:line="290" w:lineRule="auto"/>
              <w:jc w:val="left"/>
            </w:pPr>
            <w:r>
              <w:rPr>
                <w:rFonts w:cs="Calibri"/>
                <w:sz w:val="19"/>
                <w:szCs w:val="19"/>
              </w:rPr>
              <w:t>Day 75</w:t>
            </w:r>
          </w:p>
        </w:tc>
        <w:tc>
          <w:tcPr>
            <w:tcW w:w="1870" w:type="dxa"/>
            <w:tcMar>
              <w:top w:w="60" w:type="dxa"/>
              <w:left w:w="100" w:type="dxa"/>
              <w:bottom w:w="60" w:type="dxa"/>
              <w:right w:w="100" w:type="dxa"/>
            </w:tcMar>
          </w:tcPr>
          <w:p w14:paraId="37724662" w14:textId="77777777" w:rsidR="008C4E6E" w:rsidRDefault="00000000">
            <w:pPr>
              <w:spacing w:before="20" w:after="20" w:line="290" w:lineRule="auto"/>
              <w:jc w:val="left"/>
            </w:pPr>
            <w:r>
              <w:rPr>
                <w:rFonts w:cs="Calibri"/>
                <w:sz w:val="19"/>
                <w:szCs w:val="19"/>
              </w:rPr>
              <w:t>Layers One to Four certified; the Calm Waters Institutional Agreement adopted</w:t>
            </w:r>
          </w:p>
        </w:tc>
        <w:tc>
          <w:tcPr>
            <w:tcW w:w="1870" w:type="dxa"/>
            <w:tcMar>
              <w:top w:w="60" w:type="dxa"/>
              <w:left w:w="100" w:type="dxa"/>
              <w:bottom w:w="60" w:type="dxa"/>
              <w:right w:w="100" w:type="dxa"/>
            </w:tcMar>
          </w:tcPr>
          <w:p w14:paraId="3602E11D" w14:textId="77777777" w:rsidR="008C4E6E" w:rsidRDefault="00000000">
            <w:pPr>
              <w:spacing w:before="20" w:after="20" w:line="290" w:lineRule="auto"/>
              <w:jc w:val="left"/>
            </w:pPr>
            <w:r>
              <w:rPr>
                <w:rFonts w:cs="Calibri"/>
                <w:sz w:val="19"/>
                <w:szCs w:val="19"/>
              </w:rPr>
              <w:t>Foreign Ministers of the Founding Parties</w:t>
            </w:r>
          </w:p>
        </w:tc>
        <w:tc>
          <w:tcPr>
            <w:tcW w:w="1870" w:type="dxa"/>
            <w:tcMar>
              <w:top w:w="60" w:type="dxa"/>
              <w:left w:w="100" w:type="dxa"/>
              <w:bottom w:w="60" w:type="dxa"/>
              <w:right w:w="100" w:type="dxa"/>
            </w:tcMar>
          </w:tcPr>
          <w:p w14:paraId="2782E243" w14:textId="77777777" w:rsidR="008C4E6E" w:rsidRDefault="00000000">
            <w:pPr>
              <w:spacing w:before="20" w:after="20" w:line="290" w:lineRule="auto"/>
              <w:jc w:val="left"/>
            </w:pPr>
            <w:r>
              <w:rPr>
                <w:rFonts w:cs="Calibri"/>
                <w:sz w:val="19"/>
                <w:szCs w:val="19"/>
              </w:rPr>
              <w:t>Binding Inter-Governmental Memorandum of Understanding</w:t>
            </w:r>
          </w:p>
        </w:tc>
      </w:tr>
      <w:tr w:rsidR="008C4E6E" w14:paraId="3FD53ABD" w14:textId="77777777">
        <w:tblPrEx>
          <w:tblCellMar>
            <w:top w:w="0" w:type="dxa"/>
            <w:bottom w:w="0" w:type="dxa"/>
          </w:tblCellMar>
        </w:tblPrEx>
        <w:tc>
          <w:tcPr>
            <w:tcW w:w="1870" w:type="dxa"/>
            <w:tcMar>
              <w:top w:w="60" w:type="dxa"/>
              <w:left w:w="100" w:type="dxa"/>
              <w:bottom w:w="60" w:type="dxa"/>
              <w:right w:w="100" w:type="dxa"/>
            </w:tcMar>
          </w:tcPr>
          <w:p w14:paraId="1CD9FC63" w14:textId="77777777" w:rsidR="008C4E6E" w:rsidRDefault="00000000">
            <w:pPr>
              <w:spacing w:before="20" w:after="20" w:line="290" w:lineRule="auto"/>
              <w:jc w:val="left"/>
            </w:pPr>
            <w:r>
              <w:rPr>
                <w:rFonts w:cs="Calibri"/>
                <w:sz w:val="19"/>
                <w:szCs w:val="19"/>
              </w:rPr>
              <w:t>Gate Five</w:t>
            </w:r>
          </w:p>
        </w:tc>
        <w:tc>
          <w:tcPr>
            <w:tcW w:w="1870" w:type="dxa"/>
            <w:tcMar>
              <w:top w:w="60" w:type="dxa"/>
              <w:left w:w="100" w:type="dxa"/>
              <w:bottom w:w="60" w:type="dxa"/>
              <w:right w:w="100" w:type="dxa"/>
            </w:tcMar>
          </w:tcPr>
          <w:p w14:paraId="71B414FD" w14:textId="77777777" w:rsidR="008C4E6E" w:rsidRDefault="00000000">
            <w:pPr>
              <w:spacing w:before="20" w:after="20" w:line="290" w:lineRule="auto"/>
              <w:jc w:val="left"/>
            </w:pPr>
            <w:r>
              <w:rPr>
                <w:rFonts w:cs="Calibri"/>
                <w:sz w:val="19"/>
                <w:szCs w:val="19"/>
              </w:rPr>
              <w:t>Day 90</w:t>
            </w:r>
          </w:p>
        </w:tc>
        <w:tc>
          <w:tcPr>
            <w:tcW w:w="1870" w:type="dxa"/>
            <w:tcMar>
              <w:top w:w="60" w:type="dxa"/>
              <w:left w:w="100" w:type="dxa"/>
              <w:bottom w:w="60" w:type="dxa"/>
              <w:right w:w="100" w:type="dxa"/>
            </w:tcMar>
          </w:tcPr>
          <w:p w14:paraId="24962280" w14:textId="77777777" w:rsidR="008C4E6E" w:rsidRDefault="00000000">
            <w:pPr>
              <w:spacing w:before="20" w:after="20" w:line="290" w:lineRule="auto"/>
              <w:jc w:val="left"/>
            </w:pPr>
            <w:r>
              <w:rPr>
                <w:rFonts w:cs="Calibri"/>
                <w:sz w:val="19"/>
                <w:szCs w:val="19"/>
              </w:rPr>
              <w:t>Layers One to Five certified; the Financial Simulation Compact adopted</w:t>
            </w:r>
          </w:p>
        </w:tc>
        <w:tc>
          <w:tcPr>
            <w:tcW w:w="1870" w:type="dxa"/>
            <w:tcMar>
              <w:top w:w="60" w:type="dxa"/>
              <w:left w:w="100" w:type="dxa"/>
              <w:bottom w:w="60" w:type="dxa"/>
              <w:right w:w="100" w:type="dxa"/>
            </w:tcMar>
          </w:tcPr>
          <w:p w14:paraId="2EB65441" w14:textId="77777777" w:rsidR="008C4E6E" w:rsidRDefault="00000000">
            <w:pPr>
              <w:spacing w:before="20" w:after="20" w:line="290" w:lineRule="auto"/>
              <w:jc w:val="left"/>
            </w:pPr>
            <w:r>
              <w:rPr>
                <w:rFonts w:cs="Calibri"/>
                <w:sz w:val="19"/>
                <w:szCs w:val="19"/>
              </w:rPr>
              <w:t>Foreign Ministers, witnessed by the Industry Panel</w:t>
            </w:r>
          </w:p>
        </w:tc>
        <w:tc>
          <w:tcPr>
            <w:tcW w:w="1870" w:type="dxa"/>
            <w:tcMar>
              <w:top w:w="60" w:type="dxa"/>
              <w:left w:w="100" w:type="dxa"/>
              <w:bottom w:w="60" w:type="dxa"/>
              <w:right w:w="100" w:type="dxa"/>
            </w:tcMar>
          </w:tcPr>
          <w:p w14:paraId="23CB0D98" w14:textId="77777777" w:rsidR="008C4E6E" w:rsidRDefault="00000000">
            <w:pPr>
              <w:spacing w:before="20" w:after="20" w:line="290" w:lineRule="auto"/>
              <w:jc w:val="left"/>
            </w:pPr>
            <w:r>
              <w:rPr>
                <w:rFonts w:cs="Calibri"/>
                <w:sz w:val="19"/>
                <w:szCs w:val="19"/>
              </w:rPr>
              <w:t>Political Declaration: non-binding on final financial outcomes, binding on acceptance of the simulation data as the basis for negotiation</w:t>
            </w:r>
          </w:p>
        </w:tc>
      </w:tr>
      <w:tr w:rsidR="008C4E6E" w14:paraId="0A0A936E" w14:textId="77777777">
        <w:tblPrEx>
          <w:tblCellMar>
            <w:top w:w="0" w:type="dxa"/>
            <w:bottom w:w="0" w:type="dxa"/>
          </w:tblCellMar>
        </w:tblPrEx>
        <w:tc>
          <w:tcPr>
            <w:tcW w:w="1870" w:type="dxa"/>
            <w:tcMar>
              <w:top w:w="60" w:type="dxa"/>
              <w:left w:w="100" w:type="dxa"/>
              <w:bottom w:w="60" w:type="dxa"/>
              <w:right w:w="100" w:type="dxa"/>
            </w:tcMar>
          </w:tcPr>
          <w:p w14:paraId="723B392D" w14:textId="77777777" w:rsidR="008C4E6E" w:rsidRDefault="00000000">
            <w:pPr>
              <w:spacing w:before="20" w:after="20" w:line="290" w:lineRule="auto"/>
              <w:jc w:val="left"/>
            </w:pPr>
            <w:r>
              <w:rPr>
                <w:rFonts w:cs="Calibri"/>
                <w:sz w:val="19"/>
                <w:szCs w:val="19"/>
              </w:rPr>
              <w:t>Gate Six, the Stability Audit</w:t>
            </w:r>
          </w:p>
        </w:tc>
        <w:tc>
          <w:tcPr>
            <w:tcW w:w="1870" w:type="dxa"/>
            <w:tcMar>
              <w:top w:w="60" w:type="dxa"/>
              <w:left w:w="100" w:type="dxa"/>
              <w:bottom w:w="60" w:type="dxa"/>
              <w:right w:w="100" w:type="dxa"/>
            </w:tcMar>
          </w:tcPr>
          <w:p w14:paraId="650D6F5A" w14:textId="77777777" w:rsidR="008C4E6E" w:rsidRDefault="00000000">
            <w:pPr>
              <w:spacing w:before="20" w:after="20" w:line="290" w:lineRule="auto"/>
              <w:jc w:val="left"/>
            </w:pPr>
            <w:r>
              <w:rPr>
                <w:rFonts w:cs="Calibri"/>
                <w:sz w:val="19"/>
                <w:szCs w:val="19"/>
              </w:rPr>
              <w:t>Days 75 to 105</w:t>
            </w:r>
          </w:p>
        </w:tc>
        <w:tc>
          <w:tcPr>
            <w:tcW w:w="1870" w:type="dxa"/>
            <w:tcMar>
              <w:top w:w="60" w:type="dxa"/>
              <w:left w:w="100" w:type="dxa"/>
              <w:bottom w:w="60" w:type="dxa"/>
              <w:right w:w="100" w:type="dxa"/>
            </w:tcMar>
          </w:tcPr>
          <w:p w14:paraId="4F75C136" w14:textId="77777777" w:rsidR="008C4E6E" w:rsidRDefault="00000000">
            <w:pPr>
              <w:spacing w:before="20" w:after="20" w:line="290" w:lineRule="auto"/>
              <w:jc w:val="left"/>
            </w:pPr>
            <w:r>
              <w:rPr>
                <w:rFonts w:cs="Calibri"/>
                <w:sz w:val="19"/>
                <w:szCs w:val="19"/>
              </w:rPr>
              <w:t>The audit stands passed; Layer Six activates automatically; no signature; the Synchronized Indivisible Event stands scheduled</w:t>
            </w:r>
          </w:p>
        </w:tc>
        <w:tc>
          <w:tcPr>
            <w:tcW w:w="1870" w:type="dxa"/>
            <w:tcMar>
              <w:top w:w="60" w:type="dxa"/>
              <w:left w:w="100" w:type="dxa"/>
              <w:bottom w:w="60" w:type="dxa"/>
              <w:right w:w="100" w:type="dxa"/>
            </w:tcMar>
          </w:tcPr>
          <w:p w14:paraId="73821592" w14:textId="77777777" w:rsidR="008C4E6E" w:rsidRDefault="00000000">
            <w:pPr>
              <w:spacing w:before="20" w:after="20" w:line="290" w:lineRule="auto"/>
              <w:jc w:val="left"/>
            </w:pPr>
            <w:r>
              <w:rPr>
                <w:rFonts w:cs="Calibri"/>
                <w:sz w:val="19"/>
                <w:szCs w:val="19"/>
              </w:rPr>
              <w:t>Not applicable: the audit certification is the trigger</w:t>
            </w:r>
          </w:p>
        </w:tc>
        <w:tc>
          <w:tcPr>
            <w:tcW w:w="1870" w:type="dxa"/>
            <w:tcMar>
              <w:top w:w="60" w:type="dxa"/>
              <w:left w:w="100" w:type="dxa"/>
              <w:bottom w:w="60" w:type="dxa"/>
              <w:right w:w="100" w:type="dxa"/>
            </w:tcMar>
          </w:tcPr>
          <w:p w14:paraId="608283E3" w14:textId="77777777" w:rsidR="008C4E6E" w:rsidRDefault="00000000">
            <w:pPr>
              <w:spacing w:before="20" w:after="20" w:line="290" w:lineRule="auto"/>
              <w:jc w:val="left"/>
            </w:pPr>
            <w:r>
              <w:rPr>
                <w:rFonts w:cs="Calibri"/>
                <w:sz w:val="19"/>
                <w:szCs w:val="19"/>
              </w:rPr>
              <w:t>The Conditional Binding Agreement stands triggered</w:t>
            </w:r>
          </w:p>
        </w:tc>
      </w:tr>
      <w:tr w:rsidR="008C4E6E" w14:paraId="06439AF5" w14:textId="77777777">
        <w:tblPrEx>
          <w:tblCellMar>
            <w:top w:w="0" w:type="dxa"/>
            <w:bottom w:w="0" w:type="dxa"/>
          </w:tblCellMar>
        </w:tblPrEx>
        <w:tc>
          <w:tcPr>
            <w:tcW w:w="1870" w:type="dxa"/>
            <w:tcMar>
              <w:top w:w="60" w:type="dxa"/>
              <w:left w:w="100" w:type="dxa"/>
              <w:bottom w:w="60" w:type="dxa"/>
              <w:right w:w="100" w:type="dxa"/>
            </w:tcMar>
          </w:tcPr>
          <w:p w14:paraId="52C68F05" w14:textId="77777777" w:rsidR="008C4E6E" w:rsidRDefault="00000000">
            <w:pPr>
              <w:spacing w:before="20" w:after="20" w:line="290" w:lineRule="auto"/>
              <w:jc w:val="left"/>
            </w:pPr>
            <w:r>
              <w:rPr>
                <w:rFonts w:cs="Calibri"/>
                <w:sz w:val="19"/>
                <w:szCs w:val="19"/>
              </w:rPr>
              <w:t>The Synchronized Indivisible Event</w:t>
            </w:r>
          </w:p>
        </w:tc>
        <w:tc>
          <w:tcPr>
            <w:tcW w:w="1870" w:type="dxa"/>
            <w:tcMar>
              <w:top w:w="60" w:type="dxa"/>
              <w:left w:w="100" w:type="dxa"/>
              <w:bottom w:w="60" w:type="dxa"/>
              <w:right w:w="100" w:type="dxa"/>
            </w:tcMar>
          </w:tcPr>
          <w:p w14:paraId="2669852A" w14:textId="77777777" w:rsidR="008C4E6E" w:rsidRDefault="00000000">
            <w:pPr>
              <w:spacing w:before="20" w:after="20" w:line="290" w:lineRule="auto"/>
              <w:jc w:val="left"/>
            </w:pPr>
            <w:r>
              <w:rPr>
                <w:rFonts w:cs="Calibri"/>
                <w:sz w:val="19"/>
                <w:szCs w:val="19"/>
              </w:rPr>
              <w:t>Days 105 to 120</w:t>
            </w:r>
          </w:p>
        </w:tc>
        <w:tc>
          <w:tcPr>
            <w:tcW w:w="1870" w:type="dxa"/>
            <w:tcMar>
              <w:top w:w="60" w:type="dxa"/>
              <w:left w:w="100" w:type="dxa"/>
              <w:bottom w:w="60" w:type="dxa"/>
              <w:right w:w="100" w:type="dxa"/>
            </w:tcMar>
          </w:tcPr>
          <w:p w14:paraId="392667A3" w14:textId="77777777" w:rsidR="008C4E6E" w:rsidRDefault="00000000">
            <w:pPr>
              <w:spacing w:before="20" w:after="20" w:line="290" w:lineRule="auto"/>
              <w:jc w:val="left"/>
            </w:pPr>
            <w:r>
              <w:rPr>
                <w:rFonts w:cs="Calibri"/>
                <w:sz w:val="19"/>
                <w:szCs w:val="19"/>
              </w:rPr>
              <w:t>Layer Seven: the Final Charter signed; the corridors activate and the blockade terminates</w:t>
            </w:r>
          </w:p>
        </w:tc>
        <w:tc>
          <w:tcPr>
            <w:tcW w:w="1870" w:type="dxa"/>
            <w:tcMar>
              <w:top w:w="60" w:type="dxa"/>
              <w:left w:w="100" w:type="dxa"/>
              <w:bottom w:w="60" w:type="dxa"/>
              <w:right w:w="100" w:type="dxa"/>
            </w:tcMar>
          </w:tcPr>
          <w:p w14:paraId="1162A7B8" w14:textId="77777777" w:rsidR="008C4E6E" w:rsidRDefault="00000000">
            <w:pPr>
              <w:spacing w:before="20" w:after="20" w:line="290" w:lineRule="auto"/>
              <w:jc w:val="left"/>
            </w:pPr>
            <w:r>
              <w:rPr>
                <w:rFonts w:cs="Calibri"/>
                <w:sz w:val="19"/>
                <w:szCs w:val="19"/>
              </w:rPr>
              <w:t>Heads of State or Government of Iran and Oman; the President of the United States as Endorsing Stakeholder</w:t>
            </w:r>
          </w:p>
        </w:tc>
        <w:tc>
          <w:tcPr>
            <w:tcW w:w="1870" w:type="dxa"/>
            <w:tcMar>
              <w:top w:w="60" w:type="dxa"/>
              <w:left w:w="100" w:type="dxa"/>
              <w:bottom w:w="60" w:type="dxa"/>
              <w:right w:w="100" w:type="dxa"/>
            </w:tcMar>
          </w:tcPr>
          <w:p w14:paraId="10C8E69C" w14:textId="77777777" w:rsidR="008C4E6E" w:rsidRDefault="00000000">
            <w:pPr>
              <w:spacing w:before="20" w:after="20" w:line="290" w:lineRule="auto"/>
              <w:jc w:val="left"/>
            </w:pPr>
            <w:r>
              <w:rPr>
                <w:rFonts w:cs="Calibri"/>
                <w:sz w:val="19"/>
                <w:szCs w:val="19"/>
              </w:rPr>
              <w:t>Binding International Treaty</w:t>
            </w:r>
          </w:p>
        </w:tc>
      </w:tr>
    </w:tbl>
    <w:p w14:paraId="6A9C69E4" w14:textId="77777777" w:rsidR="008C4E6E" w:rsidRDefault="008C4E6E">
      <w:pPr>
        <w:spacing w:after="80"/>
      </w:pPr>
    </w:p>
    <w:p w14:paraId="0D973536" w14:textId="77777777" w:rsidR="008C4E6E" w:rsidRDefault="00000000">
      <w:pPr>
        <w:spacing w:before="40" w:after="200"/>
        <w:jc w:val="left"/>
      </w:pPr>
      <w:r>
        <w:rPr>
          <w:rFonts w:ascii="Calibri Light" w:hAnsi="Calibri Light" w:cs="Calibri Light"/>
          <w:b/>
          <w:i/>
          <w:color w:val="1F4E5F"/>
          <w:sz w:val="36"/>
          <w:szCs w:val="36"/>
        </w:rPr>
        <w:t>The Signature and Commitment Roadmap of Article 0.3.3. Dates follow the design targets of Annex E: the water decides the timing, never the calendar.</w:t>
      </w:r>
    </w:p>
    <w:p w14:paraId="7CE102E0" w14:textId="77777777" w:rsidR="008C4E6E" w:rsidRDefault="00000000">
      <w:pPr>
        <w:pStyle w:val="Heading1"/>
      </w:pPr>
      <w:bookmarkStart w:id="120" w:name="_Toc237650676"/>
      <w:r>
        <w:rPr>
          <w:rFonts w:ascii="Calibri" w:eastAsia="Calibri" w:hAnsi="Calibri" w:cs="Calibri"/>
          <w:sz w:val="22"/>
          <w:szCs w:val="22"/>
        </w:rPr>
        <w:t>Annex L: The Acceleration Concordance</w:t>
      </w:r>
      <w:bookmarkEnd w:id="120"/>
    </w:p>
    <w:p w14:paraId="5F38364C" w14:textId="77777777" w:rsidR="008C4E6E" w:rsidRDefault="00000000">
      <w:r>
        <w:rPr>
          <w:rFonts w:cs="Calibri"/>
          <w:szCs w:val="22"/>
        </w:rPr>
        <w:t>This Annex records the changes of Version 2.0, the Crisis Acceleration Edition, and maps each change to its source and its effect. The Covenant’s institutions, gates, and safeguards stand unchanged in substance; the changes compress the calendar, open the corridor early, settle the fee question early, and tailor the architecture to the crisis of August 2026. Every change passed the Perimeter Test of Article 8 against the Register of Annex F, and no red line moves.</w:t>
      </w:r>
    </w:p>
    <w:tbl>
      <w:tblPr>
        <w:tblW w:w="5000" w:type="pct"/>
        <w:tblInd w:w="100" w:type="dxa"/>
        <w:tblBorders>
          <w:top w:val="single" w:sz="10" w:space="0" w:color="1F4E5F"/>
          <w:left w:val="nil"/>
          <w:bottom w:val="single" w:sz="10" w:space="0" w:color="1F4E5F"/>
          <w:right w:val="nil"/>
          <w:insideH w:val="single" w:sz="2" w:space="0" w:color="9DB8C0"/>
          <w:insideV w:val="nil"/>
        </w:tblBorders>
        <w:tblCellMar>
          <w:left w:w="10" w:type="dxa"/>
          <w:right w:w="10" w:type="dxa"/>
        </w:tblCellMar>
        <w:tblLook w:val="0000" w:firstRow="0" w:lastRow="0" w:firstColumn="0" w:lastColumn="0" w:noHBand="0" w:noVBand="0"/>
      </w:tblPr>
      <w:tblGrid>
        <w:gridCol w:w="4753"/>
        <w:gridCol w:w="4753"/>
      </w:tblGrid>
      <w:tr w:rsidR="008C4E6E" w14:paraId="2DEBC5CC"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0A87E33F" w14:textId="77777777" w:rsidR="008C4E6E" w:rsidRDefault="00000000">
            <w:pPr>
              <w:spacing w:before="20" w:after="20" w:line="290" w:lineRule="auto"/>
              <w:jc w:val="left"/>
            </w:pPr>
            <w:r>
              <w:rPr>
                <w:rFonts w:cs="Calibri"/>
                <w:b/>
                <w:color w:val="1F4E5F"/>
                <w:sz w:val="19"/>
                <w:szCs w:val="19"/>
              </w:rPr>
              <w:lastRenderedPageBreak/>
              <w:t>Change of Version 2.0</w:t>
            </w:r>
          </w:p>
        </w:tc>
        <w:tc>
          <w:tcPr>
            <w:tcW w:w="4675" w:type="dxa"/>
            <w:shd w:val="clear" w:color="auto" w:fill="E4EEF1"/>
            <w:tcMar>
              <w:top w:w="60" w:type="dxa"/>
              <w:left w:w="100" w:type="dxa"/>
              <w:bottom w:w="60" w:type="dxa"/>
              <w:right w:w="100" w:type="dxa"/>
            </w:tcMar>
          </w:tcPr>
          <w:p w14:paraId="1A258F00" w14:textId="77777777" w:rsidR="008C4E6E" w:rsidRDefault="00000000">
            <w:pPr>
              <w:spacing w:before="20" w:after="20" w:line="290" w:lineRule="auto"/>
              <w:jc w:val="left"/>
            </w:pPr>
            <w:r>
              <w:rPr>
                <w:rFonts w:cs="Calibri"/>
                <w:b/>
                <w:color w:val="1F4E5F"/>
                <w:sz w:val="19"/>
                <w:szCs w:val="19"/>
              </w:rPr>
              <w:t>Effect on the architecture</w:t>
            </w:r>
          </w:p>
        </w:tc>
      </w:tr>
      <w:tr w:rsidR="008C4E6E" w14:paraId="26FFC0BE"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490FF1EF" w14:textId="77777777" w:rsidR="008C4E6E" w:rsidRDefault="00000000">
            <w:pPr>
              <w:spacing w:before="20" w:after="20" w:line="290" w:lineRule="auto"/>
              <w:jc w:val="left"/>
            </w:pPr>
            <w:r>
              <w:rPr>
                <w:rFonts w:cs="Calibri"/>
                <w:b/>
                <w:sz w:val="19"/>
                <w:szCs w:val="19"/>
              </w:rPr>
              <w:t>The Concurrent Activation Doctrine (Article 6.9; Annex E), acceleration proposal Change 1</w:t>
            </w:r>
          </w:p>
        </w:tc>
        <w:tc>
          <w:tcPr>
            <w:tcW w:w="4675" w:type="dxa"/>
            <w:shd w:val="clear" w:color="auto" w:fill="E4EEF1"/>
            <w:tcMar>
              <w:top w:w="60" w:type="dxa"/>
              <w:left w:w="100" w:type="dxa"/>
              <w:bottom w:w="60" w:type="dxa"/>
              <w:right w:w="100" w:type="dxa"/>
            </w:tcMar>
          </w:tcPr>
          <w:p w14:paraId="03C13AF7" w14:textId="77777777" w:rsidR="008C4E6E" w:rsidRDefault="00000000">
            <w:pPr>
              <w:spacing w:before="20" w:after="20" w:line="290" w:lineRule="auto"/>
              <w:jc w:val="left"/>
            </w:pPr>
            <w:r>
              <w:rPr>
                <w:rFonts w:cs="Calibri"/>
                <w:b/>
                <w:sz w:val="19"/>
                <w:szCs w:val="19"/>
              </w:rPr>
              <w:t>The seven layers run in parallel; the full architecture stands in 105 to 120 days instead of 540 to 720</w:t>
            </w:r>
          </w:p>
        </w:tc>
      </w:tr>
      <w:tr w:rsidR="008C4E6E" w14:paraId="4C5D2AB9"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3C91F68A" w14:textId="77777777" w:rsidR="008C4E6E" w:rsidRDefault="00000000">
            <w:pPr>
              <w:spacing w:before="20" w:after="20" w:line="290" w:lineRule="auto"/>
              <w:jc w:val="left"/>
            </w:pPr>
            <w:r>
              <w:rPr>
                <w:rFonts w:cs="Calibri"/>
                <w:b/>
                <w:sz w:val="19"/>
                <w:szCs w:val="19"/>
              </w:rPr>
              <w:t>The Fast-Track Corridor (Articles 18.5 and 38.7), Change 2</w:t>
            </w:r>
          </w:p>
        </w:tc>
        <w:tc>
          <w:tcPr>
            <w:tcW w:w="4675" w:type="dxa"/>
            <w:shd w:val="clear" w:color="auto" w:fill="E4EEF1"/>
            <w:tcMar>
              <w:top w:w="60" w:type="dxa"/>
              <w:left w:w="100" w:type="dxa"/>
              <w:bottom w:w="60" w:type="dxa"/>
              <w:right w:w="100" w:type="dxa"/>
            </w:tcMar>
          </w:tcPr>
          <w:p w14:paraId="46ABEAD8" w14:textId="77777777" w:rsidR="008C4E6E" w:rsidRDefault="00000000">
            <w:pPr>
              <w:spacing w:before="20" w:after="20" w:line="290" w:lineRule="auto"/>
              <w:jc w:val="left"/>
            </w:pPr>
            <w:r>
              <w:rPr>
                <w:rFonts w:cs="Calibri"/>
                <w:b/>
                <w:sz w:val="19"/>
                <w:szCs w:val="19"/>
              </w:rPr>
              <w:t>The southern corridor opens at Day 30 as a toll-free, file-and-acknowledge lane and converts into the permanent Corridor One at Day 60</w:t>
            </w:r>
          </w:p>
        </w:tc>
      </w:tr>
      <w:tr w:rsidR="008C4E6E" w14:paraId="3EA8ECF8"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2D3CD546" w14:textId="77777777" w:rsidR="008C4E6E" w:rsidRDefault="00000000">
            <w:pPr>
              <w:spacing w:before="20" w:after="20" w:line="290" w:lineRule="auto"/>
              <w:jc w:val="left"/>
            </w:pPr>
            <w:r>
              <w:rPr>
                <w:rFonts w:cs="Calibri"/>
                <w:b/>
                <w:sz w:val="19"/>
                <w:szCs w:val="19"/>
              </w:rPr>
              <w:t>The Early Fee Simulation (Articles 18.6 and 32), Change 3</w:t>
            </w:r>
          </w:p>
        </w:tc>
        <w:tc>
          <w:tcPr>
            <w:tcW w:w="4675" w:type="dxa"/>
            <w:shd w:val="clear" w:color="auto" w:fill="E4EEF1"/>
            <w:tcMar>
              <w:top w:w="60" w:type="dxa"/>
              <w:left w:w="100" w:type="dxa"/>
              <w:bottom w:w="60" w:type="dxa"/>
              <w:right w:w="100" w:type="dxa"/>
            </w:tcMar>
          </w:tcPr>
          <w:p w14:paraId="11CE9EA5" w14:textId="77777777" w:rsidR="008C4E6E" w:rsidRDefault="00000000">
            <w:pPr>
              <w:spacing w:before="20" w:after="20" w:line="290" w:lineRule="auto"/>
              <w:jc w:val="left"/>
            </w:pPr>
            <w:r>
              <w:rPr>
                <w:rFonts w:cs="Calibri"/>
                <w:b/>
                <w:sz w:val="19"/>
                <w:szCs w:val="19"/>
              </w:rPr>
              <w:t>The financial question settles in simulation by Day 75, inside the diplomatic window</w:t>
            </w:r>
          </w:p>
        </w:tc>
      </w:tr>
      <w:tr w:rsidR="008C4E6E" w14:paraId="1E7CC9FC"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7197B571" w14:textId="77777777" w:rsidR="008C4E6E" w:rsidRDefault="00000000">
            <w:pPr>
              <w:spacing w:before="20" w:after="20" w:line="290" w:lineRule="auto"/>
              <w:jc w:val="left"/>
            </w:pPr>
            <w:r>
              <w:rPr>
                <w:rFonts w:cs="Calibri"/>
                <w:b/>
                <w:sz w:val="19"/>
                <w:szCs w:val="19"/>
              </w:rPr>
              <w:t>The Emergency Acceleration Clause (Article 6.10), Change 4</w:t>
            </w:r>
          </w:p>
        </w:tc>
        <w:tc>
          <w:tcPr>
            <w:tcW w:w="4675" w:type="dxa"/>
            <w:shd w:val="clear" w:color="auto" w:fill="E4EEF1"/>
            <w:tcMar>
              <w:top w:w="60" w:type="dxa"/>
              <w:left w:w="100" w:type="dxa"/>
              <w:bottom w:w="60" w:type="dxa"/>
              <w:right w:w="100" w:type="dxa"/>
            </w:tcMar>
          </w:tcPr>
          <w:p w14:paraId="6418979A" w14:textId="77777777" w:rsidR="008C4E6E" w:rsidRDefault="00000000">
            <w:pPr>
              <w:spacing w:before="20" w:after="20" w:line="290" w:lineRule="auto"/>
              <w:jc w:val="left"/>
            </w:pPr>
            <w:r>
              <w:rPr>
                <w:rFonts w:cs="Calibri"/>
                <w:b/>
                <w:sz w:val="19"/>
                <w:szCs w:val="19"/>
              </w:rPr>
              <w:t>A self-executing compression of any layer timeline by up to one half, with gate conditions untouched</w:t>
            </w:r>
          </w:p>
        </w:tc>
      </w:tr>
      <w:tr w:rsidR="008C4E6E" w14:paraId="09EA32C6"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345D96A0" w14:textId="77777777" w:rsidR="008C4E6E" w:rsidRDefault="00000000">
            <w:pPr>
              <w:spacing w:before="20" w:after="20" w:line="290" w:lineRule="auto"/>
              <w:jc w:val="left"/>
            </w:pPr>
            <w:r>
              <w:rPr>
                <w:rFonts w:cs="Calibri"/>
                <w:b/>
                <w:sz w:val="19"/>
                <w:szCs w:val="19"/>
              </w:rPr>
              <w:t>The Synchronized Relief Track (Article 56.5), Change 5</w:t>
            </w:r>
          </w:p>
        </w:tc>
        <w:tc>
          <w:tcPr>
            <w:tcW w:w="4675" w:type="dxa"/>
            <w:shd w:val="clear" w:color="auto" w:fill="E4EEF1"/>
            <w:tcMar>
              <w:top w:w="60" w:type="dxa"/>
              <w:left w:w="100" w:type="dxa"/>
              <w:bottom w:w="60" w:type="dxa"/>
              <w:right w:w="100" w:type="dxa"/>
            </w:tcMar>
          </w:tcPr>
          <w:p w14:paraId="056835F2" w14:textId="77777777" w:rsidR="008C4E6E" w:rsidRDefault="00000000">
            <w:pPr>
              <w:spacing w:before="20" w:after="20" w:line="290" w:lineRule="auto"/>
              <w:jc w:val="left"/>
            </w:pPr>
            <w:r>
              <w:rPr>
                <w:rFonts w:cs="Calibri"/>
                <w:b/>
                <w:sz w:val="19"/>
                <w:szCs w:val="19"/>
              </w:rPr>
              <w:t>Four explicit relief tranches paired to the gates, fast-trackable by two tranches on joint certification</w:t>
            </w:r>
          </w:p>
        </w:tc>
      </w:tr>
      <w:tr w:rsidR="008C4E6E" w14:paraId="36DEF67F"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78AA8FB2" w14:textId="77777777" w:rsidR="008C4E6E" w:rsidRDefault="00000000">
            <w:pPr>
              <w:spacing w:before="20" w:after="20" w:line="290" w:lineRule="auto"/>
              <w:jc w:val="left"/>
            </w:pPr>
            <w:r>
              <w:rPr>
                <w:rFonts w:cs="Calibri"/>
                <w:b/>
                <w:sz w:val="19"/>
                <w:szCs w:val="19"/>
              </w:rPr>
              <w:t>The Crisis Entry Protocol (Article 6.11), this edition</w:t>
            </w:r>
          </w:p>
        </w:tc>
        <w:tc>
          <w:tcPr>
            <w:tcW w:w="4675" w:type="dxa"/>
            <w:shd w:val="clear" w:color="auto" w:fill="E4EEF1"/>
            <w:tcMar>
              <w:top w:w="60" w:type="dxa"/>
              <w:left w:w="100" w:type="dxa"/>
              <w:bottom w:w="60" w:type="dxa"/>
              <w:right w:w="100" w:type="dxa"/>
            </w:tcMar>
          </w:tcPr>
          <w:p w14:paraId="4257A197" w14:textId="77777777" w:rsidR="008C4E6E" w:rsidRDefault="00000000">
            <w:pPr>
              <w:spacing w:before="20" w:after="20" w:line="290" w:lineRule="auto"/>
              <w:jc w:val="left"/>
            </w:pPr>
            <w:r>
              <w:rPr>
                <w:rFonts w:cs="Calibri"/>
                <w:b/>
                <w:sz w:val="19"/>
                <w:szCs w:val="19"/>
              </w:rPr>
              <w:t>Day 0 brings the interim standstill, the Humanitarian Bridge, the Mariner Repatriation Window, and the route and memorandum bridges</w:t>
            </w:r>
          </w:p>
        </w:tc>
      </w:tr>
      <w:tr w:rsidR="008C4E6E" w14:paraId="64FC1ED5"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22A33B68" w14:textId="77777777" w:rsidR="008C4E6E" w:rsidRDefault="00000000">
            <w:pPr>
              <w:spacing w:before="20" w:after="20" w:line="290" w:lineRule="auto"/>
              <w:jc w:val="left"/>
            </w:pPr>
            <w:r>
              <w:rPr>
                <w:rFonts w:cs="Calibri"/>
                <w:b/>
                <w:sz w:val="19"/>
                <w:szCs w:val="19"/>
              </w:rPr>
              <w:t>The Intermediary Bridge (Article 2.9), this edition</w:t>
            </w:r>
          </w:p>
        </w:tc>
        <w:tc>
          <w:tcPr>
            <w:tcW w:w="4675" w:type="dxa"/>
            <w:shd w:val="clear" w:color="auto" w:fill="E4EEF1"/>
            <w:tcMar>
              <w:top w:w="60" w:type="dxa"/>
              <w:left w:w="100" w:type="dxa"/>
              <w:bottom w:w="60" w:type="dxa"/>
              <w:right w:w="100" w:type="dxa"/>
            </w:tcMar>
          </w:tcPr>
          <w:p w14:paraId="6B2AD361" w14:textId="77777777" w:rsidR="008C4E6E" w:rsidRDefault="00000000">
            <w:pPr>
              <w:spacing w:before="20" w:after="20" w:line="290" w:lineRule="auto"/>
              <w:jc w:val="left"/>
            </w:pPr>
            <w:r>
              <w:rPr>
                <w:rFonts w:cs="Calibri"/>
                <w:b/>
                <w:sz w:val="19"/>
                <w:szCs w:val="19"/>
              </w:rPr>
              <w:t>No step requires direct contact between adversaries; every message travels through the Mediator of Record, the facilitators, the Registry, or the hotline</w:t>
            </w:r>
          </w:p>
        </w:tc>
      </w:tr>
      <w:tr w:rsidR="008C4E6E" w14:paraId="0707D629"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3737AF1D" w14:textId="77777777" w:rsidR="008C4E6E" w:rsidRDefault="00000000">
            <w:pPr>
              <w:spacing w:before="20" w:after="20" w:line="290" w:lineRule="auto"/>
              <w:jc w:val="left"/>
            </w:pPr>
            <w:r>
              <w:rPr>
                <w:rFonts w:cs="Calibri"/>
                <w:b/>
                <w:sz w:val="19"/>
                <w:szCs w:val="19"/>
              </w:rPr>
              <w:t>The three-pulse Event (Article 38.7), this edition</w:t>
            </w:r>
          </w:p>
        </w:tc>
        <w:tc>
          <w:tcPr>
            <w:tcW w:w="4675" w:type="dxa"/>
            <w:shd w:val="clear" w:color="auto" w:fill="E4EEF1"/>
            <w:tcMar>
              <w:top w:w="60" w:type="dxa"/>
              <w:left w:w="100" w:type="dxa"/>
              <w:bottom w:w="60" w:type="dxa"/>
              <w:right w:w="100" w:type="dxa"/>
            </w:tcMar>
          </w:tcPr>
          <w:p w14:paraId="6E45CE4A" w14:textId="77777777" w:rsidR="008C4E6E" w:rsidRDefault="00000000">
            <w:pPr>
              <w:spacing w:before="20" w:after="20" w:line="290" w:lineRule="auto"/>
              <w:jc w:val="left"/>
            </w:pPr>
            <w:r>
              <w:rPr>
                <w:rFonts w:cs="Calibri"/>
                <w:b/>
                <w:sz w:val="19"/>
                <w:szCs w:val="19"/>
              </w:rPr>
              <w:t>Corridor activation and relief execution pair indivisibly at Days 30, 60, and 90; the blockade terminates in full at Pulse Three</w:t>
            </w:r>
          </w:p>
        </w:tc>
      </w:tr>
      <w:tr w:rsidR="008C4E6E" w14:paraId="18BE98E0"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52AF9E50" w14:textId="77777777" w:rsidR="008C4E6E" w:rsidRDefault="00000000">
            <w:pPr>
              <w:spacing w:before="20" w:after="20" w:line="290" w:lineRule="auto"/>
              <w:jc w:val="left"/>
            </w:pPr>
            <w:r>
              <w:rPr>
                <w:rFonts w:cs="Calibri"/>
                <w:b/>
                <w:sz w:val="19"/>
                <w:szCs w:val="19"/>
              </w:rPr>
              <w:t>The crisis-era authority transition (Article 41.8), review item 2</w:t>
            </w:r>
          </w:p>
        </w:tc>
        <w:tc>
          <w:tcPr>
            <w:tcW w:w="4675" w:type="dxa"/>
            <w:shd w:val="clear" w:color="auto" w:fill="E4EEF1"/>
            <w:tcMar>
              <w:top w:w="60" w:type="dxa"/>
              <w:left w:w="100" w:type="dxa"/>
              <w:bottom w:w="60" w:type="dxa"/>
              <w:right w:w="100" w:type="dxa"/>
            </w:tcMar>
          </w:tcPr>
          <w:p w14:paraId="36593E7A" w14:textId="77777777" w:rsidR="008C4E6E" w:rsidRDefault="00000000">
            <w:pPr>
              <w:spacing w:before="20" w:after="20" w:line="290" w:lineRule="auto"/>
              <w:jc w:val="left"/>
            </w:pPr>
            <w:r>
              <w:rPr>
                <w:rFonts w:cs="Calibri"/>
                <w:b/>
                <w:sz w:val="19"/>
                <w:szCs w:val="19"/>
              </w:rPr>
              <w:t>The wartime permit authority folds into the joint Center; permits end, functions continue, expertise stays</w:t>
            </w:r>
          </w:p>
        </w:tc>
      </w:tr>
      <w:tr w:rsidR="008C4E6E" w14:paraId="2A41A30A"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62FB98F2" w14:textId="77777777" w:rsidR="008C4E6E" w:rsidRDefault="00000000">
            <w:pPr>
              <w:spacing w:before="20" w:after="20" w:line="290" w:lineRule="auto"/>
              <w:jc w:val="left"/>
            </w:pPr>
            <w:r>
              <w:rPr>
                <w:rFonts w:cs="Calibri"/>
                <w:b/>
                <w:sz w:val="19"/>
                <w:szCs w:val="19"/>
              </w:rPr>
              <w:t>The Humanitarian Bridge (Articles 6.11 and 43.8), review item 4</w:t>
            </w:r>
          </w:p>
        </w:tc>
        <w:tc>
          <w:tcPr>
            <w:tcW w:w="4675" w:type="dxa"/>
            <w:shd w:val="clear" w:color="auto" w:fill="E4EEF1"/>
            <w:tcMar>
              <w:top w:w="60" w:type="dxa"/>
              <w:left w:w="100" w:type="dxa"/>
              <w:bottom w:w="60" w:type="dxa"/>
              <w:right w:w="100" w:type="dxa"/>
            </w:tcMar>
          </w:tcPr>
          <w:p w14:paraId="6927785E" w14:textId="77777777" w:rsidR="008C4E6E" w:rsidRDefault="00000000">
            <w:pPr>
              <w:spacing w:before="20" w:after="20" w:line="290" w:lineRule="auto"/>
              <w:jc w:val="left"/>
            </w:pPr>
            <w:r>
              <w:rPr>
                <w:rFonts w:cs="Calibri"/>
                <w:b/>
                <w:sz w:val="19"/>
                <w:szCs w:val="19"/>
              </w:rPr>
              <w:t>Relief cargo and repatriating mariners move first from the first hour</w:t>
            </w:r>
          </w:p>
        </w:tc>
      </w:tr>
      <w:tr w:rsidR="008C4E6E" w14:paraId="73D6A4BD"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331877E5" w14:textId="77777777" w:rsidR="008C4E6E" w:rsidRDefault="00000000">
            <w:pPr>
              <w:spacing w:before="20" w:after="20" w:line="290" w:lineRule="auto"/>
              <w:jc w:val="left"/>
            </w:pPr>
            <w:r>
              <w:rPr>
                <w:rFonts w:cs="Calibri"/>
                <w:b/>
                <w:sz w:val="19"/>
                <w:szCs w:val="19"/>
              </w:rPr>
              <w:t>The language reconciliation rule (Article 7.4), review item 5</w:t>
            </w:r>
          </w:p>
        </w:tc>
        <w:tc>
          <w:tcPr>
            <w:tcW w:w="4675" w:type="dxa"/>
            <w:shd w:val="clear" w:color="auto" w:fill="E4EEF1"/>
            <w:tcMar>
              <w:top w:w="60" w:type="dxa"/>
              <w:left w:w="100" w:type="dxa"/>
              <w:bottom w:w="60" w:type="dxa"/>
              <w:right w:w="100" w:type="dxa"/>
            </w:tcMar>
          </w:tcPr>
          <w:p w14:paraId="4CBC6E0C" w14:textId="77777777" w:rsidR="008C4E6E" w:rsidRDefault="00000000">
            <w:pPr>
              <w:spacing w:before="20" w:after="20" w:line="290" w:lineRule="auto"/>
              <w:jc w:val="left"/>
            </w:pPr>
            <w:r>
              <w:rPr>
                <w:rFonts w:cs="Calibri"/>
                <w:b/>
                <w:sz w:val="19"/>
                <w:szCs w:val="19"/>
              </w:rPr>
              <w:t>A standing tie-breaker ends any divergence among the three authoritative texts</w:t>
            </w:r>
          </w:p>
        </w:tc>
      </w:tr>
      <w:tr w:rsidR="008C4E6E" w14:paraId="5D6AD7B6"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0C7AD376" w14:textId="77777777" w:rsidR="008C4E6E" w:rsidRDefault="00000000">
            <w:pPr>
              <w:spacing w:before="20" w:after="20" w:line="290" w:lineRule="auto"/>
              <w:jc w:val="left"/>
            </w:pPr>
            <w:r>
              <w:rPr>
                <w:rFonts w:cs="Calibri"/>
                <w:b/>
                <w:sz w:val="19"/>
                <w:szCs w:val="19"/>
              </w:rPr>
              <w:t>The Gulf accession fast-track (Article 57.1), review item 6</w:t>
            </w:r>
          </w:p>
        </w:tc>
        <w:tc>
          <w:tcPr>
            <w:tcW w:w="4675" w:type="dxa"/>
            <w:shd w:val="clear" w:color="auto" w:fill="E4EEF1"/>
            <w:tcMar>
              <w:top w:w="60" w:type="dxa"/>
              <w:left w:w="100" w:type="dxa"/>
              <w:bottom w:w="60" w:type="dxa"/>
              <w:right w:w="100" w:type="dxa"/>
            </w:tcMar>
          </w:tcPr>
          <w:p w14:paraId="5F0EFF73" w14:textId="77777777" w:rsidR="008C4E6E" w:rsidRDefault="00000000">
            <w:pPr>
              <w:spacing w:before="20" w:after="20" w:line="290" w:lineRule="auto"/>
              <w:jc w:val="left"/>
            </w:pPr>
            <w:r>
              <w:rPr>
                <w:rFonts w:cs="Calibri"/>
                <w:b/>
                <w:sz w:val="19"/>
                <w:szCs w:val="19"/>
              </w:rPr>
              <w:t>Gulf states and Iraq hold observer rights on deposit, without a waiting period</w:t>
            </w:r>
          </w:p>
        </w:tc>
      </w:tr>
      <w:tr w:rsidR="008C4E6E" w14:paraId="746E4AD5"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66E24166" w14:textId="77777777" w:rsidR="008C4E6E" w:rsidRDefault="00000000">
            <w:pPr>
              <w:spacing w:before="20" w:after="20" w:line="290" w:lineRule="auto"/>
              <w:jc w:val="left"/>
            </w:pPr>
            <w:r>
              <w:rPr>
                <w:rFonts w:cs="Calibri"/>
                <w:b/>
                <w:sz w:val="19"/>
                <w:szCs w:val="19"/>
              </w:rPr>
              <w:t>The False-Flag Forensic Protocol (Article 37.7), review item 7</w:t>
            </w:r>
          </w:p>
        </w:tc>
        <w:tc>
          <w:tcPr>
            <w:tcW w:w="4675" w:type="dxa"/>
            <w:shd w:val="clear" w:color="auto" w:fill="E4EEF1"/>
            <w:tcMar>
              <w:top w:w="60" w:type="dxa"/>
              <w:left w:w="100" w:type="dxa"/>
              <w:bottom w:w="60" w:type="dxa"/>
              <w:right w:w="100" w:type="dxa"/>
            </w:tcMar>
          </w:tcPr>
          <w:p w14:paraId="10F3CF8F" w14:textId="77777777" w:rsidR="008C4E6E" w:rsidRDefault="00000000">
            <w:pPr>
              <w:spacing w:before="20" w:after="20" w:line="290" w:lineRule="auto"/>
              <w:jc w:val="left"/>
            </w:pPr>
            <w:r>
              <w:rPr>
                <w:rFonts w:cs="Calibri"/>
                <w:b/>
                <w:sz w:val="19"/>
                <w:szCs w:val="19"/>
              </w:rPr>
              <w:t>Every incident receives a standing forensic analysis with a published classification within fourteen days</w:t>
            </w:r>
          </w:p>
        </w:tc>
      </w:tr>
      <w:tr w:rsidR="008C4E6E" w14:paraId="59FEAF84"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4639BBD3" w14:textId="77777777" w:rsidR="008C4E6E" w:rsidRDefault="00000000">
            <w:pPr>
              <w:spacing w:before="20" w:after="20" w:line="290" w:lineRule="auto"/>
              <w:jc w:val="left"/>
            </w:pPr>
            <w:r>
              <w:rPr>
                <w:rFonts w:cs="Calibri"/>
                <w:b/>
                <w:sz w:val="19"/>
                <w:szCs w:val="19"/>
              </w:rPr>
              <w:t>The Private Sector Confidence Trigger (Article 34.4), review item 8</w:t>
            </w:r>
          </w:p>
        </w:tc>
        <w:tc>
          <w:tcPr>
            <w:tcW w:w="4675" w:type="dxa"/>
            <w:shd w:val="clear" w:color="auto" w:fill="E4EEF1"/>
            <w:tcMar>
              <w:top w:w="60" w:type="dxa"/>
              <w:left w:w="100" w:type="dxa"/>
              <w:bottom w:w="60" w:type="dxa"/>
              <w:right w:w="100" w:type="dxa"/>
            </w:tcMar>
          </w:tcPr>
          <w:p w14:paraId="2FE75D9A" w14:textId="77777777" w:rsidR="008C4E6E" w:rsidRDefault="00000000">
            <w:pPr>
              <w:spacing w:before="20" w:after="20" w:line="290" w:lineRule="auto"/>
              <w:jc w:val="left"/>
            </w:pPr>
            <w:r>
              <w:rPr>
                <w:rFonts w:cs="Calibri"/>
                <w:b/>
                <w:sz w:val="19"/>
                <w:szCs w:val="19"/>
              </w:rPr>
              <w:t>The market gains a formal mechanism to normalize premiums on demonstrated stability</w:t>
            </w:r>
          </w:p>
        </w:tc>
      </w:tr>
      <w:tr w:rsidR="008C4E6E" w14:paraId="6AB471DB"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1AA03B3D" w14:textId="77777777" w:rsidR="008C4E6E" w:rsidRDefault="00000000">
            <w:pPr>
              <w:spacing w:before="20" w:after="20" w:line="290" w:lineRule="auto"/>
              <w:jc w:val="left"/>
            </w:pPr>
            <w:r>
              <w:rPr>
                <w:rFonts w:cs="Calibri"/>
                <w:b/>
                <w:sz w:val="19"/>
                <w:szCs w:val="19"/>
              </w:rPr>
              <w:t>Parliamentary notification (Article 59.8), review item 9</w:t>
            </w:r>
          </w:p>
        </w:tc>
        <w:tc>
          <w:tcPr>
            <w:tcW w:w="4675" w:type="dxa"/>
            <w:shd w:val="clear" w:color="auto" w:fill="E4EEF1"/>
            <w:tcMar>
              <w:top w:w="60" w:type="dxa"/>
              <w:left w:w="100" w:type="dxa"/>
              <w:bottom w:w="60" w:type="dxa"/>
              <w:right w:w="100" w:type="dxa"/>
            </w:tcMar>
          </w:tcPr>
          <w:p w14:paraId="100D564D" w14:textId="77777777" w:rsidR="008C4E6E" w:rsidRDefault="00000000">
            <w:pPr>
              <w:spacing w:before="20" w:after="20" w:line="290" w:lineRule="auto"/>
              <w:jc w:val="left"/>
            </w:pPr>
            <w:r>
              <w:rPr>
                <w:rFonts w:cs="Calibri"/>
                <w:b/>
                <w:sz w:val="19"/>
                <w:szCs w:val="19"/>
              </w:rPr>
              <w:t>Domestic legislatures receive notification without a ratification bottleneck</w:t>
            </w:r>
          </w:p>
        </w:tc>
      </w:tr>
      <w:tr w:rsidR="008C4E6E" w14:paraId="69C662E4"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2780CD01" w14:textId="77777777" w:rsidR="008C4E6E" w:rsidRDefault="00000000">
            <w:pPr>
              <w:spacing w:before="20" w:after="20" w:line="290" w:lineRule="auto"/>
              <w:jc w:val="left"/>
            </w:pPr>
            <w:r>
              <w:rPr>
                <w:rFonts w:cs="Calibri"/>
                <w:b/>
                <w:sz w:val="19"/>
                <w:szCs w:val="19"/>
              </w:rPr>
              <w:t>Reconstitution from dormancy (Article 5.7), review item 10</w:t>
            </w:r>
          </w:p>
        </w:tc>
        <w:tc>
          <w:tcPr>
            <w:tcW w:w="4675" w:type="dxa"/>
            <w:shd w:val="clear" w:color="auto" w:fill="E4EEF1"/>
            <w:tcMar>
              <w:top w:w="60" w:type="dxa"/>
              <w:left w:w="100" w:type="dxa"/>
              <w:bottom w:w="60" w:type="dxa"/>
              <w:right w:w="100" w:type="dxa"/>
            </w:tcMar>
          </w:tcPr>
          <w:p w14:paraId="13456F2A" w14:textId="77777777" w:rsidR="008C4E6E" w:rsidRDefault="00000000">
            <w:pPr>
              <w:spacing w:before="20" w:after="20" w:line="290" w:lineRule="auto"/>
              <w:jc w:val="left"/>
            </w:pPr>
            <w:r>
              <w:rPr>
                <w:rFonts w:cs="Calibri"/>
                <w:b/>
                <w:sz w:val="19"/>
                <w:szCs w:val="19"/>
              </w:rPr>
              <w:t>Dormancy gains a fourteen-day path back to full operation</w:t>
            </w:r>
          </w:p>
        </w:tc>
      </w:tr>
      <w:tr w:rsidR="008C4E6E" w14:paraId="781F72DA" w14:textId="77777777">
        <w:tblPrEx>
          <w:tblCellMar>
            <w:top w:w="0" w:type="dxa"/>
            <w:bottom w:w="0" w:type="dxa"/>
          </w:tblCellMar>
        </w:tblPrEx>
        <w:trPr>
          <w:tblHeader/>
        </w:trPr>
        <w:tc>
          <w:tcPr>
            <w:tcW w:w="4675" w:type="dxa"/>
            <w:shd w:val="clear" w:color="auto" w:fill="E4EEF1"/>
            <w:tcMar>
              <w:top w:w="60" w:type="dxa"/>
              <w:left w:w="100" w:type="dxa"/>
              <w:bottom w:w="60" w:type="dxa"/>
              <w:right w:w="100" w:type="dxa"/>
            </w:tcMar>
          </w:tcPr>
          <w:p w14:paraId="7ACCAD5A" w14:textId="77777777" w:rsidR="008C4E6E" w:rsidRDefault="00000000">
            <w:pPr>
              <w:spacing w:before="20" w:after="20" w:line="290" w:lineRule="auto"/>
              <w:jc w:val="left"/>
            </w:pPr>
            <w:r>
              <w:rPr>
                <w:rFonts w:cs="Calibri"/>
                <w:b/>
                <w:sz w:val="19"/>
                <w:szCs w:val="19"/>
              </w:rPr>
              <w:t>The Claims Ledger (Article 56.6), this edition</w:t>
            </w:r>
          </w:p>
        </w:tc>
        <w:tc>
          <w:tcPr>
            <w:tcW w:w="4675" w:type="dxa"/>
            <w:shd w:val="clear" w:color="auto" w:fill="E4EEF1"/>
            <w:tcMar>
              <w:top w:w="60" w:type="dxa"/>
              <w:left w:w="100" w:type="dxa"/>
              <w:bottom w:w="60" w:type="dxa"/>
              <w:right w:w="100" w:type="dxa"/>
            </w:tcMar>
          </w:tcPr>
          <w:p w14:paraId="19233E73" w14:textId="77777777" w:rsidR="008C4E6E" w:rsidRDefault="00000000">
            <w:pPr>
              <w:spacing w:before="20" w:after="20" w:line="290" w:lineRule="auto"/>
              <w:jc w:val="left"/>
            </w:pPr>
            <w:r>
              <w:rPr>
                <w:rFonts w:cs="Calibri"/>
                <w:b/>
                <w:sz w:val="19"/>
                <w:szCs w:val="19"/>
              </w:rPr>
              <w:t>Alleged violations of the June Memorandum preserve on the record and travel to the Islamabad track</w:t>
            </w:r>
          </w:p>
        </w:tc>
      </w:tr>
    </w:tbl>
    <w:p w14:paraId="6986146C" w14:textId="77777777" w:rsidR="008C4E6E" w:rsidRDefault="008C4E6E">
      <w:pPr>
        <w:spacing w:after="80"/>
      </w:pPr>
    </w:p>
    <w:p w14:paraId="57CA5D8E" w14:textId="77777777" w:rsidR="008C4E6E" w:rsidRDefault="00000000">
      <w:pPr>
        <w:spacing w:before="40" w:after="200"/>
        <w:jc w:val="left"/>
      </w:pPr>
      <w:r>
        <w:rPr>
          <w:rFonts w:ascii="Calibri Light" w:hAnsi="Calibri Light" w:cs="Calibri Light"/>
          <w:b/>
          <w:i/>
          <w:color w:val="1F4E5F"/>
          <w:sz w:val="36"/>
          <w:szCs w:val="36"/>
        </w:rPr>
        <w:t>The Acceleration Concordance. Every entry passed the Perimeter Test of Article 8 against the Register of Annex F. No red line moves; the calendar accelerates.</w:t>
      </w:r>
    </w:p>
    <w:sectPr w:rsidR="008C4E6E">
      <w:headerReference w:type="default" r:id="rId8"/>
      <w:footerReference w:type="default" r:id="rId9"/>
      <w:pgSz w:w="11906" w:h="16838"/>
      <w:pgMar w:top="1440" w:right="1300" w:bottom="144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D8D1C" w14:textId="77777777" w:rsidR="003A563E" w:rsidRDefault="003A563E">
      <w:pPr>
        <w:spacing w:after="0" w:line="240" w:lineRule="auto"/>
      </w:pPr>
      <w:r>
        <w:separator/>
      </w:r>
    </w:p>
  </w:endnote>
  <w:endnote w:type="continuationSeparator" w:id="0">
    <w:p w14:paraId="1B24EC02" w14:textId="77777777" w:rsidR="003A563E" w:rsidRDefault="003A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649F" w14:textId="77777777" w:rsidR="008C4E6E" w:rsidRDefault="00000000">
    <w:pPr>
      <w:spacing w:after="0"/>
      <w:jc w:val="center"/>
    </w:pPr>
    <w:r>
      <w:rPr>
        <w:color w:val="6E8A96"/>
        <w:sz w:val="16"/>
      </w:rPr>
      <w:fldChar w:fldCharType="begin"/>
    </w:r>
    <w:r>
      <w:rPr>
        <w:color w:val="6E8A96"/>
        <w:sz w:val="16"/>
      </w:rPr>
      <w:instrText xml:space="preserve"> PAGE </w:instrText>
    </w:r>
    <w:r>
      <w:rPr>
        <w:color w:val="6E8A96"/>
        <w:sz w:val="16"/>
      </w:rPr>
      <w:fldChar w:fldCharType="separate"/>
    </w:r>
    <w:r>
      <w:rPr>
        <w:color w:val="6E8A96"/>
        <w:sz w:val="16"/>
      </w:rPr>
      <w:t>1</w:t>
    </w:r>
    <w:r>
      <w:rPr>
        <w:color w:val="6E8A9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BB39" w14:textId="77777777" w:rsidR="008C4E6E" w:rsidRDefault="00000000">
    <w:pPr>
      <w:spacing w:after="0"/>
      <w:jc w:val="center"/>
    </w:pPr>
    <w:r>
      <w:rPr>
        <w:color w:val="6E8A96"/>
        <w:sz w:val="16"/>
      </w:rPr>
      <w:fldChar w:fldCharType="begin"/>
    </w:r>
    <w:r>
      <w:rPr>
        <w:color w:val="6E8A96"/>
        <w:sz w:val="16"/>
      </w:rPr>
      <w:instrText xml:space="preserve"> PAGE </w:instrText>
    </w:r>
    <w:r>
      <w:rPr>
        <w:color w:val="6E8A96"/>
        <w:sz w:val="16"/>
      </w:rPr>
      <w:fldChar w:fldCharType="separate"/>
    </w:r>
    <w:r>
      <w:rPr>
        <w:color w:val="6E8A96"/>
        <w:sz w:val="16"/>
      </w:rPr>
      <w:t>1</w:t>
    </w:r>
    <w:r>
      <w:rPr>
        <w:color w:val="6E8A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BD57" w14:textId="77777777" w:rsidR="003A563E" w:rsidRDefault="003A563E">
      <w:pPr>
        <w:spacing w:after="0" w:line="240" w:lineRule="auto"/>
      </w:pPr>
      <w:r>
        <w:separator/>
      </w:r>
    </w:p>
  </w:footnote>
  <w:footnote w:type="continuationSeparator" w:id="0">
    <w:p w14:paraId="412CEC95" w14:textId="77777777" w:rsidR="003A563E" w:rsidRDefault="003A5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6DFA" w14:textId="77777777" w:rsidR="008C4E6E" w:rsidRDefault="00000000">
    <w:pPr>
      <w:pBdr>
        <w:bottom w:val="single" w:sz="4" w:space="4" w:color="9DB8C0"/>
      </w:pBdr>
      <w:spacing w:after="0"/>
      <w:jc w:val="center"/>
    </w:pPr>
    <w:r>
      <w:rPr>
        <w:caps/>
        <w:color w:val="6E8A96"/>
        <w:sz w:val="16"/>
      </w:rPr>
      <w:t>The Hormuz Covenant of Calm Waters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10C9" w14:textId="77777777" w:rsidR="008C4E6E" w:rsidRDefault="00000000">
    <w:pPr>
      <w:pBdr>
        <w:bottom w:val="single" w:sz="4" w:space="4" w:color="9DB8C0"/>
      </w:pBdr>
      <w:spacing w:after="0"/>
      <w:jc w:val="center"/>
    </w:pPr>
    <w:r>
      <w:rPr>
        <w:caps/>
        <w:color w:val="6E8A96"/>
        <w:sz w:val="16"/>
      </w:rPr>
      <w:t>The Hormuz Covenant of Calm Waters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4E6E"/>
    <w:rsid w:val="003A563E"/>
    <w:rsid w:val="008C4E6E"/>
    <w:rsid w:val="008F01E2"/>
    <w:rsid w:val="00DC74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FFB2"/>
  <w15:docId w15:val="{4BBBB001-5C85-4E1A-8C85-E91C78E9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20" w:lineRule="auto"/>
      <w:jc w:val="both"/>
    </w:pPr>
    <w:rPr>
      <w:rFonts w:ascii="Calibri" w:eastAsia="Microsoft YaHei" w:hAnsi="Calibri"/>
      <w:color w:val="2B3A42"/>
      <w:sz w:val="22"/>
    </w:rPr>
  </w:style>
  <w:style w:type="paragraph" w:styleId="Heading1">
    <w:name w:val="heading 1"/>
    <w:basedOn w:val="Normal"/>
    <w:uiPriority w:val="9"/>
    <w:qFormat/>
    <w:pPr>
      <w:keepNext/>
      <w:keepLines/>
      <w:spacing w:before="520" w:after="200" w:line="280" w:lineRule="auto"/>
      <w:jc w:val="left"/>
      <w:outlineLvl w:val="0"/>
    </w:pPr>
    <w:rPr>
      <w:rFonts w:ascii="Calibri Light" w:hAnsi="Calibri Light"/>
      <w:b/>
      <w:color w:val="1F4E5F"/>
      <w:sz w:val="36"/>
    </w:rPr>
  </w:style>
  <w:style w:type="paragraph" w:styleId="Heading2">
    <w:name w:val="heading 2"/>
    <w:basedOn w:val="Normal"/>
    <w:uiPriority w:val="9"/>
    <w:unhideWhenUsed/>
    <w:qFormat/>
    <w:pPr>
      <w:keepNext/>
      <w:keepLines/>
      <w:spacing w:before="400" w:line="280" w:lineRule="auto"/>
      <w:jc w:val="left"/>
      <w:outlineLvl w:val="1"/>
    </w:pPr>
    <w:rPr>
      <w:rFonts w:ascii="Calibri Light" w:hAnsi="Calibri Light"/>
      <w:b/>
      <w:color w:val="1F4E5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uiPriority w:val="39"/>
    <w:pPr>
      <w:tabs>
        <w:tab w:val="right" w:leader="dot" w:pos="9350"/>
      </w:tabs>
      <w:spacing w:after="60"/>
    </w:pPr>
    <w:rPr>
      <w:rFonts w:ascii="Calibri" w:hAnsi="Calibri"/>
      <w:color w:val="1F4E5F"/>
      <w:sz w:val="22"/>
    </w:rPr>
  </w:style>
  <w:style w:type="paragraph" w:styleId="TOC2">
    <w:name w:val="toc 2"/>
    <w:uiPriority w:val="39"/>
    <w:pPr>
      <w:tabs>
        <w:tab w:val="right" w:leader="dot" w:pos="9350"/>
      </w:tabs>
      <w:spacing w:after="60"/>
      <w:ind w:left="360"/>
    </w:pPr>
    <w:rPr>
      <w:rFonts w:ascii="Calibri" w:hAnsi="Calibri"/>
      <w:color w:val="2B3A42"/>
      <w:sz w:val="20"/>
    </w:rPr>
  </w:style>
  <w:style w:type="paragraph" w:styleId="TOC3">
    <w:name w:val="toc 3"/>
    <w:basedOn w:val="Normal"/>
    <w:next w:val="Normal"/>
    <w:autoRedefine/>
    <w:uiPriority w:val="39"/>
    <w:unhideWhenUsed/>
    <w:rsid w:val="00DC7476"/>
    <w:pPr>
      <w:spacing w:after="100" w:line="278" w:lineRule="auto"/>
      <w:ind w:left="480"/>
      <w:jc w:val="left"/>
    </w:pPr>
    <w:rPr>
      <w:rFonts w:asciiTheme="minorHAnsi" w:eastAsiaTheme="minorEastAsia" w:hAnsiTheme="minorHAnsi"/>
      <w:color w:val="auto"/>
      <w:sz w:val="24"/>
    </w:rPr>
  </w:style>
  <w:style w:type="paragraph" w:styleId="TOC4">
    <w:name w:val="toc 4"/>
    <w:basedOn w:val="Normal"/>
    <w:next w:val="Normal"/>
    <w:autoRedefine/>
    <w:uiPriority w:val="39"/>
    <w:unhideWhenUsed/>
    <w:rsid w:val="00DC7476"/>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DC7476"/>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DC7476"/>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DC7476"/>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DC7476"/>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DC7476"/>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DC7476"/>
    <w:rPr>
      <w:color w:val="467886" w:themeColor="hyperlink"/>
      <w:u w:val="single"/>
    </w:rPr>
  </w:style>
  <w:style w:type="character" w:styleId="UnresolvedMention">
    <w:name w:val="Unresolved Mention"/>
    <w:basedOn w:val="DefaultParagraphFont"/>
    <w:uiPriority w:val="99"/>
    <w:semiHidden/>
    <w:unhideWhenUsed/>
    <w:rsid w:val="00DC7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94</Pages>
  <Words>34008</Words>
  <Characters>193849</Characters>
  <Application>Microsoft Office Word</Application>
  <DocSecurity>0</DocSecurity>
  <Lines>1615</Lines>
  <Paragraphs>454</Paragraphs>
  <ScaleCrop>false</ScaleCrop>
  <Company/>
  <LinksUpToDate>false</LinksUpToDate>
  <CharactersWithSpaces>227403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2026-08-15T05:42:00Z</dcterms:created>
  <dcterms:modified xsi:type="dcterms:W3CDTF">2026-08-15T05:42:00Z</dcterms:modified>
</cp:coreProperties>
</file>