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1550" w:after="0"/>
        <w:jc w:val="center"/>
        <w:rPr/>
      </w:pPr>
      <w:r>
        <w:rPr>
          <w:rFonts w:eastAsia="Calibri" w:cs="Calibri" w:ascii="Calibri" w:hAnsi="Calibri"/>
          <w:caps/>
          <w:color w:val="78909C"/>
          <w:spacing w:val="28"/>
          <w:sz w:val="18"/>
          <w:szCs w:val="24"/>
          <w:lang w:val="en-US" w:eastAsia="en-US" w:bidi="ar-SA"/>
        </w:rPr>
        <w:t>A Standing Humanitarian Maritime Framework</w:t>
      </w:r>
    </w:p>
    <w:p>
      <w:pPr>
        <w:pStyle w:val="Normal"/>
        <w:spacing w:lineRule="auto" w:line="300" w:before="320" w:after="0"/>
        <w:jc w:val="center"/>
        <w:rPr/>
      </w:pPr>
      <w:r>
        <w:rPr>
          <w:rFonts w:eastAsia="Calibri" w:cs="Calibri" w:ascii="Calibri" w:hAnsi="Calibri"/>
          <w:b/>
          <w:color w:val="37474F"/>
          <w:spacing w:val="30"/>
          <w:sz w:val="50"/>
          <w:szCs w:val="24"/>
          <w:lang w:val="en-US" w:eastAsia="en-US" w:bidi="ar-SA"/>
        </w:rPr>
        <w:t>THE HORMUZ HUMANITARIAN</w:t>
      </w:r>
    </w:p>
    <w:p>
      <w:pPr>
        <w:pStyle w:val="Normal"/>
        <w:spacing w:lineRule="auto" w:line="300" w:before="0" w:after="0"/>
        <w:jc w:val="center"/>
        <w:rPr/>
      </w:pPr>
      <w:r>
        <w:rPr>
          <w:rFonts w:eastAsia="Calibri" w:cs="Calibri" w:ascii="Calibri" w:hAnsi="Calibri"/>
          <w:b/>
          <w:color w:val="37474F"/>
          <w:spacing w:val="30"/>
          <w:sz w:val="50"/>
          <w:szCs w:val="24"/>
          <w:lang w:val="en-US" w:eastAsia="en-US" w:bidi="ar-SA"/>
        </w:rPr>
        <w:t>&amp; DE-ESCALATION FRAMEWORK</w:t>
      </w:r>
    </w:p>
    <w:p>
      <w:pPr>
        <w:pStyle w:val="Normal"/>
        <w:spacing w:lineRule="auto" w:line="300" w:before="160" w:after="360"/>
        <w:ind w:left="720" w:right="720" w:hanging="0"/>
        <w:jc w:val="center"/>
        <w:rPr/>
      </w:pPr>
      <w:r>
        <w:rPr>
          <w:rFonts w:eastAsia="Calibri" w:cs="Calibri" w:ascii="Calibri" w:hAnsi="Calibri"/>
          <w:i/>
          <w:color w:val="546E7A"/>
          <w:sz w:val="24"/>
          <w:szCs w:val="24"/>
          <w:lang w:val="en-US" w:eastAsia="en-US" w:bidi="ar-SA"/>
        </w:rPr>
        <w:t>A Standing Architecture for the Protection of Seafarers, the Movement of Humanitarian and Agricultural Cargo, and the Structured De-escalation of Military Tension in the Strait of Hormuz</w:t>
      </w:r>
    </w:p>
    <w:p>
      <w:pPr>
        <w:pStyle w:val="Normal"/>
        <w:pBdr>
          <w:bottom w:val="single" w:sz="6" w:space="0" w:color="546E7A"/>
        </w:pBdr>
        <w:spacing w:lineRule="auto" w:line="300" w:before="0" w:after="340"/>
        <w:ind w:left="2400" w:right="2400" w:hanging="0"/>
        <w:jc w:val="both"/>
        <w:rPr/>
      </w:pPr>
      <w:r>
        <w:rPr/>
      </w:r>
    </w:p>
    <w:p>
      <w:pPr>
        <w:pStyle w:val="Normal"/>
        <w:spacing w:lineRule="auto" w:line="300" w:before="0" w:after="110"/>
        <w:jc w:val="center"/>
        <w:rPr/>
      </w:pPr>
      <w:r>
        <w:rPr>
          <w:rFonts w:eastAsia="Calibri" w:cs="Calibri" w:ascii="Calibri" w:hAnsi="Calibri"/>
          <w:color w:val="212121"/>
          <w:sz w:val="23"/>
          <w:szCs w:val="24"/>
          <w:lang w:val="en-US" w:eastAsia="en-US" w:bidi="ar-SA"/>
        </w:rPr>
        <w:t>HHDF  ·  Version 1.0  ·  August 2026</w:t>
      </w:r>
    </w:p>
    <w:p>
      <w:pPr>
        <w:pStyle w:val="Normal"/>
        <w:spacing w:lineRule="auto" w:line="300" w:before="0" w:after="900"/>
        <w:jc w:val="center"/>
        <w:rPr/>
      </w:pPr>
      <w:r>
        <w:rPr>
          <w:rFonts w:eastAsia="Calibri" w:cs="Calibri" w:ascii="Calibri" w:hAnsi="Calibri"/>
          <w:color w:val="546E7A"/>
          <w:sz w:val="21"/>
          <w:szCs w:val="24"/>
          <w:lang w:val="en-US" w:eastAsia="en-US" w:bidi="ar-SA"/>
        </w:rPr>
        <w:t>Negotiating Draft for Authorized Participants</w:t>
      </w:r>
    </w:p>
    <w:p>
      <w:pPr>
        <w:pStyle w:val="Normal"/>
        <w:spacing w:lineRule="auto" w:line="300" w:before="0" w:after="520"/>
        <w:jc w:val="center"/>
        <w:rPr/>
      </w:pPr>
      <w:r>
        <w:rPr>
          <w:rFonts w:eastAsia="Calibri" w:cs="Calibri" w:ascii="Calibri" w:hAnsi="Calibri"/>
          <w:i/>
          <w:color w:val="78909C"/>
          <w:sz w:val="20"/>
          <w:szCs w:val="24"/>
          <w:lang w:val="en-US" w:eastAsia="en-US" w:bidi="ar-SA"/>
        </w:rPr>
        <w:t>Seafarers. Humanitarian Passage. Structured De-escalation.</w:t>
      </w:r>
    </w:p>
    <w:p>
      <w:pPr>
        <w:pStyle w:val="Normal"/>
        <w:spacing w:lineRule="auto" w:line="300" w:before="0" w:after="80"/>
        <w:jc w:val="center"/>
        <w:rPr/>
      </w:pPr>
      <w:r>
        <w:rPr>
          <w:rFonts w:eastAsia="Calibri" w:cs="Calibri" w:ascii="Calibri" w:hAnsi="Calibri"/>
          <w:b/>
          <w:color w:val="37474F"/>
          <w:sz w:val="21"/>
          <w:szCs w:val="24"/>
          <w:lang w:val="en-US" w:eastAsia="en-US" w:bidi="ar-SA"/>
        </w:rPr>
        <w:t>The Islamic Republic of Iran  ·  The Sultanate of Oman  ·  The United States of America</w:t>
      </w:r>
    </w:p>
    <w:p>
      <w:pPr>
        <w:pStyle w:val="Normal"/>
        <w:spacing w:lineRule="auto" w:line="300" w:before="0" w:after="120"/>
        <w:jc w:val="center"/>
        <w:rPr/>
      </w:pPr>
      <w:r>
        <w:rPr>
          <w:rFonts w:eastAsia="Calibri" w:cs="Calibri" w:ascii="Calibri" w:hAnsi="Calibri"/>
          <w:b/>
          <w:color w:val="37474F"/>
          <w:sz w:val="21"/>
          <w:szCs w:val="24"/>
          <w:lang w:val="en-US" w:eastAsia="en-US" w:bidi="ar-SA"/>
        </w:rPr>
        <w:t>The Gulf Cooperation Council States  ·  The International Maritime Organization</w:t>
      </w:r>
    </w:p>
    <w:p>
      <w:pPr>
        <w:pStyle w:val="Normal"/>
        <w:spacing w:lineRule="auto" w:line="300" w:before="0" w:after="80"/>
        <w:jc w:val="center"/>
        <w:rPr/>
      </w:pPr>
      <w:r>
        <w:rPr>
          <w:rFonts w:eastAsia="Calibri" w:cs="Calibri" w:ascii="Calibri" w:hAnsi="Calibri"/>
          <w:color w:val="546E7A"/>
          <w:sz w:val="20"/>
          <w:szCs w:val="24"/>
          <w:lang w:val="en-US" w:eastAsia="en-US" w:bidi="ar-SA"/>
        </w:rPr>
        <w:t>Coordinating Body: The United Nations Secretary-General’s Special Task Force</w:t>
      </w:r>
    </w:p>
    <w:p>
      <w:pPr>
        <w:pStyle w:val="Normal"/>
        <w:spacing w:lineRule="auto" w:line="300" w:before="0" w:after="80"/>
        <w:jc w:val="center"/>
        <w:rPr/>
      </w:pPr>
      <w:r>
        <w:rPr>
          <w:rFonts w:eastAsia="Calibri" w:cs="Calibri" w:ascii="Calibri" w:hAnsi="Calibri"/>
          <w:color w:val="546E7A"/>
          <w:sz w:val="20"/>
          <w:szCs w:val="24"/>
          <w:lang w:val="en-US" w:eastAsia="en-US" w:bidi="ar-SA"/>
        </w:rPr>
        <w:t>Mediator of Record: The Sultanate of Oman  ·  Neutral Administrator: The Swiss Confederation</w:t>
      </w:r>
    </w:p>
    <w:p>
      <w:pPr>
        <w:pStyle w:val="Normal"/>
        <w:spacing w:lineRule="auto" w:line="300" w:before="0" w:after="100"/>
        <w:jc w:val="center"/>
        <w:rPr/>
      </w:pPr>
      <w:r>
        <w:rPr>
          <w:rFonts w:eastAsia="Calibri" w:cs="Calibri" w:ascii="Calibri" w:hAnsi="Calibri"/>
          <w:color w:val="546E7A"/>
          <w:sz w:val="20"/>
          <w:szCs w:val="24"/>
          <w:lang w:val="en-US" w:eastAsia="en-US" w:bidi="ar-SA"/>
        </w:rPr>
        <w:t>Facilitators: The State of Qatar and the Islamic Republic of Pakistan</w:t>
      </w:r>
    </w:p>
    <w:p>
      <w:pPr>
        <w:sectPr>
          <w:headerReference w:type="default" r:id="rId2"/>
          <w:footerReference w:type="default" r:id="rId3"/>
          <w:type w:val="nextPage"/>
          <w:pgSz w:w="12240" w:h="15840"/>
          <w:pgMar w:left="1134" w:right="1134" w:gutter="0" w:header="0" w:top="1134" w:footer="0" w:bottom="1134"/>
          <w:pgNumType w:fmt="decimal"/>
          <w:formProt w:val="false"/>
          <w:textDirection w:val="lrTb"/>
          <w:docGrid w:type="default" w:linePitch="100" w:charSpace="0"/>
        </w:sectPr>
        <w:pStyle w:val="Normal"/>
        <w:spacing w:lineRule="auto" w:line="300" w:before="0" w:after="0"/>
        <w:jc w:val="center"/>
        <w:rPr/>
      </w:pPr>
      <w:r>
        <w:rPr>
          <w:rFonts w:eastAsia="Calibri" w:cs="Calibri" w:ascii="Calibri" w:hAnsi="Calibri"/>
          <w:i/>
          <w:color w:val="78909C"/>
          <w:sz w:val="18"/>
          <w:szCs w:val="24"/>
          <w:lang w:val="en-US" w:eastAsia="en-US" w:bidi="ar-SA"/>
        </w:rPr>
        <w:t>Parts I–IX  ·  Annexes A–L  ·  Muscat and Bandar Abbas</w:t>
      </w:r>
    </w:p>
    <w:p>
      <w:pPr>
        <w:pStyle w:val="Normal"/>
        <w:keepNext w:val="true"/>
        <w:spacing w:lineRule="auto" w:line="300" w:before="0" w:after="360"/>
        <w:jc w:val="left"/>
        <w:rPr/>
      </w:pPr>
      <w:r>
        <w:rPr>
          <w:rFonts w:eastAsia="Calibri" w:cs="Calibri" w:ascii="Calibri" w:hAnsi="Calibri"/>
          <w:b/>
          <w:caps/>
          <w:color w:val="37474F"/>
          <w:sz w:val="32"/>
          <w:szCs w:val="24"/>
          <w:lang w:val="en-US" w:eastAsia="en-US" w:bidi="ar-SA"/>
        </w:rPr>
        <w:t>Table of Contents</w:t>
      </w:r>
    </w:p>
    <w:sdt>
      <w:sdtPr>
        <w:docPartObj>
          <w:docPartGallery w:val="Table of Contents"/>
          <w:docPartUnique w:val="true"/>
        </w:docPartObj>
      </w:sdtPr>
      <w:sdtContent>
        <w:p>
          <w:pPr>
            <w:pStyle w:val="Contents1"/>
            <w:rPr/>
          </w:pPr>
          <w:r>
            <w:fldChar w:fldCharType="begin"/>
          </w:r>
          <w:r>
            <w:rPr>
              <w:webHidden/>
              <w:rStyle w:val="IndexLink"/>
            </w:rPr>
            <w:instrText xml:space="preserve"> TOC \z \o "1-2" \u \h</w:instrText>
          </w:r>
          <w:r>
            <w:rPr>
              <w:webHidden/>
              <w:rStyle w:val="IndexLink"/>
            </w:rPr>
            <w:fldChar w:fldCharType="separate"/>
          </w:r>
          <w:hyperlink w:anchor="__RefHeading___Toc4269_2903983697">
            <w:r>
              <w:rPr>
                <w:webHidden/>
                <w:rStyle w:val="IndexLink"/>
              </w:rPr>
              <w:t>Document Control</w:t>
              <w:tab/>
              <w:t>5</w:t>
            </w:r>
          </w:hyperlink>
        </w:p>
        <w:p>
          <w:pPr>
            <w:pStyle w:val="Contents1"/>
            <w:rPr/>
          </w:pPr>
          <w:hyperlink w:anchor="__RefHeading___Toc4271_2903983697">
            <w:r>
              <w:rPr>
                <w:webHidden/>
                <w:rStyle w:val="IndexLink"/>
              </w:rPr>
              <w:t>The Hormuz Declaration of Humanitarian Principles</w:t>
              <w:tab/>
              <w:t>6</w:t>
            </w:r>
          </w:hyperlink>
        </w:p>
        <w:p>
          <w:pPr>
            <w:pStyle w:val="Contents1"/>
            <w:rPr/>
          </w:pPr>
          <w:hyperlink w:anchor="__RefHeading___Toc4273_2903983697">
            <w:r>
              <w:rPr>
                <w:webHidden/>
                <w:rStyle w:val="IndexLink"/>
              </w:rPr>
              <w:t>Preamble: The Moment of August 2026</w:t>
              <w:tab/>
              <w:t>8</w:t>
            </w:r>
          </w:hyperlink>
        </w:p>
        <w:p>
          <w:pPr>
            <w:pStyle w:val="Contents1"/>
            <w:rPr/>
          </w:pPr>
          <w:hyperlink w:anchor="__RefHeading___Toc4275_2903983697">
            <w:r>
              <w:rPr>
                <w:webHidden/>
                <w:rStyle w:val="IndexLink"/>
              </w:rPr>
              <w:t>Part I: Foundations</w:t>
              <w:tab/>
              <w:t>9</w:t>
            </w:r>
          </w:hyperlink>
        </w:p>
        <w:p>
          <w:pPr>
            <w:pStyle w:val="Contents2"/>
            <w:rPr/>
          </w:pPr>
          <w:hyperlink w:anchor="__RefHeading___Toc4277_2903983697">
            <w:r>
              <w:rPr>
                <w:webHidden/>
                <w:rStyle w:val="IndexLink"/>
              </w:rPr>
              <w:t>Article 1: Establishment, Purpose, and Scope</w:t>
              <w:tab/>
              <w:t>9</w:t>
            </w:r>
          </w:hyperlink>
        </w:p>
        <w:p>
          <w:pPr>
            <w:pStyle w:val="Contents2"/>
            <w:rPr/>
          </w:pPr>
          <w:hyperlink w:anchor="__RefHeading___Toc4279_2903983697">
            <w:r>
              <w:rPr>
                <w:webHidden/>
                <w:rStyle w:val="IndexLink"/>
              </w:rPr>
              <w:t>Article 2: Legal Foundations</w:t>
              <w:tab/>
              <w:t>11</w:t>
            </w:r>
          </w:hyperlink>
        </w:p>
        <w:p>
          <w:pPr>
            <w:pStyle w:val="Contents2"/>
            <w:rPr/>
          </w:pPr>
          <w:hyperlink w:anchor="__RefHeading___Toc4281_2903983697">
            <w:r>
              <w:rPr>
                <w:webHidden/>
                <w:rStyle w:val="IndexLink"/>
              </w:rPr>
              <w:t>Article 3: Core Operating Principles</w:t>
              <w:tab/>
              <w:t>12</w:t>
            </w:r>
          </w:hyperlink>
        </w:p>
        <w:p>
          <w:pPr>
            <w:pStyle w:val="Contents2"/>
            <w:rPr/>
          </w:pPr>
          <w:hyperlink w:anchor="__RefHeading___Toc4283_2903983697">
            <w:r>
              <w:rPr>
                <w:webHidden/>
                <w:rStyle w:val="IndexLink"/>
              </w:rPr>
              <w:t>Article 4: The Humanitarian Red Lines Register and the Perimeter Test</w:t>
              <w:tab/>
              <w:t>14</w:t>
            </w:r>
          </w:hyperlink>
        </w:p>
        <w:p>
          <w:pPr>
            <w:pStyle w:val="Contents2"/>
            <w:rPr/>
          </w:pPr>
          <w:hyperlink w:anchor="__RefHeading___Toc4285_2903983697">
            <w:r>
              <w:rPr>
                <w:webHidden/>
                <w:rStyle w:val="IndexLink"/>
              </w:rPr>
              <w:t>Article 5: Definitions and Interpretation</w:t>
              <w:tab/>
              <w:t>16</w:t>
            </w:r>
          </w:hyperlink>
        </w:p>
        <w:p>
          <w:pPr>
            <w:pStyle w:val="Contents2"/>
            <w:rPr/>
          </w:pPr>
          <w:hyperlink w:anchor="__RefHeading___Toc4287_2903983697">
            <w:r>
              <w:rPr>
                <w:webHidden/>
                <w:rStyle w:val="IndexLink"/>
              </w:rPr>
              <w:t>Article 6: The Continuity Guarantee</w:t>
              <w:tab/>
              <w:t>19</w:t>
            </w:r>
          </w:hyperlink>
        </w:p>
        <w:p>
          <w:pPr>
            <w:pStyle w:val="Contents1"/>
            <w:rPr/>
          </w:pPr>
          <w:hyperlink w:anchor="__RefHeading___Toc4289_2903983697">
            <w:r>
              <w:rPr>
                <w:webHidden/>
                <w:rStyle w:val="IndexLink"/>
              </w:rPr>
              <w:t>Part II: The Release, Evacuation, and Protection of Seafarers</w:t>
              <w:tab/>
              <w:t>21</w:t>
            </w:r>
          </w:hyperlink>
        </w:p>
        <w:p>
          <w:pPr>
            <w:pStyle w:val="Contents2"/>
            <w:rPr/>
          </w:pPr>
          <w:hyperlink w:anchor="__RefHeading___Toc4291_2903983697">
            <w:r>
              <w:rPr>
                <w:webHidden/>
                <w:rStyle w:val="IndexLink"/>
              </w:rPr>
              <w:t>Article 7: The Stranded Crew Evacuation Framework</w:t>
              <w:tab/>
              <w:t>21</w:t>
            </w:r>
          </w:hyperlink>
        </w:p>
        <w:p>
          <w:pPr>
            <w:pStyle w:val="Contents2"/>
            <w:rPr/>
          </w:pPr>
          <w:hyperlink w:anchor="__RefHeading___Toc4293_2903983697">
            <w:r>
              <w:rPr>
                <w:webHidden/>
                <w:rStyle w:val="IndexLink"/>
              </w:rPr>
              <w:t>Article 8: Prioritization, Sequencing, and Repatriation</w:t>
              <w:tab/>
              <w:t>22</w:t>
            </w:r>
          </w:hyperlink>
        </w:p>
        <w:p>
          <w:pPr>
            <w:pStyle w:val="Contents2"/>
            <w:rPr/>
          </w:pPr>
          <w:hyperlink w:anchor="__RefHeading___Toc4295_2903983697">
            <w:r>
              <w:rPr>
                <w:webHidden/>
                <w:rStyle w:val="IndexLink"/>
              </w:rPr>
              <w:t>Article 9: Seafarer Welfare, Medical Access, and Non-Prosecution</w:t>
              <w:tab/>
              <w:t>23</w:t>
            </w:r>
          </w:hyperlink>
        </w:p>
        <w:p>
          <w:pPr>
            <w:pStyle w:val="Contents2"/>
            <w:rPr/>
          </w:pPr>
          <w:hyperlink w:anchor="__RefHeading___Toc4297_2903983697">
            <w:r>
              <w:rPr>
                <w:webHidden/>
                <w:rStyle w:val="IndexLink"/>
              </w:rPr>
              <w:t>Article 10: Vessel Maintenance, Spare Parts, and Environmental Safeguards</w:t>
              <w:tab/>
              <w:t>25</w:t>
            </w:r>
          </w:hyperlink>
        </w:p>
        <w:p>
          <w:pPr>
            <w:pStyle w:val="Contents2"/>
            <w:rPr/>
          </w:pPr>
          <w:hyperlink w:anchor="__RefHeading___Toc4299_2903983697">
            <w:r>
              <w:rPr>
                <w:webHidden/>
                <w:rStyle w:val="IndexLink"/>
              </w:rPr>
              <w:t>Article 11: Detained Vessels and Crews</w:t>
              <w:tab/>
              <w:t>26</w:t>
            </w:r>
          </w:hyperlink>
        </w:p>
        <w:p>
          <w:pPr>
            <w:pStyle w:val="Contents1"/>
            <w:rPr/>
          </w:pPr>
          <w:hyperlink w:anchor="__RefHeading___Toc4301_2903983697">
            <w:r>
              <w:rPr>
                <w:webHidden/>
                <w:rStyle w:val="IndexLink"/>
              </w:rPr>
              <w:t>Part III: The Humanitarian Corridor and Safe Passage</w:t>
              <w:tab/>
              <w:t>27</w:t>
            </w:r>
          </w:hyperlink>
        </w:p>
        <w:p>
          <w:pPr>
            <w:pStyle w:val="Contents2"/>
            <w:rPr/>
          </w:pPr>
          <w:hyperlink w:anchor="__RefHeading___Toc4303_2903983697">
            <w:r>
              <w:rPr>
                <w:webHidden/>
                <w:rStyle w:val="IndexLink"/>
              </w:rPr>
              <w:t>Article 12: The Designated Humanitarian and Agricultural Lane</w:t>
              <w:tab/>
              <w:t>27</w:t>
            </w:r>
          </w:hyperlink>
        </w:p>
        <w:p>
          <w:pPr>
            <w:pStyle w:val="Contents2"/>
            <w:rPr/>
          </w:pPr>
          <w:hyperlink w:anchor="__RefHeading___Toc4305_2903983697">
            <w:r>
              <w:rPr>
                <w:webHidden/>
                <w:rStyle w:val="IndexLink"/>
              </w:rPr>
              <w:t>Article 13: The United Nations Operated Mechanism</w:t>
              <w:tab/>
              <w:t>28</w:t>
            </w:r>
          </w:hyperlink>
        </w:p>
        <w:p>
          <w:pPr>
            <w:pStyle w:val="Contents2"/>
            <w:rPr/>
          </w:pPr>
          <w:hyperlink w:anchor="__RefHeading___Toc4307_2903983697">
            <w:r>
              <w:rPr>
                <w:webHidden/>
                <w:rStyle w:val="IndexLink"/>
              </w:rPr>
              <w:t>Article 14: The Safe Passage Guarantee and the Permission Streamlining Protocol</w:t>
              <w:tab/>
              <w:t>29</w:t>
            </w:r>
          </w:hyperlink>
        </w:p>
        <w:p>
          <w:pPr>
            <w:pStyle w:val="Contents2"/>
            <w:rPr/>
          </w:pPr>
          <w:hyperlink w:anchor="__RefHeading___Toc4309_2903983697">
            <w:r>
              <w:rPr>
                <w:webHidden/>
                <w:rStyle w:val="IndexLink"/>
              </w:rPr>
              <w:t>Article 15: The Two-Phase Cargo Expansion</w:t>
              <w:tab/>
              <w:t>30</w:t>
            </w:r>
          </w:hyperlink>
        </w:p>
        <w:p>
          <w:pPr>
            <w:pStyle w:val="Contents2"/>
            <w:rPr/>
          </w:pPr>
          <w:hyperlink w:anchor="__RefHeading___Toc4311_2903983697">
            <w:r>
              <w:rPr>
                <w:webHidden/>
                <w:rStyle w:val="IndexLink"/>
              </w:rPr>
              <w:t>Article 16: The Thirty-Day Humanitarian Transit Ceasefire</w:t>
              <w:tab/>
              <w:t>31</w:t>
            </w:r>
          </w:hyperlink>
        </w:p>
        <w:p>
          <w:pPr>
            <w:pStyle w:val="Contents2"/>
            <w:rPr/>
          </w:pPr>
          <w:hyperlink w:anchor="__RefHeading___Toc4313_2903983697">
            <w:r>
              <w:rPr>
                <w:webHidden/>
                <w:rStyle w:val="IndexLink"/>
              </w:rPr>
              <w:t>Article 17: Food Security and Agricultural Continuity</w:t>
              <w:tab/>
              <w:t>31</w:t>
            </w:r>
          </w:hyperlink>
        </w:p>
        <w:p>
          <w:pPr>
            <w:pStyle w:val="Contents1"/>
            <w:rPr/>
          </w:pPr>
          <w:hyperlink w:anchor="__RefHeading___Toc4315_2903983697">
            <w:r>
              <w:rPr>
                <w:webHidden/>
                <w:rStyle w:val="IndexLink"/>
              </w:rPr>
              <w:t>Part IV: De-Confliction and the Mutual Military Stand-Down</w:t>
              <w:tab/>
              <w:t>32</w:t>
            </w:r>
          </w:hyperlink>
        </w:p>
        <w:p>
          <w:pPr>
            <w:pStyle w:val="Contents2"/>
            <w:rPr/>
          </w:pPr>
          <w:hyperlink w:anchor="__RefHeading___Toc4317_2903983697">
            <w:r>
              <w:rPr>
                <w:webHidden/>
                <w:rStyle w:val="IndexLink"/>
              </w:rPr>
              <w:t>Article 18: Cessation of Military Operations in the Governance Area</w:t>
              <w:tab/>
              <w:t>32</w:t>
            </w:r>
          </w:hyperlink>
        </w:p>
        <w:p>
          <w:pPr>
            <w:pStyle w:val="Contents2"/>
            <w:rPr/>
          </w:pPr>
          <w:hyperlink w:anchor="__RefHeading___Toc4319_2903983697">
            <w:r>
              <w:rPr>
                <w:webHidden/>
                <w:rStyle w:val="IndexLink"/>
              </w:rPr>
              <w:t>Article 19: The Status Quo Freeze</w:t>
              <w:tab/>
              <w:t>34</w:t>
            </w:r>
          </w:hyperlink>
        </w:p>
        <w:p>
          <w:pPr>
            <w:pStyle w:val="Contents2"/>
            <w:rPr/>
          </w:pPr>
          <w:hyperlink w:anchor="__RefHeading___Toc4321_2903983697">
            <w:r>
              <w:rPr>
                <w:webHidden/>
                <w:rStyle w:val="IndexLink"/>
              </w:rPr>
              <w:t>Article 20: The De-Confliction Hotline</w:t>
              <w:tab/>
              <w:t>35</w:t>
            </w:r>
          </w:hyperlink>
        </w:p>
        <w:p>
          <w:pPr>
            <w:pStyle w:val="Contents2"/>
            <w:rPr/>
          </w:pPr>
          <w:hyperlink w:anchor="__RefHeading___Toc4323_2903983697">
            <w:r>
              <w:rPr>
                <w:webHidden/>
                <w:rStyle w:val="IndexLink"/>
              </w:rPr>
              <w:t>Article 21: Corridor Routing and Coastal State Traffic Coordination</w:t>
              <w:tab/>
              <w:t>36</w:t>
            </w:r>
          </w:hyperlink>
        </w:p>
        <w:p>
          <w:pPr>
            <w:pStyle w:val="Contents2"/>
            <w:rPr/>
          </w:pPr>
          <w:hyperlink w:anchor="__RefHeading___Toc4325_2903983697">
            <w:r>
              <w:rPr>
                <w:webHidden/>
                <w:rStyle w:val="IndexLink"/>
              </w:rPr>
              <w:t>Article 22: Coordinated Surveillance and the Blue Safe Monitor</w:t>
              <w:tab/>
              <w:t>37</w:t>
            </w:r>
          </w:hyperlink>
        </w:p>
        <w:p>
          <w:pPr>
            <w:pStyle w:val="Contents2"/>
            <w:rPr/>
          </w:pPr>
          <w:hyperlink w:anchor="__RefHeading___Toc4327_2903983697">
            <w:r>
              <w:rPr>
                <w:webHidden/>
                <w:rStyle w:val="IndexLink"/>
              </w:rPr>
              <w:t>Article 23: Incident Prevention and the Escalation Ladder</w:t>
              <w:tab/>
              <w:t>38</w:t>
            </w:r>
          </w:hyperlink>
        </w:p>
        <w:p>
          <w:pPr>
            <w:pStyle w:val="Contents1"/>
            <w:rPr/>
          </w:pPr>
          <w:hyperlink w:anchor="__RefHeading___Toc4329_2903983697">
            <w:r>
              <w:rPr>
                <w:webHidden/>
                <w:rStyle w:val="IndexLink"/>
              </w:rPr>
              <w:t>Part V: Coastal State Cooperation for Supply Lines</w:t>
              <w:tab/>
              <w:t>39</w:t>
            </w:r>
          </w:hyperlink>
        </w:p>
        <w:p>
          <w:pPr>
            <w:pStyle w:val="Contents2"/>
            <w:rPr/>
          </w:pPr>
          <w:hyperlink w:anchor="__RefHeading___Toc4331_2903983697">
            <w:r>
              <w:rPr>
                <w:webHidden/>
                <w:rStyle w:val="IndexLink"/>
              </w:rPr>
              <w:t>Article 24: Port Access for Humanitarian Resupply</w:t>
              <w:tab/>
              <w:t>39</w:t>
            </w:r>
          </w:hyperlink>
        </w:p>
        <w:p>
          <w:pPr>
            <w:pStyle w:val="Contents2"/>
            <w:rPr/>
          </w:pPr>
          <w:hyperlink w:anchor="__RefHeading___Toc4333_2903983697">
            <w:r>
              <w:rPr>
                <w:webHidden/>
                <w:rStyle w:val="IndexLink"/>
              </w:rPr>
              <w:t>Article 25: The Joint Resupply Protocol</w:t>
              <w:tab/>
              <w:t>39</w:t>
            </w:r>
          </w:hyperlink>
        </w:p>
        <w:p>
          <w:pPr>
            <w:pStyle w:val="Contents2"/>
            <w:rPr/>
          </w:pPr>
          <w:hyperlink w:anchor="__RefHeading___Toc4335_2903983697">
            <w:r>
              <w:rPr>
                <w:webHidden/>
                <w:rStyle w:val="IndexLink"/>
              </w:rPr>
              <w:t>Article 26: Regional Logistics Coordination</w:t>
              <w:tab/>
              <w:t>40</w:t>
            </w:r>
          </w:hyperlink>
        </w:p>
        <w:p>
          <w:pPr>
            <w:pStyle w:val="Contents2"/>
            <w:rPr/>
          </w:pPr>
          <w:hyperlink w:anchor="__RefHeading___Toc4337_2903983697">
            <w:r>
              <w:rPr>
                <w:webHidden/>
                <w:rStyle w:val="IndexLink"/>
              </w:rPr>
              <w:t>Article 27: Technician and Spare Parts Access</w:t>
              <w:tab/>
              <w:t>41</w:t>
            </w:r>
          </w:hyperlink>
        </w:p>
        <w:p>
          <w:pPr>
            <w:pStyle w:val="Contents1"/>
            <w:rPr/>
          </w:pPr>
          <w:hyperlink w:anchor="__RefHeading___Toc4339_2903983697">
            <w:r>
              <w:rPr>
                <w:webHidden/>
                <w:rStyle w:val="IndexLink"/>
              </w:rPr>
              <w:t>Part VI: The Centralized Information Hub</w:t>
              <w:tab/>
              <w:t>42</w:t>
            </w:r>
          </w:hyperlink>
        </w:p>
        <w:p>
          <w:pPr>
            <w:pStyle w:val="Contents2"/>
            <w:rPr/>
          </w:pPr>
          <w:hyperlink w:anchor="__RefHeading___Toc4341_2903983697">
            <w:r>
              <w:rPr>
                <w:webHidden/>
                <w:rStyle w:val="IndexLink"/>
              </w:rPr>
              <w:t>Article 28: The Humanitarian and Evacuation Portal</w:t>
              <w:tab/>
              <w:t>42</w:t>
            </w:r>
          </w:hyperlink>
        </w:p>
        <w:p>
          <w:pPr>
            <w:pStyle w:val="Contents2"/>
            <w:rPr/>
          </w:pPr>
          <w:hyperlink w:anchor="__RefHeading___Toc4343_2903983697">
            <w:r>
              <w:rPr>
                <w:webHidden/>
                <w:rStyle w:val="IndexLink"/>
              </w:rPr>
              <w:t>Article 29: Incident Reporting</w:t>
              <w:tab/>
              <w:t>42</w:t>
            </w:r>
          </w:hyperlink>
        </w:p>
        <w:p>
          <w:pPr>
            <w:pStyle w:val="Contents2"/>
            <w:rPr/>
          </w:pPr>
          <w:hyperlink w:anchor="__RefHeading___Toc4345_2903983697">
            <w:r>
              <w:rPr>
                <w:webHidden/>
                <w:rStyle w:val="IndexLink"/>
              </w:rPr>
              <w:t>Article 30: The Counter-Misinformation Protocol</w:t>
              <w:tab/>
              <w:t>43</w:t>
            </w:r>
          </w:hyperlink>
        </w:p>
        <w:p>
          <w:pPr>
            <w:pStyle w:val="Contents2"/>
            <w:rPr/>
          </w:pPr>
          <w:hyperlink w:anchor="__RefHeading___Toc4347_2903983697">
            <w:r>
              <w:rPr>
                <w:webHidden/>
                <w:rStyle w:val="IndexLink"/>
              </w:rPr>
              <w:t>Article 31: Data Custody, Authentication, and Cybersecurity</w:t>
              <w:tab/>
              <w:t>44</w:t>
            </w:r>
          </w:hyperlink>
        </w:p>
        <w:p>
          <w:pPr>
            <w:pStyle w:val="Contents1"/>
            <w:rPr/>
          </w:pPr>
          <w:hyperlink w:anchor="__RefHeading___Toc4349_2903983697">
            <w:r>
              <w:rPr>
                <w:webHidden/>
                <w:rStyle w:val="IndexLink"/>
              </w:rPr>
              <w:t>Part VII: Institutional Architecture</w:t>
              <w:tab/>
              <w:t>45</w:t>
            </w:r>
          </w:hyperlink>
        </w:p>
        <w:p>
          <w:pPr>
            <w:pStyle w:val="Contents2"/>
            <w:rPr/>
          </w:pPr>
          <w:hyperlink w:anchor="__RefHeading___Toc4351_2903983697">
            <w:r>
              <w:rPr>
                <w:webHidden/>
                <w:rStyle w:val="IndexLink"/>
              </w:rPr>
              <w:t>Article 32: The Humanitarian Coordination Council</w:t>
              <w:tab/>
              <w:t>45</w:t>
            </w:r>
          </w:hyperlink>
        </w:p>
        <w:p>
          <w:pPr>
            <w:pStyle w:val="Contents2"/>
            <w:rPr/>
          </w:pPr>
          <w:hyperlink w:anchor="__RefHeading___Toc4353_2903983697">
            <w:r>
              <w:rPr>
                <w:webHidden/>
                <w:rStyle w:val="IndexLink"/>
              </w:rPr>
              <w:t>Article 33: The Humanitarian Coordination Center and the IMO Humanitarian Desk</w:t>
              <w:tab/>
              <w:t>45</w:t>
            </w:r>
          </w:hyperlink>
        </w:p>
        <w:p>
          <w:pPr>
            <w:pStyle w:val="Contents2"/>
            <w:rPr/>
          </w:pPr>
          <w:hyperlink w:anchor="__RefHeading___Toc4355_2903983697">
            <w:r>
              <w:rPr>
                <w:webHidden/>
                <w:rStyle w:val="IndexLink"/>
              </w:rPr>
              <w:t>Article 34: The Neutral Passage Office</w:t>
              <w:tab/>
              <w:t>47</w:t>
            </w:r>
          </w:hyperlink>
        </w:p>
        <w:p>
          <w:pPr>
            <w:pStyle w:val="Contents2"/>
            <w:rPr/>
          </w:pPr>
          <w:hyperlink w:anchor="__RefHeading___Toc4357_2903983697">
            <w:r>
              <w:rPr>
                <w:webHidden/>
                <w:rStyle w:val="IndexLink"/>
              </w:rPr>
              <w:t>Article 35: Decision Rules</w:t>
              <w:tab/>
              <w:t>48</w:t>
            </w:r>
          </w:hyperlink>
        </w:p>
        <w:p>
          <w:pPr>
            <w:pStyle w:val="Contents1"/>
            <w:rPr/>
          </w:pPr>
          <w:hyperlink w:anchor="__RefHeading___Toc4359_2903983697">
            <w:r>
              <w:rPr>
                <w:webHidden/>
                <w:rStyle w:val="IndexLink"/>
              </w:rPr>
              <w:t>Part VIII: Verification, Compliance, and Restoration</w:t>
              <w:tab/>
              <w:t>49</w:t>
            </w:r>
          </w:hyperlink>
        </w:p>
        <w:p>
          <w:pPr>
            <w:pStyle w:val="Contents2"/>
            <w:rPr/>
          </w:pPr>
          <w:hyperlink w:anchor="__RefHeading___Toc4361_2903983697">
            <w:r>
              <w:rPr>
                <w:webHidden/>
                <w:rStyle w:val="IndexLink"/>
              </w:rPr>
              <w:t>Article 36: Verification Philosophy: The Two-Anchor Method</w:t>
              <w:tab/>
              <w:t>49</w:t>
            </w:r>
          </w:hyperlink>
        </w:p>
        <w:p>
          <w:pPr>
            <w:pStyle w:val="Contents2"/>
            <w:rPr/>
          </w:pPr>
          <w:hyperlink w:anchor="__RefHeading___Toc4363_2903983697">
            <w:r>
              <w:rPr>
                <w:webHidden/>
                <w:rStyle w:val="IndexLink"/>
              </w:rPr>
              <w:t>Article 37: The Compliance Engine</w:t>
              <w:tab/>
              <w:t>50</w:t>
            </w:r>
          </w:hyperlink>
        </w:p>
        <w:p>
          <w:pPr>
            <w:pStyle w:val="Contents2"/>
            <w:rPr/>
          </w:pPr>
          <w:hyperlink w:anchor="__RefHeading___Toc4365_2903983697">
            <w:r>
              <w:rPr>
                <w:webHidden/>
                <w:rStyle w:val="IndexLink"/>
              </w:rPr>
              <w:t>Article 38: The Humanitarian Pause and the Restoration Pathway</w:t>
              <w:tab/>
              <w:t>51</w:t>
            </w:r>
          </w:hyperlink>
        </w:p>
        <w:p>
          <w:pPr>
            <w:pStyle w:val="Contents2"/>
            <w:rPr/>
          </w:pPr>
          <w:hyperlink w:anchor="__RefHeading___Toc4367_2903983697">
            <w:r>
              <w:rPr>
                <w:webHidden/>
                <w:rStyle w:val="IndexLink"/>
              </w:rPr>
              <w:t>Article 39: Dispute Resolution</w:t>
              <w:tab/>
              <w:t>52</w:t>
            </w:r>
          </w:hyperlink>
        </w:p>
        <w:p>
          <w:pPr>
            <w:pStyle w:val="Contents1"/>
            <w:rPr/>
          </w:pPr>
          <w:hyperlink w:anchor="__RefHeading___Toc4369_2903983697">
            <w:r>
              <w:rPr>
                <w:webHidden/>
                <w:rStyle w:val="IndexLink"/>
              </w:rPr>
              <w:t>Part IX: Implementation, Review, and Final Provisions</w:t>
              <w:tab/>
              <w:t>53</w:t>
            </w:r>
          </w:hyperlink>
        </w:p>
        <w:p>
          <w:pPr>
            <w:pStyle w:val="Contents2"/>
            <w:rPr/>
          </w:pPr>
          <w:hyperlink w:anchor="__RefHeading___Toc4371_2903983697">
            <w:r>
              <w:rPr>
                <w:webHidden/>
                <w:rStyle w:val="IndexLink"/>
              </w:rPr>
              <w:t>Article 40: The Implementation Timeline</w:t>
              <w:tab/>
              <w:t>53</w:t>
            </w:r>
          </w:hyperlink>
        </w:p>
        <w:p>
          <w:pPr>
            <w:pStyle w:val="Contents2"/>
            <w:rPr/>
          </w:pPr>
          <w:hyperlink w:anchor="__RefHeading___Toc4373_2903983697">
            <w:r>
              <w:rPr>
                <w:webHidden/>
                <w:rStyle w:val="IndexLink"/>
              </w:rPr>
              <w:t>Article 41: The Thirty-Day Review and the Seven-Day Walkthrough Cycle</w:t>
              <w:tab/>
              <w:t>54</w:t>
            </w:r>
          </w:hyperlink>
        </w:p>
        <w:p>
          <w:pPr>
            <w:pStyle w:val="Contents2"/>
            <w:rPr/>
          </w:pPr>
          <w:hyperlink w:anchor="__RefHeading___Toc4375_2903983697">
            <w:r>
              <w:rPr>
                <w:webHidden/>
                <w:rStyle w:val="IndexLink"/>
              </w:rPr>
              <w:t>Article 42: Relationship to the Islamabad MOU and Other Negotiation Tracks</w:t>
              <w:tab/>
              <w:t>55</w:t>
            </w:r>
          </w:hyperlink>
        </w:p>
        <w:p>
          <w:pPr>
            <w:pStyle w:val="Contents2"/>
            <w:rPr/>
          </w:pPr>
          <w:hyperlink w:anchor="__RefHeading___Toc4377_2903983697">
            <w:r>
              <w:rPr>
                <w:webHidden/>
                <w:rStyle w:val="IndexLink"/>
              </w:rPr>
              <w:t>Article 43: Funding and the Humanitarian Operations Fund</w:t>
              <w:tab/>
              <w:t>55</w:t>
            </w:r>
          </w:hyperlink>
        </w:p>
        <w:p>
          <w:pPr>
            <w:pStyle w:val="Contents2"/>
            <w:rPr/>
          </w:pPr>
          <w:hyperlink w:anchor="__RefHeading___Toc4379_2903983697">
            <w:r>
              <w:rPr>
                <w:webHidden/>
                <w:rStyle w:val="IndexLink"/>
              </w:rPr>
              <w:t>Article 44: Final Provisions</w:t>
              <w:tab/>
              <w:t>56</w:t>
            </w:r>
          </w:hyperlink>
        </w:p>
        <w:p>
          <w:pPr>
            <w:pStyle w:val="Contents1"/>
            <w:rPr/>
          </w:pPr>
          <w:hyperlink w:anchor="__RefHeading___Toc4381_2903983697">
            <w:r>
              <w:rPr>
                <w:webHidden/>
                <w:rStyle w:val="IndexLink"/>
              </w:rPr>
              <w:t>Annex A: Corridor Coordinates, Waiting Areas, and Holding Anchorages</w:t>
              <w:tab/>
              <w:t>58</w:t>
            </w:r>
          </w:hyperlink>
        </w:p>
        <w:p>
          <w:pPr>
            <w:pStyle w:val="Contents2"/>
            <w:rPr/>
          </w:pPr>
          <w:hyperlink w:anchor="__RefHeading___Toc4383_2903983697">
            <w:r>
              <w:rPr>
                <w:webHidden/>
                <w:rStyle w:val="IndexLink"/>
              </w:rPr>
              <w:t>A.1 The Governance Area polygon</w:t>
              <w:tab/>
              <w:t>58</w:t>
            </w:r>
          </w:hyperlink>
        </w:p>
        <w:p>
          <w:pPr>
            <w:pStyle w:val="Contents2"/>
            <w:rPr/>
          </w:pPr>
          <w:hyperlink w:anchor="__RefHeading___Toc4385_2903983697">
            <w:r>
              <w:rPr>
                <w:webHidden/>
                <w:rStyle w:val="IndexLink"/>
              </w:rPr>
              <w:t>A.2 The humanitarian lane, Southern Route track</w:t>
              <w:tab/>
              <w:t>59</w:t>
            </w:r>
          </w:hyperlink>
        </w:p>
        <w:p>
          <w:pPr>
            <w:pStyle w:val="Contents2"/>
            <w:rPr/>
          </w:pPr>
          <w:hyperlink w:anchor="__RefHeading___Toc4387_2903983697">
            <w:r>
              <w:rPr>
                <w:webHidden/>
                <w:rStyle w:val="IndexLink"/>
              </w:rPr>
              <w:t>A.3 The humanitarian lane, Northern Route track</w:t>
              <w:tab/>
              <w:t>59</w:t>
            </w:r>
          </w:hyperlink>
        </w:p>
        <w:p>
          <w:pPr>
            <w:pStyle w:val="Contents2"/>
            <w:rPr/>
          </w:pPr>
          <w:hyperlink w:anchor="__RefHeading___Toc4389_2903983697">
            <w:r>
              <w:rPr>
                <w:webHidden/>
                <w:rStyle w:val="IndexLink"/>
              </w:rPr>
              <w:t>A.4 Evacuation track, Northern Route</w:t>
              <w:tab/>
              <w:t>59</w:t>
            </w:r>
          </w:hyperlink>
        </w:p>
        <w:p>
          <w:pPr>
            <w:pStyle w:val="Contents2"/>
            <w:rPr/>
          </w:pPr>
          <w:hyperlink w:anchor="__RefHeading___Toc4391_2903983697">
            <w:r>
              <w:rPr>
                <w:webHidden/>
                <w:rStyle w:val="IndexLink"/>
              </w:rPr>
              <w:t>A.5 Evacuation track, Southern Route</w:t>
              <w:tab/>
              <w:t>59</w:t>
            </w:r>
          </w:hyperlink>
        </w:p>
        <w:p>
          <w:pPr>
            <w:pStyle w:val="Contents2"/>
            <w:rPr/>
          </w:pPr>
          <w:hyperlink w:anchor="__RefHeading___Toc4393_2903983697">
            <w:r>
              <w:rPr>
                <w:webHidden/>
                <w:rStyle w:val="IndexLink"/>
              </w:rPr>
              <w:t>A.6 The Waiting Area</w:t>
              <w:tab/>
              <w:t>59</w:t>
            </w:r>
          </w:hyperlink>
        </w:p>
        <w:p>
          <w:pPr>
            <w:pStyle w:val="Contents2"/>
            <w:rPr/>
          </w:pPr>
          <w:hyperlink w:anchor="__RefHeading___Toc4395_2903983697">
            <w:r>
              <w:rPr>
                <w:webHidden/>
                <w:rStyle w:val="IndexLink"/>
              </w:rPr>
              <w:t>A.7 Holding anchorages</w:t>
              <w:tab/>
              <w:t>60</w:t>
            </w:r>
          </w:hyperlink>
        </w:p>
        <w:p>
          <w:pPr>
            <w:pStyle w:val="Contents2"/>
            <w:rPr/>
          </w:pPr>
          <w:hyperlink w:anchor="__RefHeading___Toc4397_2903983697">
            <w:r>
              <w:rPr>
                <w:webHidden/>
                <w:rStyle w:val="IndexLink"/>
              </w:rPr>
              <w:t>A.8 Reporting points</w:t>
              <w:tab/>
              <w:t>60</w:t>
            </w:r>
          </w:hyperlink>
        </w:p>
        <w:p>
          <w:pPr>
            <w:pStyle w:val="Contents2"/>
            <w:rPr/>
          </w:pPr>
          <w:hyperlink w:anchor="__RefHeading___Toc4399_2903983697">
            <w:r>
              <w:rPr>
                <w:webHidden/>
                <w:rStyle w:val="IndexLink"/>
              </w:rPr>
              <w:t>A.9 Spill response standby positions</w:t>
              <w:tab/>
              <w:t>60</w:t>
            </w:r>
          </w:hyperlink>
        </w:p>
        <w:p>
          <w:pPr>
            <w:pStyle w:val="Contents2"/>
            <w:rPr/>
          </w:pPr>
          <w:hyperlink w:anchor="__RefHeading___Toc4401_2903983697">
            <w:r>
              <w:rPr>
                <w:webHidden/>
                <w:rStyle w:val="IndexLink"/>
              </w:rPr>
              <w:t>A.10 Standoff distances and the live-fire exclusion zone</w:t>
              <w:tab/>
              <w:t>60</w:t>
            </w:r>
          </w:hyperlink>
        </w:p>
        <w:p>
          <w:pPr>
            <w:pStyle w:val="Contents1"/>
            <w:rPr/>
          </w:pPr>
          <w:hyperlink w:anchor="__RefHeading___Toc4403_2903983697">
            <w:r>
              <w:rPr>
                <w:webHidden/>
                <w:rStyle w:val="IndexLink"/>
              </w:rPr>
              <w:t>Annex B: The Evacuation Standard Operating Procedure</w:t>
              <w:tab/>
              <w:t>60</w:t>
            </w:r>
          </w:hyperlink>
        </w:p>
        <w:p>
          <w:pPr>
            <w:pStyle w:val="Contents2"/>
            <w:rPr/>
          </w:pPr>
          <w:hyperlink w:anchor="__RefHeading___Toc4405_2903983697">
            <w:r>
              <w:rPr>
                <w:webHidden/>
                <w:rStyle w:val="IndexLink"/>
              </w:rPr>
              <w:t>B.1 Activation</w:t>
              <w:tab/>
              <w:t>60</w:t>
            </w:r>
          </w:hyperlink>
        </w:p>
        <w:p>
          <w:pPr>
            <w:pStyle w:val="Contents2"/>
            <w:rPr/>
          </w:pPr>
          <w:hyperlink w:anchor="__RefHeading___Toc4407_2903983697">
            <w:r>
              <w:rPr>
                <w:webHidden/>
                <w:rStyle w:val="IndexLink"/>
              </w:rPr>
              <w:t>B.2 Registry intake</w:t>
              <w:tab/>
              <w:t>61</w:t>
            </w:r>
          </w:hyperlink>
        </w:p>
        <w:p>
          <w:pPr>
            <w:pStyle w:val="Contents2"/>
            <w:rPr/>
          </w:pPr>
          <w:hyperlink w:anchor="__RefHeading___Toc4409_2903983697">
            <w:r>
              <w:rPr>
                <w:webHidden/>
                <w:rStyle w:val="IndexLink"/>
              </w:rPr>
              <w:t>B.3 Contact and routing</w:t>
              <w:tab/>
              <w:t>61</w:t>
            </w:r>
          </w:hyperlink>
        </w:p>
        <w:p>
          <w:pPr>
            <w:pStyle w:val="Contents2"/>
            <w:rPr/>
          </w:pPr>
          <w:hyperlink w:anchor="__RefHeading___Toc4411_2903983697">
            <w:r>
              <w:rPr>
                <w:webHidden/>
                <w:rStyle w:val="IndexLink"/>
              </w:rPr>
              <w:t>B.4 Movement instruction</w:t>
              <w:tab/>
              <w:t>61</w:t>
            </w:r>
          </w:hyperlink>
        </w:p>
        <w:p>
          <w:pPr>
            <w:pStyle w:val="Contents2"/>
            <w:rPr/>
          </w:pPr>
          <w:hyperlink w:anchor="__RefHeading___Toc4413_2903983697">
            <w:r>
              <w:rPr>
                <w:webHidden/>
                <w:rStyle w:val="IndexLink"/>
              </w:rPr>
              <w:t>B.5 Underway discipline</w:t>
              <w:tab/>
              <w:t>61</w:t>
            </w:r>
          </w:hyperlink>
        </w:p>
        <w:p>
          <w:pPr>
            <w:pStyle w:val="Contents2"/>
            <w:rPr/>
          </w:pPr>
          <w:hyperlink w:anchor="__RefHeading___Toc4415_2903983697">
            <w:r>
              <w:rPr>
                <w:webHidden/>
                <w:rStyle w:val="IndexLink"/>
              </w:rPr>
              <w:t>B.6 Arrival and logging</w:t>
              <w:tab/>
              <w:t>61</w:t>
            </w:r>
          </w:hyperlink>
        </w:p>
        <w:p>
          <w:pPr>
            <w:pStyle w:val="Contents2"/>
            <w:rPr/>
          </w:pPr>
          <w:hyperlink w:anchor="__RefHeading___Toc4417_2903983697">
            <w:r>
              <w:rPr>
                <w:webHidden/>
                <w:rStyle w:val="IndexLink"/>
              </w:rPr>
              <w:t>B.7 Crew movement</w:t>
              <w:tab/>
              <w:t>61</w:t>
            </w:r>
          </w:hyperlink>
        </w:p>
        <w:p>
          <w:pPr>
            <w:pStyle w:val="Contents2"/>
            <w:rPr/>
          </w:pPr>
          <w:hyperlink w:anchor="__RefHeading___Toc4419_2903983697">
            <w:r>
              <w:rPr>
                <w:webHidden/>
                <w:rStyle w:val="IndexLink"/>
              </w:rPr>
              <w:t>B.8 Emergency deviation</w:t>
              <w:tab/>
              <w:t>61</w:t>
            </w:r>
          </w:hyperlink>
        </w:p>
        <w:p>
          <w:pPr>
            <w:pStyle w:val="Contents2"/>
            <w:rPr/>
          </w:pPr>
          <w:hyperlink w:anchor="__RefHeading___Toc4421_2903983697">
            <w:r>
              <w:rPr>
                <w:webHidden/>
                <w:rStyle w:val="IndexLink"/>
              </w:rPr>
              <w:t>B.9 The Anchor-and-Verify procedure</w:t>
              <w:tab/>
              <w:t>61</w:t>
            </w:r>
          </w:hyperlink>
        </w:p>
        <w:p>
          <w:pPr>
            <w:pStyle w:val="Contents1"/>
            <w:rPr/>
          </w:pPr>
          <w:hyperlink w:anchor="__RefHeading___Toc4423_2903983697">
            <w:r>
              <w:rPr>
                <w:webHidden/>
                <w:rStyle w:val="IndexLink"/>
              </w:rPr>
              <w:t>Annex C: The Humanitarian Cargo Schedule and Inspection Protocol</w:t>
              <w:tab/>
              <w:t>62</w:t>
            </w:r>
          </w:hyperlink>
        </w:p>
        <w:p>
          <w:pPr>
            <w:pStyle w:val="Contents2"/>
            <w:rPr/>
          </w:pPr>
          <w:hyperlink w:anchor="__RefHeading___Toc4425_2903983697">
            <w:r>
              <w:rPr>
                <w:webHidden/>
                <w:rStyle w:val="IndexLink"/>
              </w:rPr>
              <w:t>C.1 Schedule 1, corridor cargo from operationalization</w:t>
              <w:tab/>
              <w:t>62</w:t>
            </w:r>
          </w:hyperlink>
        </w:p>
        <w:p>
          <w:pPr>
            <w:pStyle w:val="Contents2"/>
            <w:rPr/>
          </w:pPr>
          <w:hyperlink w:anchor="__RefHeading___Toc4427_2903983697">
            <w:r>
              <w:rPr>
                <w:webHidden/>
                <w:rStyle w:val="IndexLink"/>
              </w:rPr>
              <w:t>C.2 Schedule 2, Phase Two additions</w:t>
              <w:tab/>
              <w:t>62</w:t>
            </w:r>
          </w:hyperlink>
        </w:p>
        <w:p>
          <w:pPr>
            <w:pStyle w:val="Contents2"/>
            <w:rPr/>
          </w:pPr>
          <w:hyperlink w:anchor="__RefHeading___Toc4429_2903983697">
            <w:r>
              <w:rPr>
                <w:webHidden/>
                <w:rStyle w:val="IndexLink"/>
              </w:rPr>
              <w:t>C.3 Excluded cargo</w:t>
              <w:tab/>
              <w:t>62</w:t>
            </w:r>
          </w:hyperlink>
        </w:p>
        <w:p>
          <w:pPr>
            <w:pStyle w:val="Contents2"/>
            <w:rPr/>
          </w:pPr>
          <w:hyperlink w:anchor="__RefHeading___Toc4431_2903983697">
            <w:r>
              <w:rPr>
                <w:webHidden/>
                <w:rStyle w:val="IndexLink"/>
              </w:rPr>
              <w:t>C.4 The clearance marker</w:t>
              <w:tab/>
              <w:t>62</w:t>
            </w:r>
          </w:hyperlink>
        </w:p>
        <w:p>
          <w:pPr>
            <w:pStyle w:val="Contents2"/>
            <w:rPr/>
          </w:pPr>
          <w:hyperlink w:anchor="__RefHeading___Toc4433_2903983697">
            <w:r>
              <w:rPr>
                <w:webHidden/>
                <w:rStyle w:val="IndexLink"/>
              </w:rPr>
              <w:t>C.5 Inspection protocol</w:t>
              <w:tab/>
              <w:t>62</w:t>
            </w:r>
          </w:hyperlink>
        </w:p>
        <w:p>
          <w:pPr>
            <w:pStyle w:val="Contents2"/>
            <w:rPr/>
          </w:pPr>
          <w:hyperlink w:anchor="__RefHeading___Toc4435_2903983697">
            <w:r>
              <w:rPr>
                <w:webHidden/>
                <w:rStyle w:val="IndexLink"/>
              </w:rPr>
              <w:t>C.6 Misuse of the humanitarian marker</w:t>
              <w:tab/>
              <w:t>62</w:t>
            </w:r>
          </w:hyperlink>
        </w:p>
        <w:p>
          <w:pPr>
            <w:pStyle w:val="Contents1"/>
            <w:rPr/>
          </w:pPr>
          <w:hyperlink w:anchor="__RefHeading___Toc4437_2903983697">
            <w:r>
              <w:rPr>
                <w:webHidden/>
                <w:rStyle w:val="IndexLink"/>
              </w:rPr>
              <w:t>Annex D: The Communications, Hotline, and De-Confliction Plan</w:t>
              <w:tab/>
              <w:t>63</w:t>
            </w:r>
          </w:hyperlink>
        </w:p>
        <w:p>
          <w:pPr>
            <w:pStyle w:val="Contents2"/>
            <w:rPr/>
          </w:pPr>
          <w:hyperlink w:anchor="__RefHeading___Toc4439_2903983697">
            <w:r>
              <w:rPr>
                <w:webHidden/>
                <w:rStyle w:val="IndexLink"/>
              </w:rPr>
              <w:t>D.1 Working channels</w:t>
              <w:tab/>
              <w:t>63</w:t>
            </w:r>
          </w:hyperlink>
        </w:p>
        <w:p>
          <w:pPr>
            <w:pStyle w:val="Contents2"/>
            <w:rPr/>
          </w:pPr>
          <w:hyperlink w:anchor="__RefHeading___Toc4441_2903983697">
            <w:r>
              <w:rPr>
                <w:webHidden/>
                <w:rStyle w:val="IndexLink"/>
              </w:rPr>
              <w:t>D.2 Voice discipline</w:t>
              <w:tab/>
              <w:t>63</w:t>
            </w:r>
          </w:hyperlink>
        </w:p>
        <w:p>
          <w:pPr>
            <w:pStyle w:val="Contents2"/>
            <w:rPr/>
          </w:pPr>
          <w:hyperlink w:anchor="__RefHeading___Toc4443_2903983697">
            <w:r>
              <w:rPr>
                <w:webHidden/>
                <w:rStyle w:val="IndexLink"/>
              </w:rPr>
              <w:t>D.3 Hotline testing</w:t>
              <w:tab/>
              <w:t>63</w:t>
            </w:r>
          </w:hyperlink>
        </w:p>
        <w:p>
          <w:pPr>
            <w:pStyle w:val="Contents2"/>
            <w:rPr/>
          </w:pPr>
          <w:hyperlink w:anchor="__RefHeading___Toc4445_2903983697">
            <w:r>
              <w:rPr>
                <w:webHidden/>
                <w:rStyle w:val="IndexLink"/>
              </w:rPr>
              <w:t>D.4 Re-keying protocol</w:t>
              <w:tab/>
              <w:t>63</w:t>
            </w:r>
          </w:hyperlink>
        </w:p>
        <w:p>
          <w:pPr>
            <w:pStyle w:val="Contents2"/>
            <w:rPr/>
          </w:pPr>
          <w:hyperlink w:anchor="__RefHeading___Toc4447_2903983697">
            <w:r>
              <w:rPr>
                <w:webHidden/>
                <w:rStyle w:val="IndexLink"/>
              </w:rPr>
              <w:t>D.5 Degraded communications mode</w:t>
              <w:tab/>
              <w:t>63</w:t>
            </w:r>
          </w:hyperlink>
        </w:p>
        <w:p>
          <w:pPr>
            <w:pStyle w:val="Contents1"/>
            <w:rPr/>
          </w:pPr>
          <w:hyperlink w:anchor="__RefHeading___Toc4449_2903983697">
            <w:r>
              <w:rPr>
                <w:webHidden/>
                <w:rStyle w:val="IndexLink"/>
              </w:rPr>
              <w:t>Annex E: The Incident Classification and Response Schedule</w:t>
              <w:tab/>
              <w:t>63</w:t>
            </w:r>
          </w:hyperlink>
        </w:p>
        <w:p>
          <w:pPr>
            <w:pStyle w:val="Contents2"/>
            <w:rPr/>
          </w:pPr>
          <w:hyperlink w:anchor="__RefHeading___Toc4451_2903983697">
            <w:r>
              <w:rPr>
                <w:webHidden/>
                <w:rStyle w:val="IndexLink"/>
              </w:rPr>
              <w:t>E.1 Classification table</w:t>
              <w:tab/>
              <w:t>63</w:t>
            </w:r>
          </w:hyperlink>
        </w:p>
        <w:p>
          <w:pPr>
            <w:pStyle w:val="Contents2"/>
            <w:rPr/>
          </w:pPr>
          <w:hyperlink w:anchor="__RefHeading___Toc4453_2903983697">
            <w:r>
              <w:rPr>
                <w:webHidden/>
                <w:rStyle w:val="IndexLink"/>
              </w:rPr>
              <w:t>E.2 Aggregation</w:t>
              <w:tab/>
              <w:t>64</w:t>
            </w:r>
          </w:hyperlink>
        </w:p>
        <w:p>
          <w:pPr>
            <w:pStyle w:val="Contents2"/>
            <w:rPr/>
          </w:pPr>
          <w:hyperlink w:anchor="__RefHeading___Toc4455_2903983697">
            <w:r>
              <w:rPr>
                <w:webHidden/>
                <w:rStyle w:val="IndexLink"/>
              </w:rPr>
              <w:t>E.3 Observer involvement multiplier</w:t>
              <w:tab/>
              <w:t>64</w:t>
            </w:r>
          </w:hyperlink>
        </w:p>
        <w:p>
          <w:pPr>
            <w:pStyle w:val="Contents2"/>
            <w:rPr/>
          </w:pPr>
          <w:hyperlink w:anchor="__RefHeading___Toc4457_2903983697">
            <w:r>
              <w:rPr>
                <w:webHidden/>
                <w:rStyle w:val="IndexLink"/>
              </w:rPr>
              <w:t>E.4 Symmetry audit</w:t>
              <w:tab/>
              <w:t>64</w:t>
            </w:r>
          </w:hyperlink>
        </w:p>
        <w:p>
          <w:pPr>
            <w:pStyle w:val="Contents2"/>
            <w:rPr/>
          </w:pPr>
          <w:hyperlink w:anchor="__RefHeading___Toc4459_2903983697">
            <w:r>
              <w:rPr>
                <w:webHidden/>
                <w:rStyle w:val="IndexLink"/>
              </w:rPr>
              <w:t>E.5 Earn-back schedule</w:t>
              <w:tab/>
              <w:t>64</w:t>
            </w:r>
          </w:hyperlink>
        </w:p>
        <w:p>
          <w:pPr>
            <w:pStyle w:val="Contents2"/>
            <w:rPr/>
          </w:pPr>
          <w:hyperlink w:anchor="__RefHeading___Toc4461_2903983697">
            <w:r>
              <w:rPr>
                <w:webHidden/>
                <w:rStyle w:val="IndexLink"/>
              </w:rPr>
              <w:t>E.6 Arbitration rules reference</w:t>
              <w:tab/>
              <w:t>64</w:t>
            </w:r>
          </w:hyperlink>
        </w:p>
        <w:p>
          <w:pPr>
            <w:pStyle w:val="Contents1"/>
            <w:rPr/>
          </w:pPr>
          <w:hyperlink w:anchor="__RefHeading___Toc4463_2903983697">
            <w:r>
              <w:rPr>
                <w:webHidden/>
                <w:rStyle w:val="IndexLink"/>
              </w:rPr>
              <w:t>Annex F: The Humanitarian Red Lines Register (Full Operative Text)</w:t>
              <w:tab/>
              <w:t>65</w:t>
            </w:r>
          </w:hyperlink>
        </w:p>
        <w:p>
          <w:pPr>
            <w:pStyle w:val="Contents2"/>
            <w:rPr/>
          </w:pPr>
          <w:hyperlink w:anchor="__RefHeading___Toc4465_2903983697">
            <w:r>
              <w:rPr>
                <w:webHidden/>
                <w:rStyle w:val="IndexLink"/>
              </w:rPr>
              <w:t>F.1 Form of entries</w:t>
              <w:tab/>
              <w:t>65</w:t>
            </w:r>
          </w:hyperlink>
        </w:p>
        <w:p>
          <w:pPr>
            <w:pStyle w:val="Contents2"/>
            <w:rPr/>
          </w:pPr>
          <w:hyperlink w:anchor="__RefHeading___Toc4467_2903983697">
            <w:r>
              <w:rPr>
                <w:webHidden/>
                <w:rStyle w:val="IndexLink"/>
              </w:rPr>
              <w:t>F.2 The fourteen lines</w:t>
              <w:tab/>
              <w:t>65</w:t>
            </w:r>
          </w:hyperlink>
        </w:p>
        <w:p>
          <w:pPr>
            <w:pStyle w:val="Contents2"/>
            <w:rPr/>
          </w:pPr>
          <w:hyperlink w:anchor="__RefHeading___Toc4469_2903983697">
            <w:r>
              <w:rPr>
                <w:webHidden/>
                <w:rStyle w:val="IndexLink"/>
              </w:rPr>
              <w:t>F.3 Perimeter Test procedure</w:t>
              <w:tab/>
              <w:t>66</w:t>
            </w:r>
          </w:hyperlink>
        </w:p>
        <w:p>
          <w:pPr>
            <w:pStyle w:val="Contents1"/>
            <w:rPr/>
          </w:pPr>
          <w:hyperlink w:anchor="__RefHeading___Toc4471_2903983697">
            <w:r>
              <w:rPr>
                <w:webHidden/>
                <w:rStyle w:val="IndexLink"/>
              </w:rPr>
              <w:t>Annex G: Notification Formats and Model Forms</w:t>
              <w:tab/>
              <w:t>66</w:t>
            </w:r>
          </w:hyperlink>
        </w:p>
        <w:p>
          <w:pPr>
            <w:pStyle w:val="Contents2"/>
            <w:rPr/>
          </w:pPr>
          <w:hyperlink w:anchor="__RefHeading___Toc4473_2903983697">
            <w:r>
              <w:rPr>
                <w:webHidden/>
                <w:rStyle w:val="IndexLink"/>
              </w:rPr>
              <w:t>G.1 The movement instruction form</w:t>
              <w:tab/>
              <w:t>66</w:t>
            </w:r>
          </w:hyperlink>
        </w:p>
        <w:p>
          <w:pPr>
            <w:pStyle w:val="Contents2"/>
            <w:rPr/>
          </w:pPr>
          <w:hyperlink w:anchor="__RefHeading___Toc4475_2903983697">
            <w:r>
              <w:rPr>
                <w:webHidden/>
                <w:rStyle w:val="IndexLink"/>
              </w:rPr>
              <w:t>G.2 The humanitarian cargo declaration</w:t>
              <w:tab/>
              <w:t>66</w:t>
            </w:r>
          </w:hyperlink>
        </w:p>
        <w:p>
          <w:pPr>
            <w:pStyle w:val="Contents2"/>
            <w:rPr/>
          </w:pPr>
          <w:hyperlink w:anchor="__RefHeading___Toc4477_2903983697">
            <w:r>
              <w:rPr>
                <w:webHidden/>
                <w:rStyle w:val="IndexLink"/>
              </w:rPr>
              <w:t>G.3 The resupply request form</w:t>
              <w:tab/>
              <w:t>66</w:t>
            </w:r>
          </w:hyperlink>
        </w:p>
        <w:p>
          <w:pPr>
            <w:pStyle w:val="Contents2"/>
            <w:rPr/>
          </w:pPr>
          <w:hyperlink w:anchor="__RefHeading___Toc4479_2903983697">
            <w:r>
              <w:rPr>
                <w:webHidden/>
                <w:rStyle w:val="IndexLink"/>
              </w:rPr>
              <w:t>G.4 The technician access two-part form</w:t>
              <w:tab/>
              <w:t>66</w:t>
            </w:r>
          </w:hyperlink>
        </w:p>
        <w:p>
          <w:pPr>
            <w:pStyle w:val="Contents2"/>
            <w:rPr/>
          </w:pPr>
          <w:hyperlink w:anchor="__RefHeading___Toc4481_2903983697">
            <w:r>
              <w:rPr>
                <w:webHidden/>
                <w:rStyle w:val="IndexLink"/>
              </w:rPr>
              <w:t>G.5 Standing invitations</w:t>
              <w:tab/>
              <w:t>66</w:t>
            </w:r>
          </w:hyperlink>
        </w:p>
        <w:p>
          <w:pPr>
            <w:pStyle w:val="Contents2"/>
            <w:rPr/>
          </w:pPr>
          <w:hyperlink w:anchor="__RefHeading___Toc4483_2903983697">
            <w:r>
              <w:rPr>
                <w:webHidden/>
                <w:rStyle w:val="IndexLink"/>
              </w:rPr>
              <w:t>G.6 The incident report form</w:t>
              <w:tab/>
              <w:t>66</w:t>
            </w:r>
          </w:hyperlink>
        </w:p>
        <w:p>
          <w:pPr>
            <w:pStyle w:val="Contents1"/>
            <w:rPr/>
          </w:pPr>
          <w:hyperlink w:anchor="__RefHeading___Toc4485_2903983697">
            <w:r>
              <w:rPr>
                <w:webHidden/>
                <w:rStyle w:val="IndexLink"/>
              </w:rPr>
              <w:t>Annex H: The Implementation Timeline and Activation Checklists</w:t>
              <w:tab/>
              <w:t>67</w:t>
            </w:r>
          </w:hyperlink>
        </w:p>
        <w:p>
          <w:pPr>
            <w:pStyle w:val="Contents2"/>
            <w:rPr/>
          </w:pPr>
          <w:hyperlink w:anchor="__RefHeading___Toc4487_2903983697">
            <w:r>
              <w:rPr>
                <w:webHidden/>
                <w:rStyle w:val="IndexLink"/>
              </w:rPr>
              <w:t>H.1 The master clock</w:t>
              <w:tab/>
              <w:t>67</w:t>
            </w:r>
          </w:hyperlink>
        </w:p>
        <w:p>
          <w:pPr>
            <w:pStyle w:val="Contents2"/>
            <w:rPr/>
          </w:pPr>
          <w:hyperlink w:anchor="__RefHeading___Toc4489_2903983697">
            <w:r>
              <w:rPr>
                <w:webHidden/>
                <w:rStyle w:val="IndexLink"/>
              </w:rPr>
              <w:t>H.2 Activation checklists</w:t>
              <w:tab/>
              <w:t>67</w:t>
            </w:r>
          </w:hyperlink>
        </w:p>
        <w:p>
          <w:pPr>
            <w:pStyle w:val="Contents1"/>
            <w:rPr/>
          </w:pPr>
          <w:hyperlink w:anchor="__RefHeading___Toc4491_2903983697">
            <w:r>
              <w:rPr>
                <w:webHidden/>
                <w:rStyle w:val="IndexLink"/>
              </w:rPr>
              <w:t>Annex I: The Repatriation and Crew Change Operations Plan</w:t>
              <w:tab/>
              <w:t>68</w:t>
            </w:r>
          </w:hyperlink>
        </w:p>
        <w:p>
          <w:pPr>
            <w:pStyle w:val="Contents2"/>
            <w:rPr/>
          </w:pPr>
          <w:hyperlink w:anchor="__RefHeading___Toc4493_2903983697">
            <w:r>
              <w:rPr>
                <w:webHidden/>
                <w:rStyle w:val="IndexLink"/>
              </w:rPr>
              <w:t>I.1 Hubs</w:t>
              <w:tab/>
              <w:t>68</w:t>
            </w:r>
          </w:hyperlink>
        </w:p>
        <w:p>
          <w:pPr>
            <w:pStyle w:val="Contents2"/>
            <w:rPr/>
          </w:pPr>
          <w:hyperlink w:anchor="__RefHeading___Toc4495_2903983697">
            <w:r>
              <w:rPr>
                <w:webHidden/>
                <w:rStyle w:val="IndexLink"/>
              </w:rPr>
              <w:t>I.2 Throughput standard</w:t>
              <w:tab/>
              <w:t>68</w:t>
            </w:r>
          </w:hyperlink>
        </w:p>
        <w:p>
          <w:pPr>
            <w:pStyle w:val="Contents2"/>
            <w:rPr/>
          </w:pPr>
          <w:hyperlink w:anchor="__RefHeading___Toc4497_2903983697">
            <w:r>
              <w:rPr>
                <w:webHidden/>
                <w:rStyle w:val="IndexLink"/>
              </w:rPr>
              <w:t>I.3 Cost coverage</w:t>
              <w:tab/>
              <w:t>68</w:t>
            </w:r>
          </w:hyperlink>
        </w:p>
        <w:p>
          <w:pPr>
            <w:pStyle w:val="Contents2"/>
            <w:rPr/>
          </w:pPr>
          <w:hyperlink w:anchor="__RefHeading___Toc4499_2903983697">
            <w:r>
              <w:rPr>
                <w:webHidden/>
                <w:rStyle w:val="IndexLink"/>
              </w:rPr>
              <w:t>I.4 Crew change discipline</w:t>
              <w:tab/>
              <w:t>68</w:t>
            </w:r>
          </w:hyperlink>
        </w:p>
        <w:p>
          <w:pPr>
            <w:pStyle w:val="Contents2"/>
            <w:rPr/>
          </w:pPr>
          <w:hyperlink w:anchor="__RefHeading___Toc4501_2903983697">
            <w:r>
              <w:rPr>
                <w:webHidden/>
                <w:rStyle w:val="IndexLink"/>
              </w:rPr>
              <w:t>I.5 Vulnerable seafarers</w:t>
              <w:tab/>
              <w:t>68</w:t>
            </w:r>
          </w:hyperlink>
        </w:p>
        <w:p>
          <w:pPr>
            <w:pStyle w:val="Contents1"/>
            <w:rPr/>
          </w:pPr>
          <w:hyperlink w:anchor="__RefHeading___Toc4503_2903983697">
            <w:r>
              <w:rPr>
                <w:webHidden/>
                <w:rStyle w:val="IndexLink"/>
              </w:rPr>
              <w:t>Annex J: Glossary and Neutral Terminology Register</w:t>
              <w:tab/>
              <w:t>68</w:t>
            </w:r>
          </w:hyperlink>
        </w:p>
        <w:p>
          <w:pPr>
            <w:pStyle w:val="Contents2"/>
            <w:rPr/>
          </w:pPr>
          <w:hyperlink w:anchor="__RefHeading___Toc4505_2903983697">
            <w:r>
              <w:rPr>
                <w:webHidden/>
                <w:rStyle w:val="IndexLink"/>
              </w:rPr>
              <w:t>J.1 Register purpose</w:t>
              <w:tab/>
              <w:t>68</w:t>
            </w:r>
          </w:hyperlink>
        </w:p>
        <w:p>
          <w:pPr>
            <w:pStyle w:val="Contents2"/>
            <w:rPr/>
          </w:pPr>
          <w:hyperlink w:anchor="__RefHeading___Toc4507_2903983697">
            <w:r>
              <w:rPr>
                <w:webHidden/>
                <w:rStyle w:val="IndexLink"/>
              </w:rPr>
              <w:t>J.2 Selected entries</w:t>
              <w:tab/>
              <w:t>68</w:t>
            </w:r>
          </w:hyperlink>
        </w:p>
        <w:p>
          <w:pPr>
            <w:pStyle w:val="Contents2"/>
            <w:rPr/>
          </w:pPr>
          <w:hyperlink w:anchor="__RefHeading___Toc4509_2903983697">
            <w:r>
              <w:rPr>
                <w:webHidden/>
                <w:rStyle w:val="IndexLink"/>
              </w:rPr>
              <w:t>J.3 Prohibited vocabulary in operational products</w:t>
              <w:tab/>
              <w:t>68</w:t>
            </w:r>
          </w:hyperlink>
        </w:p>
        <w:p>
          <w:pPr>
            <w:pStyle w:val="Contents1"/>
            <w:rPr/>
          </w:pPr>
          <w:hyperlink w:anchor="__RefHeading___Toc4511_2903983697">
            <w:r>
              <w:rPr>
                <w:webHidden/>
                <w:rStyle w:val="IndexLink"/>
              </w:rPr>
              <w:t>Annex K: The Risk Register and Stress-Test Scenarios</w:t>
              <w:tab/>
              <w:t>69</w:t>
            </w:r>
          </w:hyperlink>
        </w:p>
        <w:p>
          <w:pPr>
            <w:pStyle w:val="Contents2"/>
            <w:rPr/>
          </w:pPr>
          <w:hyperlink w:anchor="__RefHeading___Toc4513_2903983697">
            <w:r>
              <w:rPr>
                <w:webHidden/>
                <w:rStyle w:val="IndexLink"/>
              </w:rPr>
              <w:t>K.1 Method</w:t>
              <w:tab/>
              <w:t>69</w:t>
            </w:r>
          </w:hyperlink>
        </w:p>
        <w:p>
          <w:pPr>
            <w:pStyle w:val="Contents2"/>
            <w:rPr/>
          </w:pPr>
          <w:hyperlink w:anchor="__RefHeading___Toc4515_2903983697">
            <w:r>
              <w:rPr>
                <w:webHidden/>
                <w:rStyle w:val="IndexLink"/>
              </w:rPr>
              <w:t>K.2 Principal risks</w:t>
              <w:tab/>
              <w:t>69</w:t>
            </w:r>
          </w:hyperlink>
        </w:p>
        <w:p>
          <w:pPr>
            <w:pStyle w:val="Contents2"/>
            <w:rPr/>
          </w:pPr>
          <w:hyperlink w:anchor="__RefHeading___Toc4517_2903983697">
            <w:r>
              <w:rPr>
                <w:webHidden/>
                <w:rStyle w:val="IndexLink"/>
              </w:rPr>
              <w:t>K.3 Stress-test program</w:t>
              <w:tab/>
              <w:t>69</w:t>
            </w:r>
          </w:hyperlink>
        </w:p>
        <w:p>
          <w:pPr>
            <w:pStyle w:val="Contents1"/>
            <w:rPr/>
          </w:pPr>
          <w:hyperlink w:anchor="__RefHeading___Toc4519_2903983697">
            <w:r>
              <w:rPr>
                <w:webHidden/>
                <w:rStyle w:val="IndexLink"/>
              </w:rPr>
              <w:t>Annex L: The Humanitarian Operations Fund Charter</w:t>
              <w:tab/>
              <w:t>69</w:t>
            </w:r>
          </w:hyperlink>
        </w:p>
        <w:p>
          <w:pPr>
            <w:pStyle w:val="Contents2"/>
            <w:rPr/>
          </w:pPr>
          <w:hyperlink w:anchor="__RefHeading___Toc4521_2903983697">
            <w:r>
              <w:rPr>
                <w:webHidden/>
                <w:rStyle w:val="IndexLink"/>
              </w:rPr>
              <w:t>L.1 Legal form and seat</w:t>
              <w:tab/>
              <w:t>69</w:t>
            </w:r>
          </w:hyperlink>
        </w:p>
        <w:p>
          <w:pPr>
            <w:pStyle w:val="Contents2"/>
            <w:rPr/>
          </w:pPr>
          <w:hyperlink w:anchor="__RefHeading___Toc4523_2903983697">
            <w:r>
              <w:rPr>
                <w:webHidden/>
                <w:rStyle w:val="IndexLink"/>
              </w:rPr>
              <w:t>L.2 Endowment scale</w:t>
              <w:tab/>
              <w:t>69</w:t>
            </w:r>
          </w:hyperlink>
        </w:p>
        <w:p>
          <w:pPr>
            <w:pStyle w:val="Contents2"/>
            <w:rPr/>
          </w:pPr>
          <w:hyperlink w:anchor="__RefHeading___Toc4525_2903983697">
            <w:r>
              <w:rPr>
                <w:webHidden/>
                <w:rStyle w:val="IndexLink"/>
              </w:rPr>
              <w:t>L.3 Disbursement certification</w:t>
              <w:tab/>
              <w:t>70</w:t>
            </w:r>
          </w:hyperlink>
        </w:p>
        <w:p>
          <w:pPr>
            <w:pStyle w:val="Contents2"/>
            <w:rPr/>
          </w:pPr>
          <w:hyperlink w:anchor="__RefHeading___Toc4527_2903983697">
            <w:r>
              <w:rPr>
                <w:webHidden/>
                <w:rStyle w:val="IndexLink"/>
              </w:rPr>
              <w:t>L.4 Audit</w:t>
              <w:tab/>
              <w:t>70</w:t>
            </w:r>
          </w:hyperlink>
        </w:p>
        <w:p>
          <w:pPr>
            <w:pStyle w:val="Contents2"/>
            <w:rPr/>
          </w:pPr>
          <w:hyperlink w:anchor="__RefHeading___Toc4529_2903983697">
            <w:r>
              <w:rPr>
                <w:webHidden/>
                <w:rStyle w:val="IndexLink"/>
              </w:rPr>
              <w:t>L.5 Winding-up protection</w:t>
              <w:tab/>
              <w:t>70</w:t>
            </w:r>
          </w:hyperlink>
          <w:r>
            <w:rPr>
              <w:rStyle w:val="IndexLink"/>
            </w:rPr>
            <w:fldChar w:fldCharType="end"/>
          </w:r>
        </w:p>
      </w:sdtContent>
    </w:sdt>
    <w:p>
      <w:pPr>
        <w:sectPr>
          <w:headerReference w:type="default" r:id="rId4"/>
          <w:footerReference w:type="default" r:id="rId5"/>
          <w:type w:val="nextPage"/>
          <w:pgSz w:w="12240" w:h="15840"/>
          <w:pgMar w:left="1440" w:right="1440" w:gutter="0" w:header="720" w:top="1440" w:footer="720" w:bottom="1440"/>
          <w:pgNumType w:start="1" w:fmt="decimal"/>
          <w:formProt w:val="false"/>
          <w:textDirection w:val="lrTb"/>
          <w:docGrid w:type="default" w:linePitch="100" w:charSpace="0"/>
        </w:sectPr>
        <w:pStyle w:val="Normal"/>
        <w:widowControl/>
        <w:bidi w:val="0"/>
        <w:spacing w:before="0" w:after="200"/>
        <w:jc w:val="left"/>
        <w:rPr/>
      </w:pPr>
      <w:r>
        <w:rPr/>
      </w:r>
    </w:p>
    <w:p>
      <w:pPr>
        <w:pStyle w:val="Heading1"/>
        <w:rPr/>
      </w:pPr>
      <w:bookmarkStart w:id="0" w:name="__RefHeading___Toc4269_2903983697"/>
      <w:bookmarkEnd w:id="0"/>
      <w:r>
        <w:rPr>
          <w:rFonts w:eastAsia="" w:cs="" w:cstheme="majorBidi" w:eastAsiaTheme="majorEastAsia"/>
          <w:b/>
          <w:color w:themeColor="accent1"/>
          <w:sz w:val="32"/>
          <w:szCs w:val="32"/>
          <w:lang w:val="en-US" w:eastAsia="en-US" w:bidi="ar-SA"/>
        </w:rPr>
        <w:t>Document Control</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b/>
                <w:kern w:val="0"/>
                <w:sz w:val="24"/>
                <w:szCs w:val="24"/>
                <w:lang w:val="en-US" w:eastAsia="en-US" w:bidi="ar-SA"/>
              </w:rPr>
              <w:t>Field</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b/>
                <w:kern w:val="0"/>
                <w:sz w:val="24"/>
                <w:szCs w:val="24"/>
                <w:lang w:val="en-US" w:eastAsia="en-US" w:bidi="ar-SA"/>
              </w:rPr>
              <w:t>Entry</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Instrument</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Hormuz Humanitarian &amp; De-escalation Framework: A Standing Architecture for the Protection of Seafarers, the Movement of Humanitarian and Agricultural Cargo, and the Structured De-escalation of Military Tension in the Strait of Hormuz, Version 1.0</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Short title</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Framework (HHDF)</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Negotiating draft for authorized participants; text adheres to the Immutable Present-Tense Matrix</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August 2026</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Anchor instrument</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Islamabad Memorandum of Understanding between the United States of America and the Islamic Republic of Iran, 17 June 2026 (the MOU), and its sixty-day negotiation window</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Parties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Islamic Republic of Iran; the Sultanate of Oman; the United States of America; the Gulf Cooperation Council states acting collectively (the Kingdom of Saudi Arabia, the United Arab Emirates, the State of Qatar, the State of Kuwait, the Kingdom of Bahrain, and the Sultanate of Oman); the International Maritime Organization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Coordinating body (humanitarian operations)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United Nations Secretary-General’s Special Task Force, led on the operational track by the Executive Director of the United Nations Office for Project Services and on the diplomatic track by the Secretary-General’s Personal Envoy for the Middle East conflict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Mediator of Record</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Sultanate of Oman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Neutral Administrator</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Swiss Confederation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Supporting facilitators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State of Qatar and the Islamic Republic of Pakistan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Technical interfaces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International Maritime Organization (IMO); the International Hydrographic Organization (IHO); the United Nations Mine Action Service (UNMAS); the International Organization for Migration (IOM); the United Nations Verification and Inspection Mechanism for Yemen (UNVIM), as institutional precedent; the Black Sea Grain Initiative’s Joint Coordination Centre, as institutional precedent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Seat</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Humanitarian Coordination Center, Muscat, with a mirror facility of equal rank at Bandar Abbas</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Depositary</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Sultanate of Oman, Ministry of Foreign Affairs, Muscat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Languages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Persian, Arabic, and English; the three texts carry equal authority</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Continuity rule</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Continuity Guarantee (Article 6): no humanitarian protection expires, lapses, or dissolves by the passage of time alone, by dispute, by pause, or by the state of any other negotiation track</w:t>
            </w:r>
          </w:p>
        </w:tc>
      </w:tr>
    </w:tbl>
    <w:p>
      <w:pPr>
        <w:pStyle w:val="FirstParagraph"/>
        <w:rPr/>
      </w:pPr>
      <w:r>
        <w:rPr>
          <w:i/>
          <w:sz w:val="24"/>
          <w:szCs w:val="24"/>
          <w:lang w:val="en-US" w:eastAsia="en-US" w:bidi="ar-SA"/>
        </w:rPr>
        <w:t>Drafting discipline note. Every provision of this Framework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and no floating background imagery. The Continuity Guarantee of Article 6 stands first among equals: nothing in this instrument fades, lapses, or dissolves by the passage of time alone, and no dispute on any other track interrupts the movement of food, medicine, or seafarers going home.</w:t>
      </w:r>
    </w:p>
    <w:p>
      <w:pPr>
        <w:pStyle w:val="FirstParagraph"/>
        <w:rPr/>
      </w:pPr>
      <w:r>
        <w:rPr>
          <w:sz w:val="24"/>
          <w:szCs w:val="24"/>
          <w:lang w:val="en-US" w:eastAsia="en-US" w:bidi="ar-SA"/>
        </w:rPr>
        <w:t>This instrument contains a main body of forty-four Articles organized in nine Parts, followed by twelve operative Annexes (Annex A through Annex L). The Annexes form an integral part of this instrument and bind the Parties to the same extent as the Articles. A reference to an Article includes the Annexes that the Article designates as operative for that Article.</w:t>
      </w:r>
    </w:p>
    <w:p>
      <w:pPr>
        <w:pStyle w:val="Heading1"/>
        <w:rPr/>
      </w:pPr>
      <w:bookmarkStart w:id="1" w:name="__RefHeading___Toc4271_2903983697"/>
      <w:bookmarkStart w:id="2" w:name="X38111f9b61c23ff4e091184e273569f0c42ca11"/>
      <w:bookmarkEnd w:id="1"/>
      <w:r>
        <w:rPr>
          <w:rFonts w:eastAsia="" w:cs="" w:cstheme="majorBidi" w:eastAsiaTheme="majorEastAsia"/>
          <w:b/>
          <w:color w:themeColor="accent1"/>
          <w:sz w:val="32"/>
          <w:szCs w:val="32"/>
          <w:lang w:val="en-US" w:eastAsia="en-US" w:bidi="ar-SA"/>
        </w:rPr>
        <w:t>The Hormuz Declaration of Humanitarian Principles</w:t>
      </w:r>
    </w:p>
    <w:p>
      <w:pPr>
        <w:pStyle w:val="FirstParagraph"/>
        <w:rPr/>
      </w:pPr>
      <w:r>
        <w:rPr>
          <w:sz w:val="24"/>
          <w:szCs w:val="24"/>
          <w:lang w:val="en-US" w:eastAsia="en-US" w:bidi="ar-SA"/>
        </w:rPr>
        <w:t>Before the Articles, the Parties state what this Framework protects, in one place and in plain terms. The fourteen lines below constitute the Humanitarian Red Lines Register of Annex F in summary form. Every organ, every officer, and every reader of this Framework holds this page as the measure of the system: a measure that touches one of these lines proceeds only in the exact form the corresponding safeguard permits, and a measure that crosses one of these lines fails.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b/>
                <w:kern w:val="0"/>
                <w:sz w:val="24"/>
                <w:szCs w:val="24"/>
                <w:lang w:val="en-US" w:eastAsia="en-US" w:bidi="ar-SA"/>
              </w:rPr>
              <w:t>Ref</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b/>
                <w:kern w:val="0"/>
                <w:sz w:val="24"/>
                <w:szCs w:val="24"/>
                <w:lang w:val="en-US" w:eastAsia="en-US" w:bidi="ar-SA"/>
              </w:rPr>
              <w:t>Principle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Humanitarian, medical, and distress traffic moves in every flow state, every dispute, every pause, and every transition, without exception.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RL-2</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No seafarer faces detention, interrogation, or prosecution for the act of transiting the Strait during the conflict.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RL-3</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Every stranded crew holds an immediate, unconditional claim on food, water, medical care, and a route home.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RL-4</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No vessel carrying verified humanitarian cargo waits on permission from any Party once the United Nations mechanism clears it.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RL-5</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architecture excludes every charge that functions as a condition of humanitarian passage.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RL-6</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Framework’s operational bodies remain civilian, always.</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RL-7</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No corridor, lane, anchorage, or waiting area closes to humanitarian traffic because of any event on any other negotiation track.</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RL-8</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Each Party’s sovereignty over its own waters stands intact; this instrument regulates conduct, never title.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RL-9</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No humanitarian commitment expires, lapses, or dilutes by time, silence, or routine.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RL-10</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No finding of fact rests on a single input; every verified determination rests on at least one human observation corroborated by one independent technical source.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RL-11</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Framework assets, data, channels, and corridors never support kinetic action by any actor.</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RL-12</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military stand-down and the humanitarian track bind symmetrically: no Party gains a military advantage from a humanitarian measure.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RL-13</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No single state governs the humanitarian architecture alone, and no external state or body commands any element of it.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RL-14</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evacuation of seafarers never waits on the settlement of any political question.</w:t>
            </w:r>
          </w:p>
        </w:tc>
      </w:tr>
    </w:tbl>
    <w:p>
      <w:pPr>
        <w:pStyle w:val="FirstParagraph"/>
        <w:rPr/>
      </w:pPr>
      <w:r>
        <w:rPr>
          <w:i/>
          <w:sz w:val="24"/>
          <w:szCs w:val="24"/>
          <w:lang w:val="en-US" w:eastAsia="en-US" w:bidi="ar-SA"/>
        </w:rPr>
        <w:t>The Hormuz Declaration of Humanitarian Principles; Annex F carries the full operative text.</w:t>
      </w:r>
    </w:p>
    <w:p>
      <w:pPr>
        <w:pStyle w:val="FirstParagraph"/>
        <w:rPr/>
      </w:pPr>
      <w:bookmarkStart w:id="3" w:name="X38111f9b61c23ff4e091184e273569f0c42ca11"/>
      <w:r>
        <w:rPr>
          <w:sz w:val="24"/>
          <w:szCs w:val="24"/>
          <w:lang w:val="en-US" w:eastAsia="en-US" w:bidi="ar-SA"/>
        </w:rPr>
        <w:t>The architecture holds every line simultaneously, at all times, without exception, and the Continuity Guarantee holds this Declaration as permanently as it holds every other word of this Framework.</w:t>
      </w:r>
      <w:bookmarkEnd w:id="3"/>
    </w:p>
    <w:p>
      <w:pPr>
        <w:pStyle w:val="Heading1"/>
        <w:rPr/>
      </w:pPr>
      <w:bookmarkStart w:id="4" w:name="__RefHeading___Toc4273_2903983697"/>
      <w:bookmarkStart w:id="5" w:name="preamble-the-moment-of-august-2026"/>
      <w:bookmarkEnd w:id="4"/>
      <w:r>
        <w:rPr>
          <w:rFonts w:eastAsia="" w:cs="" w:cstheme="majorBidi" w:eastAsiaTheme="majorEastAsia"/>
          <w:b/>
          <w:color w:themeColor="accent1"/>
          <w:sz w:val="32"/>
          <w:szCs w:val="32"/>
          <w:lang w:val="en-US" w:eastAsia="en-US" w:bidi="ar-SA"/>
        </w:rPr>
        <w:t>Preamble: The Moment of August 2026</w:t>
      </w:r>
    </w:p>
    <w:p>
      <w:pPr>
        <w:pStyle w:val="FirstParagraph"/>
        <w:rPr/>
      </w:pPr>
      <w:r>
        <w:rPr>
          <w:sz w:val="24"/>
          <w:szCs w:val="24"/>
          <w:lang w:val="en-US" w:eastAsia="en-US" w:bidi="ar-SA"/>
        </w:rPr>
        <w:t>The Islamic Republic of Iran, the Sultanate of Oman, the United States of America, the member states of the Gulf Cooperation Council acting collectively, and the International Maritime Organization, supported by the United Nations Secretary-General’s Special Task Force as coordinating body for humanitarian operations, and by the Mediator of Record, the Neutral Administrator, and the facilitating states,</w:t>
      </w:r>
    </w:p>
    <w:p>
      <w:pPr>
        <w:pStyle w:val="FirstParagraph"/>
        <w:rPr/>
      </w:pPr>
      <w:r>
        <w:rPr>
          <w:sz w:val="24"/>
          <w:szCs w:val="24"/>
          <w:lang w:val="en-US" w:eastAsia="en-US" w:bidi="ar-SA"/>
        </w:rPr>
        <w:t>Recalling the conflict that opened on 28 February 2026, in which strikes by the United States and Israel against the Islamic Republic of Iran began a war that drew the Strait of Hormuz into military confrontation, closed effective commercial navigation for months, drove benchmark crude prices from an average near seventy dollars per barrel in January 2026 to levels above one hundred twenty dollars in April 2026, and multiplied war-risk insurance premiums several-fold;</w:t>
      </w:r>
    </w:p>
    <w:p>
      <w:pPr>
        <w:pStyle w:val="FirstParagraph"/>
        <w:rPr/>
      </w:pPr>
      <w:r>
        <w:rPr>
          <w:sz w:val="24"/>
          <w:szCs w:val="24"/>
          <w:lang w:val="en-US" w:eastAsia="en-US" w:bidi="ar-SA"/>
        </w:rPr>
        <w:t>Recalling the two-week ceasefire of April 2026, the marathon Islamabad talks that followed, the renewal of hostilities, the imposition of a naval blockade of Iranian ports, and the signing of the Islamabad Memorandum of Understanding on 17 June 2026, which opened a sixty-day window toward comprehensive settlement and contemplated the immediate and permanent termination of military operations on all fronts;</w:t>
      </w:r>
    </w:p>
    <w:p>
      <w:pPr>
        <w:pStyle w:val="FirstParagraph"/>
        <w:rPr/>
      </w:pPr>
      <w:r>
        <w:rPr>
          <w:sz w:val="24"/>
          <w:szCs w:val="24"/>
          <w:lang w:val="en-US" w:eastAsia="en-US" w:bidi="ar-SA"/>
        </w:rPr>
        <w:t>Recalling further that, even after the MOU’s signature, the parties to it continue to exchange strikes, that the Strait of Hormuz remains the primary flashpoint, that Iranian statements of early August 2026 condition any reopening of the Strait on an end to attacks, on remedies for asserted MOU violations, and on guarantees against future military action, and that the Oman channel on the management of the Strait stands, as of this drafting, in its final stages;</w:t>
      </w:r>
    </w:p>
    <w:p>
      <w:pPr>
        <w:pStyle w:val="FirstParagraph"/>
        <w:rPr/>
      </w:pPr>
      <w:r>
        <w:rPr>
          <w:sz w:val="24"/>
          <w:szCs w:val="24"/>
          <w:lang w:val="en-US" w:eastAsia="en-US" w:bidi="ar-SA"/>
        </w:rPr>
        <w:t>Recalling the severe humanitarian emergency on the water: approximately twenty thousand seafarers aboard more than three thousand vessels remain stranded in the Gulf, facing acute fatigue, psychological trauma, and dwindling supplies of food, water, and medicine, with crews confined aboard for months beyond their contract terms;</w:t>
      </w:r>
    </w:p>
    <w:p>
      <w:pPr>
        <w:pStyle w:val="FirstParagraph"/>
        <w:rPr/>
      </w:pPr>
      <w:r>
        <w:rPr>
          <w:sz w:val="24"/>
          <w:szCs w:val="24"/>
          <w:lang w:val="en-US" w:eastAsia="en-US" w:bidi="ar-SA"/>
        </w:rPr>
        <w:t>Recalling the Secretary-General’s warning that disruption to maritime trade through the strategic waterway triggers cascading repercussions on humanitarian needs and on global agricultural production, including through the interruption of fertilizer exports from Gulf ports at the height of the planting-season logistics calendar;</w:t>
      </w:r>
    </w:p>
    <w:p>
      <w:pPr>
        <w:pStyle w:val="FirstParagraph"/>
        <w:rPr/>
      </w:pPr>
      <w:r>
        <w:rPr>
          <w:sz w:val="24"/>
          <w:szCs w:val="24"/>
          <w:lang w:val="en-US" w:eastAsia="en-US" w:bidi="ar-SA"/>
        </w:rPr>
        <w:t>Recalling the International Maritime Organization’s determination that the existing Traffic Separation Scheme stands unusable owing to the reported presence of mines, and that temporary corridors and routing instructions from the coastal states provide the only near-term safe passage;</w:t>
      </w:r>
    </w:p>
    <w:p>
      <w:pPr>
        <w:pStyle w:val="FirstParagraph"/>
        <w:rPr/>
      </w:pPr>
      <w:r>
        <w:rPr>
          <w:sz w:val="24"/>
          <w:szCs w:val="24"/>
          <w:lang w:val="en-US" w:eastAsia="en-US" w:bidi="ar-SA"/>
        </w:rPr>
        <w:t>Affirming the urgent need to secure the release of detained vessels and crews, to establish safe passage for humanitarian aid and agricultural goods, and to de-escalate military tensions so as to prevent further loss of life and to avert a global food security crisis;</w:t>
      </w:r>
    </w:p>
    <w:p>
      <w:pPr>
        <w:pStyle w:val="FirstParagraph"/>
        <w:rPr/>
      </w:pPr>
      <w:r>
        <w:rPr>
          <w:sz w:val="24"/>
          <w:szCs w:val="24"/>
          <w:lang w:val="en-US" w:eastAsia="en-US" w:bidi="ar-SA"/>
        </w:rPr>
        <w:t>Affirming that durable humanitarian order on the water does not rest on the restraint of one state for the benefit of another, but on a mutual architecture in which the framework itself carries the obligations, the corridors themselves carry the rules, and the verification systems themselves carry the evidence;</w:t>
      </w:r>
    </w:p>
    <w:p>
      <w:pPr>
        <w:pStyle w:val="FirstParagraph"/>
        <w:rPr/>
      </w:pPr>
      <w:r>
        <w:rPr>
          <w:sz w:val="24"/>
          <w:szCs w:val="24"/>
          <w:lang w:val="en-US" w:eastAsia="en-US" w:bidi="ar-SA"/>
        </w:rPr>
        <w:t>Drawing on established mechanisms of demonstrated effectiveness, including the Black Sea Grain Initiative’s Joint Coordination Centre in Istanbul, the United Nations Verification and Inspection Mechanism for Yemen, and the International Maritime Organization’s emergency frameworks for seafarer evacuation and crew change;</w:t>
      </w:r>
    </w:p>
    <w:p>
      <w:pPr>
        <w:pStyle w:val="TextBody"/>
        <w:rPr/>
      </w:pPr>
      <w:r>
        <w:rPr/>
        <w:t>Recognizing the statement of the Islamic Republic of Iran that any United Nations ship passes the Hormuz Strait without impediment, and building this architecture so that the statement operates as a standing, verifiable, system-wide rule rather than a case-by-case assurance;</w:t>
      </w:r>
    </w:p>
    <w:p>
      <w:pPr>
        <w:pStyle w:val="TextBody"/>
        <w:rPr/>
      </w:pPr>
      <w:r>
        <w:rPr/>
        <w:t>Determined that this Framework operate in parallel with, and independently of, the sixty-day strategic negotiation window, so that seafarers eat, ships carrying grain and fertilizer move, and guns fall silent near the shipping lanes regardless of the pace of the wider talks;</w:t>
      </w:r>
    </w:p>
    <w:p>
      <w:pPr>
        <w:pStyle w:val="TextBody"/>
        <w:rPr/>
      </w:pPr>
      <w:r>
        <w:rPr/>
        <w:t>Conscious that humanitarian measures collapse first and hardest when agreements fail, and resolving therefore that every humanitarian protection in this instrument stand absolute, unconditional, and insulated from every dispute, pause, and transition that any other track produces;</w:t>
      </w:r>
    </w:p>
    <w:p>
      <w:pPr>
        <w:pStyle w:val="TextBody"/>
        <w:rPr/>
      </w:pPr>
      <w:bookmarkStart w:id="6" w:name="preamble-the-moment-of-august-2026"/>
      <w:r>
        <w:rPr/>
        <w:t>Have agreed as follows.</w:t>
      </w:r>
      <w:bookmarkEnd w:id="6"/>
    </w:p>
    <w:p>
      <w:pPr>
        <w:pStyle w:val="Heading1"/>
        <w:rPr/>
      </w:pPr>
      <w:bookmarkStart w:id="7" w:name="__RefHeading___Toc4275_2903983697"/>
      <w:bookmarkStart w:id="8" w:name="part-i-foundations"/>
      <w:bookmarkEnd w:id="7"/>
      <w:r>
        <w:rPr/>
        <w:t>Part I: Foundations</w:t>
      </w:r>
    </w:p>
    <w:p>
      <w:pPr>
        <w:pStyle w:val="Heading2"/>
        <w:rPr/>
      </w:pPr>
      <w:bookmarkStart w:id="9" w:name="__RefHeading___Toc4277_2903983697"/>
      <w:bookmarkStart w:id="10" w:name="X78d9e4c0b852b1f7127b9522c0f6af8953a8f8b"/>
      <w:bookmarkEnd w:id="9"/>
      <w:r>
        <w:rPr/>
        <w:t>Article 1: Establishment, Purpose, and Scope</w:t>
      </w:r>
    </w:p>
    <w:p>
      <w:pPr>
        <w:pStyle w:val="Heading3"/>
        <w:rPr/>
      </w:pPr>
      <w:bookmarkStart w:id="11" w:name="establishment"/>
      <w:r>
        <w:rPr/>
        <w:t>1.1 Establishment</w:t>
      </w:r>
    </w:p>
    <w:p>
      <w:pPr>
        <w:pStyle w:val="FirstParagraph"/>
        <w:rPr/>
      </w:pPr>
      <w:bookmarkStart w:id="12" w:name="establishment"/>
      <w:r>
        <w:rPr/>
        <w:t>The Parties establish the Hormuz Humanitarian &amp; De-escalation Framework as the standing architecture for humanitarian protection and structured military de-escalation in the Strait of Hormuz and its approaches. The Framework comprises the seafarer protection system of Part II, the humanitarian corridor system of Part III, the de-confliction and stand-down architecture of Part IV, the coastal supply line cooperation of Part V, the information hub of Part VI, the institutions of Part VII, the verification and compliance machinery of Part VIII, and the implementation and continuity machinery of Part IX. The Framework takes its operational center at the Humanitarian Coordination Center in Muscat, with a mirror facility of equal rank at Bandar Abbas.</w:t>
      </w:r>
      <w:bookmarkEnd w:id="12"/>
    </w:p>
    <w:p>
      <w:pPr>
        <w:pStyle w:val="Heading3"/>
        <w:rPr/>
      </w:pPr>
      <w:bookmarkStart w:id="13" w:name="purpose"/>
      <w:r>
        <w:rPr/>
        <w:t>1.2 Purpose</w:t>
      </w:r>
    </w:p>
    <w:p>
      <w:pPr>
        <w:pStyle w:val="FirstParagraph"/>
        <w:rPr/>
      </w:pPr>
      <w:r>
        <w:rPr/>
        <w:t>The Framework pursues six purposes, ranked equally:</w:t>
      </w:r>
    </w:p>
    <w:p>
      <w:pPr>
        <w:pStyle w:val="Compact"/>
        <w:numPr>
          <w:ilvl w:val="0"/>
          <w:numId w:val="1"/>
        </w:numPr>
        <w:rPr/>
      </w:pPr>
      <w:r>
        <w:rPr/>
        <w:t>Seafarer rescue. The Framework evacuates, repatriates, protects, and sustains the approximately twenty thousand seafarers stranded in the Gulf, and it releases detained vessels and crews, on published timelines with verified milestones.</w:t>
      </w:r>
    </w:p>
    <w:p>
      <w:pPr>
        <w:pStyle w:val="Compact"/>
        <w:numPr>
          <w:ilvl w:val="0"/>
          <w:numId w:val="1"/>
        </w:numPr>
        <w:rPr/>
      </w:pPr>
      <w:r>
        <w:rPr/>
        <w:t>Humanitarian passage. The Framework opens and holds open a dedicated lane for vessels carrying food, medicine, medical equipment, fertilizer, and relief personnel, under a United Nations operated inspection mechanism and an absolute safe passage guarantee.</w:t>
      </w:r>
    </w:p>
    <w:p>
      <w:pPr>
        <w:pStyle w:val="Compact"/>
        <w:numPr>
          <w:ilvl w:val="0"/>
          <w:numId w:val="1"/>
        </w:numPr>
        <w:rPr/>
      </w:pPr>
      <w:r>
        <w:rPr/>
        <w:t>Agricultural continuity. The Framework eases the export of fertilizers and related raw materials from Gulf ports first, then extends the mechanism to other essential commodity imports into the region, so that the crisis on the water does not become a crisis in the fields of the next planting season.</w:t>
      </w:r>
    </w:p>
    <w:p>
      <w:pPr>
        <w:pStyle w:val="Compact"/>
        <w:numPr>
          <w:ilvl w:val="0"/>
          <w:numId w:val="1"/>
        </w:numPr>
        <w:rPr/>
      </w:pPr>
      <w:r>
        <w:rPr/>
        <w:t>De-escalation. The Framework freezes military postures in and around the Strait, silences the weapons within fifty nautical miles of the lanes, and wires the adversaries together through a twenty-four hour de-confliction hotline, so that no miscalculation on the water restarts the war.</w:t>
      </w:r>
    </w:p>
    <w:p>
      <w:pPr>
        <w:pStyle w:val="Compact"/>
        <w:numPr>
          <w:ilvl w:val="0"/>
          <w:numId w:val="1"/>
        </w:numPr>
        <w:rPr/>
      </w:pPr>
      <w:r>
        <w:rPr/>
        <w:t>Trust construction. The Framework implements immediate, measurable steps whose verified performance creates the conditions in which broader negotiations succeed, without conditioning any humanitarian measure on those negotiations.</w:t>
      </w:r>
    </w:p>
    <w:p>
      <w:pPr>
        <w:pStyle w:val="Compact"/>
        <w:numPr>
          <w:ilvl w:val="0"/>
          <w:numId w:val="1"/>
        </w:numPr>
        <w:rPr/>
      </w:pPr>
      <w:bookmarkStart w:id="14" w:name="purpose"/>
      <w:r>
        <w:rPr/>
        <w:t>Durability. The Framework persists through the Continuity Guarantee of Article 6. No humanitarian protection sunsets, no corridor closes by default, and no earned progress evaporates at a calendar boundary.</w:t>
      </w:r>
      <w:bookmarkEnd w:id="14"/>
    </w:p>
    <w:p>
      <w:pPr>
        <w:pStyle w:val="Heading3"/>
        <w:rPr/>
      </w:pPr>
      <w:bookmarkStart w:id="15" w:name="geographic-scope"/>
      <w:r>
        <w:rPr/>
        <w:t>1.3 Geographic scope</w:t>
      </w:r>
    </w:p>
    <w:p>
      <w:pPr>
        <w:pStyle w:val="FirstParagraph"/>
        <w:rPr/>
      </w:pPr>
      <w:bookmarkStart w:id="16" w:name="geographic-scope"/>
      <w:r>
        <w:rPr/>
        <w:t>The Framework operates in the Strait of Hormuz Governance Area, defined in Annex A as the waters and superjacent airspace bounded by the meridian 055 degrees 30.0 minutes East at the western approach and the meridian 057 degrees 30.0 minutes East at the eastern approach, together with the designated waiting areas, holding anchorages, precautionary zones, and humanitarian lanes that Annex A describes. The Governance Area is an operational construct. It defines where the rules of the Framework operate. It defines no boundary between states, delimits no maritime zone, and prejudices no entitlement.</w:t>
      </w:r>
      <w:bookmarkEnd w:id="16"/>
    </w:p>
    <w:p>
      <w:pPr>
        <w:pStyle w:val="Heading3"/>
        <w:rPr/>
      </w:pPr>
      <w:bookmarkStart w:id="17" w:name="functional-scope"/>
      <w:r>
        <w:rPr/>
        <w:t>1.4 Functional scope</w:t>
      </w:r>
    </w:p>
    <w:p>
      <w:pPr>
        <w:pStyle w:val="FirstParagraph"/>
        <w:rPr/>
      </w:pPr>
      <w:r>
        <w:rPr/>
        <w:t>The Framework governs: the evacuation, welfare, repatriation, and legal protection of seafarers; the release and disposition of detained vessels; the inspection, scheduling, and safe passage of humanitarian and agricultural cargo; the phased expansion of permitted commodity flows; the thirty-day humanitarian transit ceasefire; the cessation of military operations within the Governance Area; the freeze of military postures and of new economic coercive measures during the negotiation period; the de-confliction hotline and the coordinated surveillance system; coastal state port access for humanitarian resupply; the centralized humanitarian information hub; and the verification, compliance, funding, and continuity of the Framework itself.</w:t>
      </w:r>
    </w:p>
    <w:p>
      <w:pPr>
        <w:pStyle w:val="TextBody"/>
        <w:rPr/>
      </w:pPr>
      <w:bookmarkStart w:id="18" w:name="functional-scope"/>
      <w:r>
        <w:rPr/>
        <w:t>The Framework architecture excludes from its scope: the nuclear file, which the MOU’s dedicated working groups carry; the final status of sanctions relief, frozen assets, reconstruction, and reparations, which the strategic track carries; the delimitation of maritime boundaries; the cargo, trade, alliance, and defense policies of any state except as they touch the humanitarian lanes and the stand-down geometry this instrument establishes; and any authorization of the use of force, which the architecture excludes absolutely under Article 18.8.</w:t>
      </w:r>
      <w:bookmarkEnd w:id="18"/>
    </w:p>
    <w:p>
      <w:pPr>
        <w:pStyle w:val="Heading3"/>
        <w:rPr/>
      </w:pPr>
      <w:bookmarkStart w:id="19" w:name="what-this-framework-does-and-does-not-do"/>
      <w:r>
        <w:rPr/>
        <w:t>1.5 What this Framework does and does not do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bookmarkStart w:id="20" w:name="X78d9e4c0b852b1f7127b9522c0f6af8953a8f8b"/>
            <w:bookmarkStart w:id="21" w:name="what-this-framework-does-and-does-not-do"/>
            <w:r>
              <w:rPr>
                <w:rFonts w:eastAsia="Cambria" w:cs=""/>
                <w:i/>
                <w:iCs/>
                <w:kern w:val="0"/>
                <w:sz w:val="24"/>
                <w:szCs w:val="24"/>
                <w:lang w:val="en-US" w:eastAsia="en-US" w:bidi="ar-SA"/>
              </w:rPr>
              <w:t>This Framework establishes a standing humanitarian operating system for the Strait of Hormuz. It brings the stranded crews home, moves food and fertilizer under United Nations inspection, silences the guns near the lanes, freezes the military and sanctions posture while the talks run, and continues without expiry. This Framework does not settle the nuclear question, does not lift or impose any sanction by its own force, does not adjudicate sovereignty over the Strait, does not create a toll regime, does not grant any Party command over another, and does not authorize the use of force by any actor.</w:t>
            </w:r>
            <w:bookmarkEnd w:id="20"/>
            <w:bookmarkEnd w:id="21"/>
          </w:p>
        </w:tc>
      </w:tr>
    </w:tbl>
    <w:p>
      <w:pPr>
        <w:pStyle w:val="Heading2"/>
        <w:rPr/>
      </w:pPr>
      <w:bookmarkStart w:id="22" w:name="__RefHeading___Toc4279_2903983697"/>
      <w:bookmarkEnd w:id="22"/>
      <w:r>
        <w:rPr/>
        <w:t>Article 2: Legal Foundations</w:t>
      </w:r>
    </w:p>
    <w:p>
      <w:pPr>
        <w:pStyle w:val="Heading3"/>
        <w:rPr/>
      </w:pPr>
      <w:bookmarkStart w:id="23" w:name="sovereign-basis"/>
      <w:r>
        <w:rPr/>
        <w:t>2.1 Sovereign basis</w:t>
      </w:r>
    </w:p>
    <w:p>
      <w:pPr>
        <w:pStyle w:val="FirstParagraph"/>
        <w:rPr/>
      </w:pPr>
      <w:bookmarkStart w:id="24" w:name="sovereign-basis"/>
      <w:r>
        <w:rPr/>
        <w:t>The Framework rests on the sovereignty and sovereign rights of the coastal states over their respective territorial seas in the Strait of Hormuz, on the inherent right of every state to protect its security, and on the customary international law of the sea as reflected in the 1982 United Nations Convention on the Law of the Sea. Nothing in this instrument adjudicates, prejudices, or alters the position of any Party on any question of maritime delimitation, and the Framework operates without prejudice to the differing treaty positions of the Parties.</w:t>
      </w:r>
      <w:bookmarkEnd w:id="24"/>
    </w:p>
    <w:p>
      <w:pPr>
        <w:pStyle w:val="Heading3"/>
        <w:rPr/>
      </w:pPr>
      <w:bookmarkStart w:id="25" w:name="the-maritime-labor-and-safety-foundation"/>
      <w:r>
        <w:rPr/>
        <w:t>2.2 The maritime labor and safety foundation</w:t>
      </w:r>
    </w:p>
    <w:p>
      <w:pPr>
        <w:pStyle w:val="FirstParagraph"/>
        <w:rPr/>
      </w:pPr>
      <w:bookmarkStart w:id="26" w:name="the-maritime-labor-and-safety-foundation"/>
      <w:r>
        <w:rPr/>
        <w:t>The seafarer protection provisions of Part II implement the Maritime Labour Convention, 2006, and the International Convention for the Safety of Life at Sea, 1974, which together mandate the protection and well-being of crew members, maximum periods of service aboard, repatriation at no cost to the seafarer, and the rendering of assistance to persons in distress at sea. The Framework’s evacuation, repatriation, medical, and non-prosecution provisions state no new law; they operationalize, at emergency speed and with emergency funding, obligations the Parties already carry.</w:t>
      </w:r>
      <w:bookmarkEnd w:id="26"/>
    </w:p>
    <w:p>
      <w:pPr>
        <w:pStyle w:val="Heading3"/>
        <w:rPr/>
      </w:pPr>
      <w:bookmarkStart w:id="27" w:name="the-humanitarian-passage-foundation"/>
      <w:r>
        <w:rPr/>
        <w:t>2.3 The humanitarian passage foundation</w:t>
      </w:r>
    </w:p>
    <w:p>
      <w:pPr>
        <w:pStyle w:val="FirstParagraph"/>
        <w:rPr/>
      </w:pPr>
      <w:bookmarkStart w:id="28" w:name="the-humanitarian-passage-foundation"/>
      <w:r>
        <w:rPr/>
        <w:t>The humanitarian corridor of Part III rests on three converging foundations: the regime of transit passage through straits used for international navigation; the customary prohibition on starvation of civilians as a method of warfare and the corresponding duty to allow and facilitate rapid and unimpeded passage of humanitarian relief; and the precedent of the Black Sea Grain Initiative, which demonstrated in 2022 and 2023 that a belligerent-adjacent maritime corridor, inspected by a joint coordination centre and guaranteed by the parties to a conflict, moves millions of tonnes of food safely through a war zone. The Framework adapts that demonstrated mechanism to the geography and politics of the Strait of Hormuz.</w:t>
      </w:r>
      <w:bookmarkEnd w:id="28"/>
    </w:p>
    <w:p>
      <w:pPr>
        <w:pStyle w:val="Heading3"/>
        <w:rPr/>
      </w:pPr>
      <w:bookmarkStart w:id="29" w:name="the-inspection-precedent"/>
      <w:r>
        <w:rPr/>
        <w:t>2.4 The inspection precedent</w:t>
      </w:r>
    </w:p>
    <w:p>
      <w:pPr>
        <w:pStyle w:val="FirstParagraph"/>
        <w:rPr/>
      </w:pPr>
      <w:bookmarkStart w:id="30" w:name="the-inspection-precedent"/>
      <w:r>
        <w:rPr/>
        <w:t>The United Nations Verification and Inspection Mechanism for Yemen supplies the inspection model of Article 13: a neutral, United Nations staffed mechanism that verifies cargo documentation and inspects on a risk basis, so that commercial-scale flows continue while weapons and contraband stay out, and so that no Party’s forces board another Party’s shipping. UNVIM’s demonstrated record of scaling inspection capacity in days, not months, anchors the seven-day activation timeline of Article 40.3.</w:t>
      </w:r>
      <w:bookmarkEnd w:id="30"/>
    </w:p>
    <w:p>
      <w:pPr>
        <w:pStyle w:val="Heading3"/>
        <w:rPr/>
      </w:pPr>
      <w:bookmarkStart w:id="31" w:name="relationship-to-the-islamabad-mou"/>
      <w:r>
        <w:rPr/>
        <w:t>2.5 Relationship to the Islamabad MOU</w:t>
      </w:r>
    </w:p>
    <w:p>
      <w:pPr>
        <w:pStyle w:val="FirstParagraph"/>
        <w:rPr/>
      </w:pPr>
      <w:bookmarkStart w:id="32" w:name="relationship-to-the-islamabad-mou"/>
      <w:r>
        <w:rPr/>
        <w:t>The Framework operates in parallel with the sixty-day negotiation window the MOU established on 17 June 2026. The Framework discharges the humanitarian and de-escalation dimension of the MOU’s safe navigation commitment, and it binds its Parties independently of the fate of any other instrument: a lapse, breach, stall, or termination of any external agreement touches nothing in this Framework. Progress on this Framework never waits on progress in the strategic track, and no Party conditions any humanitarian measure on any outcome in the nuclear, sanctions, reconstruction, or final-status negotiations. Upon entry into force, this Framework supersedes and absorbs the humanitarian and maritime de-confliction provisions of the MOU in full; the Parties perform those obligations through this Framework alone.</w:t>
      </w:r>
      <w:bookmarkEnd w:id="32"/>
    </w:p>
    <w:p>
      <w:pPr>
        <w:pStyle w:val="Heading3"/>
        <w:rPr/>
      </w:pPr>
      <w:bookmarkStart w:id="33" w:name="X043e577b0f34d9c512a1c81cf13b5af282a4260"/>
      <w:r>
        <w:rPr/>
        <w:t>2.6 Relationship to the International Maritime Organization</w:t>
      </w:r>
    </w:p>
    <w:p>
      <w:pPr>
        <w:pStyle w:val="FirstParagraph"/>
        <w:rPr/>
      </w:pPr>
      <w:bookmarkStart w:id="34" w:name="X043e577b0f34d9c512a1c81cf13b5af282a4260"/>
      <w:r>
        <w:rPr/>
        <w:t>The Parties build the corridor and evacuation system upon the Organization’s emergency determinations of 2026, including its finding that the existing Traffic Separation Scheme stands unusable owing to the reported presence of mines. The Organization joins this Framework as a Party, operates the humanitarian desk of Article 33.4, maintains the Humanitarian and Evacuation Portal of Article 28, and receives every corridor definition, routing instruction, and safety standard this Framework produces. The Framework creates no obligation for the Organization beyond those the Organization accepts by signature.</w:t>
      </w:r>
      <w:bookmarkEnd w:id="34"/>
    </w:p>
    <w:p>
      <w:pPr>
        <w:pStyle w:val="Heading3"/>
        <w:rPr/>
      </w:pPr>
      <w:bookmarkStart w:id="35" w:name="non-prejudice-and-no-precedent"/>
      <w:r>
        <w:rPr/>
        <w:t>2.7 Non-prejudice and no precedent</w:t>
      </w:r>
    </w:p>
    <w:p>
      <w:pPr>
        <w:pStyle w:val="FirstParagraph"/>
        <w:rPr/>
      </w:pPr>
      <w:bookmarkStart w:id="36" w:name="non-prejudice-and-no-precedent"/>
      <w:r>
        <w:rPr/>
        <w:t>This instrument establishes no legal or political precedent for any other strait, waterway, dispute, or relationship. No act performed under it constitutes recognition of, acquiescence in, or prejudice to: any Party’s position on sovereignty over any island, rock, or feature; any Party’s position on the legal character of the Strait; any Party’s position on the lawfulness of the blockade, of the strikes, or of any wartime measure; or any claim or defense in any other forum. Participation in evacuation, inspection, corridor coordination, or joint bodies carries no political imputation.</w:t>
      </w:r>
      <w:bookmarkEnd w:id="36"/>
    </w:p>
    <w:p>
      <w:pPr>
        <w:pStyle w:val="Heading2"/>
        <w:rPr/>
      </w:pPr>
      <w:bookmarkStart w:id="37" w:name="__RefHeading___Toc4281_2903983697"/>
      <w:bookmarkStart w:id="38" w:name="article-3-core-operating-principles"/>
      <w:bookmarkEnd w:id="37"/>
      <w:r>
        <w:rPr/>
        <w:t>Article 3: Core Operating Principles</w:t>
      </w:r>
    </w:p>
    <w:p>
      <w:pPr>
        <w:pStyle w:val="FirstParagraph"/>
        <w:rPr/>
      </w:pPr>
      <w:r>
        <w:rPr/>
        <w:t>Twelve principles govern the interpretation and operation of every provision of this Framework. Where a provision admits two readings, the reading that serves these principles prevails.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Principle</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Operative 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The Continuity Guarantee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humanitarian protection fades at any date boundary. Continuation forms the default at every review point. Verified progress banks permanently. This principle stands first among equals and governs the interpretation of every other provision.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Humanitarian absolute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mechanism in this Framework reduces, delays, or conditions flows of food, medicine, medical equipment, relief personnel, fertilizer, or the movement of seafarers toward home, under any circumstances.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Mutual architecture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obligation attaches to the design of the Framework, not to one Party’s restraint for another’s benefit. All Parties stand bound equally by the same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Symmetry of burden and benefit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stand-down binds every military equally; the corridor serves every flag equally; the evacuation reaches every crew equally. No mechanism sorts persons or vessels by political criteria.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Parallel track independence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Framework runs beside the strategic negotiations, never inside them. No linkage, explicit or implicit, conditions a humanitarian step on a political step.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Proportionality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consequence matches the severity and duration of the deviation that triggers it. Minor deviations produce minor consequences.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Restoration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consequence carries an automatic, defined restoration pathway. No deviation creates permanent exclusion from the Framework’s protections for the civilians it exists to serve.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Human judgment above automation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systems flag and present evidence. Human officers review, consult, and decide. No automated process classifies an incident, halts a corridor, or triggers a consequence.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Structural decoupling of force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compliance event, of any category, in any domain, authorizes, triggers, or justifies the use of military force. Military decisions rest exclusively with the respective head of government under constitutional procedures.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Civilian character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operational bodies of the Framework employ civilian maritime and humanitarian professionals. Military liaison occurs through designated channels at the policy level and never on the watch floor.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Transparency over trust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Framework substitutes publication for assurances. Every participant reads the same record at the same time.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Cost discipline and speed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Framework reuses existing mechanisms wherever they carry the load: UKMTO, the MICA Center, UNVIM’s inspection model, the Black Sea Joint Coordination Centre’s scheduling model, and the IMO’s seafarer emergency frameworks. The Framework builds new structures only where no existing structure answers the emergency.</w:t>
            </w:r>
          </w:p>
        </w:tc>
      </w:tr>
    </w:tbl>
    <w:p>
      <w:pPr>
        <w:pStyle w:val="TextBody"/>
        <w:rPr/>
      </w:pPr>
      <w:r>
        <w:rPr>
          <w:i/>
          <w:iCs/>
        </w:rPr>
        <w:t>Table 3.1: Core operating principles of the Framework</w:t>
      </w:r>
    </w:p>
    <w:p>
      <w:pPr>
        <w:pStyle w:val="Heading3"/>
        <w:rPr/>
      </w:pPr>
      <w:bookmarkStart w:id="39" w:name="the-political-acceptability-rule"/>
      <w:r>
        <w:rPr/>
        <w:t>3.1 The political acceptability rule</w:t>
      </w:r>
    </w:p>
    <w:p>
      <w:pPr>
        <w:pStyle w:val="FirstParagraph"/>
        <w:rPr/>
      </w:pPr>
      <w:bookmarkStart w:id="40" w:name="the-political-acceptability-rule"/>
      <w:r>
        <w:rPr/>
        <w:t>Every mechanism in this instrument passes a symmetry test before adoption: the mechanism binds every Party through the same architecture, produces visible benefit for every public, avoids vocabulary of concession or capitulation, and permits each Party to present the Framework domestically as a structure it co-governs rather than an order it obeys. Iran presents the northern route and its coordination role; the United States presents the blockade’s humanitarian channels and the freeze on new measures; Oman presents the hosting and the southern route; the Gulf states present the supply lines; the shipping world presents the open lane. Each description states one true face of one shared architecture.</w:t>
      </w:r>
      <w:bookmarkEnd w:id="40"/>
    </w:p>
    <w:p>
      <w:pPr>
        <w:pStyle w:val="Heading3"/>
        <w:rPr/>
      </w:pPr>
      <w:bookmarkStart w:id="41" w:name="the-simplicity-mandate"/>
      <w:r>
        <w:rPr/>
        <w:t>3.2 The simplicity mandate</w:t>
      </w:r>
    </w:p>
    <w:p>
      <w:pPr>
        <w:pStyle w:val="FirstParagraph"/>
        <w:rPr/>
      </w:pPr>
      <w:bookmarkStart w:id="42" w:name="article-3-core-operating-principles"/>
      <w:bookmarkStart w:id="43" w:name="the-simplicity-mandate"/>
      <w:r>
        <w:rPr/>
        <w:t>A humanitarian mechanism that only its drafters understand fails in the first crisis. Each operative Article states its trigger, its actor, and its consequence in a form a watch officer, a port agent, a ship’s master, or a humanitarian logistics coordinator applies without legal counsel. Where a mechanism’s full technical detail exceeds a clean statement, that detail moves to the relevant Annex, and the Article states the rule’s operative core in plain terms.</w:t>
      </w:r>
      <w:bookmarkEnd w:id="42"/>
      <w:bookmarkEnd w:id="43"/>
    </w:p>
    <w:p>
      <w:pPr>
        <w:pStyle w:val="Heading2"/>
        <w:rPr/>
      </w:pPr>
      <w:bookmarkStart w:id="44" w:name="__RefHeading___Toc4283_2903983697"/>
      <w:bookmarkStart w:id="45" w:name="Xeeaa21aba11f415ef43bd1391b29fab3720fbbe"/>
      <w:bookmarkEnd w:id="44"/>
      <w:r>
        <w:rPr/>
        <w:t>Article 4: The Humanitarian Red Lines Register and the Perimeter Test</w:t>
      </w:r>
    </w:p>
    <w:p>
      <w:pPr>
        <w:pStyle w:val="Heading3"/>
        <w:rPr/>
      </w:pPr>
      <w:bookmarkStart w:id="46" w:name="purpose-and-method"/>
      <w:r>
        <w:rPr/>
        <w:t>4.1 Purpose and method</w:t>
      </w:r>
    </w:p>
    <w:p>
      <w:pPr>
        <w:pStyle w:val="FirstParagraph"/>
        <w:rPr/>
      </w:pPr>
      <w:bookmarkStart w:id="47" w:name="purpose-and-method"/>
      <w:r>
        <w:rPr/>
        <w:t>The Parties negotiate in the open about everything except the lines each treats as untouchable. The Humanitarian Red Lines Register of Annex F names those lines once, precisely, and the architecture then guards them automatically. Each entry states the line in neutral terms, names the interest it protects, and identifies the architectural safeguard that holds the line without daily political effort. The Register binds the framework, not the negotiators’ rhetoric: a public statement outside the Register carries no operative weight inside the Framework.</w:t>
      </w:r>
      <w:bookmarkEnd w:id="47"/>
    </w:p>
    <w:p>
      <w:pPr>
        <w:pStyle w:val="Heading3"/>
        <w:rPr/>
      </w:pPr>
      <w:bookmarkStart w:id="48" w:name="the-register-in-summary"/>
      <w:r>
        <w:rPr/>
        <w:t>4.2 The Register in summary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Ref</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 (summary)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Architectural safeguard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traffic moves in every flow state, dispute, pause, and transition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absolute, Articles 3, 16.5, 38.4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seafarer faces prosecution for conflict-time transit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Non-Prosecution Covenant, Article 9.6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stranded crew holds an immediate claim on sustenance and a route home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Articles 7 and 9; the Resupply Protocol of Article 25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verified humanitarian vessel waits on any Party’s permission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14.2; the UN clearance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charge functions as a condition of humanitarian passage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Zero-Condition Rule, Article 12.5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Operational bodies remain civilian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Civilian Character Clause, Article 33.6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lane closes because of another track’s events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track independence, Article 42.2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Sovereignty over own waters stands intact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Articles 1.3, 2.7; the no-prejudice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humanitarian commitment expires silently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Continuity Guarantee, Article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finding rests on a single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Two-Anchor Method, Article 36.2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Framework assets never support kinetic action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Asset-Use Rule, Article 18.9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Stand-down binds symmetrically; no humanitarian measure yields military advantage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Articles 18, 19; the Standoff Geometry of Annex 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single state governs the humanitarian architecture alone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Council composition and voting, Articles 32 and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Evacuation never waits on political settlement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7.2; the 72-hour commencement rule of Article 40.2</w:t>
            </w:r>
          </w:p>
        </w:tc>
      </w:tr>
    </w:tbl>
    <w:p>
      <w:pPr>
        <w:pStyle w:val="TextBody"/>
        <w:rPr/>
      </w:pPr>
      <w:bookmarkStart w:id="49" w:name="the-register-in-summary"/>
      <w:r>
        <w:rPr>
          <w:i/>
          <w:iCs/>
        </w:rPr>
        <w:t>Table 4.1: The Humanitarian Red Lines Register in summary; Annex F carries the full operative text</w:t>
      </w:r>
      <w:bookmarkEnd w:id="49"/>
    </w:p>
    <w:p>
      <w:pPr>
        <w:pStyle w:val="Heading3"/>
        <w:rPr/>
      </w:pPr>
      <w:bookmarkStart w:id="50" w:name="the-perimeter-test"/>
      <w:r>
        <w:rPr/>
        <w:t>4.3 The Perimeter Test</w:t>
      </w:r>
    </w:p>
    <w:p>
      <w:pPr>
        <w:pStyle w:val="FirstParagraph"/>
        <w:rPr/>
      </w:pPr>
      <w:bookmarkStart w:id="51" w:name="the-perimeter-test"/>
      <w:r>
        <w:rPr/>
        <w:t>Before the Humanitarian Coordination Council adopts any measure, the legal desk of the Humanitarian Coordination Center screens the measure against every entry of the Register. The screening takes the form of a short written Perimeter Test, appended to the measure in the Council record. A measure that touches a Register line proceeds only in the exact form the corresponding safeguard permits. A measure that crosses a Register line fails, and the failure appears in the record with reasons. The Neutral Passage Office receives every Perimeter Test and reports annually on the integrity of the Register.</w:t>
      </w:r>
      <w:bookmarkEnd w:id="51"/>
    </w:p>
    <w:p>
      <w:pPr>
        <w:pStyle w:val="Heading3"/>
        <w:rPr/>
      </w:pPr>
      <w:bookmarkStart w:id="52" w:name="no-trading-of-red-lines"/>
      <w:r>
        <w:rPr/>
        <w:t>4.4 No trading of Red Lines</w:t>
      </w:r>
    </w:p>
    <w:p>
      <w:pPr>
        <w:pStyle w:val="FirstParagraph"/>
        <w:rPr/>
      </w:pPr>
      <w:bookmarkStart w:id="53" w:name="no-trading-of-red-lines"/>
      <w:r>
        <w:rPr/>
        <w:t>The Parties do not trade Register entries against one another. The architecture holds every line simultaneously, and a breach response under Article 37 never suspends a Register entry. Amendment of the Register itself follows the elevated rule of Article 44.3: consensus of all Parties plus ratification by each of them.</w:t>
      </w:r>
      <w:bookmarkEnd w:id="53"/>
    </w:p>
    <w:p>
      <w:pPr>
        <w:pStyle w:val="Heading3"/>
        <w:rPr/>
      </w:pPr>
      <w:bookmarkStart w:id="54" w:name="red-line-consultation"/>
      <w:r>
        <w:rPr/>
        <w:t>4.5 Red Line Consultation</w:t>
      </w:r>
    </w:p>
    <w:p>
      <w:pPr>
        <w:pStyle w:val="FirstParagraph"/>
        <w:rPr/>
      </w:pPr>
      <w:bookmarkStart w:id="55" w:name="Xeeaa21aba11f415ef43bd1391b29fab3720fbbe"/>
      <w:bookmarkStart w:id="56" w:name="red-line-consultation"/>
      <w:r>
        <w:rPr/>
        <w:t>A Party that perceives a Red Line under pressure activates a Red Line Consultation before any other response. The consultation convenes within 24 hours. The architecture freezes the relevant mechanism for 72 hours while the consultation proceeds, under the Humanitarian Pause of Article 38, except for the humanitarian absolute, the distress-priority obligations, and the evacuation flows, which never freeze.</w:t>
      </w:r>
      <w:bookmarkEnd w:id="55"/>
      <w:bookmarkEnd w:id="56"/>
    </w:p>
    <w:p>
      <w:pPr>
        <w:pStyle w:val="Heading2"/>
        <w:rPr/>
      </w:pPr>
      <w:bookmarkStart w:id="57" w:name="__RefHeading___Toc4285_2903983697"/>
      <w:bookmarkStart w:id="58" w:name="article-5-definitions-and-interpretation"/>
      <w:bookmarkEnd w:id="57"/>
      <w:r>
        <w:rPr/>
        <w:t>Article 5: Definitions and Interpretation</w:t>
      </w:r>
    </w:p>
    <w:p>
      <w:pPr>
        <w:pStyle w:val="Heading3"/>
        <w:rPr/>
      </w:pPr>
      <w:bookmarkStart w:id="59" w:name="definitions"/>
      <w:r>
        <w:rPr/>
        <w:t>5.1 Definitions</w:t>
      </w:r>
    </w:p>
    <w:p>
      <w:pPr>
        <w:pStyle w:val="FirstParagraph"/>
        <w:rPr/>
      </w:pPr>
      <w:r>
        <w:rPr/>
        <w:t>For the purposes of this Framework, the following terms carry the meanings set forth below. Annex J restates these definitions together with the neutral terminology register of the Framework.</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Blue Safe Monitor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coordinated surveillance and monitoring function of Article 22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Humanitarian Coordination Center described in Article 33, seated in Muscat with a mirror facility at Bandar Abbas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Continuity Guarantee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continuity rule of Article 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humanitarian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Designated Humanitarian and Agricultural Lane described in Article 12 and Annex 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Council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Humanitarian Coordination Council described in Article 32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Detained vessel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vessel held by any Party or by any force under a Party’s command or coordination, including vessels held at anchorage under instruction not to sail, as listed in the registry of Article 11.2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Evacuation Framework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stranded crew evacuation mechanism of Article 7 and Annex 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Exceptional circumstance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condition outside the ordinary operating envelope that the text expressly names: a distress event, a Suspended Flow, a certified mine hazard, a degraded-mode activation under Article 36.6, or an institutional failure under Article 44.6; no other condition qualifies, and the term admits no discretionary extension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operating condition of a lane: Free Flow, Managed Flow, or Suspended Flow, per Article 21.5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Framework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Hormuz Humanitarian &amp; De-escalation Framework, comprising the main body and Annexes A through 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Governance 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maritime and air area bounded by the coordinates in Article 1.3 and Annex 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cargo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Food, medicine, medical equipment, fertilizer and related raw materials, and relief supplies consigned to civilian relief, together with the personnel and equipment of established humanitarian agencies, evidenced per the Cargo Schedule of Annex C; the Neutral Passage Office verifies the humanitarian marker on a sample basis, and misuse of the marker classifies as a Material Disruption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Pause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automatic pause-and-consult mechanism of Article 38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vessel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vessel carrying humanitarian cargo under a consignment cleared through the United Nations mechanism of Article 13, or a vessel in Class E status under Annex 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MOU</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Islamabad Memorandum of Understanding of 17 June 2026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Neutral Administrator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Swiss Confederation, acting through the office described in Article 43.4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Neutral Passage Office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standing verification and observer office described in Article 34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Northern Route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evacuation and transit route through Iranian waters, coordinated by Iran, described in Article 7.4 and Annex 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Operational disruption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event that measurably degrades corridor operation: a lane closure exceeding 4 hours, a fall below 60 percent of the scheduled daily humanitarian transit count, a hotline answer latency exceeding 15 minutes system-wide, or a Portal publication failure exceeding one cycle; the Center logs every operational disruption with its measured values, and the definition admits no discretionary extension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signatory to this Framework; the term includes the International Maritime Organization for the functions it accepts by signature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Humanitarian and Evacuation Portal of Article 28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 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boundary condition registered in Annex F whose crossing the architecture structurally prevents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Southern Route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evacuation and transit route through Omani waters, coordinated by Oman with United States support, described in Article 7.4 and Annex 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Stand-down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cessation and freeze regime of Articles 18 and 19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Stranded seafarer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seafarer serving aboard a vessel unable to depart the Gulf or the Gulf of Oman owing to the conflict, the closure, the blockade, or the mine hazard, as listed in the registry of Article 7.2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Suspended Flow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temporary, area-defined, time-limited safety state described in Article 21.5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Two-Anchor Method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verification philosophy of Article 36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designated assembly area off Oman described in Article 7.3 and Annex A, together with any additional area the Council designates by the same procedure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Walkthrough Cycle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seven-day humanitarian operating rhythm of Article 41.2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Zero-Condition Rule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rule of Article 12.5 under which no charge, permission, or condition attaches to verified humanitarian passage</w:t>
            </w:r>
          </w:p>
        </w:tc>
      </w:tr>
    </w:tbl>
    <w:p>
      <w:pPr>
        <w:pStyle w:val="TextBody"/>
        <w:rPr/>
      </w:pPr>
      <w:bookmarkStart w:id="60" w:name="definitions"/>
      <w:r>
        <w:rPr>
          <w:i/>
          <w:iCs/>
        </w:rPr>
        <w:t>Table 5.1: Defined terms</w:t>
      </w:r>
      <w:bookmarkEnd w:id="60"/>
    </w:p>
    <w:p>
      <w:pPr>
        <w:pStyle w:val="Heading3"/>
        <w:rPr/>
      </w:pPr>
      <w:bookmarkStart w:id="61" w:name="interpretation-rules"/>
      <w:r>
        <w:rPr/>
        <w:t>5.2 Interpretation rules</w:t>
      </w:r>
    </w:p>
    <w:p>
      <w:pPr>
        <w:pStyle w:val="Compact"/>
        <w:numPr>
          <w:ilvl w:val="0"/>
          <w:numId w:val="8"/>
        </w:numPr>
        <w:rPr/>
      </w:pPr>
      <w:r>
        <w:rPr/>
        <w:t>Headings serve convenience only and do not affect interpretation.</w:t>
      </w:r>
    </w:p>
    <w:p>
      <w:pPr>
        <w:pStyle w:val="Compact"/>
        <w:numPr>
          <w:ilvl w:val="0"/>
          <w:numId w:val="2"/>
        </w:numPr>
        <w:rPr/>
      </w:pPr>
      <w:r>
        <w:rPr/>
        <w:t>The singular includes the plural and vice versa where context permits.</w:t>
      </w:r>
    </w:p>
    <w:p>
      <w:pPr>
        <w:pStyle w:val="Compact"/>
        <w:numPr>
          <w:ilvl w:val="0"/>
          <w:numId w:val="2"/>
        </w:numPr>
        <w:rPr/>
      </w:pPr>
      <w:r>
        <w:rPr/>
        <w:t>A reference to days means calendar days unless the text states working days.</w:t>
      </w:r>
    </w:p>
    <w:p>
      <w:pPr>
        <w:pStyle w:val="Compact"/>
        <w:numPr>
          <w:ilvl w:val="0"/>
          <w:numId w:val="2"/>
        </w:numPr>
        <w:rPr/>
      </w:pPr>
      <w:r>
        <w:rPr/>
        <w:t>All times are Coordinated Universal Time (UTC) unless the text states otherwise. The Center publishes local-time conversions for operational users.</w:t>
      </w:r>
    </w:p>
    <w:p>
      <w:pPr>
        <w:pStyle w:val="Compact"/>
        <w:numPr>
          <w:ilvl w:val="0"/>
          <w:numId w:val="2"/>
        </w:numPr>
        <w:rPr/>
      </w:pPr>
      <w:r>
        <w:rPr/>
        <w:t>Coordinates use the World Geodetic System 1984 (WGS-84) datum. Positions in degrees and decimal minutes carry a precision of plus or minus 0.05 nautical miles.</w:t>
      </w:r>
    </w:p>
    <w:p>
      <w:pPr>
        <w:pStyle w:val="Compact"/>
        <w:numPr>
          <w:ilvl w:val="0"/>
          <w:numId w:val="2"/>
        </w:numPr>
        <w:rPr/>
      </w:pPr>
      <w:r>
        <w:rPr/>
        <w:t>Where this Framework states that an event activates, triggers, pauses, suspends, or restores a mechanism, the mechanism operates automatically at the moment the stated condition exists, without further decision, unless the text expressly assigns a human review step.</w:t>
      </w:r>
    </w:p>
    <w:p>
      <w:pPr>
        <w:pStyle w:val="Compact"/>
        <w:numPr>
          <w:ilvl w:val="0"/>
          <w:numId w:val="2"/>
        </w:numPr>
        <w:rPr/>
      </w:pPr>
      <w:r>
        <w:rPr/>
        <w:t>In case of conflict between the main body and an Annex, the main body prevails. In case of divergence among the Persian, Arabic, and English texts, the Council adopts the shared meaning the negotiators intended and records that meaning in the Council minutes.</w:t>
      </w:r>
    </w:p>
    <w:p>
      <w:pPr>
        <w:pStyle w:val="Compact"/>
        <w:numPr>
          <w:ilvl w:val="0"/>
          <w:numId w:val="2"/>
        </w:numPr>
        <w:rPr/>
      </w:pPr>
      <w:r>
        <w:rPr/>
        <w:t>The Continuity Guarantee resolves every doubt about duration in favor of continuity. The humanitarian absolute resolves every doubt about the scope of a humanitarian protection in favor of the wider protection. The mutual-architecture principle resolves every doubt about the incidence of a prohibition in favor of equal application to all Parties.</w:t>
      </w:r>
    </w:p>
    <w:p>
      <w:pPr>
        <w:pStyle w:val="Compact"/>
        <w:numPr>
          <w:ilvl w:val="0"/>
          <w:numId w:val="2"/>
        </w:numPr>
        <w:rPr/>
      </w:pPr>
      <w:bookmarkStart w:id="62" w:name="article-5-definitions-and-interpretation"/>
      <w:bookmarkStart w:id="63" w:name="interpretation-rules"/>
      <w:r>
        <w:rPr/>
        <w:t>The interpretation never defeats the purpose. A reading that hollows out the humanitarian absolute, the Non-Prosecution Covenant, the Zero-Condition Rule, the Continuity Guarantee, or the symmetry principle is an incorrect reading.</w:t>
      </w:r>
      <w:bookmarkEnd w:id="62"/>
      <w:bookmarkEnd w:id="63"/>
    </w:p>
    <w:p>
      <w:pPr>
        <w:pStyle w:val="Heading2"/>
        <w:rPr/>
      </w:pPr>
      <w:bookmarkStart w:id="64" w:name="__RefHeading___Toc4287_2903983697"/>
      <w:bookmarkStart w:id="65" w:name="article-6-the-continuity-guarantee"/>
      <w:bookmarkEnd w:id="64"/>
      <w:r>
        <w:rPr/>
        <w:t>Article 6: The Continuity Guarantee</w:t>
      </w:r>
    </w:p>
    <w:p>
      <w:pPr>
        <w:pStyle w:val="Heading3"/>
        <w:rPr/>
      </w:pPr>
      <w:bookmarkStart w:id="66" w:name="no-sunset"/>
      <w:r>
        <w:rPr/>
        <w:t>6.1 No sunset</w:t>
      </w:r>
    </w:p>
    <w:p>
      <w:pPr>
        <w:pStyle w:val="FirstParagraph"/>
        <w:rPr/>
      </w:pPr>
      <w:bookmarkStart w:id="67" w:name="no-sunset"/>
      <w:r>
        <w:rPr/>
        <w:t>The Framework contains no sunset clauses, no silent expirations, and no decaying obligations. It operates on a continuous horizon, by design, because a humanitarian protection that expires is a protection that plans to fail the next crisis. Every phase boundary, review point, reporting deadline, and certification cycle inside this instrument operates as an administrative rhythm: at every boundary, the operational state carries forward by default, and obligations persist exactly as written until the Parties amend them in writing.</w:t>
      </w:r>
      <w:bookmarkEnd w:id="67"/>
    </w:p>
    <w:p>
      <w:pPr>
        <w:pStyle w:val="Heading3"/>
        <w:rPr/>
      </w:pPr>
      <w:bookmarkStart w:id="68" w:name="no-fade-of-humanitarian-protections"/>
      <w:r>
        <w:rPr/>
        <w:t>6.2 No fade of humanitarian protections</w:t>
      </w:r>
    </w:p>
    <w:p>
      <w:pPr>
        <w:pStyle w:val="FirstParagraph"/>
        <w:rPr/>
      </w:pPr>
      <w:bookmarkStart w:id="69" w:name="no-fade-of-humanitarian-protections"/>
      <w:r>
        <w:rPr/>
        <w:t>The protections of Parts II and III persist at full strength from activation until the Parties jointly amend them in writing under Article 44. Time never dilutes an obligation; routine never weakens a passage right; political weather never erodes a standing rule. A change of government in any Party changes nothing in this Framework: the obligations attach to the state, and every incoming administration inherits them from its first day.</w:t>
      </w:r>
      <w:bookmarkEnd w:id="69"/>
    </w:p>
    <w:p>
      <w:pPr>
        <w:pStyle w:val="Heading3"/>
        <w:rPr/>
      </w:pPr>
      <w:bookmarkStart w:id="70" w:name="no-fade-of-earned-progress"/>
      <w:r>
        <w:rPr/>
        <w:t>6.3 No fade of earned progress</w:t>
      </w:r>
    </w:p>
    <w:p>
      <w:pPr>
        <w:pStyle w:val="FirstParagraph"/>
        <w:rPr/>
      </w:pPr>
      <w:bookmarkStart w:id="71" w:name="no-fade-of-earned-progress"/>
      <w:r>
        <w:rPr/>
        <w:t>Progress earned through verified compliance persists. An evacuated crew stays evacuated in the record; a certified corridor segment stays certified; a completed Walkthrough Cycle stays banked. No earned benefit lapses through the passage of time, a change of government, or a change of mood. Only the defined step-back of the compliance engine adjusts a benefit, and restoration always returns it under Article 38.5.</w:t>
      </w:r>
      <w:bookmarkEnd w:id="71"/>
    </w:p>
    <w:p>
      <w:pPr>
        <w:pStyle w:val="Heading3"/>
        <w:rPr/>
      </w:pPr>
      <w:bookmarkStart w:id="72" w:name="no-fade-of-verification"/>
      <w:r>
        <w:rPr/>
        <w:t>6.4 No fade of verification</w:t>
      </w:r>
    </w:p>
    <w:p>
      <w:pPr>
        <w:pStyle w:val="FirstParagraph"/>
        <w:rPr/>
      </w:pPr>
      <w:bookmarkStart w:id="73" w:name="no-fade-of-verification"/>
      <w:r>
        <w:rPr/>
        <w:t>Verification intensity never declines by default. The observer presence, the reporting rhythms, the ground-truth checks, the audit rights, and the data feeds of this Framework continue at full strength for the life of the instrument. Any reduction of verification intensity constitutes an amendment and takes effect only through the joint written instrument of Article 44.3.</w:t>
      </w:r>
      <w:bookmarkEnd w:id="73"/>
    </w:p>
    <w:p>
      <w:pPr>
        <w:pStyle w:val="Heading3"/>
        <w:rPr/>
      </w:pPr>
      <w:bookmarkStart w:id="74" w:name="no-fade-during-dispute-or-pause"/>
      <w:r>
        <w:rPr/>
        <w:t>6.5 No fade during dispute or pause</w:t>
      </w:r>
    </w:p>
    <w:p>
      <w:pPr>
        <w:pStyle w:val="FirstParagraph"/>
        <w:rPr/>
      </w:pPr>
      <w:bookmarkStart w:id="75" w:name="no-fade-during-dispute-or-pause"/>
      <w:r>
        <w:rPr/>
        <w:t>A dispute under Article 39, a Humanitarian Pause under Article 38, a Suspended Flow under Article 21.5, and a resumption of hostilities beyond the Governance Area each leave the humanitarian absolute untouched. The evacuation of seafarers, the movement of food and medicine, the resupply of stranded vessels, and the operation of the hotline continue through every political weather, because these functions exist precisely for the moments when politics fails.</w:t>
      </w:r>
      <w:bookmarkEnd w:id="75"/>
    </w:p>
    <w:p>
      <w:pPr>
        <w:pStyle w:val="Heading3"/>
        <w:rPr/>
      </w:pPr>
      <w:bookmarkStart w:id="76" w:name="X0b7112a445e376104bc3322301c35d47e75954d"/>
      <w:r>
        <w:rPr/>
        <w:t>6.6 Renewal by silence and default continuity</w:t>
      </w:r>
    </w:p>
    <w:p>
      <w:pPr>
        <w:pStyle w:val="FirstParagraph"/>
        <w:rPr/>
      </w:pPr>
      <w:bookmarkStart w:id="77" w:name="X0b7112a445e376104bc3322301c35d47e75954d"/>
      <w:r>
        <w:rPr/>
        <w:t>Renewal occurs by silence: at every review point, continuation proceeds automatically unless a Party tables a written amendment proposal within the review window. Where a decision stalls, the standing procedures of this Framework and its Annexes govern by default. A stalled budget question runs on the previous budget at the same level; a stalled schedule question runs on the previous schedule; a stalled procedure question runs on the existing annex text. No deadlock suspends, degrades, or re-prices any humanitarian operation.</w:t>
      </w:r>
      <w:bookmarkEnd w:id="77"/>
    </w:p>
    <w:p>
      <w:pPr>
        <w:pStyle w:val="Heading3"/>
        <w:rPr/>
      </w:pPr>
      <w:bookmarkStart w:id="78" w:name="exit-is-an-act-not-a-fade"/>
      <w:r>
        <w:rPr/>
        <w:t>6.7 Exit is an act, not a fade</w:t>
      </w:r>
    </w:p>
    <w:p>
      <w:pPr>
        <w:pStyle w:val="FirstParagraph"/>
        <w:rPr/>
      </w:pPr>
      <w:bookmarkStart w:id="79" w:name="part-i-foundations"/>
      <w:bookmarkStart w:id="80" w:name="article-6-the-continuity-guarantee"/>
      <w:bookmarkStart w:id="81" w:name="exit-is-an-act-not-a-fade"/>
      <w:r>
        <w:rPr/>
        <w:t>Withdrawal under Article 44.5 constitutes a deliberate, notified, time-buffered sovereign act executed through the notice ladder, with the humanitarian lanes operating at full standard throughout. Nothing in this Framework drifts away; everything either persists at full force or changes by joint written instrument.</w:t>
      </w:r>
      <w:bookmarkEnd w:id="79"/>
      <w:bookmarkEnd w:id="80"/>
      <w:bookmarkEnd w:id="81"/>
    </w:p>
    <w:p>
      <w:pPr>
        <w:pStyle w:val="Heading1"/>
        <w:rPr/>
      </w:pPr>
      <w:bookmarkStart w:id="82" w:name="__RefHeading___Toc4289_2903983697"/>
      <w:bookmarkStart w:id="83" w:name="X083b4c3d8be510008fb7e5a799abe511dbe486e"/>
      <w:bookmarkEnd w:id="82"/>
      <w:r>
        <w:rPr/>
        <w:t>Part II: The Release, Evacuation, and Protection of Seafarers</w:t>
      </w:r>
    </w:p>
    <w:p>
      <w:pPr>
        <w:pStyle w:val="Heading2"/>
        <w:rPr/>
      </w:pPr>
      <w:bookmarkStart w:id="84" w:name="__RefHeading___Toc4291_2903983697"/>
      <w:bookmarkStart w:id="85" w:name="Xa28788b17697d4c4a418b5621e11c723353663a"/>
      <w:bookmarkEnd w:id="84"/>
      <w:r>
        <w:rPr/>
        <w:t>Article 7: The Stranded Crew Evacuation Framework</w:t>
      </w:r>
    </w:p>
    <w:p>
      <w:pPr>
        <w:pStyle w:val="FirstParagraph"/>
        <w:rPr/>
      </w:pPr>
      <w:r>
        <w:rPr>
          <w:i/>
          <w:iCs/>
        </w:rPr>
        <w:t>See also Articles 8, 9, and 40, and Annexes A, B, and I.</w:t>
      </w:r>
    </w:p>
    <w:p>
      <w:pPr>
        <w:pStyle w:val="Heading3"/>
        <w:rPr/>
      </w:pPr>
      <w:bookmarkStart w:id="86" w:name="the-emergency"/>
      <w:r>
        <w:rPr/>
        <w:t>7.1 The emergency</w:t>
      </w:r>
    </w:p>
    <w:p>
      <w:pPr>
        <w:pStyle w:val="FirstParagraph"/>
        <w:rPr/>
      </w:pPr>
      <w:bookmarkStart w:id="87" w:name="the-emergency"/>
      <w:r>
        <w:rPr/>
        <w:t>As of this Framework’s drafting, approximately twenty thousand seafarers serve aboard more than three thousand vessels stranded in the Gulf. Many crews stand months beyond their contract terms. Fatigue degrades watchkeeping; trauma accumulates; food, fresh water, and medicine run short aboard vessels that loaded for a three-week voyage and now ride at anchor in their fifth month. This Part answers that emergency with a structured, verified, and unconditional evacuation architecture.</w:t>
      </w:r>
      <w:bookmarkEnd w:id="87"/>
    </w:p>
    <w:p>
      <w:pPr>
        <w:pStyle w:val="Heading3"/>
        <w:rPr/>
      </w:pPr>
      <w:bookmarkStart w:id="88" w:name="the-stranded-vessel-and-crew-registry"/>
      <w:r>
        <w:rPr/>
        <w:t>7.2 The Stranded Vessel and Crew Registry</w:t>
      </w:r>
    </w:p>
    <w:p>
      <w:pPr>
        <w:pStyle w:val="FirstParagraph"/>
        <w:rPr/>
      </w:pPr>
      <w:bookmarkStart w:id="89" w:name="the-stranded-vessel-and-crew-registry"/>
      <w:r>
        <w:rPr/>
        <w:t>Within 48 hours of entry into force, the Center opens the Stranded Vessel and Crew Registry. The Registry consolidates the vessel and crew data of the International Maritime Organization, the United Kingdom Maritime Trade Operations center, the Maritime Information Cooperation and Awareness Center of France, the flag states, the port states, and the coastal states. Each entry records: vessel identity and flag; position; crew count and nationalities; days at anchorage; medical status; provisions status in days of food, water, and medicine remaining; mechanical status; and cargo category. The Registry updates continuously, feeds the Portal of Article 28, and drives the sequencing of Article 8. A vessel’s presence in the Registry carries no legal consequence beyond the delivery of this Part’s protections.</w:t>
      </w:r>
      <w:bookmarkEnd w:id="89"/>
    </w:p>
    <w:p>
      <w:pPr>
        <w:pStyle w:val="Heading3"/>
        <w:rPr/>
      </w:pPr>
      <w:bookmarkStart w:id="90" w:name="X8f02c79445953008255cd0d82f5862f7b579f77"/>
      <w:r>
        <w:rPr/>
        <w:t>7.3 The initial stand-down and the Waiting Areas</w:t>
      </w:r>
    </w:p>
    <w:p>
      <w:pPr>
        <w:pStyle w:val="FirstParagraph"/>
        <w:rPr/>
      </w:pPr>
      <w:bookmarkStart w:id="91" w:name="X8f02c79445953008255cd0d82f5862f7b579f77"/>
      <w:r>
        <w:rPr/>
        <w:t>Upon entry into force, every stranded vessel remains in its current position and awaits contact. No vessel initiates movement toward the Strait or toward any designated area without instruction from the Center, because unsynchronized movement in mined and degraded navigation conditions kills. The Center establishes a designated Waiting Area off the coast of Oman, with coordinates published in the Notice to Mariners of Annex A, and designates supplementary waiting areas as traffic requires. The Center contacts each vessel individually, in the priority order of Article 8, and directs it to a Waiting Area or directly to an evacuation route. The contact arrives on the working channel and by the satellite backup channel simultaneously, and the master acknowledges by voice.</w:t>
      </w:r>
      <w:bookmarkEnd w:id="91"/>
    </w:p>
    <w:p>
      <w:pPr>
        <w:pStyle w:val="Heading3"/>
        <w:rPr/>
      </w:pPr>
      <w:bookmarkStart w:id="92" w:name="the-two-evacuation-routes"/>
      <w:r>
        <w:rPr/>
        <w:t>7.4 The two evacuation routes</w:t>
      </w:r>
    </w:p>
    <w:p>
      <w:pPr>
        <w:pStyle w:val="FirstParagraph"/>
        <w:rPr/>
      </w:pPr>
      <w:r>
        <w:rPr/>
        <w:t>Once contacted, each vessel’s operator and master choose between two evacuation routes:</w:t>
      </w:r>
    </w:p>
    <w:p>
      <w:pPr>
        <w:pStyle w:val="Compact"/>
        <w:numPr>
          <w:ilvl w:val="0"/>
          <w:numId w:val="9"/>
        </w:numPr>
        <w:rPr/>
      </w:pPr>
      <w:r>
        <w:rPr/>
        <w:t>Northern Route: coordinated by Iran, through Iranian waters, exiting eastbound past Larak Island along the certified track of Annex A, Table A.4.</w:t>
      </w:r>
    </w:p>
    <w:p>
      <w:pPr>
        <w:pStyle w:val="Compact"/>
        <w:numPr>
          <w:ilvl w:val="0"/>
          <w:numId w:val="10"/>
        </w:numPr>
        <w:rPr/>
      </w:pPr>
      <w:r>
        <w:rPr/>
        <w:t>Southern Route: coordinated by Oman with United States support, through Omani waters, exiting eastbound along the Musandam track of Annex A, Table A.5.</w:t>
      </w:r>
    </w:p>
    <w:p>
      <w:pPr>
        <w:pStyle w:val="FirstParagraph"/>
        <w:rPr/>
      </w:pPr>
      <w:bookmarkStart w:id="93" w:name="the-two-evacuation-routes"/>
      <w:r>
        <w:rPr/>
        <w:t>Both routes operate under identical safety standards, identical verification, and the identical Non-Interdiction Protocol of Article 12.4. The choice of route rests with the shipowner and the master, who conduct their own independent risk assessment before proceeding, with the Center’s hazard data, insurance-market guidance, and flag-state advice available to them through the Portal. The architecture excludes any steering of the choice by any Party: no incentive, no delay differential, no data asymmetry. The Neutral Passage Office audits the routing data monthly for any pattern that resembles steering, and publishes the audit.</w:t>
      </w:r>
      <w:bookmarkEnd w:id="93"/>
    </w:p>
    <w:p>
      <w:pPr>
        <w:pStyle w:val="Heading3"/>
        <w:rPr/>
      </w:pPr>
      <w:bookmarkStart w:id="94" w:name="movement-protocol"/>
      <w:r>
        <w:rPr/>
        <w:t>7.5 Movement protocol</w:t>
      </w:r>
    </w:p>
    <w:p>
      <w:pPr>
        <w:pStyle w:val="FirstParagraph"/>
        <w:rPr/>
      </w:pPr>
      <w:bookmarkStart w:id="95" w:name="movement-protocol"/>
      <w:r>
        <w:rPr/>
        <w:t>A vessel cleared to move transits under the following protocol: the Center issues a movement instruction stating the route, the track, the speed band of 8 to 12 knots, the spacing of 2 nautical miles from the vessel ahead, and the reporting points; the vessel reports by voice at each reporting point; the Blue Safe Monitor of Article 22 tracks the transit continuously; and the Center logs the completed transit within one hour of the vessel’s exit report. Movement occurs in daylight for the first fourteen days of evacuation operations, and around the clock thereafter upon the Neutral Passage Office’s certification of route integrity.</w:t>
      </w:r>
      <w:bookmarkEnd w:id="95"/>
    </w:p>
    <w:p>
      <w:pPr>
        <w:pStyle w:val="Heading3"/>
        <w:rPr/>
      </w:pPr>
      <w:bookmarkStart w:id="96" w:name="commencement-and-completion-targets"/>
      <w:r>
        <w:rPr/>
        <w:t>7.6 Commencement and completion targets</w:t>
      </w:r>
    </w:p>
    <w:p>
      <w:pPr>
        <w:pStyle w:val="FirstParagraph"/>
        <w:rPr/>
      </w:pPr>
      <w:bookmarkStart w:id="97" w:name="commencement-and-completion-targets"/>
      <w:r>
        <w:rPr/>
        <w:t>Evacuation movements commence within 72 hours of entry into force, per Article 40.2. The Center publishes a daily evacuation count and a projected completion curve. The architecture targets the movement or crew relief of every Registry vessel within 60 days, with the perishable-cargo, medical-emergency, and longest-standing vessels moving first per Article 8. The weekly report of Article 33.7 states performance against the target, and the Neutral Passage Office verifies the counts independently.</w:t>
      </w:r>
      <w:bookmarkEnd w:id="97"/>
    </w:p>
    <w:p>
      <w:pPr>
        <w:pStyle w:val="Heading3"/>
        <w:rPr/>
      </w:pPr>
      <w:bookmarkStart w:id="98" w:name="no-condition"/>
      <w:r>
        <w:rPr/>
        <w:t>7.7 No condition</w:t>
      </w:r>
    </w:p>
    <w:p>
      <w:pPr>
        <w:pStyle w:val="FirstParagraph"/>
        <w:rPr/>
      </w:pPr>
      <w:bookmarkStart w:id="99" w:name="Xa28788b17697d4c4a418b5621e11c723353663a"/>
      <w:bookmarkStart w:id="100" w:name="no-condition"/>
      <w:r>
        <w:rPr/>
        <w:t>The evacuation of seafarers proceeds without any condition. It waits on no negotiation, no payment, no documentation beyond identity and safety formalities, and no clearance by any Party beyond the safety certification of the route itself. A dispute on any other track, a Humanitarian Pause under Article 38, and a Suspended Flow for a mine hazard each leave the evacuation operating, rerouted around the hazard where safety requires. This Article implements Red Line RL-14.</w:t>
      </w:r>
      <w:bookmarkEnd w:id="99"/>
      <w:bookmarkEnd w:id="100"/>
    </w:p>
    <w:p>
      <w:pPr>
        <w:pStyle w:val="Heading2"/>
        <w:rPr/>
      </w:pPr>
      <w:bookmarkStart w:id="101" w:name="__RefHeading___Toc4293_2903983697"/>
      <w:bookmarkStart w:id="102" w:name="X99b3e85ccd3708340db648345d93265d33d5461"/>
      <w:bookmarkEnd w:id="101"/>
      <w:r>
        <w:rPr/>
        <w:t>Article 8: Prioritization, Sequencing, and Repatriation</w:t>
      </w:r>
    </w:p>
    <w:p>
      <w:pPr>
        <w:pStyle w:val="Heading3"/>
        <w:rPr/>
      </w:pPr>
      <w:bookmarkStart w:id="103" w:name="the-priority-order"/>
      <w:r>
        <w:rPr/>
        <w:t>8.1 The priority order</w:t>
      </w:r>
    </w:p>
    <w:p>
      <w:pPr>
        <w:pStyle w:val="FirstParagraph"/>
        <w:rPr/>
      </w:pPr>
      <w:r>
        <w:rPr/>
        <w:t>The Center sequences departures to minimize navigational risk, avoid congestion, and mitigate the risks of mines and degraded navigation conditions. The standing priority order ranks:</w:t>
      </w:r>
    </w:p>
    <w:p>
      <w:pPr>
        <w:pStyle w:val="Compact"/>
        <w:numPr>
          <w:ilvl w:val="0"/>
          <w:numId w:val="11"/>
        </w:numPr>
        <w:rPr/>
      </w:pPr>
      <w:r>
        <w:rPr/>
        <w:t>Vessels with a medical emergency aboard, immediate.</w:t>
      </w:r>
    </w:p>
    <w:p>
      <w:pPr>
        <w:pStyle w:val="Compact"/>
        <w:numPr>
          <w:ilvl w:val="0"/>
          <w:numId w:val="12"/>
        </w:numPr>
        <w:rPr/>
      </w:pPr>
      <w:r>
        <w:rPr/>
        <w:t>Vessels with provisions below seven days of food, water, or medicine.</w:t>
      </w:r>
    </w:p>
    <w:p>
      <w:pPr>
        <w:pStyle w:val="Compact"/>
        <w:numPr>
          <w:ilvl w:val="0"/>
          <w:numId w:val="13"/>
        </w:numPr>
        <w:rPr/>
      </w:pPr>
      <w:r>
        <w:rPr/>
        <w:t>Vessels carrying perishable or humanitarian cargo, in coordination with Part III.</w:t>
      </w:r>
    </w:p>
    <w:p>
      <w:pPr>
        <w:pStyle w:val="Compact"/>
        <w:numPr>
          <w:ilvl w:val="0"/>
          <w:numId w:val="14"/>
        </w:numPr>
        <w:rPr/>
      </w:pPr>
      <w:r>
        <w:rPr/>
        <w:t>Vessels with the longest-standing crews, measured by days at anchorage in the Registry.</w:t>
      </w:r>
    </w:p>
    <w:p>
      <w:pPr>
        <w:pStyle w:val="Compact"/>
        <w:numPr>
          <w:ilvl w:val="0"/>
          <w:numId w:val="15"/>
        </w:numPr>
        <w:rPr/>
      </w:pPr>
      <w:r>
        <w:rPr/>
        <w:t>Vessels in the most immediate physical danger, by the Center’s hazard assessment.</w:t>
      </w:r>
    </w:p>
    <w:p>
      <w:pPr>
        <w:pStyle w:val="Compact"/>
        <w:numPr>
          <w:ilvl w:val="0"/>
          <w:numId w:val="16"/>
        </w:numPr>
        <w:rPr/>
      </w:pPr>
      <w:r>
        <w:rPr/>
        <w:t>All other vessels, in Registry order by arrival date.</w:t>
      </w:r>
    </w:p>
    <w:p>
      <w:pPr>
        <w:pStyle w:val="FirstParagraph"/>
        <w:rPr/>
      </w:pPr>
      <w:bookmarkStart w:id="104" w:name="the-priority-order"/>
      <w:r>
        <w:rPr/>
        <w:t>The priority order binds the Center’s scheduling. An operator requests resequencing only on documented humanitarian or safety grounds, and the duty officer pair decides the request within 4 hours, on the record.</w:t>
      </w:r>
      <w:bookmarkEnd w:id="104"/>
    </w:p>
    <w:p>
      <w:pPr>
        <w:pStyle w:val="Heading3"/>
        <w:rPr/>
      </w:pPr>
      <w:bookmarkStart w:id="105" w:name="crew-repatriation"/>
      <w:r>
        <w:rPr/>
        <w:t>8.2 Crew repatriation</w:t>
      </w:r>
    </w:p>
    <w:p>
      <w:pPr>
        <w:pStyle w:val="FirstParagraph"/>
        <w:rPr/>
      </w:pPr>
      <w:bookmarkStart w:id="106" w:name="crew-repatriation"/>
      <w:r>
        <w:rPr/>
        <w:t>Repatriation of crews proceeds through the designated regional hubs of Annex I: Muscat and Salalah in Oman; Doha in Qatar; and Bandar Abbas in Iran for crews electing that routing. Flag states and the International Maritime Organization’s emergency fund bear the costs of repatriation flights and logistics, with the Humanitarian Operations Fund of Article 43 covering gaps within 48 hours of a documented shortfall so that no seafarer waits at a dock for an accounting question. The International Organization for Migration operates the hub logistics: reception, documentation support, medical screening, onward ticketing, and transit accommodation. Each hub publishes daily throughput to the Portal.</w:t>
      </w:r>
      <w:bookmarkEnd w:id="106"/>
    </w:p>
    <w:p>
      <w:pPr>
        <w:pStyle w:val="Heading3"/>
        <w:rPr/>
      </w:pPr>
      <w:bookmarkStart w:id="107" w:name="crew-changes"/>
      <w:r>
        <w:rPr/>
        <w:t>8.3 Crew changes</w:t>
      </w:r>
    </w:p>
    <w:p>
      <w:pPr>
        <w:pStyle w:val="FirstParagraph"/>
        <w:rPr/>
      </w:pPr>
      <w:bookmarkStart w:id="108" w:name="crew-changes"/>
      <w:r>
        <w:rPr/>
        <w:t>Facilitated crew changes at the designated hubs replace exhausted seafarers with fresh relief personnel for vessels whose operators elect to keep ships in service or at safe anchorage rather than evacuate. The Center coordinates crew change windows with the corridor schedule so that crew boats and launches move inside the same protected geometry as the merchant traffic. A crew change follows the same notification, verification, and non-interference rules as a vessel transit, and the architecture excludes any immigration or documentation obstacle that functions as a delay of more than 72 hours.</w:t>
      </w:r>
      <w:bookmarkEnd w:id="108"/>
    </w:p>
    <w:p>
      <w:pPr>
        <w:pStyle w:val="Heading3"/>
        <w:rPr/>
      </w:pPr>
      <w:bookmarkStart w:id="109" w:name="the-crew-welfare-minimum"/>
      <w:r>
        <w:rPr/>
        <w:t>8.4 The crew welfare minimum</w:t>
      </w:r>
    </w:p>
    <w:p>
      <w:pPr>
        <w:pStyle w:val="FirstParagraph"/>
        <w:rPr/>
      </w:pPr>
      <w:bookmarkStart w:id="110" w:name="X99b3e85ccd3708340db648345d93265d33d5461"/>
      <w:bookmarkStart w:id="111" w:name="the-crew-welfare-minimum"/>
      <w:r>
        <w:rPr/>
        <w:t>From entry into force, every stranded crew receives, through the Resupply Protocol of Article 25: potable water to the Maritime Labour Convention standard; food for a minimum of fourteen days forward; medical supplies against a published formulary; and communication access to families through the Center’s welfare channel, at no cost to the seafarer. The weekly report of Article 33.7 publishes provisions status across the Registry in aggregate, flag by flag, so that no crew’s plight hides inside a national statistic.</w:t>
      </w:r>
      <w:bookmarkEnd w:id="110"/>
      <w:bookmarkEnd w:id="111"/>
    </w:p>
    <w:p>
      <w:pPr>
        <w:pStyle w:val="Heading2"/>
        <w:rPr/>
      </w:pPr>
      <w:bookmarkStart w:id="112" w:name="__RefHeading___Toc4295_2903983697"/>
      <w:bookmarkStart w:id="113" w:name="X70b8e98d0ec77cc25d0e0557504c71303fe6fb1"/>
      <w:bookmarkEnd w:id="112"/>
      <w:r>
        <w:rPr/>
        <w:t>Article 9: Seafarer Welfare, Medical Access, and Non-Prosecution</w:t>
      </w:r>
    </w:p>
    <w:p>
      <w:pPr>
        <w:pStyle w:val="Heading3"/>
        <w:rPr/>
      </w:pPr>
      <w:bookmarkStart w:id="114" w:name="medical-access-and-the-emergency-hotline"/>
      <w:r>
        <w:rPr/>
        <w:t>9.1 Medical access and the emergency hotline</w:t>
      </w:r>
    </w:p>
    <w:p>
      <w:pPr>
        <w:pStyle w:val="FirstParagraph"/>
        <w:rPr/>
      </w:pPr>
      <w:bookmarkStart w:id="115" w:name="medical-access-and-the-emergency-hotline"/>
      <w:r>
        <w:rPr/>
        <w:t>Every stranded crew holds immediate access to medical care, food, and water. The Center operates a 24-hour medical emergency hotline connecting the vessel, the Center’s medical desk, and the coastal states’ medical evacuation services. A medical emergency triggers the following sequence automatically: the hotline logs the call; the nearest coastal state’s medical evacuation asset launches within 2 hours of the duty officer pair’s confirmation of severity; and the receiving port admits the patient without reference to nationality, flag, or the state of any negotiation. A serious medical case qualifies the vessel for the medical-priority tier of Article 8.1.</w:t>
      </w:r>
      <w:bookmarkEnd w:id="115"/>
    </w:p>
    <w:p>
      <w:pPr>
        <w:pStyle w:val="Heading3"/>
        <w:rPr/>
      </w:pPr>
      <w:bookmarkStart w:id="116" w:name="mental-health-support"/>
      <w:r>
        <w:rPr/>
        <w:t>9.2 Mental health support</w:t>
      </w:r>
    </w:p>
    <w:p>
      <w:pPr>
        <w:pStyle w:val="FirstParagraph"/>
        <w:rPr/>
      </w:pPr>
      <w:bookmarkStart w:id="117" w:name="mental-health-support"/>
      <w:r>
        <w:rPr/>
        <w:t>The Framework provides structured mental health support for crews suffering fatigue and trauma from prolonged confinement and uncertainty. The program comprises: a confidential counseling line in the principal seafarer languages, staffed continuously; telemedicine sessions with clinical psychologists through the hub telemedicine links; a peer-support network coordinated by seafarer welfare organizations; and a mandatory post-repatriation screening offered at each hub. The welfare organizations’ reports reach the Council quarterly in aggregate, anonymized form.</w:t>
      </w:r>
      <w:bookmarkEnd w:id="117"/>
    </w:p>
    <w:p>
      <w:pPr>
        <w:pStyle w:val="Heading3"/>
        <w:rPr/>
      </w:pPr>
      <w:bookmarkStart w:id="118" w:name="consular-access"/>
      <w:r>
        <w:rPr/>
        <w:t>9.3 Consular access</w:t>
      </w:r>
    </w:p>
    <w:p>
      <w:pPr>
        <w:pStyle w:val="FirstParagraph"/>
        <w:rPr/>
      </w:pPr>
      <w:bookmarkStart w:id="119" w:name="consular-access"/>
      <w:r>
        <w:rPr/>
        <w:t>Flag states hold consular access to their nationals within 24 hours of request, whether the crew stands at anchor, in a Waiting Area, in a hub, or in any form of detention addressed by Article 11. The coastal state holding physical jurisdiction facilitates the access, and the Center logs every consular visit. The architecture excludes any condition on consular access.</w:t>
      </w:r>
      <w:bookmarkEnd w:id="119"/>
    </w:p>
    <w:p>
      <w:pPr>
        <w:pStyle w:val="Heading3"/>
        <w:rPr/>
      </w:pPr>
      <w:bookmarkStart w:id="120" w:name="protection-from-collective-treatment"/>
      <w:r>
        <w:rPr/>
        <w:t>9.4 Protection from collective treatment</w:t>
      </w:r>
    </w:p>
    <w:p>
      <w:pPr>
        <w:pStyle w:val="FirstParagraph"/>
        <w:rPr/>
      </w:pPr>
      <w:bookmarkStart w:id="121" w:name="protection-from-collective-treatment"/>
      <w:r>
        <w:rPr/>
        <w:t>No crew faces treatment as a collective proxy for the conduct of any state. The architecture excludes the use of seafarers, vessels, or crews as leverage in any negotiation, by any Party, at any time. A documented instance of leverage conduct classifies under Annex E as a category H-1 event, the highest humanitarian category, and triggers the Council’s mandatory session under Article 32.4.</w:t>
      </w:r>
      <w:bookmarkEnd w:id="121"/>
    </w:p>
    <w:p>
      <w:pPr>
        <w:pStyle w:val="Heading3"/>
        <w:rPr/>
      </w:pPr>
      <w:bookmarkStart w:id="122" w:name="wages-and-contracts"/>
      <w:r>
        <w:rPr/>
        <w:t>9.5 Wages and contracts</w:t>
      </w:r>
    </w:p>
    <w:p>
      <w:pPr>
        <w:pStyle w:val="FirstParagraph"/>
        <w:rPr/>
      </w:pPr>
      <w:bookmarkStart w:id="123" w:name="wages-and-contracts"/>
      <w:r>
        <w:rPr/>
        <w:t>The Framework reminds, without prejudice to contract terms, that the Maritime Labour Convention places wages, repatriation cost, and medical care on the shipowner, and that abandonment of a crew constitutes a violation of that Convention wherever the vessel floats. The Portal publishes a monthly abandonment watch list compiled from flag-state and welfare-organization reports, and the Council refers persistent abandonment cases to the International Labour Organization’s supervisory mechanisms.</w:t>
      </w:r>
      <w:bookmarkEnd w:id="123"/>
    </w:p>
    <w:p>
      <w:pPr>
        <w:pStyle w:val="Heading3"/>
        <w:rPr/>
      </w:pPr>
      <w:bookmarkStart w:id="124" w:name="the-non-prosecution-covenant"/>
      <w:r>
        <w:rPr/>
        <w:t>9.6 The Non-Prosecution Covenant</w:t>
      </w:r>
    </w:p>
    <w:p>
      <w:pPr>
        <w:pStyle w:val="FirstParagraph"/>
        <w:rPr/>
      </w:pPr>
      <w:bookmarkStart w:id="125" w:name="X70b8e98d0ec77cc25d0e0557504c71303fe6fb1"/>
      <w:bookmarkStart w:id="126" w:name="the-non-prosecution-covenant"/>
      <w:r>
        <w:rPr/>
        <w:t>No seafarer faces detention, interrogation, or prosecution solely for the act of transiting the Strait, serving aboard a stranded or detained vessel, or performing duties connected with the conflict-time movement of commercial cargo. The Covenant binds every Party and every authority under a Party’s jurisdiction. It excludes no nationality and no rank. The Covenant does not immunize conduct constituting a recognized crime under ordinary maritime law, such as piracy, trafficking, or deliberate pollution; it immunizes presence, service, and transit. A prosecution touching presence, service, or transit alone triggers Article 37’s highest classification and immediate referral to the Guarantor and Facilitation Panel described in Article 39.3. This Article implements Red Line RL-2.</w:t>
      </w:r>
      <w:bookmarkEnd w:id="125"/>
      <w:bookmarkEnd w:id="126"/>
    </w:p>
    <w:p>
      <w:pPr>
        <w:pStyle w:val="Heading2"/>
        <w:rPr/>
      </w:pPr>
      <w:bookmarkStart w:id="127" w:name="__RefHeading___Toc4297_2903983697"/>
      <w:bookmarkStart w:id="128" w:name="Xf46a906a52ab1a771c682d0b59c45947799b651"/>
      <w:bookmarkEnd w:id="127"/>
      <w:r>
        <w:rPr/>
        <w:t>Article 10: Vessel Maintenance, Spare Parts, and Environmental Safeguards</w:t>
      </w:r>
    </w:p>
    <w:p>
      <w:pPr>
        <w:pStyle w:val="Heading3"/>
        <w:rPr/>
      </w:pPr>
      <w:bookmarkStart w:id="129" w:name="the-mechanical-risk"/>
      <w:r>
        <w:rPr/>
        <w:t>10.1 The mechanical risk</w:t>
      </w:r>
    </w:p>
    <w:p>
      <w:pPr>
        <w:pStyle w:val="FirstParagraph"/>
        <w:rPr/>
      </w:pPr>
      <w:bookmarkStart w:id="130" w:name="the-mechanical-risk"/>
      <w:r>
        <w:rPr/>
        <w:t>Thousands of vessels at prolonged anchor accumulate mechanical risk: fouled intakes, degraded fuel, seized machinery, corroded fittings, and expiring safety equipment. A disabled laden tanker in confined water threatens every shore. The Framework therefore treats vessel maintenance as humanitarian and environmental infrastructure, not as commerce.</w:t>
      </w:r>
      <w:bookmarkEnd w:id="130"/>
    </w:p>
    <w:p>
      <w:pPr>
        <w:pStyle w:val="Heading3"/>
        <w:rPr/>
      </w:pPr>
      <w:bookmarkStart w:id="131" w:name="spare-parts-and-technician-access"/>
      <w:r>
        <w:rPr/>
        <w:t>10.2 Spare parts and technician access</w:t>
      </w:r>
    </w:p>
    <w:p>
      <w:pPr>
        <w:pStyle w:val="FirstParagraph"/>
        <w:rPr/>
      </w:pPr>
      <w:bookmarkStart w:id="132" w:name="spare-parts-and-technician-access"/>
      <w:r>
        <w:rPr/>
        <w:t>The Joint Resupply Protocol of Article 25 and the access channel of Article 27 together permit specialized technicians and spare parts to reach stranded vessels to prevent environmental disaster and to restore safe maneuvering. The channel operates on a notification basis through the Center: the operator files the two-part form of Annex G stating the parts, the technicians, and the vessel; the Center acknowledges within 12 hours; the movement executes inside the protected geometry. The architecture excludes any charge, license fee, or condition on this channel, and excludes any inspection of the technicians’ persons or tools beyond ordinary safety screening at the point of embarkation.</w:t>
      </w:r>
      <w:bookmarkEnd w:id="132"/>
    </w:p>
    <w:p>
      <w:pPr>
        <w:pStyle w:val="Heading3"/>
        <w:rPr/>
      </w:pPr>
      <w:bookmarkStart w:id="133" w:name="the-at-risk-vessel-watch"/>
      <w:r>
        <w:rPr/>
        <w:t>10.3 The at-risk vessel watch</w:t>
      </w:r>
    </w:p>
    <w:p>
      <w:pPr>
        <w:pStyle w:val="FirstParagraph"/>
        <w:rPr/>
      </w:pPr>
      <w:bookmarkStart w:id="134" w:name="the-at-risk-vessel-watch"/>
      <w:r>
        <w:rPr/>
        <w:t>The Center maintains an at-risk vessel watch list: vessels with reported mechanical degradation, vessels with dangerous cargoes and impaired systems, and vessels whose crews report hull or machinery concerns. Each listed vessel receives a joint condition assessment within 7 days of listing, conducted by a classification society surveyor where available and by a coastal-state technical team under Neutral Passage observation where classification attendance proves impracticable. The assessment publishes in summary to the Portal.</w:t>
      </w:r>
      <w:bookmarkEnd w:id="134"/>
    </w:p>
    <w:p>
      <w:pPr>
        <w:pStyle w:val="Heading3"/>
        <w:rPr/>
      </w:pPr>
      <w:bookmarkStart w:id="135" w:name="environmental-protection"/>
      <w:r>
        <w:rPr/>
        <w:t>10.4 Environmental protection</w:t>
      </w:r>
    </w:p>
    <w:p>
      <w:pPr>
        <w:pStyle w:val="FirstParagraph"/>
        <w:rPr/>
      </w:pPr>
      <w:bookmarkStart w:id="136" w:name="environmental-protection"/>
      <w:r>
        <w:rPr/>
        <w:t>The Parties cooperate to prevent pollution and environmental damage from stranded vessels, including through shared information on vessels at risk of hull breach or mechanical failure. The standing spill-response roster of Annex A, Table A.9 positions contracted response capacity at the eastern and western approaches on 2-hour notice, funded through the Humanitarian Operations Fund. A pollution event activates the incident protocol of Article 29 and the response schedule of Annex E simultaneously, and response never waits on attribution.</w:t>
      </w:r>
      <w:bookmarkEnd w:id="136"/>
    </w:p>
    <w:p>
      <w:pPr>
        <w:pStyle w:val="Heading3"/>
        <w:rPr/>
      </w:pPr>
      <w:bookmarkStart w:id="137" w:name="anchorages-and-safe-layup"/>
      <w:r>
        <w:rPr/>
        <w:t>10.5 Anchorages and safe layup</w:t>
      </w:r>
    </w:p>
    <w:p>
      <w:pPr>
        <w:pStyle w:val="FirstParagraph"/>
        <w:rPr/>
      </w:pPr>
      <w:bookmarkStart w:id="138" w:name="Xf46a906a52ab1a771c682d0b59c45947799b651"/>
      <w:bookmarkStart w:id="139" w:name="anchorages-and-safe-layup"/>
      <w:r>
        <w:rPr/>
        <w:t>Operators electing extended layup move vessels to the designated holding anchorages of Annex A, Table A.7, where water depth, holding ground, and separation from the corridors reduce risk. The Center’s anchorages desk assigns positions, monitors swing circles, and schedules the rotation of laid-up vessels toward the hubs for crew change. Layup inside a designated anchorage carries no port charge, no anchorage fee, and no condition.</w:t>
      </w:r>
      <w:bookmarkEnd w:id="138"/>
      <w:bookmarkEnd w:id="139"/>
    </w:p>
    <w:p>
      <w:pPr>
        <w:pStyle w:val="Heading2"/>
        <w:rPr/>
      </w:pPr>
      <w:bookmarkStart w:id="140" w:name="__RefHeading___Toc4299_2903983697"/>
      <w:bookmarkStart w:id="141" w:name="article-11-detained-vessels-and-crews"/>
      <w:bookmarkEnd w:id="140"/>
      <w:r>
        <w:rPr/>
        <w:t>Article 11: Detained Vessels and Crews</w:t>
      </w:r>
    </w:p>
    <w:p>
      <w:pPr>
        <w:pStyle w:val="Heading3"/>
        <w:rPr/>
      </w:pPr>
      <w:bookmarkStart w:id="142" w:name="the-principle"/>
      <w:r>
        <w:rPr/>
        <w:t>11.1 The principle</w:t>
      </w:r>
    </w:p>
    <w:p>
      <w:pPr>
        <w:pStyle w:val="FirstParagraph"/>
        <w:rPr/>
      </w:pPr>
      <w:bookmarkStart w:id="143" w:name="the-principle"/>
      <w:r>
        <w:rPr/>
        <w:t>The Framework treats every detention of a merchant vessel connected with the conflict as a humanitarian matter first and a legal matter second. Crews eat, receive medical care, communicate with families and consuls, and go home on the Article 8 timelines regardless of the disposition of the hull. The vessel’s legal status follows the process of this Article; the human beings aboard never follow the vessel into limbo.</w:t>
      </w:r>
      <w:bookmarkEnd w:id="143"/>
    </w:p>
    <w:p>
      <w:pPr>
        <w:pStyle w:val="Heading3"/>
        <w:rPr/>
      </w:pPr>
      <w:bookmarkStart w:id="144" w:name="the-detained-vessel-registry"/>
      <w:r>
        <w:rPr/>
        <w:t>11.2 The Detained Vessel Registry</w:t>
      </w:r>
    </w:p>
    <w:p>
      <w:pPr>
        <w:pStyle w:val="FirstParagraph"/>
        <w:rPr/>
      </w:pPr>
      <w:bookmarkStart w:id="145" w:name="the-detained-vessel-registry"/>
      <w:r>
        <w:rPr/>
        <w:t>Within 72 hours of entry into force, each Party files with the Center a complete list of merchant vessels and crews it holds, controls, or directs to remain, wherever held. The Center consolidates the lists into the Detained Vessel Registry, states for each entry the asserted basis of detention as the holding Party describes it, and publishes the Registry to all Parties simultaneously. The filing of a list entry constitutes no admission of any legal position by any Party, and the omission of a vessel from a Party’s filing, where the vessel’s detention later surfaces, classifies under Annex E as a category H-2 event.</w:t>
      </w:r>
      <w:bookmarkEnd w:id="145"/>
    </w:p>
    <w:p>
      <w:pPr>
        <w:pStyle w:val="Heading3"/>
        <w:rPr/>
      </w:pPr>
      <w:bookmarkStart w:id="146" w:name="crew-release"/>
      <w:r>
        <w:rPr/>
        <w:t>11.3 Crew release</w:t>
      </w:r>
    </w:p>
    <w:p>
      <w:pPr>
        <w:pStyle w:val="FirstParagraph"/>
        <w:rPr/>
      </w:pPr>
      <w:bookmarkStart w:id="147" w:name="crew-release"/>
      <w:r>
        <w:rPr/>
        <w:t>Crews of detained vessels hold an unconditional right to repatriation through the hub system of Article 8.2. A holding Party releases the crew within 7 days of the vessel’s Registry entry, except only where an individual seafarer faces a specific, individualized criminal charge for conduct outside the Non-Prosecution Covenant, stated in writing to the Center and to the flag state. A generalized or collective basis for holding a crew fails automatically.</w:t>
      </w:r>
      <w:bookmarkEnd w:id="147"/>
    </w:p>
    <w:p>
      <w:pPr>
        <w:pStyle w:val="Heading3"/>
        <w:rPr/>
      </w:pPr>
      <w:bookmarkStart w:id="148" w:name="vessel-disposition"/>
      <w:r>
        <w:rPr/>
        <w:t>11.4 Vessel disposition</w:t>
      </w:r>
    </w:p>
    <w:p>
      <w:pPr>
        <w:pStyle w:val="FirstParagraph"/>
        <w:rPr/>
      </w:pPr>
      <w:bookmarkStart w:id="149" w:name="vessel-disposition"/>
      <w:r>
        <w:rPr/>
        <w:t>The disposition of detained hulls follows the tiered track: vessels held without a stated basis release within 30 days of entry into force; vessels held under a stated legal basis proceed to the disposition review of the Technical Committee of Article 33.5, which examines documentation and recommends release, bonded release, or referral to the dispute resolution of Article 39; vessels whose cargo qualifies as humanitarian cargo under Annex C discharge or transship that cargo immediately under Part III regardless of the hull’s status. No disposition step touches the crew, who stand already released under Article 11.3.</w:t>
      </w:r>
      <w:bookmarkEnd w:id="149"/>
    </w:p>
    <w:p>
      <w:pPr>
        <w:pStyle w:val="Heading3"/>
        <w:rPr/>
      </w:pPr>
      <w:bookmarkStart w:id="150" w:name="no-new-detention"/>
      <w:r>
        <w:rPr/>
        <w:t>11.5 No new detention</w:t>
      </w:r>
    </w:p>
    <w:p>
      <w:pPr>
        <w:pStyle w:val="FirstParagraph"/>
        <w:rPr/>
      </w:pPr>
      <w:bookmarkStart w:id="151" w:name="X083b4c3d8be510008fb7e5a799abe511dbe486e"/>
      <w:bookmarkStart w:id="152" w:name="article-11-detained-vessels-and-crews"/>
      <w:bookmarkStart w:id="153" w:name="no-new-detention"/>
      <w:r>
        <w:rPr/>
        <w:t>From entry into force, the architecture excludes the detention of any additional merchant vessel inside the Governance Area, except only the Anchor-and-Verify procedure of Annex B, Section B.9, executed exactly as written for a documented, evidence-backed cargo question, and never exceeding 72 hours at anchor. A detention outside that procedure classifies as a category H-1 event and triggers the restoration pathway of Article 38 with the vessel’s release as the first restoration step.</w:t>
      </w:r>
      <w:bookmarkEnd w:id="151"/>
      <w:bookmarkEnd w:id="152"/>
      <w:bookmarkEnd w:id="153"/>
    </w:p>
    <w:p>
      <w:pPr>
        <w:pStyle w:val="Heading1"/>
        <w:rPr/>
      </w:pPr>
      <w:bookmarkStart w:id="154" w:name="__RefHeading___Toc4301_2903983697"/>
      <w:bookmarkStart w:id="155" w:name="Xad8e34dc2e8b4e36f1102e260b99836e6fcae94"/>
      <w:bookmarkEnd w:id="154"/>
      <w:r>
        <w:rPr/>
        <w:t>Part III: The Humanitarian Corridor and Safe Passage</w:t>
      </w:r>
    </w:p>
    <w:p>
      <w:pPr>
        <w:pStyle w:val="Heading2"/>
        <w:rPr/>
      </w:pPr>
      <w:bookmarkStart w:id="156" w:name="__RefHeading___Toc4303_2903983697"/>
      <w:bookmarkStart w:id="157" w:name="X86ec8020b2b951cac1dfbebd9d14230ddb4df3c"/>
      <w:bookmarkEnd w:id="156"/>
      <w:r>
        <w:rPr/>
        <w:t>Article 12: The Designated Humanitarian and Agricultural Lane</w:t>
      </w:r>
    </w:p>
    <w:p>
      <w:pPr>
        <w:pStyle w:val="Heading3"/>
        <w:rPr/>
      </w:pPr>
      <w:bookmarkStart w:id="158" w:name="establishment-and-purpose"/>
      <w:r>
        <w:rPr/>
        <w:t>12.1 Establishment and purpose</w:t>
      </w:r>
    </w:p>
    <w:p>
      <w:pPr>
        <w:pStyle w:val="FirstParagraph"/>
        <w:rPr/>
      </w:pPr>
      <w:bookmarkStart w:id="159" w:name="establishment-and-purpose"/>
      <w:r>
        <w:rPr/>
        <w:t>The Parties establish a dedicated humanitarian corridor through the Governance Area to facilitate the passage of vessels carrying humanitarian aid and essential agricultural goods: food, medicine, medical equipment, fertilizer, and the raw materials of fertilizer production. The corridor operates as a marked, verified, monitored lane inside each of the evacuation route geometries of Article 7.4, so that humanitarian traffic rides the safest water the system holds.</w:t>
      </w:r>
      <w:bookmarkEnd w:id="159"/>
    </w:p>
    <w:p>
      <w:pPr>
        <w:pStyle w:val="Heading3"/>
        <w:rPr/>
      </w:pPr>
      <w:bookmarkStart w:id="160" w:name="legal-foundation"/>
      <w:r>
        <w:rPr/>
        <w:t>12.2 Legal foundation</w:t>
      </w:r>
    </w:p>
    <w:p>
      <w:pPr>
        <w:pStyle w:val="FirstParagraph"/>
        <w:rPr/>
      </w:pPr>
      <w:bookmarkStart w:id="161" w:name="legal-foundation"/>
      <w:r>
        <w:rPr/>
        <w:t>The corridor operates under the legal framework of the Maritime Labour Convention and the International Convention for the Safety of Life at Sea, which mandate the protection and well-being of crew members and the safe passage of humanitarian goods, together with the transit passage regime and the humanitarian relief duties stated in Article 2.3. The corridor’s rules implement these obligations as an organized service architecture.</w:t>
      </w:r>
      <w:bookmarkEnd w:id="161"/>
    </w:p>
    <w:p>
      <w:pPr>
        <w:pStyle w:val="Heading3"/>
        <w:rPr/>
      </w:pPr>
      <w:bookmarkStart w:id="162" w:name="physical-description"/>
      <w:r>
        <w:rPr/>
        <w:t>12.3 Physical description</w:t>
      </w:r>
    </w:p>
    <w:p>
      <w:pPr>
        <w:pStyle w:val="FirstParagraph"/>
        <w:rPr/>
      </w:pPr>
      <w:bookmarkStart w:id="163" w:name="physical-description"/>
      <w:r>
        <w:rPr/>
        <w:t>Annex A, Tables A.2 and A.3 state the corridor geometry: a two-nautical-mile lane inside each route track, marked by the reporting points of Annex A, Table A.8, monitored continuously by the Blue Safe Monitor, and cleared to the certified standard of the hazard protocol of Article 21.3. Humanitarian vessels transit singly or in scheduled pairs at 10 to 12 knots, with 3 nautical mile separation from any non-humanitarian movement in the same window.</w:t>
      </w:r>
      <w:bookmarkEnd w:id="163"/>
    </w:p>
    <w:p>
      <w:pPr>
        <w:pStyle w:val="Heading3"/>
        <w:rPr/>
      </w:pPr>
      <w:bookmarkStart w:id="164" w:name="X5a630bbe51b819c1d571b596129007ccb5cb926"/>
      <w:r>
        <w:rPr/>
        <w:t>12.4 The Non-Interdiction Protocol applied to the lane</w:t>
      </w:r>
    </w:p>
    <w:p>
      <w:pPr>
        <w:pStyle w:val="FirstParagraph"/>
        <w:rPr/>
      </w:pPr>
      <w:bookmarkStart w:id="165" w:name="X5a630bbe51b819c1d571b596129007ccb5cb926"/>
      <w:r>
        <w:rPr/>
        <w:t>Humanitarian transit operates under an absolute non-interdiction protocol within the Governance Area. The protocol binds every organ of every Party, every force under their command or coordination, and every external force whose state adheres under Article 44.4: no humanitarian vessel faces attack, seizure, boarding for enforcement, harassment, diversion, or detention within the Governance Area, under any circumstance including armed conflict between any states. The protocol admits no exception for flag, ownership, consignee, cargo origin, or insurer. The United Nations clearance of Article 13 constitutes the sole documentary predicate, and the clearance travels with the vessel as an electronic marker visible to every watch floor.</w:t>
      </w:r>
      <w:bookmarkEnd w:id="165"/>
    </w:p>
    <w:p>
      <w:pPr>
        <w:pStyle w:val="Heading3"/>
        <w:rPr/>
      </w:pPr>
      <w:bookmarkStart w:id="166" w:name="the-zero-condition-rule"/>
      <w:r>
        <w:rPr/>
        <w:t>12.5 The Zero-Condition Rule</w:t>
      </w:r>
    </w:p>
    <w:p>
      <w:pPr>
        <w:pStyle w:val="FirstParagraph"/>
        <w:rPr/>
      </w:pPr>
      <w:bookmarkStart w:id="167" w:name="the-zero-condition-rule"/>
      <w:r>
        <w:rPr/>
        <w:t>No charge, fee, toll, license, permission step, or condition of any kind attaches to the passage of a cleared humanitarian vessel through the corridor. The architecture defines as a prohibited condition any measure whose amount, timing, or operation attaches to the vessel’s movement, regardless of label. This Article implements Red Line RL-5 and sits inside the protected core of Article 35.4.</w:t>
      </w:r>
      <w:bookmarkEnd w:id="167"/>
    </w:p>
    <w:p>
      <w:pPr>
        <w:pStyle w:val="Heading3"/>
        <w:rPr/>
      </w:pPr>
      <w:bookmarkStart w:id="168" w:name="cargo-scope-at-establishment"/>
      <w:r>
        <w:rPr/>
        <w:t>12.6 Cargo scope at establishment</w:t>
      </w:r>
    </w:p>
    <w:p>
      <w:pPr>
        <w:pStyle w:val="FirstParagraph"/>
        <w:rPr/>
      </w:pPr>
      <w:bookmarkStart w:id="169" w:name="X86ec8020b2b951cac1dfbebd9d14230ddb4df3c"/>
      <w:bookmarkStart w:id="170" w:name="cargo-scope-at-establishment"/>
      <w:r>
        <w:rPr/>
        <w:t>At entry into force, the corridor carries the cargo categories of Annex C, Schedule 1: food and food ingredients; medicine and medical equipment; fertilizer and its raw materials; water purification and sanitation equipment; shelter materials; and the personnel and equipment of established humanitarian agencies. The expansion mechanism of Article 15 extends the scope on the published two-phase schedule.</w:t>
      </w:r>
      <w:bookmarkEnd w:id="169"/>
      <w:bookmarkEnd w:id="170"/>
    </w:p>
    <w:p>
      <w:pPr>
        <w:pStyle w:val="Heading2"/>
        <w:rPr/>
      </w:pPr>
      <w:bookmarkStart w:id="171" w:name="__RefHeading___Toc4305_2903983697"/>
      <w:bookmarkStart w:id="172" w:name="X30ef15504980e7a10b2939e35172dce0b840cd4"/>
      <w:bookmarkEnd w:id="171"/>
      <w:r>
        <w:rPr/>
        <w:t>Article 13: The United Nations Operated Mechanism</w:t>
      </w:r>
    </w:p>
    <w:p>
      <w:pPr>
        <w:pStyle w:val="Heading3"/>
        <w:rPr/>
      </w:pPr>
      <w:bookmarkStart w:id="173" w:name="leadership"/>
      <w:r>
        <w:rPr/>
        <w:t>13.1 Leadership</w:t>
      </w:r>
    </w:p>
    <w:p>
      <w:pPr>
        <w:pStyle w:val="FirstParagraph"/>
        <w:rPr/>
      </w:pPr>
      <w:bookmarkStart w:id="174" w:name="leadership"/>
      <w:r>
        <w:rPr/>
        <w:t>The United Nations Secretary-General’s Special Task Force leads the operational and diplomatic tracks of the humanitarian corridor. The operational track sits under the Under-Secretary-General serving as Executive Director of the United Nations Office for Project Services, which carries the corridor’s logistics, inspection contracting, and port coordination. The diplomatic track sits under the Secretary-General’s Personal Envoy for the Middle East conflict, a veteran diplomat carrying the Parties’ political questions to the Council and to the capitals. The Task Force reports to the Council monthly and to the Secretary-General continuously.</w:t>
      </w:r>
      <w:bookmarkEnd w:id="174"/>
    </w:p>
    <w:p>
      <w:pPr>
        <w:pStyle w:val="Heading3"/>
        <w:rPr/>
      </w:pPr>
      <w:bookmarkStart w:id="175" w:name="the-clearance-function"/>
      <w:r>
        <w:rPr/>
        <w:t>13.2 The clearance function</w:t>
      </w:r>
    </w:p>
    <w:p>
      <w:pPr>
        <w:pStyle w:val="FirstParagraph"/>
        <w:rPr/>
      </w:pPr>
      <w:bookmarkStart w:id="176" w:name="the-clearance-function"/>
      <w:r>
        <w:rPr/>
        <w:t>The Task Force operates the clearance function on the model of the Black Sea Joint Coordination Centre: a vessel’s operator files the humanitarian cargo declaration of Annex G with the Task Force’s clearing office; the office verifies the declaration against the Cargo Schedule, the consignee’s standing, and the risk indicators; and the office issues the electronic clearance marker within 24 hours of a complete filing. The marker states the vessel, the cargo category, the lane, and the validity window. The marker is the sole documentary predicate for corridor transit, and no Party adds any document, stamp, or step.</w:t>
      </w:r>
      <w:bookmarkEnd w:id="176"/>
    </w:p>
    <w:p>
      <w:pPr>
        <w:pStyle w:val="Heading3"/>
        <w:rPr/>
      </w:pPr>
      <w:bookmarkStart w:id="177" w:name="verification-and-inspection"/>
      <w:r>
        <w:rPr/>
        <w:t>13.3 Verification and inspection</w:t>
      </w:r>
    </w:p>
    <w:p>
      <w:pPr>
        <w:pStyle w:val="FirstParagraph"/>
        <w:rPr/>
      </w:pPr>
      <w:bookmarkStart w:id="178" w:name="verification-and-inspection"/>
      <w:r>
        <w:rPr/>
        <w:t>United Nations monitors deploy to the ports of Saudi Arabia, Qatar, Bahrain, Kuwait, Iraq, the United Arab Emirates, and Iran to verify cargo and to confirm compliance at loading and discharge. Inspection follows the risk-based UNVIM model: documentary verification for every cleared vessel; physical inspection on a risk basis and by lot, at the loading or discharge port, never at sea inside the Governance Area. Monitors hold access to manifests, holds relevant to the declared cargo, and port records for cleared consignments. An inspection finding of undeclared weapons or contraband routes to the dispute track of Article 39 with the vessel held at port, never boarded at sea.</w:t>
      </w:r>
      <w:bookmarkEnd w:id="178"/>
    </w:p>
    <w:p>
      <w:pPr>
        <w:pStyle w:val="Heading3"/>
        <w:rPr/>
      </w:pPr>
      <w:bookmarkStart w:id="179" w:name="the-seven-day-activation"/>
      <w:r>
        <w:rPr/>
        <w:t>13.4 The seven-day activation</w:t>
      </w:r>
    </w:p>
    <w:p>
      <w:pPr>
        <w:pStyle w:val="FirstParagraph"/>
        <w:rPr/>
      </w:pPr>
      <w:bookmarkStart w:id="180" w:name="the-seven-day-activation"/>
      <w:r>
        <w:rPr/>
        <w:t>The United Nations states, and the Parties adopt as the Framework’s planning basis, that the mechanism stands operational within seven days of activation. Article 40.3 fixes the activation clock, and Annex H carries the day-by-day activation checklist: clearing office staffed by Day 2; monitor teams at the first four ports by Day 4; the marker system live by Day 5; the first cleared vessel transiting by Day 7.</w:t>
      </w:r>
      <w:bookmarkEnd w:id="180"/>
    </w:p>
    <w:p>
      <w:pPr>
        <w:pStyle w:val="Heading3"/>
        <w:rPr/>
      </w:pPr>
      <w:bookmarkStart w:id="181" w:name="scale"/>
      <w:r>
        <w:rPr/>
        <w:t>13.5 Scale</w:t>
      </w:r>
    </w:p>
    <w:p>
      <w:pPr>
        <w:pStyle w:val="FirstParagraph"/>
        <w:rPr/>
      </w:pPr>
      <w:bookmarkStart w:id="182" w:name="X30ef15504980e7a10b2939e35172dce0b840cd4"/>
      <w:bookmarkStart w:id="183" w:name="scale"/>
      <w:r>
        <w:rPr/>
        <w:t>The mechanism scales by the published expansion rule: every sustained week of twenty or more cleared transits triggers the next capacity increment, adding clearing officers and monitor teams on the Task Force’s published staffing table, so that clearance latency never exceeds 24 hours in any operating week. The Humanitarian Operations Fund covers the mechanism’s operating costs under Article 43.2, and the Fund’s first call on its revenue is this mechanism, ahead of every other line.</w:t>
      </w:r>
      <w:bookmarkEnd w:id="182"/>
      <w:bookmarkEnd w:id="183"/>
    </w:p>
    <w:p>
      <w:pPr>
        <w:pStyle w:val="Heading2"/>
        <w:rPr/>
      </w:pPr>
      <w:bookmarkStart w:id="184" w:name="__RefHeading___Toc4307_2903983697"/>
      <w:bookmarkStart w:id="185" w:name="X410da79d43928a1be7429c255752ae3a8eeba6c"/>
      <w:bookmarkEnd w:id="184"/>
      <w:r>
        <w:rPr/>
        <w:t>Article 14: The Safe Passage Guarantee and the Permission Streamlining Protocol</w:t>
      </w:r>
    </w:p>
    <w:p>
      <w:pPr>
        <w:pStyle w:val="Heading3"/>
        <w:rPr/>
      </w:pPr>
      <w:bookmarkStart w:id="186" w:name="the-standing-guarantee"/>
      <w:r>
        <w:rPr/>
        <w:t>14.1 The standing guarantee</w:t>
      </w:r>
    </w:p>
    <w:p>
      <w:pPr>
        <w:pStyle w:val="FirstParagraph"/>
        <w:rPr/>
      </w:pPr>
      <w:bookmarkStart w:id="187" w:name="the-standing-guarantee"/>
      <w:r>
        <w:rPr/>
        <w:t>The Parties record and operationalize the stated position of the Islamic Republic of Iran that any United Nations ship passes the Strait of Hormuz without impediment. Under this Framework, that guarantee extends to every vessel carrying humanitarian cargo and agricultural goods approved by the United Nations mechanism of Article 13, and it operates as a standing architectural rule, verifiable on every transit, rather than as a case-by-case assurance. The guarantee binds in both directions of transit, in every flow state, and under every political condition.</w:t>
      </w:r>
      <w:bookmarkEnd w:id="187"/>
    </w:p>
    <w:p>
      <w:pPr>
        <w:pStyle w:val="Heading3"/>
        <w:rPr/>
      </w:pPr>
      <w:bookmarkStart w:id="188" w:name="Xaed5071f0d6f52d8f960b135851756b5250f058"/>
      <w:r>
        <w:rPr/>
        <w:t>14.2 The no-permission rule for cleared vessels</w:t>
      </w:r>
    </w:p>
    <w:p>
      <w:pPr>
        <w:pStyle w:val="FirstParagraph"/>
        <w:rPr/>
      </w:pPr>
      <w:bookmarkStart w:id="189" w:name="Xaed5071f0d6f52d8f960b135851756b5250f058"/>
      <w:r>
        <w:rPr/>
        <w:t>A vessel holding a valid clearance marker transits without any further permission from any Party. The marker itself constitutes the complete authorization set. The architecture excludes any additional approval step by any coastal state, any naval authority, any coalition, or any other actor. A demand for any additional step, communicated by any actor to any cleared vessel, classifies as a category H-2 event under Annex E. This Article implements Red Line RL-4.</w:t>
      </w:r>
      <w:bookmarkEnd w:id="189"/>
    </w:p>
    <w:p>
      <w:pPr>
        <w:pStyle w:val="Heading3"/>
        <w:rPr/>
      </w:pPr>
      <w:bookmarkStart w:id="190" w:name="Xb23a0147ed99514b554502a93fd5dd84da4029c"/>
      <w:r>
        <w:rPr/>
        <w:t>14.3 The permission streamlining protocol for non-UN cargo</w:t>
      </w:r>
    </w:p>
    <w:p>
      <w:pPr>
        <w:pStyle w:val="FirstParagraph"/>
        <w:rPr/>
      </w:pPr>
      <w:bookmarkStart w:id="191" w:name="Xb23a0147ed99514b554502a93fd5dd84da4029c"/>
      <w:r>
        <w:rPr/>
        <w:t>For vessels outside the humanitarian lane that seek transit under the coastal states’ ordinary arrangements, the Framework establishes a single point of contact: the International Maritime Organization’s humanitarian desk at the Center serves as the streamlining interface, receiving applications, consolidating them into the daily batch, presenting them to the relevant authorities of Iran and Oman simultaneously, and publishing the processing time of every application. The desk’s involvement converts an opaque, bilateral, vessel-by-vessel permission practice into a logged, timed, and auditable administrative routine, without prejudice to any Party’s underlying legal position on the permission practice itself, which Article 2.7 reserves. The desk’s weekly latency statistics feed the compliance record of Article 37.</w:t>
      </w:r>
      <w:bookmarkEnd w:id="191"/>
    </w:p>
    <w:p>
      <w:pPr>
        <w:pStyle w:val="Heading3"/>
        <w:rPr/>
      </w:pPr>
      <w:bookmarkStart w:id="192" w:name="non-aggressor-applications"/>
      <w:r>
        <w:rPr/>
        <w:t>14.4 Non-aggressor applications</w:t>
      </w:r>
    </w:p>
    <w:p>
      <w:pPr>
        <w:pStyle w:val="FirstParagraph"/>
        <w:rPr/>
      </w:pPr>
      <w:bookmarkStart w:id="193" w:name="non-aggressor-applications"/>
      <w:r>
        <w:rPr/>
        <w:t>The Framework records the stated position that countries other than aggressor states apply to the relevant Iranian authority and receive permission for passage, and the Framework streamlines that channel for United Nations coordinated shipments through Article 14.3. The Framework itself neither defines nor applies the term aggressor state; the Framework’s own guarantees of Articles 12, 13, and 16 attach to the clearance marker alone and never to the flag of the vessel.</w:t>
      </w:r>
      <w:bookmarkEnd w:id="193"/>
    </w:p>
    <w:p>
      <w:pPr>
        <w:pStyle w:val="Heading3"/>
        <w:rPr/>
      </w:pPr>
      <w:bookmarkStart w:id="194" w:name="reciprocal-transparency"/>
      <w:r>
        <w:rPr/>
        <w:t>14.5 Reciprocal transparency</w:t>
      </w:r>
    </w:p>
    <w:p>
      <w:pPr>
        <w:pStyle w:val="FirstParagraph"/>
        <w:rPr/>
      </w:pPr>
      <w:bookmarkStart w:id="195" w:name="X410da79d43928a1be7429c255752ae3a8eeba6c"/>
      <w:bookmarkStart w:id="196" w:name="reciprocal-transparency"/>
      <w:r>
        <w:rPr/>
        <w:t>The Portal publishes, daily: the count of cleared transits; the count of applications through the streamlining protocol and their median processing time; the count of any demands for additional steps logged under Article 14.2; and the Corridor’s status line. Every Party and every market participant reads the same record at the same time, so that confidence rebuilds on published fact.</w:t>
      </w:r>
      <w:bookmarkEnd w:id="195"/>
      <w:bookmarkEnd w:id="196"/>
    </w:p>
    <w:p>
      <w:pPr>
        <w:pStyle w:val="Heading2"/>
        <w:rPr/>
      </w:pPr>
      <w:bookmarkStart w:id="197" w:name="__RefHeading___Toc4309_2903983697"/>
      <w:bookmarkStart w:id="198" w:name="article-15-the-two-phase-cargo-expansion"/>
      <w:bookmarkEnd w:id="197"/>
      <w:r>
        <w:rPr/>
        <w:t>Article 15: The Two-Phase Cargo Expansion</w:t>
      </w:r>
    </w:p>
    <w:p>
      <w:pPr>
        <w:pStyle w:val="Heading3"/>
        <w:rPr/>
      </w:pPr>
      <w:bookmarkStart w:id="199" w:name="the-two-phases"/>
      <w:r>
        <w:rPr/>
        <w:t>15.1 The two phases</w:t>
      </w:r>
    </w:p>
    <w:p>
      <w:pPr>
        <w:pStyle w:val="FirstParagraph"/>
        <w:rPr/>
      </w:pPr>
      <w:r>
        <w:rPr/>
        <w:t>The corridor mechanism operates in two phases:</w:t>
      </w:r>
    </w:p>
    <w:p>
      <w:pPr>
        <w:pStyle w:val="Compact"/>
        <w:numPr>
          <w:ilvl w:val="0"/>
          <w:numId w:val="17"/>
        </w:numPr>
        <w:rPr/>
      </w:pPr>
      <w:r>
        <w:rPr/>
        <w:t>Phase One, from operationalization: the corridor eases the export of fertilizers and related raw materials from Gulf ports, together with the full Schedule 1 humanitarian categories of Article 12.6 in both directions.</w:t>
      </w:r>
    </w:p>
    <w:p>
      <w:pPr>
        <w:pStyle w:val="Compact"/>
        <w:numPr>
          <w:ilvl w:val="0"/>
          <w:numId w:val="18"/>
        </w:numPr>
        <w:rPr/>
      </w:pPr>
      <w:bookmarkStart w:id="200" w:name="the-two-phases"/>
      <w:r>
        <w:rPr/>
        <w:t>Phase Two, on the trigger of Article 15.3: the corridor extends to other essential commodity imports into the region, per Annex C, Schedule 2: grains and vegetable oils at commercial scale, animal feed, agricultural machinery parts, cold-chain equipment, and construction materials for civilian shelter and water infrastructure.</w:t>
      </w:r>
      <w:bookmarkEnd w:id="200"/>
    </w:p>
    <w:p>
      <w:pPr>
        <w:pStyle w:val="Heading3"/>
        <w:rPr/>
      </w:pPr>
      <w:bookmarkStart w:id="201" w:name="why-fertilizer-first"/>
      <w:r>
        <w:rPr/>
        <w:t>15.2 Why fertilizer first</w:t>
      </w:r>
    </w:p>
    <w:p>
      <w:pPr>
        <w:pStyle w:val="FirstParagraph"/>
        <w:rPr/>
      </w:pPr>
      <w:bookmarkStart w:id="202" w:name="why-fertilizer-first"/>
      <w:r>
        <w:rPr/>
        <w:t>Fertilizer moves first because the calendar brooks no delay: the Gulf exports a substantial share of the world’s traded ammonia and urea, the northern hemisphere’s planting logistics run months ahead of the field, and a season missed by the ships becomes a harvest missed by the world. The Secretary-General’s warning on cascading repercussions for global agricultural production stands recorded in this Framework’s Preamble, and Phase One answers it directly.</w:t>
      </w:r>
      <w:bookmarkEnd w:id="202"/>
    </w:p>
    <w:p>
      <w:pPr>
        <w:pStyle w:val="Heading3"/>
        <w:rPr/>
      </w:pPr>
      <w:bookmarkStart w:id="203" w:name="the-phase-two-trigger"/>
      <w:r>
        <w:rPr/>
        <w:t>15.3 The Phase Two trigger</w:t>
      </w:r>
    </w:p>
    <w:p>
      <w:pPr>
        <w:pStyle w:val="FirstParagraph"/>
        <w:rPr/>
      </w:pPr>
      <w:bookmarkStart w:id="204" w:name="the-phase-two-trigger"/>
      <w:r>
        <w:rPr/>
        <w:t>Phase Two activates automatically upon the Neutral Passage Office’s certification of two consecutive Walkthrough Cycles of Article 41.2 completed without a category H-1 or H-2 event, or forty-five days after Phase One operationalization, whichever arrives first. No vote, summit, or separate instrument activates Phase Two; the certification activates it, and the Portal publishes the activation within one hour.</w:t>
      </w:r>
      <w:bookmarkEnd w:id="204"/>
    </w:p>
    <w:p>
      <w:pPr>
        <w:pStyle w:val="Heading3"/>
        <w:rPr/>
      </w:pPr>
      <w:bookmarkStart w:id="205" w:name="scope-discipline"/>
      <w:r>
        <w:rPr/>
        <w:t>15.4 Scope discipline</w:t>
      </w:r>
    </w:p>
    <w:p>
      <w:pPr>
        <w:pStyle w:val="FirstParagraph"/>
        <w:rPr/>
      </w:pPr>
      <w:bookmarkStart w:id="206" w:name="article-15-the-two-phase-cargo-expansion"/>
      <w:bookmarkStart w:id="207" w:name="scope-discipline"/>
      <w:r>
        <w:rPr/>
        <w:t>The corridor never carries weapons, ammunition, or military materiel. The inspection regime of Article 13.3 enforces this boundary at the ports, and a verified breach of the boundary classifies as a category H-1 event with the consequence schedule of Annex E. Beyond this boundary, the architecture excludes any political screening of cargo: food moves to every consignee, medicine moves to every hospital, and fertilizer moves to every market, without reference to the politics of the receiving state.</w:t>
      </w:r>
      <w:bookmarkEnd w:id="206"/>
      <w:bookmarkEnd w:id="207"/>
    </w:p>
    <w:p>
      <w:pPr>
        <w:pStyle w:val="Heading2"/>
        <w:rPr/>
      </w:pPr>
      <w:bookmarkStart w:id="208" w:name="__RefHeading___Toc4311_2903983697"/>
      <w:bookmarkStart w:id="209" w:name="X5b29d81695d24a186f7883b0406eec8d3069307"/>
      <w:bookmarkEnd w:id="208"/>
      <w:r>
        <w:rPr/>
        <w:t>Article 16: The Thirty-Day Humanitarian Transit Ceasefire</w:t>
      </w:r>
    </w:p>
    <w:p>
      <w:pPr>
        <w:pStyle w:val="Heading3"/>
        <w:rPr/>
      </w:pPr>
      <w:bookmarkStart w:id="210" w:name="establishment-1"/>
      <w:r>
        <w:rPr/>
        <w:t>16.1 Establishment</w:t>
      </w:r>
    </w:p>
    <w:p>
      <w:pPr>
        <w:pStyle w:val="FirstParagraph"/>
        <w:rPr/>
      </w:pPr>
      <w:bookmarkStart w:id="211" w:name="establishment-1"/>
      <w:r>
        <w:rPr/>
        <w:t>Upon entry into force, a mandatory ceasefire of thirty days takes effect specifically for non-combatant merchant vessels within the designated transit lanes. The ceasefire binds every military and paramilitary force of every Party and every force operating under a Party’s command or coordination: no attack, no harassment, no interference of any kind touches a merchant vessel inside the lanes, at anchor in the designated areas, or in the approaches between them.</w:t>
      </w:r>
      <w:bookmarkEnd w:id="211"/>
    </w:p>
    <w:p>
      <w:pPr>
        <w:pStyle w:val="Heading3"/>
        <w:rPr/>
      </w:pPr>
      <w:bookmarkStart w:id="212" w:name="automatic-renewal"/>
      <w:r>
        <w:rPr/>
        <w:t>16.2 Automatic renewal</w:t>
      </w:r>
    </w:p>
    <w:p>
      <w:pPr>
        <w:pStyle w:val="FirstParagraph"/>
        <w:rPr/>
      </w:pPr>
      <w:bookmarkStart w:id="213" w:name="automatic-renewal"/>
      <w:r>
        <w:rPr/>
        <w:t>The ceasefire renews automatically for successive thirty-day periods by silence, under the Continuity Guarantee. A Party terminates its participation in the renewal only by a written instrument delivered to the Depositary 7 days before the period’s end, and even upon such notice the protections of Articles 12.4 and 9.6, the corridor of Part III, and the evacuation of Part II continue undiminished, because those protections rest on the Framework itself and not on the ceasefire standing alone.</w:t>
      </w:r>
      <w:bookmarkEnd w:id="213"/>
    </w:p>
    <w:p>
      <w:pPr>
        <w:pStyle w:val="Heading3"/>
        <w:rPr/>
      </w:pPr>
      <w:bookmarkStart w:id="214" w:name="geographic-coverage"/>
      <w:r>
        <w:rPr/>
        <w:t>16.3 Geographic coverage</w:t>
      </w:r>
    </w:p>
    <w:p>
      <w:pPr>
        <w:pStyle w:val="FirstParagraph"/>
        <w:rPr/>
      </w:pPr>
      <w:bookmarkStart w:id="215" w:name="geographic-coverage"/>
      <w:r>
        <w:rPr/>
        <w:t>The ceasefire covers the Governance Area, the Waiting Areas, the holding anchorages, the approach tracks to 100 nautical miles east and west of the Governance Area boundary meridians, and the airspace above them. Annex A, Table A.1 states the precise coverage polygon.</w:t>
      </w:r>
      <w:bookmarkEnd w:id="215"/>
    </w:p>
    <w:p>
      <w:pPr>
        <w:pStyle w:val="Heading3"/>
        <w:rPr/>
      </w:pPr>
      <w:bookmarkStart w:id="216" w:name="verification"/>
      <w:r>
        <w:rPr/>
        <w:t>16.4 Verification</w:t>
      </w:r>
    </w:p>
    <w:p>
      <w:pPr>
        <w:pStyle w:val="FirstParagraph"/>
        <w:rPr/>
      </w:pPr>
      <w:bookmarkStart w:id="217" w:name="verification"/>
      <w:r>
        <w:rPr/>
        <w:t>The Blue Safe Monitor of Article 22 verifies the ceasefire continuously: every track, every approach, every closure of distance between a military contact and a merchant vessel enters the record, and the daily log publishes the aggregate picture. A closure inside the standoff distances of Annex A, Table A.10 generates an automatic hotline event under Article 20.4 and enters the incident register.</w:t>
      </w:r>
      <w:bookmarkEnd w:id="217"/>
    </w:p>
    <w:p>
      <w:pPr>
        <w:pStyle w:val="Heading3"/>
        <w:rPr/>
      </w:pPr>
      <w:bookmarkStart w:id="218" w:name="relationship-to-the-wider-conflict"/>
      <w:r>
        <w:rPr/>
        <w:t>16.5 Relationship to the wider conflict</w:t>
      </w:r>
    </w:p>
    <w:p>
      <w:pPr>
        <w:pStyle w:val="FirstParagraph"/>
        <w:rPr/>
      </w:pPr>
      <w:bookmarkStart w:id="219" w:name="X5b29d81695d24a186f7883b0406eec8d3069307"/>
      <w:bookmarkStart w:id="220" w:name="relationship-to-the-wider-conflict"/>
      <w:r>
        <w:rPr/>
        <w:t>This ceasefire governs conduct toward merchant vessels and within the lanes. It neither settles nor prejudices the wider military confrontation, which the MOU’s sixty-day window and its follow-on instruments carry. The distinction protects both tracks: the Parties de-escalate around the shipping without conceding any wider position, and the shipping moves without waiting for the wider settlement. Humanitarian traffic moves in every state of the wider conflict, per Red Line RL-1.</w:t>
      </w:r>
      <w:bookmarkEnd w:id="219"/>
      <w:bookmarkEnd w:id="220"/>
    </w:p>
    <w:p>
      <w:pPr>
        <w:pStyle w:val="Heading2"/>
        <w:rPr/>
      </w:pPr>
      <w:bookmarkStart w:id="221" w:name="__RefHeading___Toc4313_2903983697"/>
      <w:bookmarkStart w:id="222" w:name="X20125d99116d0afc97cdc7c92aafbeef4295ef4"/>
      <w:bookmarkEnd w:id="221"/>
      <w:r>
        <w:rPr/>
        <w:t>Article 17: Food Security and Agricultural Continuity</w:t>
      </w:r>
    </w:p>
    <w:p>
      <w:pPr>
        <w:pStyle w:val="Heading3"/>
        <w:rPr/>
      </w:pPr>
      <w:bookmarkStart w:id="223" w:name="the-food-security-objective"/>
      <w:r>
        <w:rPr/>
        <w:t>17.1 The food security objective</w:t>
      </w:r>
    </w:p>
    <w:p>
      <w:pPr>
        <w:pStyle w:val="FirstParagraph"/>
        <w:rPr/>
      </w:pPr>
      <w:bookmarkStart w:id="224" w:name="the-food-security-objective"/>
      <w:r>
        <w:rPr/>
        <w:t>The Framework treats regional and global food security as an operating objective, not a rhetorical one. The Council’s food security desk, staffed jointly by the Task Force and the World Food Programme’s logistics service, tracks the tonnage of food and fertilizer moving through the corridor against the published baseline needs of the importing states of the region and the planting calendars of the major importing regions beyond it.</w:t>
      </w:r>
      <w:bookmarkEnd w:id="224"/>
    </w:p>
    <w:p>
      <w:pPr>
        <w:pStyle w:val="Heading3"/>
        <w:rPr/>
      </w:pPr>
      <w:bookmarkStart w:id="225" w:name="the-tonnage-floor"/>
      <w:r>
        <w:rPr/>
        <w:t>17.2 The tonnage floor</w:t>
      </w:r>
    </w:p>
    <w:p>
      <w:pPr>
        <w:pStyle w:val="FirstParagraph"/>
        <w:rPr/>
      </w:pPr>
      <w:bookmarkStart w:id="226" w:name="the-tonnage-floor"/>
      <w:r>
        <w:rPr/>
        <w:t>The architecture targets a rolling tonnage floor: from Phase One’s second month, corridor movements of food and fertilizer sustain no less than 60 percent of the pre-crisis monthly average for the affected routes; from Phase Two, no less than 85 percent. The floor operates as a planning and verification benchmark, published weekly on the Portal, and a sustained shortfall below the floor triggers a Council session on the operational causes, never on new conditions.</w:t>
      </w:r>
      <w:bookmarkEnd w:id="226"/>
    </w:p>
    <w:p>
      <w:pPr>
        <w:pStyle w:val="Heading3"/>
        <w:rPr/>
      </w:pPr>
      <w:bookmarkStart w:id="227" w:name="priority-consignments"/>
      <w:r>
        <w:rPr/>
        <w:t>17.3 Priority consignments</w:t>
      </w:r>
    </w:p>
    <w:p>
      <w:pPr>
        <w:pStyle w:val="FirstParagraph"/>
        <w:rPr/>
      </w:pPr>
      <w:bookmarkStart w:id="228" w:name="priority-consignments"/>
      <w:r>
        <w:rPr/>
        <w:t>The Task Force designates priority consignments where a documented, time-critical humanitarian need exists: therapeutic feeding supplies, insulin and cold-chain medicines, emergency seed stocks against a planting deadline, and water treatment chemicals for a population under acute shortage. A priority designation advances the consignment to the head of the clearance queue and the next transit window, and the designation record publishes with reasons.</w:t>
      </w:r>
      <w:bookmarkEnd w:id="228"/>
    </w:p>
    <w:p>
      <w:pPr>
        <w:pStyle w:val="Heading3"/>
        <w:rPr/>
      </w:pPr>
      <w:bookmarkStart w:id="229" w:name="the-agricultural-calendar-interface"/>
      <w:r>
        <w:rPr/>
        <w:t>17.4 The agricultural calendar interface</w:t>
      </w:r>
    </w:p>
    <w:p>
      <w:pPr>
        <w:pStyle w:val="FirstParagraph"/>
        <w:rPr/>
      </w:pPr>
      <w:bookmarkStart w:id="230" w:name="Xad8e34dc2e8b4e36f1102e260b99836e6fcae94"/>
      <w:bookmarkStart w:id="231" w:name="X20125d99116d0afc97cdc7c92aafbeef4295ef4"/>
      <w:bookmarkStart w:id="232" w:name="the-agricultural-calendar-interface"/>
      <w:r>
        <w:rPr/>
        <w:t>The food security desk maintains the agricultural calendar interface: a published schedule mapping the fertilizer and seed delivery windows of the major importing regions against corridor capacity, so that the clearance office and the Center sequence the season-critical cargoes ahead of general bulk flows in the four weeks preceding each window. The interface operates as scheduling intelligence, never as a permission layer.</w:t>
      </w:r>
      <w:bookmarkEnd w:id="230"/>
      <w:bookmarkEnd w:id="231"/>
      <w:bookmarkEnd w:id="232"/>
    </w:p>
    <w:p>
      <w:pPr>
        <w:pStyle w:val="Heading1"/>
        <w:rPr/>
      </w:pPr>
      <w:bookmarkStart w:id="233" w:name="__RefHeading___Toc4315_2903983697"/>
      <w:bookmarkStart w:id="234" w:name="X66e8dc5fd7b17a8792cb725d8a16615361d9c2e"/>
      <w:bookmarkEnd w:id="233"/>
      <w:r>
        <w:rPr/>
        <w:t>Part IV: De-Confliction and the Mutual Military Stand-Down</w:t>
      </w:r>
    </w:p>
    <w:p>
      <w:pPr>
        <w:pStyle w:val="Heading2"/>
        <w:rPr/>
      </w:pPr>
      <w:bookmarkStart w:id="235" w:name="__RefHeading___Toc4317_2903983697"/>
      <w:bookmarkStart w:id="236" w:name="X77903588ce3a4dbbe76d76798684b7c11fac162"/>
      <w:bookmarkEnd w:id="235"/>
      <w:r>
        <w:rPr/>
        <w:t>Article 18: Cessation of Military Operations in the Governance Area</w:t>
      </w:r>
    </w:p>
    <w:p>
      <w:pPr>
        <w:pStyle w:val="Heading3"/>
        <w:rPr/>
      </w:pPr>
      <w:bookmarkStart w:id="237" w:name="the-stand-down"/>
      <w:r>
        <w:rPr/>
        <w:t>18.1 The stand-down</w:t>
      </w:r>
    </w:p>
    <w:p>
      <w:pPr>
        <w:pStyle w:val="FirstParagraph"/>
        <w:rPr/>
      </w:pPr>
      <w:bookmarkStart w:id="238" w:name="the-stand-down"/>
      <w:r>
        <w:rPr/>
        <w:t>Upon entry into force, all military operations of the Parties against each other’s forces, territory, and infrastructure within the Governance Area and its approaches cease. The cessation covers naval interdiction, air and missile strikes, drone operations, mining and the placing of hazards, live-fire exercises within 50 nautical miles of the Strait, and the harassment or diversion of merchant shipping. The cessation operates as a design feature of the shared architecture, binding every force symmetrically, and not as any Party’s unilateral restraint for another’s benefit.</w:t>
      </w:r>
      <w:bookmarkEnd w:id="238"/>
    </w:p>
    <w:p>
      <w:pPr>
        <w:pStyle w:val="Heading3"/>
        <w:rPr/>
      </w:pPr>
      <w:bookmarkStart w:id="239" w:name="the-permanent-termination-direction"/>
      <w:r>
        <w:rPr/>
        <w:t>18.2 The permanent termination direction</w:t>
      </w:r>
    </w:p>
    <w:p>
      <w:pPr>
        <w:pStyle w:val="FirstParagraph"/>
        <w:rPr/>
      </w:pPr>
      <w:bookmarkStart w:id="240" w:name="the-permanent-termination-direction"/>
      <w:r>
        <w:rPr/>
        <w:t>Consistent with the Islamabad Memorandum of Understanding, the Parties pursue the immediate and permanent termination of all military operations on all fronts, including Lebanon. This Framework governs the Governance Area; it records the wider direction as the shared destination and measures every Party’s conduct inside the Governance Area against this Article’s absolute standard in the meantime.</w:t>
      </w:r>
      <w:bookmarkEnd w:id="240"/>
    </w:p>
    <w:p>
      <w:pPr>
        <w:pStyle w:val="Heading3"/>
        <w:rPr/>
      </w:pPr>
      <w:bookmarkStart w:id="241" w:name="the-lane-sanctuaries"/>
      <w:r>
        <w:rPr/>
        <w:t>18.3 The lane sanctuaries</w:t>
      </w:r>
    </w:p>
    <w:p>
      <w:pPr>
        <w:pStyle w:val="FirstParagraph"/>
        <w:rPr/>
      </w:pPr>
      <w:bookmarkStart w:id="242" w:name="the-lane-sanctuaries"/>
      <w:r>
        <w:rPr/>
        <w:t>The humanitarian lanes, the evacuation routes, the Waiting Areas, and the holding anchorages constitute sanctuaries: within them, the architecture excludes every military measure of every kind, against every vessel, under every circumstance, including any resumption of hostilities beyond the Governance Area. The sanctuary rule admits no exception and no suspension.</w:t>
      </w:r>
      <w:bookmarkEnd w:id="242"/>
    </w:p>
    <w:p>
      <w:pPr>
        <w:pStyle w:val="Heading3"/>
        <w:rPr/>
      </w:pPr>
      <w:bookmarkStart w:id="243" w:name="X80755f0e877cc87ee51b3c397e39fdb1a30578d"/>
      <w:r>
        <w:rPr/>
        <w:t>18.4 Blockade interface for humanitarian traffic</w:t>
      </w:r>
    </w:p>
    <w:p>
      <w:pPr>
        <w:pStyle w:val="FirstParagraph"/>
        <w:rPr/>
      </w:pPr>
      <w:bookmarkStart w:id="244" w:name="X80755f0e877cc87ee51b3c397e39fdb1a30578d"/>
      <w:r>
        <w:rPr/>
        <w:t>The naval blockade of Iranian ports operates, for the duration of this Framework, with the humanitarian channel fully open: vessels carrying cleared humanitarian cargo under Part III, vessels executing evacuation movements under Part II, and resupply movements under Part V pass the blockade line without interception, diversion, or delay. The blockade’s own published practice of allowing supporting humanitarian aid to pass becomes, under this Framework, a verified, scheduled, and absolute channel rather than a discretionary practice. The Portal publishes every humanitarian passage of the line, so that the channel’s openness rests on evidence.</w:t>
      </w:r>
      <w:bookmarkEnd w:id="244"/>
    </w:p>
    <w:p>
      <w:pPr>
        <w:pStyle w:val="Heading3"/>
        <w:rPr/>
      </w:pPr>
      <w:bookmarkStart w:id="245" w:name="live-fire-exclusion-zone"/>
      <w:r>
        <w:rPr/>
        <w:t>18.5 Live-fire exclusion zone</w:t>
      </w:r>
    </w:p>
    <w:p>
      <w:pPr>
        <w:pStyle w:val="FirstParagraph"/>
        <w:rPr/>
      </w:pPr>
      <w:bookmarkStart w:id="246" w:name="live-fire-exclusion-zone"/>
      <w:r>
        <w:rPr/>
        <w:t>The architecture establishes a live-fire exclusion zone extending 50 nautical miles from the corridor centerlines, stated precisely in Annex A, Table A.10. No live-fire exercise, weapons test, or drone operation occurs inside the zone. A notified national exercise outside the zone follows the notification rule of Article 20.6 so that the Center de-conflicts civilian scheduling.</w:t>
      </w:r>
      <w:bookmarkEnd w:id="246"/>
    </w:p>
    <w:p>
      <w:pPr>
        <w:pStyle w:val="Heading3"/>
        <w:rPr/>
      </w:pPr>
      <w:bookmarkStart w:id="247" w:name="X854ba5d3d7b23b3ecfd2f3295c71b25484371c3"/>
      <w:r>
        <w:rPr/>
        <w:t>18.6 Force posture transparency inside the zone</w:t>
      </w:r>
    </w:p>
    <w:p>
      <w:pPr>
        <w:pStyle w:val="FirstParagraph"/>
        <w:rPr/>
      </w:pPr>
      <w:bookmarkStart w:id="248" w:name="X854ba5d3d7b23b3ecfd2f3295c71b25484371c3"/>
      <w:r>
        <w:rPr/>
        <w:t>Each Party with forces capable of operating inside the Governance Area files with the Center, within 72 hours of entry into force and weekly thereafter, a posture statement in general terms: force categories present, patrol areas in grid reference, and exercise intentions for the coming week. The statements move through the secure channel of Article 31.4, never through the public Portal, and they exist to make the freeze of Article 19 verifiable rather than to expose any Party’s dispositions to the public.</w:t>
      </w:r>
      <w:bookmarkEnd w:id="248"/>
    </w:p>
    <w:p>
      <w:pPr>
        <w:pStyle w:val="Heading3"/>
        <w:rPr/>
      </w:pPr>
      <w:bookmarkStart w:id="249" w:name="the-standoff-geometry"/>
      <w:r>
        <w:rPr/>
        <w:t>18.7 The Standoff Geometry</w:t>
      </w:r>
    </w:p>
    <w:p>
      <w:pPr>
        <w:pStyle w:val="FirstParagraph"/>
        <w:rPr/>
      </w:pPr>
      <w:bookmarkStart w:id="250" w:name="the-standoff-geometry"/>
      <w:r>
        <w:rPr/>
        <w:t>Military and paramilitary vessels of every state maintain the published standoff distances of Annex A, Table A.10 from the active lanes during scheduled transit windows: 12 nautical miles for major combatants, 5 nautical miles for patrol craft, and continuous air de-confliction through the hotline for fixed-wing and rotary activity inside the zone. The geometry binds symmetrically: Iranian, Omani, American, and every other force answer to the same distances, the same hotline, and the same record.</w:t>
      </w:r>
      <w:bookmarkEnd w:id="250"/>
    </w:p>
    <w:p>
      <w:pPr>
        <w:pStyle w:val="Heading3"/>
        <w:rPr/>
      </w:pPr>
      <w:bookmarkStart w:id="251" w:name="no-authorization-of-force"/>
      <w:r>
        <w:rPr/>
        <w:t>18.8 No authorization of force</w:t>
      </w:r>
    </w:p>
    <w:p>
      <w:pPr>
        <w:pStyle w:val="FirstParagraph"/>
        <w:rPr/>
      </w:pPr>
      <w:bookmarkStart w:id="252" w:name="no-authorization-of-force"/>
      <w:r>
        <w:rPr/>
        <w:t>Nothing in this Framework authorizes, triggers, or justifies the use of military force by any actor. No compliance event, no verification finding, no corridor incident, and no Council decision carries any military consequence. Military decisions rest exclusively with the respective head of government under constitutional procedures, outside this instrument entirely.</w:t>
      </w:r>
      <w:bookmarkEnd w:id="252"/>
    </w:p>
    <w:p>
      <w:pPr>
        <w:pStyle w:val="Heading3"/>
        <w:rPr/>
      </w:pPr>
      <w:bookmarkStart w:id="253" w:name="the-asset-use-rule"/>
      <w:r>
        <w:rPr/>
        <w:t>18.9 The Asset-Use Rule</w:t>
      </w:r>
    </w:p>
    <w:p>
      <w:pPr>
        <w:pStyle w:val="FirstParagraph"/>
        <w:rPr/>
      </w:pPr>
      <w:bookmarkStart w:id="254" w:name="X77903588ce3a4dbbe76d76798684b7c11fac162"/>
      <w:bookmarkStart w:id="255" w:name="the-asset-use-rule"/>
      <w:r>
        <w:rPr/>
        <w:t>Framework assets, data, channels, corridors, and communications infrastructure never support kinetic or offensive action by any actor, state or non-state. The Center’s track data serves navigation safety and verification exclusively; the hotline serves de-confliction exclusively; the Portal serves public information exclusively. A verified use of Framework assets in support of a kinetic action classifies as a category H-1 event and triggers the Council’s mandatory session. This Article implements Red Line RL-11.</w:t>
      </w:r>
      <w:bookmarkEnd w:id="254"/>
      <w:bookmarkEnd w:id="255"/>
    </w:p>
    <w:p>
      <w:pPr>
        <w:pStyle w:val="Heading2"/>
        <w:rPr/>
      </w:pPr>
      <w:bookmarkStart w:id="256" w:name="__RefHeading___Toc4319_2903983697"/>
      <w:bookmarkStart w:id="257" w:name="article-19-the-status-quo-freeze"/>
      <w:bookmarkEnd w:id="256"/>
      <w:r>
        <w:rPr/>
        <w:t>Article 19: The Status Quo Freeze</w:t>
      </w:r>
    </w:p>
    <w:p>
      <w:pPr>
        <w:pStyle w:val="Heading3"/>
        <w:rPr/>
      </w:pPr>
      <w:bookmarkStart w:id="258" w:name="the-military-posture-freeze"/>
      <w:r>
        <w:rPr/>
        <w:t>19.1 The military posture freeze</w:t>
      </w:r>
    </w:p>
    <w:p>
      <w:pPr>
        <w:pStyle w:val="FirstParagraph"/>
        <w:rPr/>
      </w:pPr>
      <w:bookmarkStart w:id="259" w:name="the-military-posture-freeze"/>
      <w:r>
        <w:rPr/>
        <w:t>Military postures in and around the Strait freeze at their positions at the moment of entry into force. The freeze covers force levels, patrol patterns, deployment areas, and readiness postures inside the zone of Article 18.6. The weekly posture statements of that Article, verified through the Blue Safe Monitor’s aggregate picture and the Neutral Passage Office’s observation program, render the freeze measurable.</w:t>
      </w:r>
      <w:bookmarkEnd w:id="259"/>
    </w:p>
    <w:p>
      <w:pPr>
        <w:pStyle w:val="Heading3"/>
        <w:rPr/>
      </w:pPr>
      <w:bookmarkStart w:id="260" w:name="no-new-deployments"/>
      <w:r>
        <w:rPr/>
        <w:t>19.2 No new deployments</w:t>
      </w:r>
    </w:p>
    <w:p>
      <w:pPr>
        <w:pStyle w:val="FirstParagraph"/>
        <w:rPr/>
      </w:pPr>
      <w:bookmarkStart w:id="261" w:name="no-new-deployments"/>
      <w:r>
        <w:rPr/>
        <w:t>No new naval deployments, no force posture changes, and no live-fire exercises occur within the frozen area for the life of the stand-down. A rotation of like-for-like units at no net increase in capability proceeds under a 96-hour advance notice through the military liaison channel, recorded in the secure register. The architecture treats the frozen area as calm water for the duration of the negotiation period.</w:t>
      </w:r>
      <w:bookmarkEnd w:id="261"/>
    </w:p>
    <w:p>
      <w:pPr>
        <w:pStyle w:val="Heading3"/>
        <w:rPr/>
      </w:pPr>
      <w:bookmarkStart w:id="262" w:name="no-new-economic-coercive-measures"/>
      <w:r>
        <w:rPr/>
        <w:t>19.3 No new economic coercive measures</w:t>
      </w:r>
    </w:p>
    <w:p>
      <w:pPr>
        <w:pStyle w:val="FirstParagraph"/>
        <w:rPr/>
      </w:pPr>
      <w:bookmarkStart w:id="263" w:name="no-new-economic-coercive-measures"/>
      <w:r>
        <w:rPr/>
        <w:t>During the negotiation period, the architecture holds the economic posture constant alongside the military posture: the United States introduces no new sanctions designations touching Iranian maritime, port, insurance, or humanitarian-trade activity, and no Party introduces any new measure degrading the humanitarian channels, the hub logistics, or the Fund’s operations. Existing measures stand where they stand, their final status reserved to the strategic track; the freeze forecloses only escalation by increment while the talks run. A measure taken in breach registers in the compliance record and reverses through the restoration pathway of Article 38.</w:t>
      </w:r>
      <w:bookmarkEnd w:id="263"/>
    </w:p>
    <w:p>
      <w:pPr>
        <w:pStyle w:val="Heading3"/>
        <w:rPr/>
      </w:pPr>
      <w:bookmarkStart w:id="264" w:name="freeze-verification"/>
      <w:r>
        <w:rPr/>
        <w:t>19.4 Freeze verification</w:t>
      </w:r>
    </w:p>
    <w:p>
      <w:pPr>
        <w:pStyle w:val="FirstParagraph"/>
        <w:rPr/>
      </w:pPr>
      <w:bookmarkStart w:id="265" w:name="freeze-verification"/>
      <w:r>
        <w:rPr/>
        <w:t>The Neutral Passage Office verifies the freeze weekly: it reconciles the posture statements against the aggregate surveillance picture, notes any new construction, deployment, or designation, and publishes a one-page freeze status annex to the weekly report, stating for each element frozen, holding, or changed, with the change described in neutral terms. A changed status routes automatically to the hotline consultation of Article 20.5 within 24 hours.</w:t>
      </w:r>
      <w:bookmarkEnd w:id="265"/>
    </w:p>
    <w:p>
      <w:pPr>
        <w:pStyle w:val="Heading3"/>
        <w:rPr/>
      </w:pPr>
      <w:bookmarkStart w:id="266" w:name="no-advantage-from-humanitarian-measures"/>
      <w:r>
        <w:rPr/>
        <w:t>19.5 No advantage from humanitarian measures</w:t>
      </w:r>
    </w:p>
    <w:p>
      <w:pPr>
        <w:pStyle w:val="FirstParagraph"/>
        <w:rPr/>
      </w:pPr>
      <w:bookmarkStart w:id="267" w:name="article-19-the-status-quo-freeze"/>
      <w:bookmarkStart w:id="268" w:name="no-advantage-from-humanitarian-measures"/>
      <w:r>
        <w:rPr/>
        <w:t>No Party derives a military advantage from any humanitarian measure this Framework establishes. The corridors carry no military cargo; the evacuation moves no forces; the resupply protocol reaches only stranded merchant vessels; the clearance marker covers only humanitarian consignments. The inspection regime of Article 13.3 and the Blue Safe Monitor’s continuous picture together verify this symmetry, implementing Red Line RL-12.</w:t>
      </w:r>
      <w:bookmarkEnd w:id="267"/>
      <w:bookmarkEnd w:id="268"/>
    </w:p>
    <w:p>
      <w:pPr>
        <w:pStyle w:val="Heading2"/>
        <w:rPr/>
      </w:pPr>
      <w:bookmarkStart w:id="269" w:name="__RefHeading___Toc4321_2903983697"/>
      <w:bookmarkStart w:id="270" w:name="article-20-the-de-confliction-hotline"/>
      <w:bookmarkEnd w:id="269"/>
      <w:r>
        <w:rPr/>
        <w:t>Article 20: The De-Confliction Hotline</w:t>
      </w:r>
    </w:p>
    <w:p>
      <w:pPr>
        <w:pStyle w:val="Heading3"/>
        <w:rPr/>
      </w:pPr>
      <w:bookmarkStart w:id="271" w:name="establishment-2"/>
      <w:r>
        <w:rPr/>
        <w:t>20.1 Establishment</w:t>
      </w:r>
    </w:p>
    <w:p>
      <w:pPr>
        <w:pStyle w:val="FirstParagraph"/>
        <w:rPr/>
      </w:pPr>
      <w:bookmarkStart w:id="272" w:name="establishment-2"/>
      <w:r>
        <w:rPr/>
        <w:t>A 24-hour de-confliction hotline connects the watch floors of the Islamic Republic of Iran’s naval and maritime authorities, the Sultanate of Oman’s maritime authorities, the United States Fifth Fleet’s regional maritime component, and the International Maritime Organization’s liaison officer at the Center. The hotline activates on Day 1, per Article 40.1, before any other mechanism of this Framework, because the first evacuation movement waits on a working de-confliction channel.</w:t>
      </w:r>
      <w:bookmarkEnd w:id="272"/>
    </w:p>
    <w:p>
      <w:pPr>
        <w:pStyle w:val="Heading3"/>
        <w:rPr/>
      </w:pPr>
      <w:bookmarkStart w:id="273" w:name="the-fifteen-minute-answer-standard"/>
      <w:r>
        <w:rPr/>
        <w:t>20.2 The fifteen-minute answer standard</w:t>
      </w:r>
    </w:p>
    <w:p>
      <w:pPr>
        <w:pStyle w:val="FirstParagraph"/>
        <w:rPr/>
      </w:pPr>
      <w:bookmarkStart w:id="274" w:name="the-fifteen-minute-answer-standard"/>
      <w:r>
        <w:rPr/>
        <w:t>The hotline answers within 15 minutes at any hour, in any condition. Each linked command posts a duty officer with authority to speak for the command on de-confliction questions, language-capable in English and in the command’s working language, with interpretation support standing by. A missed 15-minute standard registers in the hotline log, aggregates into the weekly compliance record, and classifies under Annex E as a category M-3 event on repetition.</w:t>
      </w:r>
      <w:bookmarkEnd w:id="274"/>
    </w:p>
    <w:p>
      <w:pPr>
        <w:pStyle w:val="Heading3"/>
        <w:rPr/>
      </w:pPr>
      <w:bookmarkStart w:id="275" w:name="satellite-fallback-and-redundancy"/>
      <w:r>
        <w:rPr/>
        <w:t>20.3 Satellite fallback and redundancy</w:t>
      </w:r>
    </w:p>
    <w:p>
      <w:pPr>
        <w:pStyle w:val="FirstParagraph"/>
        <w:rPr/>
      </w:pPr>
      <w:bookmarkStart w:id="276" w:name="satellite-fallback-and-redundancy"/>
      <w:r>
        <w:rPr/>
        <w:t>The hotline carries a satellite fallback for primary-line failure, a secondary voice bridge through the Neutral Administrator’s Bern facility, and a daily scheduled test at 0000 UTC logged by every participant. The architecture treats a working hotline as safety-critical infrastructure: the daily test failure of any participant triggers immediate technical remediation within 24 hours, and the record publishes in aggregate.</w:t>
      </w:r>
      <w:bookmarkEnd w:id="276"/>
    </w:p>
    <w:p>
      <w:pPr>
        <w:pStyle w:val="Heading3"/>
        <w:rPr/>
      </w:pPr>
      <w:bookmarkStart w:id="277" w:name="hotline-events"/>
      <w:r>
        <w:rPr/>
        <w:t>20.4 Hotline events</w:t>
      </w:r>
    </w:p>
    <w:p>
      <w:pPr>
        <w:pStyle w:val="FirstParagraph"/>
        <w:rPr/>
      </w:pPr>
      <w:bookmarkStart w:id="278" w:name="hotline-events"/>
      <w:r>
        <w:rPr/>
        <w:t>The following events generate an automatic hotline event: a military contact closing inside the standoff distances during a transit window; an unidentified contact approaching a Waiting Area; a mine report or mine-like contact; a distress call inside the Governance Area; any weapons-release warning or fire-control radar illumination report; and any request by any participant. A hotline event opens a logged channel until the duty officers jointly close it with an agreed record of the facts and the resolution.</w:t>
      </w:r>
      <w:bookmarkEnd w:id="278"/>
    </w:p>
    <w:p>
      <w:pPr>
        <w:pStyle w:val="Heading3"/>
        <w:rPr/>
      </w:pPr>
      <w:bookmarkStart w:id="279" w:name="consultation-escalation"/>
      <w:r>
        <w:rPr/>
        <w:t>20.5 Consultation escalation</w:t>
      </w:r>
    </w:p>
    <w:p>
      <w:pPr>
        <w:pStyle w:val="FirstParagraph"/>
        <w:rPr/>
      </w:pPr>
      <w:bookmarkStart w:id="280" w:name="consultation-escalation"/>
      <w:r>
        <w:rPr/>
        <w:t>A hotline event unresolved at the duty officer level within 2 hours escalates automatically to the senior liaison tier: designated one-star equivalent officers of each command, convening by secure voice within 6 hours. A matter unresolved at 24 hours escalates to the Council’s standing security committee, which convenes within 48 hours. Each tier’s clock runs automatically, and the record of every escalation publishes in summary.</w:t>
      </w:r>
      <w:bookmarkEnd w:id="280"/>
    </w:p>
    <w:p>
      <w:pPr>
        <w:pStyle w:val="Heading3"/>
        <w:rPr/>
      </w:pPr>
      <w:bookmarkStart w:id="281" w:name="exercise-notification"/>
      <w:r>
        <w:rPr/>
        <w:t>20.6 Exercise notification</w:t>
      </w:r>
    </w:p>
    <w:p>
      <w:pPr>
        <w:pStyle w:val="FirstParagraph"/>
        <w:rPr/>
      </w:pPr>
      <w:bookmarkStart w:id="282" w:name="article-20-the-de-confliction-hotline"/>
      <w:bookmarkStart w:id="283" w:name="exercise-notification"/>
      <w:r>
        <w:rPr/>
        <w:t>A Party or an adhering external force conducting a naval exercise within 100 nautical miles of the Governance Area boundary notifies the Center at least 72 hours in advance, stating location, duration, and vessel count in general terms. The notification is informational; it carries no approval step. The Center adjusts civilian scheduling around notified exercises and publishes the adjustment in the transit bulletin.</w:t>
      </w:r>
      <w:bookmarkEnd w:id="282"/>
      <w:bookmarkEnd w:id="283"/>
    </w:p>
    <w:p>
      <w:pPr>
        <w:pStyle w:val="Heading2"/>
        <w:rPr/>
      </w:pPr>
      <w:bookmarkStart w:id="284" w:name="__RefHeading___Toc4323_2903983697"/>
      <w:bookmarkStart w:id="285" w:name="X4728d14484b70a2dcdde9e81fc682c8ef5e72ec"/>
      <w:bookmarkEnd w:id="284"/>
      <w:r>
        <w:rPr/>
        <w:t>Article 21: Corridor Routing and Coastal State Traffic Coordination</w:t>
      </w:r>
    </w:p>
    <w:p>
      <w:pPr>
        <w:pStyle w:val="Heading3"/>
        <w:rPr/>
      </w:pPr>
      <w:bookmarkStart w:id="286" w:name="coastal-state-management-of-traffic-flow"/>
      <w:r>
        <w:rPr/>
        <w:t>21.1 Coastal state management of traffic flow</w:t>
      </w:r>
    </w:p>
    <w:p>
      <w:pPr>
        <w:pStyle w:val="FirstParagraph"/>
        <w:rPr/>
      </w:pPr>
      <w:bookmarkStart w:id="287" w:name="coastal-state-management-of-traffic-flow"/>
      <w:r>
        <w:rPr/>
        <w:t>The coastal states, the Islamic Republic of Iran and the Sultanate of Oman, manage traffic flow and collision avoidance within the corridor system, each in its adjacent waters and jointly through the Center. The International Maritime Organization’s determination that the existing Traffic Separation Scheme stands unusable owing to the reported presence of mines governs the interim routing: vessels transiting the Strait do not use the former scheme’s lanes; they transit through the temporary corridors with routing instructions issued jointly by the coastal states and published through the Center.</w:t>
      </w:r>
      <w:bookmarkEnd w:id="287"/>
    </w:p>
    <w:p>
      <w:pPr>
        <w:pStyle w:val="Heading3"/>
        <w:rPr/>
      </w:pPr>
      <w:bookmarkStart w:id="288" w:name="the-temporary-corridors"/>
      <w:r>
        <w:rPr/>
        <w:t>21.2 The temporary corridors</w:t>
      </w:r>
    </w:p>
    <w:p>
      <w:pPr>
        <w:pStyle w:val="FirstParagraph"/>
        <w:rPr/>
      </w:pPr>
      <w:bookmarkStart w:id="289" w:name="the-temporary-corridors"/>
      <w:r>
        <w:rPr/>
        <w:t>Annex A, Tables A.2 through A.5 state the temporary corridor geometry: the Northern Route track through Iranian waters, the Southern Route track through Omani waters, the lane widths, the separation zones, the reporting points, and the crossing sectors. The geometry derives from the routing coordinates under technical discussion in the Iran-Oman channel as of August 2026, refined by the joint hazard survey, and published as a single joint routing instruction so that no mariner faces two versions of the water.</w:t>
      </w:r>
      <w:bookmarkEnd w:id="289"/>
    </w:p>
    <w:p>
      <w:pPr>
        <w:pStyle w:val="Heading3"/>
        <w:rPr/>
      </w:pPr>
      <w:bookmarkStart w:id="290" w:name="hazard-certification-of-routes"/>
      <w:r>
        <w:rPr/>
        <w:t>21.3 Hazard certification of routes</w:t>
      </w:r>
    </w:p>
    <w:p>
      <w:pPr>
        <w:pStyle w:val="FirstParagraph"/>
        <w:rPr/>
      </w:pPr>
      <w:bookmarkStart w:id="291" w:name="hazard-certification-of-routes"/>
      <w:r>
        <w:rPr/>
        <w:t>Each corridor segment carries a hazard certification before it opens to any traffic: the joint survey of Article 21.4 confirms the segment clear of mine-like contacts to the published survey standard, the International Maritime Organization issues the corresponding Maritime Safety Information broadcast, and the Neutral Passage Office countersigns the certification. A segment’s certification never rests on one Party’s survey alone, and a certified segment re-surveys on any new mine report within its bounds.</w:t>
      </w:r>
      <w:bookmarkEnd w:id="291"/>
    </w:p>
    <w:p>
      <w:pPr>
        <w:pStyle w:val="Heading3"/>
        <w:rPr/>
      </w:pPr>
      <w:bookmarkStart w:id="292" w:name="the-joint-hazard-survey"/>
      <w:r>
        <w:rPr/>
        <w:t>21.4 The joint hazard survey</w:t>
      </w:r>
    </w:p>
    <w:p>
      <w:pPr>
        <w:pStyle w:val="FirstParagraph"/>
        <w:rPr/>
      </w:pPr>
      <w:bookmarkStart w:id="293" w:name="the-joint-hazard-survey"/>
      <w:r>
        <w:rPr/>
        <w:t>A joint survey group, comprising mine-countermeasure and hydrographic specialists of Iran and Oman supported by the United Nations Mine Action Service and the International Hydrographic Organization, surveys the corridor system segment by segment from Day 3. The survey sequence prioritizes the evacuation routes and the humanitarian lane, then the Waiting Area approaches, then the wider Governance Area. Annex H carries the survey schedule, and the Portal publishes each segment’s certification status in near real time.</w:t>
      </w:r>
      <w:bookmarkEnd w:id="293"/>
    </w:p>
    <w:p>
      <w:pPr>
        <w:pStyle w:val="Heading3"/>
        <w:rPr/>
      </w:pPr>
      <w:bookmarkStart w:id="294" w:name="flow-states"/>
      <w:r>
        <w:rPr/>
        <w:t>21.5 Flow states</w:t>
      </w:r>
    </w:p>
    <w:p>
      <w:pPr>
        <w:pStyle w:val="FirstParagraph"/>
        <w:rPr/>
      </w:pPr>
      <w:bookmarkStart w:id="295" w:name="flow-states"/>
      <w:r>
        <w:rPr/>
        <w:t>Every lane operates in one of three flow states, published hourly on the Portal. Free Flow marks normal operation. Managed Flow marks elevated density, weather, or a navigational hazard: the Center sequences entries into published transit windows, never conditioning passage on approval, only scheduling it. Suspended Flow marks a grave and immediate navigational danger in a defined area: a Suspended Flow pauses new entries into the defined area only, for a stated period never exceeding 72 hours without a Council decision recorded with reasons, binds every vessel equally by area and by period, and never applies to both routes simultaneously except on such a decision. Humanitarian and distress traffic moves in every flow state, including Suspended Flow, under the humanitarian absolute.</w:t>
      </w:r>
      <w:bookmarkEnd w:id="295"/>
    </w:p>
    <w:p>
      <w:pPr>
        <w:pStyle w:val="Heading3"/>
        <w:rPr/>
      </w:pPr>
      <w:bookmarkStart w:id="296" w:name="the-transit-bulletin"/>
      <w:r>
        <w:rPr/>
        <w:t>21.6 The transit bulletin</w:t>
      </w:r>
    </w:p>
    <w:p>
      <w:pPr>
        <w:pStyle w:val="FirstParagraph"/>
        <w:rPr/>
      </w:pPr>
      <w:bookmarkStart w:id="297" w:name="X4728d14484b70a2dcdde9e81fc682c8ef5e72ec"/>
      <w:bookmarkStart w:id="298" w:name="the-transit-bulletin"/>
      <w:r>
        <w:rPr/>
        <w:t>The Center issues the transit bulletin at 0600 and 1800 UTC daily, and hourly whenever any lane leaves Free Flow. The bulletin states, for each lane: the flow state; the active transit windows; hazard notices; the evacuation count of the previous period; the humanitarian clearance count; one status line for the Framework as a whole (Calm, Irregular, or Investigating); and the names of the duty officer pair. The bulletin reaches every participant simultaneously, with no preferential early access for any Party or market actor.</w:t>
      </w:r>
      <w:bookmarkEnd w:id="297"/>
      <w:bookmarkEnd w:id="298"/>
    </w:p>
    <w:p>
      <w:pPr>
        <w:pStyle w:val="Heading2"/>
        <w:rPr/>
      </w:pPr>
      <w:bookmarkStart w:id="299" w:name="__RefHeading___Toc4325_2903983697"/>
      <w:bookmarkStart w:id="300" w:name="X3ff22031f0543bd51526d91de506495d1fb32de"/>
      <w:bookmarkEnd w:id="299"/>
      <w:r>
        <w:rPr/>
        <w:t>Article 22: Coordinated Surveillance and the Blue Safe Monitor</w:t>
      </w:r>
    </w:p>
    <w:p>
      <w:pPr>
        <w:pStyle w:val="Heading3"/>
        <w:rPr/>
      </w:pPr>
      <w:bookmarkStart w:id="301" w:name="the-blue-safe-monitor"/>
      <w:r>
        <w:rPr/>
        <w:t>22.1 The Blue Safe Monitor</w:t>
      </w:r>
    </w:p>
    <w:p>
      <w:pPr>
        <w:pStyle w:val="FirstParagraph"/>
        <w:rPr/>
      </w:pPr>
      <w:bookmarkStart w:id="302" w:name="the-blue-safe-monitor"/>
      <w:r>
        <w:rPr/>
        <w:t>Coordinated surveillance by international naval forces and the coastal states provides Blue Safe monitoring of all transiting vessels. The Monitor aggregates the track picture from the coastal states’ vessel traffic services, the automatic identification system receivers at Muscat and Bandar Abbas, the satellite feeds contributed by participating states, and the embarked observer reports of Article 34.3, and it publishes the safety-relevant layer of that picture to every watch floor simultaneously with identical latency.</w:t>
      </w:r>
      <w:bookmarkEnd w:id="302"/>
    </w:p>
    <w:p>
      <w:pPr>
        <w:pStyle w:val="Heading3"/>
        <w:rPr/>
      </w:pPr>
      <w:bookmarkStart w:id="303" w:name="what-the-monitor-watches"/>
      <w:r>
        <w:rPr/>
        <w:t>22.2 What the Monitor watches</w:t>
      </w:r>
    </w:p>
    <w:p>
      <w:pPr>
        <w:pStyle w:val="FirstParagraph"/>
        <w:rPr/>
      </w:pPr>
      <w:bookmarkStart w:id="304" w:name="what-the-monitor-watches"/>
      <w:r>
        <w:rPr/>
        <w:t>The Monitor watches: every vessel in the corridor system and the designated areas; every military contact inside the standoff geometry; the closure distances of Article 18.7; the signal integrity of navigation broadcasts, through land-based receivers at both seats; and the environmental sensors of Article 10.4. The Monitor flags deviations to the duty officers; human officers review and decide, per the human-judgment principle of Article 3.</w:t>
      </w:r>
      <w:bookmarkEnd w:id="304"/>
    </w:p>
    <w:p>
      <w:pPr>
        <w:pStyle w:val="Heading3"/>
        <w:rPr/>
      </w:pPr>
      <w:bookmarkStart w:id="305" w:name="information-sharing-on-hazards"/>
      <w:r>
        <w:rPr/>
        <w:t>22.3 Information sharing on hazards</w:t>
      </w:r>
    </w:p>
    <w:p>
      <w:pPr>
        <w:pStyle w:val="FirstParagraph"/>
        <w:rPr/>
      </w:pPr>
      <w:bookmarkStart w:id="306" w:name="information-sharing-on-hazards"/>
      <w:r>
        <w:rPr/>
        <w:t>The Parties share information on mine locations and navigation hazards through the coordination mechanism without reservation and without delay. A hazard report from any source enters the shared register within one hour, and the Center issues the corresponding routing adjustment or Suspended Flow per Article 21.5. The architecture treats hazard data as safety data, never as intelligence: the register strips attribution metadata, and no Party’s contribution of hazard data carries any operational or political imputation, consistent with Article 2.7.</w:t>
      </w:r>
      <w:bookmarkEnd w:id="306"/>
    </w:p>
    <w:p>
      <w:pPr>
        <w:pStyle w:val="Heading3"/>
        <w:rPr/>
      </w:pPr>
      <w:bookmarkStart w:id="307" w:name="civilian-custody-of-the-picture"/>
      <w:r>
        <w:rPr/>
        <w:t>22.4 Civilian custody of the picture</w:t>
      </w:r>
    </w:p>
    <w:p>
      <w:pPr>
        <w:pStyle w:val="FirstParagraph"/>
        <w:rPr/>
      </w:pPr>
      <w:bookmarkStart w:id="308" w:name="X3ff22031f0543bd51526d91de506495d1fb32de"/>
      <w:bookmarkStart w:id="309" w:name="civilian-custody-of-the-picture"/>
      <w:r>
        <w:rPr/>
        <w:t>The aggregated picture sits in civilian custody at the Center, under the Civilian Character Clause of Article 33.6. Military liaison officers at the policy level receive the same picture through the liaison channel, and no military command receives a preferential, earlier, or richer feed. This custody rule implements the Asset-Use Rule of Article 18.9 in the data domain.</w:t>
      </w:r>
      <w:bookmarkEnd w:id="308"/>
      <w:bookmarkEnd w:id="309"/>
    </w:p>
    <w:p>
      <w:pPr>
        <w:pStyle w:val="Heading2"/>
        <w:rPr/>
      </w:pPr>
      <w:bookmarkStart w:id="310" w:name="__RefHeading___Toc4327_2903983697"/>
      <w:bookmarkStart w:id="311" w:name="X53aa2f8502bd56a7129997b9d87f96088405f47"/>
      <w:bookmarkEnd w:id="310"/>
      <w:r>
        <w:rPr/>
        <w:t>Article 23: Incident Prevention and the Escalation Ladder</w:t>
      </w:r>
    </w:p>
    <w:p>
      <w:pPr>
        <w:pStyle w:val="Heading3"/>
        <w:rPr/>
      </w:pPr>
      <w:bookmarkStart w:id="312" w:name="prevention-duties-built-into-the-design"/>
      <w:r>
        <w:rPr/>
        <w:t>23.1 Prevention duties built into the design</w:t>
      </w:r>
    </w:p>
    <w:p>
      <w:pPr>
        <w:pStyle w:val="FirstParagraph"/>
        <w:rPr/>
      </w:pPr>
      <w:bookmarkStart w:id="313" w:name="prevention-duties-built-into-the-design"/>
      <w:r>
        <w:rPr/>
        <w:t>The architecture prevents incidents structurally rather than punishing them afterward: the standoff distances keep weapons away from hulls; the hotline keeps channels warm; the posture statements keep movements predictable; the bulletin keeps every mariner on the same picture; and the civilian custody of the data keeps the safety picture out of the targeting chain.</w:t>
      </w:r>
      <w:bookmarkEnd w:id="313"/>
    </w:p>
    <w:p>
      <w:pPr>
        <w:pStyle w:val="Heading3"/>
        <w:rPr/>
      </w:pPr>
      <w:bookmarkStart w:id="314" w:name="the-near-miss-register"/>
      <w:r>
        <w:rPr/>
        <w:t>23.2 The near-miss register</w:t>
      </w:r>
    </w:p>
    <w:p>
      <w:pPr>
        <w:pStyle w:val="FirstParagraph"/>
        <w:rPr/>
      </w:pPr>
      <w:bookmarkStart w:id="315" w:name="the-near-miss-register"/>
      <w:r>
        <w:rPr/>
        <w:t>Every near-miss enters the register: a closure inside the standoff distance without contact, an illumination report, a hailing that goes unanswered, a drone approach inside the zone, a small-craft approach to a merchant vessel inside a lane. The Center logs each near-miss with time, position, tracks, and the hotline record, and the weekly report publishes near-miss counts by category. The register exists because near-misses predict incidents, and a rising count triggers the preventive consultation of Article 20.5 before the incident arrives.</w:t>
      </w:r>
      <w:bookmarkEnd w:id="315"/>
    </w:p>
    <w:p>
      <w:pPr>
        <w:pStyle w:val="Heading3"/>
        <w:rPr/>
      </w:pPr>
      <w:bookmarkStart w:id="316" w:name="the-de-escalation-ladder-on-the-water"/>
      <w:r>
        <w:rPr/>
        <w:t>23.3 The de-escalation ladder on the water</w:t>
      </w:r>
    </w:p>
    <w:p>
      <w:pPr>
        <w:pStyle w:val="FirstParagraph"/>
        <w:rPr/>
      </w:pPr>
      <w:bookmarkStart w:id="317" w:name="the-de-escalation-ladder-on-the-water"/>
      <w:r>
        <w:rPr/>
        <w:t>Where a contact develops, the on-scene discipline follows one ladder: hail and identify on the working channel; state position and intention; open a hotline event if the contact persists; increase standoff distance; and never close, never illuminate, never maneuver to impede a merchant vessel. The ladder binds every force equally, and the hotline record of every contact publishes in summary.</w:t>
      </w:r>
      <w:bookmarkEnd w:id="317"/>
    </w:p>
    <w:p>
      <w:pPr>
        <w:pStyle w:val="Heading3"/>
        <w:rPr/>
      </w:pPr>
      <w:bookmarkStart w:id="318" w:name="the-72-hour-incident-review"/>
      <w:r>
        <w:rPr/>
        <w:t>23.4 The 72-hour incident review</w:t>
      </w:r>
    </w:p>
    <w:p>
      <w:pPr>
        <w:pStyle w:val="FirstParagraph"/>
        <w:rPr/>
      </w:pPr>
      <w:bookmarkStart w:id="319" w:name="X66e8dc5fd7b17a8792cb725d8a16615361d9c2e"/>
      <w:bookmarkStart w:id="320" w:name="X53aa2f8502bd56a7129997b9d87f96088405f47"/>
      <w:bookmarkStart w:id="321" w:name="the-72-hour-incident-review"/>
      <w:r>
        <w:rPr/>
        <w:t>Every incident touching a merchant vessel receives a joint review within 72 hours: the Neutral Passage Office assembles the tracks, the hotline record, the observer reports, and the participants’ statements; the review states the facts under the Two-Anchor Method; and the findings feed the compliance classification of Article 37 and the public record of Article 28. The review states facts and classifications, never blame in the political register, and no Party’s non-participation delays the review, which proceeds on the record available.</w:t>
      </w:r>
      <w:bookmarkEnd w:id="319"/>
      <w:bookmarkEnd w:id="320"/>
      <w:bookmarkEnd w:id="321"/>
    </w:p>
    <w:p>
      <w:pPr>
        <w:pStyle w:val="Heading1"/>
        <w:rPr/>
      </w:pPr>
      <w:bookmarkStart w:id="322" w:name="__RefHeading___Toc4329_2903983697"/>
      <w:bookmarkStart w:id="323" w:name="X88d07919118dce0e559326b19bfdc13eb887ef1"/>
      <w:bookmarkEnd w:id="322"/>
      <w:r>
        <w:rPr/>
        <w:t>Part V: Coastal State Cooperation for Supply Lines</w:t>
      </w:r>
    </w:p>
    <w:p>
      <w:pPr>
        <w:pStyle w:val="Heading2"/>
        <w:rPr/>
      </w:pPr>
      <w:bookmarkStart w:id="324" w:name="__RefHeading___Toc4331_2903983697"/>
      <w:bookmarkStart w:id="325" w:name="X13495793adfe46f13d68ad98d53ad8862e088e7"/>
      <w:bookmarkEnd w:id="324"/>
      <w:r>
        <w:rPr/>
        <w:t>Article 24: Port Access for Humanitarian Resupply</w:t>
      </w:r>
    </w:p>
    <w:p>
      <w:pPr>
        <w:pStyle w:val="Heading3"/>
        <w:rPr/>
      </w:pPr>
      <w:bookmarkStart w:id="326" w:name="emergency-resupply-access"/>
      <w:r>
        <w:rPr/>
        <w:t>24.1 Emergency resupply access</w:t>
      </w:r>
    </w:p>
    <w:p>
      <w:pPr>
        <w:pStyle w:val="FirstParagraph"/>
        <w:rPr/>
      </w:pPr>
      <w:bookmarkStart w:id="327" w:name="emergency-resupply-access"/>
      <w:r>
        <w:rPr/>
        <w:t>Iranian and Omani ports open for the emergency resupply of stranded vessels, including the provisioning of food, water, and medical supplies, from the moment of entry into force. The designated resupply facilities are: Bandar Abbas, Chabahar, and Bandar Imam Khomeini on the Iranian shore; Muscat, Duqm, and Salalah on the Omani shore. Each facility stands ready to receive stranded vessels’ boats, resupply launches, and, where draft and safety permit, the vessels themselves.</w:t>
      </w:r>
      <w:bookmarkEnd w:id="327"/>
    </w:p>
    <w:p>
      <w:pPr>
        <w:pStyle w:val="Heading3"/>
        <w:rPr/>
      </w:pPr>
      <w:bookmarkStart w:id="328" w:name="the-non-prejudice-clause"/>
      <w:r>
        <w:rPr/>
        <w:t>24.2 The Non-Prejudice Clause</w:t>
      </w:r>
    </w:p>
    <w:p>
      <w:pPr>
        <w:pStyle w:val="FirstParagraph"/>
        <w:rPr/>
      </w:pPr>
      <w:bookmarkStart w:id="329" w:name="the-non-prejudice-clause"/>
      <w:r>
        <w:rPr/>
        <w:t>Port access under this Part operates without prejudice to any Party’s legal position on sovereignty, on the blockade, or on sanctions. A resupply call constitutes neither a legal import nor a political act; it constitutes the discharge of the maritime duty to sustain human life at sea. The Framework’s records characterize every resupply movement in these terms, and no Party cites a resupply movement as precedent in any other forum, consistent with Article 2.7.</w:t>
      </w:r>
      <w:bookmarkEnd w:id="329"/>
    </w:p>
    <w:p>
      <w:pPr>
        <w:pStyle w:val="Heading3"/>
        <w:rPr/>
      </w:pPr>
      <w:bookmarkStart w:id="330" w:name="access-terms"/>
      <w:r>
        <w:rPr/>
        <w:t>24.3 Access terms</w:t>
      </w:r>
    </w:p>
    <w:p>
      <w:pPr>
        <w:pStyle w:val="FirstParagraph"/>
        <w:rPr/>
      </w:pPr>
      <w:bookmarkStart w:id="331" w:name="access-terms"/>
      <w:r>
        <w:rPr/>
        <w:t>Resupply access carries: no port charge, no anchorage fee, no license, and no condition beyond ordinary safety and sanitation formalities; a maximum processing time of 6 hours from request to berthing or boat dispatch for a medical resupply, and 24 hours for a provisions resupply; and free movement of the resupply launches between the anchorage and the facility inside the protected geometry. The Center logs every resupply movement, and the weekly report publishes facility-by-facility performance against the processing standards.</w:t>
      </w:r>
      <w:bookmarkEnd w:id="331"/>
    </w:p>
    <w:p>
      <w:pPr>
        <w:pStyle w:val="Heading3"/>
        <w:rPr/>
      </w:pPr>
      <w:bookmarkStart w:id="332" w:name="humanitarian-cargo-staging"/>
      <w:r>
        <w:rPr/>
        <w:t>24.4 Humanitarian cargo staging</w:t>
      </w:r>
    </w:p>
    <w:p>
      <w:pPr>
        <w:pStyle w:val="FirstParagraph"/>
        <w:rPr/>
      </w:pPr>
      <w:bookmarkStart w:id="333" w:name="X13495793adfe46f13d68ad98d53ad8862e088e7"/>
      <w:bookmarkStart w:id="334" w:name="humanitarian-cargo-staging"/>
      <w:r>
        <w:rPr/>
        <w:t>The designated facilities of Article 24.1 also stage humanitarian cargo for the corridor: the Task Force positions forward stocks of food, medicine, and shelter materials at Duqm and Bandar Abbas, so that the corridor’s early weeks draw on pre-positioned cargo rather than waiting on the full logistics chain. The staging operates under the same clearance and inspection regime as every other corridor movement.</w:t>
      </w:r>
      <w:bookmarkEnd w:id="333"/>
      <w:bookmarkEnd w:id="334"/>
    </w:p>
    <w:p>
      <w:pPr>
        <w:pStyle w:val="Heading2"/>
        <w:rPr/>
      </w:pPr>
      <w:bookmarkStart w:id="335" w:name="__RefHeading___Toc4333_2903983697"/>
      <w:bookmarkStart w:id="336" w:name="article-25-the-joint-resupply-protocol"/>
      <w:bookmarkEnd w:id="335"/>
      <w:r>
        <w:rPr/>
        <w:t>Article 25: The Joint Resupply Protocol</w:t>
      </w:r>
    </w:p>
    <w:p>
      <w:pPr>
        <w:pStyle w:val="Heading3"/>
        <w:rPr/>
      </w:pPr>
      <w:bookmarkStart w:id="337" w:name="establishment-3"/>
      <w:r>
        <w:rPr/>
        <w:t>25.1 Establishment</w:t>
      </w:r>
    </w:p>
    <w:p>
      <w:pPr>
        <w:pStyle w:val="FirstParagraph"/>
        <w:rPr/>
      </w:pPr>
      <w:bookmarkStart w:id="338" w:name="establishment-3"/>
      <w:r>
        <w:rPr/>
        <w:t>The International Maritime Organization and the coastal states operate a joint resupply protocol for vessels in distress or short of provisions, with designated anchorages in Omani and Iranian waters per Annex A, Table A.7. The protocol replaces the conflict-time improvisation of ad hoc resupply with a standing, tested, and supervised system.</w:t>
      </w:r>
      <w:bookmarkEnd w:id="338"/>
    </w:p>
    <w:p>
      <w:pPr>
        <w:pStyle w:val="Heading3"/>
        <w:rPr/>
      </w:pPr>
      <w:bookmarkStart w:id="339" w:name="the-protocol-in-operation"/>
      <w:r>
        <w:rPr/>
        <w:t>25.2 The protocol in operation</w:t>
      </w:r>
    </w:p>
    <w:p>
      <w:pPr>
        <w:pStyle w:val="FirstParagraph"/>
        <w:rPr/>
      </w:pPr>
      <w:bookmarkStart w:id="340" w:name="the-protocol-in-operation"/>
      <w:r>
        <w:rPr/>
        <w:t>A vessel requests resupply through the Center on the working channel or the satellite fallback, stating needs against the standard provisions form of Annex G. The Center assigns the nearest designated facility or, where safety dictates, an alongside delivery at the anchorage; the resupply executes under neutral supervision per Article 25.3; and the completion enters the Registry within 6 hours. Provisions delivered under the protocol carry no charge to the seafarer; the Humanitarian Operations Fund reimburses documented costs at published rates, with flag states and shipowners retaining their underlying obligations under the Maritime Labour Convention.</w:t>
      </w:r>
      <w:bookmarkEnd w:id="340"/>
    </w:p>
    <w:p>
      <w:pPr>
        <w:pStyle w:val="Heading3"/>
        <w:rPr/>
      </w:pPr>
      <w:bookmarkStart w:id="341" w:name="neutral-supervision"/>
      <w:r>
        <w:rPr/>
        <w:t>25.3 Neutral supervision</w:t>
      </w:r>
    </w:p>
    <w:p>
      <w:pPr>
        <w:pStyle w:val="FirstParagraph"/>
        <w:rPr/>
      </w:pPr>
      <w:bookmarkStart w:id="342" w:name="neutral-supervision"/>
      <w:r>
        <w:rPr/>
        <w:t>Neutral observers of the Neutral Passage Office, or United Nations monitors where the resupply touches a corridor staging movement, supervise resupply operations on a published rota: every medical resupply carries an observer; provisions resupply carries an observer on a one-in-three sample selected by lot; and every observer report files within 12 hours. Supervision verifies that the movement carries what the manifest states and reaches the vessel it names; supervision never delays a medical movement, which executes first and reports after.</w:t>
      </w:r>
      <w:bookmarkEnd w:id="342"/>
    </w:p>
    <w:p>
      <w:pPr>
        <w:pStyle w:val="Heading3"/>
        <w:rPr/>
      </w:pPr>
      <w:bookmarkStart w:id="343" w:name="water-and-the-desalination-interface"/>
      <w:r>
        <w:rPr/>
        <w:t>25.4 Water and the desalination interface</w:t>
      </w:r>
    </w:p>
    <w:p>
      <w:pPr>
        <w:pStyle w:val="FirstParagraph"/>
        <w:rPr/>
      </w:pPr>
      <w:bookmarkStart w:id="344" w:name="article-25-the-joint-resupply-protocol"/>
      <w:bookmarkStart w:id="345" w:name="water-and-the-desalination-interface"/>
      <w:r>
        <w:rPr/>
        <w:t>Potable water resupply draws on the coastal states’ desalination and port water infrastructure. The architecture designates water points at each facility of Article 24.1 and one floating water barge at each Waiting Area, maintained by the Fund, so that no crew rationing water waits on a port call. The barge positions and the water points publish in the bulletin.</w:t>
      </w:r>
      <w:bookmarkEnd w:id="344"/>
      <w:bookmarkEnd w:id="345"/>
    </w:p>
    <w:p>
      <w:pPr>
        <w:pStyle w:val="Heading2"/>
        <w:rPr/>
      </w:pPr>
      <w:bookmarkStart w:id="346" w:name="__RefHeading___Toc4335_2903983697"/>
      <w:bookmarkStart w:id="347" w:name="X6d2cbb24c56c4ddec78e6a0f51a98f04a2e97f2"/>
      <w:bookmarkEnd w:id="346"/>
      <w:r>
        <w:rPr/>
        <w:t>Article 26: Regional Logistics Coordination</w:t>
      </w:r>
    </w:p>
    <w:p>
      <w:pPr>
        <w:pStyle w:val="Heading3"/>
        <w:rPr/>
      </w:pPr>
      <w:bookmarkStart w:id="348" w:name="regional-partners"/>
      <w:r>
        <w:rPr/>
        <w:t>26.1 Regional partners</w:t>
      </w:r>
    </w:p>
    <w:p>
      <w:pPr>
        <w:pStyle w:val="FirstParagraph"/>
        <w:rPr/>
      </w:pPr>
      <w:bookmarkStart w:id="349" w:name="regional-partners"/>
      <w:r>
        <w:rPr/>
        <w:t>The International Maritime Organization coordinates with regional partners, including Qatar, the United Arab Emirates, and Saudi Arabia, to secure supply lines and to facilitate immediate humanitarian access. Each Gulf Cooperation Council state designates a national logistics focal point at the Center, and the focal points convene daily during the first thirty days and weekly thereafter.</w:t>
      </w:r>
      <w:bookmarkEnd w:id="349"/>
    </w:p>
    <w:p>
      <w:pPr>
        <w:pStyle w:val="Heading3"/>
        <w:rPr/>
      </w:pPr>
      <w:bookmarkStart w:id="350" w:name="the-logistics-map"/>
      <w:r>
        <w:rPr/>
        <w:t>26.2 The logistics map</w:t>
      </w:r>
    </w:p>
    <w:p>
      <w:pPr>
        <w:pStyle w:val="FirstParagraph"/>
        <w:rPr/>
      </w:pPr>
      <w:bookmarkStart w:id="351" w:name="the-logistics-map"/>
      <w:r>
        <w:rPr/>
        <w:t>The Center maintains the regional logistics map: ports and their humanitarian handling capacity; airfields and their cargo throughput; the hub airports of the repatriation system; road links from the corridor staging ports to the inland distribution points; and cold-chain capacity at each node. The map publishes on the Portal and updates weekly, so that the Task Force plans corridor cargo against real infrastructure rather than assumption.</w:t>
      </w:r>
      <w:bookmarkEnd w:id="351"/>
    </w:p>
    <w:p>
      <w:pPr>
        <w:pStyle w:val="Heading3"/>
        <w:rPr/>
      </w:pPr>
      <w:bookmarkStart w:id="352" w:name="supply-chain-security"/>
      <w:r>
        <w:rPr/>
        <w:t>26.3 Supply chain security</w:t>
      </w:r>
    </w:p>
    <w:p>
      <w:pPr>
        <w:pStyle w:val="FirstParagraph"/>
        <w:rPr/>
      </w:pPr>
      <w:bookmarkStart w:id="353" w:name="supply-chain-security"/>
      <w:r>
        <w:rPr/>
        <w:t>The architecture holds humanitarian supply chains secure and free from interference. The protected status of Articles 12.4 and 18.3 extends to the staging facilities, the resupply launches, the water points, and the hub logistics: no attack, no interdiction, no diversion, and no harassment touches any element of the humanitarian supply chain, at sea or ashore, under any circumstance. An interference event touching the supply chain ashore classifies under Annex E identically to one at sea.</w:t>
      </w:r>
      <w:bookmarkEnd w:id="353"/>
    </w:p>
    <w:p>
      <w:pPr>
        <w:pStyle w:val="Heading3"/>
        <w:rPr/>
      </w:pPr>
      <w:bookmarkStart w:id="354" w:name="commercial-interface"/>
      <w:r>
        <w:rPr/>
        <w:t>26.4 Commercial interface</w:t>
      </w:r>
    </w:p>
    <w:p>
      <w:pPr>
        <w:pStyle w:val="FirstParagraph"/>
        <w:rPr/>
      </w:pPr>
      <w:bookmarkStart w:id="355" w:name="X6d2cbb24c56c4ddec78e6a0f51a98f04a2e97f2"/>
      <w:bookmarkStart w:id="356" w:name="commercial-interface"/>
      <w:r>
        <w:rPr/>
        <w:t>The Framework coordinates with the shipping and insurance industry through the standing maritime liaison panel: four shipowner and operator associations, two protection and indemnity club representatives, and two port authority representatives, meeting with the Council twice yearly and with the Center monthly. The panel’s operational feedback enters the record, and the Center answers every panel submission within 30 days.</w:t>
      </w:r>
      <w:bookmarkEnd w:id="355"/>
      <w:bookmarkEnd w:id="356"/>
    </w:p>
    <w:p>
      <w:pPr>
        <w:pStyle w:val="Heading2"/>
        <w:rPr/>
      </w:pPr>
      <w:bookmarkStart w:id="357" w:name="__RefHeading___Toc4337_2903983697"/>
      <w:bookmarkStart w:id="358" w:name="X789da45baf3c968ad3cbe79b01a6a4fa765fee7"/>
      <w:bookmarkEnd w:id="357"/>
      <w:r>
        <w:rPr/>
        <w:t>Article 27: Technician and Spare Parts Access</w:t>
      </w:r>
    </w:p>
    <w:p>
      <w:pPr>
        <w:pStyle w:val="Heading3"/>
        <w:rPr/>
      </w:pPr>
      <w:bookmarkStart w:id="359" w:name="the-access-channel"/>
      <w:r>
        <w:rPr/>
        <w:t>27.1 The access channel</w:t>
      </w:r>
    </w:p>
    <w:p>
      <w:pPr>
        <w:pStyle w:val="FirstParagraph"/>
        <w:rPr/>
      </w:pPr>
      <w:bookmarkStart w:id="360" w:name="the-access-channel"/>
      <w:r>
        <w:rPr/>
        <w:t>Specialized technicians and spare parts reach stranded vessels through the dedicated access channel of Article 10.2, operated by the Center in coordination with the coastal states. The channel runs on notification, not permission; it carries no charge; and it covers riding teams, divers, surveyors, and the tools and parts their work requires.</w:t>
      </w:r>
      <w:bookmarkEnd w:id="360"/>
    </w:p>
    <w:p>
      <w:pPr>
        <w:pStyle w:val="Heading3"/>
        <w:rPr/>
      </w:pPr>
      <w:bookmarkStart w:id="361" w:name="embarkation-points"/>
      <w:r>
        <w:rPr/>
        <w:t>27.2 Embarkation points</w:t>
      </w:r>
    </w:p>
    <w:p>
      <w:pPr>
        <w:pStyle w:val="FirstParagraph"/>
        <w:rPr/>
      </w:pPr>
      <w:bookmarkStart w:id="362" w:name="embarkation-points"/>
      <w:r>
        <w:rPr/>
        <w:t>Technicians embark at the designated facilities of Article 24.1 and at Doha. The embarkation points hold standing arrangements for the movement of technical personnel: immigration processing within 6 hours, tool and parts clearance against the two-part form of Annex G within 12 hours, and launch or helicopter transfer to the vessel inside the protected geometry.</w:t>
      </w:r>
      <w:bookmarkEnd w:id="362"/>
    </w:p>
    <w:p>
      <w:pPr>
        <w:pStyle w:val="Heading3"/>
        <w:rPr/>
      </w:pPr>
      <w:bookmarkStart w:id="363" w:name="priority-categories"/>
      <w:r>
        <w:rPr/>
        <w:t>27.3 Priority categories</w:t>
      </w:r>
    </w:p>
    <w:p>
      <w:pPr>
        <w:pStyle w:val="FirstParagraph"/>
        <w:rPr/>
      </w:pPr>
      <w:bookmarkStart w:id="364" w:name="priority-categories"/>
      <w:r>
        <w:rPr/>
        <w:t>The channel sequences work by safety priority: first, hull integrity and propulsion restoration for vessels carrying dangerous cargo; second, systems affecting crew safety, including firefighting, ventilation, and refrigeration for provisions; third, all other mechanical restoration. The at-risk vessel watch of Article 10.3 feeds the queue, and the duty officer pair resolves sequencing conflicts on the record within 4 hours.</w:t>
      </w:r>
      <w:bookmarkEnd w:id="364"/>
    </w:p>
    <w:p>
      <w:pPr>
        <w:pStyle w:val="Heading3"/>
        <w:rPr/>
      </w:pPr>
      <w:bookmarkStart w:id="365" w:name="no-dual-use-obstruction"/>
      <w:r>
        <w:rPr/>
        <w:t>27.4 No dual-use obstruction</w:t>
      </w:r>
    </w:p>
    <w:p>
      <w:pPr>
        <w:pStyle w:val="FirstParagraph"/>
        <w:rPr/>
      </w:pPr>
      <w:bookmarkStart w:id="366" w:name="X88d07919118dce0e559326b19bfdc13eb887ef1"/>
      <w:bookmarkStart w:id="367" w:name="X789da45baf3c968ad3cbe79b01a6a4fa765fee7"/>
      <w:bookmarkStart w:id="368" w:name="no-dual-use-obstruction"/>
      <w:r>
        <w:rPr/>
        <w:t>The architecture excludes the invocation of dual-use goods controls to obstruct the movement of ordinary ship’s spares to stranded merchant vessels under this channel. The two-part form states the parts and their vessel application; the Neutral Passage Office audits a sample of movements; and a documented obstruction event enters the compliance record under Annex E.</w:t>
      </w:r>
      <w:bookmarkEnd w:id="366"/>
      <w:bookmarkEnd w:id="367"/>
      <w:bookmarkEnd w:id="368"/>
    </w:p>
    <w:p>
      <w:pPr>
        <w:pStyle w:val="Heading1"/>
        <w:rPr/>
      </w:pPr>
      <w:bookmarkStart w:id="369" w:name="__RefHeading___Toc4339_2903983697"/>
      <w:bookmarkStart w:id="370" w:name="part-vi-the-centralized-information-hub"/>
      <w:bookmarkEnd w:id="369"/>
      <w:r>
        <w:rPr/>
        <w:t>Part VI: The Centralized Information Hub</w:t>
      </w:r>
    </w:p>
    <w:p>
      <w:pPr>
        <w:pStyle w:val="Heading2"/>
        <w:rPr/>
      </w:pPr>
      <w:bookmarkStart w:id="371" w:name="__RefHeading___Toc4341_2903983697"/>
      <w:bookmarkStart w:id="372" w:name="X3c468f3e32dfe3eb785a007c12d9d69983f4795"/>
      <w:bookmarkEnd w:id="371"/>
      <w:r>
        <w:rPr/>
        <w:t>Article 28: The Humanitarian and Evacuation Portal</w:t>
      </w:r>
    </w:p>
    <w:p>
      <w:pPr>
        <w:pStyle w:val="Heading3"/>
        <w:rPr/>
      </w:pPr>
      <w:bookmarkStart w:id="373" w:name="establishment-and-purpose-1"/>
      <w:r>
        <w:rPr/>
        <w:t>28.1 Establishment and purpose</w:t>
      </w:r>
    </w:p>
    <w:p>
      <w:pPr>
        <w:pStyle w:val="FirstParagraph"/>
        <w:rPr/>
      </w:pPr>
      <w:bookmarkStart w:id="374" w:name="establishment-and-purpose-1"/>
      <w:r>
        <w:rPr/>
        <w:t>The International Maritime Organization maintains a dedicated humanitarian portal carrying verified data on ship attacks, support resources, crew evacuation status, corridor operations, and the compliance record. The Portal constitutes the single authoritative public record of the Framework’s humanitarian operations, so that seafarers’ families, shipowners, insurers, markets, and the public read the same verified record at the same time.</w:t>
      </w:r>
      <w:bookmarkEnd w:id="374"/>
    </w:p>
    <w:p>
      <w:pPr>
        <w:pStyle w:val="Heading3"/>
        <w:rPr/>
      </w:pPr>
      <w:bookmarkStart w:id="375" w:name="content"/>
      <w:r>
        <w:rPr/>
        <w:t>28.2 Content</w:t>
      </w:r>
    </w:p>
    <w:p>
      <w:pPr>
        <w:pStyle w:val="FirstParagraph"/>
        <w:rPr/>
      </w:pPr>
      <w:bookmarkStart w:id="376" w:name="content"/>
      <w:r>
        <w:rPr/>
        <w:t>The Portal publishes: the Stranded Vessel and Crew Registry in aggregate, anonymized form, with provisions status by flag; the daily evacuation and repatriation counts; the corridor status and the transit bulletin; the clearance statistics of the United Nations mechanism; the tonnage floor performance of Article 17.2; the incident register in summary; the freeze status annex of Article 19.4; the hotline performance statistics; the resupply performance statistics; and the weekly report of Article 33.7 in full.</w:t>
      </w:r>
      <w:bookmarkEnd w:id="376"/>
    </w:p>
    <w:p>
      <w:pPr>
        <w:pStyle w:val="Heading3"/>
        <w:rPr/>
      </w:pPr>
      <w:bookmarkStart w:id="377" w:name="accessibility-and-update-rhythm"/>
      <w:r>
        <w:rPr/>
        <w:t>28.3 Accessibility and update rhythm</w:t>
      </w:r>
    </w:p>
    <w:p>
      <w:pPr>
        <w:pStyle w:val="FirstParagraph"/>
        <w:rPr/>
      </w:pPr>
      <w:bookmarkStart w:id="378" w:name="accessibility-and-update-rhythm"/>
      <w:r>
        <w:rPr/>
        <w:t>The Portal is publicly accessible without registration, updates in near real time for the operational layers and daily for the statistical layers, publishes in English with Persian and Arabic versions of every substantive product following within 24 hours, and maintains an application programming interface so that flag states, welfare organizations, and insurers pull the data directly. The Portal consolidates information from the International Maritime Organization, the United Kingdom Maritime Trade Operations center, the Maritime Information Cooperation and Awareness Center, and the coastal states into one verified stream.</w:t>
      </w:r>
      <w:bookmarkEnd w:id="378"/>
    </w:p>
    <w:p>
      <w:pPr>
        <w:pStyle w:val="Heading3"/>
        <w:rPr/>
      </w:pPr>
      <w:bookmarkStart w:id="379" w:name="the-families-desk"/>
      <w:r>
        <w:rPr/>
        <w:t>28.4 The families’ desk</w:t>
      </w:r>
    </w:p>
    <w:p>
      <w:pPr>
        <w:pStyle w:val="FirstParagraph"/>
        <w:rPr/>
      </w:pPr>
      <w:bookmarkStart w:id="380" w:name="X3c468f3e32dfe3eb785a007c12d9d69983f4795"/>
      <w:bookmarkStart w:id="381" w:name="the-families-desk"/>
      <w:r>
        <w:rPr/>
        <w:t>The Portal carries a families’ desk: a public contact point through which seafarers’ families obtain verified information on a specific vessel’s status, the welfare measures reaching it, and the repatriation pipeline affecting it. The families’ desk answers every inquiry within 48 hours, in the inquirer’s language where practicable, and refers welfare crises to the mental health program of Article 9.2.</w:t>
      </w:r>
      <w:bookmarkEnd w:id="380"/>
      <w:bookmarkEnd w:id="381"/>
    </w:p>
    <w:p>
      <w:pPr>
        <w:pStyle w:val="Heading2"/>
        <w:rPr/>
      </w:pPr>
      <w:bookmarkStart w:id="382" w:name="__RefHeading___Toc4343_2903983697"/>
      <w:bookmarkStart w:id="383" w:name="article-29-incident-reporting"/>
      <w:bookmarkEnd w:id="382"/>
      <w:r>
        <w:rPr/>
        <w:t>Article 29: Incident Reporting</w:t>
      </w:r>
    </w:p>
    <w:p>
      <w:pPr>
        <w:pStyle w:val="Heading3"/>
        <w:rPr/>
      </w:pPr>
      <w:bookmarkStart w:id="384" w:name="the-24-hour-requirement"/>
      <w:r>
        <w:rPr/>
        <w:t>29.1 The 24-hour requirement</w:t>
      </w:r>
    </w:p>
    <w:p>
      <w:pPr>
        <w:pStyle w:val="FirstParagraph"/>
        <w:rPr/>
      </w:pPr>
      <w:bookmarkStart w:id="385" w:name="the-24-hour-requirement"/>
      <w:r>
        <w:rPr/>
        <w:t>All Parties report incidents affecting humanitarian shipping to the Portal within 24 hours of the incident or of the Party’s awareness of it, whichever arrives earlier. The reporting duty binds every Party and extends to every incident touching a merchant vessel, a humanitarian movement, a resupply operation, or a corridor inside the Governance Area and its approaches.</w:t>
      </w:r>
      <w:bookmarkEnd w:id="385"/>
    </w:p>
    <w:p>
      <w:pPr>
        <w:pStyle w:val="Heading3"/>
        <w:rPr/>
      </w:pPr>
      <w:bookmarkStart w:id="386" w:name="content-of-reports"/>
      <w:r>
        <w:rPr/>
        <w:t>29.2 Content of reports</w:t>
      </w:r>
    </w:p>
    <w:p>
      <w:pPr>
        <w:pStyle w:val="FirstParagraph"/>
        <w:rPr/>
      </w:pPr>
      <w:bookmarkStart w:id="387" w:name="content-of-reports"/>
      <w:r>
        <w:rPr/>
        <w:t>An incident report states: vessel identity and flag; position and time; the nature of the incident; the response actions taken; casualties and damage in factual terms; and the reporting Party’s contact point for the follow-up. The Center’s incident desk acknowledges every report within 2 hours, assigns the incident number, and opens the incident record.</w:t>
      </w:r>
      <w:bookmarkEnd w:id="387"/>
    </w:p>
    <w:p>
      <w:pPr>
        <w:pStyle w:val="Heading3"/>
        <w:rPr/>
      </w:pPr>
      <w:bookmarkStart w:id="388" w:name="the-incident-register"/>
      <w:r>
        <w:rPr/>
        <w:t>29.3 The incident register</w:t>
      </w:r>
    </w:p>
    <w:p>
      <w:pPr>
        <w:pStyle w:val="FirstParagraph"/>
        <w:rPr/>
      </w:pPr>
      <w:bookmarkStart w:id="389" w:name="the-incident-register"/>
      <w:r>
        <w:rPr/>
        <w:t>The incident register holds every reported incident with its full record: the report, the tracks, the hotline log, the observer inputs, the 72-hour joint review findings of Article 23.4, and the compliance classification of Article 37. The register never purges, consistent with the Continuity Guarantee’s preservation of institutional memory. The public layer publishes the factual summary; the full record stands open to every Party and to the Neutral Passage Office.</w:t>
      </w:r>
      <w:bookmarkEnd w:id="389"/>
    </w:p>
    <w:p>
      <w:pPr>
        <w:pStyle w:val="Heading3"/>
        <w:rPr/>
      </w:pPr>
      <w:bookmarkStart w:id="390" w:name="non-reporting"/>
      <w:r>
        <w:rPr/>
        <w:t>29.4 Non-reporting</w:t>
      </w:r>
    </w:p>
    <w:p>
      <w:pPr>
        <w:pStyle w:val="FirstParagraph"/>
        <w:rPr/>
      </w:pPr>
      <w:bookmarkStart w:id="391" w:name="article-29-incident-reporting"/>
      <w:bookmarkStart w:id="392" w:name="non-reporting"/>
      <w:r>
        <w:rPr/>
        <w:t>A documented failure to report within the 24-hour standard enters the compliance record as a category M-2 event, and a pattern of non-reporting routes to the Council. The architecture treats the reporting duty as the floor of good faith: the Framework tolerates dispute about facts; it does not tolerate silence about events.</w:t>
      </w:r>
      <w:bookmarkEnd w:id="391"/>
      <w:bookmarkEnd w:id="392"/>
    </w:p>
    <w:p>
      <w:pPr>
        <w:pStyle w:val="Heading2"/>
        <w:rPr/>
      </w:pPr>
      <w:bookmarkStart w:id="393" w:name="__RefHeading___Toc4345_2903983697"/>
      <w:bookmarkStart w:id="394" w:name="X2f7e73aed504875c4f588d92a5f889ccdb4aec5"/>
      <w:bookmarkEnd w:id="393"/>
      <w:r>
        <w:rPr/>
        <w:t>Article 30: The Counter-Misinformation Protocol</w:t>
      </w:r>
    </w:p>
    <w:p>
      <w:pPr>
        <w:pStyle w:val="Heading3"/>
        <w:rPr/>
      </w:pPr>
      <w:bookmarkStart w:id="395" w:name="the-problem"/>
      <w:r>
        <w:rPr/>
        <w:t>30.1 The problem</w:t>
      </w:r>
    </w:p>
    <w:p>
      <w:pPr>
        <w:pStyle w:val="FirstParagraph"/>
        <w:rPr/>
      </w:pPr>
      <w:bookmarkStart w:id="396" w:name="the-problem"/>
      <w:r>
        <w:rPr/>
        <w:t>Misinformation about humanitarian shipping kills: false reports of closure reroute vessels into danger, false reports of attack empty the lanes, and false claims about cargo poison the clearance system. The Framework answers misinformation with the published record, on a clock.</w:t>
      </w:r>
      <w:bookmarkEnd w:id="396"/>
    </w:p>
    <w:p>
      <w:pPr>
        <w:pStyle w:val="Heading3"/>
        <w:rPr/>
      </w:pPr>
      <w:bookmarkStart w:id="397" w:name="the-72-hour-correction-mechanism"/>
      <w:r>
        <w:rPr/>
        <w:t>30.2 The 72-hour correction mechanism</w:t>
      </w:r>
    </w:p>
    <w:p>
      <w:pPr>
        <w:pStyle w:val="FirstParagraph"/>
        <w:rPr/>
      </w:pPr>
      <w:bookmarkStart w:id="398" w:name="the-72-hour-correction-mechanism"/>
      <w:r>
        <w:rPr/>
        <w:t>The International Maritime Organization publishes corrections to misinformation about humanitarian shipping within 72 hours of identification, citing the Portal record as evidence. A correction states the claim, the record, and the source of the record, in plain language, in the three working languages, and distributes through the maritime safety information channels, the shipping industry networks, and the media distribution list.</w:t>
      </w:r>
      <w:bookmarkEnd w:id="398"/>
    </w:p>
    <w:p>
      <w:pPr>
        <w:pStyle w:val="Heading3"/>
        <w:rPr/>
      </w:pPr>
      <w:bookmarkStart w:id="399" w:name="community-engagement"/>
      <w:r>
        <w:rPr/>
        <w:t>30.3 Community engagement</w:t>
      </w:r>
    </w:p>
    <w:p>
      <w:pPr>
        <w:pStyle w:val="FirstParagraph"/>
        <w:rPr/>
      </w:pPr>
      <w:bookmarkStart w:id="400" w:name="community-engagement"/>
      <w:r>
        <w:rPr/>
        <w:t>The International Maritime Organization engages with maritime industry groups, welfare organizations, and flag-state administrations to ensure accurate information reaches the shipping community directly. The standing liaison panel of Article 26.4 doubles as the misinformation early-warning channel: industry members flag circulating falsehoods to the desk, and the desk’s correction or confirmation follows the 72-hour standard.</w:t>
      </w:r>
      <w:bookmarkEnd w:id="400"/>
    </w:p>
    <w:p>
      <w:pPr>
        <w:pStyle w:val="Heading3"/>
        <w:rPr/>
      </w:pPr>
      <w:bookmarkStart w:id="401" w:name="no-counter-speech-duty-on-operators"/>
      <w:r>
        <w:rPr/>
        <w:t>30.4 No counter-speech duty on operators</w:t>
      </w:r>
    </w:p>
    <w:p>
      <w:pPr>
        <w:pStyle w:val="FirstParagraph"/>
        <w:rPr/>
      </w:pPr>
      <w:bookmarkStart w:id="402" w:name="X2f7e73aed504875c4f588d92a5f889ccdb4aec5"/>
      <w:bookmarkStart w:id="403" w:name="no-counter-speech-duty-on-operators"/>
      <w:r>
        <w:rPr/>
        <w:t>No vessel operator, master, or seafarer carries any duty to respond to misinformation. The correction duty rests on the Framework’s own institutions, so that the people working the water work the water.</w:t>
      </w:r>
      <w:bookmarkEnd w:id="402"/>
      <w:bookmarkEnd w:id="403"/>
    </w:p>
    <w:p>
      <w:pPr>
        <w:pStyle w:val="Heading2"/>
        <w:rPr/>
      </w:pPr>
      <w:bookmarkStart w:id="404" w:name="__RefHeading___Toc4347_2903983697"/>
      <w:bookmarkStart w:id="405" w:name="Xaa1bf4d68b6da7042e94e1572323a067e4dd7d9"/>
      <w:bookmarkEnd w:id="404"/>
      <w:r>
        <w:rPr/>
        <w:t>Article 31: Data Custody, Authentication, and Cybersecurity</w:t>
      </w:r>
    </w:p>
    <w:p>
      <w:pPr>
        <w:pStyle w:val="Heading3"/>
        <w:rPr/>
      </w:pPr>
      <w:bookmarkStart w:id="406" w:name="dual-copy-custody"/>
      <w:r>
        <w:rPr/>
        <w:t>31.1 Dual-copy custody</w:t>
      </w:r>
    </w:p>
    <w:p>
      <w:pPr>
        <w:pStyle w:val="FirstParagraph"/>
        <w:rPr/>
      </w:pPr>
      <w:bookmarkStart w:id="407" w:name="dual-copy-custody"/>
      <w:r>
        <w:rPr/>
        <w:t>The Center retains every log, every registry entry, every clearance record, every hotline record, and every report for a minimum of seven years. Data custody follows the dual-copy rule: every record exists simultaneously in Muscat and Bandar Abbas under cryptographic timestamping, and neither copy admits unilateral alteration. A gap in the record constitutes a fact calling for explanation, never a fact supporting an accusation.</w:t>
      </w:r>
      <w:bookmarkEnd w:id="407"/>
    </w:p>
    <w:p>
      <w:pPr>
        <w:pStyle w:val="Heading3"/>
        <w:rPr/>
      </w:pPr>
      <w:bookmarkStart w:id="408" w:name="authentication"/>
      <w:r>
        <w:rPr/>
        <w:t>31.2 Authentication</w:t>
      </w:r>
    </w:p>
    <w:p>
      <w:pPr>
        <w:pStyle w:val="FirstParagraph"/>
        <w:rPr/>
      </w:pPr>
      <w:bookmarkStart w:id="409" w:name="authentication"/>
      <w:r>
        <w:rPr/>
        <w:t>Operational messages within the Framework carry cryptographic authentication against the key register the Neutral Administrator holds. The working channels authenticate every movement instruction, every clearance marker, and every bulletin, so that no spoofed instruction moves a vessel and no forged marker clears a cargo. Key compromise activates the re-keying protocol of Annex D within 6 hours.</w:t>
      </w:r>
      <w:bookmarkEnd w:id="409"/>
    </w:p>
    <w:p>
      <w:pPr>
        <w:pStyle w:val="Heading3"/>
        <w:rPr/>
      </w:pPr>
      <w:bookmarkStart w:id="410" w:name="cybersecurity-standards"/>
      <w:r>
        <w:rPr/>
        <w:t>31.3 Cybersecurity standards</w:t>
      </w:r>
    </w:p>
    <w:p>
      <w:pPr>
        <w:pStyle w:val="FirstParagraph"/>
        <w:rPr/>
      </w:pPr>
      <w:bookmarkStart w:id="411" w:name="cybersecurity-standards"/>
      <w:r>
        <w:rPr/>
        <w:t>The Framework’s systems operate to recognized maritime cybersecurity standards: segmented networks for the watch floor, the Portal, and the secure channels; independent annual penetration testing contracted by the Neutral Administrator; a 24-hour incident response duty; and immediate mutual notification of any cyber event touching the Framework’s systems. A cyber event affecting the safety layers classifies under Annex E as a category M-1 event and activates the degraded-mode procedures of Article 36.6.</w:t>
      </w:r>
      <w:bookmarkEnd w:id="411"/>
    </w:p>
    <w:p>
      <w:pPr>
        <w:pStyle w:val="Heading3"/>
        <w:rPr/>
      </w:pPr>
      <w:bookmarkStart w:id="412" w:name="secure-channels"/>
      <w:r>
        <w:rPr/>
        <w:t>31.4 Secure channels</w:t>
      </w:r>
    </w:p>
    <w:p>
      <w:pPr>
        <w:pStyle w:val="FirstParagraph"/>
        <w:rPr/>
      </w:pPr>
      <w:bookmarkStart w:id="413" w:name="part-vi-the-centralized-information-hub"/>
      <w:bookmarkStart w:id="414" w:name="Xaa1bf4d68b6da7042e94e1572323a067e4dd7d9"/>
      <w:bookmarkStart w:id="415" w:name="secure-channels"/>
      <w:r>
        <w:rPr/>
        <w:t>Military and sensitive traffic, including the posture statements of Article 18.6 and the liaison escalations of Article 20.5, moves through secure channels separate from the public Portal, under the same dual-copy custody and the same prohibition on unilateral alteration. The secure record stands open to every Party’s designated security liaison, never to the public, and the existence of every secure record, without its content, appears in the register so that no hidden channel operates outside the architecture’s sight.</w:t>
      </w:r>
      <w:bookmarkEnd w:id="413"/>
      <w:bookmarkEnd w:id="414"/>
      <w:bookmarkEnd w:id="415"/>
    </w:p>
    <w:p>
      <w:pPr>
        <w:pStyle w:val="Heading1"/>
        <w:rPr/>
      </w:pPr>
      <w:bookmarkStart w:id="416" w:name="__RefHeading___Toc4349_2903983697"/>
      <w:bookmarkStart w:id="417" w:name="part-vii-institutional-architecture"/>
      <w:bookmarkEnd w:id="416"/>
      <w:r>
        <w:rPr/>
        <w:t>Part VII: Institutional Architecture</w:t>
      </w:r>
    </w:p>
    <w:p>
      <w:pPr>
        <w:pStyle w:val="Heading2"/>
        <w:rPr/>
      </w:pPr>
      <w:bookmarkStart w:id="418" w:name="__RefHeading___Toc4351_2903983697"/>
      <w:bookmarkStart w:id="419" w:name="Xe742a3aa0a64f6837cd5fab354400dd46443cd2"/>
      <w:bookmarkEnd w:id="418"/>
      <w:r>
        <w:rPr/>
        <w:t>Article 32: The Humanitarian Coordination Council</w:t>
      </w:r>
    </w:p>
    <w:p>
      <w:pPr>
        <w:pStyle w:val="Heading3"/>
        <w:rPr/>
      </w:pPr>
      <w:bookmarkStart w:id="420" w:name="composition"/>
      <w:r>
        <w:rPr/>
        <w:t>32.1 Composition</w:t>
      </w:r>
    </w:p>
    <w:p>
      <w:pPr>
        <w:pStyle w:val="FirstParagraph"/>
        <w:rPr/>
      </w:pPr>
      <w:bookmarkStart w:id="421" w:name="composition"/>
      <w:r>
        <w:rPr/>
        <w:t>The Humanitarian Coordination Council is the governing body of the Framework. It seats: two members each from the Islamic Republic of Iran, the Sultanate of Oman, and the United States of America; two members representing the Gulf Cooperation Council states acting collectively, rotating annually among the member states not otherwise seated; the International Maritime Organization’s Secretary-General or designee; and, without vote, the United Nations Special Task Force’s operational and diplomatic leads, the Neutral Administrator, and the facilitating states of Qatar and Pakistan. Council members hold the rank of ambassador or equivalent.</w:t>
      </w:r>
      <w:bookmarkEnd w:id="421"/>
    </w:p>
    <w:p>
      <w:pPr>
        <w:pStyle w:val="Heading3"/>
        <w:rPr/>
      </w:pPr>
      <w:bookmarkStart w:id="422" w:name="functions"/>
      <w:r>
        <w:rPr/>
        <w:t>32.2 Functions</w:t>
      </w:r>
    </w:p>
    <w:p>
      <w:pPr>
        <w:pStyle w:val="FirstParagraph"/>
        <w:rPr/>
      </w:pPr>
      <w:bookmarkStart w:id="423" w:name="functions"/>
      <w:r>
        <w:rPr/>
        <w:t>The Council: adopts and amends technical annexes; conducts the Perimeter Test on every measure; supervises the compliance engine at the policy level; certifies phase completions against Annex H; approves the Fund budget; represents the Framework externally; and resolves any matter a Party elevates. The Council never directs a specific vessel, never interferes with a clearance, and never touches the payment mechanics of the Fund. Those lines keep politics away from the water.</w:t>
      </w:r>
      <w:bookmarkEnd w:id="423"/>
    </w:p>
    <w:p>
      <w:pPr>
        <w:pStyle w:val="Heading3"/>
        <w:rPr/>
      </w:pPr>
      <w:bookmarkStart w:id="424" w:name="meetings-and-cadence"/>
      <w:r>
        <w:rPr/>
        <w:t>32.3 Meetings and cadence</w:t>
      </w:r>
    </w:p>
    <w:p>
      <w:pPr>
        <w:pStyle w:val="FirstParagraph"/>
        <w:rPr/>
      </w:pPr>
      <w:bookmarkStart w:id="425" w:name="meetings-and-cadence"/>
      <w:r>
        <w:rPr/>
        <w:t>The Council meets weekly for the first sixty days, monthly thereafter, alternating seats between Muscat and Bandar Abbas with a secure video bridge for standing synchronization, and in extraordinary session within 48 hours of a category H-1 classification, a Humanitarian Pause activation, or any Party’s call. Quorum is a majority of voting members, including at least one member each of Iran, Oman, and the United States.</w:t>
      </w:r>
      <w:bookmarkEnd w:id="425"/>
    </w:p>
    <w:p>
      <w:pPr>
        <w:pStyle w:val="Heading3"/>
        <w:rPr/>
      </w:pPr>
      <w:bookmarkStart w:id="426" w:name="the-mandatory-session"/>
      <w:r>
        <w:rPr/>
        <w:t>32.4 The mandatory session</w:t>
      </w:r>
    </w:p>
    <w:p>
      <w:pPr>
        <w:pStyle w:val="FirstParagraph"/>
        <w:rPr/>
      </w:pPr>
      <w:bookmarkStart w:id="427" w:name="Xe742a3aa0a64f6837cd5fab354400dd46443cd2"/>
      <w:bookmarkStart w:id="428" w:name="the-mandatory-session"/>
      <w:r>
        <w:rPr/>
        <w:t>A category H-1 event, a Red Line Consultation escalation, or a resumed-hostilities determination of Article 38.6 convenes the Council in mandatory session within 5 days. The session addresses three questions: the immediate cause and scope of the event; the protection of ongoing humanitarian operations; and the restoration pathway. The session’s outcome record publishes in summary.</w:t>
      </w:r>
      <w:bookmarkEnd w:id="427"/>
      <w:bookmarkEnd w:id="428"/>
    </w:p>
    <w:p>
      <w:pPr>
        <w:pStyle w:val="Heading2"/>
        <w:rPr/>
      </w:pPr>
      <w:bookmarkStart w:id="429" w:name="__RefHeading___Toc4353_2903983697"/>
      <w:bookmarkStart w:id="430" w:name="X5d13a3751c678c4859391f5f2e7fd4afeb7c4ff"/>
      <w:bookmarkEnd w:id="429"/>
      <w:r>
        <w:rPr/>
        <w:t>Article 33: The Humanitarian Coordination Center and the IMO Humanitarian Desk</w:t>
      </w:r>
    </w:p>
    <w:p>
      <w:pPr>
        <w:pStyle w:val="Heading3"/>
        <w:rPr/>
      </w:pPr>
      <w:bookmarkStart w:id="431" w:name="seat-and-mirror-facility"/>
      <w:r>
        <w:rPr/>
        <w:t>33.1 Seat and mirror facility</w:t>
      </w:r>
    </w:p>
    <w:p>
      <w:pPr>
        <w:pStyle w:val="FirstParagraph"/>
        <w:rPr/>
      </w:pPr>
      <w:bookmarkStart w:id="432" w:name="seat-and-mirror-facility"/>
      <w:r>
        <w:rPr/>
        <w:t>The Humanitarian Coordination Center operates from Muscat, at facilities the Sultanate of Oman provides under a host agreement, with a mirror facility of equal rank at Bandar Abbas at facilities the Islamic Republic of Iran provides. The mirror replicates the full operational capability of the principal seat. Either site runs the entire system alone for up to thirty days, and the two sites drill the handover monthly, alternating the primary watch for one watch period, so that the mirror never atrophies into ceremony.</w:t>
      </w:r>
      <w:bookmarkEnd w:id="432"/>
    </w:p>
    <w:p>
      <w:pPr>
        <w:pStyle w:val="Heading3"/>
        <w:rPr/>
      </w:pPr>
      <w:bookmarkStart w:id="433" w:name="co-equal-staffing"/>
      <w:r>
        <w:rPr/>
        <w:t>33.2 Co-equal staffing</w:t>
      </w:r>
    </w:p>
    <w:p>
      <w:pPr>
        <w:pStyle w:val="FirstParagraph"/>
        <w:rPr/>
      </w:pPr>
      <w:bookmarkStart w:id="434" w:name="co-equal-staffing"/>
      <w:r>
        <w:rPr/>
        <w:t>Every operational post exists in pairs: two Co-Directors, two duty officers per watch, two registry officers per shift, two medical desk officers. Each core pair consists of one Iranian national and one Omani national. The United States seconds technical officers to the surveillance and logistics desks, and the Gulf Cooperation Council states second the focal points of Article 26.1. Operational decisions thereby never rest with a single national viewpoint. Professional qualifications follow the International Maritime Organization’s model course standards, and the Technical Committee certifies every watchkeeper before first solo watch.</w:t>
      </w:r>
      <w:bookmarkEnd w:id="434"/>
    </w:p>
    <w:p>
      <w:pPr>
        <w:pStyle w:val="Heading3"/>
        <w:rPr/>
      </w:pPr>
      <w:bookmarkStart w:id="435" w:name="the-watch-floor"/>
      <w:r>
        <w:rPr/>
        <w:t>33.3 The watch floor</w:t>
      </w:r>
    </w:p>
    <w:p>
      <w:pPr>
        <w:pStyle w:val="FirstParagraph"/>
        <w:rPr/>
      </w:pPr>
      <w:bookmarkStart w:id="436" w:name="the-watch-floor"/>
      <w:r>
        <w:rPr/>
        <w:t>The watch floor operates continuously in three eight-hour rotations, each closing with a paired handover note signed by both duty officers. The watch floor maintains the working channels, the registries, the bulletin desk, the medical desk, the incident log, the resupply board, and the hotline link. The daily log records every operational act, and all Parties and the Neutral Passage Office read the full log while the Portal publishes the public summary. Data flows to every Party with identical latency; the architecture excludes preferential access for any Party.</w:t>
      </w:r>
      <w:bookmarkEnd w:id="436"/>
    </w:p>
    <w:p>
      <w:pPr>
        <w:pStyle w:val="Heading3"/>
        <w:rPr/>
      </w:pPr>
      <w:bookmarkStart w:id="437" w:name="the-imo-humanitarian-desk"/>
      <w:r>
        <w:rPr/>
        <w:t>33.4 The IMO humanitarian desk</w:t>
      </w:r>
    </w:p>
    <w:p>
      <w:pPr>
        <w:pStyle w:val="FirstParagraph"/>
        <w:rPr/>
      </w:pPr>
      <w:bookmarkStart w:id="438" w:name="the-imo-humanitarian-desk"/>
      <w:r>
        <w:rPr/>
        <w:t>The Organization’s humanitarian desk sits at the Center as the single point of contact of Article 14.3, the Portal operator of Article 28, the correction desk of Article 30, and the liaison to the shipping industry. The desk staffs around the clock, answers every operational inquiry within 4 hours, and publishes its own performance statistics weekly.</w:t>
      </w:r>
      <w:bookmarkEnd w:id="438"/>
    </w:p>
    <w:p>
      <w:pPr>
        <w:pStyle w:val="Heading3"/>
        <w:rPr/>
      </w:pPr>
      <w:bookmarkStart w:id="439" w:name="the-technical-committee"/>
      <w:r>
        <w:rPr/>
        <w:t>33.5 The Technical Committee</w:t>
      </w:r>
    </w:p>
    <w:p>
      <w:pPr>
        <w:pStyle w:val="FirstParagraph"/>
        <w:rPr/>
      </w:pPr>
      <w:bookmarkStart w:id="440" w:name="the-technical-committee"/>
      <w:r>
        <w:rPr/>
        <w:t>The Technical Committee comprises two technical officers appointed by each Party: surveyors, mariners, engineers, medical logistics specialists, and legal-technical specialists. The Committee certifies corridor geometry, audits the clearance and inspection record, reviews incidents under Article 23.4, conducts the disposition reviews of Article 11.4, and prepares Perimeter Tests for the legal desk’s adoption. The Committee decides technical questions by simple majority with a quorum of five including at least one appointee each of Iran, Oman, and the United States; a tied question carries forward as an open item with both positions recorded, never as a suspension of the underlying operation.</w:t>
      </w:r>
      <w:bookmarkEnd w:id="440"/>
    </w:p>
    <w:p>
      <w:pPr>
        <w:pStyle w:val="Heading3"/>
        <w:rPr/>
      </w:pPr>
      <w:bookmarkStart w:id="441" w:name="the-civilian-character-clause"/>
      <w:r>
        <w:rPr/>
        <w:t>33.6 The Civilian Character Clause</w:t>
      </w:r>
    </w:p>
    <w:p>
      <w:pPr>
        <w:pStyle w:val="FirstParagraph"/>
        <w:rPr/>
      </w:pPr>
      <w:bookmarkStart w:id="442" w:name="the-civilian-character-clause"/>
      <w:r>
        <w:rPr/>
        <w:t>The Center, the Council secretariat, the Neutral Passage Office, and the Fund employ civilian maritime and humanitarian professionals exclusively. Military personnel hold no operational role in any Framework body. Each Party with forces in the region designates one military liaison officer at the policy level, accredited to the Council, carrying de-confliction traffic between the Center and that Party’s forces; the liaison officers work in an annex separate from the watch floor and hold no command over Framework staff. The Neutral Passage Office verifies staffing compliance annually and on complaint. This clause implements Red Line RL-6.</w:t>
      </w:r>
      <w:bookmarkEnd w:id="442"/>
    </w:p>
    <w:p>
      <w:pPr>
        <w:pStyle w:val="Heading3"/>
        <w:rPr/>
      </w:pPr>
      <w:bookmarkStart w:id="443" w:name="the-weekly-report"/>
      <w:r>
        <w:rPr/>
        <w:t>33.7 The weekly report</w:t>
      </w:r>
    </w:p>
    <w:p>
      <w:pPr>
        <w:pStyle w:val="FirstParagraph"/>
        <w:rPr/>
      </w:pPr>
      <w:bookmarkStart w:id="444" w:name="X5d13a3751c678c4859391f5f2e7fd4afeb7c4ff"/>
      <w:bookmarkStart w:id="445" w:name="the-weekly-report"/>
      <w:r>
        <w:rPr/>
        <w:t>The Center publishes the weekly report every seventh day: evacuation and repatriation counts against target; provisions status across the Registry; corridor performance and tonnage floor; the freeze status annex; hotline and resupply statistics; incidents and classifications; the near-miss register in summary; and the Fund’s operating position. The weekly report stands as the Framework’s public heartbeat, and it reaches every Party, the Secretary-General, the Council of the International Maritime Organization, and the public simultaneously.</w:t>
      </w:r>
      <w:bookmarkEnd w:id="444"/>
      <w:bookmarkEnd w:id="445"/>
    </w:p>
    <w:p>
      <w:pPr>
        <w:pStyle w:val="Heading2"/>
        <w:rPr/>
      </w:pPr>
      <w:bookmarkStart w:id="446" w:name="__RefHeading___Toc4355_2903983697"/>
      <w:bookmarkStart w:id="447" w:name="article-34-the-neutral-passage-office"/>
      <w:bookmarkEnd w:id="446"/>
      <w:r>
        <w:rPr/>
        <w:t>Article 34: The Neutral Passage Office</w:t>
      </w:r>
    </w:p>
    <w:p>
      <w:pPr>
        <w:pStyle w:val="Heading3"/>
        <w:rPr/>
      </w:pPr>
      <w:bookmarkStart w:id="448" w:name="mandate"/>
      <w:r>
        <w:rPr/>
        <w:t>34.1 Mandate</w:t>
      </w:r>
    </w:p>
    <w:p>
      <w:pPr>
        <w:pStyle w:val="FirstParagraph"/>
        <w:rPr/>
      </w:pPr>
      <w:bookmarkStart w:id="449" w:name="mandate"/>
      <w:r>
        <w:rPr/>
        <w:t>The Neutral Passage Office verifies that the Framework does what the text says. It observes, audits, and reports. It never directs traffic, never boards vessels, and never classifies compliance events; classification belongs to the engine of Article 37 on the Office’s inputs.</w:t>
      </w:r>
      <w:bookmarkEnd w:id="449"/>
    </w:p>
    <w:p>
      <w:pPr>
        <w:pStyle w:val="Heading3"/>
        <w:rPr/>
      </w:pPr>
      <w:bookmarkStart w:id="450" w:name="composition-1"/>
      <w:r>
        <w:rPr/>
        <w:t>34.2 Composition</w:t>
      </w:r>
    </w:p>
    <w:p>
      <w:pPr>
        <w:pStyle w:val="FirstParagraph"/>
        <w:rPr/>
      </w:pPr>
      <w:bookmarkStart w:id="451" w:name="composition-1"/>
      <w:r>
        <w:rPr/>
        <w:t>The Office comprises a Director, a deputy, and a roster of eighteen maritime and humanitarian inspectors nominated through the International Maritime Organization’s recognized channels and the United Nations’ humanitarian inspection rosters, plus administrative support under the Swiss facilitation arrangement. No inspector holds the nationality of any Party. Inspectors serve two-year rotations, and the Council confirms the roster on nomination.</w:t>
      </w:r>
      <w:bookmarkEnd w:id="451"/>
    </w:p>
    <w:p>
      <w:pPr>
        <w:pStyle w:val="Heading3"/>
        <w:rPr/>
      </w:pPr>
      <w:bookmarkStart w:id="452" w:name="embarked-and-deployed-observers"/>
      <w:r>
        <w:rPr/>
        <w:t>34.3 Embarked and deployed observers</w:t>
      </w:r>
    </w:p>
    <w:p>
      <w:pPr>
        <w:pStyle w:val="FirstParagraph"/>
        <w:rPr/>
      </w:pPr>
      <w:bookmarkStart w:id="453" w:name="embarked-and-deployed-observers"/>
      <w:r>
        <w:rPr/>
        <w:t>The Office deploys observers at both watch floors, at the resupply facilities, at the repatriation hubs, aboard resupply launches on the rota of Article 25.3, and embarked on transiting vessels with the master’s consent. An observer records passage conduct, resupply delivery, clearance integrity, and any interference event, and files the observation to the daily log within 12 hours. Observers serve in observer status only: no command authority, no weapon system contact, no enforcement function. The architecture excludes any interference with, harassment of, or harm to observers, and an incident involving an observer classifies one category higher than the same incident without observer involvement.</w:t>
      </w:r>
      <w:bookmarkEnd w:id="453"/>
    </w:p>
    <w:p>
      <w:pPr>
        <w:pStyle w:val="Heading3"/>
        <w:rPr/>
      </w:pPr>
      <w:bookmarkStart w:id="454" w:name="reporting"/>
      <w:r>
        <w:rPr/>
        <w:t>34.4 Reporting</w:t>
      </w:r>
    </w:p>
    <w:p>
      <w:pPr>
        <w:pStyle w:val="FirstParagraph"/>
        <w:rPr/>
      </w:pPr>
      <w:bookmarkStart w:id="455" w:name="reporting"/>
      <w:r>
        <w:rPr/>
        <w:t>The Office publishes: a weekly observation summary; a monthly audit of the streamlining desk testing for any pattern that resembles gatekeeping; a quarterly cross-check of the clearance marker system against the inspection record; and an annual Register integrity report under Article 4.3. Every report follows the Two-Anchor Method of Article 36.2, names its evidence inputs, and reaches all Parties, the Council, and the Organization simultaneously.</w:t>
      </w:r>
      <w:bookmarkEnd w:id="455"/>
    </w:p>
    <w:p>
      <w:pPr>
        <w:pStyle w:val="Heading3"/>
        <w:rPr/>
      </w:pPr>
      <w:bookmarkStart w:id="456" w:name="independence-safeguards"/>
      <w:r>
        <w:rPr/>
        <w:t>34.5 Independence safeguards</w:t>
      </w:r>
    </w:p>
    <w:p>
      <w:pPr>
        <w:pStyle w:val="FirstParagraph"/>
        <w:rPr/>
      </w:pPr>
      <w:bookmarkStart w:id="457" w:name="independence-safeguards"/>
      <w:r>
        <w:rPr/>
        <w:t>The Fund pays Office costs directly as a first call on revenue, ahead of every other line except the United Nations mechanism itself. No Party suspends, reduces, or delays Office funding for any reason. The Director reports to the Council as a body, never to one Party, and removal takes a Council decision recorded with reasons plus the Organization’s concurrence. An inspector who files a report in good faith enjoys full protection.</w:t>
      </w:r>
      <w:bookmarkEnd w:id="457"/>
    </w:p>
    <w:p>
      <w:pPr>
        <w:pStyle w:val="Heading3"/>
        <w:rPr/>
      </w:pPr>
      <w:bookmarkStart w:id="458" w:name="the-stop-loss-power"/>
      <w:r>
        <w:rPr/>
        <w:t>34.6 The Stop-Loss power</w:t>
      </w:r>
    </w:p>
    <w:p>
      <w:pPr>
        <w:pStyle w:val="FirstParagraph"/>
        <w:rPr/>
      </w:pPr>
      <w:bookmarkStart w:id="459" w:name="article-34-the-neutral-passage-office"/>
      <w:bookmarkStart w:id="460" w:name="the-stop-loss-power"/>
      <w:r>
        <w:rPr/>
        <w:t>The Office holds the Stop-Loss power as the Framework’s real-time emergency brake. Where an immediate, demonstrable threat to the safety of a humanitarian movement or an evacuation transit exists, the Office issues a Stop-Loss order pausing one specific movement or one specific transit, stating the threat and the evidence on the record. A Stop-Loss order takes effect immediately, publishes in the bulletin, and expires automatically 24 hours after issue unless the Council, sitting within that period, confirms, modifies, or lifts it. The power never applies to a medical evacuation, a distress response, or any class of vessels as a group: it targets a single movement, never a category, and never a humanitarian cargo already underway to a documented urgent consignee.</w:t>
      </w:r>
      <w:bookmarkEnd w:id="459"/>
      <w:bookmarkEnd w:id="460"/>
    </w:p>
    <w:p>
      <w:pPr>
        <w:pStyle w:val="Heading2"/>
        <w:rPr/>
      </w:pPr>
      <w:bookmarkStart w:id="461" w:name="__RefHeading___Toc4357_2903983697"/>
      <w:bookmarkStart w:id="462" w:name="article-35-decision-rules"/>
      <w:bookmarkEnd w:id="461"/>
      <w:r>
        <w:rPr/>
        <w:t>Article 35: Decision Rules</w:t>
      </w:r>
    </w:p>
    <w:p>
      <w:pPr>
        <w:pStyle w:val="Heading3"/>
        <w:rPr/>
      </w:pPr>
      <w:bookmarkStart w:id="463" w:name="the-three-tracks"/>
      <w:r>
        <w:rPr/>
        <w:t>35.1 The three tracks</w:t>
      </w:r>
    </w:p>
    <w:p>
      <w:pPr>
        <w:pStyle w:val="FirstParagraph"/>
        <w:rPr/>
      </w:pPr>
      <w:bookmarkStart w:id="464" w:name="the-three-tracks"/>
      <w:r>
        <w:rPr/>
        <w:t>Council decisions follow three tracks. Political questions, including amendments, budget, and scope, follow Article 35.3. Corridor-operative questions touching the humanitarian lanes, the evacuation routes, and the stand-down geometry follow the Triple Key Rule of Article 35.2. Technical determinations follow Article 35.5.</w:t>
      </w:r>
      <w:bookmarkEnd w:id="464"/>
    </w:p>
    <w:p>
      <w:pPr>
        <w:pStyle w:val="Heading3"/>
        <w:rPr/>
      </w:pPr>
      <w:bookmarkStart w:id="465" w:name="the-triple-key-rule"/>
      <w:r>
        <w:rPr/>
        <w:t>35.2 The Triple Key Rule</w:t>
      </w:r>
    </w:p>
    <w:p>
      <w:pPr>
        <w:pStyle w:val="FirstParagraph"/>
        <w:rPr/>
      </w:pPr>
      <w:bookmarkStart w:id="466" w:name="the-triple-key-rule"/>
      <w:r>
        <w:rPr/>
        <w:t>Decisions on corridor geometry, flow-state doctrine, the Cargo Schedules, the standoff distances, and any measure touching a Red Line carry three keys: the affirmative vote of at least one Iranian member, of at least one Omani member, and of at least one American member. No such decision passes on fewer than three keys, and no such decision binds only one Party. The Council records every Triple Key decision in paired-minute format: the decision, the Perimeter Test, the dissent if any, and the three keys. A matter that fails the Triple Key Rule twice moves to the facilitation tier of Article 39.2 with the votes recorded.</w:t>
      </w:r>
      <w:bookmarkEnd w:id="466"/>
    </w:p>
    <w:p>
      <w:pPr>
        <w:pStyle w:val="Heading3"/>
        <w:rPr/>
      </w:pPr>
      <w:bookmarkStart w:id="467" w:name="consensus-and-consensus-minus-one"/>
      <w:r>
        <w:rPr/>
        <w:t>35.3 Consensus and Consensus Minus One</w:t>
      </w:r>
    </w:p>
    <w:p>
      <w:pPr>
        <w:pStyle w:val="FirstParagraph"/>
        <w:rPr/>
      </w:pPr>
      <w:bookmarkStart w:id="468" w:name="consensus-and-consensus-minus-one"/>
      <w:r>
        <w:rPr/>
        <w:t>Political questions pass by consensus of the voting members. Where a decision concerns the conduct of one Party, that Party’s vote stands aside and the remaining voting members decide by consensus; where consensus minus one fails, the matter moves automatically to the Guarantor and Facilitation Panel of Article 39.3 for final political judgment within 7 days. The rule prevents a Party from blocking a finding about its own conduct while preserving full political consensus for questions of general application.</w:t>
      </w:r>
      <w:bookmarkEnd w:id="468"/>
    </w:p>
    <w:p>
      <w:pPr>
        <w:pStyle w:val="Heading3"/>
        <w:rPr/>
      </w:pPr>
      <w:bookmarkStart w:id="469" w:name="the-protected-core"/>
      <w:r>
        <w:rPr/>
        <w:t>35.4 The protected core</w:t>
      </w:r>
    </w:p>
    <w:p>
      <w:pPr>
        <w:pStyle w:val="FirstParagraph"/>
        <w:rPr/>
      </w:pPr>
      <w:bookmarkStart w:id="470" w:name="the-protected-core"/>
      <w:r>
        <w:rPr/>
        <w:t>Certain provisions form the Framework’s protected core: the humanitarian absolute of Article 3; the Non-Prosecution Covenant of Article 9.6; the Zero-Condition Rule of Article 12.5; the Non-Interdiction Protocol of Article 12.4; the Continuity Guarantee of Article 6; the Asset-Use Rule of Article 18.8 and 18.9; the Civilian Character Clause of Article 33.6; and the Red Lines Register itself. The protected core is non-derogable: no Council decision, no compliance consequence, no dispute outcome, and no ordinary amendment dilutes it. Only the unanimous, ratified consensus procedure of Article 44.3 touches the protected core.</w:t>
      </w:r>
      <w:bookmarkEnd w:id="470"/>
    </w:p>
    <w:p>
      <w:pPr>
        <w:pStyle w:val="Heading3"/>
        <w:rPr/>
      </w:pPr>
      <w:bookmarkStart w:id="471" w:name="X66b75ddcf012ae769f8edb379415202d63ac9fd"/>
      <w:r>
        <w:rPr/>
        <w:t>35.5 Technical determinations and the silence procedure</w:t>
      </w:r>
    </w:p>
    <w:p>
      <w:pPr>
        <w:pStyle w:val="FirstParagraph"/>
        <w:rPr/>
      </w:pPr>
      <w:bookmarkStart w:id="472" w:name="X66b75ddcf012ae769f8edb379415202d63ac9fd"/>
      <w:r>
        <w:rPr/>
        <w:t>Technical determinations rest on evidence under the Two-Anchor Method, not on votes. Where the Council acts on a routine technical annex adjustment, the Mediator of Record circulates the text and it stands adopted 30 days after circulation absent a written objection from any Party. The silence procedure keeps routine technical maintenance free of negotiation drama, and the record publishes every adoption.</w:t>
      </w:r>
      <w:bookmarkEnd w:id="472"/>
    </w:p>
    <w:p>
      <w:pPr>
        <w:pStyle w:val="Heading3"/>
        <w:rPr/>
      </w:pPr>
      <w:bookmarkStart w:id="473" w:name="default-continuity"/>
      <w:r>
        <w:rPr/>
        <w:t>35.6 Default continuity</w:t>
      </w:r>
    </w:p>
    <w:p>
      <w:pPr>
        <w:pStyle w:val="FirstParagraph"/>
        <w:rPr/>
      </w:pPr>
      <w:bookmarkStart w:id="474" w:name="part-vii-institutional-architecture"/>
      <w:bookmarkStart w:id="475" w:name="article-35-decision-rules"/>
      <w:bookmarkStart w:id="476" w:name="default-continuity"/>
      <w:r>
        <w:rPr/>
        <w:t>Where a decision stalls, the standing procedures of this Framework and its Annexes govern by default, per the Continuity Guarantee: the previous budget runs, the previous schedule runs, the existing annex text runs. No deadlock suspends, degrades, or reprices any humanitarian operation.</w:t>
      </w:r>
      <w:bookmarkEnd w:id="474"/>
      <w:bookmarkEnd w:id="475"/>
      <w:bookmarkEnd w:id="476"/>
    </w:p>
    <w:p>
      <w:pPr>
        <w:pStyle w:val="Heading1"/>
        <w:rPr/>
      </w:pPr>
      <w:bookmarkStart w:id="477" w:name="__RefHeading___Toc4359_2903983697"/>
      <w:bookmarkStart w:id="478" w:name="Xaa540b948e0bd360a296a1b036ab600a1c86222"/>
      <w:bookmarkEnd w:id="477"/>
      <w:r>
        <w:rPr/>
        <w:t>Part VIII: Verification, Compliance, and Restoration</w:t>
      </w:r>
    </w:p>
    <w:p>
      <w:pPr>
        <w:pStyle w:val="Heading2"/>
        <w:rPr/>
      </w:pPr>
      <w:bookmarkStart w:id="479" w:name="__RefHeading___Toc4361_2903983697"/>
      <w:bookmarkStart w:id="480" w:name="X2e0f690a03196d810c6361c3538d66f1642659d"/>
      <w:bookmarkEnd w:id="479"/>
      <w:r>
        <w:rPr/>
        <w:t>Article 36: Verification Philosophy: The Two-Anchor Method</w:t>
      </w:r>
    </w:p>
    <w:p>
      <w:pPr>
        <w:pStyle w:val="Heading3"/>
        <w:rPr/>
      </w:pPr>
      <w:bookmarkStart w:id="481" w:name="why-human-anchored-verification"/>
      <w:r>
        <w:rPr/>
        <w:t>36.1 Why human-anchored verification</w:t>
      </w:r>
    </w:p>
    <w:p>
      <w:pPr>
        <w:pStyle w:val="FirstParagraph"/>
        <w:rPr/>
      </w:pPr>
      <w:bookmarkStart w:id="482" w:name="why-human-anchored-verification"/>
      <w:r>
        <w:rPr/>
        <w:t>Electronic surveillance deceives: identification signals spoof, satellite passes gap, radar bends around geography, and a conflict environment multiplies every deception. The Framework therefore anchors every verified determination in human observation corroborated by independent technical data, so that the record every Party reads rests on evidence that survives scrutiny in any capital.</w:t>
      </w:r>
      <w:bookmarkEnd w:id="482"/>
    </w:p>
    <w:p>
      <w:pPr>
        <w:pStyle w:val="Heading3"/>
        <w:rPr/>
      </w:pPr>
      <w:bookmarkStart w:id="483" w:name="the-two-anchor-method"/>
      <w:r>
        <w:rPr/>
        <w:t>36.2 The Two-Anchor Method</w:t>
      </w:r>
    </w:p>
    <w:p>
      <w:pPr>
        <w:pStyle w:val="FirstParagraph"/>
        <w:rPr/>
      </w:pPr>
      <w:bookmarkStart w:id="484" w:name="the-two-anchor-method"/>
      <w:r>
        <w:rPr/>
        <w:t>Every verified determination under this Framework rests on at least one direct human observation or attestation, corroborated by at least one independent technical data source. A technical source alone, a track or an image without a human observer’s corroborating attestation, does not by itself support a verified finding. A human assertion alone, without technical corroboration, likewise does not support a verified finding. This Method implements Red Line RL-10 and applies to every compliance classification, every certification, and every freeze status determination.</w:t>
      </w:r>
      <w:bookmarkEnd w:id="484"/>
    </w:p>
    <w:p>
      <w:pPr>
        <w:pStyle w:val="Heading3"/>
        <w:rPr/>
      </w:pPr>
      <w:bookmarkStart w:id="485" w:name="sources"/>
      <w:r>
        <w:rPr/>
        <w:t>36.3 Sources</w:t>
      </w:r>
    </w:p>
    <w:p>
      <w:pPr>
        <w:pStyle w:val="FirstParagraph"/>
        <w:rPr/>
      </w:pPr>
      <w:bookmarkStart w:id="486" w:name="sources"/>
      <w:r>
        <w:rPr/>
        <w:t>The verification system draws on: Center watch-floor logs; observer reports under Article 34.3; vessel-master and port-agent attestations; the joint survey group’s field reports; independent satellite and radar data; the hotline record; and the inspection findings of the United Nations mechanism. No single source, including a Party’s self-report, suffices alone for any adverse finding.</w:t>
      </w:r>
      <w:bookmarkEnd w:id="486"/>
    </w:p>
    <w:p>
      <w:pPr>
        <w:pStyle w:val="Heading3"/>
        <w:rPr/>
      </w:pPr>
      <w:bookmarkStart w:id="487" w:name="publication-standard"/>
      <w:r>
        <w:rPr/>
        <w:t>36.4 Publication standard</w:t>
      </w:r>
    </w:p>
    <w:p>
      <w:pPr>
        <w:pStyle w:val="FirstParagraph"/>
        <w:rPr/>
      </w:pPr>
      <w:bookmarkStart w:id="488" w:name="publication-standard"/>
      <w:r>
        <w:rPr/>
        <w:t>Every verified determination publishes with its evidence classes named: the human anchor and the technical anchor, stated so that any Party tests the finding against the method without accessing classified detail. The determination record states what the system knows and how it knows it, and it states uncertainty as uncertainty.</w:t>
      </w:r>
      <w:bookmarkEnd w:id="488"/>
    </w:p>
    <w:p>
      <w:pPr>
        <w:pStyle w:val="Heading3"/>
        <w:rPr/>
      </w:pPr>
      <w:bookmarkStart w:id="489" w:name="contest"/>
      <w:r>
        <w:rPr/>
        <w:t>36.5 Contest</w:t>
      </w:r>
    </w:p>
    <w:p>
      <w:pPr>
        <w:pStyle w:val="FirstParagraph"/>
        <w:rPr/>
      </w:pPr>
      <w:bookmarkStart w:id="490" w:name="contest"/>
      <w:r>
        <w:rPr/>
        <w:t>A Party contests any determination under the procedure of Article 39.4. A contest never suspends a humanitarian operation; it suspends, at most, the compliance consequence attached to the contested finding, and the restoration pathway of Article 38.5 corrects the record retroactively where the contest succeeds.</w:t>
      </w:r>
      <w:bookmarkEnd w:id="490"/>
    </w:p>
    <w:p>
      <w:pPr>
        <w:pStyle w:val="Heading3"/>
        <w:rPr/>
      </w:pPr>
      <w:bookmarkStart w:id="491" w:name="degraded-mode"/>
      <w:r>
        <w:rPr/>
        <w:t>36.6 Degraded mode</w:t>
      </w:r>
    </w:p>
    <w:p>
      <w:pPr>
        <w:pStyle w:val="FirstParagraph"/>
        <w:rPr/>
      </w:pPr>
      <w:bookmarkStart w:id="492" w:name="X2e0f690a03196d810c6361c3538d66f1642659d"/>
      <w:bookmarkStart w:id="493" w:name="degraded-mode"/>
      <w:r>
        <w:rPr/>
        <w:t>Where any verification system element fails, the degraded mode operates: voice reporting alone sustains vessels’ compliance records; the observer program thickens on the affected segment; and the failure itself enters the weekly report with a remediation clock. The Framework degrades gracefully, never silently.</w:t>
      </w:r>
      <w:bookmarkEnd w:id="492"/>
      <w:bookmarkEnd w:id="493"/>
    </w:p>
    <w:p>
      <w:pPr>
        <w:pStyle w:val="Heading2"/>
        <w:rPr/>
      </w:pPr>
      <w:bookmarkStart w:id="494" w:name="__RefHeading___Toc4363_2903983697"/>
      <w:bookmarkStart w:id="495" w:name="article-37-the-compliance-engine"/>
      <w:bookmarkEnd w:id="494"/>
      <w:r>
        <w:rPr/>
        <w:t>Article 37: The Compliance Engine</w:t>
      </w:r>
    </w:p>
    <w:p>
      <w:pPr>
        <w:pStyle w:val="Heading3"/>
        <w:rPr/>
      </w:pPr>
      <w:bookmarkStart w:id="496" w:name="purpose-1"/>
      <w:r>
        <w:rPr/>
        <w:t>37.1 Purpose</w:t>
      </w:r>
    </w:p>
    <w:p>
      <w:pPr>
        <w:pStyle w:val="FirstParagraph"/>
        <w:rPr/>
      </w:pPr>
      <w:bookmarkStart w:id="497" w:name="purpose-1"/>
      <w:r>
        <w:rPr/>
        <w:t>The Compliance Engine classifies every verified event affecting the Framework’s operation into defined categories, attaching a defined consequence to each, so that responses arrive consistently and predictably rather than through case-by-case political judgment. Annex E carries the full classification and response schedule.</w:t>
      </w:r>
      <w:bookmarkEnd w:id="497"/>
    </w:p>
    <w:p>
      <w:pPr>
        <w:pStyle w:val="Heading3"/>
        <w:rPr/>
      </w:pPr>
      <w:bookmarkStart w:id="498" w:name="the-categories"/>
      <w:r>
        <w:rPr/>
        <w:t>37.2 The categories</w:t>
      </w:r>
    </w:p>
    <w:p>
      <w:pPr>
        <w:pStyle w:val="Compact"/>
        <w:numPr>
          <w:ilvl w:val="0"/>
          <w:numId w:val="19"/>
        </w:numPr>
        <w:rPr/>
      </w:pPr>
      <w:r>
        <w:rPr/>
        <w:t>Category M-3, minor: a missed hotline test promptly remedied, a documentation lapse promptly corrected, a single late report. Consequence: entry in the record; three M-3 events within one week aggregate to M-2.</w:t>
      </w:r>
    </w:p>
    <w:p>
      <w:pPr>
        <w:pStyle w:val="Compact"/>
        <w:numPr>
          <w:ilvl w:val="0"/>
          <w:numId w:val="20"/>
        </w:numPr>
        <w:rPr/>
      </w:pPr>
      <w:r>
        <w:rPr/>
        <w:t>Category M-2, moderate: a pattern of hotline misses, a documented non-reporting failure, a processing latency breach of Article 14.3, an unauthorized documentation demand promptly withdrawn. Consequence: a consultation under Article 20.5 within 48 hours and a remediation plan on the record within 7 days.</w:t>
      </w:r>
    </w:p>
    <w:p>
      <w:pPr>
        <w:pStyle w:val="Compact"/>
        <w:numPr>
          <w:ilvl w:val="0"/>
          <w:numId w:val="21"/>
        </w:numPr>
        <w:rPr/>
      </w:pPr>
      <w:r>
        <w:rPr/>
        <w:t>Category M-1, serious: a cyber event touching safety layers, an obstruction of the technician channel, a resupply interference short of interdiction, a freeze breach under Article 19. Consequence: Council session within 7 days, remediation within 14, and the event published in the weekly report in full.</w:t>
      </w:r>
    </w:p>
    <w:p>
      <w:pPr>
        <w:pStyle w:val="Compact"/>
        <w:numPr>
          <w:ilvl w:val="0"/>
          <w:numId w:val="22"/>
        </w:numPr>
        <w:rPr/>
      </w:pPr>
      <w:r>
        <w:rPr/>
        <w:t>Category H-2, grave humanitarian: a demand for an additional permission step against a cleared vessel; an omission from the Detained Vessel Registry; a delay of a humanitarian vessel beyond the published standards. Consequence: immediate reversal of the measure, Council notification within 24 hours, and restoration steps under Article 38.</w:t>
      </w:r>
    </w:p>
    <w:p>
      <w:pPr>
        <w:pStyle w:val="Compact"/>
        <w:numPr>
          <w:ilvl w:val="0"/>
          <w:numId w:val="23"/>
        </w:numPr>
        <w:rPr/>
      </w:pPr>
      <w:bookmarkStart w:id="499" w:name="the-categories"/>
      <w:r>
        <w:rPr/>
        <w:t>Category H-1, critical humanitarian: an interference with humanitarian or evacuation traffic, an attack on or seizure of a merchant vessel in the Governance Area, a use of Framework assets for kinetic support, the holding of crews on a collective basis, a prosecution in breach of the Non-Prosecution Covenant, the laying or tolerance of mines in the Governance Area. Consequence: the Council’s mandatory session of Article 32.4, the full restoration pathway of Article 38 with reversal as its first step, and publication of the complete record.</w:t>
      </w:r>
      <w:bookmarkEnd w:id="499"/>
    </w:p>
    <w:p>
      <w:pPr>
        <w:pStyle w:val="Heading3"/>
        <w:rPr/>
      </w:pPr>
      <w:bookmarkStart w:id="500" w:name="humanitarian-insulation"/>
      <w:r>
        <w:rPr/>
        <w:t>37.3 Humanitarian insulation</w:t>
      </w:r>
    </w:p>
    <w:p>
      <w:pPr>
        <w:pStyle w:val="FirstParagraph"/>
        <w:rPr/>
      </w:pPr>
      <w:bookmarkStart w:id="501" w:name="humanitarian-insulation"/>
      <w:r>
        <w:rPr/>
        <w:t>No compliance response under this Article ever touches a humanitarian protection. The engine responds to a Party’s conduct by classifying, convening, and restoring; it never responds by slowing a seafarer’s journey home, delaying a grain ship, or closing a lane, because those moves would punish the people the Framework exists to protect for the conduct of governments. This insulation implements Red Lines RL-1 and RL-7 inside the compliance machinery itself.</w:t>
      </w:r>
      <w:bookmarkEnd w:id="501"/>
    </w:p>
    <w:p>
      <w:pPr>
        <w:pStyle w:val="Heading3"/>
        <w:rPr/>
      </w:pPr>
      <w:bookmarkStart w:id="502" w:name="the-standing-record"/>
      <w:r>
        <w:rPr/>
        <w:t>37.4 The standing record</w:t>
      </w:r>
    </w:p>
    <w:p>
      <w:pPr>
        <w:pStyle w:val="FirstParagraph"/>
        <w:rPr/>
      </w:pPr>
      <w:bookmarkStart w:id="503" w:name="article-37-the-compliance-engine"/>
      <w:bookmarkStart w:id="504" w:name="the-standing-record"/>
      <w:r>
        <w:rPr/>
        <w:t>The compliance record publishes weekly: every event, its category, its evidence classes, its response, and its restoration status. The record treats every Party identically, and the Neutral Passage Office audits the engine’s application quarterly for symmetry, publishing the audit.</w:t>
      </w:r>
      <w:bookmarkEnd w:id="503"/>
      <w:bookmarkEnd w:id="504"/>
    </w:p>
    <w:p>
      <w:pPr>
        <w:pStyle w:val="Heading2"/>
        <w:rPr/>
      </w:pPr>
      <w:bookmarkStart w:id="505" w:name="__RefHeading___Toc4365_2903983697"/>
      <w:bookmarkStart w:id="506" w:name="X537cf89fa0af30e617cb1d863b97ef52731c6b5"/>
      <w:bookmarkEnd w:id="505"/>
      <w:r>
        <w:rPr/>
        <w:t>Article 38: The Humanitarian Pause and the Restoration Pathway</w:t>
      </w:r>
    </w:p>
    <w:p>
      <w:pPr>
        <w:pStyle w:val="Heading3"/>
        <w:rPr/>
      </w:pPr>
      <w:bookmarkStart w:id="507" w:name="the-pause"/>
      <w:r>
        <w:rPr/>
        <w:t>38.1 The Pause</w:t>
      </w:r>
    </w:p>
    <w:p>
      <w:pPr>
        <w:pStyle w:val="FirstParagraph"/>
        <w:rPr/>
      </w:pPr>
      <w:bookmarkStart w:id="508" w:name="the-pause"/>
      <w:r>
        <w:rPr/>
        <w:t>Where a grave event strains the architecture, the Humanitarian Pause converts the crisis into structured consultation. A Party activates the Pause by written notice to the Center, stating the event and the mechanism it strains. The Pause convenes the affected Parties within 24 hours and freezes the strained mechanism, and only that mechanism, for up to 72 hours while consultation proceeds. The humanitarian absolute, the distress-priority obligations, the evacuation flows, the hotline, and the corridor never freeze.</w:t>
      </w:r>
      <w:bookmarkEnd w:id="508"/>
    </w:p>
    <w:p>
      <w:pPr>
        <w:pStyle w:val="Heading3"/>
        <w:rPr/>
      </w:pPr>
      <w:bookmarkStart w:id="509" w:name="what-the-pause-is-for"/>
      <w:r>
        <w:rPr/>
        <w:t>38.2 What the Pause is for</w:t>
      </w:r>
    </w:p>
    <w:p>
      <w:pPr>
        <w:pStyle w:val="FirstParagraph"/>
        <w:rPr/>
      </w:pPr>
      <w:bookmarkStart w:id="510" w:name="what-the-pause-is-for"/>
      <w:r>
        <w:rPr/>
        <w:t>The Pause exists so that no Party faces a choice between swallowing a violation and collapsing the system. It buys the architecture 72 hours of structured calm at the exact moment politics runs hottest, and it returns every participant to the table with the record intact and the humanitarian machinery still moving underneath the dispute.</w:t>
      </w:r>
      <w:bookmarkEnd w:id="510"/>
    </w:p>
    <w:p>
      <w:pPr>
        <w:pStyle w:val="Heading3"/>
        <w:rPr/>
      </w:pPr>
      <w:bookmarkStart w:id="511" w:name="the-restoration-pathway"/>
      <w:r>
        <w:rPr/>
        <w:t>38.3 The restoration pathway</w:t>
      </w:r>
    </w:p>
    <w:p>
      <w:pPr>
        <w:pStyle w:val="FirstParagraph"/>
        <w:rPr/>
      </w:pPr>
      <w:bookmarkStart w:id="512" w:name="the-restoration-pathway"/>
      <w:r>
        <w:rPr/>
        <w:t>Every consequence in this Framework carries an automatic, defined restoration pathway. The pathway runs: reversal of the underlying measure where reversal remains possible; remediation on a published clock; verified performance of the remediated standard for one full Walkthrough Cycle; and automatic restoration of full standing on the Neutral Passage Office’s certification. Restoration arrives on evidence, not on apology, and no deviation creates permanent exclusion.</w:t>
      </w:r>
      <w:bookmarkEnd w:id="512"/>
    </w:p>
    <w:p>
      <w:pPr>
        <w:pStyle w:val="Heading3"/>
        <w:rPr/>
      </w:pPr>
      <w:bookmarkStart w:id="513" w:name="continuity-through-the-pause"/>
      <w:r>
        <w:rPr/>
        <w:t>38.4 Continuity through the Pause</w:t>
      </w:r>
    </w:p>
    <w:p>
      <w:pPr>
        <w:pStyle w:val="FirstParagraph"/>
        <w:rPr/>
      </w:pPr>
      <w:bookmarkStart w:id="514" w:name="continuity-through-the-pause"/>
      <w:r>
        <w:rPr/>
        <w:t>Through every Pause, the following continue at full standard: the corridor and its clearance system; the evacuation and repatriation flows; the resupply protocol; the hotline; the Portal; and the medical desk. The architecture treats these functions as load-bearing walls: the building shifts around them; it never removes them.</w:t>
      </w:r>
      <w:bookmarkEnd w:id="514"/>
    </w:p>
    <w:p>
      <w:pPr>
        <w:pStyle w:val="Heading3"/>
        <w:rPr/>
      </w:pPr>
      <w:bookmarkStart w:id="515" w:name="earn-back"/>
      <w:r>
        <w:rPr/>
        <w:t>38.5 Earn-back</w:t>
      </w:r>
    </w:p>
    <w:p>
      <w:pPr>
        <w:pStyle w:val="FirstParagraph"/>
        <w:rPr/>
      </w:pPr>
      <w:bookmarkStart w:id="516" w:name="earn-back"/>
      <w:r>
        <w:rPr/>
        <w:t>Where a compliance consequence has adjusted any Party’s standing, benefits, or access under this Framework, verified performance earns the position back on the schedule of Annex E. Earned restoration arrives automatically on certification, without a vote, so that the pathway back costs effort and never dignity.</w:t>
      </w:r>
      <w:bookmarkEnd w:id="516"/>
    </w:p>
    <w:p>
      <w:pPr>
        <w:pStyle w:val="Heading3"/>
        <w:rPr/>
      </w:pPr>
      <w:bookmarkStart w:id="517" w:name="resumed-hostilities"/>
      <w:r>
        <w:rPr/>
        <w:t>38.6 Resumed hostilities</w:t>
      </w:r>
    </w:p>
    <w:p>
      <w:pPr>
        <w:pStyle w:val="FirstParagraph"/>
        <w:rPr/>
      </w:pPr>
      <w:bookmarkStart w:id="518" w:name="X537cf89fa0af30e617cb1d863b97ef52731c6b5"/>
      <w:bookmarkStart w:id="519" w:name="resumed-hostilities"/>
      <w:r>
        <w:rPr/>
        <w:t>A resumption of hostilities inside or bordering the Governance Area, broader than a single verified incident, activates the security consultation tier of Article 20.5 at its highest level, the Council’s mandatory session, and the continuous-monitoring posture of the hotline, while every humanitarian function continues under Article 38.4. The Framework neither terminates nor suspends on resumed hostilities; it leans into them, because resumed hostilities are precisely when stranded crews, grain ships, and medicine need the architecture most.</w:t>
      </w:r>
      <w:bookmarkEnd w:id="518"/>
      <w:bookmarkEnd w:id="519"/>
    </w:p>
    <w:p>
      <w:pPr>
        <w:pStyle w:val="Heading2"/>
        <w:rPr/>
      </w:pPr>
      <w:bookmarkStart w:id="520" w:name="__RefHeading___Toc4367_2903983697"/>
      <w:bookmarkStart w:id="521" w:name="article-39-dispute-resolution"/>
      <w:bookmarkEnd w:id="520"/>
      <w:r>
        <w:rPr/>
        <w:t>Article 39: Dispute Resolution</w:t>
      </w:r>
    </w:p>
    <w:p>
      <w:pPr>
        <w:pStyle w:val="Heading3"/>
        <w:rPr/>
      </w:pPr>
      <w:bookmarkStart w:id="522" w:name="tier-one-direct-consultation"/>
      <w:r>
        <w:rPr/>
        <w:t>39.1 Tier one, direct consultation</w:t>
      </w:r>
    </w:p>
    <w:p>
      <w:pPr>
        <w:pStyle w:val="FirstParagraph"/>
        <w:rPr/>
      </w:pPr>
      <w:bookmarkStart w:id="523" w:name="tier-one-direct-consultation"/>
      <w:r>
        <w:rPr/>
        <w:t>A dispute concerning this Framework’s interpretation or application opens with direct consultation between the disputing Parties, facilitated by the Mediator of Record on either Party’s request, within 14 days of the dispute’s notification to the Center.</w:t>
      </w:r>
      <w:bookmarkEnd w:id="523"/>
    </w:p>
    <w:p>
      <w:pPr>
        <w:pStyle w:val="Heading3"/>
        <w:rPr/>
      </w:pPr>
      <w:bookmarkStart w:id="524" w:name="tier-two-council-mediation"/>
      <w:r>
        <w:rPr/>
        <w:t>39.2 Tier two, Council mediation</w:t>
      </w:r>
    </w:p>
    <w:p>
      <w:pPr>
        <w:pStyle w:val="FirstParagraph"/>
        <w:rPr/>
      </w:pPr>
      <w:bookmarkStart w:id="525" w:name="tier-two-council-mediation"/>
      <w:r>
        <w:rPr/>
        <w:t>A dispute unresolved after 21 days of direct consultation moves to Council mediation: the full Council, excluding the disputing Parties from the mediating panel’s composition but not from the proceeding, reviews the dispute and issues a non-binding recommendation within 30 days.</w:t>
      </w:r>
      <w:bookmarkEnd w:id="525"/>
    </w:p>
    <w:p>
      <w:pPr>
        <w:pStyle w:val="Heading3"/>
        <w:rPr/>
      </w:pPr>
      <w:bookmarkStart w:id="526" w:name="X1cd699ea13a93cf464ca0d27a684f661ec004dd"/>
      <w:r>
        <w:rPr/>
        <w:t>39.3 Tier three, the Guarantor and Facilitation Panel</w:t>
      </w:r>
    </w:p>
    <w:p>
      <w:pPr>
        <w:pStyle w:val="FirstParagraph"/>
        <w:rPr/>
      </w:pPr>
      <w:bookmarkStart w:id="527" w:name="X1cd699ea13a93cf464ca0d27a684f661ec004dd"/>
      <w:r>
        <w:rPr/>
        <w:t>The Guarantor and Facilitation Panel, comprising the Sultanate of Oman, the Swiss Confederation, the State of Qatar, and the Islamic Republic of Pakistan, provides the final political judgment layer. The Panel convenes within 48 hours of a failed Council mediation, a referred classification question, or a matter touching the Non-Prosecution Covenant. The Panel issues a preliminary determination within 72 hours of convening and a final determination within 120 hours. A missed clock resolves the matter by operation of the registry data and the verification certifications until the Panel acts, so that no actor profits from dragging out the review. The Panel possesses no military, police, or sanctioning power; its authority flows from the automaticity of the mechanisms it certifies.</w:t>
      </w:r>
      <w:bookmarkEnd w:id="527"/>
    </w:p>
    <w:p>
      <w:pPr>
        <w:pStyle w:val="Heading3"/>
        <w:rPr/>
      </w:pPr>
      <w:bookmarkStart w:id="528" w:name="the-technical-contest-track"/>
      <w:r>
        <w:rPr/>
        <w:t>39.4 The technical contest track</w:t>
      </w:r>
    </w:p>
    <w:p>
      <w:pPr>
        <w:pStyle w:val="FirstParagraph"/>
        <w:rPr/>
      </w:pPr>
      <w:bookmarkStart w:id="529" w:name="the-technical-contest-track"/>
      <w:r>
        <w:rPr/>
        <w:t>A Party contesting a factual or technical determination submits the contest in writing within 7 days of publication. A three-member review panel drawn from Neutral Passage Office senior staff not involved in the original determination reviews the contest within 14 days under the Two-Anchor Method, and affirms, modifies, or reverses. A reversal restores standing retroactively. The panel’s decision is final absent an escalation to the Guarantor Panel on a claim of systemic bias, a claim distinct from an ordinary factual contest.</w:t>
      </w:r>
      <w:bookmarkEnd w:id="529"/>
    </w:p>
    <w:p>
      <w:pPr>
        <w:pStyle w:val="Heading3"/>
        <w:rPr/>
      </w:pPr>
      <w:bookmarkStart w:id="530" w:name="tier-four-external-arbitration"/>
      <w:r>
        <w:rPr/>
        <w:t>39.5 Tier four, external arbitration</w:t>
      </w:r>
    </w:p>
    <w:p>
      <w:pPr>
        <w:pStyle w:val="FirstParagraph"/>
        <w:rPr/>
      </w:pPr>
      <w:bookmarkStart w:id="531" w:name="tier-four-external-arbitration"/>
      <w:r>
        <w:rPr/>
        <w:t>A Party dissatisfied with a Panel determination on a question of this Framework’s interpretation appeals to the Permanent Court of Arbitration under the procedural rules of Annex E, Section E.6, within 60 days. The Panel’s determination remains in effect during the appeal, and every humanitarian function continues throughout every tier.</w:t>
      </w:r>
      <w:bookmarkEnd w:id="531"/>
    </w:p>
    <w:p>
      <w:pPr>
        <w:pStyle w:val="Heading3"/>
        <w:rPr/>
      </w:pPr>
      <w:bookmarkStart w:id="532" w:name="humanitarian-non-derogation-in-dispute"/>
      <w:r>
        <w:rPr/>
        <w:t>39.6 Humanitarian non-derogation in dispute</w:t>
      </w:r>
    </w:p>
    <w:p>
      <w:pPr>
        <w:pStyle w:val="FirstParagraph"/>
        <w:rPr/>
      </w:pPr>
      <w:bookmarkStart w:id="533" w:name="Xaa540b948e0bd360a296a1b036ab600a1c86222"/>
      <w:bookmarkStart w:id="534" w:name="article-39-dispute-resolution"/>
      <w:bookmarkStart w:id="535" w:name="humanitarian-non-derogation-in-dispute"/>
      <w:r>
        <w:rPr/>
        <w:t>No dispute, at any tier, in any posture, suspends or conditions any humanitarian protection of this Framework. The tiers carry disputes about the architecture; the architecture’s humanitarian floor stands beneath every tier, untouched.</w:t>
      </w:r>
      <w:bookmarkEnd w:id="533"/>
      <w:bookmarkEnd w:id="534"/>
      <w:bookmarkEnd w:id="535"/>
    </w:p>
    <w:p>
      <w:pPr>
        <w:pStyle w:val="Heading1"/>
        <w:rPr/>
      </w:pPr>
      <w:bookmarkStart w:id="536" w:name="__RefHeading___Toc4369_2903983697"/>
      <w:bookmarkStart w:id="537" w:name="Xfd83ab082b2c212dee60ff654c9a68224e29b2d"/>
      <w:bookmarkEnd w:id="536"/>
      <w:bookmarkEnd w:id="537"/>
      <w:r>
        <w:rPr/>
        <w:t>Part IX: Implementation, Review, and Final Provisions</w:t>
      </w:r>
    </w:p>
    <w:p>
      <w:pPr>
        <w:pStyle w:val="Heading2"/>
        <w:rPr/>
      </w:pPr>
      <w:bookmarkStart w:id="538" w:name="__RefHeading___Toc4371_2903983697"/>
      <w:bookmarkStart w:id="539" w:name="article-40-the-implementation-timeline"/>
      <w:bookmarkEnd w:id="538"/>
      <w:r>
        <w:rPr/>
        <w:t>Article 40: The Implementation Timeline</w:t>
      </w:r>
    </w:p>
    <w:p>
      <w:pPr>
        <w:pStyle w:val="Heading3"/>
        <w:rPr/>
      </w:pPr>
      <w:bookmarkStart w:id="540" w:name="day-1"/>
      <w:r>
        <w:rPr/>
        <w:t>40.1 Day 1</w:t>
      </w:r>
    </w:p>
    <w:p>
      <w:pPr>
        <w:pStyle w:val="FirstParagraph"/>
        <w:rPr/>
      </w:pPr>
      <w:bookmarkStart w:id="541" w:name="day-1"/>
      <w:r>
        <w:rPr/>
        <w:t>On the day of entry into force: the de-confliction hotline of Article 20 activates and passes its first test; the stand-down of Article 18 and the freeze of Article 19 take effect; the thirty-day humanitarian transit ceasefire of Article 16 begins; the initial stand-down instruction of Article 7.3 issues to every stranded vessel; and the Center opens its watch floor.</w:t>
      </w:r>
      <w:bookmarkEnd w:id="541"/>
    </w:p>
    <w:p>
      <w:pPr>
        <w:pStyle w:val="Heading3"/>
        <w:rPr/>
      </w:pPr>
      <w:bookmarkStart w:id="542" w:name="hours-1-to-72"/>
      <w:r>
        <w:rPr/>
        <w:t>40.2 Hours 1 to 72</w:t>
      </w:r>
    </w:p>
    <w:p>
      <w:pPr>
        <w:pStyle w:val="FirstParagraph"/>
        <w:rPr/>
      </w:pPr>
      <w:bookmarkStart w:id="543" w:name="hours-1-to-72"/>
      <w:r>
        <w:rPr/>
        <w:t>Within 48 hours: the Stranded Vessel and Crew Registry opens; the Detained Vessel Registry filing window opens; the medical hotline and the families’ desk activate; and the resupply protocol accepts its first requests. Within 72 hours: evacuation movements commence under Article 7.6; the coastal states file their first posture statements; and the joint hazard survey group embarks.</w:t>
      </w:r>
      <w:bookmarkEnd w:id="543"/>
    </w:p>
    <w:p>
      <w:pPr>
        <w:pStyle w:val="Heading3"/>
        <w:rPr/>
      </w:pPr>
      <w:bookmarkStart w:id="544" w:name="days-1-to-7"/>
      <w:r>
        <w:rPr/>
        <w:t>40.3 Days 1 to 7</w:t>
      </w:r>
    </w:p>
    <w:p>
      <w:pPr>
        <w:pStyle w:val="FirstParagraph"/>
        <w:rPr/>
      </w:pPr>
      <w:bookmarkStart w:id="545" w:name="days-1-to-7"/>
      <w:r>
        <w:rPr/>
        <w:t>The United Nations mechanism activates on the seven-day clock of Article 13.4: clearing office staffed by Day 2; monitors at the first ports by Day 4; the clearance marker system live by Day 5; the first cleared humanitarian vessel transiting by Day 7. The Portal reaches full public operation by Day 5.</w:t>
      </w:r>
      <w:bookmarkEnd w:id="545"/>
    </w:p>
    <w:p>
      <w:pPr>
        <w:pStyle w:val="Heading3"/>
        <w:rPr/>
      </w:pPr>
      <w:bookmarkStart w:id="546" w:name="days-7-to-30"/>
      <w:r>
        <w:rPr/>
        <w:t>40.4 Days 7 to 30</w:t>
      </w:r>
    </w:p>
    <w:p>
      <w:pPr>
        <w:pStyle w:val="FirstParagraph"/>
        <w:rPr/>
      </w:pPr>
      <w:bookmarkStart w:id="547" w:name="days-7-to-30"/>
      <w:r>
        <w:rPr/>
        <w:t>The first Walkthrough Cycle of Article 41.2 completes by Day 7 and repeats weekly. Corridor segments certify on the survey schedule. Crew repatriation reaches full hub throughput by Day 14. Detained crew releases complete under Article 11.3 by Day 30. The ceasefire renews by silence at Day 30.</w:t>
      </w:r>
      <w:bookmarkEnd w:id="547"/>
    </w:p>
    <w:p>
      <w:pPr>
        <w:pStyle w:val="Heading3"/>
        <w:rPr/>
      </w:pPr>
      <w:bookmarkStart w:id="548" w:name="months-2-to-6"/>
      <w:r>
        <w:rPr/>
        <w:t>40.5 Months 2 to 6</w:t>
      </w:r>
    </w:p>
    <w:p>
      <w:pPr>
        <w:pStyle w:val="FirstParagraph"/>
        <w:rPr/>
      </w:pPr>
      <w:bookmarkStart w:id="549" w:name="article-40-the-implementation-timeline"/>
      <w:bookmarkStart w:id="550" w:name="months-2-to-6"/>
      <w:r>
        <w:rPr/>
        <w:t>Phase Two cargo expansion activates on the trigger of Article 15.3. The tonnage floor of Article 17.2 steps up on its published schedule. The evacuation completes its 60-day target under Article 7.6 and transitions to steady-state crew change and layup management. The insurance normalization reporting of the bulletin tracks war-risk premiums toward pre-crisis multiples as a public confidence indicator.</w:t>
      </w:r>
      <w:bookmarkEnd w:id="549"/>
      <w:bookmarkEnd w:id="550"/>
    </w:p>
    <w:p>
      <w:pPr>
        <w:pStyle w:val="Heading2"/>
        <w:rPr/>
      </w:pPr>
      <w:bookmarkStart w:id="551" w:name="__RefHeading___Toc4373_2903983697"/>
      <w:bookmarkStart w:id="552" w:name="X3dfab678f6e6fce503f5ac7710be1ce319a505b"/>
      <w:bookmarkEnd w:id="551"/>
      <w:r>
        <w:rPr/>
        <w:t>Article 41: The Thirty-Day Review and the Seven-Day Walkthrough Cycle</w:t>
      </w:r>
    </w:p>
    <w:p>
      <w:pPr>
        <w:pStyle w:val="Heading3"/>
        <w:rPr/>
      </w:pPr>
      <w:bookmarkStart w:id="553" w:name="the-thirty-day-review"/>
      <w:r>
        <w:rPr/>
        <w:t>41.1 The thirty-day review</w:t>
      </w:r>
    </w:p>
    <w:p>
      <w:pPr>
        <w:pStyle w:val="FirstParagraph"/>
        <w:rPr/>
      </w:pPr>
      <w:bookmarkStart w:id="554" w:name="the-thirty-day-review"/>
      <w:r>
        <w:rPr/>
        <w:t>The Parties review this Framework after its first 30 days of operation, with provisions for extension or expansion based on the compliance record and on progress. The review extends the Framework by silence under the Continuity Guarantee; expansion requires a joint written instrument; contraction of any humanitarian protection requires the elevated procedure of Article 44.3.</w:t>
      </w:r>
      <w:bookmarkEnd w:id="554"/>
    </w:p>
    <w:p>
      <w:pPr>
        <w:pStyle w:val="Heading3"/>
        <w:rPr/>
      </w:pPr>
      <w:bookmarkStart w:id="555" w:name="the-walkthrough-cycle"/>
      <w:r>
        <w:rPr/>
        <w:t>41.2 The Walkthrough Cycle</w:t>
      </w:r>
    </w:p>
    <w:p>
      <w:pPr>
        <w:pStyle w:val="FirstParagraph"/>
        <w:rPr/>
      </w:pPr>
      <w:bookmarkStart w:id="556" w:name="the-walkthrough-cycle"/>
      <w:r>
        <w:rPr/>
        <w:t>A seven-day humanitarian walkthrough cycle operates during the initial phase and continues as the Framework’s standing rhythm: Day 1, route certification against the survey record; Days 2 through 5, scheduled corridor movements and evacuation transits; Day 6, delivery verification against manifests and the Registry; Day 7, public reporting through the weekly report and the Portal. The cycle’s rhythm makes performance visible in weekly units, so that trust accumulates on a human timescale.</w:t>
      </w:r>
      <w:bookmarkEnd w:id="556"/>
    </w:p>
    <w:p>
      <w:pPr>
        <w:pStyle w:val="Heading3"/>
        <w:rPr/>
      </w:pPr>
      <w:bookmarkStart w:id="557" w:name="review-metrics"/>
      <w:r>
        <w:rPr/>
        <w:t>41.3 Review metrics</w:t>
      </w:r>
    </w:p>
    <w:p>
      <w:pPr>
        <w:pStyle w:val="FirstParagraph"/>
        <w:rPr/>
      </w:pPr>
      <w:bookmarkStart w:id="558" w:name="review-metrics"/>
      <w:r>
        <w:rPr/>
        <w:t>The thirty-day review reads the published metrics: evacuation counts against the 60-day curve; clearance latency against the 24-hour standard; corridor throughput against the tonnage floor; hotline performance against the 15-minute standard; incident and near-miss counts; freeze status; and the Fund’s position. Every metric already publishes weekly; the review surprises no one.</w:t>
      </w:r>
      <w:bookmarkEnd w:id="558"/>
    </w:p>
    <w:p>
      <w:pPr>
        <w:pStyle w:val="Heading3"/>
        <w:rPr/>
      </w:pPr>
      <w:bookmarkStart w:id="559" w:name="expansion-menu"/>
      <w:r>
        <w:rPr/>
        <w:t>41.4 Expansion menu</w:t>
      </w:r>
    </w:p>
    <w:p>
      <w:pPr>
        <w:pStyle w:val="FirstParagraph"/>
        <w:rPr/>
      </w:pPr>
      <w:bookmarkStart w:id="560" w:name="X3dfab678f6e6fce503f5ac7710be1ce319a505b"/>
      <w:bookmarkStart w:id="561" w:name="expansion-menu"/>
      <w:r>
        <w:rPr/>
        <w:t>The review considers expansion on the published menu: additional cargo schedules; additional designated ports; the transition of interim corridor geometry toward permanent arrangements where the coastal states’ bilateral and multilateral tracks produce them; and the accession of further participants under Article 44.4. Expansion proceeds only upward: the review never trades away any protection the Framework already operates.</w:t>
      </w:r>
      <w:bookmarkEnd w:id="560"/>
      <w:bookmarkEnd w:id="561"/>
    </w:p>
    <w:p>
      <w:pPr>
        <w:pStyle w:val="Heading2"/>
        <w:rPr/>
      </w:pPr>
      <w:bookmarkStart w:id="562" w:name="__RefHeading___Toc4375_2903983697"/>
      <w:bookmarkStart w:id="563" w:name="X6caff362dcfad943be6fa24c3b279b3a5a795d8"/>
      <w:bookmarkEnd w:id="562"/>
      <w:r>
        <w:rPr/>
        <w:t>Article 42: Relationship to the Islamabad MOU and Other Negotiation Tracks</w:t>
      </w:r>
    </w:p>
    <w:p>
      <w:pPr>
        <w:pStyle w:val="Heading3"/>
        <w:rPr/>
      </w:pPr>
      <w:bookmarkStart w:id="564" w:name="parallel-operation"/>
      <w:r>
        <w:rPr/>
        <w:t>42.1 Parallel operation</w:t>
      </w:r>
    </w:p>
    <w:p>
      <w:pPr>
        <w:pStyle w:val="FirstParagraph"/>
        <w:rPr/>
      </w:pPr>
      <w:bookmarkStart w:id="565" w:name="parallel-operation"/>
      <w:r>
        <w:rPr/>
        <w:t>This Framework operates in parallel with the sixty-day negotiation window established by the Islamabad MOU and with every follow-on instrument that window produces. The Framework discharges the humanitarian and maritime de-escalation dimension of the MOU’s commitments, and it stands ready to attach to the wider settlement as its humanitarian module, by annex, protocol, or incorporation, at the election of the MOU parties.</w:t>
      </w:r>
      <w:bookmarkEnd w:id="565"/>
    </w:p>
    <w:p>
      <w:pPr>
        <w:pStyle w:val="Heading3"/>
        <w:rPr/>
      </w:pPr>
      <w:bookmarkStart w:id="566" w:name="independent-operation"/>
      <w:r>
        <w:rPr/>
        <w:t>42.2 Independent operation</w:t>
      </w:r>
    </w:p>
    <w:p>
      <w:pPr>
        <w:pStyle w:val="FirstParagraph"/>
        <w:rPr/>
      </w:pPr>
      <w:bookmarkStart w:id="567" w:name="independent-operation"/>
      <w:r>
        <w:rPr/>
        <w:t>Progress on this Framework is never conditional on progress in the broader strategic negotiations, and no Party conditions any element of this Framework on any outcome of the Iran-Oman corridor negotiations, the United States-Iran strategic framework, or any regional multilateral charter. A stall, a failure, or a termination on any other track leaves this Framework fully in force. This Article implements Red Line RL-7.</w:t>
      </w:r>
      <w:bookmarkEnd w:id="567"/>
    </w:p>
    <w:p>
      <w:pPr>
        <w:pStyle w:val="Heading3"/>
        <w:rPr/>
      </w:pPr>
      <w:bookmarkStart w:id="568" w:name="interface-with-the-corridor-negotiations"/>
      <w:r>
        <w:rPr/>
        <w:t>42.3 Interface with the corridor negotiations</w:t>
      </w:r>
    </w:p>
    <w:p>
      <w:pPr>
        <w:pStyle w:val="FirstParagraph"/>
        <w:rPr/>
      </w:pPr>
      <w:bookmarkStart w:id="569" w:name="interface-with-the-corridor-negotiations"/>
      <w:r>
        <w:rPr/>
        <w:t>The temporary corridor geometry of Annex A derives from, and remains technically synchronized with, the routing work of the Iran-Oman channel. Where that channel matures into permanent arrangements, the Technical Committee absorbs the matured geometry through the technical amendment procedure of Article 35.5, so that this Framework’s humanitarian lanes always ride the best available water without reopening any settled humanitarian protection.</w:t>
      </w:r>
      <w:bookmarkEnd w:id="569"/>
    </w:p>
    <w:p>
      <w:pPr>
        <w:pStyle w:val="Heading3"/>
        <w:rPr/>
      </w:pPr>
      <w:bookmarkStart w:id="570" w:name="non-prejudice-restated"/>
      <w:r>
        <w:rPr/>
        <w:t>42.4 Non-prejudice restated</w:t>
      </w:r>
    </w:p>
    <w:p>
      <w:pPr>
        <w:pStyle w:val="FirstParagraph"/>
        <w:rPr/>
      </w:pPr>
      <w:bookmarkStart w:id="571" w:name="X6caff362dcfad943be6fa24c3b279b3a5a795d8"/>
      <w:bookmarkStart w:id="572" w:name="non-prejudice-restated"/>
      <w:r>
        <w:rPr/>
        <w:t>This instrument operates independently of and without prejudice to the broader Iran-Oman corridor negotiations, the United States-Iran strategic framework, and any regional multilateral charter, and none of those instruments diminishes any protection this Framework establishes, whatever else it settles.</w:t>
      </w:r>
      <w:bookmarkEnd w:id="571"/>
      <w:bookmarkEnd w:id="572"/>
    </w:p>
    <w:p>
      <w:pPr>
        <w:pStyle w:val="Heading2"/>
        <w:rPr/>
      </w:pPr>
      <w:bookmarkStart w:id="573" w:name="__RefHeading___Toc4377_2903983697"/>
      <w:bookmarkStart w:id="574" w:name="X7c4699de47705d57517d7e190b5eb789546a71d"/>
      <w:bookmarkEnd w:id="573"/>
      <w:r>
        <w:rPr/>
        <w:t>Article 43: Funding and the Humanitarian Operations Fund</w:t>
      </w:r>
    </w:p>
    <w:p>
      <w:pPr>
        <w:pStyle w:val="Heading3"/>
        <w:rPr/>
      </w:pPr>
      <w:bookmarkStart w:id="575" w:name="establishment-4"/>
      <w:r>
        <w:rPr/>
        <w:t>43.1 Establishment</w:t>
      </w:r>
    </w:p>
    <w:p>
      <w:pPr>
        <w:pStyle w:val="FirstParagraph"/>
        <w:rPr/>
      </w:pPr>
      <w:bookmarkStart w:id="576" w:name="establishment-4"/>
      <w:r>
        <w:rPr/>
        <w:t>The Parties establish the Humanitarian Operations Fund as the single financial vehicle of the Framework, taking the legal form of a multilateral fiduciary facility administered by the Neutral Administrator under Swiss law, with its principal account in Switzerland and mirror settlement arrangements in Muscat. The Fund exists to pay for the humanitarian machinery: the United Nations mechanism’s operating costs, the Neutral Passage Office, the repatriation gap coverage, the resupply reimbursement, the spill-response standby, the water points, and the Center itself.</w:t>
      </w:r>
      <w:bookmarkEnd w:id="576"/>
    </w:p>
    <w:p>
      <w:pPr>
        <w:pStyle w:val="Heading3"/>
        <w:rPr/>
      </w:pPr>
      <w:bookmarkStart w:id="577" w:name="the-order-of-calls"/>
      <w:r>
        <w:rPr/>
        <w:t>43.2 The order of calls</w:t>
      </w:r>
    </w:p>
    <w:p>
      <w:pPr>
        <w:pStyle w:val="FirstParagraph"/>
        <w:rPr/>
      </w:pPr>
      <w:bookmarkStart w:id="578" w:name="the-order-of-calls"/>
      <w:r>
        <w:rPr/>
        <w:t>The Fund’s revenue discharges its obligations in a fixed order: first, the United Nations mechanism of Article 13; second, the Neutral Passage Office; third, medical and repatriation gap coverage; fourth, resupply reimbursement and the water points; fifth, the Center’s operating costs; sixth, all other purposes. The order protects the humanitarian heart of the architecture against every budgetary weather.</w:t>
      </w:r>
      <w:bookmarkEnd w:id="578"/>
    </w:p>
    <w:p>
      <w:pPr>
        <w:pStyle w:val="Heading3"/>
        <w:rPr/>
      </w:pPr>
      <w:bookmarkStart w:id="579" w:name="resources"/>
      <w:r>
        <w:rPr/>
        <w:t>43.3 Resources</w:t>
      </w:r>
    </w:p>
    <w:p>
      <w:pPr>
        <w:pStyle w:val="FirstParagraph"/>
        <w:rPr/>
      </w:pPr>
      <w:bookmarkStart w:id="580" w:name="resources"/>
      <w:r>
        <w:rPr/>
        <w:t>The Fund’s resources comprise: endowment contributions from the Parties, scaled per Annex L; contributions from the facilitating states and interested governments; contributions from international financial institutions and humanitarian donors; and voluntary maritime community contributions on the model of cooperative mechanisms in other strategic waterways. No contribution purchases influence: contribution levels carry no governance weight beyond the seats this instrument assigns on other grounds, and every contribution and disbursement stands published and audited.</w:t>
      </w:r>
      <w:bookmarkEnd w:id="580"/>
    </w:p>
    <w:p>
      <w:pPr>
        <w:pStyle w:val="Heading3"/>
        <w:rPr/>
      </w:pPr>
      <w:bookmarkStart w:id="581" w:name="the-neutral-administrator"/>
      <w:r>
        <w:rPr/>
        <w:t>43.4 The Neutral Administrator</w:t>
      </w:r>
    </w:p>
    <w:p>
      <w:pPr>
        <w:pStyle w:val="FirstParagraph"/>
        <w:rPr/>
      </w:pPr>
      <w:bookmarkStart w:id="582" w:name="the-neutral-administrator"/>
      <w:r>
        <w:rPr/>
        <w:t>The Swiss Confederation serves as Neutral Administrator, holding the Fund’s accounts, administering the sanctions-compliance interface of Article 43.5, and certifying every disbursement against the published purposes. The Administrator’s role is custodial and technical: it holds no Council vote and exercises no discretion over allocation beyond verifying that a disbursement matches a purpose this instrument states.</w:t>
      </w:r>
      <w:bookmarkEnd w:id="582"/>
    </w:p>
    <w:p>
      <w:pPr>
        <w:pStyle w:val="Heading3"/>
        <w:rPr/>
      </w:pPr>
      <w:bookmarkStart w:id="583" w:name="the-sanctions-compliance-firewall"/>
      <w:r>
        <w:rPr/>
        <w:t>43.5 The sanctions-compliance firewall</w:t>
      </w:r>
    </w:p>
    <w:p>
      <w:pPr>
        <w:pStyle w:val="FirstParagraph"/>
        <w:rPr/>
      </w:pPr>
      <w:bookmarkStart w:id="584" w:name="the-sanctions-compliance-firewall"/>
      <w:r>
        <w:rPr/>
        <w:t>Every payment flowing through the Fund remains lawful for every Party and every commercial actor to make and receive, by structure: payers pay the Fund, and the Fund, not the payer, disburses to recipients. Before each disbursement cycle, the Administrator’s legal function confirms the structure’s compliance with every applicable regime in the Administrator’s jurisdiction and the recipients’ banking correspondents, adjusting mechanics without altering allocations. No payer maintains any payment channel to any Party outside the Fund structure for any Framework purpose.</w:t>
      </w:r>
      <w:bookmarkEnd w:id="584"/>
    </w:p>
    <w:p>
      <w:pPr>
        <w:pStyle w:val="Heading3"/>
        <w:rPr/>
      </w:pPr>
      <w:bookmarkStart w:id="585" w:name="transparency"/>
      <w:r>
        <w:rPr/>
        <w:t>43.6 Transparency</w:t>
      </w:r>
    </w:p>
    <w:p>
      <w:pPr>
        <w:pStyle w:val="FirstParagraph"/>
        <w:rPr/>
      </w:pPr>
      <w:bookmarkStart w:id="586" w:name="X7c4699de47705d57517d7e190b5eb789546a71d"/>
      <w:bookmarkStart w:id="587" w:name="transparency"/>
      <w:r>
        <w:rPr/>
        <w:t>The Administrator publishes a quarterly Fund account and an independently audited annual account, itemizing every inflow and outflow. The Neutral Passage Office cross-checks the accounts quarterly. Transparency operates as the Fund’s primary defense against every suspicion, and the accounts reach every Party and the public simultaneously.</w:t>
      </w:r>
      <w:bookmarkEnd w:id="586"/>
      <w:bookmarkEnd w:id="587"/>
    </w:p>
    <w:p>
      <w:pPr>
        <w:pStyle w:val="Heading2"/>
        <w:rPr/>
      </w:pPr>
      <w:bookmarkStart w:id="588" w:name="__RefHeading___Toc4379_2903983697"/>
      <w:bookmarkStart w:id="589" w:name="article-44-final-provisions"/>
      <w:bookmarkEnd w:id="588"/>
      <w:bookmarkEnd w:id="589"/>
      <w:r>
        <w:rPr/>
        <w:t>Article 44: Final Provisions</w:t>
      </w:r>
    </w:p>
    <w:p>
      <w:pPr>
        <w:pStyle w:val="Heading3"/>
        <w:rPr/>
      </w:pPr>
      <w:bookmarkStart w:id="590" w:name="entry-into-force"/>
      <w:r>
        <w:rPr/>
        <w:t>44.1 Entry into force</w:t>
      </w:r>
    </w:p>
    <w:p>
      <w:pPr>
        <w:pStyle w:val="FirstParagraph"/>
        <w:rPr/>
      </w:pPr>
      <w:bookmarkStart w:id="591" w:name="entry-into-force"/>
      <w:r>
        <w:rPr/>
        <w:t>This Framework enters into force upon signature by the Islamic Republic of Iran, the Sultanate of Oman, the United States of America, the Gulf Cooperation Council states acting collectively, and the International Maritime Organization. The United Nations Secretary-General’s Special Task Force accedes as coordinating body for humanitarian operations by its own instrument of participation deposited with the Depositary.</w:t>
      </w:r>
      <w:bookmarkEnd w:id="591"/>
    </w:p>
    <w:p>
      <w:pPr>
        <w:pStyle w:val="Heading3"/>
        <w:rPr/>
      </w:pPr>
      <w:bookmarkStart w:id="592" w:name="confidentiality-and-operational-security"/>
      <w:r>
        <w:rPr/>
        <w:t>44.2 Confidentiality and operational security</w:t>
      </w:r>
    </w:p>
    <w:p>
      <w:pPr>
        <w:pStyle w:val="FirstParagraph"/>
        <w:rPr/>
      </w:pPr>
      <w:bookmarkStart w:id="593" w:name="confidentiality-and-operational-security"/>
      <w:r>
        <w:rPr/>
        <w:t>Operational security details of the military stand-down and of de-confliction move through the secure channels of Article 31.4. Only information necessary for safe navigation and humanitarian operations enters the public domain, and the public humanitarian record of Part VI publishes in full, because the Framework’s credibility rests on a record open to every reader in the world.</w:t>
      </w:r>
      <w:bookmarkEnd w:id="593"/>
    </w:p>
    <w:p>
      <w:pPr>
        <w:pStyle w:val="Heading3"/>
        <w:rPr/>
      </w:pPr>
      <w:bookmarkStart w:id="594" w:name="amendment"/>
      <w:r>
        <w:rPr/>
        <w:t>44.3 Amendment</w:t>
      </w:r>
    </w:p>
    <w:p>
      <w:pPr>
        <w:pStyle w:val="FirstParagraph"/>
        <w:rPr/>
      </w:pPr>
      <w:bookmarkStart w:id="595" w:name="amendment"/>
      <w:r>
        <w:rPr/>
        <w:t>This Framework is amended by joint written instrument of the Parties, consensus of the Council’s voting members followed by ratification by each Party. An amendment touching the protected core of Article 35.4 or the Red Lines Register requires consensus of all Parties and ratification by each. Technical annexes adjust under the silence procedure of Article 35.5.</w:t>
      </w:r>
      <w:bookmarkEnd w:id="595"/>
    </w:p>
    <w:p>
      <w:pPr>
        <w:pStyle w:val="Heading3"/>
        <w:rPr/>
      </w:pPr>
      <w:bookmarkStart w:id="596" w:name="accession"/>
      <w:r>
        <w:rPr/>
        <w:t>44.4 Accession</w:t>
      </w:r>
    </w:p>
    <w:p>
      <w:pPr>
        <w:pStyle w:val="FirstParagraph"/>
        <w:rPr/>
      </w:pPr>
      <w:bookmarkStart w:id="597" w:name="accession"/>
      <w:r>
        <w:rPr/>
        <w:t>Additional states and international bodies accede to this Framework by instrument deposited with the Depositary, on the Council’s consensus invitation. The Republic of Iraq and the Hashemite Kingdom of Jordan hold standing invitations for the logistics and observer functions respectively, and the standing observer invitations of Annex G, Section G.5 extend to the European Union, the United Kingdom, the Republic of India, the People’s Republic of China, Japan, and the Republic of Korea.</w:t>
      </w:r>
      <w:bookmarkEnd w:id="597"/>
    </w:p>
    <w:p>
      <w:pPr>
        <w:pStyle w:val="Heading3"/>
        <w:rPr/>
      </w:pPr>
      <w:bookmarkStart w:id="598" w:name="withdrawal"/>
      <w:r>
        <w:rPr/>
        <w:t>44.5 Withdrawal</w:t>
      </w:r>
    </w:p>
    <w:p>
      <w:pPr>
        <w:pStyle w:val="FirstParagraph"/>
        <w:rPr/>
      </w:pPr>
      <w:bookmarkStart w:id="599" w:name="withdrawal"/>
      <w:r>
        <w:rPr/>
        <w:t>A Party withdraws by written notice to the Depositary, taking effect 90 days after deposit. Withdrawal is a deliberate, notified, time-buffered sovereign act, and the architecture excludes any exit by drift, silence, or non-performance. Throughout the notice period, every obligation operates at full standard, and the withdrawing Party’s departure touches no humanitarian protection owed to any seafarer, vessel, or consignee.</w:t>
      </w:r>
      <w:bookmarkEnd w:id="599"/>
    </w:p>
    <w:p>
      <w:pPr>
        <w:pStyle w:val="Heading3"/>
        <w:rPr/>
      </w:pPr>
      <w:bookmarkStart w:id="600" w:name="continuity-during-institutional-failure"/>
      <w:r>
        <w:rPr/>
        <w:t>44.6 Continuity during institutional failure</w:t>
      </w:r>
    </w:p>
    <w:p>
      <w:pPr>
        <w:pStyle w:val="FirstParagraph"/>
        <w:rPr/>
      </w:pPr>
      <w:bookmarkStart w:id="601" w:name="continuity-during-institutional-failure"/>
      <w:r>
        <w:rPr/>
        <w:t>Where any organ of this Framework fails to convene, to decide, or to function, the standing procedures govern by default: the previous budget runs, the previous schedules run, the corridors run, the hotline runs, and the mirror facility assumes any function the principal seat cannot perform. The architecture treats institutional failure as an engineering condition with an engineering answer, never as a political opportunity.</w:t>
      </w:r>
      <w:bookmarkEnd w:id="601"/>
    </w:p>
    <w:p>
      <w:pPr>
        <w:pStyle w:val="Heading3"/>
        <w:rPr/>
      </w:pPr>
      <w:bookmarkStart w:id="602" w:name="depositary-and-registration"/>
      <w:r>
        <w:rPr/>
        <w:t>44.7 Depositary and registration</w:t>
      </w:r>
    </w:p>
    <w:p>
      <w:pPr>
        <w:pStyle w:val="FirstParagraph"/>
        <w:rPr/>
      </w:pPr>
      <w:bookmarkStart w:id="603" w:name="depositary-and-registration"/>
      <w:r>
        <w:rPr/>
        <w:t>The Sultanate of Oman, Ministry of Foreign Affairs, serves as Depositary. The Depositary registers this Framework with the Secretariat of the United Nations and transmits certified copies to every Party and to the Council of the International Maritime Organization.</w:t>
      </w:r>
      <w:bookmarkEnd w:id="603"/>
    </w:p>
    <w:p>
      <w:pPr>
        <w:pStyle w:val="Heading3"/>
        <w:rPr/>
      </w:pPr>
      <w:bookmarkStart w:id="604" w:name="languages"/>
      <w:r>
        <w:rPr/>
        <w:t>44.8 Languages</w:t>
      </w:r>
    </w:p>
    <w:p>
      <w:pPr>
        <w:pStyle w:val="FirstParagraph"/>
        <w:rPr/>
      </w:pPr>
      <w:bookmarkStart w:id="605" w:name="languages"/>
      <w:r>
        <w:rPr/>
        <w:t>This Framework is executed in English, Arabic, and Persian, each text equally authoritative. Operational products publish per Article 28.3, and the interpretation rule of Article 5.2 governs every divergence among the texts.</w:t>
      </w:r>
      <w:bookmarkEnd w:id="605"/>
    </w:p>
    <w:p>
      <w:pPr>
        <w:pStyle w:val="Heading3"/>
        <w:rPr/>
      </w:pPr>
      <w:bookmarkStart w:id="606" w:name="signature"/>
      <w:bookmarkEnd w:id="606"/>
      <w:r>
        <w:rPr/>
        <w:t>44.9 Signature</w:t>
      </w:r>
    </w:p>
    <w:p>
      <w:pPr>
        <w:pStyle w:val="FirstParagraph"/>
        <w:rPr/>
      </w:pPr>
      <w:r>
        <w:rPr/>
        <w:t>Done at Muscat, in three original texts.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Party</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Representative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Islamic Republic of Iran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Sultanate of Oman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 of America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Gulf Cooperation Council (collectively)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International Maritime Organization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United Nations Special Task Force (Coordinator)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Mediator of Record (witness)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Neutral Administrator (witness)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607" w:name="Xfd83ab082b2c212dee60ff654c9a68224e29b2d"/>
            <w:bookmarkStart w:id="608" w:name="article-44-final-provisions"/>
            <w:bookmarkStart w:id="609" w:name="signature"/>
            <w:bookmarkStart w:id="610" w:name="Xfd83ab082b2c212dee60ff654c9a68224e29b2d"/>
            <w:bookmarkStart w:id="611" w:name="article-44-final-provisions"/>
            <w:bookmarkStart w:id="612" w:name="signature"/>
            <w:bookmarkEnd w:id="610"/>
            <w:bookmarkEnd w:id="611"/>
            <w:bookmarkEnd w:id="612"/>
          </w:p>
        </w:tc>
      </w:tr>
    </w:tbl>
    <w:p>
      <w:pPr>
        <w:pStyle w:val="Heading1"/>
        <w:rPr/>
      </w:pPr>
      <w:bookmarkStart w:id="613" w:name="__RefHeading___Toc4381_2903983697"/>
      <w:bookmarkEnd w:id="613"/>
      <w:r>
        <w:rPr/>
        <w:t>Annex A: Corridor Coordinates, Waiting Areas, and Holding Anchorages</w:t>
      </w:r>
    </w:p>
    <w:p>
      <w:pPr>
        <w:pStyle w:val="Heading2"/>
        <w:rPr/>
      </w:pPr>
      <w:bookmarkStart w:id="614" w:name="__RefHeading___Toc4383_2903983697"/>
      <w:bookmarkStart w:id="615" w:name="a.1-the-governance-area-polygon"/>
      <w:bookmarkEnd w:id="614"/>
      <w:r>
        <w:rPr/>
        <w:t>A.1 The Governance Area polygon</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Vertex</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Latitude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Longitude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44.0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 degrees 30.0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10.0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 degrees 30.0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degrees 58.0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 degrees 00.0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00.0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056 degrees 30.0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10.0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056 degrees 00.0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20.0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055 degrees 30.0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36.0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055 degrees 30.0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50.0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056 degrees 00.0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54.0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056 degrees 30.0 minutes 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52.0 minutes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 degrees 00.0 minutes E</w:t>
            </w:r>
          </w:p>
        </w:tc>
      </w:tr>
    </w:tbl>
    <w:p>
      <w:pPr>
        <w:pStyle w:val="TextBody"/>
        <w:rPr/>
      </w:pPr>
      <w:bookmarkStart w:id="616" w:name="a.1-the-governance-area-polygon"/>
      <w:r>
        <w:rPr>
          <w:i/>
          <w:iCs/>
        </w:rPr>
        <w:t>Table A.1: Governance Area boundary vertices, WGS-84. The polygon closes from V-10 to V-1. The ceasefire coverage polygon of Article 16.3 extends 100 nautical miles east and west of the boundary meridians as stated in the operational chartlet.</w:t>
      </w:r>
      <w:bookmarkEnd w:id="616"/>
    </w:p>
    <w:p>
      <w:pPr>
        <w:pStyle w:val="Heading2"/>
        <w:rPr/>
      </w:pPr>
      <w:bookmarkStart w:id="617" w:name="__RefHeading___Toc4385_2903983697"/>
      <w:bookmarkStart w:id="618" w:name="X37c8f8bf68f61e658fa3aa60a6975514e100e9a"/>
      <w:bookmarkEnd w:id="617"/>
      <w:r>
        <w:rPr/>
        <w:t>A.2 The humanitarian lane, Southern Route track</w:t>
      </w:r>
    </w:p>
    <w:p>
      <w:pPr>
        <w:pStyle w:val="FirstParagraph"/>
        <w:rPr/>
      </w:pPr>
      <w:bookmarkStart w:id="619" w:name="X37c8f8bf68f61e658fa3aa60a6975514e100e9a"/>
      <w:r>
        <w:rPr/>
        <w:t>The humanitarian lane inside the Southern Route runs two nautical miles in width along the track S-1 (26 degrees 38.0 N, 056 degrees 52.0 E) to S-6 (26 degrees 24.0 N, 055 degrees 38.0 E), with a one nautical mile separation zone from the general outbound traffic.</w:t>
      </w:r>
      <w:bookmarkEnd w:id="619"/>
    </w:p>
    <w:p>
      <w:pPr>
        <w:pStyle w:val="Heading2"/>
        <w:rPr/>
      </w:pPr>
      <w:bookmarkStart w:id="620" w:name="__RefHeading___Toc4387_2903983697"/>
      <w:bookmarkStart w:id="621" w:name="Xe9845008fcb479312feddb738297e65cb13bb9e"/>
      <w:bookmarkEnd w:id="620"/>
      <w:r>
        <w:rPr/>
        <w:t>A.3 The humanitarian lane, Northern Route track</w:t>
      </w:r>
    </w:p>
    <w:p>
      <w:pPr>
        <w:pStyle w:val="FirstParagraph"/>
        <w:rPr/>
      </w:pPr>
      <w:bookmarkStart w:id="622" w:name="Xe9845008fcb479312feddb738297e65cb13bb9e"/>
      <w:r>
        <w:rPr/>
        <w:t>The humanitarian lane inside the Northern Route runs two nautical miles in width along the track N-1 (26 degrees 50.0 N, 056 degrees 44.0 E) to N-6 (26 degrees 40.0 N, 055 degrees 32.0 E), with equivalent separation.</w:t>
      </w:r>
      <w:bookmarkEnd w:id="622"/>
    </w:p>
    <w:p>
      <w:pPr>
        <w:pStyle w:val="Heading2"/>
        <w:rPr/>
      </w:pPr>
      <w:bookmarkStart w:id="623" w:name="__RefHeading___Toc4389_2903983697"/>
      <w:bookmarkStart w:id="624" w:name="a.4-evacuation-track-northern-route"/>
      <w:bookmarkEnd w:id="623"/>
      <w:r>
        <w:rPr/>
        <w:t>A.4 Evacuation track, Northern Route</w:t>
      </w:r>
    </w:p>
    <w:p>
      <w:pPr>
        <w:pStyle w:val="FirstParagraph"/>
        <w:rPr/>
      </w:pPr>
      <w:bookmarkStart w:id="625" w:name="a.4-evacuation-track-northern-route"/>
      <w:r>
        <w:rPr/>
        <w:t>The Northern evacuation track exits eastbound from the Gulf along the line of waypoints NE-1 through NE-8 stated in the operational chartlet, passing north of Larak Island, clearing the Strait at waypoint NE-6 (26 degrees 42.0 N, 056 degrees 50.0 E).</w:t>
      </w:r>
      <w:bookmarkEnd w:id="625"/>
    </w:p>
    <w:p>
      <w:pPr>
        <w:pStyle w:val="Heading2"/>
        <w:rPr/>
      </w:pPr>
      <w:bookmarkStart w:id="626" w:name="__RefHeading___Toc4391_2903983697"/>
      <w:bookmarkStart w:id="627" w:name="a.5-evacuation-track-southern-route"/>
      <w:bookmarkEnd w:id="626"/>
      <w:r>
        <w:rPr/>
        <w:t>A.5 Evacuation track, Southern Route</w:t>
      </w:r>
    </w:p>
    <w:p>
      <w:pPr>
        <w:pStyle w:val="FirstParagraph"/>
        <w:rPr/>
      </w:pPr>
      <w:bookmarkStart w:id="628" w:name="a.5-evacuation-track-southern-route"/>
      <w:r>
        <w:rPr/>
        <w:t>The Southern evacuation track exits eastbound along the line of waypoints SE-1 through SE-8 stated in the operational chartlet, clearing the Strait south of the Musandam headland at waypoint SE-6 (26 degrees 20.0 N, 056 degrees 58.0 E).</w:t>
      </w:r>
      <w:bookmarkEnd w:id="628"/>
    </w:p>
    <w:p>
      <w:pPr>
        <w:pStyle w:val="Heading2"/>
        <w:rPr/>
      </w:pPr>
      <w:bookmarkStart w:id="629" w:name="__RefHeading___Toc4393_2903983697"/>
      <w:bookmarkStart w:id="630" w:name="a.6-the-waiting-area"/>
      <w:bookmarkEnd w:id="629"/>
      <w:r>
        <w:rPr/>
        <w:t>A.6 The Waiting Area</w:t>
      </w:r>
    </w:p>
    <w:p>
      <w:pPr>
        <w:pStyle w:val="FirstParagraph"/>
        <w:rPr/>
      </w:pPr>
      <w:bookmarkStart w:id="631" w:name="a.6-the-waiting-area"/>
      <w:r>
        <w:rPr/>
        <w:t>The primary Waiting Area centers on 25 degrees 50.0 N, 057 degrees 05.0 E, radius 5 nautical miles, with supplementary areas WA-2 and WA-3 designated by the Notice to Mariners as traffic requires.</w:t>
      </w:r>
      <w:bookmarkEnd w:id="631"/>
    </w:p>
    <w:p>
      <w:pPr>
        <w:pStyle w:val="Heading2"/>
        <w:rPr/>
      </w:pPr>
      <w:bookmarkStart w:id="632" w:name="__RefHeading___Toc4395_2903983697"/>
      <w:bookmarkStart w:id="633" w:name="a.7-holding-anchorages"/>
      <w:bookmarkEnd w:id="632"/>
      <w:r>
        <w:rPr/>
        <w:t>A.7 Holding anchorages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Anchorage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Position (center)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Coastal state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HA-1 Musandam Outer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12.0 N, 056 degrees 32.0 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Oman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Layup and staging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HA-2 Khor Fakkan Approach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degrees 22.0 N, 056 degrees 24.0 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Oman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HA-3 Bandar Abbas Roads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 degrees 06.0 N, 056 degrees 16.0 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Layup and resupply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HA-4 Larak South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degrees 50.0 N, 056 degrees 22.0 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Layup</w:t>
            </w:r>
          </w:p>
        </w:tc>
      </w:tr>
    </w:tbl>
    <w:p>
      <w:pPr>
        <w:pStyle w:val="TextBody"/>
        <w:rPr/>
      </w:pPr>
      <w:bookmarkStart w:id="634" w:name="a.7-holding-anchorages"/>
      <w:r>
        <w:rPr>
          <w:i/>
          <w:iCs/>
        </w:rPr>
        <w:t>Table A.7: Designated holding anchorages. Layup inside a designated anchorage carries no charge, per Article 10.5.</w:t>
      </w:r>
      <w:bookmarkEnd w:id="634"/>
    </w:p>
    <w:p>
      <w:pPr>
        <w:pStyle w:val="Heading2"/>
        <w:rPr/>
      </w:pPr>
      <w:bookmarkStart w:id="635" w:name="__RefHeading___Toc4397_2903983697"/>
      <w:bookmarkStart w:id="636" w:name="a.8-reporting-points"/>
      <w:bookmarkEnd w:id="635"/>
      <w:r>
        <w:rPr/>
        <w:t>A.8 Reporting points</w:t>
      </w:r>
    </w:p>
    <w:p>
      <w:pPr>
        <w:pStyle w:val="FirstParagraph"/>
        <w:rPr/>
      </w:pPr>
      <w:bookmarkStart w:id="637" w:name="a.8-reporting-points"/>
      <w:r>
        <w:rPr/>
        <w:t>Each lane carries voice reporting points at entry, mid-passage, and exit, stated in the operational chartlet, with the reporting discipline of Article 21 and the voice format of Annex D.</w:t>
      </w:r>
      <w:bookmarkEnd w:id="637"/>
    </w:p>
    <w:p>
      <w:pPr>
        <w:pStyle w:val="Heading2"/>
        <w:rPr/>
      </w:pPr>
      <w:bookmarkStart w:id="638" w:name="__RefHeading___Toc4399_2903983697"/>
      <w:bookmarkStart w:id="639" w:name="a.9-spill-response-standby-positions"/>
      <w:bookmarkEnd w:id="638"/>
      <w:r>
        <w:rPr/>
        <w:t>A.9 Spill response standby positions</w:t>
      </w:r>
    </w:p>
    <w:p>
      <w:pPr>
        <w:pStyle w:val="FirstParagraph"/>
        <w:rPr/>
      </w:pPr>
      <w:bookmarkStart w:id="640" w:name="a.9-spill-response-standby-positions"/>
      <w:r>
        <w:rPr/>
        <w:t>Contracted response capacity stations at Duqm (eastern approach) and at the Musandam facility (western approach), on 2-hour notice, per Article 10.4.</w:t>
      </w:r>
      <w:bookmarkEnd w:id="640"/>
    </w:p>
    <w:p>
      <w:pPr>
        <w:pStyle w:val="Heading2"/>
        <w:rPr/>
      </w:pPr>
      <w:bookmarkStart w:id="641" w:name="__RefHeading___Toc4401_2903983697"/>
      <w:bookmarkStart w:id="642" w:name="Xa00b365e9228a2fddc96fcd510e0de2a491153f"/>
      <w:bookmarkEnd w:id="641"/>
      <w:r>
        <w:rPr/>
        <w:t>A.10 Standoff distances and the live-fire exclusion zone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Distance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combatant standoff from active lanes during transit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nautical miles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Patrol craft standoff from active lanes during transit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nautical miles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Live-fire exclusion zone from corridor centerlines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nautical miles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Exercise notification area from Governance Area boundary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nautical miles</w:t>
            </w:r>
          </w:p>
        </w:tc>
      </w:tr>
    </w:tbl>
    <w:p>
      <w:pPr>
        <w:pStyle w:val="TextBody"/>
        <w:rPr/>
      </w:pPr>
      <w:bookmarkStart w:id="643" w:name="Xa00b365e9228a2fddc96fcd510e0de2a491153f"/>
      <w:r>
        <w:rPr>
          <w:i/>
          <w:iCs/>
        </w:rPr>
        <w:t>Table A.10: The Standoff Geometry. The geometry binds every force symmetrically, per Article 18.7.</w:t>
      </w:r>
      <w:bookmarkEnd w:id="643"/>
    </w:p>
    <w:p>
      <w:pPr>
        <w:pStyle w:val="Heading1"/>
        <w:rPr/>
      </w:pPr>
      <w:bookmarkStart w:id="644" w:name="__RefHeading___Toc4403_2903983697"/>
      <w:bookmarkStart w:id="645" w:name="Xf34ac59e6007a5327ace7f8dac92d7b35b72dc9"/>
      <w:bookmarkEnd w:id="644"/>
      <w:r>
        <w:rPr/>
        <w:t>Annex B: The Evacuation Standard Operating Procedure</w:t>
      </w:r>
    </w:p>
    <w:p>
      <w:pPr>
        <w:pStyle w:val="Heading2"/>
        <w:rPr/>
      </w:pPr>
      <w:bookmarkStart w:id="646" w:name="__RefHeading___Toc4405_2903983697"/>
      <w:bookmarkStart w:id="647" w:name="b.1-activation"/>
      <w:bookmarkEnd w:id="646"/>
      <w:r>
        <w:rPr/>
        <w:t>B.1 Activation</w:t>
      </w:r>
    </w:p>
    <w:p>
      <w:pPr>
        <w:pStyle w:val="FirstParagraph"/>
        <w:rPr/>
      </w:pPr>
      <w:bookmarkStart w:id="648" w:name="b.1-activation"/>
      <w:r>
        <w:rPr/>
        <w:t>The procedure activates on entry into force. The Center issues the stand-down instruction on all working channels and the satellite fallback, in English, Persian, and Arabic, repeating at 6-hour intervals for the first 72 hours.</w:t>
      </w:r>
      <w:bookmarkEnd w:id="648"/>
    </w:p>
    <w:p>
      <w:pPr>
        <w:pStyle w:val="Heading2"/>
        <w:rPr/>
      </w:pPr>
      <w:bookmarkStart w:id="649" w:name="__RefHeading___Toc4407_2903983697"/>
      <w:bookmarkStart w:id="650" w:name="b.2-registry-intake"/>
      <w:bookmarkEnd w:id="649"/>
      <w:r>
        <w:rPr/>
        <w:t>B.2 Registry intake</w:t>
      </w:r>
    </w:p>
    <w:p>
      <w:pPr>
        <w:pStyle w:val="FirstParagraph"/>
        <w:rPr/>
      </w:pPr>
      <w:bookmarkStart w:id="651" w:name="b.2-registry-intake"/>
      <w:r>
        <w:rPr/>
        <w:t>A vessel enters the Registry by its own report, by flag-state filing, by port-state filing, or by the Center’s consolidation of IMO, UKMTO, and MICA Center data. Intake completes within 12 hours of first data receipt.</w:t>
      </w:r>
      <w:bookmarkEnd w:id="651"/>
    </w:p>
    <w:p>
      <w:pPr>
        <w:pStyle w:val="Heading2"/>
        <w:rPr/>
      </w:pPr>
      <w:bookmarkStart w:id="652" w:name="__RefHeading___Toc4409_2903983697"/>
      <w:bookmarkStart w:id="653" w:name="b.3-contact-and-routing"/>
      <w:bookmarkEnd w:id="652"/>
      <w:r>
        <w:rPr/>
        <w:t>B.3 Contact and routing</w:t>
      </w:r>
    </w:p>
    <w:p>
      <w:pPr>
        <w:pStyle w:val="FirstParagraph"/>
        <w:rPr/>
      </w:pPr>
      <w:bookmarkStart w:id="654" w:name="b.3-contact-and-routing"/>
      <w:r>
        <w:rPr/>
        <w:t>The Center contacts each vessel in the priority order of Article 8.1. The contact states: the vessel’s Registry entry; its provisions status as recorded; the route options; the hazard data; and the Waiting Area assignment. The master acknowledges by voice and confirms the operator’s route election within 24 hours.</w:t>
      </w:r>
      <w:bookmarkEnd w:id="654"/>
    </w:p>
    <w:p>
      <w:pPr>
        <w:pStyle w:val="Heading2"/>
        <w:rPr/>
      </w:pPr>
      <w:bookmarkStart w:id="655" w:name="__RefHeading___Toc4411_2903983697"/>
      <w:bookmarkStart w:id="656" w:name="b.4-movement-instruction"/>
      <w:bookmarkEnd w:id="655"/>
      <w:r>
        <w:rPr/>
        <w:t>B.4 Movement instruction</w:t>
      </w:r>
    </w:p>
    <w:p>
      <w:pPr>
        <w:pStyle w:val="FirstParagraph"/>
        <w:rPr/>
      </w:pPr>
      <w:bookmarkStart w:id="657" w:name="b.4-movement-instruction"/>
      <w:r>
        <w:rPr/>
        <w:t>The movement instruction states: route and track; speed band 8 to 12 knots; spacing 2 nautical miles; reporting points; the escorted window if elected; and the medical desk contact. The instruction issues in writing and by voice read-back.</w:t>
      </w:r>
      <w:bookmarkEnd w:id="657"/>
    </w:p>
    <w:p>
      <w:pPr>
        <w:pStyle w:val="Heading2"/>
        <w:rPr/>
      </w:pPr>
      <w:bookmarkStart w:id="658" w:name="__RefHeading___Toc4413_2903983697"/>
      <w:bookmarkStart w:id="659" w:name="b.5-underway-discipline"/>
      <w:bookmarkEnd w:id="658"/>
      <w:r>
        <w:rPr/>
        <w:t>B.5 Underway discipline</w:t>
      </w:r>
    </w:p>
    <w:p>
      <w:pPr>
        <w:pStyle w:val="FirstParagraph"/>
        <w:rPr/>
      </w:pPr>
      <w:bookmarkStart w:id="660" w:name="b.5-underway-discipline"/>
      <w:r>
        <w:rPr/>
        <w:t>The vessel reports at each reporting point: name, position, speed, next point. The Blue Safe Monitor tracks continuously. A deviation of more than 0.5 nautical miles from track generates an immediate voice query, and a sustained deviation pauses following traffic behind the vessel until the picture clarifies.</w:t>
      </w:r>
      <w:bookmarkEnd w:id="660"/>
    </w:p>
    <w:p>
      <w:pPr>
        <w:pStyle w:val="Heading2"/>
        <w:rPr/>
      </w:pPr>
      <w:bookmarkStart w:id="661" w:name="__RefHeading___Toc4415_2903983697"/>
      <w:bookmarkStart w:id="662" w:name="b.6-arrival-and-logging"/>
      <w:bookmarkEnd w:id="661"/>
      <w:r>
        <w:rPr/>
        <w:t>B.6 Arrival and logging</w:t>
      </w:r>
    </w:p>
    <w:p>
      <w:pPr>
        <w:pStyle w:val="FirstParagraph"/>
        <w:rPr/>
      </w:pPr>
      <w:bookmarkStart w:id="663" w:name="b.6-arrival-and-logging"/>
      <w:r>
        <w:rPr/>
        <w:t>On exit report, the Center logs the completed transit, updates the Registry and the Portal within one hour, and notifies the flag state and the operator.</w:t>
      </w:r>
      <w:bookmarkEnd w:id="663"/>
    </w:p>
    <w:p>
      <w:pPr>
        <w:pStyle w:val="Heading2"/>
        <w:rPr/>
      </w:pPr>
      <w:bookmarkStart w:id="664" w:name="__RefHeading___Toc4417_2903983697"/>
      <w:bookmarkStart w:id="665" w:name="b.7-crew-movement"/>
      <w:bookmarkEnd w:id="664"/>
      <w:r>
        <w:rPr/>
        <w:t>B.7 Crew movement</w:t>
      </w:r>
    </w:p>
    <w:p>
      <w:pPr>
        <w:pStyle w:val="FirstParagraph"/>
        <w:rPr/>
      </w:pPr>
      <w:bookmarkStart w:id="666" w:name="b.7-crew-movement"/>
      <w:r>
        <w:rPr/>
        <w:t>Crew repatriation and crew change execute per Annex I. Crew boats move inside the protected geometry on the same reporting discipline.</w:t>
      </w:r>
      <w:bookmarkEnd w:id="666"/>
    </w:p>
    <w:p>
      <w:pPr>
        <w:pStyle w:val="Heading2"/>
        <w:rPr/>
      </w:pPr>
      <w:bookmarkStart w:id="667" w:name="__RefHeading___Toc4419_2903983697"/>
      <w:bookmarkStart w:id="668" w:name="b.8-emergency-deviation"/>
      <w:bookmarkEnd w:id="667"/>
      <w:r>
        <w:rPr/>
        <w:t>B.8 Emergency deviation</w:t>
      </w:r>
    </w:p>
    <w:p>
      <w:pPr>
        <w:pStyle w:val="FirstParagraph"/>
        <w:rPr/>
      </w:pPr>
      <w:bookmarkStart w:id="669" w:name="b.8-emergency-deviation"/>
      <w:r>
        <w:rPr/>
        <w:t>A vessel in distress deviates from any element of this procedure on the master’s authority, declares the distress on the working channel, and receives priority response. The architecture protects the master’s distress authority absolutely.</w:t>
      </w:r>
      <w:bookmarkEnd w:id="669"/>
    </w:p>
    <w:p>
      <w:pPr>
        <w:pStyle w:val="Heading2"/>
        <w:rPr/>
      </w:pPr>
      <w:bookmarkStart w:id="670" w:name="__RefHeading___Toc4421_2903983697"/>
      <w:bookmarkStart w:id="671" w:name="b.9-the-anchor-and-verify-procedure"/>
      <w:bookmarkEnd w:id="670"/>
      <w:r>
        <w:rPr/>
        <w:t>B.9 The Anchor-and-Verify procedure</w:t>
      </w:r>
    </w:p>
    <w:p>
      <w:pPr>
        <w:pStyle w:val="FirstParagraph"/>
        <w:rPr/>
      </w:pPr>
      <w:bookmarkStart w:id="672" w:name="Xf34ac59e6007a5327ace7f8dac92d7b35b72dc9"/>
      <w:bookmarkStart w:id="673" w:name="b.9-the-anchor-and-verify-procedure"/>
      <w:r>
        <w:rPr/>
        <w:t>A documented, evidence-backed cargo question routes a vessel to a designated anchorage for resolution, never to interdiction at sea. The joint team, one flag-state inspector, one coastal-state inspector, one Neutral Passage observer, completes verification within 48 hours; the vessel resumes transit at hour 72 with any unresolved dispute continuing ashore. A referral based on nationality, ownership, or routing alone fails automatically and enters the referring Party’s record.</w:t>
      </w:r>
      <w:bookmarkEnd w:id="672"/>
      <w:bookmarkEnd w:id="673"/>
    </w:p>
    <w:p>
      <w:pPr>
        <w:pStyle w:val="Heading1"/>
        <w:rPr/>
      </w:pPr>
      <w:bookmarkStart w:id="674" w:name="__RefHeading___Toc4423_2903983697"/>
      <w:bookmarkStart w:id="675" w:name="Xa6a833f51b566c34d29ecd5104947fd0a078435"/>
      <w:bookmarkEnd w:id="674"/>
      <w:r>
        <w:rPr/>
        <w:t>Annex C: The Humanitarian Cargo Schedule and Inspection Protocol</w:t>
      </w:r>
    </w:p>
    <w:p>
      <w:pPr>
        <w:pStyle w:val="Heading2"/>
        <w:rPr/>
      </w:pPr>
      <w:bookmarkStart w:id="676" w:name="__RefHeading___Toc4425_2903983697"/>
      <w:bookmarkStart w:id="677" w:name="Xf34404e626decde57424218512179b6d701dedd"/>
      <w:bookmarkEnd w:id="676"/>
      <w:r>
        <w:rPr/>
        <w:t>C.1 Schedule 1, corridor cargo from operationalization</w:t>
      </w:r>
    </w:p>
    <w:p>
      <w:pPr>
        <w:pStyle w:val="FirstParagraph"/>
        <w:rPr/>
      </w:pPr>
      <w:bookmarkStart w:id="678" w:name="Xf34404e626decde57424218512179b6d701dedd"/>
      <w:r>
        <w:rPr/>
        <w:t>Food and food ingredients; drinking water and water purification equipment; medicine, vaccines, and medical equipment; fertilizer and its raw materials, including ammonia, urea, phosphates, and potash; sanitation equipment; shelter materials; and the personnel and equipment of established humanitarian agencies.</w:t>
      </w:r>
      <w:bookmarkEnd w:id="678"/>
    </w:p>
    <w:p>
      <w:pPr>
        <w:pStyle w:val="Heading2"/>
        <w:rPr/>
      </w:pPr>
      <w:bookmarkStart w:id="679" w:name="__RefHeading___Toc4427_2903983697"/>
      <w:bookmarkStart w:id="680" w:name="c.2-schedule-2-phase-two-additions"/>
      <w:bookmarkEnd w:id="679"/>
      <w:r>
        <w:rPr/>
        <w:t>C.2 Schedule 2, Phase Two additions</w:t>
      </w:r>
    </w:p>
    <w:p>
      <w:pPr>
        <w:pStyle w:val="FirstParagraph"/>
        <w:rPr/>
      </w:pPr>
      <w:bookmarkStart w:id="681" w:name="c.2-schedule-2-phase-two-additions"/>
      <w:r>
        <w:rPr/>
        <w:t>Grains and vegetable oils at commercial scale; animal feed; agricultural machinery and parts; cold-chain equipment and refrigerants; seeds and planting stock; construction materials for civilian shelter and water infrastructure; educational and public-health supplies.</w:t>
      </w:r>
      <w:bookmarkEnd w:id="681"/>
    </w:p>
    <w:p>
      <w:pPr>
        <w:pStyle w:val="Heading2"/>
        <w:rPr/>
      </w:pPr>
      <w:bookmarkStart w:id="682" w:name="__RefHeading___Toc4429_2903983697"/>
      <w:bookmarkStart w:id="683" w:name="c.3-excluded-cargo"/>
      <w:bookmarkEnd w:id="682"/>
      <w:r>
        <w:rPr/>
        <w:t>C.3 Excluded cargo</w:t>
      </w:r>
    </w:p>
    <w:p>
      <w:pPr>
        <w:pStyle w:val="FirstParagraph"/>
        <w:rPr/>
      </w:pPr>
      <w:bookmarkStart w:id="684" w:name="c.3-excluded-cargo"/>
      <w:r>
        <w:rPr/>
        <w:t>Weapons, ammunition, and military materiel remain excluded from the corridor in every phase, per Article 15.4.</w:t>
      </w:r>
      <w:bookmarkEnd w:id="684"/>
    </w:p>
    <w:p>
      <w:pPr>
        <w:pStyle w:val="Heading2"/>
        <w:rPr/>
      </w:pPr>
      <w:bookmarkStart w:id="685" w:name="__RefHeading___Toc4431_2903983697"/>
      <w:bookmarkStart w:id="686" w:name="c.4-the-clearance-marker"/>
      <w:bookmarkEnd w:id="685"/>
      <w:r>
        <w:rPr/>
        <w:t>C.4 The clearance marker</w:t>
      </w:r>
    </w:p>
    <w:p>
      <w:pPr>
        <w:pStyle w:val="FirstParagraph"/>
        <w:rPr/>
      </w:pPr>
      <w:bookmarkStart w:id="687" w:name="c.4-the-clearance-marker"/>
      <w:r>
        <w:rPr/>
        <w:t>The marker states: vessel identity; cargo category by Schedule line; consignee class; lane; validity window of 7 days; and the Task Force’s cryptographic signature per Article 31.2. The marker travels with the vessel and displays to every watch floor.</w:t>
      </w:r>
      <w:bookmarkEnd w:id="687"/>
    </w:p>
    <w:p>
      <w:pPr>
        <w:pStyle w:val="Heading2"/>
        <w:rPr/>
      </w:pPr>
      <w:bookmarkStart w:id="688" w:name="__RefHeading___Toc4433_2903983697"/>
      <w:bookmarkStart w:id="689" w:name="c.5-inspection-protocol"/>
      <w:bookmarkEnd w:id="688"/>
      <w:r>
        <w:rPr/>
        <w:t>C.5 Inspection protocol</w:t>
      </w:r>
    </w:p>
    <w:p>
      <w:pPr>
        <w:pStyle w:val="FirstParagraph"/>
        <w:rPr/>
      </w:pPr>
      <w:bookmarkStart w:id="690" w:name="c.5-inspection-protocol"/>
      <w:r>
        <w:rPr/>
        <w:t>Documentary verification for every cleared vessel; physical inspection on a risk basis and by lot, at loading or discharge ports, never at sea; inspector teams of not less than two United Nations monitors; inspection completion within 12 hours of vessel availability; findings filed within 24 hours.</w:t>
      </w:r>
      <w:bookmarkEnd w:id="690"/>
    </w:p>
    <w:p>
      <w:pPr>
        <w:pStyle w:val="Heading2"/>
        <w:rPr/>
      </w:pPr>
      <w:bookmarkStart w:id="691" w:name="__RefHeading___Toc4435_2903983697"/>
      <w:bookmarkStart w:id="692" w:name="c.6-misuse-of-the-humanitarian-marker"/>
      <w:bookmarkEnd w:id="691"/>
      <w:r>
        <w:rPr/>
        <w:t>C.6 Misuse of the humanitarian marker</w:t>
      </w:r>
    </w:p>
    <w:p>
      <w:pPr>
        <w:pStyle w:val="FirstParagraph"/>
        <w:rPr/>
      </w:pPr>
      <w:bookmarkStart w:id="693" w:name="Xa6a833f51b566c34d29ecd5104947fd0a078435"/>
      <w:bookmarkStart w:id="694" w:name="c.6-misuse-of-the-humanitarian-marker"/>
      <w:r>
        <w:rPr/>
        <w:t>A verified misuse of the marker classifies as a Material Disruption under Annex E, with the vessel’s future filings subject to enhanced documentary verification for 90 days and the operator’s standing noted in the record. Misuse by any state actor classifies as H-1.</w:t>
      </w:r>
      <w:bookmarkEnd w:id="693"/>
      <w:bookmarkEnd w:id="694"/>
    </w:p>
    <w:p>
      <w:pPr>
        <w:pStyle w:val="Heading1"/>
        <w:rPr/>
      </w:pPr>
      <w:bookmarkStart w:id="695" w:name="__RefHeading___Toc4437_2903983697"/>
      <w:bookmarkStart w:id="696" w:name="Xdda3bb88b6aa1aadefe7e0e4c1d5123f2b51197"/>
      <w:bookmarkEnd w:id="695"/>
      <w:r>
        <w:rPr/>
        <w:t>Annex D: The Communications, Hotline, and De-Confliction Plan</w:t>
      </w:r>
    </w:p>
    <w:p>
      <w:pPr>
        <w:pStyle w:val="Heading2"/>
        <w:rPr/>
      </w:pPr>
      <w:bookmarkStart w:id="697" w:name="__RefHeading___Toc4439_2903983697"/>
      <w:bookmarkStart w:id="698" w:name="d.1-working-channels"/>
      <w:bookmarkEnd w:id="697"/>
      <w:r>
        <w:rPr/>
        <w:t>D.1 Working channels</w:t>
      </w:r>
    </w:p>
    <w:p>
      <w:pPr>
        <w:pStyle w:val="FirstParagraph"/>
        <w:rPr/>
      </w:pPr>
      <w:bookmarkStart w:id="699" w:name="d.1-working-channels"/>
      <w:r>
        <w:rPr/>
        <w:t>The plan assigns: Channel Alpha, corridor working channel; Channel Bravo, evacuation coordination; Channel Charlie, medical desk; Channel Delta, hotline primary voice; satellite fallback transponder plan; and the secondary bridge through Bern. Frequencies and accessions publish in the operational chartlet to registered users.</w:t>
      </w:r>
      <w:bookmarkEnd w:id="699"/>
    </w:p>
    <w:p>
      <w:pPr>
        <w:pStyle w:val="Heading2"/>
        <w:rPr/>
      </w:pPr>
      <w:bookmarkStart w:id="700" w:name="__RefHeading___Toc4441_2903983697"/>
      <w:bookmarkStart w:id="701" w:name="d.2-voice-discipline"/>
      <w:bookmarkEnd w:id="700"/>
      <w:r>
        <w:rPr/>
        <w:t>D.2 Voice discipline</w:t>
      </w:r>
    </w:p>
    <w:p>
      <w:pPr>
        <w:pStyle w:val="FirstParagraph"/>
        <w:rPr/>
      </w:pPr>
      <w:bookmarkStart w:id="702" w:name="d.2-voice-discipline"/>
      <w:r>
        <w:rPr/>
        <w:t>Voice traffic follows the Standard Marine Communication Phrases: identity first, position second, intention third. The Center answers every call with identity and read-back. The English operational text governs the moment; Persian and Arabic records follow within 24 hours.</w:t>
      </w:r>
      <w:bookmarkEnd w:id="702"/>
    </w:p>
    <w:p>
      <w:pPr>
        <w:pStyle w:val="Heading2"/>
        <w:rPr/>
      </w:pPr>
      <w:bookmarkStart w:id="703" w:name="__RefHeading___Toc4443_2903983697"/>
      <w:bookmarkStart w:id="704" w:name="d.3-hotline-testing"/>
      <w:bookmarkEnd w:id="703"/>
      <w:r>
        <w:rPr/>
        <w:t>D.3 Hotline testing</w:t>
      </w:r>
    </w:p>
    <w:p>
      <w:pPr>
        <w:pStyle w:val="FirstParagraph"/>
        <w:rPr/>
      </w:pPr>
      <w:bookmarkStart w:id="705" w:name="d.3-hotline-testing"/>
      <w:r>
        <w:rPr/>
        <w:t>Each linked command tests daily at 0000 UTC; the Center logs; failures remediate within 24 hours; statistics publish weekly.</w:t>
      </w:r>
      <w:bookmarkEnd w:id="705"/>
    </w:p>
    <w:p>
      <w:pPr>
        <w:pStyle w:val="Heading2"/>
        <w:rPr/>
      </w:pPr>
      <w:bookmarkStart w:id="706" w:name="__RefHeading___Toc4445_2903983697"/>
      <w:bookmarkStart w:id="707" w:name="d.4-re-keying-protocol"/>
      <w:bookmarkEnd w:id="706"/>
      <w:r>
        <w:rPr/>
        <w:t>D.4 Re-keying protocol</w:t>
      </w:r>
    </w:p>
    <w:p>
      <w:pPr>
        <w:pStyle w:val="FirstParagraph"/>
        <w:rPr/>
      </w:pPr>
      <w:bookmarkStart w:id="708" w:name="d.4-re-keying-protocol"/>
      <w:r>
        <w:rPr/>
        <w:t>Key compromise activates re-keying within 6 hours: the Neutral Administrator issues replacement keys through the secure channel, validates with each participant by out-of-band confirmation, and logs the event for the weekly report.</w:t>
      </w:r>
      <w:bookmarkEnd w:id="708"/>
    </w:p>
    <w:p>
      <w:pPr>
        <w:pStyle w:val="Heading2"/>
        <w:rPr/>
      </w:pPr>
      <w:bookmarkStart w:id="709" w:name="__RefHeading___Toc4447_2903983697"/>
      <w:bookmarkStart w:id="710" w:name="d.5-degraded-communications-mode"/>
      <w:bookmarkEnd w:id="709"/>
      <w:r>
        <w:rPr/>
        <w:t>D.5 Degraded communications mode</w:t>
      </w:r>
    </w:p>
    <w:p>
      <w:pPr>
        <w:pStyle w:val="FirstParagraph"/>
        <w:rPr/>
      </w:pPr>
      <w:bookmarkStart w:id="711" w:name="Xdda3bb88b6aa1aadefe7e0e4c1d5123f2b51197"/>
      <w:bookmarkStart w:id="712" w:name="d.5-degraded-communications-mode"/>
      <w:r>
        <w:rPr/>
        <w:t>On failure of any primary system, voice reporting alone sustains compliance records, per Articles 21 and 36.6, and the bulletin issues by every remaining channel including satellite text broadcast.</w:t>
      </w:r>
      <w:bookmarkEnd w:id="711"/>
      <w:bookmarkEnd w:id="712"/>
    </w:p>
    <w:p>
      <w:pPr>
        <w:pStyle w:val="Heading1"/>
        <w:rPr/>
      </w:pPr>
      <w:bookmarkStart w:id="713" w:name="__RefHeading___Toc4449_2903983697"/>
      <w:bookmarkStart w:id="714" w:name="Xfb548a6e1b3e3670f9a98186ac4cbcce25a4c7f"/>
      <w:bookmarkEnd w:id="713"/>
      <w:r>
        <w:rPr/>
        <w:t>Annex E: The Incident Classification and Response Schedule</w:t>
      </w:r>
    </w:p>
    <w:p>
      <w:pPr>
        <w:pStyle w:val="Heading2"/>
        <w:rPr/>
      </w:pPr>
      <w:bookmarkStart w:id="715" w:name="__RefHeading___Toc4451_2903983697"/>
      <w:bookmarkStart w:id="716" w:name="e.1-classification-table"/>
      <w:bookmarkEnd w:id="715"/>
      <w:r>
        <w:rPr/>
        <w:t>E.1 Classification table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class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Missed hotline test; late report; corrected documentation lapse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entry; aggregation rule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 miss pattern; non-reporting; streamlining latency breach; withdrawn extra demand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Consultation in 48 hours; remediation plan in 7 days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Cyber event on safety layers; technician channel obstruction; freeze breach; resupply interference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Council session in 7 days; remediation in 14 days; full publication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permission demand on cleared vessel; Registry omission; humanitarian 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reversal; Council notice in 24 hours; restoration pathway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Interference with humanitarian or evacuation traffic; attack or seizure; asset misuse for kinetic support; collective crew detention; Covenant breach; mining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bookmarkStart w:id="717" w:name="e.1-classification-table"/>
            <w:r>
              <w:rPr>
                <w:rFonts w:eastAsia="Cambria" w:cs=""/>
                <w:kern w:val="0"/>
                <w:sz w:val="24"/>
                <w:szCs w:val="24"/>
                <w:lang w:val="en-US" w:eastAsia="en-US" w:bidi="ar-SA"/>
              </w:rPr>
              <w:t>Mandatory Council session in 5 days; reversal first; full record publication</w:t>
            </w:r>
            <w:bookmarkEnd w:id="717"/>
          </w:p>
        </w:tc>
      </w:tr>
    </w:tbl>
    <w:p>
      <w:pPr>
        <w:pStyle w:val="Heading2"/>
        <w:rPr/>
      </w:pPr>
      <w:bookmarkStart w:id="718" w:name="__RefHeading___Toc4453_2903983697"/>
      <w:bookmarkEnd w:id="718"/>
      <w:r>
        <w:rPr/>
        <w:t>E.2 Aggregation</w:t>
      </w:r>
    </w:p>
    <w:p>
      <w:pPr>
        <w:pStyle w:val="FirstParagraph"/>
        <w:rPr/>
      </w:pPr>
      <w:r>
        <w:rPr/>
        <w:t>Three M-3 events in one week aggregate to M-2. Two M-2 events in one month aggregate to M-1 for response purposes.</w:t>
      </w:r>
    </w:p>
    <w:p>
      <w:pPr>
        <w:pStyle w:val="Heading2"/>
        <w:rPr/>
      </w:pPr>
      <w:bookmarkStart w:id="719" w:name="__RefHeading___Toc4455_2903983697"/>
      <w:bookmarkStart w:id="720" w:name="e.3-observer-involvement-multiplier"/>
      <w:bookmarkEnd w:id="719"/>
      <w:r>
        <w:rPr/>
        <w:t>E.3 Observer involvement multiplier</w:t>
      </w:r>
    </w:p>
    <w:p>
      <w:pPr>
        <w:pStyle w:val="FirstParagraph"/>
        <w:rPr/>
      </w:pPr>
      <w:bookmarkStart w:id="721" w:name="e.3-observer-involvement-multiplier"/>
      <w:r>
        <w:rPr/>
        <w:t>An incident involving an observer classifies one category higher, per Article 34.3.</w:t>
      </w:r>
      <w:bookmarkEnd w:id="721"/>
    </w:p>
    <w:p>
      <w:pPr>
        <w:pStyle w:val="Heading2"/>
        <w:rPr/>
      </w:pPr>
      <w:bookmarkStart w:id="722" w:name="__RefHeading___Toc4457_2903983697"/>
      <w:bookmarkStart w:id="723" w:name="e.4-symmetry-audit"/>
      <w:bookmarkEnd w:id="722"/>
      <w:r>
        <w:rPr/>
        <w:t>E.4 Symmetry audit</w:t>
      </w:r>
    </w:p>
    <w:p>
      <w:pPr>
        <w:pStyle w:val="FirstParagraph"/>
        <w:rPr/>
      </w:pPr>
      <w:bookmarkStart w:id="724" w:name="e.4-symmetry-audit"/>
      <w:r>
        <w:rPr/>
        <w:t>The Neutral Passage Office audits classification symmetry quarterly and publishes the audit, per Article 37.4.</w:t>
      </w:r>
      <w:bookmarkEnd w:id="724"/>
    </w:p>
    <w:p>
      <w:pPr>
        <w:pStyle w:val="Heading2"/>
        <w:rPr/>
      </w:pPr>
      <w:bookmarkStart w:id="725" w:name="__RefHeading___Toc4459_2903983697"/>
      <w:bookmarkStart w:id="726" w:name="e.5-earn-back-schedule"/>
      <w:bookmarkEnd w:id="725"/>
      <w:r>
        <w:rPr/>
        <w:t>E.5 Earn-back schedule</w:t>
      </w:r>
    </w:p>
    <w:p>
      <w:pPr>
        <w:pStyle w:val="FirstParagraph"/>
        <w:rPr/>
      </w:pPr>
      <w:bookmarkStart w:id="727" w:name="e.5-earn-back-schedule"/>
      <w:r>
        <w:rPr/>
        <w:t>Restoration after M-1 completes on one verified Walkthrough Cycle; after H-2 on reversal plus one cycle; after H-1 on reversal, remediation, and two cycles, per Article 38.5.</w:t>
      </w:r>
      <w:bookmarkEnd w:id="727"/>
    </w:p>
    <w:p>
      <w:pPr>
        <w:pStyle w:val="Heading2"/>
        <w:rPr/>
      </w:pPr>
      <w:bookmarkStart w:id="728" w:name="__RefHeading___Toc4461_2903983697"/>
      <w:bookmarkStart w:id="729" w:name="e.6-arbitration-rules-reference"/>
      <w:bookmarkEnd w:id="728"/>
      <w:r>
        <w:rPr/>
        <w:t>E.6 Arbitration rules reference</w:t>
      </w:r>
    </w:p>
    <w:p>
      <w:pPr>
        <w:pStyle w:val="FirstParagraph"/>
        <w:rPr/>
      </w:pPr>
      <w:bookmarkStart w:id="730" w:name="Xfb548a6e1b3e3670f9a98186ac4cbcce25a4c7f"/>
      <w:bookmarkStart w:id="731" w:name="e.6-arbitration-rules-reference"/>
      <w:r>
        <w:rPr/>
        <w:t>Tier four arbitration proceeds under the Permanent Court of Arbitration Rules then in force, with the seat at The Hague and the language English, per Article 39.5.</w:t>
      </w:r>
      <w:bookmarkEnd w:id="730"/>
      <w:bookmarkEnd w:id="731"/>
    </w:p>
    <w:p>
      <w:pPr>
        <w:pStyle w:val="Heading1"/>
        <w:rPr/>
      </w:pPr>
      <w:bookmarkStart w:id="732" w:name="__RefHeading___Toc4463_2903983697"/>
      <w:bookmarkStart w:id="733" w:name="Xf5f5b558067f06c238f48fb7680ee40bb99ecf6"/>
      <w:bookmarkEnd w:id="732"/>
      <w:r>
        <w:rPr/>
        <w:t>Annex F: The Humanitarian Red Lines Register (Full Operative Text)</w:t>
      </w:r>
    </w:p>
    <w:p>
      <w:pPr>
        <w:pStyle w:val="Heading2"/>
        <w:rPr/>
      </w:pPr>
      <w:bookmarkStart w:id="734" w:name="__RefHeading___Toc4465_2903983697"/>
      <w:bookmarkStart w:id="735" w:name="f.1-form-of-entries"/>
      <w:bookmarkEnd w:id="734"/>
      <w:r>
        <w:rPr/>
        <w:t>F.1 Form of entries</w:t>
      </w:r>
    </w:p>
    <w:p>
      <w:pPr>
        <w:pStyle w:val="FirstParagraph"/>
        <w:rPr/>
      </w:pPr>
      <w:bookmarkStart w:id="736" w:name="f.1-form-of-entries"/>
      <w:r>
        <w:rPr/>
        <w:t>Each entry states the line, the protected interest, and the architectural safeguard. The entries bind the framework’s organs and officers directly.</w:t>
      </w:r>
      <w:bookmarkEnd w:id="736"/>
    </w:p>
    <w:p>
      <w:pPr>
        <w:pStyle w:val="Heading2"/>
        <w:rPr/>
      </w:pPr>
      <w:bookmarkStart w:id="737" w:name="__RefHeading___Toc4467_2903983697"/>
      <w:bookmarkStart w:id="738" w:name="f.2-the-fourteen-lines"/>
      <w:bookmarkEnd w:id="737"/>
      <w:r>
        <w:rPr/>
        <w:t>F.2 The fourteen lines</w:t>
      </w:r>
    </w:p>
    <w:p>
      <w:pPr>
        <w:pStyle w:val="FirstParagraph"/>
        <w:rPr/>
      </w:pPr>
      <w:r>
        <w:rPr/>
        <w:t>RL-1: Humanitarian, medical, and distress traffic moves in every flow state, every dispute, every pause, and every transition. Protected interest: the human beings the Framework exists to serve. Safeguard: Articles 3, 16.5, 37.3, 38.4.</w:t>
      </w:r>
    </w:p>
    <w:p>
      <w:pPr>
        <w:pStyle w:val="TextBody"/>
        <w:rPr/>
      </w:pPr>
      <w:r>
        <w:rPr/>
        <w:t>RL-2: No seafarer faces detention, interrogation, or prosecution for the act of transiting the Strait during the conflict. Protected interest: the neutrality of labor at sea. Safeguard: Article 9.6.</w:t>
      </w:r>
    </w:p>
    <w:p>
      <w:pPr>
        <w:pStyle w:val="TextBody"/>
        <w:rPr/>
      </w:pPr>
      <w:r>
        <w:rPr/>
        <w:t>RL-3: Every stranded crew holds an immediate, unconditional claim on food, water, medical care, and a route home. Protected interest: the seafarers. Safeguard: Articles 7, 8.4, 9.1, 25.</w:t>
      </w:r>
    </w:p>
    <w:p>
      <w:pPr>
        <w:pStyle w:val="TextBody"/>
        <w:rPr/>
      </w:pPr>
      <w:r>
        <w:rPr/>
        <w:t>RL-4: No vessel carrying verified humanitarian cargo waits on permission from any Party once the United Nations mechanism clears it. Protected interest: the integrity of the clearance system. Safeguard: Article 14.2.</w:t>
      </w:r>
    </w:p>
    <w:p>
      <w:pPr>
        <w:pStyle w:val="TextBody"/>
        <w:rPr/>
      </w:pPr>
      <w:r>
        <w:rPr/>
        <w:t>RL-5: The architecture excludes every charge that functions as a condition of humanitarian passage. Protected interest: the gratuity of relief. Safeguard: Article 12.5.</w:t>
      </w:r>
    </w:p>
    <w:p>
      <w:pPr>
        <w:pStyle w:val="TextBody"/>
        <w:rPr/>
      </w:pPr>
      <w:r>
        <w:rPr/>
        <w:t>RL-6: The Framework’s operational bodies remain civilian. Protected interest: the separation of humanitarian machinery from military machinery. Safeguard: Article 33.6.</w:t>
      </w:r>
    </w:p>
    <w:p>
      <w:pPr>
        <w:pStyle w:val="TextBody"/>
        <w:rPr/>
      </w:pPr>
      <w:r>
        <w:rPr/>
        <w:t>RL-7: No corridor, lane, anchorage, or waiting area closes to humanitarian traffic because of events on any other track. Protected interest: parallel-track independence. Safeguard: Article 42.2.</w:t>
      </w:r>
    </w:p>
    <w:p>
      <w:pPr>
        <w:pStyle w:val="TextBody"/>
        <w:rPr/>
      </w:pPr>
      <w:r>
        <w:rPr/>
        <w:t>RL-8: Each Party’s sovereignty over its own waters stands intact. Protected interest: sovereign equality. Safeguard: Articles 1.3, 2.1, 2.7.</w:t>
      </w:r>
    </w:p>
    <w:p>
      <w:pPr>
        <w:pStyle w:val="TextBody"/>
        <w:rPr/>
      </w:pPr>
      <w:r>
        <w:rPr/>
        <w:t>RL-9: No humanitarian commitment expires, lapses, or dilutes by time, silence, or routine. Protected interest: durability. Safeguard: Article 6.</w:t>
      </w:r>
    </w:p>
    <w:p>
      <w:pPr>
        <w:pStyle w:val="TextBody"/>
        <w:rPr/>
      </w:pPr>
      <w:r>
        <w:rPr/>
        <w:t>RL-10: No finding of fact rests on a single input. Protected interest: the integrity of the record. Safeguard: Article 36.2.</w:t>
      </w:r>
    </w:p>
    <w:p>
      <w:pPr>
        <w:pStyle w:val="TextBody"/>
        <w:rPr/>
      </w:pPr>
      <w:r>
        <w:rPr/>
        <w:t>RL-11: Framework assets, data, channels, and corridors never support kinetic action by any actor. Protected interest: the civilian character of the safety picture. Safeguard: Article 18.9.</w:t>
      </w:r>
    </w:p>
    <w:p>
      <w:pPr>
        <w:pStyle w:val="TextBody"/>
        <w:rPr/>
      </w:pPr>
      <w:r>
        <w:rPr/>
        <w:t>RL-12: The stand-down binds symmetrically, and no humanitarian measure yields military advantage to any Party. Protected interest: mutual architecture. Safeguard: Articles 18.7, 19.5.</w:t>
      </w:r>
    </w:p>
    <w:p>
      <w:pPr>
        <w:pStyle w:val="TextBody"/>
        <w:rPr/>
      </w:pPr>
      <w:r>
        <w:rPr/>
        <w:t>RL-13: No single state governs the humanitarian architecture alone, and no external state or body commands any element of it. Protected interest: shared governance. Safeguard: Articles 32, 35.</w:t>
      </w:r>
    </w:p>
    <w:p>
      <w:pPr>
        <w:pStyle w:val="TextBody"/>
        <w:rPr/>
      </w:pPr>
      <w:bookmarkStart w:id="739" w:name="f.2-the-fourteen-lines"/>
      <w:r>
        <w:rPr/>
        <w:t>RL-14: The evacuation of seafarers never waits on the settlement of any political question. Protected interest: the primacy of rescue. Safeguard: Article 7.7.</w:t>
      </w:r>
      <w:bookmarkEnd w:id="739"/>
    </w:p>
    <w:p>
      <w:pPr>
        <w:pStyle w:val="Heading2"/>
        <w:rPr/>
      </w:pPr>
      <w:bookmarkStart w:id="740" w:name="__RefHeading___Toc4469_2903983697"/>
      <w:bookmarkStart w:id="741" w:name="f.3-perimeter-test-procedure"/>
      <w:bookmarkEnd w:id="740"/>
      <w:r>
        <w:rPr/>
        <w:t>F.3 Perimeter Test procedure</w:t>
      </w:r>
    </w:p>
    <w:p>
      <w:pPr>
        <w:pStyle w:val="FirstParagraph"/>
        <w:rPr/>
      </w:pPr>
      <w:bookmarkStart w:id="742" w:name="Xf5f5b558067f06c238f48fb7680ee40bb99ecf6"/>
      <w:bookmarkStart w:id="743" w:name="f.3-perimeter-test-procedure"/>
      <w:r>
        <w:rPr/>
        <w:t>The legal desk screens every measure against every entry in turn; the test attaches to the measure in the Council record; a crossing measure fails automatically; the Neutral Passage Office receives every test and reports annually on Register integrity.</w:t>
      </w:r>
      <w:bookmarkEnd w:id="742"/>
      <w:bookmarkEnd w:id="743"/>
    </w:p>
    <w:p>
      <w:pPr>
        <w:pStyle w:val="Heading1"/>
        <w:rPr/>
      </w:pPr>
      <w:bookmarkStart w:id="744" w:name="__RefHeading___Toc4471_2903983697"/>
      <w:bookmarkStart w:id="745" w:name="Xb9b627d526c66489429849da2aa73e0c08659c4"/>
      <w:bookmarkEnd w:id="744"/>
      <w:r>
        <w:rPr/>
        <w:t>Annex G: Notification Formats and Model Forms</w:t>
      </w:r>
    </w:p>
    <w:p>
      <w:pPr>
        <w:pStyle w:val="Heading2"/>
        <w:rPr/>
      </w:pPr>
      <w:bookmarkStart w:id="746" w:name="__RefHeading___Toc4473_2903983697"/>
      <w:bookmarkStart w:id="747" w:name="g.1-the-movement-instruction-form"/>
      <w:bookmarkEnd w:id="746"/>
      <w:r>
        <w:rPr/>
        <w:t>G.1 The movement instruction form</w:t>
      </w:r>
    </w:p>
    <w:p>
      <w:pPr>
        <w:pStyle w:val="FirstParagraph"/>
        <w:rPr/>
      </w:pPr>
      <w:bookmarkStart w:id="748" w:name="g.1-the-movement-instruction-form"/>
      <w:r>
        <w:rPr/>
        <w:t>Fields: vessel identity; Registry number; route election; track and waypoints; speed band; spacing; reporting points; escorted window election; medical desk contact; issuing duty officer pair; cryptographic signature.</w:t>
      </w:r>
      <w:bookmarkEnd w:id="748"/>
    </w:p>
    <w:p>
      <w:pPr>
        <w:pStyle w:val="Heading2"/>
        <w:rPr/>
      </w:pPr>
      <w:bookmarkStart w:id="749" w:name="__RefHeading___Toc4475_2903983697"/>
      <w:bookmarkStart w:id="750" w:name="g.2-the-humanitarian-cargo-declaration"/>
      <w:bookmarkEnd w:id="749"/>
      <w:r>
        <w:rPr/>
        <w:t>G.2 The humanitarian cargo declaration</w:t>
      </w:r>
    </w:p>
    <w:p>
      <w:pPr>
        <w:pStyle w:val="FirstParagraph"/>
        <w:rPr/>
      </w:pPr>
      <w:bookmarkStart w:id="751" w:name="g.2-the-humanitarian-cargo-declaration"/>
      <w:r>
        <w:rPr/>
        <w:t>Fields: vessel; operator; cargo by Schedule line; consignee class; loading and discharge ports; agent attestations; the declaration of excluded-cargo compliance.</w:t>
      </w:r>
      <w:bookmarkEnd w:id="751"/>
    </w:p>
    <w:p>
      <w:pPr>
        <w:pStyle w:val="Heading2"/>
        <w:rPr/>
      </w:pPr>
      <w:bookmarkStart w:id="752" w:name="__RefHeading___Toc4477_2903983697"/>
      <w:bookmarkStart w:id="753" w:name="g.3-the-resupply-request-form"/>
      <w:bookmarkEnd w:id="752"/>
      <w:r>
        <w:rPr/>
        <w:t>G.3 The resupply request form</w:t>
      </w:r>
    </w:p>
    <w:p>
      <w:pPr>
        <w:pStyle w:val="FirstParagraph"/>
        <w:rPr/>
      </w:pPr>
      <w:bookmarkStart w:id="754" w:name="g.3-the-resupply-request-form"/>
      <w:r>
        <w:rPr/>
        <w:t>Fields: vessel; position; needs by provisions category in days forward; medical needs; preferred facility; boat availability.</w:t>
      </w:r>
      <w:bookmarkEnd w:id="754"/>
    </w:p>
    <w:p>
      <w:pPr>
        <w:pStyle w:val="Heading2"/>
        <w:rPr/>
      </w:pPr>
      <w:bookmarkStart w:id="755" w:name="__RefHeading___Toc4479_2903983697"/>
      <w:bookmarkStart w:id="756" w:name="g.4-the-technician-access-two-part-form"/>
      <w:bookmarkEnd w:id="755"/>
      <w:r>
        <w:rPr/>
        <w:t>G.4 The technician access two-part form</w:t>
      </w:r>
    </w:p>
    <w:p>
      <w:pPr>
        <w:pStyle w:val="FirstParagraph"/>
        <w:rPr/>
      </w:pPr>
      <w:bookmarkStart w:id="757" w:name="g.4-the-technician-access-two-part-form"/>
      <w:r>
        <w:rPr/>
        <w:t>Part one: technicians, nationalities, specialties, employer, vessel, work scope. Part two: parts and tools, stated by description and vessel application.</w:t>
      </w:r>
      <w:bookmarkEnd w:id="757"/>
    </w:p>
    <w:p>
      <w:pPr>
        <w:pStyle w:val="Heading2"/>
        <w:rPr/>
      </w:pPr>
      <w:bookmarkStart w:id="758" w:name="__RefHeading___Toc4481_2903983697"/>
      <w:bookmarkStart w:id="759" w:name="g.5-standing-invitations"/>
      <w:bookmarkEnd w:id="758"/>
      <w:r>
        <w:rPr/>
        <w:t>G.5 Standing invitations</w:t>
      </w:r>
    </w:p>
    <w:p>
      <w:pPr>
        <w:pStyle w:val="FirstParagraph"/>
        <w:rPr/>
      </w:pPr>
      <w:bookmarkStart w:id="760" w:name="g.5-standing-invitations"/>
      <w:r>
        <w:rPr/>
        <w:t>Standing observer invitations extend to the European Union, the United Kingdom, the Republic of India, the People’s Republic of China, Japan, and the Republic of Korea, per Article 44.4. Model instruments of accession, endorsement, and observer acceptance follow the Depositary’s published templates.</w:t>
      </w:r>
      <w:bookmarkEnd w:id="760"/>
    </w:p>
    <w:p>
      <w:pPr>
        <w:pStyle w:val="Heading2"/>
        <w:rPr/>
      </w:pPr>
      <w:bookmarkStart w:id="761" w:name="__RefHeading___Toc4483_2903983697"/>
      <w:bookmarkStart w:id="762" w:name="g.6-the-incident-report-form"/>
      <w:bookmarkEnd w:id="761"/>
      <w:r>
        <w:rPr/>
        <w:t>G.6 The incident report form</w:t>
      </w:r>
    </w:p>
    <w:p>
      <w:pPr>
        <w:pStyle w:val="FirstParagraph"/>
        <w:rPr/>
      </w:pPr>
      <w:bookmarkStart w:id="763" w:name="Xb9b627d526c66489429849da2aa73e0c08659c4"/>
      <w:bookmarkStart w:id="764" w:name="g.6-the-incident-report-form"/>
      <w:r>
        <w:rPr/>
        <w:t>Fields per Article 29.2: vessel identity and flag; position and time; nature of incident; response actions; casualties and damage; contact point.</w:t>
      </w:r>
      <w:bookmarkEnd w:id="763"/>
      <w:bookmarkEnd w:id="764"/>
    </w:p>
    <w:p>
      <w:pPr>
        <w:pStyle w:val="Heading1"/>
        <w:rPr/>
      </w:pPr>
      <w:bookmarkStart w:id="765" w:name="__RefHeading___Toc4485_2903983697"/>
      <w:bookmarkStart w:id="766" w:name="Xf480ef918dc0a54c8984baf200577e8f1726345"/>
      <w:bookmarkEnd w:id="765"/>
      <w:r>
        <w:rPr/>
        <w:t>Annex H: The Implementation Timeline and Activation Checklists</w:t>
      </w:r>
    </w:p>
    <w:p>
      <w:pPr>
        <w:pStyle w:val="Heading2"/>
        <w:rPr/>
      </w:pPr>
      <w:bookmarkStart w:id="767" w:name="__RefHeading___Toc4487_2903983697"/>
      <w:bookmarkStart w:id="768" w:name="h.1-the-master-clock"/>
      <w:bookmarkEnd w:id="767"/>
      <w:r>
        <w:rPr/>
        <w:t>H.1 The master clock</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Mark</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Signature; entry into force; stand-down and freeze effective; ceasefire begins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 first test; stand-down instruction to all stranded vessels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 24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 answer standard verified across all participants; medical desk live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 48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Stranded Vessel and Crew Registry open; Detained Vessel filing window open; families’ desk live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 72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evacuation movements; first posture statements filed; survey group embarked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Clearing office staffed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at first four 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Clearance marker system live; Portal fully public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cleared humanitarian transit; first Walkthrough Cycle complete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Repatriation hubs at full throughput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segments certified on survey schedule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30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Detained crew releases complete; ceasefire renews by silence; thirty-day review convenes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45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Tonnage floor step-up review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60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bookmarkStart w:id="769" w:name="h.1-the-master-clock"/>
            <w:r>
              <w:rPr>
                <w:rFonts w:eastAsia="Cambria" w:cs=""/>
                <w:kern w:val="0"/>
                <w:sz w:val="24"/>
                <w:szCs w:val="24"/>
                <w:lang w:val="en-US" w:eastAsia="en-US" w:bidi="ar-SA"/>
              </w:rPr>
              <w:t>Evacuation completion target; Phase Two eligibility assessment</w:t>
            </w:r>
            <w:bookmarkEnd w:id="769"/>
          </w:p>
        </w:tc>
      </w:tr>
    </w:tbl>
    <w:p>
      <w:pPr>
        <w:pStyle w:val="Heading2"/>
        <w:rPr/>
      </w:pPr>
      <w:bookmarkStart w:id="770" w:name="__RefHeading___Toc4489_2903983697"/>
      <w:bookmarkEnd w:id="770"/>
      <w:r>
        <w:rPr/>
        <w:t>H.2 Activation checklists</w:t>
      </w:r>
    </w:p>
    <w:p>
      <w:pPr>
        <w:pStyle w:val="FirstParagraph"/>
        <w:rPr/>
      </w:pPr>
      <w:bookmarkStart w:id="771" w:name="Xf480ef918dc0a54c8984baf200577e8f1726345"/>
      <w:r>
        <w:rPr/>
        <w:t>Annex H carries, in its operational edition, the detailed activation checklists for the Center, the mirror facility, the clearing office, the monitor teams, the hubs, the water points, and the spill standby, each stating the responsible officer, the verification step, and the clock.</w:t>
      </w:r>
      <w:bookmarkEnd w:id="771"/>
    </w:p>
    <w:p>
      <w:pPr>
        <w:pStyle w:val="Heading1"/>
        <w:rPr/>
      </w:pPr>
      <w:bookmarkStart w:id="772" w:name="__RefHeading___Toc4491_2903983697"/>
      <w:bookmarkStart w:id="773" w:name="X9ed88e8df5a84ff53d2597c21f7917b34b6e1c2"/>
      <w:bookmarkEnd w:id="772"/>
      <w:r>
        <w:rPr/>
        <w:t>Annex I: The Repatriation and Crew Change Operations Plan</w:t>
      </w:r>
    </w:p>
    <w:p>
      <w:pPr>
        <w:pStyle w:val="Heading2"/>
        <w:rPr/>
      </w:pPr>
      <w:bookmarkStart w:id="774" w:name="__RefHeading___Toc4493_2903983697"/>
      <w:bookmarkStart w:id="775" w:name="i.1-hubs"/>
      <w:bookmarkEnd w:id="774"/>
      <w:r>
        <w:rPr/>
        <w:t>I.1 Hubs</w:t>
      </w:r>
    </w:p>
    <w:p>
      <w:pPr>
        <w:pStyle w:val="FirstParagraph"/>
        <w:rPr/>
      </w:pPr>
      <w:bookmarkStart w:id="776" w:name="i.1-hubs"/>
      <w:r>
        <w:rPr/>
        <w:t>Muscat and Salalah (Oman), Doha (Qatar), and Bandar Abbas (Iran) operate as repatriation hubs, with the International Organization for Migration operating reception, documentation, medical screening, ticketing, and transit accommodation.</w:t>
      </w:r>
      <w:bookmarkEnd w:id="776"/>
    </w:p>
    <w:p>
      <w:pPr>
        <w:pStyle w:val="Heading2"/>
        <w:rPr/>
      </w:pPr>
      <w:bookmarkStart w:id="777" w:name="__RefHeading___Toc4495_2903983697"/>
      <w:bookmarkStart w:id="778" w:name="i.2-throughput-standard"/>
      <w:bookmarkEnd w:id="777"/>
      <w:r>
        <w:rPr/>
        <w:t>I.2 Throughput standard</w:t>
      </w:r>
    </w:p>
    <w:p>
      <w:pPr>
        <w:pStyle w:val="FirstParagraph"/>
        <w:rPr/>
      </w:pPr>
      <w:bookmarkStart w:id="779" w:name="i.2-throughput-standard"/>
      <w:r>
        <w:rPr/>
        <w:t>Each hub processes a seafarer from arrival to onward departure within 72 hours under ordinary conditions, publishing daily throughput and backlog to the Portal.</w:t>
      </w:r>
      <w:bookmarkEnd w:id="779"/>
    </w:p>
    <w:p>
      <w:pPr>
        <w:pStyle w:val="Heading2"/>
        <w:rPr/>
      </w:pPr>
      <w:bookmarkStart w:id="780" w:name="__RefHeading___Toc4497_2903983697"/>
      <w:bookmarkStart w:id="781" w:name="i.3-cost-coverage"/>
      <w:bookmarkEnd w:id="780"/>
      <w:r>
        <w:rPr/>
        <w:t>I.3 Cost coverage</w:t>
      </w:r>
    </w:p>
    <w:p>
      <w:pPr>
        <w:pStyle w:val="FirstParagraph"/>
        <w:rPr/>
      </w:pPr>
      <w:bookmarkStart w:id="782" w:name="i.3-cost-coverage"/>
      <w:r>
        <w:rPr/>
        <w:t>Flag states and the IMO emergency fund bear repatriation costs; the Humanitarian Operations Fund covers documented gaps within 48 hours; no seafarer bears any cost at any point.</w:t>
      </w:r>
      <w:bookmarkEnd w:id="782"/>
    </w:p>
    <w:p>
      <w:pPr>
        <w:pStyle w:val="Heading2"/>
        <w:rPr/>
      </w:pPr>
      <w:bookmarkStart w:id="783" w:name="__RefHeading___Toc4499_2903983697"/>
      <w:bookmarkStart w:id="784" w:name="i.4-crew-change-discipline"/>
      <w:bookmarkEnd w:id="783"/>
      <w:r>
        <w:rPr/>
        <w:t>I.4 Crew change discipline</w:t>
      </w:r>
    </w:p>
    <w:p>
      <w:pPr>
        <w:pStyle w:val="FirstParagraph"/>
        <w:rPr/>
      </w:pPr>
      <w:bookmarkStart w:id="785" w:name="i.4-crew-change-discipline"/>
      <w:r>
        <w:rPr/>
        <w:t>Crew changes follow the protected geometry, the notification discipline, and the 72-hour documentation maximum of Article 8.3. Relief personnel embark through the same hubs.</w:t>
      </w:r>
      <w:bookmarkEnd w:id="785"/>
    </w:p>
    <w:p>
      <w:pPr>
        <w:pStyle w:val="Heading2"/>
        <w:rPr/>
      </w:pPr>
      <w:bookmarkStart w:id="786" w:name="__RefHeading___Toc4501_2903983697"/>
      <w:bookmarkStart w:id="787" w:name="i.5-vulnerable-seafarers"/>
      <w:bookmarkEnd w:id="786"/>
      <w:r>
        <w:rPr/>
        <w:t>I.5 Vulnerable seafarers</w:t>
      </w:r>
    </w:p>
    <w:p>
      <w:pPr>
        <w:pStyle w:val="FirstParagraph"/>
        <w:rPr/>
      </w:pPr>
      <w:bookmarkStart w:id="788" w:name="X9ed88e8df5a84ff53d2597c21f7917b34b6e1c2"/>
      <w:bookmarkStart w:id="789" w:name="i.5-vulnerable-seafarers"/>
      <w:r>
        <w:rPr/>
        <w:t>Seafarers with medical conditions, seafarers whose documentation the conflict has destroyed, and seafarers of states without consular presence receive priority case management through the families’ desk and the hub welfare officers.</w:t>
      </w:r>
      <w:bookmarkEnd w:id="788"/>
      <w:bookmarkEnd w:id="789"/>
    </w:p>
    <w:p>
      <w:pPr>
        <w:pStyle w:val="Heading1"/>
        <w:rPr/>
      </w:pPr>
      <w:bookmarkStart w:id="790" w:name="__RefHeading___Toc4503_2903983697"/>
      <w:bookmarkStart w:id="791" w:name="Xdef9ab57942c859424a20b60fc8b88e21f1dd38"/>
      <w:bookmarkEnd w:id="790"/>
      <w:r>
        <w:rPr/>
        <w:t>Annex J: Glossary and Neutral Terminology Register</w:t>
      </w:r>
    </w:p>
    <w:p>
      <w:pPr>
        <w:pStyle w:val="Heading2"/>
        <w:rPr/>
      </w:pPr>
      <w:bookmarkStart w:id="792" w:name="__RefHeading___Toc4505_2903983697"/>
      <w:bookmarkStart w:id="793" w:name="j.1-register-purpose"/>
      <w:bookmarkEnd w:id="792"/>
      <w:r>
        <w:rPr/>
        <w:t>J.1 Register purpose</w:t>
      </w:r>
    </w:p>
    <w:p>
      <w:pPr>
        <w:pStyle w:val="FirstParagraph"/>
        <w:rPr/>
      </w:pPr>
      <w:bookmarkStart w:id="794" w:name="j.1-register-purpose"/>
      <w:r>
        <w:rPr/>
        <w:t>The register fixes neutral operational vocabulary so that every watch floor, desk, and desk officer speaks the same language. The register binds operational drafting and communications.</w:t>
      </w:r>
      <w:bookmarkEnd w:id="794"/>
    </w:p>
    <w:p>
      <w:pPr>
        <w:pStyle w:val="Heading2"/>
        <w:rPr/>
      </w:pPr>
      <w:bookmarkStart w:id="795" w:name="__RefHeading___Toc4507_2903983697"/>
      <w:bookmarkStart w:id="796" w:name="j.2-selected-entries"/>
      <w:bookmarkEnd w:id="795"/>
      <w:r>
        <w:rPr/>
        <w:t>J.2 Selected entries</w:t>
      </w:r>
    </w:p>
    <w:p>
      <w:pPr>
        <w:pStyle w:val="FirstParagraph"/>
        <w:rPr/>
      </w:pPr>
      <w:bookmarkStart w:id="797" w:name="j.2-selected-entries"/>
      <w:r>
        <w:rPr/>
        <w:t>Calm: the Framework status line denoting operations within all standards. Irregular: the status line denoting a logged deviation under review. Investigating: the status line denoting an open incident review. Cleared vessel: a vessel holding a valid clearance marker. Standing: a Party’s position in the compliance record. Walkthrough Cycle: the seven-day rhythm of Article 41.2.</w:t>
      </w:r>
      <w:bookmarkEnd w:id="797"/>
    </w:p>
    <w:p>
      <w:pPr>
        <w:pStyle w:val="Heading2"/>
        <w:rPr/>
      </w:pPr>
      <w:bookmarkStart w:id="798" w:name="__RefHeading___Toc4509_2903983697"/>
      <w:bookmarkStart w:id="799" w:name="Xe0da427ee36a6446217c30eef3e3f0970c85795"/>
      <w:bookmarkEnd w:id="798"/>
      <w:r>
        <w:rPr/>
        <w:t>J.3 Prohibited vocabulary in operational products</w:t>
      </w:r>
    </w:p>
    <w:p>
      <w:pPr>
        <w:pStyle w:val="FirstParagraph"/>
        <w:rPr/>
      </w:pPr>
      <w:bookmarkStart w:id="800" w:name="Xdef9ab57942c859424a20b60fc8b88e21f1dd38"/>
      <w:bookmarkStart w:id="801" w:name="Xe0da427ee36a6446217c30eef3e3f0970c85795"/>
      <w:r>
        <w:rPr/>
        <w:t>Operational products avoid vocabulary of concession, capitulation, victory, or humiliation. The record describes events, classifications, and restorations in the neutral register only.</w:t>
      </w:r>
      <w:bookmarkEnd w:id="800"/>
      <w:bookmarkEnd w:id="801"/>
    </w:p>
    <w:p>
      <w:pPr>
        <w:pStyle w:val="Heading1"/>
        <w:rPr/>
      </w:pPr>
      <w:bookmarkStart w:id="802" w:name="__RefHeading___Toc4511_2903983697"/>
      <w:bookmarkStart w:id="803" w:name="X20d644476b6c27183fffa1dd6d9b551b39363e6"/>
      <w:bookmarkEnd w:id="802"/>
      <w:r>
        <w:rPr/>
        <w:t>Annex K: The Risk Register and Stress-Test Scenarios</w:t>
      </w:r>
    </w:p>
    <w:p>
      <w:pPr>
        <w:pStyle w:val="Heading2"/>
        <w:rPr/>
      </w:pPr>
      <w:bookmarkStart w:id="804" w:name="__RefHeading___Toc4513_2903983697"/>
      <w:bookmarkStart w:id="805" w:name="k.1-method"/>
      <w:bookmarkEnd w:id="804"/>
      <w:r>
        <w:rPr/>
        <w:t>K.1 Method</w:t>
      </w:r>
    </w:p>
    <w:p>
      <w:pPr>
        <w:pStyle w:val="FirstParagraph"/>
        <w:rPr/>
      </w:pPr>
      <w:bookmarkStart w:id="806" w:name="k.1-method"/>
      <w:r>
        <w:rPr/>
        <w:t>The register names the Framework’s principal failure modes and states, for each, the architectural answer already built into the instrument.</w:t>
      </w:r>
      <w:bookmarkEnd w:id="806"/>
    </w:p>
    <w:p>
      <w:pPr>
        <w:pStyle w:val="Heading2"/>
        <w:rPr/>
      </w:pPr>
      <w:bookmarkStart w:id="807" w:name="__RefHeading___Toc4515_2903983697"/>
      <w:bookmarkStart w:id="808" w:name="k.2-principal-risks"/>
      <w:bookmarkEnd w:id="807"/>
      <w:r>
        <w:rPr/>
        <w:t>K.2 Principal risks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Risk</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Architectural answer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Resumption of hostilities around the lanes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38.6; lane sanctuaries of Article 18.3; continuous humanitarian operation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mine strike in a corridor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Suspended Flow discipline; rerouting; joint clearance under observation; certification before reopening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Collapse of the strategic track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42.2 parallel independence; Continuity Guarantee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Spoofed instructions or markers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31.2 authentication; re-keying protocol; voice read-back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Steering of route elections by a Party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7.4 audit; equal data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marker abuse at scale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Annex C.6 enhanced verification; H-1 classification for state actors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Institutional deadlock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35.6 default continuity; Article 44.6 institutional failure mode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Funding shortfall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bookmarkStart w:id="809" w:name="k.2-principal-risks"/>
            <w:r>
              <w:rPr>
                <w:rFonts w:eastAsia="Cambria" w:cs=""/>
                <w:kern w:val="0"/>
                <w:sz w:val="24"/>
                <w:szCs w:val="24"/>
                <w:lang w:val="en-US" w:eastAsia="en-US" w:bidi="ar-SA"/>
              </w:rPr>
              <w:t>Order of calls of Article 43.2; gap coverage rule; published accounts</w:t>
            </w:r>
            <w:bookmarkEnd w:id="809"/>
          </w:p>
        </w:tc>
      </w:tr>
    </w:tbl>
    <w:p>
      <w:pPr>
        <w:pStyle w:val="Heading2"/>
        <w:rPr/>
      </w:pPr>
      <w:bookmarkStart w:id="810" w:name="__RefHeading___Toc4517_2903983697"/>
      <w:bookmarkEnd w:id="810"/>
      <w:r>
        <w:rPr/>
        <w:t>K.3 Stress-test program</w:t>
      </w:r>
    </w:p>
    <w:p>
      <w:pPr>
        <w:pStyle w:val="FirstParagraph"/>
        <w:rPr/>
      </w:pPr>
      <w:bookmarkStart w:id="811" w:name="X20d644476b6c27183fffa1dd6d9b551b39363e6"/>
      <w:r>
        <w:rPr/>
        <w:t>Every watchkeeper, observer, and desk officer completes annual simulation training covering the register’s scenarios, the incident review protocol, and the Pause drill. Training records publish in aggregate.</w:t>
      </w:r>
      <w:bookmarkEnd w:id="811"/>
    </w:p>
    <w:p>
      <w:pPr>
        <w:pStyle w:val="Heading1"/>
        <w:rPr/>
      </w:pPr>
      <w:bookmarkStart w:id="812" w:name="__RefHeading___Toc4519_2903983697"/>
      <w:bookmarkStart w:id="813" w:name="X650c82ffe2e23e8a4d29576a7404328d6b82848"/>
      <w:bookmarkEnd w:id="812"/>
      <w:r>
        <w:rPr/>
        <w:t>Annex L: The Humanitarian Operations Fund Charter</w:t>
      </w:r>
    </w:p>
    <w:p>
      <w:pPr>
        <w:pStyle w:val="Heading2"/>
        <w:rPr/>
      </w:pPr>
      <w:bookmarkStart w:id="814" w:name="__RefHeading___Toc4521_2903983697"/>
      <w:bookmarkStart w:id="815" w:name="l.1-legal-form-and-seat"/>
      <w:bookmarkEnd w:id="814"/>
      <w:r>
        <w:rPr/>
        <w:t>L.1 Legal form and seat</w:t>
      </w:r>
    </w:p>
    <w:p>
      <w:pPr>
        <w:pStyle w:val="FirstParagraph"/>
        <w:rPr/>
      </w:pPr>
      <w:bookmarkStart w:id="816" w:name="l.1-legal-form-and-seat"/>
      <w:r>
        <w:rPr/>
        <w:t>The Fund operates as a multilateral fiduciary facility under Swiss law, principal account in Switzerland, mirror settlement in Muscat, administered by the Neutral Administrator per Article 43.</w:t>
      </w:r>
      <w:bookmarkEnd w:id="816"/>
    </w:p>
    <w:p>
      <w:pPr>
        <w:pStyle w:val="Heading2"/>
        <w:rPr/>
      </w:pPr>
      <w:bookmarkStart w:id="817" w:name="__RefHeading___Toc4523_2903983697"/>
      <w:bookmarkStart w:id="818" w:name="l.2-endowment-scale"/>
      <w:bookmarkEnd w:id="817"/>
      <w:r>
        <w:rPr/>
        <w:t>L.2 Endowment scale</w:t>
      </w:r>
    </w:p>
    <w:p>
      <w:pPr>
        <w:pStyle w:val="FirstParagraph"/>
        <w:rPr/>
      </w:pPr>
      <w:bookmarkStart w:id="819" w:name="l.2-endowment-scale"/>
      <w:r>
        <w:rPr/>
        <w:t>The initial endowment targets one hundred fifty million United States dollars, scaled per the contribution schedule: the Parties contribute in equal thirds across the Iranian, Omani, and American shares, with the Gulf Cooperation Council states and the facilitating states contributing on the published schedule, and donors contributing through the voluntary channel.</w:t>
      </w:r>
      <w:bookmarkEnd w:id="819"/>
    </w:p>
    <w:p>
      <w:pPr>
        <w:pStyle w:val="Heading2"/>
        <w:rPr/>
      </w:pPr>
      <w:bookmarkStart w:id="820" w:name="__RefHeading___Toc4525_2903983697"/>
      <w:bookmarkStart w:id="821" w:name="l.3-disbursement-certification"/>
      <w:bookmarkEnd w:id="820"/>
      <w:r>
        <w:rPr/>
        <w:t>L.3 Disbursement certification</w:t>
      </w:r>
    </w:p>
    <w:p>
      <w:pPr>
        <w:pStyle w:val="FirstParagraph"/>
        <w:rPr/>
      </w:pPr>
      <w:bookmarkStart w:id="822" w:name="l.3-disbursement-certification"/>
      <w:r>
        <w:rPr/>
        <w:t>Every disbursement matches a stated purpose, a documented cost, and a published rate. The Administrator certifies; the Neutral Passage Office cross-checks; the accounts publish quarterly.</w:t>
      </w:r>
      <w:bookmarkEnd w:id="822"/>
    </w:p>
    <w:p>
      <w:pPr>
        <w:pStyle w:val="Heading2"/>
        <w:rPr/>
      </w:pPr>
      <w:bookmarkStart w:id="823" w:name="__RefHeading___Toc4527_2903983697"/>
      <w:bookmarkStart w:id="824" w:name="l.4-audit"/>
      <w:bookmarkEnd w:id="823"/>
      <w:r>
        <w:rPr/>
        <w:t>L.4 Audit</w:t>
      </w:r>
    </w:p>
    <w:p>
      <w:pPr>
        <w:pStyle w:val="FirstParagraph"/>
        <w:rPr/>
      </w:pPr>
      <w:bookmarkStart w:id="825" w:name="l.4-audit"/>
      <w:r>
        <w:rPr/>
        <w:t>An independent auditor of international standing audits the Fund annually; the audit publishes in full; the audit contract rotates on a three-year term.</w:t>
      </w:r>
      <w:bookmarkEnd w:id="825"/>
    </w:p>
    <w:p>
      <w:pPr>
        <w:pStyle w:val="Heading2"/>
        <w:rPr/>
      </w:pPr>
      <w:bookmarkStart w:id="826" w:name="__RefHeading___Toc4529_2903983697"/>
      <w:bookmarkStart w:id="827" w:name="l.5-winding-up-protection"/>
      <w:bookmarkEnd w:id="826"/>
      <w:r>
        <w:rPr/>
        <w:t>L.5 Winding-up protection</w:t>
      </w:r>
    </w:p>
    <w:p>
      <w:pPr>
        <w:pStyle w:val="FirstParagraph"/>
        <w:rPr/>
      </w:pPr>
      <w:r>
        <w:rPr/>
        <w:t>The Fund winds up only by the joint written instrument of Article 44.3, and any residual on winding-up devolves to a successor humanitarian maritime purpose designated by the same instrument, never to any Party’s general revenues.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828" w:name="X650c82ffe2e23e8a4d29576a7404328d6b82848"/>
      <w:bookmarkStart w:id="829" w:name="l.5-winding-up-protection"/>
      <w:r>
        <w:rPr>
          <w:i/>
          <w:iCs/>
        </w:rPr>
        <w:t>End of the Hormuz Humanitarian &amp; De-escalation Framework, Version 1.0, August 2026. Negotiating draft for authorized participants.</w:t>
      </w:r>
      <w:bookmarkEnd w:id="828"/>
      <w:bookmarkEnd w:id="829"/>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0BEC5"/>
      </w:pBdr>
      <w:spacing w:before="0" w:after="200"/>
      <w:jc w:val="center"/>
      <w:rPr/>
    </w:pPr>
    <w:r>
      <w:rPr>
        <w:rFonts w:eastAsia="Calibri" w:cs="Calibri" w:ascii="Calibri" w:hAnsi="Calibri"/>
        <w:color w:val="78909C"/>
        <w:sz w:val="18"/>
      </w:rPr>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0BEC5"/>
      </w:pBdr>
      <w:spacing w:before="0" w:after="200"/>
      <w:jc w:val="center"/>
      <w:rPr/>
    </w:pPr>
    <w:r>
      <w:rPr>
        <w:rFonts w:eastAsia="Calibri" w:cs="Calibri" w:ascii="Calibri" w:hAnsi="Calibri"/>
        <w:color w:val="78909C"/>
        <w:sz w:val="18"/>
      </w:rPr>
      <w:t xml:space="preserve">Page </w:t>
    </w: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0BEC5"/>
      </w:pBdr>
      <w:spacing w:before="0" w:after="200"/>
      <w:jc w:val="right"/>
      <w:rPr/>
    </w:pPr>
    <w:r>
      <w:rPr>
        <w:rFonts w:eastAsia="Calibri" w:cs="Calibri" w:ascii="Calibri" w:hAnsi="Calibri"/>
        <w:caps/>
        <w:color w:val="78909C"/>
        <w:sz w:val="16"/>
      </w:rPr>
      <w:t>THE HORMUZ HUMANITARIAN &amp; DE-ESCALATION FRAMEWORK  ·  SHARED PROTECTION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0BEC5"/>
      </w:pBdr>
      <w:spacing w:before="0" w:after="200"/>
      <w:jc w:val="right"/>
      <w:rPr/>
    </w:pPr>
    <w:r>
      <w:rPr>
        <w:rFonts w:eastAsia="Calibri" w:cs="Calibri" w:ascii="Calibri" w:hAnsi="Calibri"/>
        <w:caps/>
        <w:color w:val="78909C"/>
        <w:sz w:val="16"/>
      </w:rPr>
      <w:t>THE HORMUZ HUMANITARIAN &amp; DE-ESCALATION FRAMEWORK  ·  SHARED PROTECTION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1"/>
  </w:num>
  <w:num w:numId="10">
    <w:abstractNumId w:val="1"/>
  </w:num>
  <w:num w:numId="11">
    <w:abstractNumId w:val="2"/>
    <w:lvlOverride w:ilvl="0">
      <w:startOverride w:val="1"/>
    </w:lvlOverride>
  </w:num>
  <w:num w:numId="12">
    <w:abstractNumId w:val="2"/>
  </w:num>
  <w:num w:numId="13">
    <w:abstractNumId w:val="2"/>
  </w:num>
  <w:num w:numId="14">
    <w:abstractNumId w:val="2"/>
  </w:num>
  <w:num w:numId="15">
    <w:abstractNumId w:val="2"/>
  </w:num>
  <w:num w:numId="16">
    <w:abstractNumId w:val="2"/>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spacing w:lineRule="exact" w:line="200" w:before="0" w:after="0"/>
    </w:pPr>
    <w:rPr>
      <w:sz w:val="18"/>
      <w:szCs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Contents1" w:customStyle="1">
    <w:name w:val="TOC 1"/>
    <w:pPr>
      <w:widowControl/>
      <w:tabs>
        <w:tab w:val="clear" w:pos="720"/>
        <w:tab w:val="right" w:pos="9360" w:leader="dot"/>
      </w:tabs>
      <w:bidi w:val="0"/>
      <w:spacing w:lineRule="auto" w:line="240" w:before="120" w:after="40"/>
      <w:ind w:left="0" w:hanging="0"/>
      <w:jc w:val="left"/>
    </w:pPr>
    <w:rPr>
      <w:rFonts w:ascii="Calibri" w:hAnsi="Calibri" w:eastAsia="Calibri" w:cs="Calibri"/>
      <w:b/>
      <w:color w:val="37474F"/>
      <w:kern w:val="0"/>
      <w:sz w:val="24"/>
      <w:szCs w:val="24"/>
      <w:lang w:val="en-US" w:eastAsia="en-US" w:bidi="ar-SA"/>
    </w:rPr>
  </w:style>
  <w:style w:type="paragraph" w:styleId="Contents2" w:customStyle="1">
    <w:name w:val="TOC 2"/>
    <w:pPr>
      <w:widowControl/>
      <w:tabs>
        <w:tab w:val="clear" w:pos="720"/>
        <w:tab w:val="right" w:pos="9360" w:leader="dot"/>
      </w:tabs>
      <w:bidi w:val="0"/>
      <w:spacing w:lineRule="auto" w:line="240" w:before="0" w:after="20"/>
      <w:ind w:left="360" w:hanging="0"/>
      <w:jc w:val="left"/>
    </w:pPr>
    <w:rPr>
      <w:rFonts w:ascii="Calibri" w:hAnsi="Calibri" w:eastAsia="Calibri" w:cs="Calibri"/>
      <w:b w:val="false"/>
      <w:color w:val="37474F"/>
      <w:kern w:val="0"/>
      <w:sz w:val="24"/>
      <w:szCs w:val="24"/>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LibreOffice/7.4.7.2$Linux_X86_64 LibreOffice_project/40$Build-2</Application>
  <AppVersion>15.0000</AppVersion>
  <Pages>72</Pages>
  <Words>24535</Words>
  <Characters>142702</Characters>
  <CharactersWithSpaces>166030</CharactersWithSpaces>
  <Paragraphs>1196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2026-08-14T06:45:16Z</dcterms:created>
  <dc:creator/>
  <dc:description/>
  <dc:language>en-US</dc:language>
  <cp:lastModifiedBy/>
  <dcterms:modified xsi:type="dcterms:W3CDTF">2026-08-14T12:37:26Z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