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1550" w:after="0"/>
        <w:jc w:val="center"/>
        <w:rPr/>
      </w:pPr>
      <w:r>
        <w:rPr>
          <w:rFonts w:eastAsia="Calibri" w:cs="Calibri"/>
          <w:caps/>
          <w:color w:val="78909C"/>
          <w:spacing w:val="28"/>
          <w:sz w:val="18"/>
          <w:szCs w:val="24"/>
          <w:lang w:val="en-US" w:eastAsia="en-US" w:bidi="ar-SA"/>
        </w:rPr>
        <w:t>A Multilateral Maritime Governance Treaty</w:t>
      </w:r>
    </w:p>
    <w:p>
      <w:pPr>
        <w:pStyle w:val="Normal"/>
        <w:spacing w:lineRule="auto" w:line="300" w:before="320" w:after="0"/>
        <w:jc w:val="center"/>
        <w:rPr/>
      </w:pPr>
      <w:r>
        <w:rPr>
          <w:rFonts w:eastAsia="Calibri" w:cs="Calibri"/>
          <w:b/>
          <w:color w:val="37474F"/>
          <w:spacing w:val="30"/>
          <w:sz w:val="50"/>
          <w:szCs w:val="24"/>
          <w:lang w:val="en-US" w:eastAsia="en-US" w:bidi="ar-SA"/>
        </w:rPr>
        <w:t>THE HORMUZ NAVIGATION</w:t>
      </w:r>
    </w:p>
    <w:p>
      <w:pPr>
        <w:pStyle w:val="Normal"/>
        <w:spacing w:lineRule="auto" w:line="300" w:before="0" w:after="0"/>
        <w:jc w:val="center"/>
        <w:rPr/>
      </w:pPr>
      <w:r>
        <w:rPr>
          <w:rFonts w:eastAsia="Calibri" w:cs="Calibri"/>
          <w:b/>
          <w:color w:val="37474F"/>
          <w:spacing w:val="30"/>
          <w:sz w:val="50"/>
          <w:szCs w:val="24"/>
          <w:lang w:val="en-US" w:eastAsia="en-US" w:bidi="ar-SA"/>
        </w:rPr>
        <w:t>AND TRANSIT TREATY</w:t>
      </w:r>
    </w:p>
    <w:p>
      <w:pPr>
        <w:pStyle w:val="Normal"/>
        <w:spacing w:lineRule="auto" w:line="300" w:before="160" w:after="360"/>
        <w:ind w:left="900" w:right="900" w:hanging="0"/>
        <w:jc w:val="center"/>
        <w:rPr/>
      </w:pPr>
      <w:r>
        <w:rPr>
          <w:rFonts w:eastAsia="Calibri" w:cs="Calibri"/>
          <w:i/>
          <w:color w:val="546E7A"/>
          <w:sz w:val="24"/>
          <w:szCs w:val="24"/>
          <w:lang w:val="en-US" w:eastAsia="en-US" w:bidi="ar-SA"/>
        </w:rPr>
        <w:t>A Permanent Architecture for Navigation, Safety, Security, Verification, Funding, and Transparency in the Strait of Hormuz</w:t>
      </w:r>
    </w:p>
    <w:p>
      <w:pPr>
        <w:pStyle w:val="Normal"/>
        <w:pBdr>
          <w:bottom w:val="single" w:sz="6" w:space="0" w:color="546E7A"/>
        </w:pBdr>
        <w:spacing w:lineRule="auto" w:line="300" w:before="0" w:after="340"/>
        <w:ind w:left="2400" w:right="2400" w:hanging="0"/>
        <w:jc w:val="both"/>
        <w:rPr/>
      </w:pPr>
      <w:r>
        <w:rPr/>
      </w:r>
    </w:p>
    <w:p>
      <w:pPr>
        <w:pStyle w:val="Normal"/>
        <w:spacing w:lineRule="auto" w:line="300" w:before="0" w:after="110"/>
        <w:jc w:val="center"/>
        <w:rPr/>
      </w:pPr>
      <w:r>
        <w:rPr>
          <w:rFonts w:eastAsia="Calibri" w:cs="Calibri"/>
          <w:color w:val="212121"/>
          <w:sz w:val="23"/>
          <w:szCs w:val="24"/>
          <w:lang w:val="en-US" w:eastAsia="en-US" w:bidi="ar-SA"/>
        </w:rPr>
        <w:t>HN&amp;TT  ·  Version 1.0  ·  2026</w:t>
      </w:r>
    </w:p>
    <w:p>
      <w:pPr>
        <w:pStyle w:val="Normal"/>
        <w:spacing w:lineRule="auto" w:line="300" w:before="0" w:after="900"/>
        <w:jc w:val="center"/>
        <w:rPr/>
      </w:pPr>
      <w:r>
        <w:rPr>
          <w:rFonts w:eastAsia="Calibri" w:cs="Calibri"/>
          <w:color w:val="546E7A"/>
          <w:sz w:val="21"/>
          <w:szCs w:val="24"/>
          <w:lang w:val="en-US" w:eastAsia="en-US" w:bidi="ar-SA"/>
        </w:rPr>
        <w:t>Adopted at Muscat, Sultanate of Oman</w:t>
      </w:r>
    </w:p>
    <w:p>
      <w:pPr>
        <w:pStyle w:val="Normal"/>
        <w:spacing w:lineRule="auto" w:line="300" w:before="0" w:after="520"/>
        <w:jc w:val="center"/>
        <w:rPr/>
      </w:pPr>
      <w:r>
        <w:rPr>
          <w:rFonts w:eastAsia="Calibri" w:cs="Calibri"/>
          <w:i/>
          <w:color w:val="78909C"/>
          <w:sz w:val="20"/>
          <w:szCs w:val="24"/>
          <w:lang w:val="en-US" w:eastAsia="en-US" w:bidi="ar-SA"/>
        </w:rPr>
        <w:t>Safe Passage. Shared Waters. Open Commerce.</w:t>
      </w:r>
    </w:p>
    <w:p>
      <w:pPr>
        <w:pStyle w:val="Normal"/>
        <w:spacing w:lineRule="auto" w:line="300" w:before="0" w:after="80"/>
        <w:jc w:val="center"/>
        <w:rPr/>
      </w:pPr>
      <w:r>
        <w:rPr>
          <w:rFonts w:eastAsia="Calibri" w:cs="Calibri"/>
          <w:b/>
          <w:color w:val="37474F"/>
          <w:sz w:val="21"/>
          <w:szCs w:val="24"/>
          <w:lang w:val="en-US" w:eastAsia="en-US" w:bidi="ar-SA"/>
        </w:rPr>
        <w:t>Coastal Parties: The Islamic Republic of Iran  ·  The Sultanate of Oman</w:t>
      </w:r>
    </w:p>
    <w:p>
      <w:pPr>
        <w:pStyle w:val="Normal"/>
        <w:spacing w:lineRule="auto" w:line="300" w:before="0" w:after="120"/>
        <w:jc w:val="center"/>
        <w:rPr/>
      </w:pPr>
      <w:r>
        <w:rPr>
          <w:rFonts w:eastAsia="Calibri" w:cs="Calibri"/>
          <w:b/>
          <w:color w:val="37474F"/>
          <w:sz w:val="20"/>
          <w:szCs w:val="24"/>
          <w:lang w:val="en-US" w:eastAsia="en-US" w:bidi="ar-SA"/>
        </w:rPr>
        <w:t>Regional Signatories: Bahrain  ·  Kuwait  ·  Qatar  ·  Saudi Arabia  ·  United Arab Emirates  ·  Iraq</w:t>
      </w:r>
    </w:p>
    <w:p>
      <w:pPr>
        <w:pStyle w:val="Normal"/>
        <w:spacing w:lineRule="auto" w:line="300" w:before="0" w:after="80"/>
        <w:jc w:val="center"/>
        <w:rPr/>
      </w:pPr>
      <w:r>
        <w:rPr>
          <w:rFonts w:eastAsia="Calibri" w:cs="Calibri"/>
          <w:color w:val="546E7A"/>
          <w:sz w:val="20"/>
          <w:szCs w:val="24"/>
          <w:lang w:val="en-US" w:eastAsia="en-US" w:bidi="ar-SA"/>
        </w:rPr>
        <w:t>Guaranteeing Participant: The United States of America</w:t>
      </w:r>
    </w:p>
    <w:p>
      <w:pPr>
        <w:pStyle w:val="Normal"/>
        <w:spacing w:lineRule="auto" w:line="300" w:before="0" w:after="80"/>
        <w:jc w:val="center"/>
        <w:rPr/>
      </w:pPr>
      <w:r>
        <w:rPr>
          <w:rFonts w:eastAsia="Calibri" w:cs="Calibri"/>
          <w:color w:val="546E7A"/>
          <w:sz w:val="20"/>
          <w:szCs w:val="24"/>
          <w:lang w:val="en-US" w:eastAsia="en-US" w:bidi="ar-SA"/>
        </w:rPr>
        <w:t>Mediating Witnesses: The Islamic Republic of Pakistan and the State of Qatar</w:t>
      </w:r>
    </w:p>
    <w:p>
      <w:pPr>
        <w:pStyle w:val="Normal"/>
        <w:spacing w:lineRule="auto" w:line="300" w:before="0" w:after="100"/>
        <w:jc w:val="center"/>
        <w:rPr/>
      </w:pPr>
      <w:r>
        <w:rPr>
          <w:rFonts w:eastAsia="Calibri" w:cs="Calibri"/>
          <w:color w:val="546E7A"/>
          <w:sz w:val="20"/>
          <w:szCs w:val="24"/>
          <w:lang w:val="en-US" w:eastAsia="en-US" w:bidi="ar-SA"/>
        </w:rPr>
        <w:t>Institutional Observers: The European Union and the International Maritime Organization</w:t>
      </w:r>
    </w:p>
    <w:p>
      <w:pPr>
        <w:sectPr>
          <w:headerReference w:type="default" r:id="rId2"/>
          <w:footerReference w:type="default" r:id="rId3"/>
          <w:type w:val="nextPage"/>
          <w:pgSz w:w="12240" w:h="15840"/>
          <w:pgMar w:left="1134" w:right="1134" w:gutter="0" w:header="0" w:top="1134" w:footer="0" w:bottom="1134"/>
          <w:pgNumType w:fmt="decimal"/>
          <w:formProt w:val="false"/>
          <w:textDirection w:val="lrTb"/>
          <w:docGrid w:type="default" w:linePitch="100" w:charSpace="0"/>
        </w:sectPr>
        <w:pStyle w:val="Normal"/>
        <w:spacing w:lineRule="auto" w:line="300" w:before="0" w:after="0"/>
        <w:jc w:val="center"/>
        <w:rPr/>
      </w:pPr>
      <w:r>
        <w:rPr>
          <w:rFonts w:eastAsia="Calibri" w:cs="Calibri"/>
          <w:i/>
          <w:color w:val="78909C"/>
          <w:sz w:val="18"/>
          <w:szCs w:val="24"/>
          <w:lang w:val="en-US" w:eastAsia="en-US" w:bidi="ar-SA"/>
        </w:rPr>
        <w:t>Parts I–XVIII  ·  Annexes A–L</w:t>
      </w:r>
    </w:p>
    <w:p>
      <w:pPr>
        <w:pStyle w:val="Normal"/>
        <w:keepNext w:val="true"/>
        <w:spacing w:lineRule="auto" w:line="300" w:before="0" w:after="360"/>
        <w:jc w:val="left"/>
        <w:rPr/>
      </w:pPr>
      <w:r>
        <w:rPr>
          <w:rFonts w:eastAsia="Calibri" w:cs="Calibri"/>
          <w:b/>
          <w:caps/>
          <w:color w:val="37474F"/>
          <w:sz w:val="32"/>
          <w:szCs w:val="24"/>
          <w:lang w:val="en-US" w:eastAsia="en-US" w:bidi="ar-SA"/>
        </w:rPr>
        <w:t>Table of Contents</w:t>
      </w:r>
    </w:p>
    <w:sdt>
      <w:sdtPr>
        <w:docPartObj>
          <w:docPartGallery w:val="Table of Contents"/>
          <w:docPartUnique w:val="true"/>
        </w:docPartObj>
      </w:sdtPr>
      <w:sdtContent>
        <w:p>
          <w:pPr>
            <w:pStyle w:val="Contents1"/>
            <w:rPr/>
          </w:pPr>
          <w:r>
            <w:fldChar w:fldCharType="begin"/>
          </w:r>
          <w:r>
            <w:rPr>
              <w:webHidden/>
              <w:rStyle w:val="IndexLink"/>
            </w:rPr>
            <w:instrText xml:space="preserve"> TOC \z \o "1-2" \u \h</w:instrText>
          </w:r>
          <w:r>
            <w:rPr>
              <w:webHidden/>
              <w:rStyle w:val="IndexLink"/>
            </w:rPr>
            <w:fldChar w:fldCharType="separate"/>
          </w:r>
          <w:hyperlink w:anchor="__RefHeading___Toc7722_2907148441">
            <w:r>
              <w:rPr>
                <w:webHidden/>
                <w:rStyle w:val="IndexLink"/>
              </w:rPr>
              <w:t>DOCUMENT CONTROL</w:t>
              <w:tab/>
              <w:t>7</w:t>
            </w:r>
          </w:hyperlink>
        </w:p>
        <w:p>
          <w:pPr>
            <w:pStyle w:val="Contents1"/>
            <w:rPr/>
          </w:pPr>
          <w:hyperlink w:anchor="__RefHeading___Toc7724_2907148441">
            <w:r>
              <w:rPr>
                <w:webHidden/>
                <w:rStyle w:val="IndexLink"/>
              </w:rPr>
              <w:t>PREAMBLE</w:t>
              <w:tab/>
              <w:t>8</w:t>
            </w:r>
          </w:hyperlink>
        </w:p>
        <w:p>
          <w:pPr>
            <w:pStyle w:val="Contents1"/>
            <w:rPr/>
          </w:pPr>
          <w:hyperlink w:anchor="__RefHeading___Toc7726_2907148441">
            <w:r>
              <w:rPr>
                <w:webHidden/>
                <w:rStyle w:val="IndexLink"/>
              </w:rPr>
              <w:t>PART I. PURPOSE, SCOPE, AND GUIDING PRINCIPLES</w:t>
              <w:tab/>
              <w:t>9</w:t>
            </w:r>
          </w:hyperlink>
        </w:p>
        <w:p>
          <w:pPr>
            <w:pStyle w:val="Contents2"/>
            <w:rPr/>
          </w:pPr>
          <w:hyperlink w:anchor="__RefHeading___Toc7728_2907148441">
            <w:r>
              <w:rPr>
                <w:webHidden/>
                <w:rStyle w:val="IndexLink"/>
              </w:rPr>
              <w:t>Article 1. Purpose</w:t>
              <w:tab/>
              <w:t>9</w:t>
            </w:r>
          </w:hyperlink>
        </w:p>
        <w:p>
          <w:pPr>
            <w:pStyle w:val="Contents2"/>
            <w:rPr/>
          </w:pPr>
          <w:hyperlink w:anchor="__RefHeading___Toc7730_2907148441">
            <w:r>
              <w:rPr>
                <w:webHidden/>
                <w:rStyle w:val="IndexLink"/>
              </w:rPr>
              <w:t>Article 2. Scope</w:t>
              <w:tab/>
              <w:t>9</w:t>
            </w:r>
          </w:hyperlink>
        </w:p>
        <w:p>
          <w:pPr>
            <w:pStyle w:val="Contents2"/>
            <w:rPr/>
          </w:pPr>
          <w:hyperlink w:anchor="__RefHeading___Toc7732_2907148441">
            <w:r>
              <w:rPr>
                <w:webHidden/>
                <w:rStyle w:val="IndexLink"/>
              </w:rPr>
              <w:t>Article 3. Guiding Principles</w:t>
              <w:tab/>
              <w:t>9</w:t>
            </w:r>
          </w:hyperlink>
        </w:p>
        <w:p>
          <w:pPr>
            <w:pStyle w:val="Contents2"/>
            <w:rPr/>
          </w:pPr>
          <w:hyperlink w:anchor="__RefHeading___Toc7734_2907148441">
            <w:r>
              <w:rPr>
                <w:webHidden/>
                <w:rStyle w:val="IndexLink"/>
              </w:rPr>
              <w:t>Article 4. Supremacy of the Opening Obligation</w:t>
              <w:tab/>
              <w:t>10</w:t>
            </w:r>
          </w:hyperlink>
        </w:p>
        <w:p>
          <w:pPr>
            <w:pStyle w:val="Contents1"/>
            <w:rPr/>
          </w:pPr>
          <w:hyperlink w:anchor="__RefHeading___Toc7736_2907148441">
            <w:r>
              <w:rPr>
                <w:webHidden/>
                <w:rStyle w:val="IndexLink"/>
              </w:rPr>
              <w:t>PART II. CORRIDOR ARCHITECTURE</w:t>
              <w:tab/>
              <w:t>11</w:t>
            </w:r>
          </w:hyperlink>
        </w:p>
        <w:p>
          <w:pPr>
            <w:pStyle w:val="Contents2"/>
            <w:rPr/>
          </w:pPr>
          <w:hyperlink w:anchor="__RefHeading___Toc7738_2907148441">
            <w:r>
              <w:rPr>
                <w:webHidden/>
                <w:rStyle w:val="IndexLink"/>
              </w:rPr>
              <w:t>Article 5. The Three-Corridor System</w:t>
              <w:tab/>
              <w:t>11</w:t>
            </w:r>
          </w:hyperlink>
        </w:p>
        <w:p>
          <w:pPr>
            <w:pStyle w:val="Contents2"/>
            <w:rPr/>
          </w:pPr>
          <w:hyperlink w:anchor="__RefHeading___Toc7740_2907148441">
            <w:r>
              <w:rPr>
                <w:webHidden/>
                <w:rStyle w:val="IndexLink"/>
              </w:rPr>
              <w:t>Article 6. The Inbound Corridor</w:t>
              <w:tab/>
              <w:t>11</w:t>
            </w:r>
          </w:hyperlink>
        </w:p>
        <w:p>
          <w:pPr>
            <w:pStyle w:val="Contents2"/>
            <w:rPr/>
          </w:pPr>
          <w:hyperlink w:anchor="__RefHeading___Toc7742_2907148441">
            <w:r>
              <w:rPr>
                <w:webHidden/>
                <w:rStyle w:val="IndexLink"/>
              </w:rPr>
              <w:t>Article 7. The Outbound Corridor</w:t>
              <w:tab/>
              <w:t>11</w:t>
            </w:r>
          </w:hyperlink>
        </w:p>
        <w:p>
          <w:pPr>
            <w:pStyle w:val="Contents2"/>
            <w:rPr/>
          </w:pPr>
          <w:hyperlink w:anchor="__RefHeading___Toc7744_2907148441">
            <w:r>
              <w:rPr>
                <w:webHidden/>
                <w:rStyle w:val="IndexLink"/>
              </w:rPr>
              <w:t>Article 8. The Central Buffer Corridor</w:t>
              <w:tab/>
              <w:t>12</w:t>
            </w:r>
          </w:hyperlink>
        </w:p>
        <w:p>
          <w:pPr>
            <w:pStyle w:val="Contents2"/>
            <w:rPr/>
          </w:pPr>
          <w:hyperlink w:anchor="__RefHeading___Toc7746_2907148441">
            <w:r>
              <w:rPr>
                <w:webHidden/>
                <w:rStyle w:val="IndexLink"/>
              </w:rPr>
              <w:t>Article 9. Approach Lanes, Anchorages, and Holding Areas</w:t>
              <w:tab/>
              <w:t>12</w:t>
            </w:r>
          </w:hyperlink>
        </w:p>
        <w:p>
          <w:pPr>
            <w:pStyle w:val="Contents2"/>
            <w:rPr/>
          </w:pPr>
          <w:hyperlink w:anchor="__RefHeading___Toc7748_2907148441">
            <w:r>
              <w:rPr>
                <w:webHidden/>
                <w:rStyle w:val="IndexLink"/>
              </w:rPr>
              <w:t>Article 10. Corridor Modification</w:t>
              <w:tab/>
              <w:t>12</w:t>
            </w:r>
          </w:hyperlink>
        </w:p>
        <w:p>
          <w:pPr>
            <w:pStyle w:val="Contents1"/>
            <w:rPr/>
          </w:pPr>
          <w:hyperlink w:anchor="__RefHeading___Toc7750_2907148441">
            <w:r>
              <w:rPr>
                <w:webHidden/>
                <w:rStyle w:val="IndexLink"/>
              </w:rPr>
              <w:t>PART III. RIGHTS OF PASSAGE</w:t>
              <w:tab/>
              <w:t>13</w:t>
            </w:r>
          </w:hyperlink>
        </w:p>
        <w:p>
          <w:pPr>
            <w:pStyle w:val="Contents2"/>
            <w:rPr/>
          </w:pPr>
          <w:hyperlink w:anchor="__RefHeading___Toc7752_2907148441">
            <w:r>
              <w:rPr>
                <w:webHidden/>
                <w:rStyle w:val="IndexLink"/>
              </w:rPr>
              <w:t>Article 11. Freedom of Navigation</w:t>
              <w:tab/>
              <w:t>13</w:t>
            </w:r>
          </w:hyperlink>
        </w:p>
        <w:p>
          <w:pPr>
            <w:pStyle w:val="Contents2"/>
            <w:rPr/>
          </w:pPr>
          <w:hyperlink w:anchor="__RefHeading___Toc7754_2907148441">
            <w:r>
              <w:rPr>
                <w:webHidden/>
                <w:rStyle w:val="IndexLink"/>
              </w:rPr>
              <w:t>Article 12. Standing Safety Rules</w:t>
              <w:tab/>
              <w:t>13</w:t>
            </w:r>
          </w:hyperlink>
        </w:p>
        <w:p>
          <w:pPr>
            <w:pStyle w:val="Contents2"/>
            <w:rPr/>
          </w:pPr>
          <w:hyperlink w:anchor="__RefHeading___Toc7756_2907148441">
            <w:r>
              <w:rPr>
                <w:webHidden/>
                <w:rStyle w:val="IndexLink"/>
              </w:rPr>
              <w:t>Article 13. Prohibited Acts Within the System</w:t>
              <w:tab/>
              <w:t>13</w:t>
            </w:r>
          </w:hyperlink>
        </w:p>
        <w:p>
          <w:pPr>
            <w:pStyle w:val="Contents2"/>
            <w:rPr/>
          </w:pPr>
          <w:hyperlink w:anchor="__RefHeading___Toc7758_2907148441">
            <w:r>
              <w:rPr>
                <w:webHidden/>
                <w:rStyle w:val="IndexLink"/>
              </w:rPr>
              <w:t>Article 14. Naval and Military Transit</w:t>
              <w:tab/>
              <w:t>13</w:t>
            </w:r>
          </w:hyperlink>
        </w:p>
        <w:p>
          <w:pPr>
            <w:pStyle w:val="Contents2"/>
            <w:rPr/>
          </w:pPr>
          <w:hyperlink w:anchor="__RefHeading___Toc7760_2907148441">
            <w:r>
              <w:rPr>
                <w:webHidden/>
                <w:rStyle w:val="IndexLink"/>
              </w:rPr>
              <w:t>Article 15. Humanitarian Transit Priority</w:t>
              <w:tab/>
              <w:t>14</w:t>
            </w:r>
          </w:hyperlink>
        </w:p>
        <w:p>
          <w:pPr>
            <w:pStyle w:val="Contents1"/>
            <w:rPr/>
          </w:pPr>
          <w:hyperlink w:anchor="__RefHeading___Toc7762_2907148441">
            <w:r>
              <w:rPr>
                <w:webHidden/>
                <w:rStyle w:val="IndexLink"/>
              </w:rPr>
              <w:t>PART IV. THE FIVE-DAY OPENING SEQUENCE</w:t>
              <w:tab/>
              <w:t>15</w:t>
            </w:r>
          </w:hyperlink>
        </w:p>
        <w:p>
          <w:pPr>
            <w:pStyle w:val="Contents2"/>
            <w:rPr/>
          </w:pPr>
          <w:hyperlink w:anchor="__RefHeading___Toc7764_2907148441">
            <w:r>
              <w:rPr>
                <w:webHidden/>
                <w:rStyle w:val="IndexLink"/>
              </w:rPr>
              <w:t>Article 16. The Indivisible Opening Event</w:t>
              <w:tab/>
              <w:t>15</w:t>
            </w:r>
          </w:hyperlink>
        </w:p>
        <w:p>
          <w:pPr>
            <w:pStyle w:val="Contents2"/>
            <w:rPr/>
          </w:pPr>
          <w:hyperlink w:anchor="__RefHeading___Toc7766_2907148441">
            <w:r>
              <w:rPr>
                <w:webHidden/>
                <w:rStyle w:val="IndexLink"/>
              </w:rPr>
              <w:t>Article 17. Day 0 to Day 5: The Core Sequence</w:t>
              <w:tab/>
              <w:t>15</w:t>
            </w:r>
          </w:hyperlink>
        </w:p>
        <w:p>
          <w:pPr>
            <w:pStyle w:val="Contents2"/>
            <w:rPr/>
          </w:pPr>
          <w:hyperlink w:anchor="__RefHeading___Toc7768_2907148441">
            <w:r>
              <w:rPr>
                <w:webHidden/>
                <w:rStyle w:val="IndexLink"/>
              </w:rPr>
              <w:t>Article 18. Synchronization Rules for the Opening</w:t>
              <w:tab/>
              <w:t>16</w:t>
            </w:r>
          </w:hyperlink>
        </w:p>
        <w:p>
          <w:pPr>
            <w:pStyle w:val="Contents2"/>
            <w:rPr/>
          </w:pPr>
          <w:hyperlink w:anchor="__RefHeading___Toc7770_2907148441">
            <w:r>
              <w:rPr>
                <w:webHidden/>
                <w:rStyle w:val="IndexLink"/>
              </w:rPr>
              <w:t>Article 19. What the Opening Is and Is Not</w:t>
              <w:tab/>
              <w:t>16</w:t>
            </w:r>
          </w:hyperlink>
        </w:p>
        <w:p>
          <w:pPr>
            <w:pStyle w:val="Contents1"/>
            <w:rPr/>
          </w:pPr>
          <w:hyperlink w:anchor="__RefHeading___Toc7772_2907148441">
            <w:r>
              <w:rPr>
                <w:webHidden/>
                <w:rStyle w:val="IndexLink"/>
              </w:rPr>
              <w:t>PART V. GRADUATED LAYERS AND STABILITY GATING</w:t>
              <w:tab/>
              <w:t>17</w:t>
            </w:r>
          </w:hyperlink>
        </w:p>
        <w:p>
          <w:pPr>
            <w:pStyle w:val="Contents2"/>
            <w:rPr/>
          </w:pPr>
          <w:hyperlink w:anchor="__RefHeading___Toc7774_2907148441">
            <w:r>
              <w:rPr>
                <w:webHidden/>
                <w:rStyle w:val="IndexLink"/>
              </w:rPr>
              <w:t>Article 20. The Layered Architecture</w:t>
              <w:tab/>
              <w:t>17</w:t>
            </w:r>
          </w:hyperlink>
        </w:p>
        <w:p>
          <w:pPr>
            <w:pStyle w:val="Contents2"/>
            <w:rPr/>
          </w:pPr>
          <w:hyperlink w:anchor="__RefHeading___Toc7776_2907148441">
            <w:r>
              <w:rPr>
                <w:webHidden/>
                <w:rStyle w:val="IndexLink"/>
              </w:rPr>
              <w:t>Article 21. Layer 1: Pilot Operations</w:t>
              <w:tab/>
              <w:t>17</w:t>
            </w:r>
          </w:hyperlink>
        </w:p>
        <w:p>
          <w:pPr>
            <w:pStyle w:val="Contents2"/>
            <w:rPr/>
          </w:pPr>
          <w:hyperlink w:anchor="__RefHeading___Toc7778_2907148441">
            <w:r>
              <w:rPr>
                <w:webHidden/>
                <w:rStyle w:val="IndexLink"/>
              </w:rPr>
              <w:t>Article 22. Layer 2: Consolidation</w:t>
              <w:tab/>
              <w:t>17</w:t>
            </w:r>
          </w:hyperlink>
        </w:p>
        <w:p>
          <w:pPr>
            <w:pStyle w:val="Contents2"/>
            <w:rPr/>
          </w:pPr>
          <w:hyperlink w:anchor="__RefHeading___Toc7780_2907148441">
            <w:r>
              <w:rPr>
                <w:webHidden/>
                <w:rStyle w:val="IndexLink"/>
              </w:rPr>
              <w:t>Article 23. Layer 3: Permanent Operations</w:t>
              <w:tab/>
              <w:t>17</w:t>
            </w:r>
          </w:hyperlink>
        </w:p>
        <w:p>
          <w:pPr>
            <w:pStyle w:val="Contents2"/>
            <w:rPr/>
          </w:pPr>
          <w:hyperlink w:anchor="__RefHeading___Toc7782_2907148441">
            <w:r>
              <w:rPr>
                <w:webHidden/>
                <w:rStyle w:val="IndexLink"/>
              </w:rPr>
              <w:t>Article 24. Stability Gating and Reversibility</w:t>
              <w:tab/>
              <w:t>18</w:t>
            </w:r>
          </w:hyperlink>
        </w:p>
        <w:p>
          <w:pPr>
            <w:pStyle w:val="Contents1"/>
            <w:rPr/>
          </w:pPr>
          <w:hyperlink w:anchor="__RefHeading___Toc7784_2907148441">
            <w:r>
              <w:rPr>
                <w:webHidden/>
                <w:rStyle w:val="IndexLink"/>
              </w:rPr>
              <w:t>PART VI. THE HORMUZ NAVIGATION AUTHORITY</w:t>
              <w:tab/>
              <w:t>19</w:t>
            </w:r>
          </w:hyperlink>
        </w:p>
        <w:p>
          <w:pPr>
            <w:pStyle w:val="Contents2"/>
            <w:rPr/>
          </w:pPr>
          <w:hyperlink w:anchor="__RefHeading___Toc7786_2907148441">
            <w:r>
              <w:rPr>
                <w:webHidden/>
                <w:rStyle w:val="IndexLink"/>
              </w:rPr>
              <w:t>Article 25. Establishment and Mandate</w:t>
              <w:tab/>
              <w:t>19</w:t>
            </w:r>
          </w:hyperlink>
        </w:p>
        <w:p>
          <w:pPr>
            <w:pStyle w:val="Contents2"/>
            <w:rPr/>
          </w:pPr>
          <w:hyperlink w:anchor="__RefHeading___Toc7788_2907148441">
            <w:r>
              <w:rPr>
                <w:webHidden/>
                <w:rStyle w:val="IndexLink"/>
              </w:rPr>
              <w:t>Article 26. The Authority Council</w:t>
              <w:tab/>
              <w:t>19</w:t>
            </w:r>
          </w:hyperlink>
        </w:p>
        <w:p>
          <w:pPr>
            <w:pStyle w:val="Contents2"/>
            <w:rPr/>
          </w:pPr>
          <w:hyperlink w:anchor="__RefHeading___Toc7790_2907148441">
            <w:r>
              <w:rPr>
                <w:webHidden/>
                <w:rStyle w:val="IndexLink"/>
              </w:rPr>
              <w:t>Article 27. The Secretariat and the Maritime Coordination Center</w:t>
              <w:tab/>
              <w:t>19</w:t>
            </w:r>
          </w:hyperlink>
        </w:p>
        <w:p>
          <w:pPr>
            <w:pStyle w:val="Contents2"/>
            <w:rPr/>
          </w:pPr>
          <w:hyperlink w:anchor="__RefHeading___Toc7792_2907148441">
            <w:r>
              <w:rPr>
                <w:webHidden/>
                <w:rStyle w:val="IndexLink"/>
              </w:rPr>
              <w:t>Article 28. The Verification and Surveillance Directorate</w:t>
              <w:tab/>
              <w:t>20</w:t>
            </w:r>
          </w:hyperlink>
        </w:p>
        <w:p>
          <w:pPr>
            <w:pStyle w:val="Contents2"/>
            <w:rPr/>
          </w:pPr>
          <w:hyperlink w:anchor="__RefHeading___Toc7794_2907148441">
            <w:r>
              <w:rPr>
                <w:webHidden/>
                <w:rStyle w:val="IndexLink"/>
              </w:rPr>
              <w:t>Article 29. Advisory Seats</w:t>
              <w:tab/>
              <w:t>20</w:t>
            </w:r>
          </w:hyperlink>
        </w:p>
        <w:p>
          <w:pPr>
            <w:pStyle w:val="Contents2"/>
            <w:rPr/>
          </w:pPr>
          <w:hyperlink w:anchor="__RefHeading___Toc7796_2907148441">
            <w:r>
              <w:rPr>
                <w:webHidden/>
                <w:rStyle w:val="IndexLink"/>
              </w:rPr>
              <w:t>Article 30. Budget and Cost Discipline</w:t>
              <w:tab/>
              <w:t>20</w:t>
            </w:r>
          </w:hyperlink>
        </w:p>
        <w:p>
          <w:pPr>
            <w:pStyle w:val="Contents1"/>
            <w:rPr/>
          </w:pPr>
          <w:hyperlink w:anchor="__RefHeading___Toc7798_2907148441">
            <w:r>
              <w:rPr>
                <w:webHidden/>
                <w:rStyle w:val="IndexLink"/>
              </w:rPr>
              <w:t>PART VII. SECURITY ARCHITECTURE AND THE FIRST-PHASE SECURITY COORDINATOR</w:t>
              <w:tab/>
              <w:t>21</w:t>
            </w:r>
          </w:hyperlink>
        </w:p>
        <w:p>
          <w:pPr>
            <w:pStyle w:val="Contents2"/>
            <w:rPr/>
          </w:pPr>
          <w:hyperlink w:anchor="__RefHeading___Toc7800_2907148441">
            <w:r>
              <w:rPr>
                <w:webHidden/>
                <w:rStyle w:val="IndexLink"/>
              </w:rPr>
              <w:t>Article 31. Security by Function Allocation</w:t>
              <w:tab/>
              <w:t>21</w:t>
            </w:r>
          </w:hyperlink>
        </w:p>
        <w:p>
          <w:pPr>
            <w:pStyle w:val="Contents2"/>
            <w:rPr/>
          </w:pPr>
          <w:hyperlink w:anchor="__RefHeading___Toc7802_2907148441">
            <w:r>
              <w:rPr>
                <w:webHidden/>
                <w:rStyle w:val="IndexLink"/>
              </w:rPr>
              <w:t>Article 32. Non-Kinetic Security Posture</w:t>
              <w:tab/>
              <w:t>21</w:t>
            </w:r>
          </w:hyperlink>
        </w:p>
        <w:p>
          <w:pPr>
            <w:pStyle w:val="Contents2"/>
            <w:rPr/>
          </w:pPr>
          <w:hyperlink w:anchor="__RefHeading___Toc7804_2907148441">
            <w:r>
              <w:rPr>
                <w:webHidden/>
                <w:rStyle w:val="IndexLink"/>
              </w:rPr>
              <w:t>Article 33. Mine Countermeasures</w:t>
              <w:tab/>
              <w:t>21</w:t>
            </w:r>
          </w:hyperlink>
        </w:p>
        <w:p>
          <w:pPr>
            <w:pStyle w:val="Contents2"/>
            <w:rPr/>
          </w:pPr>
          <w:hyperlink w:anchor="__RefHeading___Toc7806_2907148441">
            <w:r>
              <w:rPr>
                <w:webHidden/>
                <w:rStyle w:val="IndexLink"/>
              </w:rPr>
              <w:t>Article 34. The Dual-Key Security Model</w:t>
              <w:tab/>
              <w:t>22</w:t>
            </w:r>
          </w:hyperlink>
        </w:p>
        <w:p>
          <w:pPr>
            <w:pStyle w:val="Contents2"/>
            <w:rPr/>
          </w:pPr>
          <w:hyperlink w:anchor="__RefHeading___Toc7808_2907148441">
            <w:r>
              <w:rPr>
                <w:webHidden/>
                <w:rStyle w:val="IndexLink"/>
              </w:rPr>
              <w:t>Article 35. Boarding, Inspection, and Interdiction Limits</w:t>
              <w:tab/>
              <w:t>22</w:t>
            </w:r>
          </w:hyperlink>
        </w:p>
        <w:p>
          <w:pPr>
            <w:pStyle w:val="Contents2"/>
            <w:rPr/>
          </w:pPr>
          <w:hyperlink w:anchor="__RefHeading___Toc7810_2907148441">
            <w:r>
              <w:rPr>
                <w:webHidden/>
                <w:rStyle w:val="IndexLink"/>
              </w:rPr>
              <w:t>Article 36. The First-Phase Security Coordinator</w:t>
              <w:tab/>
              <w:t>22</w:t>
            </w:r>
          </w:hyperlink>
        </w:p>
        <w:p>
          <w:pPr>
            <w:pStyle w:val="Contents2"/>
            <w:rPr/>
          </w:pPr>
          <w:hyperlink w:anchor="__RefHeading___Toc7812_2907148441">
            <w:r>
              <w:rPr>
                <w:webHidden/>
                <w:rStyle w:val="IndexLink"/>
              </w:rPr>
              <w:t>Article 37. The Regional Patrol Rotation</w:t>
              <w:tab/>
              <w:t>23</w:t>
            </w:r>
          </w:hyperlink>
        </w:p>
        <w:p>
          <w:pPr>
            <w:pStyle w:val="Contents1"/>
            <w:rPr/>
          </w:pPr>
          <w:hyperlink w:anchor="__RefHeading___Toc7814_2907148441">
            <w:r>
              <w:rPr>
                <w:webHidden/>
                <w:rStyle w:val="IndexLink"/>
              </w:rPr>
              <w:t>PART VIII. VERIFICATION ARCHITECTURE</w:t>
              <w:tab/>
              <w:t>24</w:t>
            </w:r>
          </w:hyperlink>
        </w:p>
        <w:p>
          <w:pPr>
            <w:pStyle w:val="Contents2"/>
            <w:rPr/>
          </w:pPr>
          <w:hyperlink w:anchor="__RefHeading___Toc7816_2907148441">
            <w:r>
              <w:rPr>
                <w:webHidden/>
                <w:rStyle w:val="IndexLink"/>
              </w:rPr>
              <w:t>Article 38. Verification Principles</w:t>
              <w:tab/>
              <w:t>24</w:t>
            </w:r>
          </w:hyperlink>
        </w:p>
        <w:p>
          <w:pPr>
            <w:pStyle w:val="Contents2"/>
            <w:rPr/>
          </w:pPr>
          <w:hyperlink w:anchor="__RefHeading___Toc7818_2907148441">
            <w:r>
              <w:rPr>
                <w:webHidden/>
                <w:rStyle w:val="IndexLink"/>
              </w:rPr>
              <w:t>Article 39. The Fused Picture</w:t>
              <w:tab/>
              <w:t>24</w:t>
            </w:r>
          </w:hyperlink>
        </w:p>
        <w:p>
          <w:pPr>
            <w:pStyle w:val="Contents2"/>
            <w:rPr/>
          </w:pPr>
          <w:hyperlink w:anchor="__RefHeading___Toc7820_2907148441">
            <w:r>
              <w:rPr>
                <w:webHidden/>
                <w:rStyle w:val="IndexLink"/>
              </w:rPr>
              <w:t>Article 40. Joint Verification Teams</w:t>
              <w:tab/>
              <w:t>24</w:t>
            </w:r>
          </w:hyperlink>
        </w:p>
        <w:p>
          <w:pPr>
            <w:pStyle w:val="Contents2"/>
            <w:rPr/>
          </w:pPr>
          <w:hyperlink w:anchor="__RefHeading___Toc7822_2907148441">
            <w:r>
              <w:rPr>
                <w:webHidden/>
                <w:rStyle w:val="IndexLink"/>
              </w:rPr>
              <w:t>Article 41. The Stability Audit</w:t>
              <w:tab/>
              <w:t>24</w:t>
            </w:r>
          </w:hyperlink>
        </w:p>
        <w:p>
          <w:pPr>
            <w:pStyle w:val="Contents2"/>
            <w:rPr/>
          </w:pPr>
          <w:hyperlink w:anchor="__RefHeading___Toc7824_2907148441">
            <w:r>
              <w:rPr>
                <w:webHidden/>
                <w:rStyle w:val="IndexLink"/>
              </w:rPr>
              <w:t>Article 42. Third-Party Verification</w:t>
              <w:tab/>
              <w:t>25</w:t>
            </w:r>
          </w:hyperlink>
        </w:p>
        <w:p>
          <w:pPr>
            <w:pStyle w:val="Contents2"/>
            <w:rPr/>
          </w:pPr>
          <w:hyperlink w:anchor="__RefHeading___Toc7826_2907148441">
            <w:r>
              <w:rPr>
                <w:webHidden/>
                <w:rStyle w:val="IndexLink"/>
              </w:rPr>
              <w:t>Article 43. Incident Verification</w:t>
              <w:tab/>
              <w:t>25</w:t>
            </w:r>
          </w:hyperlink>
        </w:p>
        <w:p>
          <w:pPr>
            <w:pStyle w:val="Contents1"/>
            <w:rPr/>
          </w:pPr>
          <w:hyperlink w:anchor="__RefHeading___Toc7828_2907148441">
            <w:r>
              <w:rPr>
                <w:webHidden/>
                <w:rStyle w:val="IndexLink"/>
              </w:rPr>
              <w:t>PART IX. FEES, FUNDING, AND ECONOMIC CONTINUITY</w:t>
              <w:tab/>
              <w:t>26</w:t>
            </w:r>
          </w:hyperlink>
        </w:p>
        <w:p>
          <w:pPr>
            <w:pStyle w:val="Contents2"/>
            <w:rPr/>
          </w:pPr>
          <w:hyperlink w:anchor="__RefHeading___Toc7830_2907148441">
            <w:r>
              <w:rPr>
                <w:webHidden/>
                <w:rStyle w:val="IndexLink"/>
              </w:rPr>
              <w:t>Article 44. The No-Toll Rule and the Service Charge Distinction</w:t>
              <w:tab/>
              <w:t>26</w:t>
            </w:r>
          </w:hyperlink>
        </w:p>
        <w:p>
          <w:pPr>
            <w:pStyle w:val="Contents2"/>
            <w:rPr/>
          </w:pPr>
          <w:hyperlink w:anchor="__RefHeading___Toc7832_2907148441">
            <w:r>
              <w:rPr>
                <w:webHidden/>
                <w:rStyle w:val="IndexLink"/>
              </w:rPr>
              <w:t>Article 45. The Zero-Charge Opening and the Voluntary Window</w:t>
              <w:tab/>
              <w:t>26</w:t>
            </w:r>
          </w:hyperlink>
        </w:p>
        <w:p>
          <w:pPr>
            <w:pStyle w:val="Contents2"/>
            <w:rPr/>
          </w:pPr>
          <w:hyperlink w:anchor="__RefHeading___Toc7834_2907148441">
            <w:r>
              <w:rPr>
                <w:webHidden/>
                <w:rStyle w:val="IndexLink"/>
              </w:rPr>
              <w:t>Article 46. The Service Charge Schedule</w:t>
              <w:tab/>
              <w:t>26</w:t>
            </w:r>
          </w:hyperlink>
        </w:p>
        <w:p>
          <w:pPr>
            <w:pStyle w:val="Contents2"/>
            <w:rPr/>
          </w:pPr>
          <w:hyperlink w:anchor="__RefHeading___Toc7836_2907148441">
            <w:r>
              <w:rPr>
                <w:webHidden/>
                <w:rStyle w:val="IndexLink"/>
              </w:rPr>
              <w:t>Article 47. The Tri-Channel Funding System</w:t>
              <w:tab/>
              <w:t>27</w:t>
            </w:r>
          </w:hyperlink>
        </w:p>
        <w:p>
          <w:pPr>
            <w:pStyle w:val="Contents2"/>
            <w:rPr/>
          </w:pPr>
          <w:hyperlink w:anchor="__RefHeading___Toc7838_2907148441">
            <w:r>
              <w:rPr>
                <w:webHidden/>
                <w:rStyle w:val="IndexLink"/>
              </w:rPr>
              <w:t>Article 48. Escrow and Sanctions-Compatible Payment Routing</w:t>
              <w:tab/>
              <w:t>27</w:t>
            </w:r>
          </w:hyperlink>
        </w:p>
        <w:p>
          <w:pPr>
            <w:pStyle w:val="Contents2"/>
            <w:rPr/>
          </w:pPr>
          <w:hyperlink w:anchor="__RefHeading___Toc7840_2907148441">
            <w:r>
              <w:rPr>
                <w:webHidden/>
                <w:rStyle w:val="IndexLink"/>
              </w:rPr>
              <w:t>Article 49. Reserves and the Stability Dividend</w:t>
              <w:tab/>
              <w:t>27</w:t>
            </w:r>
          </w:hyperlink>
        </w:p>
        <w:p>
          <w:pPr>
            <w:pStyle w:val="Contents2"/>
            <w:rPr/>
          </w:pPr>
          <w:hyperlink w:anchor="__RefHeading___Toc7842_2907148441">
            <w:r>
              <w:rPr>
                <w:webHidden/>
                <w:rStyle w:val="IndexLink"/>
              </w:rPr>
              <w:t>Article 50. Economic Continuity Guarantees</w:t>
              <w:tab/>
              <w:t>28</w:t>
            </w:r>
          </w:hyperlink>
        </w:p>
        <w:p>
          <w:pPr>
            <w:pStyle w:val="Contents1"/>
            <w:rPr/>
          </w:pPr>
          <w:hyperlink w:anchor="__RefHeading___Toc7844_2907148441">
            <w:r>
              <w:rPr>
                <w:webHidden/>
                <w:rStyle w:val="IndexLink"/>
              </w:rPr>
              <w:t>PART X. THE NUCLEAR FIREWALL</w:t>
              <w:tab/>
              <w:t>29</w:t>
            </w:r>
          </w:hyperlink>
        </w:p>
        <w:p>
          <w:pPr>
            <w:pStyle w:val="Contents2"/>
            <w:rPr/>
          </w:pPr>
          <w:hyperlink w:anchor="__RefHeading___Toc7846_2907148441">
            <w:r>
              <w:rPr>
                <w:webHidden/>
                <w:rStyle w:val="IndexLink"/>
              </w:rPr>
              <w:t>Article 51. Complete Separation of Files</w:t>
              <w:tab/>
              <w:t>29</w:t>
            </w:r>
          </w:hyperlink>
        </w:p>
        <w:p>
          <w:pPr>
            <w:pStyle w:val="Contents2"/>
            <w:rPr/>
          </w:pPr>
          <w:hyperlink w:anchor="__RefHeading___Toc7848_2907148441">
            <w:r>
              <w:rPr>
                <w:webHidden/>
                <w:rStyle w:val="IndexLink"/>
              </w:rPr>
              <w:t>Article 52. The Navigation Safety Boundary</w:t>
              <w:tab/>
              <w:t>29</w:t>
            </w:r>
          </w:hyperlink>
        </w:p>
        <w:p>
          <w:pPr>
            <w:pStyle w:val="Contents2"/>
            <w:rPr/>
          </w:pPr>
          <w:hyperlink w:anchor="__RefHeading___Toc7850_2907148441">
            <w:r>
              <w:rPr>
                <w:webHidden/>
                <w:rStyle w:val="IndexLink"/>
              </w:rPr>
              <w:t>Article 53. Stability Signaling</w:t>
              <w:tab/>
              <w:t>29</w:t>
            </w:r>
          </w:hyperlink>
        </w:p>
        <w:p>
          <w:pPr>
            <w:pStyle w:val="Contents1"/>
            <w:rPr/>
          </w:pPr>
          <w:hyperlink w:anchor="__RefHeading___Toc7852_2907148441">
            <w:r>
              <w:rPr>
                <w:webHidden/>
                <w:rStyle w:val="IndexLink"/>
              </w:rPr>
              <w:t>PART XI. ENVIRONMENTAL PROTECTION, SAFETY, AND SEARCH AND RESCUE</w:t>
              <w:tab/>
              <w:t>30</w:t>
            </w:r>
          </w:hyperlink>
        </w:p>
        <w:p>
          <w:pPr>
            <w:pStyle w:val="Contents2"/>
            <w:rPr/>
          </w:pPr>
          <w:hyperlink w:anchor="__RefHeading___Toc7854_2907148441">
            <w:r>
              <w:rPr>
                <w:webHidden/>
                <w:rStyle w:val="IndexLink"/>
              </w:rPr>
              <w:t>Article 54. Environmental Monitoring</w:t>
              <w:tab/>
              <w:t>30</w:t>
            </w:r>
          </w:hyperlink>
        </w:p>
        <w:p>
          <w:pPr>
            <w:pStyle w:val="Contents2"/>
            <w:rPr/>
          </w:pPr>
          <w:hyperlink w:anchor="__RefHeading___Toc7856_2907148441">
            <w:r>
              <w:rPr>
                <w:webHidden/>
                <w:rStyle w:val="IndexLink"/>
              </w:rPr>
              <w:t>Article 55. Pollution Prevention and Response</w:t>
              <w:tab/>
              <w:t>30</w:t>
            </w:r>
          </w:hyperlink>
        </w:p>
        <w:p>
          <w:pPr>
            <w:pStyle w:val="Contents2"/>
            <w:rPr/>
          </w:pPr>
          <w:hyperlink w:anchor="__RefHeading___Toc7858_2907148441">
            <w:r>
              <w:rPr>
                <w:webHidden/>
                <w:rStyle w:val="IndexLink"/>
              </w:rPr>
              <w:t>Article 56. Search and Rescue</w:t>
              <w:tab/>
              <w:t>30</w:t>
            </w:r>
          </w:hyperlink>
        </w:p>
        <w:p>
          <w:pPr>
            <w:pStyle w:val="Contents2"/>
            <w:rPr/>
          </w:pPr>
          <w:hyperlink w:anchor="__RefHeading___Toc7860_2907148441">
            <w:r>
              <w:rPr>
                <w:webHidden/>
                <w:rStyle w:val="IndexLink"/>
              </w:rPr>
              <w:t>Article 57. Safety Standards</w:t>
              <w:tab/>
              <w:t>30</w:t>
            </w:r>
          </w:hyperlink>
        </w:p>
        <w:p>
          <w:pPr>
            <w:pStyle w:val="Contents1"/>
            <w:rPr/>
          </w:pPr>
          <w:hyperlink w:anchor="__RefHeading___Toc7862_2907148441">
            <w:r>
              <w:rPr>
                <w:webHidden/>
                <w:rStyle w:val="IndexLink"/>
              </w:rPr>
              <w:t>PART XII. CRISIS MANAGEMENT AND DE-ESCALATION</w:t>
              <w:tab/>
              <w:t>32</w:t>
            </w:r>
          </w:hyperlink>
        </w:p>
        <w:p>
          <w:pPr>
            <w:pStyle w:val="Contents2"/>
            <w:rPr/>
          </w:pPr>
          <w:hyperlink w:anchor="__RefHeading___Toc7864_2907148441">
            <w:r>
              <w:rPr>
                <w:webHidden/>
                <w:rStyle w:val="IndexLink"/>
              </w:rPr>
              <w:t>Article 58. The Crisis Hotline Network</w:t>
              <w:tab/>
              <w:t>32</w:t>
            </w:r>
          </w:hyperlink>
        </w:p>
        <w:p>
          <w:pPr>
            <w:pStyle w:val="Contents2"/>
            <w:rPr/>
          </w:pPr>
          <w:hyperlink w:anchor="__RefHeading___Toc7866_2907148441">
            <w:r>
              <w:rPr>
                <w:webHidden/>
                <w:rStyle w:val="IndexLink"/>
              </w:rPr>
              <w:t>Article 59. The Seventy-Two Hour Rules</w:t>
              <w:tab/>
              <w:t>32</w:t>
            </w:r>
          </w:hyperlink>
        </w:p>
        <w:p>
          <w:pPr>
            <w:pStyle w:val="Contents2"/>
            <w:rPr/>
          </w:pPr>
          <w:hyperlink w:anchor="__RefHeading___Toc7868_2907148441">
            <w:r>
              <w:rPr>
                <w:webHidden/>
                <w:rStyle w:val="IndexLink"/>
              </w:rPr>
              <w:t>Article 60. Continuity During Crisis</w:t>
              <w:tab/>
              <w:t>32</w:t>
            </w:r>
          </w:hyperlink>
        </w:p>
        <w:p>
          <w:pPr>
            <w:pStyle w:val="Contents2"/>
            <w:rPr/>
          </w:pPr>
          <w:hyperlink w:anchor="__RefHeading___Toc7870_2907148441">
            <w:r>
              <w:rPr>
                <w:webHidden/>
                <w:rStyle w:val="IndexLink"/>
              </w:rPr>
              <w:t>Article 61. Manufactured Crisis Finding</w:t>
              <w:tab/>
              <w:t>32</w:t>
            </w:r>
          </w:hyperlink>
        </w:p>
        <w:p>
          <w:pPr>
            <w:pStyle w:val="Contents2"/>
            <w:rPr/>
          </w:pPr>
          <w:hyperlink w:anchor="__RefHeading___Toc7872_2907148441">
            <w:r>
              <w:rPr>
                <w:webHidden/>
                <w:rStyle w:val="IndexLink"/>
              </w:rPr>
              <w:t>Article 62. Reactivation After Incident</w:t>
              <w:tab/>
              <w:t>33</w:t>
            </w:r>
          </w:hyperlink>
        </w:p>
        <w:p>
          <w:pPr>
            <w:pStyle w:val="Contents1"/>
            <w:rPr/>
          </w:pPr>
          <w:hyperlink w:anchor="__RefHeading___Toc7874_2907148441">
            <w:r>
              <w:rPr>
                <w:webHidden/>
                <w:rStyle w:val="IndexLink"/>
              </w:rPr>
              <w:t>PART XIII. DISPUTE RESOLUTION</w:t>
              <w:tab/>
              <w:t>34</w:t>
            </w:r>
          </w:hyperlink>
        </w:p>
        <w:p>
          <w:pPr>
            <w:pStyle w:val="Contents2"/>
            <w:rPr/>
          </w:pPr>
          <w:hyperlink w:anchor="__RefHeading___Toc7876_2907148441">
            <w:r>
              <w:rPr>
                <w:webHidden/>
                <w:rStyle w:val="IndexLink"/>
              </w:rPr>
              <w:t>Article 63. The Three-Band System</w:t>
              <w:tab/>
              <w:t>34</w:t>
            </w:r>
          </w:hyperlink>
        </w:p>
        <w:p>
          <w:pPr>
            <w:pStyle w:val="Contents2"/>
            <w:rPr/>
          </w:pPr>
          <w:hyperlink w:anchor="__RefHeading___Toc7878_2907148441">
            <w:r>
              <w:rPr>
                <w:webHidden/>
                <w:rStyle w:val="IndexLink"/>
              </w:rPr>
              <w:t>Article 64. The Neutral Arbitration Panel</w:t>
              <w:tab/>
              <w:t>34</w:t>
            </w:r>
          </w:hyperlink>
        </w:p>
        <w:p>
          <w:pPr>
            <w:pStyle w:val="Contents2"/>
            <w:rPr/>
          </w:pPr>
          <w:hyperlink w:anchor="__RefHeading___Toc7880_2907148441">
            <w:r>
              <w:rPr>
                <w:webHidden/>
                <w:rStyle w:val="IndexLink"/>
              </w:rPr>
              <w:t>Article 65. Fee and Incident Disputes</w:t>
              <w:tab/>
              <w:t>34</w:t>
            </w:r>
          </w:hyperlink>
        </w:p>
        <w:p>
          <w:pPr>
            <w:pStyle w:val="Contents2"/>
            <w:rPr/>
          </w:pPr>
          <w:hyperlink w:anchor="__RefHeading___Toc7882_2907148441">
            <w:r>
              <w:rPr>
                <w:webHidden/>
                <w:rStyle w:val="IndexLink"/>
              </w:rPr>
              <w:t>Article 66. Tribunal Referral</w:t>
              <w:tab/>
              <w:t>34</w:t>
            </w:r>
          </w:hyperlink>
        </w:p>
        <w:p>
          <w:pPr>
            <w:pStyle w:val="Contents1"/>
            <w:rPr/>
          </w:pPr>
          <w:hyperlink w:anchor="__RefHeading___Toc7884_2907148441">
            <w:r>
              <w:rPr>
                <w:webHidden/>
                <w:rStyle w:val="IndexLink"/>
              </w:rPr>
              <w:t>PART XIV. TRANSPARENCY AND PUBLIC INFORMATION</w:t>
              <w:tab/>
              <w:t>35</w:t>
            </w:r>
          </w:hyperlink>
        </w:p>
        <w:p>
          <w:pPr>
            <w:pStyle w:val="Contents2"/>
            <w:rPr/>
          </w:pPr>
          <w:hyperlink w:anchor="__RefHeading___Toc7886_2907148441">
            <w:r>
              <w:rPr>
                <w:webHidden/>
                <w:rStyle w:val="IndexLink"/>
              </w:rPr>
              <w:t>Article 67. The Transparency Portal</w:t>
              <w:tab/>
              <w:t>35</w:t>
            </w:r>
          </w:hyperlink>
        </w:p>
        <w:p>
          <w:pPr>
            <w:pStyle w:val="Contents2"/>
            <w:rPr/>
          </w:pPr>
          <w:hyperlink w:anchor="__RefHeading___Toc7888_2907148441">
            <w:r>
              <w:rPr>
                <w:webHidden/>
                <w:rStyle w:val="IndexLink"/>
              </w:rPr>
              <w:t>Article 68. Mariner Information</w:t>
              <w:tab/>
              <w:t>35</w:t>
            </w:r>
          </w:hyperlink>
        </w:p>
        <w:p>
          <w:pPr>
            <w:pStyle w:val="Contents2"/>
            <w:rPr/>
          </w:pPr>
          <w:hyperlink w:anchor="__RefHeading___Toc7890_2907148441">
            <w:r>
              <w:rPr>
                <w:webHidden/>
                <w:rStyle w:val="IndexLink"/>
              </w:rPr>
              <w:t>Article 69. Media and Public Legitimacy</w:t>
              <w:tab/>
              <w:t>35</w:t>
            </w:r>
          </w:hyperlink>
        </w:p>
        <w:p>
          <w:pPr>
            <w:pStyle w:val="Contents1"/>
            <w:rPr/>
          </w:pPr>
          <w:hyperlink w:anchor="__RefHeading___Toc7892_2907148441">
            <w:r>
              <w:rPr>
                <w:webHidden/>
                <w:rStyle w:val="IndexLink"/>
              </w:rPr>
              <w:t>PART XV. TRANSITION FROM THE WARTIME LANE REGIME</w:t>
              <w:tab/>
              <w:t>36</w:t>
            </w:r>
          </w:hyperlink>
        </w:p>
        <w:p>
          <w:pPr>
            <w:pStyle w:val="Contents2"/>
            <w:rPr/>
          </w:pPr>
          <w:hyperlink w:anchor="__RefHeading___Toc7894_2907148441">
            <w:r>
              <w:rPr>
                <w:webHidden/>
                <w:rStyle w:val="IndexLink"/>
              </w:rPr>
              <w:t>Article 70. Sunset of the Wartime Lanes</w:t>
              <w:tab/>
              <w:t>36</w:t>
            </w:r>
          </w:hyperlink>
        </w:p>
        <w:p>
          <w:pPr>
            <w:pStyle w:val="Contents2"/>
            <w:rPr/>
          </w:pPr>
          <w:hyperlink w:anchor="__RefHeading___Toc7896_2907148441">
            <w:r>
              <w:rPr>
                <w:webHidden/>
                <w:rStyle w:val="IndexLink"/>
              </w:rPr>
              <w:t>Article 71. Stranded Vessels and Seafarers</w:t>
              <w:tab/>
              <w:t>36</w:t>
            </w:r>
          </w:hyperlink>
        </w:p>
        <w:p>
          <w:pPr>
            <w:pStyle w:val="Contents2"/>
            <w:rPr/>
          </w:pPr>
          <w:hyperlink w:anchor="__RefHeading___Toc7898_2907148441">
            <w:r>
              <w:rPr>
                <w:webHidden/>
                <w:rStyle w:val="IndexLink"/>
              </w:rPr>
              <w:t>Article 72. Legacy Incidents and Claims</w:t>
              <w:tab/>
              <w:t>36</w:t>
            </w:r>
          </w:hyperlink>
        </w:p>
        <w:p>
          <w:pPr>
            <w:pStyle w:val="Contents2"/>
            <w:rPr/>
          </w:pPr>
          <w:hyperlink w:anchor="__RefHeading___Toc7900_2907148441">
            <w:r>
              <w:rPr>
                <w:webHidden/>
                <w:rStyle w:val="IndexLink"/>
              </w:rPr>
              <w:t>Article 73. Knowledge Transfer</w:t>
              <w:tab/>
              <w:t>36</w:t>
            </w:r>
          </w:hyperlink>
        </w:p>
        <w:p>
          <w:pPr>
            <w:pStyle w:val="Contents1"/>
            <w:rPr/>
          </w:pPr>
          <w:hyperlink w:anchor="__RefHeading___Toc7902_2907148441">
            <w:r>
              <w:rPr>
                <w:webHidden/>
                <w:rStyle w:val="IndexLink"/>
              </w:rPr>
              <w:t>PART XVI. RELATIONSHIP TO OTHER INSTRUMENTS</w:t>
              <w:tab/>
              <w:t>37</w:t>
            </w:r>
          </w:hyperlink>
        </w:p>
        <w:p>
          <w:pPr>
            <w:pStyle w:val="Contents2"/>
            <w:rPr/>
          </w:pPr>
          <w:hyperlink w:anchor="__RefHeading___Toc7904_2907148441">
            <w:r>
              <w:rPr>
                <w:webHidden/>
                <w:rStyle w:val="IndexLink"/>
              </w:rPr>
              <w:t>Article 74. International Law</w:t>
              <w:tab/>
              <w:t>37</w:t>
            </w:r>
          </w:hyperlink>
        </w:p>
        <w:p>
          <w:pPr>
            <w:pStyle w:val="Contents2"/>
            <w:rPr/>
          </w:pPr>
          <w:hyperlink w:anchor="__RefHeading___Toc7906_2907148441">
            <w:r>
              <w:rPr>
                <w:webHidden/>
                <w:rStyle w:val="IndexLink"/>
              </w:rPr>
              <w:t>Article 75. The June 2026 Memorandum of Understanding</w:t>
              <w:tab/>
              <w:t>37</w:t>
            </w:r>
          </w:hyperlink>
        </w:p>
        <w:p>
          <w:pPr>
            <w:pStyle w:val="Contents2"/>
            <w:rPr/>
          </w:pPr>
          <w:hyperlink w:anchor="__RefHeading___Toc7908_2907148441">
            <w:r>
              <w:rPr>
                <w:webHidden/>
                <w:rStyle w:val="IndexLink"/>
              </w:rPr>
              <w:t>Article 76. Adjacent Architectures</w:t>
              <w:tab/>
              <w:t>37</w:t>
            </w:r>
          </w:hyperlink>
        </w:p>
        <w:p>
          <w:pPr>
            <w:pStyle w:val="Contents1"/>
            <w:rPr/>
          </w:pPr>
          <w:hyperlink w:anchor="__RefHeading___Toc7910_2907148441">
            <w:r>
              <w:rPr>
                <w:webHidden/>
                <w:rStyle w:val="IndexLink"/>
              </w:rPr>
              <w:t>PART XVII. AMENDMENT, REVIEW, AND CONTINUITY</w:t>
              <w:tab/>
              <w:t>38</w:t>
            </w:r>
          </w:hyperlink>
        </w:p>
        <w:p>
          <w:pPr>
            <w:pStyle w:val="Contents2"/>
            <w:rPr/>
          </w:pPr>
          <w:hyperlink w:anchor="__RefHeading___Toc7912_2907148441">
            <w:r>
              <w:rPr>
                <w:webHidden/>
                <w:rStyle w:val="IndexLink"/>
              </w:rPr>
              <w:t>Article 77. Amendment and Review</w:t>
              <w:tab/>
              <w:t>38</w:t>
            </w:r>
          </w:hyperlink>
        </w:p>
        <w:p>
          <w:pPr>
            <w:pStyle w:val="Contents2"/>
            <w:rPr/>
          </w:pPr>
          <w:hyperlink w:anchor="__RefHeading___Toc7914_2907148441">
            <w:r>
              <w:rPr>
                <w:webHidden/>
                <w:rStyle w:val="IndexLink"/>
              </w:rPr>
              <w:t>Article 78. Continuity</w:t>
              <w:tab/>
              <w:t>38</w:t>
            </w:r>
          </w:hyperlink>
        </w:p>
        <w:p>
          <w:pPr>
            <w:pStyle w:val="Contents2"/>
            <w:rPr/>
          </w:pPr>
          <w:hyperlink w:anchor="__RefHeading___Toc7916_2907148441">
            <w:r>
              <w:rPr>
                <w:webHidden/>
                <w:rStyle w:val="IndexLink"/>
              </w:rPr>
              <w:t>Article 79. Succession and Accession</w:t>
              <w:tab/>
              <w:t>38</w:t>
            </w:r>
          </w:hyperlink>
        </w:p>
        <w:p>
          <w:pPr>
            <w:pStyle w:val="Contents1"/>
            <w:rPr/>
          </w:pPr>
          <w:hyperlink w:anchor="__RefHeading___Toc7918_2907148441">
            <w:r>
              <w:rPr>
                <w:webHidden/>
                <w:rStyle w:val="IndexLink"/>
              </w:rPr>
              <w:t>PART XVIII. SIGNATURE, RATIFICATION, AND ENTRY INTO FORCE</w:t>
              <w:tab/>
              <w:t>39</w:t>
            </w:r>
          </w:hyperlink>
        </w:p>
        <w:p>
          <w:pPr>
            <w:pStyle w:val="Contents2"/>
            <w:rPr/>
          </w:pPr>
          <w:hyperlink w:anchor="__RefHeading___Toc7920_2907148441">
            <w:r>
              <w:rPr>
                <w:webHidden/>
                <w:rStyle w:val="IndexLink"/>
              </w:rPr>
              <w:t>Article 80. Signature and Provisional Application</w:t>
              <w:tab/>
              <w:t>39</w:t>
            </w:r>
          </w:hyperlink>
        </w:p>
        <w:p>
          <w:pPr>
            <w:pStyle w:val="Contents2"/>
            <w:rPr/>
          </w:pPr>
          <w:hyperlink w:anchor="__RefHeading___Toc7922_2907148441">
            <w:r>
              <w:rPr>
                <w:webHidden/>
                <w:rStyle w:val="IndexLink"/>
              </w:rPr>
              <w:t>Article 81. Ratification and Entry into Force</w:t>
              <w:tab/>
              <w:t>39</w:t>
            </w:r>
          </w:hyperlink>
        </w:p>
        <w:p>
          <w:pPr>
            <w:pStyle w:val="Contents2"/>
            <w:rPr/>
          </w:pPr>
          <w:hyperlink w:anchor="__RefHeading___Toc7924_2907148441">
            <w:r>
              <w:rPr>
                <w:webHidden/>
                <w:rStyle w:val="IndexLink"/>
              </w:rPr>
              <w:t>Article 82. Depositary Functions</w:t>
              <w:tab/>
              <w:t>39</w:t>
            </w:r>
          </w:hyperlink>
        </w:p>
        <w:p>
          <w:pPr>
            <w:pStyle w:val="Contents1"/>
            <w:rPr/>
          </w:pPr>
          <w:hyperlink w:anchor="__RefHeading___Toc7926_2907148441">
            <w:r>
              <w:rPr>
                <w:webHidden/>
                <w:rStyle w:val="IndexLink"/>
              </w:rPr>
              <w:t>SIGNATURE PAGES</w:t>
              <w:tab/>
              <w:t>40</w:t>
            </w:r>
          </w:hyperlink>
        </w:p>
        <w:p>
          <w:pPr>
            <w:pStyle w:val="Contents1"/>
            <w:rPr/>
          </w:pPr>
          <w:hyperlink w:anchor="__RefHeading___Toc7928_2907148441">
            <w:r>
              <w:rPr>
                <w:webHidden/>
                <w:rStyle w:val="IndexLink"/>
              </w:rPr>
              <w:t>ANNEX A. CORRIDOR COORDINATES AND CHARTLETS</w:t>
              <w:tab/>
              <w:t>41</w:t>
            </w:r>
          </w:hyperlink>
        </w:p>
        <w:p>
          <w:pPr>
            <w:pStyle w:val="Contents2"/>
            <w:rPr/>
          </w:pPr>
          <w:hyperlink w:anchor="__RefHeading___Toc7930_2907148441">
            <w:r>
              <w:rPr>
                <w:webHidden/>
                <w:rStyle w:val="IndexLink"/>
              </w:rPr>
              <w:t>A.1. Structure of this Annex</w:t>
              <w:tab/>
              <w:t>41</w:t>
            </w:r>
          </w:hyperlink>
        </w:p>
        <w:p>
          <w:pPr>
            <w:pStyle w:val="Contents2"/>
            <w:rPr/>
          </w:pPr>
          <w:hyperlink w:anchor="__RefHeading___Toc7932_2907148441">
            <w:r>
              <w:rPr>
                <w:webHidden/>
                <w:rStyle w:val="IndexLink"/>
              </w:rPr>
              <w:t>A.2. Schedule 1: Final Corridor Coordinates</w:t>
              <w:tab/>
              <w:t>41</w:t>
            </w:r>
          </w:hyperlink>
        </w:p>
        <w:p>
          <w:pPr>
            <w:pStyle w:val="Contents2"/>
            <w:rPr/>
          </w:pPr>
          <w:hyperlink w:anchor="__RefHeading___Toc7934_2907148441">
            <w:r>
              <w:rPr>
                <w:webHidden/>
                <w:rStyle w:val="IndexLink"/>
              </w:rPr>
              <w:t>A.3. Schedule 2: Approaches, Anchorages, and Stations</w:t>
              <w:tab/>
              <w:t>42</w:t>
            </w:r>
          </w:hyperlink>
        </w:p>
        <w:p>
          <w:pPr>
            <w:pStyle w:val="Contents2"/>
            <w:rPr/>
          </w:pPr>
          <w:hyperlink w:anchor="__RefHeading___Toc7936_2907148441">
            <w:r>
              <w:rPr>
                <w:webHidden/>
                <w:rStyle w:val="IndexLink"/>
              </w:rPr>
              <w:t>A.4. Schedule 3: Provisional Corridor Guidance (Day 0 Publication)</w:t>
              <w:tab/>
              <w:t>42</w:t>
            </w:r>
          </w:hyperlink>
        </w:p>
        <w:p>
          <w:pPr>
            <w:pStyle w:val="Contents2"/>
            <w:rPr/>
          </w:pPr>
          <w:hyperlink w:anchor="__RefHeading___Toc7938_2907148441">
            <w:r>
              <w:rPr>
                <w:webHidden/>
                <w:rStyle w:val="IndexLink"/>
              </w:rPr>
              <w:t>A.5. Chartlets and Electronic Products</w:t>
              <w:tab/>
              <w:t>43</w:t>
            </w:r>
          </w:hyperlink>
        </w:p>
        <w:p>
          <w:pPr>
            <w:pStyle w:val="Contents2"/>
            <w:rPr/>
          </w:pPr>
          <w:hyperlink w:anchor="__RefHeading___Toc7940_2907148441">
            <w:r>
              <w:rPr>
                <w:webHidden/>
                <w:rStyle w:val="IndexLink"/>
              </w:rPr>
              <w:t>A.6. Hydrographic Maintenance</w:t>
              <w:tab/>
              <w:t>43</w:t>
            </w:r>
          </w:hyperlink>
        </w:p>
        <w:p>
          <w:pPr>
            <w:pStyle w:val="Contents2"/>
            <w:rPr/>
          </w:pPr>
          <w:hyperlink w:anchor="__RefHeading___Toc7942_2907148441">
            <w:r>
              <w:rPr>
                <w:webHidden/>
                <w:rStyle w:val="IndexLink"/>
              </w:rPr>
              <w:t>A.7. Corridor Modification Procedure</w:t>
              <w:tab/>
              <w:t>43</w:t>
            </w:r>
          </w:hyperlink>
        </w:p>
        <w:p>
          <w:pPr>
            <w:pStyle w:val="Contents1"/>
            <w:rPr/>
          </w:pPr>
          <w:hyperlink w:anchor="__RefHeading___Toc7944_2907148441">
            <w:r>
              <w:rPr>
                <w:webHidden/>
                <w:rStyle w:val="IndexLink"/>
              </w:rPr>
              <w:t>ANNEX B. FIVE-DAY OPENING CHECKLIST</w:t>
              <w:tab/>
              <w:t>44</w:t>
            </w:r>
          </w:hyperlink>
        </w:p>
        <w:p>
          <w:pPr>
            <w:pStyle w:val="Contents2"/>
            <w:rPr/>
          </w:pPr>
          <w:hyperlink w:anchor="__RefHeading___Toc7946_2907148441">
            <w:r>
              <w:rPr>
                <w:webHidden/>
                <w:rStyle w:val="IndexLink"/>
              </w:rPr>
              <w:t>B.1. How to Use this Checklist</w:t>
              <w:tab/>
              <w:t>44</w:t>
            </w:r>
          </w:hyperlink>
        </w:p>
        <w:p>
          <w:pPr>
            <w:pStyle w:val="Contents2"/>
            <w:rPr/>
          </w:pPr>
          <w:hyperlink w:anchor="__RefHeading___Toc7948_2907148441">
            <w:r>
              <w:rPr>
                <w:webHidden/>
                <w:rStyle w:val="IndexLink"/>
              </w:rPr>
              <w:t>B.2. Day 0: Signature and Synchronization</w:t>
              <w:tab/>
              <w:t>44</w:t>
            </w:r>
          </w:hyperlink>
        </w:p>
        <w:p>
          <w:pPr>
            <w:pStyle w:val="Contents2"/>
            <w:rPr/>
          </w:pPr>
          <w:hyperlink w:anchor="__RefHeading___Toc7950_2907148441">
            <w:r>
              <w:rPr>
                <w:webHidden/>
                <w:rStyle w:val="IndexLink"/>
              </w:rPr>
              <w:t>B.3. Day 1: Buffer First</w:t>
              <w:tab/>
              <w:t>45</w:t>
            </w:r>
          </w:hyperlink>
        </w:p>
        <w:p>
          <w:pPr>
            <w:pStyle w:val="Contents2"/>
            <w:rPr/>
          </w:pPr>
          <w:hyperlink w:anchor="__RefHeading___Toc7952_2907148441">
            <w:r>
              <w:rPr>
                <w:webHidden/>
                <w:rStyle w:val="IndexLink"/>
              </w:rPr>
              <w:t>B.4. Day 2: Outbound Opens</w:t>
              <w:tab/>
              <w:t>45</w:t>
            </w:r>
          </w:hyperlink>
        </w:p>
        <w:p>
          <w:pPr>
            <w:pStyle w:val="Contents2"/>
            <w:rPr/>
          </w:pPr>
          <w:hyperlink w:anchor="__RefHeading___Toc7954_2907148441">
            <w:r>
              <w:rPr>
                <w:webHidden/>
                <w:rStyle w:val="IndexLink"/>
              </w:rPr>
              <w:t>B.5. Day 3: Inbound Opens</w:t>
              <w:tab/>
              <w:t>46</w:t>
            </w:r>
          </w:hyperlink>
        </w:p>
        <w:p>
          <w:pPr>
            <w:pStyle w:val="Contents2"/>
            <w:rPr/>
          </w:pPr>
          <w:hyperlink w:anchor="__RefHeading___Toc7956_2907148441">
            <w:r>
              <w:rPr>
                <w:webHidden/>
                <w:rStyle w:val="IndexLink"/>
              </w:rPr>
              <w:t>B.6. Day 4: Full Flow and Verification Baseline</w:t>
              <w:tab/>
              <w:t>46</w:t>
            </w:r>
          </w:hyperlink>
        </w:p>
        <w:p>
          <w:pPr>
            <w:pStyle w:val="Contents2"/>
            <w:rPr/>
          </w:pPr>
          <w:hyperlink w:anchor="__RefHeading___Toc7958_2907148441">
            <w:r>
              <w:rPr>
                <w:webHidden/>
                <w:rStyle w:val="IndexLink"/>
              </w:rPr>
              <w:t>B.7. Day 5: Opening Declaration</w:t>
              <w:tab/>
              <w:t>47</w:t>
            </w:r>
          </w:hyperlink>
        </w:p>
        <w:p>
          <w:pPr>
            <w:pStyle w:val="Contents2"/>
            <w:rPr/>
          </w:pPr>
          <w:hyperlink w:anchor="__RefHeading___Toc7960_2907148441">
            <w:r>
              <w:rPr>
                <w:webHidden/>
                <w:rStyle w:val="IndexLink"/>
              </w:rPr>
              <w:t>B.8. Reactivation Checklist (After Any Incident)</w:t>
              <w:tab/>
              <w:t>47</w:t>
            </w:r>
          </w:hyperlink>
        </w:p>
        <w:p>
          <w:pPr>
            <w:pStyle w:val="Contents1"/>
            <w:rPr/>
          </w:pPr>
          <w:hyperlink w:anchor="__RefHeading___Toc7962_2907148441">
            <w:r>
              <w:rPr>
                <w:webHidden/>
                <w:rStyle w:val="IndexLink"/>
              </w:rPr>
              <w:t>ANNEX C. MONITORING, TRANSPARENCY, AND INCIDENT REPORTING PROTOCOLS</w:t>
              <w:tab/>
              <w:t>48</w:t>
            </w:r>
          </w:hyperlink>
        </w:p>
        <w:p>
          <w:pPr>
            <w:pStyle w:val="Contents2"/>
            <w:rPr/>
          </w:pPr>
          <w:hyperlink w:anchor="__RefHeading___Toc7964_2907148441">
            <w:r>
              <w:rPr>
                <w:webHidden/>
                <w:rStyle w:val="IndexLink"/>
              </w:rPr>
              <w:t>C.1. The Fused Picture: Technical Specification</w:t>
              <w:tab/>
              <w:t>48</w:t>
            </w:r>
          </w:hyperlink>
        </w:p>
        <w:p>
          <w:pPr>
            <w:pStyle w:val="Contents2"/>
            <w:rPr/>
          </w:pPr>
          <w:hyperlink w:anchor="__RefHeading___Toc7966_2907148441">
            <w:r>
              <w:rPr>
                <w:webHidden/>
                <w:rStyle w:val="IndexLink"/>
              </w:rPr>
              <w:t>C.2. Data Integrity and Security</w:t>
              <w:tab/>
              <w:t>48</w:t>
            </w:r>
          </w:hyperlink>
        </w:p>
        <w:p>
          <w:pPr>
            <w:pStyle w:val="Contents2"/>
            <w:rPr/>
          </w:pPr>
          <w:hyperlink w:anchor="__RefHeading___Toc7968_2907148441">
            <w:r>
              <w:rPr>
                <w:webHidden/>
                <w:rStyle w:val="IndexLink"/>
              </w:rPr>
              <w:t>C.3. Access Tiers</w:t>
              <w:tab/>
              <w:t>48</w:t>
            </w:r>
          </w:hyperlink>
        </w:p>
        <w:p>
          <w:pPr>
            <w:pStyle w:val="Contents2"/>
            <w:rPr/>
          </w:pPr>
          <w:hyperlink w:anchor="__RefHeading___Toc7970_2907148441">
            <w:r>
              <w:rPr>
                <w:webHidden/>
                <w:rStyle w:val="IndexLink"/>
              </w:rPr>
              <w:t>C.4. Standing Traffic Rules</w:t>
              <w:tab/>
              <w:t>49</w:t>
            </w:r>
          </w:hyperlink>
        </w:p>
        <w:p>
          <w:pPr>
            <w:pStyle w:val="Contents2"/>
            <w:rPr/>
          </w:pPr>
          <w:hyperlink w:anchor="__RefHeading___Toc7972_2907148441">
            <w:r>
              <w:rPr>
                <w:webHidden/>
                <w:rStyle w:val="IndexLink"/>
              </w:rPr>
              <w:t>C.5. Slotting, Convoys, and Balancing</w:t>
              <w:tab/>
              <w:t>49</w:t>
            </w:r>
          </w:hyperlink>
        </w:p>
        <w:p>
          <w:pPr>
            <w:pStyle w:val="Contents2"/>
            <w:rPr/>
          </w:pPr>
          <w:hyperlink w:anchor="__RefHeading___Toc7974_2907148441">
            <w:r>
              <w:rPr>
                <w:webHidden/>
                <w:rStyle w:val="IndexLink"/>
              </w:rPr>
              <w:t>C.6. The Dual-Ping Alert Protocol</w:t>
              <w:tab/>
              <w:t>49</w:t>
            </w:r>
          </w:hyperlink>
        </w:p>
        <w:p>
          <w:pPr>
            <w:pStyle w:val="Contents2"/>
            <w:rPr/>
          </w:pPr>
          <w:hyperlink w:anchor="__RefHeading___Toc7976_2907148441">
            <w:r>
              <w:rPr>
                <w:webHidden/>
                <w:rStyle w:val="IndexLink"/>
              </w:rPr>
              <w:t>C.7. Incident Reporting</w:t>
              <w:tab/>
              <w:t>49</w:t>
            </w:r>
          </w:hyperlink>
        </w:p>
        <w:p>
          <w:pPr>
            <w:pStyle w:val="Contents2"/>
            <w:rPr/>
          </w:pPr>
          <w:hyperlink w:anchor="__RefHeading___Toc7978_2907148441">
            <w:r>
              <w:rPr>
                <w:webHidden/>
                <w:rStyle w:val="IndexLink"/>
              </w:rPr>
              <w:t>C.8. The Daily Transparency Bulletin</w:t>
              <w:tab/>
              <w:t>50</w:t>
            </w:r>
          </w:hyperlink>
        </w:p>
        <w:p>
          <w:pPr>
            <w:pStyle w:val="Contents2"/>
            <w:rPr/>
          </w:pPr>
          <w:hyperlink w:anchor="__RefHeading___Toc7980_2907148441">
            <w:r>
              <w:rPr>
                <w:webHidden/>
                <w:rStyle w:val="IndexLink"/>
              </w:rPr>
              <w:t>C.9. Automatic Identification System Corridor Guidance</w:t>
              <w:tab/>
              <w:t>50</w:t>
            </w:r>
          </w:hyperlink>
        </w:p>
        <w:p>
          <w:pPr>
            <w:pStyle w:val="Contents1"/>
            <w:rPr/>
          </w:pPr>
          <w:hyperlink w:anchor="__RefHeading___Toc7982_2907148441">
            <w:r>
              <w:rPr>
                <w:webHidden/>
                <w:rStyle w:val="IndexLink"/>
              </w:rPr>
              <w:t>ANNEX D. SERVICE CHARGE SCHEDULE, ESCROW, AND PAYMENT ROUTING</w:t>
              <w:tab/>
              <w:t>51</w:t>
            </w:r>
          </w:hyperlink>
        </w:p>
        <w:p>
          <w:pPr>
            <w:pStyle w:val="Contents2"/>
            <w:rPr/>
          </w:pPr>
          <w:hyperlink w:anchor="__RefHeading___Toc7984_2907148441">
            <w:r>
              <w:rPr>
                <w:webHidden/>
                <w:rStyle w:val="IndexLink"/>
              </w:rPr>
              <w:t>D.1. Legal Character of All Charges</w:t>
              <w:tab/>
              <w:t>51</w:t>
            </w:r>
          </w:hyperlink>
        </w:p>
        <w:p>
          <w:pPr>
            <w:pStyle w:val="Contents2"/>
            <w:rPr/>
          </w:pPr>
          <w:hyperlink w:anchor="__RefHeading___Toc7986_2907148441">
            <w:r>
              <w:rPr>
                <w:webHidden/>
                <w:rStyle w:val="IndexLink"/>
              </w:rPr>
              <w:t>D.2. The Permanent Service Charge Schedule</w:t>
              <w:tab/>
              <w:t>51</w:t>
            </w:r>
          </w:hyperlink>
        </w:p>
        <w:p>
          <w:pPr>
            <w:pStyle w:val="Contents2"/>
            <w:rPr/>
          </w:pPr>
          <w:hyperlink w:anchor="__RefHeading___Toc7988_2907148441">
            <w:r>
              <w:rPr>
                <w:webHidden/>
                <w:rStyle w:val="IndexLink"/>
              </w:rPr>
              <w:t>D.3. Who Administers, Who Receives</w:t>
              <w:tab/>
              <w:t>52</w:t>
            </w:r>
          </w:hyperlink>
        </w:p>
        <w:p>
          <w:pPr>
            <w:pStyle w:val="Contents2"/>
            <w:rPr/>
          </w:pPr>
          <w:hyperlink w:anchor="__RefHeading___Toc7990_2907148441">
            <w:r>
              <w:rPr>
                <w:webHidden/>
                <w:rStyle w:val="IndexLink"/>
              </w:rPr>
              <w:t>D.4. Escrow and Clearing Mechanics</w:t>
              <w:tab/>
              <w:t>52</w:t>
            </w:r>
          </w:hyperlink>
        </w:p>
        <w:p>
          <w:pPr>
            <w:pStyle w:val="Contents2"/>
            <w:rPr/>
          </w:pPr>
          <w:hyperlink w:anchor="__RefHeading___Toc7992_2907148441">
            <w:r>
              <w:rPr>
                <w:webHidden/>
                <w:rStyle w:val="IndexLink"/>
              </w:rPr>
              <w:t>D.5. The Voluntary Contribution Window</w:t>
              <w:tab/>
              <w:t>52</w:t>
            </w:r>
          </w:hyperlink>
        </w:p>
        <w:p>
          <w:pPr>
            <w:pStyle w:val="Contents2"/>
            <w:rPr/>
          </w:pPr>
          <w:hyperlink w:anchor="__RefHeading___Toc7994_2907148441">
            <w:r>
              <w:rPr>
                <w:webHidden/>
                <w:rStyle w:val="IndexLink"/>
              </w:rPr>
              <w:t>D.6. The Sovereign Corridor Fund Formula</w:t>
              <w:tab/>
              <w:t>53</w:t>
            </w:r>
          </w:hyperlink>
        </w:p>
        <w:p>
          <w:pPr>
            <w:pStyle w:val="Contents2"/>
            <w:rPr/>
          </w:pPr>
          <w:hyperlink w:anchor="__RefHeading___Toc7996_2907148441">
            <w:r>
              <w:rPr>
                <w:webHidden/>
                <w:rStyle w:val="IndexLink"/>
              </w:rPr>
              <w:t>D.7. Charge Modification Procedure</w:t>
              <w:tab/>
              <w:t>53</w:t>
            </w:r>
          </w:hyperlink>
        </w:p>
        <w:p>
          <w:pPr>
            <w:pStyle w:val="Contents1"/>
            <w:rPr/>
          </w:pPr>
          <w:hyperlink w:anchor="__RefHeading___Toc7998_2907148441">
            <w:r>
              <w:rPr>
                <w:webHidden/>
                <w:rStyle w:val="IndexLink"/>
              </w:rPr>
              <w:t>ANNEX E. SECURITY FUNCTIONS, DUAL-KEY RULES, AND DECONFLICTION PROTOCOLS</w:t>
              <w:tab/>
              <w:t>54</w:t>
            </w:r>
          </w:hyperlink>
        </w:p>
        <w:p>
          <w:pPr>
            <w:pStyle w:val="Contents2"/>
            <w:rPr/>
          </w:pPr>
          <w:hyperlink w:anchor="__RefHeading___Toc8000_2907148441">
            <w:r>
              <w:rPr>
                <w:webHidden/>
                <w:rStyle w:val="IndexLink"/>
              </w:rPr>
              <w:t>E.1. The Function Allocation Table</w:t>
              <w:tab/>
              <w:t>54</w:t>
            </w:r>
          </w:hyperlink>
        </w:p>
        <w:p>
          <w:pPr>
            <w:pStyle w:val="Contents2"/>
            <w:rPr/>
          </w:pPr>
          <w:hyperlink w:anchor="__RefHeading___Toc8002_2907148441">
            <w:r>
              <w:rPr>
                <w:webHidden/>
                <w:rStyle w:val="IndexLink"/>
              </w:rPr>
              <w:t>E.2. Dual-Key Operating Rules</w:t>
              <w:tab/>
              <w:t>54</w:t>
            </w:r>
          </w:hyperlink>
        </w:p>
        <w:p>
          <w:pPr>
            <w:pStyle w:val="Contents2"/>
            <w:rPr/>
          </w:pPr>
          <w:hyperlink w:anchor="__RefHeading___Toc8004_2907148441">
            <w:r>
              <w:rPr>
                <w:webHidden/>
                <w:rStyle w:val="IndexLink"/>
              </w:rPr>
              <w:t>E.3. Interdiction Exclusion Protocol</w:t>
              <w:tab/>
              <w:t>55</w:t>
            </w:r>
          </w:hyperlink>
        </w:p>
        <w:p>
          <w:pPr>
            <w:pStyle w:val="Contents2"/>
            <w:rPr/>
          </w:pPr>
          <w:hyperlink w:anchor="__RefHeading___Toc8006_2907148441">
            <w:r>
              <w:rPr>
                <w:webHidden/>
                <w:rStyle w:val="IndexLink"/>
              </w:rPr>
              <w:t>E.4. Mine-Risk Response Protocol</w:t>
              <w:tab/>
              <w:t>55</w:t>
            </w:r>
          </w:hyperlink>
        </w:p>
        <w:p>
          <w:pPr>
            <w:pStyle w:val="Contents2"/>
            <w:rPr/>
          </w:pPr>
          <w:hyperlink w:anchor="__RefHeading___Toc8008_2907148441">
            <w:r>
              <w:rPr>
                <w:webHidden/>
                <w:rStyle w:val="IndexLink"/>
              </w:rPr>
              <w:t>E.5. The Regional Patrol Rotation Schedule</w:t>
              <w:tab/>
              <w:t>55</w:t>
            </w:r>
          </w:hyperlink>
        </w:p>
        <w:p>
          <w:pPr>
            <w:pStyle w:val="Contents2"/>
            <w:rPr/>
          </w:pPr>
          <w:hyperlink w:anchor="__RefHeading___Toc8010_2907148441">
            <w:r>
              <w:rPr>
                <w:webHidden/>
                <w:rStyle w:val="IndexLink"/>
              </w:rPr>
              <w:t>E.6. First-Phase Handover Schedule</w:t>
              <w:tab/>
              <w:t>55</w:t>
            </w:r>
          </w:hyperlink>
        </w:p>
        <w:p>
          <w:pPr>
            <w:pStyle w:val="Contents2"/>
            <w:rPr/>
          </w:pPr>
          <w:hyperlink w:anchor="__RefHeading___Toc8012_2907148441">
            <w:r>
              <w:rPr>
                <w:webHidden/>
                <w:rStyle w:val="IndexLink"/>
              </w:rPr>
              <w:t>E.7. Buffer Surge Scheme</w:t>
              <w:tab/>
              <w:t>56</w:t>
            </w:r>
          </w:hyperlink>
        </w:p>
        <w:p>
          <w:pPr>
            <w:pStyle w:val="Contents2"/>
            <w:rPr/>
          </w:pPr>
          <w:hyperlink w:anchor="__RefHeading___Toc8014_2907148441">
            <w:r>
              <w:rPr>
                <w:webHidden/>
                <w:rStyle w:val="IndexLink"/>
              </w:rPr>
              <w:t>E.8. The Two Hundred Kilometer Notice Rule</w:t>
              <w:tab/>
              <w:t>56</w:t>
            </w:r>
          </w:hyperlink>
        </w:p>
        <w:p>
          <w:pPr>
            <w:pStyle w:val="Contents2"/>
            <w:rPr/>
          </w:pPr>
          <w:hyperlink w:anchor="__RefHeading___Toc8016_2907148441">
            <w:r>
              <w:rPr>
                <w:webHidden/>
                <w:rStyle w:val="IndexLink"/>
              </w:rPr>
              <w:t>E.9. Deconfliction Hotline Protocols</w:t>
              <w:tab/>
              <w:t>56</w:t>
            </w:r>
          </w:hyperlink>
        </w:p>
        <w:p>
          <w:pPr>
            <w:pStyle w:val="Contents1"/>
            <w:rPr/>
          </w:pPr>
          <w:hyperlink w:anchor="__RefHeading___Toc8018_2907148441">
            <w:r>
              <w:rPr>
                <w:webHidden/>
                <w:rStyle w:val="IndexLink"/>
              </w:rPr>
              <w:t>ANNEX F. VERIFICATION PROCEDURES AND STABILITY AUDIT METRICS</w:t>
              <w:tab/>
              <w:t>57</w:t>
            </w:r>
          </w:hyperlink>
        </w:p>
        <w:p>
          <w:pPr>
            <w:pStyle w:val="Contents2"/>
            <w:rPr/>
          </w:pPr>
          <w:hyperlink w:anchor="__RefHeading___Toc8020_2907148441">
            <w:r>
              <w:rPr>
                <w:webHidden/>
                <w:rStyle w:val="IndexLink"/>
              </w:rPr>
              <w:t>F.1. Verification Operating Procedures</w:t>
              <w:tab/>
              <w:t>57</w:t>
            </w:r>
          </w:hyperlink>
        </w:p>
        <w:p>
          <w:pPr>
            <w:pStyle w:val="Contents2"/>
            <w:rPr/>
          </w:pPr>
          <w:hyperlink w:anchor="__RefHeading___Toc8022_2907148441">
            <w:r>
              <w:rPr>
                <w:webHidden/>
                <w:rStyle w:val="IndexLink"/>
              </w:rPr>
              <w:t>F.2. The Stability Audit: Domain One, Navigation and AIS Compliance</w:t>
              <w:tab/>
              <w:t>57</w:t>
            </w:r>
          </w:hyperlink>
        </w:p>
        <w:p>
          <w:pPr>
            <w:pStyle w:val="Contents2"/>
            <w:rPr/>
          </w:pPr>
          <w:hyperlink w:anchor="__RefHeading___Toc8024_2907148441">
            <w:r>
              <w:rPr>
                <w:webHidden/>
                <w:rStyle w:val="IndexLink"/>
              </w:rPr>
              <w:t>F.3. Domain Two: Security and Deconfliction</w:t>
              <w:tab/>
              <w:t>57</w:t>
            </w:r>
          </w:hyperlink>
        </w:p>
        <w:p>
          <w:pPr>
            <w:pStyle w:val="Contents2"/>
            <w:rPr/>
          </w:pPr>
          <w:hyperlink w:anchor="__RefHeading___Toc8026_2907148441">
            <w:r>
              <w:rPr>
                <w:webHidden/>
                <w:rStyle w:val="IndexLink"/>
              </w:rPr>
              <w:t>F.4. Domain Three: Monitoring and Transparency</w:t>
              <w:tab/>
              <w:t>58</w:t>
            </w:r>
          </w:hyperlink>
        </w:p>
        <w:p>
          <w:pPr>
            <w:pStyle w:val="Contents2"/>
            <w:rPr/>
          </w:pPr>
          <w:hyperlink w:anchor="__RefHeading___Toc8028_2907148441">
            <w:r>
              <w:rPr>
                <w:webHidden/>
                <w:rStyle w:val="IndexLink"/>
              </w:rPr>
              <w:t>F.5. Domain Four: Environment and Safety</w:t>
              <w:tab/>
              <w:t>58</w:t>
            </w:r>
          </w:hyperlink>
        </w:p>
        <w:p>
          <w:pPr>
            <w:pStyle w:val="Contents2"/>
            <w:rPr/>
          </w:pPr>
          <w:hyperlink w:anchor="__RefHeading___Toc8030_2907148441">
            <w:r>
              <w:rPr>
                <w:webHidden/>
                <w:rStyle w:val="IndexLink"/>
              </w:rPr>
              <w:t>F.6. Domain Five: Fees, Payments, and Funding</w:t>
              <w:tab/>
              <w:t>59</w:t>
            </w:r>
          </w:hyperlink>
        </w:p>
        <w:p>
          <w:pPr>
            <w:pStyle w:val="Contents2"/>
            <w:rPr/>
          </w:pPr>
          <w:hyperlink w:anchor="__RefHeading___Toc8032_2907148441">
            <w:r>
              <w:rPr>
                <w:webHidden/>
                <w:rStyle w:val="IndexLink"/>
              </w:rPr>
              <w:t>F.7. Scoring, Outcomes, and the Consequence Ladder</w:t>
              <w:tab/>
              <w:t>59</w:t>
            </w:r>
          </w:hyperlink>
        </w:p>
        <w:p>
          <w:pPr>
            <w:pStyle w:val="Contents2"/>
            <w:rPr/>
          </w:pPr>
          <w:hyperlink w:anchor="__RefHeading___Toc8034_2907148441">
            <w:r>
              <w:rPr>
                <w:webHidden/>
                <w:rStyle w:val="IndexLink"/>
              </w:rPr>
              <w:t>F.8. Audit Calendar</w:t>
              <w:tab/>
              <w:t>59</w:t>
            </w:r>
          </w:hyperlink>
        </w:p>
        <w:p>
          <w:pPr>
            <w:pStyle w:val="Contents1"/>
            <w:rPr/>
          </w:pPr>
          <w:hyperlink w:anchor="__RefHeading___Toc8036_2907148441">
            <w:r>
              <w:rPr>
                <w:webHidden/>
                <w:rStyle w:val="IndexLink"/>
              </w:rPr>
              <w:t>ANNEX G. ENVIRONMENTAL AND SAFETY PROTOCOLS</w:t>
              <w:tab/>
              <w:t>60</w:t>
            </w:r>
          </w:hyperlink>
        </w:p>
        <w:p>
          <w:pPr>
            <w:pStyle w:val="Contents2"/>
            <w:rPr/>
          </w:pPr>
          <w:hyperlink w:anchor="__RefHeading___Toc8038_2907148441">
            <w:r>
              <w:rPr>
                <w:webHidden/>
                <w:rStyle w:val="IndexLink"/>
              </w:rPr>
              <w:t>G.1. Hazardous Cargo Classes</w:t>
              <w:tab/>
              <w:t>60</w:t>
            </w:r>
          </w:hyperlink>
        </w:p>
        <w:p>
          <w:pPr>
            <w:pStyle w:val="Contents2"/>
            <w:rPr/>
          </w:pPr>
          <w:hyperlink w:anchor="__RefHeading___Toc8040_2907148441">
            <w:r>
              <w:rPr>
                <w:webHidden/>
                <w:rStyle w:val="IndexLink"/>
              </w:rPr>
              <w:t>G.2. Environmental Baseline and Monitoring Stations</w:t>
              <w:tab/>
              <w:t>60</w:t>
            </w:r>
          </w:hyperlink>
        </w:p>
        <w:p>
          <w:pPr>
            <w:pStyle w:val="Contents2"/>
            <w:rPr/>
          </w:pPr>
          <w:hyperlink w:anchor="__RefHeading___Toc8042_2907148441">
            <w:r>
              <w:rPr>
                <w:webHidden/>
                <w:rStyle w:val="IndexLink"/>
              </w:rPr>
              <w:t>G.3. Environmental Equipment Reserve</w:t>
              <w:tab/>
              <w:t>60</w:t>
            </w:r>
          </w:hyperlink>
        </w:p>
        <w:p>
          <w:pPr>
            <w:pStyle w:val="Contents2"/>
            <w:rPr/>
          </w:pPr>
          <w:hyperlink w:anchor="__RefHeading___Toc8044_2907148441">
            <w:r>
              <w:rPr>
                <w:webHidden/>
                <w:rStyle w:val="IndexLink"/>
              </w:rPr>
              <w:t>G.4. Spill Response Tiers</w:t>
              <w:tab/>
              <w:t>60</w:t>
            </w:r>
          </w:hyperlink>
        </w:p>
        <w:p>
          <w:pPr>
            <w:pStyle w:val="Contents2"/>
            <w:rPr/>
          </w:pPr>
          <w:hyperlink w:anchor="__RefHeading___Toc8046_2907148441">
            <w:r>
              <w:rPr>
                <w:webHidden/>
                <w:rStyle w:val="IndexLink"/>
              </w:rPr>
              <w:t>G.5. Mine-Risk Environmental Protocol</w:t>
              <w:tab/>
              <w:t>60</w:t>
            </w:r>
          </w:hyperlink>
        </w:p>
        <w:p>
          <w:pPr>
            <w:pStyle w:val="Contents2"/>
            <w:rPr/>
          </w:pPr>
          <w:hyperlink w:anchor="__RefHeading___Toc8048_2907148441">
            <w:r>
              <w:rPr>
                <w:webHidden/>
                <w:rStyle w:val="IndexLink"/>
              </w:rPr>
              <w:t>G.6. Search and Rescue Framework Details</w:t>
              <w:tab/>
              <w:t>61</w:t>
            </w:r>
          </w:hyperlink>
        </w:p>
        <w:p>
          <w:pPr>
            <w:pStyle w:val="Contents2"/>
            <w:rPr/>
          </w:pPr>
          <w:hyperlink w:anchor="__RefHeading___Toc8050_2907148441">
            <w:r>
              <w:rPr>
                <w:webHidden/>
                <w:rStyle w:val="IndexLink"/>
              </w:rPr>
              <w:t>G.7. Weather, Fog, and Swell Thresholds</w:t>
              <w:tab/>
              <w:t>61</w:t>
            </w:r>
          </w:hyperlink>
        </w:p>
        <w:p>
          <w:pPr>
            <w:pStyle w:val="Contents1"/>
            <w:rPr/>
          </w:pPr>
          <w:hyperlink w:anchor="__RefHeading___Toc8052_2907148441">
            <w:r>
              <w:rPr>
                <w:webHidden/>
                <w:rStyle w:val="IndexLink"/>
              </w:rPr>
              <w:t>ANNEX H. GOVERNANCE, REPRESENTATION, AND DISPUTE RESOLUTION RULES</w:t>
              <w:tab/>
              <w:t>62</w:t>
            </w:r>
          </w:hyperlink>
        </w:p>
        <w:p>
          <w:pPr>
            <w:pStyle w:val="Contents2"/>
            <w:rPr/>
          </w:pPr>
          <w:hyperlink w:anchor="__RefHeading___Toc8054_2907148441">
            <w:r>
              <w:rPr>
                <w:webHidden/>
                <w:rStyle w:val="IndexLink"/>
              </w:rPr>
              <w:t>H.1. Council Rules of Procedure</w:t>
              <w:tab/>
              <w:t>62</w:t>
            </w:r>
          </w:hyperlink>
        </w:p>
        <w:p>
          <w:pPr>
            <w:pStyle w:val="Contents2"/>
            <w:rPr/>
          </w:pPr>
          <w:hyperlink w:anchor="__RefHeading___Toc8056_2907148441">
            <w:r>
              <w:rPr>
                <w:webHidden/>
                <w:rStyle w:val="IndexLink"/>
              </w:rPr>
              <w:t>H.2. Representation and Equal Weight</w:t>
              <w:tab/>
              <w:t>62</w:t>
            </w:r>
          </w:hyperlink>
        </w:p>
        <w:p>
          <w:pPr>
            <w:pStyle w:val="Contents2"/>
            <w:rPr/>
          </w:pPr>
          <w:hyperlink w:anchor="__RefHeading___Toc8058_2907148441">
            <w:r>
              <w:rPr>
                <w:webHidden/>
                <w:rStyle w:val="IndexLink"/>
              </w:rPr>
              <w:t>H.3. Observer Rights</w:t>
              <w:tab/>
              <w:t>62</w:t>
            </w:r>
          </w:hyperlink>
        </w:p>
        <w:p>
          <w:pPr>
            <w:pStyle w:val="Contents2"/>
            <w:rPr/>
          </w:pPr>
          <w:hyperlink w:anchor="__RefHeading___Toc8060_2907148441">
            <w:r>
              <w:rPr>
                <w:webHidden/>
                <w:rStyle w:val="IndexLink"/>
              </w:rPr>
              <w:t>H.4. Protected Matters</w:t>
              <w:tab/>
              <w:t>62</w:t>
            </w:r>
          </w:hyperlink>
        </w:p>
        <w:p>
          <w:pPr>
            <w:pStyle w:val="Contents2"/>
            <w:rPr/>
          </w:pPr>
          <w:hyperlink w:anchor="__RefHeading___Toc8062_2907148441">
            <w:r>
              <w:rPr>
                <w:webHidden/>
                <w:rStyle w:val="IndexLink"/>
              </w:rPr>
              <w:t>H.5. The Secretariat: Staffing and Cost Discipline</w:t>
              <w:tab/>
              <w:t>62</w:t>
            </w:r>
          </w:hyperlink>
        </w:p>
        <w:p>
          <w:pPr>
            <w:pStyle w:val="Contents2"/>
            <w:rPr/>
          </w:pPr>
          <w:hyperlink w:anchor="__RefHeading___Toc8064_2907148441">
            <w:r>
              <w:rPr>
                <w:webHidden/>
                <w:rStyle w:val="IndexLink"/>
              </w:rPr>
              <w:t>H.6. The Neutral Arbitration Panel: Operating Rules</w:t>
              <w:tab/>
              <w:t>63</w:t>
            </w:r>
          </w:hyperlink>
        </w:p>
        <w:p>
          <w:pPr>
            <w:pStyle w:val="Contents2"/>
            <w:rPr/>
          </w:pPr>
          <w:hyperlink w:anchor="__RefHeading___Toc8066_2907148441">
            <w:r>
              <w:rPr>
                <w:webHidden/>
                <w:rStyle w:val="IndexLink"/>
              </w:rPr>
              <w:t>H.7. Review Cycles</w:t>
              <w:tab/>
              <w:t>63</w:t>
            </w:r>
          </w:hyperlink>
        </w:p>
        <w:p>
          <w:pPr>
            <w:pStyle w:val="Contents2"/>
            <w:rPr/>
          </w:pPr>
          <w:hyperlink w:anchor="__RefHeading___Toc8068_2907148441">
            <w:r>
              <w:rPr>
                <w:webHidden/>
                <w:rStyle w:val="IndexLink"/>
              </w:rPr>
              <w:t>H.8. Media Program Rules</w:t>
              <w:tab/>
              <w:t>63</w:t>
            </w:r>
          </w:hyperlink>
        </w:p>
        <w:p>
          <w:pPr>
            <w:pStyle w:val="Contents1"/>
            <w:rPr/>
          </w:pPr>
          <w:hyperlink w:anchor="__RefHeading___Toc8070_2907148441">
            <w:r>
              <w:rPr>
                <w:webHidden/>
                <w:rStyle w:val="IndexLink"/>
              </w:rPr>
              <w:t>ANNEX I. GRADUATED LAYER MICROPILOT CATALOGUE</w:t>
              <w:tab/>
              <w:t>64</w:t>
            </w:r>
          </w:hyperlink>
        </w:p>
        <w:p>
          <w:pPr>
            <w:pStyle w:val="Contents2"/>
            <w:rPr/>
          </w:pPr>
          <w:hyperlink w:anchor="__RefHeading___Toc8072_2907148441">
            <w:r>
              <w:rPr>
                <w:webHidden/>
                <w:rStyle w:val="IndexLink"/>
              </w:rPr>
              <w:t>I.1. Purpose and Method</w:t>
              <w:tab/>
              <w:t>64</w:t>
            </w:r>
          </w:hyperlink>
        </w:p>
        <w:p>
          <w:pPr>
            <w:pStyle w:val="Contents2"/>
            <w:rPr/>
          </w:pPr>
          <w:hyperlink w:anchor="__RefHeading___Toc8074_2907148441">
            <w:r>
              <w:rPr>
                <w:webHidden/>
                <w:rStyle w:val="IndexLink"/>
              </w:rPr>
              <w:t>I.2. Set One: Visibility and Predictability (Activates Day 5)</w:t>
              <w:tab/>
              <w:t>64</w:t>
            </w:r>
          </w:hyperlink>
        </w:p>
        <w:p>
          <w:pPr>
            <w:pStyle w:val="Contents2"/>
            <w:rPr/>
          </w:pPr>
          <w:hyperlink w:anchor="__RefHeading___Toc8076_2907148441">
            <w:r>
              <w:rPr>
                <w:webHidden/>
                <w:rStyle w:val="IndexLink"/>
              </w:rPr>
              <w:t>I.3. Set Two: Micro-Routing and Movement Safety (Activates Day 12)</w:t>
              <w:tab/>
              <w:t>64</w:t>
            </w:r>
          </w:hyperlink>
        </w:p>
        <w:p>
          <w:pPr>
            <w:pStyle w:val="Contents2"/>
            <w:rPr/>
          </w:pPr>
          <w:hyperlink w:anchor="__RefHeading___Toc8078_2907148441">
            <w:r>
              <w:rPr>
                <w:webHidden/>
                <w:rStyle w:val="IndexLink"/>
              </w:rPr>
              <w:t>I.4. Set Three: Micro-Alerts and Incident Reduction (Activates Day 19)</w:t>
              <w:tab/>
              <w:t>65</w:t>
            </w:r>
          </w:hyperlink>
        </w:p>
        <w:p>
          <w:pPr>
            <w:pStyle w:val="Contents2"/>
            <w:rPr/>
          </w:pPr>
          <w:hyperlink w:anchor="__RefHeading___Toc8080_2907148441">
            <w:r>
              <w:rPr>
                <w:webHidden/>
                <w:rStyle w:val="IndexLink"/>
              </w:rPr>
              <w:t>I.5. Set Four: Micro-Response and Repair Coordination (Activates Day 26)</w:t>
              <w:tab/>
              <w:t>66</w:t>
            </w:r>
          </w:hyperlink>
        </w:p>
        <w:p>
          <w:pPr>
            <w:pStyle w:val="Contents2"/>
            <w:rPr/>
          </w:pPr>
          <w:hyperlink w:anchor="__RefHeading___Toc8082_2907148441">
            <w:r>
              <w:rPr>
                <w:webHidden/>
                <w:rStyle w:val="IndexLink"/>
              </w:rPr>
              <w:t>I.6. Set Five: Micro-Governance and Simulation (Activates Day 33)</w:t>
              <w:tab/>
              <w:t>66</w:t>
            </w:r>
          </w:hyperlink>
        </w:p>
        <w:p>
          <w:pPr>
            <w:pStyle w:val="Contents2"/>
            <w:rPr/>
          </w:pPr>
          <w:hyperlink w:anchor="__RefHeading___Toc8084_2907148441">
            <w:r>
              <w:rPr>
                <w:webHidden/>
                <w:rStyle w:val="IndexLink"/>
              </w:rPr>
              <w:t>I.7. Graduation Rules</w:t>
              <w:tab/>
              <w:t>67</w:t>
            </w:r>
          </w:hyperlink>
        </w:p>
        <w:p>
          <w:pPr>
            <w:pStyle w:val="Contents1"/>
            <w:rPr/>
          </w:pPr>
          <w:hyperlink w:anchor="__RefHeading___Toc8086_2907148441">
            <w:r>
              <w:rPr>
                <w:webHidden/>
                <w:rStyle w:val="IndexLink"/>
              </w:rPr>
              <w:t>ANNEX J. INSURANCE POOL AND ECONOMIC CONTINUITY INSTRUMENTS</w:t>
              <w:tab/>
              <w:t>68</w:t>
            </w:r>
          </w:hyperlink>
        </w:p>
        <w:p>
          <w:pPr>
            <w:pStyle w:val="Contents2"/>
            <w:rPr/>
          </w:pPr>
          <w:hyperlink w:anchor="__RefHeading___Toc8088_2907148441">
            <w:r>
              <w:rPr>
                <w:webHidden/>
                <w:rStyle w:val="IndexLink"/>
              </w:rPr>
              <w:t>J.1. The Hormuz Insurance Pool</w:t>
              <w:tab/>
              <w:t>68</w:t>
            </w:r>
          </w:hyperlink>
        </w:p>
        <w:p>
          <w:pPr>
            <w:pStyle w:val="Contents2"/>
            <w:rPr/>
          </w:pPr>
          <w:hyperlink w:anchor="__RefHeading___Toc8090_2907148441">
            <w:r>
              <w:rPr>
                <w:webHidden/>
                <w:rStyle w:val="IndexLink"/>
              </w:rPr>
              <w:t>J.2. Relationship with the Commercial Market</w:t>
              <w:tab/>
              <w:t>68</w:t>
            </w:r>
          </w:hyperlink>
        </w:p>
        <w:p>
          <w:pPr>
            <w:pStyle w:val="Contents2"/>
            <w:rPr/>
          </w:pPr>
          <w:hyperlink w:anchor="__RefHeading___Toc8092_2907148441">
            <w:r>
              <w:rPr>
                <w:webHidden/>
                <w:rStyle w:val="IndexLink"/>
              </w:rPr>
              <w:t>J.3. The Trade Continuity Guarantee</w:t>
              <w:tab/>
              <w:t>68</w:t>
            </w:r>
          </w:hyperlink>
        </w:p>
        <w:p>
          <w:pPr>
            <w:pStyle w:val="Contents2"/>
            <w:rPr/>
          </w:pPr>
          <w:hyperlink w:anchor="__RefHeading___Toc8094_2907148441">
            <w:r>
              <w:rPr>
                <w:webHidden/>
                <w:rStyle w:val="IndexLink"/>
              </w:rPr>
              <w:t>J.4. The Stability Dividend Program</w:t>
              <w:tab/>
              <w:t>69</w:t>
            </w:r>
          </w:hyperlink>
        </w:p>
        <w:p>
          <w:pPr>
            <w:pStyle w:val="Contents2"/>
            <w:rPr/>
          </w:pPr>
          <w:hyperlink w:anchor="__RefHeading___Toc8096_2907148441">
            <w:r>
              <w:rPr>
                <w:webHidden/>
                <w:rStyle w:val="IndexLink"/>
              </w:rPr>
              <w:t>J.5. Cost-Effectiveness Commitments</w:t>
              <w:tab/>
              <w:t>69</w:t>
            </w:r>
          </w:hyperlink>
        </w:p>
        <w:p>
          <w:pPr>
            <w:pStyle w:val="Contents2"/>
            <w:rPr/>
          </w:pPr>
          <w:hyperlink w:anchor="__RefHeading___Toc8098_2907148441">
            <w:r>
              <w:rPr>
                <w:webHidden/>
                <w:rStyle w:val="IndexLink"/>
              </w:rPr>
              <w:t>J.6. Insurance Data and Actuarial Transparency</w:t>
              <w:tab/>
              <w:t>69</w:t>
            </w:r>
          </w:hyperlink>
        </w:p>
        <w:p>
          <w:pPr>
            <w:pStyle w:val="Contents1"/>
            <w:rPr/>
          </w:pPr>
          <w:hyperlink w:anchor="__RefHeading___Toc8100_2907148441">
            <w:r>
              <w:rPr>
                <w:webHidden/>
                <w:rStyle w:val="IndexLink"/>
              </w:rPr>
              <w:t>ANNEX K. POSITIONS ALIGNMENT MATRIX</w:t>
              <w:tab/>
              <w:t>70</w:t>
            </w:r>
          </w:hyperlink>
        </w:p>
        <w:p>
          <w:pPr>
            <w:pStyle w:val="Contents2"/>
            <w:rPr/>
          </w:pPr>
          <w:hyperlink w:anchor="__RefHeading___Toc8102_2907148441">
            <w:r>
              <w:rPr>
                <w:webHidden/>
                <w:rStyle w:val="IndexLink"/>
              </w:rPr>
              <w:t>K.1. Purpose</w:t>
              <w:tab/>
              <w:t>70</w:t>
            </w:r>
          </w:hyperlink>
        </w:p>
        <w:p>
          <w:pPr>
            <w:pStyle w:val="Contents2"/>
            <w:rPr/>
          </w:pPr>
          <w:hyperlink w:anchor="__RefHeading___Toc8104_2907148441">
            <w:r>
              <w:rPr>
                <w:webHidden/>
                <w:rStyle w:val="IndexLink"/>
              </w:rPr>
              <w:t>K.2. Guaranteeing Participant Positions</w:t>
              <w:tab/>
              <w:t>70</w:t>
            </w:r>
          </w:hyperlink>
        </w:p>
        <w:p>
          <w:pPr>
            <w:pStyle w:val="Contents2"/>
            <w:rPr/>
          </w:pPr>
          <w:hyperlink w:anchor="__RefHeading___Toc8106_2907148441">
            <w:r>
              <w:rPr>
                <w:webHidden/>
                <w:rStyle w:val="IndexLink"/>
              </w:rPr>
              <w:t>K.3. Iranian Positions</w:t>
              <w:tab/>
              <w:t>71</w:t>
            </w:r>
          </w:hyperlink>
        </w:p>
        <w:p>
          <w:pPr>
            <w:pStyle w:val="Contents2"/>
            <w:rPr/>
          </w:pPr>
          <w:hyperlink w:anchor="__RefHeading___Toc8108_2907148441">
            <w:r>
              <w:rPr>
                <w:webHidden/>
                <w:rStyle w:val="IndexLink"/>
              </w:rPr>
              <w:t>K.4. Omani Positions</w:t>
              <w:tab/>
              <w:t>71</w:t>
            </w:r>
          </w:hyperlink>
        </w:p>
        <w:p>
          <w:pPr>
            <w:pStyle w:val="Contents2"/>
            <w:rPr/>
          </w:pPr>
          <w:hyperlink w:anchor="__RefHeading___Toc8110_2907148441">
            <w:r>
              <w:rPr>
                <w:webHidden/>
                <w:rStyle w:val="IndexLink"/>
              </w:rPr>
              <w:t>K.5. Gulf Cooperation Council Positions</w:t>
              <w:tab/>
              <w:t>72</w:t>
            </w:r>
          </w:hyperlink>
        </w:p>
        <w:p>
          <w:pPr>
            <w:pStyle w:val="Contents2"/>
            <w:rPr/>
          </w:pPr>
          <w:hyperlink w:anchor="__RefHeading___Toc8112_2907148441">
            <w:r>
              <w:rPr>
                <w:webHidden/>
                <w:rStyle w:val="IndexLink"/>
              </w:rPr>
              <w:t>K.6. European and Insurer Positions</w:t>
              <w:tab/>
              <w:t>72</w:t>
            </w:r>
          </w:hyperlink>
        </w:p>
        <w:p>
          <w:pPr>
            <w:pStyle w:val="Contents1"/>
            <w:rPr/>
          </w:pPr>
          <w:hyperlink w:anchor="__RefHeading___Toc8114_2907148441">
            <w:r>
              <w:rPr>
                <w:webHidden/>
                <w:rStyle w:val="IndexLink"/>
              </w:rPr>
              <w:t>ANNEX L. DEFINITIONS AND ABBREVIATIONS</w:t>
              <w:tab/>
              <w:t>74</w:t>
            </w:r>
          </w:hyperlink>
        </w:p>
        <w:p>
          <w:pPr>
            <w:pStyle w:val="Contents2"/>
            <w:rPr/>
          </w:pPr>
          <w:hyperlink w:anchor="__RefHeading___Toc8116_2907148441">
            <w:r>
              <w:rPr>
                <w:webHidden/>
                <w:rStyle w:val="IndexLink"/>
              </w:rPr>
              <w:t>L.1. Definitions</w:t>
              <w:tab/>
              <w:t>74</w:t>
            </w:r>
          </w:hyperlink>
        </w:p>
        <w:p>
          <w:pPr>
            <w:pStyle w:val="Contents2"/>
            <w:rPr/>
          </w:pPr>
          <w:hyperlink w:anchor="__RefHeading___Toc8118_2907148441">
            <w:r>
              <w:rPr>
                <w:webHidden/>
                <w:rStyle w:val="IndexLink"/>
              </w:rPr>
              <w:t>L.2. Abbreviations</w:t>
              <w:tab/>
              <w:t>75</w:t>
            </w:r>
          </w:hyperlink>
        </w:p>
        <w:p>
          <w:pPr>
            <w:pStyle w:val="Contents2"/>
            <w:rPr/>
          </w:pPr>
          <w:hyperlink w:anchor="__RefHeading___Toc8120_2907148441">
            <w:r>
              <w:rPr>
                <w:webHidden/>
                <w:rStyle w:val="IndexLink"/>
              </w:rPr>
              <w:t>L.3. Interpretation Rules</w:t>
              <w:tab/>
              <w:t>75</w:t>
            </w:r>
          </w:hyperlink>
        </w:p>
        <w:p>
          <w:pPr>
            <w:pStyle w:val="Contents1"/>
            <w:rPr/>
          </w:pPr>
          <w:hyperlink w:anchor="__RefHeading___Toc8122_2907148441">
            <w:r>
              <w:rPr>
                <w:webHidden/>
                <w:rStyle w:val="IndexLink"/>
              </w:rPr>
              <w:t>CLOSING NOTE OF THE DRAFTING FACILITATORS</w:t>
              <w:tab/>
              <w:t>76</w:t>
            </w:r>
          </w:hyperlink>
          <w:r>
            <w:rPr>
              <w:rStyle w:val="IndexLink"/>
            </w:rPr>
            <w:fldChar w:fldCharType="end"/>
          </w:r>
        </w:p>
      </w:sdtContent>
    </w:sdt>
    <w:p>
      <w:pPr>
        <w:sectPr>
          <w:headerReference w:type="default" r:id="rId4"/>
          <w:footerReference w:type="default" r:id="rId5"/>
          <w:type w:val="nextPage"/>
          <w:pgSz w:w="12240" w:h="15840"/>
          <w:pgMar w:left="1440" w:right="1440" w:gutter="0" w:header="720" w:top="1440" w:footer="720" w:bottom="1440"/>
          <w:pgNumType w:start="1" w:fmt="decimal"/>
          <w:formProt w:val="false"/>
          <w:textDirection w:val="lrTb"/>
          <w:docGrid w:type="default" w:linePitch="100" w:charSpace="0"/>
        </w:sectPr>
        <w:pStyle w:val="Normal"/>
        <w:widowControl/>
        <w:bidi w:val="0"/>
        <w:spacing w:before="0" w:after="200"/>
        <w:jc w:val="left"/>
        <w:rPr>
          <w:rFonts w:ascii="Calibri" w:hAnsi="Calibri"/>
          <w:sz w:val="22"/>
        </w:rPr>
      </w:pPr>
      <w:r>
        <w:rPr>
          <w:sz w:val="22"/>
        </w:rPr>
      </w:r>
      <w:r>
        <w:br w:type="page"/>
      </w:r>
    </w:p>
    <w:p>
      <w:pPr>
        <w:pStyle w:val="Heading1"/>
        <w:rPr/>
      </w:pPr>
      <w:bookmarkStart w:id="0" w:name="__RefHeading___Toc7722_2907148441"/>
      <w:bookmarkStart w:id="1" w:name="document-control"/>
      <w:bookmarkEnd w:id="0"/>
      <w:r>
        <w:rPr>
          <w:rFonts w:eastAsia="" w:cs="" w:cstheme="majorBidi" w:eastAsiaTheme="majorEastAsia"/>
          <w:b/>
          <w:color w:val="1F3A5F"/>
          <w:sz w:val="32"/>
          <w:szCs w:val="32"/>
          <w:lang w:val="en-US" w:eastAsia="en-US" w:bidi="ar-SA"/>
        </w:rPr>
        <w:t>DOCUMENT CONTROL</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kern w:val="0"/>
              </w:rPr>
            </w:pPr>
            <w:r>
              <w:rPr>
                <w:rFonts w:eastAsia="Calibri" w:cs="Calibri"/>
                <w:kern w:val="0"/>
                <w:sz w:val="22"/>
                <w:szCs w:val="24"/>
                <w:lang w:val="en-US" w:eastAsia="en-US" w:bidi="ar-SA"/>
              </w:rPr>
              <w:t>Field</w:t>
            </w:r>
          </w:p>
        </w:tc>
        <w:tc>
          <w:tcPr>
            <w:tcW w:w="4680" w:type="dxa"/>
            <w:tcBorders>
              <w:bottom w:val="single" w:sz="6" w:space="0" w:color="000000"/>
            </w:tcBorders>
            <w:vAlign w:val="bottom"/>
          </w:tcPr>
          <w:p>
            <w:pPr>
              <w:pStyle w:val="Compact"/>
              <w:widowControl/>
              <w:spacing w:before="36" w:after="36"/>
              <w:jc w:val="left"/>
              <w:rPr>
                <w:kern w:val="0"/>
              </w:rPr>
            </w:pPr>
            <w:r>
              <w:rPr>
                <w:rFonts w:eastAsia="Calibri" w:cs="Calibri"/>
                <w:kern w:val="0"/>
                <w:sz w:val="22"/>
                <w:szCs w:val="24"/>
                <w:lang w:val="en-US" w:eastAsia="en-US" w:bidi="ar-SA"/>
              </w:rPr>
              <w:t>Entry</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Instrument</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The Hormuz Navigation and Transit Treaty (HN&amp;TT)</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Version</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1.0</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Status</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Open for signature</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Depositary</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The Sultanate of Oman</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Place of Adoption</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Muscat, Sultanate of Oman</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Working Languages</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Arabic, English, and Persian, all three texts equally authoritative</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Registration</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Deposited with the International Maritime Organization and registered with the Secretariat of the United Nations pursuant to Article 102 of the Charter of the United Nations</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Custodian of the Coordinate Schedules</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The Maritime Coordination Center, Muscat</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Review Cycle</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Quarterly during the first year, annually thereafter</w:t>
            </w:r>
          </w:p>
        </w:tc>
      </w:tr>
      <w:tr>
        <w:trPr/>
        <w:tc>
          <w:tcPr>
            <w:tcW w:w="4679" w:type="dxa"/>
            <w:tcBorders/>
          </w:tcPr>
          <w:p>
            <w:pPr>
              <w:pStyle w:val="Compact"/>
              <w:widowControl/>
              <w:spacing w:before="36" w:after="36"/>
              <w:jc w:val="left"/>
              <w:rPr>
                <w:kern w:val="0"/>
              </w:rPr>
            </w:pPr>
            <w:r>
              <w:rPr>
                <w:rFonts w:eastAsia="Calibri" w:cs="Calibri"/>
                <w:kern w:val="0"/>
                <w:sz w:val="22"/>
                <w:szCs w:val="24"/>
                <w:lang w:val="en-US" w:eastAsia="en-US" w:bidi="ar-SA"/>
              </w:rPr>
              <w:t>Supersession</w:t>
            </w:r>
          </w:p>
        </w:tc>
        <w:tc>
          <w:tcPr>
            <w:tcW w:w="4680" w:type="dxa"/>
            <w:tcBorders/>
          </w:tcPr>
          <w:p>
            <w:pPr>
              <w:pStyle w:val="Compact"/>
              <w:widowControl/>
              <w:spacing w:before="36" w:after="36"/>
              <w:jc w:val="left"/>
              <w:rPr>
                <w:kern w:val="0"/>
              </w:rPr>
            </w:pPr>
            <w:r>
              <w:rPr>
                <w:rFonts w:eastAsia="Calibri" w:cs="Calibri"/>
                <w:kern w:val="0"/>
                <w:sz w:val="22"/>
                <w:szCs w:val="24"/>
                <w:lang w:val="en-US" w:eastAsia="en-US" w:bidi="ar-SA"/>
              </w:rPr>
              <w:t>This Treaty supersedes the temporary wartime lane regime and all ad hoc routing instructions issued during the conflict period</w:t>
            </w:r>
          </w:p>
        </w:tc>
      </w:tr>
    </w:tbl>
    <w:p>
      <w:pPr>
        <w:pStyle w:val="TextBody"/>
        <w:rPr/>
      </w:pPr>
      <w:r>
        <w:rPr>
          <w:rFonts w:eastAsia="Calibri" w:cs="Calibri"/>
          <w:b/>
          <w:sz w:val="22"/>
          <w:szCs w:val="24"/>
          <w:lang w:val="en-US" w:eastAsia="en-US" w:bidi="ar-SA"/>
        </w:rPr>
        <w:t>Interpretation note.</w:t>
      </w:r>
      <w:r>
        <w:rPr>
          <w:rFonts w:eastAsia="Calibri" w:cs="Calibri"/>
          <w:sz w:val="22"/>
          <w:szCs w:val="24"/>
          <w:lang w:val="en-US" w:eastAsia="en-US" w:bidi="ar-SA"/>
        </w:rPr>
        <w:t xml:space="preserve"> This Treaty uses the active present tense throughout. Every clause states an operational fact of the framework. Where this Treaty describes an action, the named actor performs that action as a standing rule of the system, not as a one-time command. Timelines stated in days run from Treaty signature, designated Day 0.</w:t>
      </w:r>
    </w:p>
    <w:p>
      <w:pPr>
        <w:pStyle w:val="Normal"/>
        <w:rPr/>
      </w:pPr>
      <w:bookmarkStart w:id="2" w:name="document-control"/>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r>
        <w:br w:type="page"/>
      </w:r>
    </w:p>
    <w:p>
      <w:pPr>
        <w:pStyle w:val="Heading1"/>
        <w:rPr/>
      </w:pPr>
      <w:bookmarkStart w:id="3" w:name="__RefHeading___Toc7724_2907148441"/>
      <w:bookmarkStart w:id="4" w:name="preamble"/>
      <w:bookmarkEnd w:id="3"/>
      <w:r>
        <w:rPr>
          <w:rFonts w:eastAsia="" w:cs="" w:cstheme="majorBidi" w:eastAsiaTheme="majorEastAsia"/>
          <w:b/>
          <w:color w:val="1F3A5F"/>
          <w:sz w:val="32"/>
          <w:szCs w:val="32"/>
          <w:lang w:val="en-US" w:eastAsia="en-US" w:bidi="ar-SA"/>
        </w:rPr>
        <w:t>PREAMBLE</w:t>
      </w:r>
    </w:p>
    <w:p>
      <w:pPr>
        <w:pStyle w:val="TextBody"/>
        <w:rPr/>
      </w:pPr>
      <w:r>
        <w:rPr>
          <w:rFonts w:eastAsia="Calibri" w:cs="Calibri"/>
          <w:sz w:val="22"/>
          <w:szCs w:val="24"/>
          <w:lang w:val="en-US" w:eastAsia="en-US" w:bidi="ar-SA"/>
        </w:rPr>
        <w:t>The Coastal Parties, the Regional Signatories, the Guaranteeing Participant, the Mediating Witnesses, and the Institutional Observers, hereafter the Parties,</w:t>
      </w:r>
    </w:p>
    <w:p>
      <w:pPr>
        <w:pStyle w:val="TextBody"/>
        <w:rPr/>
      </w:pPr>
      <w:r>
        <w:rPr>
          <w:rFonts w:eastAsia="Calibri" w:cs="Calibri"/>
          <w:sz w:val="22"/>
          <w:szCs w:val="24"/>
          <w:lang w:val="en-US" w:eastAsia="en-US" w:bidi="ar-SA"/>
        </w:rPr>
        <w:t>Recalling that the Strait of Hormuz is a strait used for international navigation, connecting the Arabian Gulf with the Gulf of Oman and the wider Indian Ocean, and that before the conflict of 2026 it carried approximately one fifth of global petroleum trade and a substantial share of global liquefied natural gas,</w:t>
      </w:r>
    </w:p>
    <w:p>
      <w:pPr>
        <w:pStyle w:val="TextBody"/>
        <w:rPr/>
      </w:pPr>
      <w:r>
        <w:rPr>
          <w:rFonts w:eastAsia="Calibri" w:cs="Calibri"/>
          <w:sz w:val="22"/>
          <w:szCs w:val="24"/>
          <w:lang w:val="en-US" w:eastAsia="en-US" w:bidi="ar-SA"/>
        </w:rPr>
        <w:t>Recalling United Nations Security Council resolution 2817 (2026), which affirms that navigational rights and freedoms through the Strait of Hormuz operate under international law, as reflected in the United Nations Convention on the Law of the Sea,</w:t>
      </w:r>
    </w:p>
    <w:p>
      <w:pPr>
        <w:pStyle w:val="TextBody"/>
        <w:rPr/>
      </w:pPr>
      <w:r>
        <w:rPr>
          <w:rFonts w:eastAsia="Calibri" w:cs="Calibri"/>
          <w:sz w:val="22"/>
          <w:szCs w:val="24"/>
          <w:lang w:val="en-US" w:eastAsia="en-US" w:bidi="ar-SA"/>
        </w:rPr>
        <w:t>Recalling the Memorandum of Understanding of June 2026, facilitated by the Islamic Republic of Pakistan and the State of Qatar, which extended the ceasefire and established a sixty-day window for negotiations,</w:t>
      </w:r>
    </w:p>
    <w:p>
      <w:pPr>
        <w:pStyle w:val="TextBody"/>
        <w:rPr/>
      </w:pPr>
      <w:r>
        <w:rPr>
          <w:rFonts w:eastAsia="Calibri" w:cs="Calibri"/>
          <w:sz w:val="22"/>
          <w:szCs w:val="24"/>
          <w:lang w:val="en-US" w:eastAsia="en-US" w:bidi="ar-SA"/>
        </w:rPr>
        <w:t>Noting the joint statement of the European Union and the Gulf Cooperation Council of July 2026, which rejects any regime of permits, transit tolls, or service fees imposed upon international shipping as a condition of passage, and which calls for governance through international and regional institutions, particularly the International Maritime Organization,</w:t>
      </w:r>
    </w:p>
    <w:p>
      <w:pPr>
        <w:pStyle w:val="TextBody"/>
        <w:rPr/>
      </w:pPr>
      <w:r>
        <w:rPr>
          <w:rFonts w:eastAsia="Calibri" w:cs="Calibri"/>
          <w:sz w:val="22"/>
          <w:szCs w:val="24"/>
          <w:lang w:val="en-US" w:eastAsia="en-US" w:bidi="ar-SA"/>
        </w:rPr>
        <w:t>Noting the negotiations between the Islamic Republic of Iran and the Sultanate of Oman in July and August 2026, which produced agreed corridor coordinates, aligned entry and exit points, and a converging model of an inbound lane, an outbound lane, and a central buffer,</w:t>
      </w:r>
    </w:p>
    <w:p>
      <w:pPr>
        <w:pStyle w:val="TextBody"/>
        <w:rPr/>
      </w:pPr>
      <w:r>
        <w:rPr>
          <w:rFonts w:eastAsia="Calibri" w:cs="Calibri"/>
          <w:sz w:val="22"/>
          <w:szCs w:val="24"/>
          <w:lang w:val="en-US" w:eastAsia="en-US" w:bidi="ar-SA"/>
        </w:rPr>
        <w:t>Noting that more than twenty thousand seafarers remain stranded and more than two thousand commercial vessels face restrictions, and that prolonged disruption threatens global energy security, food security, and the economies of developing countries most of all,</w:t>
      </w:r>
    </w:p>
    <w:p>
      <w:pPr>
        <w:pStyle w:val="TextBody"/>
        <w:rPr/>
      </w:pPr>
      <w:r>
        <w:rPr>
          <w:rFonts w:eastAsia="Calibri" w:cs="Calibri"/>
          <w:sz w:val="22"/>
          <w:szCs w:val="24"/>
          <w:lang w:val="en-US" w:eastAsia="en-US" w:bidi="ar-SA"/>
        </w:rPr>
        <w:t>Affirming that the sovereignty of each Coastal Party over its territorial sea remains intact, and that this Treaty allocates functions, not sovereignty,</w:t>
      </w:r>
    </w:p>
    <w:p>
      <w:pPr>
        <w:pStyle w:val="TextBody"/>
        <w:rPr/>
      </w:pPr>
      <w:r>
        <w:rPr>
          <w:rFonts w:eastAsia="Calibri" w:cs="Calibri"/>
          <w:sz w:val="22"/>
          <w:szCs w:val="24"/>
          <w:lang w:val="en-US" w:eastAsia="en-US" w:bidi="ar-SA"/>
        </w:rPr>
        <w:t>Affirming that a durable opening of the Strait arises from graduated, verifiable, reversible layers of cooperation rather than from a single act of political decision,</w:t>
      </w:r>
    </w:p>
    <w:p>
      <w:pPr>
        <w:pStyle w:val="TextBody"/>
        <w:rPr/>
      </w:pPr>
      <w:r>
        <w:rPr>
          <w:rFonts w:eastAsia="Calibri" w:cs="Calibri"/>
          <w:sz w:val="22"/>
          <w:szCs w:val="24"/>
          <w:lang w:val="en-US" w:eastAsia="en-US" w:bidi="ar-SA"/>
        </w:rPr>
        <w:t>Determined to open the Strait of Hormuz to full commercial traffic within five days of signature, to keep it open through shared institutions, and to do so at the lowest achievable cost to all Parties and to the shipping community,</w:t>
      </w:r>
    </w:p>
    <w:p>
      <w:pPr>
        <w:pStyle w:val="TextBody"/>
        <w:rPr/>
      </w:pPr>
      <w:r>
        <w:rPr>
          <w:rFonts w:eastAsia="Calibri" w:cs="Calibri"/>
          <w:sz w:val="22"/>
          <w:szCs w:val="24"/>
          <w:lang w:val="en-US" w:eastAsia="en-US" w:bidi="ar-SA"/>
        </w:rPr>
        <w:t>Agree as follows.</w:t>
      </w:r>
    </w:p>
    <w:p>
      <w:pPr>
        <w:pStyle w:val="Normal"/>
        <w:rPr/>
      </w:pPr>
      <w:bookmarkStart w:id="5" w:name="preamble"/>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r>
        <w:br w:type="page"/>
      </w:r>
    </w:p>
    <w:p>
      <w:pPr>
        <w:pStyle w:val="Heading1"/>
        <w:rPr/>
      </w:pPr>
      <w:bookmarkStart w:id="6" w:name="__RefHeading___Toc7726_2907148441"/>
      <w:bookmarkStart w:id="7" w:name="X3d99710c24eb33d6fdf469080197e95f71139e2"/>
      <w:bookmarkEnd w:id="6"/>
      <w:r>
        <w:rPr>
          <w:color w:val="1F3A5F"/>
        </w:rPr>
        <w:t>PART I. PURPOSE, SCOPE, AND GUIDING PRINCIPLES</w:t>
      </w:r>
    </w:p>
    <w:p>
      <w:pPr>
        <w:pStyle w:val="Heading2"/>
        <w:rPr/>
      </w:pPr>
      <w:bookmarkStart w:id="8" w:name="__RefHeading___Toc7728_2907148441"/>
      <w:bookmarkStart w:id="9" w:name="article-1.-purpose"/>
      <w:bookmarkEnd w:id="8"/>
      <w:r>
        <w:rPr>
          <w:color w:val="2E4F6E"/>
        </w:rPr>
        <w:t>Article 1. Purpose</w:t>
      </w:r>
    </w:p>
    <w:p>
      <w:pPr>
        <w:pStyle w:val="FirstParagraph"/>
        <w:rPr/>
      </w:pPr>
      <w:r>
        <w:rPr/>
        <w:t>1.1. This Treaty establishes the permanent governance architecture for navigation, safety, security, verification, funding, and transparency in the Strait of Hormuz.</w:t>
      </w:r>
    </w:p>
    <w:p>
      <w:pPr>
        <w:pStyle w:val="TextBody"/>
        <w:rPr/>
      </w:pPr>
      <w:r>
        <w:rPr/>
        <w:t>1.2. This Treaty opens the Strait to full commercial traffic within five days of signature through a synchronized, indivisible opening sequence set out in Part IV and Annex B.</w:t>
      </w:r>
    </w:p>
    <w:p>
      <w:pPr>
        <w:pStyle w:val="TextBody"/>
        <w:rPr/>
      </w:pPr>
      <w:r>
        <w:rPr/>
        <w:t>1.3. This Treaty converts the converging Iran-Oman corridor model into a multilateral, registered, audited, and self-funding system that functions during calm and during crisis alike.</w:t>
      </w:r>
    </w:p>
    <w:p>
      <w:pPr>
        <w:pStyle w:val="TextBody"/>
        <w:rPr/>
      </w:pPr>
      <w:bookmarkStart w:id="10" w:name="article-1.-purpose"/>
      <w:r>
        <w:rPr/>
        <w:t>1.4. This Treaty separates the maritime file from every other file, including the nuclear file, so that no external dispute closes the Strait again.</w:t>
      </w:r>
      <w:bookmarkEnd w:id="10"/>
    </w:p>
    <w:p>
      <w:pPr>
        <w:pStyle w:val="Heading2"/>
        <w:rPr/>
      </w:pPr>
      <w:bookmarkStart w:id="11" w:name="__RefHeading___Toc7730_2907148441"/>
      <w:bookmarkStart w:id="12" w:name="article-2.-scope"/>
      <w:bookmarkEnd w:id="11"/>
      <w:r>
        <w:rPr>
          <w:color w:val="2E4F6E"/>
        </w:rPr>
        <w:t>Article 2. Scope</w:t>
      </w:r>
    </w:p>
    <w:p>
      <w:pPr>
        <w:pStyle w:val="FirstParagraph"/>
        <w:rPr/>
      </w:pPr>
      <w:r>
        <w:rPr/>
        <w:t>2.1. This Treaty applies to the Strait of Hormuz and its approaches, bounded seaward by a line joining Ras al Hadd on the Omani coast to a point due south of Gwatar Bay on the Iranian coast, and bounded landward by a line joining the western entrance of the Strait between the Musandam Peninsula and the Iranian mainland.</w:t>
      </w:r>
    </w:p>
    <w:p>
      <w:pPr>
        <w:pStyle w:val="TextBody"/>
        <w:rPr/>
      </w:pPr>
      <w:r>
        <w:rPr/>
        <w:t>2.2. This Treaty governs commercial navigation, naval transit, traffic management, monitoring, verification, service charges, funding, environmental protection, search and rescue, crisis de-escalation, and dispute resolution within the area described in clause 2.1.</w:t>
      </w:r>
    </w:p>
    <w:p>
      <w:pPr>
        <w:pStyle w:val="TextBody"/>
        <w:rPr/>
      </w:pPr>
      <w:bookmarkStart w:id="13" w:name="article-2.-scope"/>
      <w:r>
        <w:rPr/>
        <w:t>2.3. This Treaty does not govern the nuclear file, the disposition of enriched material, sanctions policy between the United States and Iran, or the broader political settlement. Part X establishes the firewall that keeps those tracks separate.</w:t>
      </w:r>
      <w:bookmarkEnd w:id="13"/>
    </w:p>
    <w:p>
      <w:pPr>
        <w:pStyle w:val="Heading2"/>
        <w:rPr/>
      </w:pPr>
      <w:bookmarkStart w:id="14" w:name="__RefHeading___Toc7732_2907148441"/>
      <w:bookmarkStart w:id="15" w:name="article-3.-guiding-principles"/>
      <w:bookmarkEnd w:id="14"/>
      <w:r>
        <w:rPr>
          <w:color w:val="2E4F6E"/>
        </w:rPr>
        <w:t>Article 3. Guiding Principles</w:t>
      </w:r>
    </w:p>
    <w:p>
      <w:pPr>
        <w:pStyle w:val="FirstParagraph"/>
        <w:rPr/>
      </w:pPr>
      <w:r>
        <w:rPr/>
        <w:t xml:space="preserve">3.1. </w:t>
      </w:r>
      <w:r>
        <w:rPr>
          <w:b/>
          <w:bCs/>
        </w:rPr>
        <w:t>Safety first.</w:t>
      </w:r>
      <w:r>
        <w:rPr/>
        <w:t xml:space="preserve"> Every rule in this Treaty exists to move ships safely. Where two readings of a clause exist, the reading that reduces risk to life, cargo, and environment prevails.</w:t>
      </w:r>
    </w:p>
    <w:p>
      <w:pPr>
        <w:pStyle w:val="TextBody"/>
        <w:rPr/>
      </w:pPr>
      <w:r>
        <w:rPr/>
        <w:t xml:space="preserve">3.2. </w:t>
      </w:r>
      <w:r>
        <w:rPr>
          <w:b/>
          <w:bCs/>
        </w:rPr>
        <w:t>Functions, not sovereignty.</w:t>
      </w:r>
      <w:r>
        <w:rPr/>
        <w:t xml:space="preserve"> This Treaty assigns operational functions to named actors. No clause transfers, diminishes, or enlarges the sovereignty of any Coastal Party.</w:t>
      </w:r>
    </w:p>
    <w:p>
      <w:pPr>
        <w:pStyle w:val="TextBody"/>
        <w:rPr/>
      </w:pPr>
      <w:r>
        <w:rPr/>
        <w:t xml:space="preserve">3.3. </w:t>
      </w:r>
      <w:r>
        <w:rPr>
          <w:b/>
          <w:bCs/>
        </w:rPr>
        <w:t>No tolls, no permits.</w:t>
      </w:r>
      <w:r>
        <w:rPr/>
        <w:t xml:space="preserve"> Passage through the Strait operates free of transit tolls, passage permits, and any charge imposed as a condition of passage. Cost-recovery service charges under Part IX fund specific, identifiable services and never function as a price on passage itself.</w:t>
      </w:r>
    </w:p>
    <w:p>
      <w:pPr>
        <w:pStyle w:val="TextBody"/>
        <w:rPr/>
      </w:pPr>
      <w:r>
        <w:rPr/>
        <w:t xml:space="preserve">3.4. </w:t>
      </w:r>
      <w:r>
        <w:rPr>
          <w:b/>
          <w:bCs/>
        </w:rPr>
        <w:t>Symmetry.</w:t>
      </w:r>
      <w:r>
        <w:rPr/>
        <w:t xml:space="preserve"> Every obligation in this Treaty binds the Parties through the shared architecture. The framework itself carries each constraint, so no Party performs a unilateral restraint for the benefit of another.</w:t>
      </w:r>
    </w:p>
    <w:p>
      <w:pPr>
        <w:pStyle w:val="TextBody"/>
        <w:rPr/>
      </w:pPr>
      <w:r>
        <w:rPr/>
        <w:t xml:space="preserve">3.5. </w:t>
      </w:r>
      <w:r>
        <w:rPr>
          <w:b/>
          <w:bCs/>
        </w:rPr>
        <w:t>Reversibility.</w:t>
      </w:r>
      <w:r>
        <w:rPr/>
        <w:t xml:space="preserve"> Every mechanism in this Treaty operates in graduated layers. Any Party pauses or scales back a mechanism through the procedures in Part V, and expansion proceeds only by mutual consent.</w:t>
      </w:r>
    </w:p>
    <w:p>
      <w:pPr>
        <w:pStyle w:val="TextBody"/>
        <w:rPr/>
      </w:pPr>
      <w:r>
        <w:rPr/>
        <w:t xml:space="preserve">3.6. </w:t>
      </w:r>
      <w:r>
        <w:rPr>
          <w:b/>
          <w:bCs/>
        </w:rPr>
        <w:t>Cost-effectiveness.</w:t>
      </w:r>
      <w:r>
        <w:rPr/>
        <w:t xml:space="preserve"> The Parties run this system at the lowest achievable cost, reuse existing assets before building new ones, share infrastructure, and audit every dollar.</w:t>
      </w:r>
    </w:p>
    <w:p>
      <w:pPr>
        <w:pStyle w:val="TextBody"/>
        <w:rPr/>
      </w:pPr>
      <w:r>
        <w:rPr/>
        <w:t xml:space="preserve">3.7. </w:t>
      </w:r>
      <w:r>
        <w:rPr>
          <w:b/>
          <w:bCs/>
        </w:rPr>
        <w:t>Synchronization.</w:t>
      </w:r>
      <w:r>
        <w:rPr/>
        <w:t xml:space="preserve"> Wherever possible, actions under this Treaty execute simultaneously across Parties, so no Party moves first alone and no Party waits on another.</w:t>
      </w:r>
    </w:p>
    <w:p>
      <w:pPr>
        <w:pStyle w:val="TextBody"/>
        <w:rPr/>
      </w:pPr>
      <w:r>
        <w:rPr/>
        <w:t xml:space="preserve">3.8. </w:t>
      </w:r>
      <w:r>
        <w:rPr>
          <w:b/>
          <w:bCs/>
        </w:rPr>
        <w:t>Transparency.</w:t>
      </w:r>
      <w:r>
        <w:rPr/>
        <w:t xml:space="preserve"> Coordinates, traffic rules, fee schedules, incident logs, and audit results enter the public record through the Transparency Portal in Part XIV.</w:t>
      </w:r>
      <w:bookmarkEnd w:id="15"/>
    </w:p>
    <w:p>
      <w:pPr>
        <w:pStyle w:val="Heading2"/>
        <w:rPr/>
      </w:pPr>
      <w:bookmarkStart w:id="16" w:name="__RefHeading___Toc7734_2907148441"/>
      <w:bookmarkStart w:id="17" w:name="Xb5cfa1fce9b07f890b5386fd37634c4bb75ece2"/>
      <w:bookmarkEnd w:id="16"/>
      <w:r>
        <w:rPr>
          <w:color w:val="2E4F6E"/>
        </w:rPr>
        <w:t>Article 4. Supremacy of the Opening Obligation</w:t>
      </w:r>
    </w:p>
    <w:p>
      <w:pPr>
        <w:pStyle w:val="FirstParagraph"/>
        <w:rPr/>
      </w:pPr>
      <w:r>
        <w:rPr/>
        <w:t>4.1. The opening of the Strait within five days stands as the first obligation of this Treaty. Every other mechanism in this Treaty serves that opening, sustains it, or protects it.</w:t>
      </w:r>
    </w:p>
    <w:p>
      <w:pPr>
        <w:pStyle w:val="TextBody"/>
        <w:rPr/>
      </w:pPr>
      <w:r>
        <w:rPr/>
        <w:t>4.2. No Party conditions the opening on progress in any other negotiation, file, or dispute. Article 51 codifies this firewall.</w:t>
      </w:r>
    </w:p>
    <w:p>
      <w:pPr>
        <w:pStyle w:val="Normal"/>
        <w:rPr/>
      </w:pPr>
      <w:bookmarkStart w:id="18" w:name="X3d99710c24eb33d6fdf469080197e95f71139e2"/>
      <w:bookmarkStart w:id="19" w:name="Xb5cfa1fce9b07f890b5386fd37634c4bb75ece2"/>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r>
        <w:br w:type="page"/>
      </w:r>
    </w:p>
    <w:p>
      <w:pPr>
        <w:pStyle w:val="Heading1"/>
        <w:rPr/>
      </w:pPr>
      <w:bookmarkStart w:id="20" w:name="__RefHeading___Toc7736_2907148441"/>
      <w:bookmarkStart w:id="21" w:name="part-ii.-corridor-architecture"/>
      <w:bookmarkEnd w:id="20"/>
      <w:r>
        <w:rPr>
          <w:color w:val="1F3A5F"/>
        </w:rPr>
        <w:t>PART II. CORRIDOR ARCHITECTURE</w:t>
      </w:r>
    </w:p>
    <w:p>
      <w:pPr>
        <w:pStyle w:val="Heading2"/>
        <w:rPr/>
      </w:pPr>
      <w:bookmarkStart w:id="22" w:name="__RefHeading___Toc7738_2907148441"/>
      <w:bookmarkStart w:id="23" w:name="article-5.-the-three-corridor-system"/>
      <w:bookmarkEnd w:id="22"/>
      <w:r>
        <w:rPr>
          <w:color w:val="2E4F6E"/>
        </w:rPr>
        <w:t>Article 5. The Three-Corridor System</w:t>
      </w:r>
    </w:p>
    <w:p>
      <w:pPr>
        <w:pStyle w:val="FirstParagraph"/>
        <w:rPr/>
      </w:pPr>
      <w:r>
        <w:rPr/>
        <w:t>5.1. The Strait operates under a three-corridor system: the Inbound Corridor, the Outbound Corridor, and the Central Buffer Corridor. The system reads on the water as Inbound, Buffer, Outbound.</w:t>
      </w:r>
    </w:p>
    <w:p>
      <w:pPr>
        <w:pStyle w:val="TextBody"/>
        <w:rPr/>
      </w:pPr>
      <w:r>
        <w:rPr/>
        <w:t>5.2. The three-corridor system supersedes the temporary wartime lanes according to the sunset schedule in Part XV.</w:t>
      </w:r>
    </w:p>
    <w:p>
      <w:pPr>
        <w:pStyle w:val="TextBody"/>
        <w:rPr/>
      </w:pPr>
      <w:bookmarkStart w:id="24" w:name="article-5.-the-three-corridor-system"/>
      <w:r>
        <w:rPr/>
        <w:t>5.3. The coordinate geometry of all three corridors derives from the coordinate set agreed between the Coastal Parties during the July and August 2026 technical talks. The Depositary holds that agreed set under seal and transfers it into Annex A, Schedule 1, upon signature. The Maritime Coordination Center lodges the final coordinate schedule with the International Maritime Organization on Day 5.</w:t>
      </w:r>
      <w:bookmarkEnd w:id="24"/>
    </w:p>
    <w:p>
      <w:pPr>
        <w:pStyle w:val="Heading2"/>
        <w:rPr/>
      </w:pPr>
      <w:bookmarkStart w:id="25" w:name="__RefHeading___Toc7740_2907148441"/>
      <w:bookmarkStart w:id="26" w:name="article-6.-the-inbound-corridor"/>
      <w:bookmarkEnd w:id="25"/>
      <w:r>
        <w:rPr>
          <w:color w:val="2E4F6E"/>
        </w:rPr>
        <w:t>Article 6. The Inbound Corridor</w:t>
      </w:r>
    </w:p>
    <w:p>
      <w:pPr>
        <w:pStyle w:val="FirstParagraph"/>
        <w:rPr/>
      </w:pPr>
      <w:r>
        <w:rPr/>
        <w:t>6.1. The Inbound Corridor carries all eastbound, Gulf-entering commercial traffic and runs through the northern lane in Iranian waters, following the deep-water approach past Larak Island toward the traffic separation scheme established in 1968.</w:t>
      </w:r>
    </w:p>
    <w:p>
      <w:pPr>
        <w:pStyle w:val="TextBody"/>
        <w:rPr/>
      </w:pPr>
      <w:r>
        <w:rPr/>
        <w:t>6.2. Iran performs the navigation safety, traffic management, and environmental monitoring functions of the Inbound Corridor, as specified function by function in Annex E, Table E-1.</w:t>
      </w:r>
    </w:p>
    <w:p>
      <w:pPr>
        <w:pStyle w:val="TextBody"/>
        <w:rPr/>
      </w:pPr>
      <w:r>
        <w:rPr/>
        <w:t>6.3. Iranian performance of Inbound functions operates inside the dual-key architecture of Article 34. No function in the Inbound Corridor includes unilateral interdiction, unilateral boarding, or unilateral diversion of any vessel.</w:t>
      </w:r>
    </w:p>
    <w:p>
      <w:pPr>
        <w:pStyle w:val="TextBody"/>
        <w:rPr/>
      </w:pPr>
      <w:bookmarkStart w:id="27" w:name="article-6.-the-inbound-corridor"/>
      <w:r>
        <w:rPr/>
        <w:t>6.4. The Inbound Corridor operates with two-way capacity for vessels whose draft or cargo profile the Maritime Coordination Center assigns to the northern lane under the traffic balancing rules in Annex C, Section C.6.</w:t>
      </w:r>
      <w:bookmarkEnd w:id="27"/>
    </w:p>
    <w:p>
      <w:pPr>
        <w:pStyle w:val="Heading2"/>
        <w:rPr/>
      </w:pPr>
      <w:bookmarkStart w:id="28" w:name="__RefHeading___Toc7742_2907148441"/>
      <w:bookmarkStart w:id="29" w:name="article-7.-the-outbound-corridor"/>
      <w:bookmarkEnd w:id="28"/>
      <w:r>
        <w:rPr>
          <w:color w:val="2E4F6E"/>
        </w:rPr>
        <w:t>Article 7. The Outbound Corridor</w:t>
      </w:r>
    </w:p>
    <w:p>
      <w:pPr>
        <w:pStyle w:val="FirstParagraph"/>
        <w:rPr/>
      </w:pPr>
      <w:r>
        <w:rPr/>
        <w:t>7.1. The Outbound Corridor carries all westbound, Gulf-exiting commercial traffic and runs through the southern lane in Omani waters, along the route surveyed and buoyed under the Omani southern-route initiative of 2026.</w:t>
      </w:r>
    </w:p>
    <w:p>
      <w:pPr>
        <w:pStyle w:val="TextBody"/>
        <w:rPr/>
      </w:pPr>
      <w:r>
        <w:rPr/>
        <w:t>7.2. Oman administers the navigation safety, traffic management, and environmental monitoring functions of the Outbound Corridor, as specified function by function in Annex E, Table E-1.</w:t>
      </w:r>
    </w:p>
    <w:p>
      <w:pPr>
        <w:pStyle w:val="TextBody"/>
        <w:rPr/>
      </w:pPr>
      <w:r>
        <w:rPr/>
        <w:t>7.3. The Outbound Corridor operates as a free-navigation lane. Vessels transit the Outbound Corridor without prior approval, prior notice of cargo, or prior coordination, subject only to the standing safety rules in Annex C.</w:t>
      </w:r>
    </w:p>
    <w:p>
      <w:pPr>
        <w:pStyle w:val="TextBody"/>
        <w:rPr/>
      </w:pPr>
      <w:bookmarkStart w:id="30" w:name="article-7.-the-outbound-corridor"/>
      <w:r>
        <w:rPr/>
        <w:t>7.4. The Outbound Corridor absorbs the geometry of the southern free-navigation route used during the conflict period, so that every route mariners already know remains valid on Day 0.</w:t>
      </w:r>
      <w:bookmarkEnd w:id="30"/>
    </w:p>
    <w:p>
      <w:pPr>
        <w:pStyle w:val="Heading2"/>
        <w:rPr/>
      </w:pPr>
      <w:bookmarkStart w:id="31" w:name="__RefHeading___Toc7744_2907148441"/>
      <w:bookmarkStart w:id="32" w:name="article-8.-the-central-buffer-corridor"/>
      <w:bookmarkEnd w:id="31"/>
      <w:r>
        <w:rPr>
          <w:color w:val="2E4F6E"/>
        </w:rPr>
        <w:t>Article 8. The Central Buffer Corridor</w:t>
      </w:r>
    </w:p>
    <w:p>
      <w:pPr>
        <w:pStyle w:val="FirstParagraph"/>
        <w:rPr/>
      </w:pPr>
      <w:r>
        <w:rPr/>
        <w:t>8.1. The Central Buffer Corridor sits between the Inbound and Outbound Corridors as a neutral separation and safety zone. It carries no routine commercial traffic.</w:t>
      </w:r>
    </w:p>
    <w:p>
      <w:pPr>
        <w:pStyle w:val="TextBody"/>
        <w:rPr/>
      </w:pPr>
      <w:r>
        <w:rPr/>
        <w:t>8.2. The Buffer Corridor serves four functions: emergency diversion, mine-risk avoidance, search and rescue routing, and naval deconfliction.</w:t>
      </w:r>
    </w:p>
    <w:p>
      <w:pPr>
        <w:pStyle w:val="TextBody"/>
        <w:rPr/>
      </w:pPr>
      <w:r>
        <w:rPr/>
        <w:t>8.3. Oman administers the Buffer Corridor, with Iran co-managing the mine-risk response function under the dual-key rules in Annex E, Section E.4.</w:t>
      </w:r>
    </w:p>
    <w:p>
      <w:pPr>
        <w:pStyle w:val="TextBody"/>
        <w:rPr/>
      </w:pPr>
      <w:bookmarkStart w:id="33" w:name="article-8.-the-central-buffer-corridor"/>
      <w:r>
        <w:rPr/>
        <w:t>8.4. The Buffer Corridor contains the Military Transit Window defined in Article 14, through which naval vessels of any flag, including the naval forces of the Guaranteeing Participant, transit under notification-based deconfliction.</w:t>
      </w:r>
      <w:bookmarkEnd w:id="33"/>
    </w:p>
    <w:p>
      <w:pPr>
        <w:pStyle w:val="Heading2"/>
        <w:rPr/>
      </w:pPr>
      <w:bookmarkStart w:id="34" w:name="__RefHeading___Toc7746_2907148441"/>
      <w:bookmarkStart w:id="35" w:name="X7fbfba975e892aa2f690e1c5c391440404c4f2b"/>
      <w:bookmarkEnd w:id="34"/>
      <w:r>
        <w:rPr>
          <w:color w:val="2E4F6E"/>
        </w:rPr>
        <w:t>Article 9. Approach Lanes, Anchorages, and Holding Areas</w:t>
      </w:r>
    </w:p>
    <w:p>
      <w:pPr>
        <w:pStyle w:val="FirstParagraph"/>
        <w:rPr/>
      </w:pPr>
      <w:r>
        <w:rPr/>
        <w:t>9.1. The system includes two eastern approach lanes, two western approach lanes, four designated anchorages, and two holding areas, as charted in Annex A, Schedule 2.</w:t>
      </w:r>
    </w:p>
    <w:p>
      <w:pPr>
        <w:pStyle w:val="TextBody"/>
        <w:rPr/>
      </w:pPr>
      <w:r>
        <w:rPr/>
        <w:t>9.2. The eastern approaches fan into the Gulf of Oman toward the traffic separation scheme off Ras al Hadd. The western approaches fan into the Arabian Gulf toward the established inshore traffic zones.</w:t>
      </w:r>
    </w:p>
    <w:p>
      <w:pPr>
        <w:pStyle w:val="TextBody"/>
        <w:rPr/>
      </w:pPr>
      <w:r>
        <w:rPr/>
        <w:t>9.3. Designated anchorages sit outside the corridors, two on the Omani side and two on the Iranian side, so that anchoring traffic never obstructs through traffic.</w:t>
      </w:r>
    </w:p>
    <w:p>
      <w:pPr>
        <w:pStyle w:val="TextBody"/>
        <w:rPr/>
      </w:pPr>
      <w:bookmarkStart w:id="36" w:name="X7fbfba975e892aa2f690e1c5c391440404c4f2b"/>
      <w:r>
        <w:rPr/>
        <w:t>9.4. Holding areas absorb vessels awaiting convoy windows, inspections requested by their own flag state, or emergency diversion clearance.</w:t>
      </w:r>
      <w:bookmarkEnd w:id="36"/>
    </w:p>
    <w:p>
      <w:pPr>
        <w:pStyle w:val="Heading2"/>
        <w:rPr/>
      </w:pPr>
      <w:bookmarkStart w:id="37" w:name="__RefHeading___Toc7748_2907148441"/>
      <w:bookmarkStart w:id="38" w:name="article-10.-corridor-modification"/>
      <w:bookmarkEnd w:id="37"/>
      <w:r>
        <w:rPr>
          <w:color w:val="2E4F6E"/>
        </w:rPr>
        <w:t>Article 10. Corridor Modification</w:t>
      </w:r>
    </w:p>
    <w:p>
      <w:pPr>
        <w:pStyle w:val="FirstParagraph"/>
        <w:rPr/>
      </w:pPr>
      <w:r>
        <w:rPr/>
        <w:t>10.1. Corridor geometry changes only through the Corridor Modification Procedure in Annex A, Section A.7: a technical proposal from the Maritime Coordination Center, a sixty-day notice to mariners, endorsement by the Hormuz Navigation Authority Council, and registration of the amended coordinates with the International Maritime Organization.</w:t>
      </w:r>
    </w:p>
    <w:p>
      <w:pPr>
        <w:pStyle w:val="TextBody"/>
        <w:rPr/>
      </w:pPr>
      <w:r>
        <w:rPr/>
        <w:t>10.2. No Party alters any corridor, approach lane, anchorage, or holding area unilaterally. The framework architecture routes every modification through the multilateral procedure in clause 10.1.</w:t>
      </w:r>
    </w:p>
    <w:p>
      <w:pPr>
        <w:pStyle w:val="TextBody"/>
        <w:rPr/>
      </w:pPr>
      <w:r>
        <w:rPr/>
        <w:t>10.3. Emergency temporary deviations of up to seventy-two hours execute under the crisis procedures in Part XII and expire automatically.</w:t>
      </w:r>
    </w:p>
    <w:p>
      <w:pPr>
        <w:pStyle w:val="Normal"/>
        <w:rPr/>
      </w:pPr>
      <w:bookmarkStart w:id="39" w:name="part-ii.-corridor-architecture"/>
      <w:bookmarkStart w:id="40" w:name="article-10.-corridor-mod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r>
        <w:br w:type="page"/>
      </w:r>
    </w:p>
    <w:p>
      <w:pPr>
        <w:pStyle w:val="Heading1"/>
        <w:rPr/>
      </w:pPr>
      <w:bookmarkStart w:id="41" w:name="__RefHeading___Toc7750_2907148441"/>
      <w:bookmarkStart w:id="42" w:name="part-iii.-rights-of-passage"/>
      <w:bookmarkEnd w:id="41"/>
      <w:r>
        <w:rPr>
          <w:color w:val="1F3A5F"/>
        </w:rPr>
        <w:t>PART III. RIGHTS OF PASSAGE</w:t>
      </w:r>
    </w:p>
    <w:p>
      <w:pPr>
        <w:pStyle w:val="Heading2"/>
        <w:rPr/>
      </w:pPr>
      <w:bookmarkStart w:id="43" w:name="__RefHeading___Toc7752_2907148441"/>
      <w:bookmarkStart w:id="44" w:name="article-11.-freedom-of-navigation"/>
      <w:bookmarkEnd w:id="43"/>
      <w:r>
        <w:rPr>
          <w:color w:val="2E4F6E"/>
        </w:rPr>
        <w:t>Article 11. Freedom of Navigation</w:t>
      </w:r>
    </w:p>
    <w:p>
      <w:pPr>
        <w:pStyle w:val="FirstParagraph"/>
        <w:rPr/>
      </w:pPr>
      <w:r>
        <w:rPr/>
        <w:t>11.1. All commercial vessels of all flags enjoy continuous, expeditious, unconditioned transit through the Strait, consistent with international law as reflected in the United Nations Convention on the Law of the Sea.</w:t>
      </w:r>
    </w:p>
    <w:p>
      <w:pPr>
        <w:pStyle w:val="TextBody"/>
        <w:rPr/>
      </w:pPr>
      <w:r>
        <w:rPr/>
        <w:t>11.2. Transit operates without suspension, without condition, without permit, and without toll. This rule binds the system permanently and survives every crisis procedure in this Treaty.</w:t>
      </w:r>
    </w:p>
    <w:p>
      <w:pPr>
        <w:pStyle w:val="TextBody"/>
        <w:rPr/>
      </w:pPr>
      <w:bookmarkStart w:id="45" w:name="article-11.-freedom-of-navigation"/>
      <w:r>
        <w:rPr/>
        <w:t>11.3. The framework architecture excludes every form of discriminatory treatment among flags, cargoes, origins, and destinations. The traffic rules in Annex C apply identically to every vessel.</w:t>
      </w:r>
      <w:bookmarkEnd w:id="45"/>
    </w:p>
    <w:p>
      <w:pPr>
        <w:pStyle w:val="Heading2"/>
        <w:rPr/>
      </w:pPr>
      <w:bookmarkStart w:id="46" w:name="__RefHeading___Toc7754_2907148441"/>
      <w:bookmarkStart w:id="47" w:name="article-12.-standing-safety-rules"/>
      <w:bookmarkEnd w:id="46"/>
      <w:r>
        <w:rPr>
          <w:color w:val="2E4F6E"/>
        </w:rPr>
        <w:t>Article 12. Standing Safety Rules</w:t>
      </w:r>
    </w:p>
    <w:p>
      <w:pPr>
        <w:pStyle w:val="FirstParagraph"/>
        <w:rPr/>
      </w:pPr>
      <w:r>
        <w:rPr/>
        <w:t>12.1. Vessels in the corridors maintain continuous Automatic Identification System broadcast, observe the speed bands in Annex C, Section C.4, follow the routing instructions of the Maritime Coordination Center, and carry the insurance certificate described in Annex J.</w:t>
      </w:r>
    </w:p>
    <w:p>
      <w:pPr>
        <w:pStyle w:val="TextBody"/>
        <w:rPr/>
      </w:pPr>
      <w:r>
        <w:rPr/>
        <w:t>12.2. A vessel that suffers mechanical failure, navigational casualty, or medical emergency broadcasts the dual-ping alert defined in Annex C, Section C.8, and the system responds under the incident mesh in Part XI.</w:t>
      </w:r>
    </w:p>
    <w:p>
      <w:pPr>
        <w:pStyle w:val="TextBody"/>
        <w:rPr/>
      </w:pPr>
      <w:bookmarkStart w:id="48" w:name="article-12.-standing-safety-rules"/>
      <w:r>
        <w:rPr/>
        <w:t>12.3. Nothing in the standing safety rules conditions passage on approval by any Party. The rules govern how vessels transit, never whether they transit.</w:t>
      </w:r>
      <w:bookmarkEnd w:id="48"/>
    </w:p>
    <w:p>
      <w:pPr>
        <w:pStyle w:val="Heading2"/>
        <w:rPr/>
      </w:pPr>
      <w:bookmarkStart w:id="49" w:name="__RefHeading___Toc7756_2907148441"/>
      <w:bookmarkStart w:id="50" w:name="Xfc98adbc03ea023c7768373bb17eb10deb98a97"/>
      <w:bookmarkEnd w:id="49"/>
      <w:r>
        <w:rPr>
          <w:color w:val="2E4F6E"/>
        </w:rPr>
        <w:t>Article 13. Prohibited Acts Within the System</w:t>
      </w:r>
    </w:p>
    <w:p>
      <w:pPr>
        <w:pStyle w:val="FirstParagraph"/>
        <w:rPr/>
      </w:pPr>
      <w:r>
        <w:rPr/>
        <w:t>13.1. The framework architecture excludes the following acts within the Treaty area: mining of the corridors or approaches, seizure of commercial vessels, interference with commercial navigation, imposition of transit tolls or passage permits, and attacks on vessels, crews, or corridor infrastructure.</w:t>
      </w:r>
    </w:p>
    <w:p>
      <w:pPr>
        <w:pStyle w:val="TextBody"/>
        <w:rPr/>
      </w:pPr>
      <w:r>
        <w:rPr/>
        <w:t>13.2. The exclusion in clause 13.1 operates as a structural feature of the system. It binds all Parties equally and derives its force from the shared architecture, not from any Party’s restraint.</w:t>
      </w:r>
    </w:p>
    <w:p>
      <w:pPr>
        <w:pStyle w:val="TextBody"/>
        <w:rPr/>
      </w:pPr>
      <w:bookmarkStart w:id="51" w:name="Xfc98adbc03ea023c7768373bb17eb10deb98a97"/>
      <w:r>
        <w:rPr/>
        <w:t>13.3. Any act described in clause 13.1 automatically activates the Crisis Procedures in Part XII and the consequence ladder in Annex F, Section F.7.</w:t>
      </w:r>
      <w:bookmarkEnd w:id="51"/>
    </w:p>
    <w:p>
      <w:pPr>
        <w:pStyle w:val="Heading2"/>
        <w:rPr/>
      </w:pPr>
      <w:bookmarkStart w:id="52" w:name="__RefHeading___Toc7758_2907148441"/>
      <w:bookmarkStart w:id="53" w:name="article-14.-naval-and-military-transit"/>
      <w:bookmarkEnd w:id="52"/>
      <w:r>
        <w:rPr>
          <w:color w:val="2E4F6E"/>
        </w:rPr>
        <w:t>Article 14. Naval and Military Transit</w:t>
      </w:r>
    </w:p>
    <w:p>
      <w:pPr>
        <w:pStyle w:val="FirstParagraph"/>
        <w:rPr/>
      </w:pPr>
      <w:r>
        <w:rPr/>
        <w:t>14.1. Naval vessels of all flags, including the naval forces of the Guaranteeing Participant, transit the Strait through the Military Transit Window inside the Buffer Corridor.</w:t>
      </w:r>
    </w:p>
    <w:p>
      <w:pPr>
        <w:pStyle w:val="TextBody"/>
        <w:rPr/>
      </w:pPr>
      <w:r>
        <w:rPr/>
        <w:t>14.2. Naval transit operates on notification, not authorization. The transiting navy sends a transit notice to the Maritime Coordination Center twenty-four hours ahead, stating vessel count, course, speed, and window. The Maritime Coordination Center deconflicts the window against commercial traffic and replies with a slot confirmation within six hours.</w:t>
      </w:r>
    </w:p>
    <w:p>
      <w:pPr>
        <w:pStyle w:val="TextBody"/>
        <w:rPr/>
      </w:pPr>
      <w:r>
        <w:rPr/>
        <w:t>14.3. The deconfliction hotline described in Article 32 stays open between the Maritime Coordination Center, the naval forces of the Coastal Parties, and the naval forces of the Guaranteeing Participant at all times.</w:t>
      </w:r>
    </w:p>
    <w:p>
      <w:pPr>
        <w:pStyle w:val="TextBody"/>
        <w:rPr/>
      </w:pPr>
      <w:bookmarkStart w:id="54" w:name="article-14.-naval-and-military-transit"/>
      <w:r>
        <w:rPr/>
        <w:t>14.4. Naval vessels outside the Military Transit Window observe the same deconfliction protocol. Coastal naval activity inside each Party’s own waters continues under national authority, subject to the notice rules for activities within two hundred kilometers of the corridors in Annex E, Section E.8.</w:t>
      </w:r>
      <w:bookmarkEnd w:id="54"/>
    </w:p>
    <w:p>
      <w:pPr>
        <w:pStyle w:val="Heading2"/>
        <w:rPr/>
      </w:pPr>
      <w:bookmarkStart w:id="55" w:name="__RefHeading___Toc7760_2907148441"/>
      <w:bookmarkStart w:id="56" w:name="Xdb58c877ecf22c149ae51afaeac4c2aa366aa2b"/>
      <w:bookmarkEnd w:id="55"/>
      <w:r>
        <w:rPr>
          <w:color w:val="2E4F6E"/>
        </w:rPr>
        <w:t>Article 15. Humanitarian Transit Priority</w:t>
      </w:r>
    </w:p>
    <w:p>
      <w:pPr>
        <w:pStyle w:val="FirstParagraph"/>
        <w:rPr/>
      </w:pPr>
      <w:r>
        <w:rPr/>
        <w:t>15.1. Vessels carrying food, fertilizer, medicine, or other humanitarian cargo receive priority slotting in every corridor, convoy, and holding area, modeled on the humanitarian corridor practice established under the Black Sea grain initiative.</w:t>
      </w:r>
    </w:p>
    <w:p>
      <w:pPr>
        <w:pStyle w:val="TextBody"/>
        <w:rPr/>
      </w:pPr>
      <w:r>
        <w:rPr/>
        <w:t>15.2. The Maritime Coordination Center maintains a standing humanitarian lane designation inside the Outbound Corridor, marked on the charts in Annex A, Schedule 2.</w:t>
      </w:r>
    </w:p>
    <w:p>
      <w:pPr>
        <w:pStyle w:val="TextBody"/>
        <w:rPr/>
      </w:pPr>
      <w:r>
        <w:rPr/>
        <w:t>15.3. Humanitarian priority costs nothing extra. The system charges no premium for priority slotting.</w:t>
      </w:r>
    </w:p>
    <w:p>
      <w:pPr>
        <w:pStyle w:val="Normal"/>
        <w:rPr/>
      </w:pPr>
      <w:bookmarkStart w:id="57" w:name="part-iii.-rights-of-passage"/>
      <w:bookmarkStart w:id="58" w:name="Xdb58c877ecf22c149ae51afaeac4c2aa366aa2b"/>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1"/>
        <w:rPr/>
      </w:pPr>
      <w:bookmarkStart w:id="59" w:name="__RefHeading___Toc7762_2907148441"/>
      <w:bookmarkStart w:id="60" w:name="part-iv.-the-five-day-opening-sequence"/>
      <w:bookmarkEnd w:id="59"/>
      <w:r>
        <w:rPr>
          <w:color w:val="1F3A5F"/>
        </w:rPr>
        <w:t>PART IV. THE FIVE-DAY OPENING SEQUENCE</w:t>
      </w:r>
    </w:p>
    <w:p>
      <w:pPr>
        <w:pStyle w:val="Heading2"/>
        <w:rPr/>
      </w:pPr>
      <w:bookmarkStart w:id="61" w:name="__RefHeading___Toc7764_2907148441"/>
      <w:bookmarkStart w:id="62" w:name="Xf23b9896dded323c521312cf6a656362806930a"/>
      <w:bookmarkEnd w:id="61"/>
      <w:r>
        <w:rPr>
          <w:color w:val="2E4F6E"/>
        </w:rPr>
        <w:t>Article 16. The Indivisible Opening Event</w:t>
      </w:r>
    </w:p>
    <w:p>
      <w:pPr>
        <w:pStyle w:val="FirstParagraph"/>
        <w:rPr/>
      </w:pPr>
      <w:r>
        <w:rPr/>
        <w:t>16.1. The opening of the Strait executes as one synchronized, indivisible event spread across five days. Each day carries a defined package, and the packages interlock so that every Party acts on every day and no Party moves first alone.</w:t>
      </w:r>
    </w:p>
    <w:p>
      <w:pPr>
        <w:pStyle w:val="TextBody"/>
        <w:rPr/>
      </w:pPr>
      <w:r>
        <w:rPr/>
        <w:t>16.2. The full hour-by-hour checklist sits in Annex B. The sequence below states the operative core.</w:t>
      </w:r>
    </w:p>
    <w:p>
      <w:pPr>
        <w:pStyle w:val="TextBody"/>
        <w:rPr/>
      </w:pPr>
      <w:bookmarkStart w:id="63" w:name="Xf23b9896dded323c521312cf6a656362806930a"/>
      <w:r>
        <w:rPr/>
        <w:t>16.3. The opening sequence requires no new political decisions after signature. Signature triggers the sequence, and the sequence runs on operational tracks already prepared by the pre-signature technical talks.</w:t>
      </w:r>
      <w:bookmarkEnd w:id="63"/>
    </w:p>
    <w:p>
      <w:pPr>
        <w:pStyle w:val="Heading2"/>
        <w:rPr/>
      </w:pPr>
      <w:bookmarkStart w:id="64" w:name="__RefHeading___Toc7766_2907148441"/>
      <w:bookmarkStart w:id="65" w:name="Xa81cfd6f428f26138c036e6c6a32ba254ed295a"/>
      <w:bookmarkEnd w:id="64"/>
      <w:r>
        <w:rPr>
          <w:color w:val="2E4F6E"/>
        </w:rPr>
        <w:t>Article 17. Day 0 to Day 5: The Core Sequence</w:t>
      </w:r>
    </w:p>
    <w:p>
      <w:pPr>
        <w:pStyle w:val="FirstParagraph"/>
        <w:rPr/>
      </w:pPr>
      <w:r>
        <w:rPr/>
        <w:t xml:space="preserve">17.1. </w:t>
      </w:r>
      <w:r>
        <w:rPr>
          <w:b/>
          <w:bCs/>
        </w:rPr>
        <w:t>Day 0, Signature and Synchronization.</w:t>
      </w:r>
      <w:r>
        <w:rPr/>
        <w:t xml:space="preserve"> The Parties execute this Treaty electronically and in person at Muscat. On execution: the provisional corridor guidance in Annex A, Schedule 3, enters the public record; the Maritime Coordination Center activates on a twenty-four hour basis; all crisis hotlines complete a live test; the Guaranteeing Participant commences the drawdown of the naval blockade; the Coastal Parties issue the coordinated cessation of interference with commercial navigation; and the forty-eight hour notice freeze under Annex E, Section E.8, takes effect across the Treaty area.</w:t>
      </w:r>
    </w:p>
    <w:p>
      <w:pPr>
        <w:pStyle w:val="TextBody"/>
        <w:rPr/>
      </w:pPr>
      <w:r>
        <w:rPr/>
        <w:t xml:space="preserve">17.2. </w:t>
      </w:r>
      <w:r>
        <w:rPr>
          <w:b/>
          <w:bCs/>
        </w:rPr>
        <w:t>Day 1, Buffer First.</w:t>
      </w:r>
      <w:r>
        <w:rPr/>
        <w:t xml:space="preserve"> The Central Buffer Corridor activates. The mine countermeasure survey force, led during the first phase by the Guaranteeing Participant with Omani and Iranian liaison officers embarked, begins corridor certification sweeps. The stranded-vessel evacuation framework of the International Maritime Organization activates, and the first guided movements of stranded vessels begin through the Buffer Corridor. The fused radar and Automatic Identification System picture goes live at the Maritime Coordination Center in Muscat with observer feeds open.</w:t>
      </w:r>
    </w:p>
    <w:p>
      <w:pPr>
        <w:pStyle w:val="TextBody"/>
        <w:rPr/>
      </w:pPr>
      <w:r>
        <w:rPr/>
        <w:t xml:space="preserve">17.3. </w:t>
      </w:r>
      <w:r>
        <w:rPr>
          <w:b/>
          <w:bCs/>
        </w:rPr>
        <w:t>Day 2, Outbound Opens.</w:t>
      </w:r>
      <w:r>
        <w:rPr/>
        <w:t xml:space="preserve"> The Outbound Corridor activates as a free-navigation lane. Oman assumes administration. The first outbound pilot convoys sail with Omani coordination and international observer visibility. The Hormuz Insurance Pool issues provisional coverage certificates, and war-risk premium notices go to the market. The Port Contribution Mechanism and the Sovereign Corridor Fund open their accounts under Annex D.</w:t>
      </w:r>
    </w:p>
    <w:p>
      <w:pPr>
        <w:pStyle w:val="TextBody"/>
        <w:rPr/>
      </w:pPr>
      <w:r>
        <w:rPr/>
        <w:t xml:space="preserve">17.4. </w:t>
      </w:r>
      <w:r>
        <w:rPr>
          <w:b/>
          <w:bCs/>
        </w:rPr>
        <w:t>Day 3, Inbound Opens.</w:t>
      </w:r>
      <w:r>
        <w:rPr/>
        <w:t xml:space="preserve"> The Inbound Corridor activates under the dual-key rules. Iran performs the inbound functions with Omani and observer visibility through the fused picture. Two-way commercial traffic resumes on the new system. Service charges remain at zero during the opening layers, with the voluntary contribution window open under Annex D, Section D.5.</w:t>
      </w:r>
    </w:p>
    <w:p>
      <w:pPr>
        <w:pStyle w:val="TextBody"/>
        <w:rPr/>
      </w:pPr>
      <w:r>
        <w:rPr/>
        <w:t xml:space="preserve">17.5. </w:t>
      </w:r>
      <w:r>
        <w:rPr>
          <w:b/>
          <w:bCs/>
        </w:rPr>
        <w:t>Day 4, Full Flow and Verification Baseline.</w:t>
      </w:r>
      <w:r>
        <w:rPr/>
        <w:t xml:space="preserve"> Full commercial flow operates in both directions. Joint Verification Teams conduct baseline spot checks. The humanitarian lane moves its first priority convoys. The Maritime Coordination Center publishes the first daily Transparency Bulletin, covering traffic counts, incidents, mine-survey progress, and corridor adherence.</w:t>
      </w:r>
    </w:p>
    <w:p>
      <w:pPr>
        <w:pStyle w:val="TextBody"/>
        <w:rPr/>
      </w:pPr>
      <w:r>
        <w:rPr/>
        <w:t xml:space="preserve">17.6. </w:t>
      </w:r>
      <w:r>
        <w:rPr>
          <w:b/>
          <w:bCs/>
        </w:rPr>
        <w:t>Day 5, Opening Declaration.</w:t>
      </w:r>
      <w:r>
        <w:rPr/>
        <w:t xml:space="preserve"> The Hormuz Navigation Authority Council adopts the Opening Resolution, and the Maritime Coordination Center issues the operational green light. The final coordinate schedule transfers to Annex A, Schedule 1, and goes to the International Maritime Organization for registration. The Treaty registers with the United Nations. The Stability Audit baseline period begins. The Strait of Hormuz stands open.</w:t>
      </w:r>
      <w:bookmarkEnd w:id="65"/>
    </w:p>
    <w:p>
      <w:pPr>
        <w:pStyle w:val="Heading2"/>
        <w:rPr/>
      </w:pPr>
      <w:bookmarkStart w:id="66" w:name="__RefHeading___Toc7768_2907148441"/>
      <w:bookmarkStart w:id="67" w:name="X32ff71c5f4ce20208ea381b91c5923bc9bea154"/>
      <w:bookmarkEnd w:id="66"/>
      <w:r>
        <w:rPr>
          <w:color w:val="2E4F6E"/>
        </w:rPr>
        <w:t>Article 18. Synchronization Rules for the Opening</w:t>
      </w:r>
    </w:p>
    <w:p>
      <w:pPr>
        <w:pStyle w:val="FirstParagraph"/>
        <w:rPr/>
      </w:pPr>
      <w:r>
        <w:rPr/>
        <w:t>18.1. Each day’s package contains balanced steps for every Party, so that restraint and action pair off inside the same twenty-four hour window.</w:t>
      </w:r>
    </w:p>
    <w:p>
      <w:pPr>
        <w:pStyle w:val="TextBody"/>
        <w:rPr/>
      </w:pPr>
      <w:r>
        <w:rPr/>
        <w:t>18.2. A delay in any single step moves the affected step, not the whole sequence. The Maritime Coordination Center logs the delay, states the cause, and publishes the recovery time. The sequence absorbs delays of up to twenty-four hours without a new political decision.</w:t>
      </w:r>
    </w:p>
    <w:p>
      <w:pPr>
        <w:pStyle w:val="TextBody"/>
        <w:rPr/>
      </w:pPr>
      <w:r>
        <w:rPr/>
        <w:t>18.3. A delay beyond twenty-four hours in any step activates the Council emergency session under Article 59. The sequence continues on all unaffected tracks in the meantime.</w:t>
      </w:r>
    </w:p>
    <w:p>
      <w:pPr>
        <w:pStyle w:val="TextBody"/>
        <w:rPr/>
      </w:pPr>
      <w:bookmarkStart w:id="68" w:name="X32ff71c5f4ce20208ea381b91c5923bc9bea154"/>
      <w:r>
        <w:rPr/>
        <w:t>18.4. The opening sequence never reverses. Once a corridor activates, it stays active. The crisis procedures in Part XII manage danger through routing and speed, not through closure.</w:t>
      </w:r>
      <w:bookmarkEnd w:id="68"/>
    </w:p>
    <w:p>
      <w:pPr>
        <w:pStyle w:val="Heading2"/>
        <w:rPr/>
      </w:pPr>
      <w:bookmarkStart w:id="69" w:name="__RefHeading___Toc7770_2907148441"/>
      <w:bookmarkStart w:id="70" w:name="Xa21ef28e7c764631c6a6130c69c7ff09f300230"/>
      <w:bookmarkEnd w:id="69"/>
      <w:r>
        <w:rPr>
          <w:color w:val="2E4F6E"/>
        </w:rPr>
        <w:t>Article 19. What the Opening Is and Is Not</w:t>
      </w:r>
    </w:p>
    <w:p>
      <w:pPr>
        <w:pStyle w:val="FirstParagraph"/>
        <w:rPr/>
      </w:pPr>
      <w:r>
        <w:rPr/>
        <w:t>19.1. The opening restores full, free, unconditioned commercial navigation on a permanent legal footing. It is not a ceasefire extension, not a nuclear arrangement, and not a political settlement.</w:t>
      </w:r>
    </w:p>
    <w:p>
      <w:pPr>
        <w:pStyle w:val="TextBody"/>
        <w:rPr/>
      </w:pPr>
      <w:r>
        <w:rPr/>
        <w:t>19.2. The opening does not resolve the security authority question by force of geography. It resolves it by function allocation under Part VII and Annex E, which every Party explains at home as a win.</w:t>
      </w:r>
    </w:p>
    <w:p>
      <w:pPr>
        <w:pStyle w:val="TextBody"/>
        <w:rPr/>
      </w:pPr>
      <w:r>
        <w:rPr/>
        <w:t>19.3. The opening launches the graduated layers of Part V. The permanent system locks in only after the Stability Audit confirms performance, so the opening carries built-in proof rather than built-in trust.</w:t>
      </w:r>
    </w:p>
    <w:p>
      <w:pPr>
        <w:pStyle w:val="Normal"/>
        <w:rPr/>
      </w:pPr>
      <w:bookmarkStart w:id="71" w:name="part-iv.-the-five-day-opening-sequence"/>
      <w:bookmarkStart w:id="72" w:name="Xa21ef28e7c764631c6a6130c69c7ff09f300230"/>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r>
        <w:br w:type="page"/>
      </w:r>
    </w:p>
    <w:p>
      <w:pPr>
        <w:pStyle w:val="Heading1"/>
        <w:rPr/>
      </w:pPr>
      <w:bookmarkStart w:id="73" w:name="__RefHeading___Toc7772_2907148441"/>
      <w:bookmarkStart w:id="74" w:name="X3142116934cec65cc4bfef87a3b98ce5832624e"/>
      <w:bookmarkEnd w:id="73"/>
      <w:r>
        <w:rPr>
          <w:color w:val="1F3A5F"/>
        </w:rPr>
        <w:t>PART V. GRADUATED LAYERS AND STABILITY GATING</w:t>
      </w:r>
    </w:p>
    <w:p>
      <w:pPr>
        <w:pStyle w:val="Heading2"/>
        <w:rPr/>
      </w:pPr>
      <w:bookmarkStart w:id="75" w:name="__RefHeading___Toc7774_2907148441"/>
      <w:bookmarkStart w:id="76" w:name="article-20.-the-layered-architecture"/>
      <w:bookmarkEnd w:id="75"/>
      <w:r>
        <w:rPr>
          <w:color w:val="2E4F6E"/>
        </w:rPr>
        <w:t>Article 20. The Layered Architecture</w:t>
      </w:r>
    </w:p>
    <w:p>
      <w:pPr>
        <w:pStyle w:val="FirstParagraph"/>
        <w:rPr/>
      </w:pPr>
      <w:r>
        <w:rPr/>
        <w:t>20.1. The Treaty system builds in graduated layers, each one unlocking only when the previous layer proves stable. This layering follows the established pattern of cooperative chokepoint governance: shared data first, then coordinated routing, then tested funding, then joint oversight, then the permanent charter operations.</w:t>
      </w:r>
    </w:p>
    <w:p>
      <w:pPr>
        <w:pStyle w:val="TextBody"/>
        <w:rPr/>
      </w:pPr>
      <w:r>
        <w:rPr/>
        <w:t>20.2. The layers are: Layer 0, Opening (Day 0 to Day 5); Layer 1, Pilot Operations (Day 5 to Day 45); Layer 2, Consolidation (Day 45 to Day 120); Layer 3, Permanent Operations (Day 120 onward).</w:t>
      </w:r>
    </w:p>
    <w:p>
      <w:pPr>
        <w:pStyle w:val="TextBody"/>
        <w:rPr/>
      </w:pPr>
      <w:bookmarkStart w:id="77" w:name="article-20.-the-layered-architecture"/>
      <w:r>
        <w:rPr/>
        <w:t>20.3. Each layer adds functions without removing any freedom already operating. Traffic keeps moving through every transition.</w:t>
      </w:r>
      <w:bookmarkEnd w:id="77"/>
    </w:p>
    <w:p>
      <w:pPr>
        <w:pStyle w:val="Heading2"/>
        <w:rPr/>
      </w:pPr>
      <w:bookmarkStart w:id="78" w:name="__RefHeading___Toc7776_2907148441"/>
      <w:bookmarkStart w:id="79" w:name="article-21.-layer-1-pilot-operations"/>
      <w:bookmarkEnd w:id="78"/>
      <w:r>
        <w:rPr>
          <w:color w:val="2E4F6E"/>
        </w:rPr>
        <w:t>Article 21. Layer 1: Pilot Operations</w:t>
      </w:r>
    </w:p>
    <w:p>
      <w:pPr>
        <w:pStyle w:val="FirstParagraph"/>
        <w:rPr/>
      </w:pPr>
      <w:r>
        <w:rPr/>
        <w:t>21.1. The pilot layer runs from Day 5 to Day 45. During the pilot: service charges stay at zero, with voluntary contributions open; enforcement stays at advisory level; monitoring runs at full resolution with all observer feeds live; and the Guaranteeing Participant serves as First-Phase Security Coordinator under Article 36.</w:t>
      </w:r>
    </w:p>
    <w:p>
      <w:pPr>
        <w:pStyle w:val="TextBody"/>
        <w:rPr/>
      </w:pPr>
      <w:r>
        <w:rPr/>
        <w:t>21.2. The pilot layer activates the micropilot catalogue in Annex I in staged sets, starting with visibility and predictability pilots and ending with governance simulation pilots.</w:t>
      </w:r>
    </w:p>
    <w:p>
      <w:pPr>
        <w:pStyle w:val="TextBody"/>
        <w:rPr/>
      </w:pPr>
      <w:bookmarkStart w:id="80" w:name="article-21.-layer-1-pilot-operations"/>
      <w:r>
        <w:rPr/>
        <w:t>21.3. The pilot layer tests every procedure under real traffic: dual-key security actions, emergency diversions, fee simulations with no money moving, incident reporting, and deconfliction drills.</w:t>
      </w:r>
      <w:bookmarkEnd w:id="80"/>
    </w:p>
    <w:p>
      <w:pPr>
        <w:pStyle w:val="Heading2"/>
        <w:rPr/>
      </w:pPr>
      <w:bookmarkStart w:id="81" w:name="__RefHeading___Toc7778_2907148441"/>
      <w:bookmarkStart w:id="82" w:name="article-22.-layer-2-consolidation"/>
      <w:bookmarkEnd w:id="81"/>
      <w:r>
        <w:rPr>
          <w:color w:val="2E4F6E"/>
        </w:rPr>
        <w:t>Article 22. Layer 2: Consolidation</w:t>
      </w:r>
    </w:p>
    <w:p>
      <w:pPr>
        <w:pStyle w:val="FirstParagraph"/>
        <w:rPr/>
      </w:pPr>
      <w:r>
        <w:rPr/>
        <w:t>22.1. The consolidation layer runs from Day 45 to Day 120 and activates on a Stability Audit outcome of Pass or Conditional Pass under Annex F.</w:t>
      </w:r>
    </w:p>
    <w:p>
      <w:pPr>
        <w:pStyle w:val="TextBody"/>
        <w:rPr/>
      </w:pPr>
      <w:r>
        <w:rPr/>
        <w:t>22.2. During consolidation: the service charge schedule in Annex D activates at pilot rates, fifty percent below the permanent schedule; the regional patrol rotation assumes security functions from the First-Phase Security Coordinator on the handover schedule in Annex E, Section E.6; the Hormuz Insurance Pool moves to full capitalization; and the dispute resolution system takes its first live cases.</w:t>
      </w:r>
    </w:p>
    <w:p>
      <w:pPr>
        <w:pStyle w:val="TextBody"/>
        <w:rPr/>
      </w:pPr>
      <w:bookmarkStart w:id="83" w:name="article-22.-layer-2-consolidation"/>
      <w:r>
        <w:rPr/>
        <w:t>22.3. The temporary wartime lanes sunset completely by Day 120 under the schedule in Part XV.</w:t>
      </w:r>
      <w:bookmarkEnd w:id="83"/>
    </w:p>
    <w:p>
      <w:pPr>
        <w:pStyle w:val="Heading2"/>
        <w:rPr/>
      </w:pPr>
      <w:bookmarkStart w:id="84" w:name="__RefHeading___Toc7780_2907148441"/>
      <w:bookmarkStart w:id="85" w:name="article-23.-layer-3-permanent-operations"/>
      <w:bookmarkEnd w:id="84"/>
      <w:r>
        <w:rPr>
          <w:color w:val="2E4F6E"/>
        </w:rPr>
        <w:t>Article 23. Layer 3: Permanent Operations</w:t>
      </w:r>
    </w:p>
    <w:p>
      <w:pPr>
        <w:pStyle w:val="FirstParagraph"/>
        <w:rPr/>
      </w:pPr>
      <w:r>
        <w:rPr/>
        <w:t>23.1. The permanent layer activates on Day 120, or earlier if the Stability Audit returns a clean Pass before Day 90 and the Council so resolves.</w:t>
      </w:r>
    </w:p>
    <w:p>
      <w:pPr>
        <w:pStyle w:val="TextBody"/>
        <w:rPr/>
      </w:pPr>
      <w:r>
        <w:rPr/>
        <w:t>23.2. Permanent operations include: the full service charge schedule, the fully capitalized funding system, the standing patrol rotation, the complete verification architecture, and the quarterly review cycle.</w:t>
      </w:r>
    </w:p>
    <w:p>
      <w:pPr>
        <w:pStyle w:val="TextBody"/>
        <w:rPr/>
      </w:pPr>
      <w:bookmarkStart w:id="86" w:name="article-23.-layer-3-permanent-operations"/>
      <w:r>
        <w:rPr/>
        <w:t>23.3. Permanent operations carry no sunset. Article 78 codifies continuity.</w:t>
      </w:r>
      <w:bookmarkEnd w:id="86"/>
    </w:p>
    <w:p>
      <w:pPr>
        <w:pStyle w:val="Heading2"/>
        <w:rPr/>
      </w:pPr>
      <w:bookmarkStart w:id="87" w:name="__RefHeading___Toc7782_2907148441"/>
      <w:bookmarkStart w:id="88" w:name="Xde71da40cdcbee1cbeb13ad87538f60373d7dec"/>
      <w:bookmarkEnd w:id="87"/>
      <w:r>
        <w:rPr>
          <w:color w:val="2E4F6E"/>
        </w:rPr>
        <w:t>Article 24. Stability Gating and Reversibility</w:t>
      </w:r>
    </w:p>
    <w:p>
      <w:pPr>
        <w:pStyle w:val="FirstParagraph"/>
        <w:rPr/>
      </w:pPr>
      <w:r>
        <w:rPr/>
        <w:t>24.1. Each gate between layers opens on evidence, not on dates alone. The Stability Audit metrics in Annex F supply the evidence, and the Council certifies each gate by resolution.</w:t>
      </w:r>
    </w:p>
    <w:p>
      <w:pPr>
        <w:pStyle w:val="TextBody"/>
        <w:rPr/>
      </w:pPr>
      <w:r>
        <w:rPr/>
        <w:t>24.2. A Conditional Pass holds the system at the current layer while the identified annex adjustments execute. A Fail extends the current layer for one audit cycle. Traffic continues under the current layer’s rules in both cases.</w:t>
      </w:r>
    </w:p>
    <w:p>
      <w:pPr>
        <w:pStyle w:val="TextBody"/>
        <w:rPr/>
      </w:pPr>
      <w:r>
        <w:rPr/>
        <w:t>24.3. Every commitment in this Treaty remains reversible and reviewable. A Party activates the review procedure in Article 77 to pause, scale back, or adjust any mechanism. Expansion of any mechanism proceeds only by mutual consent recorded in the Council.</w:t>
      </w:r>
    </w:p>
    <w:p>
      <w:pPr>
        <w:pStyle w:val="TextBody"/>
        <w:rPr/>
      </w:pPr>
      <w:r>
        <w:rPr/>
        <w:t>24.4. The system treats rollback as maintenance, not as breach. A pause under clause 24.3 triggers no consequences under Annex F, Section F.7.</w:t>
      </w:r>
    </w:p>
    <w:p>
      <w:pPr>
        <w:pStyle w:val="Normal"/>
        <w:rPr/>
      </w:pPr>
      <w:bookmarkStart w:id="89" w:name="X3142116934cec65cc4bfef87a3b98ce5832624e"/>
      <w:bookmarkStart w:id="90" w:name="Xde71da40cdcbee1cbeb13ad87538f60373d7dec"/>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bookmarkEnd w:id="90"/>
      <w:r>
        <w:br w:type="page"/>
      </w:r>
    </w:p>
    <w:p>
      <w:pPr>
        <w:pStyle w:val="Heading1"/>
        <w:rPr/>
      </w:pPr>
      <w:bookmarkStart w:id="91" w:name="__RefHeading___Toc7784_2907148441"/>
      <w:bookmarkStart w:id="92" w:name="part-vi.-the-hormuz-navigation-authority"/>
      <w:bookmarkEnd w:id="91"/>
      <w:r>
        <w:rPr>
          <w:color w:val="1F3A5F"/>
        </w:rPr>
        <w:t>PART VI. THE HORMUZ NAVIGATION AUTHORITY</w:t>
      </w:r>
    </w:p>
    <w:p>
      <w:pPr>
        <w:pStyle w:val="Heading2"/>
        <w:rPr/>
      </w:pPr>
      <w:bookmarkStart w:id="93" w:name="__RefHeading___Toc7786_2907148441"/>
      <w:bookmarkStart w:id="94" w:name="article-25.-establishment-and-mandate"/>
      <w:bookmarkEnd w:id="93"/>
      <w:r>
        <w:rPr>
          <w:color w:val="2E4F6E"/>
        </w:rPr>
        <w:t>Article 25. Establishment and Mandate</w:t>
      </w:r>
    </w:p>
    <w:p>
      <w:pPr>
        <w:pStyle w:val="FirstParagraph"/>
        <w:rPr/>
      </w:pPr>
      <w:r>
        <w:rPr/>
        <w:t>25.1. The Parties establish the Hormuz Navigation Authority, hereafter the Authority, as the permanent governing institution of this Treaty.</w:t>
      </w:r>
    </w:p>
    <w:p>
      <w:pPr>
        <w:pStyle w:val="TextBody"/>
        <w:rPr/>
      </w:pPr>
      <w:r>
        <w:rPr/>
        <w:t>25.2. The Authority governs corridor operations, monitoring, verification, service charges, funding, environmental compliance, crisis coordination, and dispute administration, within the mandate this Treaty defines and no further.</w:t>
      </w:r>
    </w:p>
    <w:p>
      <w:pPr>
        <w:pStyle w:val="TextBody"/>
        <w:rPr/>
      </w:pPr>
      <w:bookmarkStart w:id="95" w:name="article-25.-establishment-and-mandate"/>
      <w:r>
        <w:rPr/>
        <w:t>25.3. The Authority holds international legal personality to the extent its functions carry: it contracts, holds accounts, employs staff, and lodges instruments with the International Maritime Organization.</w:t>
      </w:r>
      <w:bookmarkEnd w:id="95"/>
    </w:p>
    <w:p>
      <w:pPr>
        <w:pStyle w:val="Heading2"/>
        <w:rPr/>
      </w:pPr>
      <w:bookmarkStart w:id="96" w:name="__RefHeading___Toc7788_2907148441"/>
      <w:bookmarkStart w:id="97" w:name="article-26.-the-authority-council"/>
      <w:bookmarkEnd w:id="96"/>
      <w:r>
        <w:rPr>
          <w:color w:val="2E4F6E"/>
        </w:rPr>
        <w:t>Article 26. The Authority Council</w:t>
      </w:r>
    </w:p>
    <w:p>
      <w:pPr>
        <w:pStyle w:val="FirstParagraph"/>
        <w:rPr/>
      </w:pPr>
      <w:r>
        <w:rPr/>
        <w:t>26.1. The Authority Council is the supreme body. It seats one minister-rank representative of each Coastal Party and each Regional Signatory, with the Guaranteeing Participant and the Institutional Observers seated as non-voting observers during the layers in which they hold that status.</w:t>
      </w:r>
    </w:p>
    <w:p>
      <w:pPr>
        <w:pStyle w:val="TextBody"/>
        <w:rPr/>
      </w:pPr>
      <w:r>
        <w:rPr/>
        <w:t>26.2. Iran and Oman serve as standing co-chairs. The co-chairs alternate the gavel meeting by meeting.</w:t>
      </w:r>
    </w:p>
    <w:p>
      <w:pPr>
        <w:pStyle w:val="TextBody"/>
        <w:rPr/>
      </w:pPr>
      <w:r>
        <w:rPr/>
        <w:t>26.3. The Council meets quarterly in Muscat and convenes in emergency session within forty-eight hours at the call of any two voting members or of the Secretary-General under the crisis procedures.</w:t>
      </w:r>
    </w:p>
    <w:p>
      <w:pPr>
        <w:pStyle w:val="TextBody"/>
        <w:rPr/>
      </w:pPr>
      <w:bookmarkStart w:id="98" w:name="article-26.-the-authority-council"/>
      <w:r>
        <w:rPr/>
        <w:t>26.4. The Council decides by consensus wherever consensus exists. Where consensus fails, the Council decides by a three-quarters vote of voting members, except that decisions listed in Annex H, Section H.4, as protected matters always require consensus, including corridor modification, fee schedule changes, and security function reallocation.</w:t>
      </w:r>
      <w:bookmarkEnd w:id="98"/>
    </w:p>
    <w:p>
      <w:pPr>
        <w:pStyle w:val="Heading2"/>
        <w:rPr/>
      </w:pPr>
      <w:bookmarkStart w:id="99" w:name="__RefHeading___Toc7790_2907148441"/>
      <w:bookmarkStart w:id="100" w:name="X2d8a045cc2bf403059421ac16208626c1b8b803"/>
      <w:bookmarkEnd w:id="99"/>
      <w:r>
        <w:rPr>
          <w:color w:val="2E4F6E"/>
        </w:rPr>
        <w:t>Article 27. The Secretariat and the Maritime Coordination Center</w:t>
      </w:r>
    </w:p>
    <w:p>
      <w:pPr>
        <w:pStyle w:val="FirstParagraph"/>
        <w:rPr/>
      </w:pPr>
      <w:r>
        <w:rPr/>
        <w:t>27.1. The Secretariat, headed by a Secretary-General appointed by the Council for a four-year term, runs the administration of the Authority from Muscat.</w:t>
      </w:r>
    </w:p>
    <w:p>
      <w:pPr>
        <w:pStyle w:val="TextBody"/>
        <w:rPr/>
      </w:pPr>
      <w:r>
        <w:rPr/>
        <w:t>27.2. The Maritime Coordination Center, hereafter the Center, operates from Muscat on a twenty-four hour basis as the operational brain of the system. It runs the fused radar and Automatic Identification System picture, issues routing instructions, manages slotting and convoys, runs the deconfliction hotlines, publishes the daily Transparency Bulletin, and administers the escrow and clearing channels under Annex D.</w:t>
      </w:r>
    </w:p>
    <w:p>
      <w:pPr>
        <w:pStyle w:val="TextBody"/>
        <w:rPr/>
      </w:pPr>
      <w:r>
        <w:rPr/>
        <w:t>27.3. The Center maintains regional nodes at Karachi for Arabian Sea integration and at a Red Sea coordination point designated by the Council, so that the Hormuz system interoperates with adjacent maritime architectures.</w:t>
      </w:r>
    </w:p>
    <w:p>
      <w:pPr>
        <w:pStyle w:val="TextBody"/>
        <w:rPr/>
      </w:pPr>
      <w:bookmarkStart w:id="101" w:name="X2d8a045cc2bf403059421ac16208626c1b8b803"/>
      <w:r>
        <w:rPr/>
        <w:t>27.4. Oman hosts the Center and its servers. All Parties hold read access to the fused picture at the tier defined in Annex C, Section C.3. The United States, the Gulf Cooperation Council states, the European maritime authorities, and accredited insurers hold observer feeds at the tiers defined in the same section.</w:t>
      </w:r>
      <w:bookmarkEnd w:id="101"/>
    </w:p>
    <w:p>
      <w:pPr>
        <w:pStyle w:val="Heading2"/>
        <w:rPr/>
      </w:pPr>
      <w:bookmarkStart w:id="102" w:name="__RefHeading___Toc7792_2907148441"/>
      <w:bookmarkStart w:id="103" w:name="X2d1e14127ce1de90bf00a1ed269f957d881d236"/>
      <w:bookmarkEnd w:id="102"/>
      <w:r>
        <w:rPr>
          <w:color w:val="2E4F6E"/>
        </w:rPr>
        <w:t>Article 28. The Verification and Surveillance Directorate</w:t>
      </w:r>
    </w:p>
    <w:p>
      <w:pPr>
        <w:pStyle w:val="FirstParagraph"/>
        <w:rPr/>
      </w:pPr>
      <w:r>
        <w:rPr/>
        <w:t>28.1. The Verification and Surveillance Directorate, hereafter the Directorate, staffs jointly from Oman, Iran, Saudi Arabia, the United Arab Emirates, Pakistan, and other Parties that the Council admits, and conducts the verification work of Part VIII.</w:t>
      </w:r>
    </w:p>
    <w:p>
      <w:pPr>
        <w:pStyle w:val="TextBody"/>
        <w:rPr/>
      </w:pPr>
      <w:r>
        <w:rPr/>
        <w:t>28.2. The Directorate manages the Joint Verification Teams, maintains the incident database, runs the Stability Audit, and certifies corridor mine-safety status.</w:t>
      </w:r>
    </w:p>
    <w:p>
      <w:pPr>
        <w:pStyle w:val="TextBody"/>
        <w:rPr/>
      </w:pPr>
      <w:bookmarkStart w:id="104" w:name="X2d1e14127ce1de90bf00a1ed269f957d881d236"/>
      <w:r>
        <w:rPr/>
        <w:t>28.3. The Directorate operates under an integrity protocol: every finding rests on data, every data point carries its chain of custody, and no single Party’s personnel alone produce a finding. Every finding rests on multi-party observation or multi-source data.</w:t>
      </w:r>
      <w:bookmarkEnd w:id="104"/>
    </w:p>
    <w:p>
      <w:pPr>
        <w:pStyle w:val="Heading2"/>
        <w:rPr/>
      </w:pPr>
      <w:bookmarkStart w:id="105" w:name="__RefHeading___Toc7794_2907148441"/>
      <w:bookmarkStart w:id="106" w:name="article-29.-advisory-seats"/>
      <w:bookmarkEnd w:id="105"/>
      <w:r>
        <w:rPr>
          <w:color w:val="2E4F6E"/>
        </w:rPr>
        <w:t>Article 29. Advisory Seats</w:t>
      </w:r>
    </w:p>
    <w:p>
      <w:pPr>
        <w:pStyle w:val="FirstParagraph"/>
        <w:rPr/>
      </w:pPr>
      <w:r>
        <w:rPr/>
        <w:t>29.1. The Authority seats a Shipping and Insurance Advisory Panel with non-voting advisory status, drawn from international shipowners’ associations, protection and indemnity clubs, and war-risk underwriters.</w:t>
      </w:r>
    </w:p>
    <w:p>
      <w:pPr>
        <w:pStyle w:val="TextBody"/>
        <w:rPr/>
      </w:pPr>
      <w:r>
        <w:rPr/>
        <w:t>29.2. The Panel reviews every proposed change to routing, fees, and safety rules before the Council votes, and its written opinion attaches to the Council record.</w:t>
      </w:r>
    </w:p>
    <w:p>
      <w:pPr>
        <w:pStyle w:val="TextBody"/>
        <w:rPr/>
      </w:pPr>
      <w:bookmarkStart w:id="107" w:name="article-29.-advisory-seats"/>
      <w:r>
        <w:rPr/>
        <w:t>29.3. The Panel receives the same Transparency Portal data as Institutional Observers.</w:t>
      </w:r>
      <w:bookmarkEnd w:id="107"/>
    </w:p>
    <w:p>
      <w:pPr>
        <w:pStyle w:val="Heading2"/>
        <w:rPr/>
      </w:pPr>
      <w:bookmarkStart w:id="108" w:name="__RefHeading___Toc7796_2907148441"/>
      <w:bookmarkStart w:id="109" w:name="article-30.-budget-and-cost-discipline"/>
      <w:bookmarkEnd w:id="108"/>
      <w:r>
        <w:rPr>
          <w:color w:val="2E4F6E"/>
        </w:rPr>
        <w:t>Article 30. Budget and Cost Discipline</w:t>
      </w:r>
    </w:p>
    <w:p>
      <w:pPr>
        <w:pStyle w:val="FirstParagraph"/>
        <w:rPr/>
      </w:pPr>
      <w:r>
        <w:rPr/>
        <w:t>30.1. The Authority runs on the tri-channel funding system in Article 47. It holds no power to levy any charge outside Annex D.</w:t>
      </w:r>
    </w:p>
    <w:p>
      <w:pPr>
        <w:pStyle w:val="TextBody"/>
        <w:rPr/>
      </w:pPr>
      <w:r>
        <w:rPr/>
        <w:t>30.2. The Authority publishes its full budget, its audited accounts, and its procurement awards on the Transparency Portal every quarter.</w:t>
      </w:r>
    </w:p>
    <w:p>
      <w:pPr>
        <w:pStyle w:val="TextBody"/>
        <w:rPr/>
      </w:pPr>
      <w:r>
        <w:rPr/>
        <w:t>30.3. The Authority reuses existing assets before procuring new ones. The Center builds on the existing Omani coastal radar chain, the existing Iranian coastal stations, and the existing traffic separation infrastructure, adding only the fusion layer, the hotlines, and the escrow systems.</w:t>
      </w:r>
    </w:p>
    <w:p>
      <w:pPr>
        <w:pStyle w:val="Normal"/>
        <w:rPr/>
      </w:pPr>
      <w:bookmarkStart w:id="110" w:name="part-vi.-the-hormuz-navigation-authority"/>
      <w:bookmarkStart w:id="111" w:name="article-30.-budget-and-cost-disciplin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rPr/>
      </w:pPr>
      <w:bookmarkStart w:id="112" w:name="__RefHeading___Toc7798_2907148441"/>
      <w:bookmarkStart w:id="113" w:name="X39daa8f62dd467633c30f8deb2bdefc3aba9980"/>
      <w:bookmarkEnd w:id="112"/>
      <w:r>
        <w:rPr>
          <w:color w:val="1F3A5F"/>
        </w:rPr>
        <w:t>PART VII. SECURITY ARCHITECTURE AND THE FIRST-PHASE SECURITY COORDINATOR</w:t>
      </w:r>
    </w:p>
    <w:p>
      <w:pPr>
        <w:pStyle w:val="Heading2"/>
        <w:rPr/>
      </w:pPr>
      <w:bookmarkStart w:id="114" w:name="__RefHeading___Toc7800_2907148441"/>
      <w:bookmarkStart w:id="115" w:name="Xf6a941856d3ea380a69fcbab8b90fd5e7ab1511"/>
      <w:bookmarkEnd w:id="114"/>
      <w:r>
        <w:rPr>
          <w:color w:val="2E4F6E"/>
        </w:rPr>
        <w:t>Article 31. Security by Function Allocation</w:t>
      </w:r>
    </w:p>
    <w:p>
      <w:pPr>
        <w:pStyle w:val="FirstParagraph"/>
        <w:rPr/>
      </w:pPr>
      <w:r>
        <w:rPr/>
        <w:t>31.1. The Treaty resolves the security authority question by allocating functions, not by awarding control. Annex E, Table E-1, assigns every security function in the system to a named actor under named oversight, so that no blank space exists for sovereignty disputes to fill.</w:t>
      </w:r>
    </w:p>
    <w:p>
      <w:pPr>
        <w:pStyle w:val="TextBody"/>
        <w:rPr/>
      </w:pPr>
      <w:r>
        <w:rPr/>
        <w:t>31.2. The function set covers: traffic management, navigation safety, environmental monitoring, mine countermeasures, search and rescue lead, incident response, convoy escort, boarding and inspection, military deconfliction, and crisis override.</w:t>
      </w:r>
    </w:p>
    <w:p>
      <w:pPr>
        <w:pStyle w:val="TextBody"/>
        <w:rPr/>
      </w:pPr>
      <w:bookmarkStart w:id="116" w:name="Xf6a941856d3ea380a69fcbab8b90fd5e7ab1511"/>
      <w:r>
        <w:rPr/>
        <w:t>31.3. Function allocation follows the geography of the corridor model: Iran performs inbound functions, Oman performs outbound and buffer functions, joint teams perform shared functions, and multilateral authorization governs every coercive function.</w:t>
      </w:r>
      <w:bookmarkEnd w:id="116"/>
    </w:p>
    <w:p>
      <w:pPr>
        <w:pStyle w:val="Heading2"/>
        <w:rPr/>
      </w:pPr>
      <w:bookmarkStart w:id="117" w:name="__RefHeading___Toc7802_2907148441"/>
      <w:bookmarkStart w:id="118" w:name="article-32.-non-kinetic-security-posture"/>
      <w:bookmarkEnd w:id="117"/>
      <w:r>
        <w:rPr>
          <w:color w:val="2E4F6E"/>
        </w:rPr>
        <w:t>Article 32. Non-Kinetic Security Posture</w:t>
      </w:r>
    </w:p>
    <w:p>
      <w:pPr>
        <w:pStyle w:val="FirstParagraph"/>
        <w:rPr/>
      </w:pPr>
      <w:r>
        <w:rPr/>
        <w:t>32.1. Security operations inside the system operate on a non-kinetic, defensive basis: presence, escort, surveillance, warning, and evacuation.</w:t>
      </w:r>
    </w:p>
    <w:p>
      <w:pPr>
        <w:pStyle w:val="TextBody"/>
        <w:rPr/>
      </w:pPr>
      <w:r>
        <w:rPr/>
        <w:t>32.2. The framework architecture excludes offensive operations within the Treaty area. Use of force inside the system exists only in individual or collective self-defense under Article 51 of the Charter of the United Nations, and any such event immediately activates the crisis procedures of Part XII.</w:t>
      </w:r>
    </w:p>
    <w:p>
      <w:pPr>
        <w:pStyle w:val="TextBody"/>
        <w:rPr/>
      </w:pPr>
      <w:bookmarkStart w:id="119" w:name="article-32.-non-kinetic-security-posture"/>
      <w:r>
        <w:rPr/>
        <w:t>32.3. The deconfliction hotline network links the Center, the naval commands of the Coastal Parties, the command of the Guaranteeing Participant’s naval forces, and the patrol rotation headquarters, with a standing test every twelve hours.</w:t>
      </w:r>
      <w:bookmarkEnd w:id="119"/>
    </w:p>
    <w:p>
      <w:pPr>
        <w:pStyle w:val="Heading2"/>
        <w:rPr/>
      </w:pPr>
      <w:bookmarkStart w:id="120" w:name="__RefHeading___Toc7804_2907148441"/>
      <w:bookmarkStart w:id="121" w:name="article-33.-mine-countermeasures"/>
      <w:bookmarkEnd w:id="120"/>
      <w:r>
        <w:rPr>
          <w:color w:val="2E4F6E"/>
        </w:rPr>
        <w:t>Article 33. Mine Countermeasures</w:t>
      </w:r>
    </w:p>
    <w:p>
      <w:pPr>
        <w:pStyle w:val="FirstParagraph"/>
        <w:rPr/>
      </w:pPr>
      <w:r>
        <w:rPr/>
        <w:t>33.1. The system treats mines as the primary physical threat to the opening and assigns mine countermeasures the highest operational priority after life safety.</w:t>
      </w:r>
    </w:p>
    <w:p>
      <w:pPr>
        <w:pStyle w:val="TextBody"/>
        <w:rPr/>
      </w:pPr>
      <w:r>
        <w:rPr/>
        <w:t>33.2. During Layer 0 and Layer 1, the mine countermeasure force operates under the coordination of the Guaranteeing Participant, with Omani and Iranian liaison officers embarked on every task group, and with survey data flowing continuously to the Center.</w:t>
      </w:r>
    </w:p>
    <w:p>
      <w:pPr>
        <w:pStyle w:val="TextBody"/>
        <w:rPr/>
      </w:pPr>
      <w:r>
        <w:rPr/>
        <w:t>33.3. Corridor certification proceeds lane by lane: the Buffer Corridor certifies first, the Outbound Corridor second, the Inbound Corridor third, matching the opening sequence in Article 17.</w:t>
      </w:r>
    </w:p>
    <w:p>
      <w:pPr>
        <w:pStyle w:val="TextBody"/>
        <w:rPr/>
      </w:pPr>
      <w:r>
        <w:rPr/>
        <w:t>33.4. From Layer 2, the standing Mine Countermeasure Cell of the Authority, staffed by the rotation navies under Annex E, Section E.5, assumes the mission, and the Guaranteeing Participant shifts to a supporting and surge role.</w:t>
      </w:r>
    </w:p>
    <w:p>
      <w:pPr>
        <w:pStyle w:val="TextBody"/>
        <w:rPr/>
      </w:pPr>
      <w:bookmarkStart w:id="122" w:name="article-33.-mine-countermeasures"/>
      <w:r>
        <w:rPr/>
        <w:t>33.5. Any mine sighting, mine-like contact, or mine-risk indicator broadcasts system-wide within fifteen minutes, diverts traffic through the Buffer Corridor, and activates the response protocol in Annex G, Section G.5.</w:t>
      </w:r>
      <w:bookmarkEnd w:id="122"/>
    </w:p>
    <w:p>
      <w:pPr>
        <w:pStyle w:val="Heading2"/>
        <w:rPr/>
      </w:pPr>
      <w:bookmarkStart w:id="123" w:name="__RefHeading___Toc7806_2907148441"/>
      <w:bookmarkStart w:id="124" w:name="article-34.-the-dual-key-security-model"/>
      <w:bookmarkEnd w:id="123"/>
      <w:r>
        <w:rPr>
          <w:color w:val="2E4F6E"/>
        </w:rPr>
        <w:t>Article 34. The Dual-Key Security Model</w:t>
      </w:r>
    </w:p>
    <w:p>
      <w:pPr>
        <w:pStyle w:val="FirstParagraph"/>
        <w:rPr/>
      </w:pPr>
      <w:r>
        <w:rPr/>
        <w:t>34.1. Every coercive or escalatory security action inside the system executes under dual-key authorization: two designated authorities sign off before the action, and the action records both keys in the incident log.</w:t>
      </w:r>
    </w:p>
    <w:p>
      <w:pPr>
        <w:pStyle w:val="TextBody"/>
        <w:rPr/>
      </w:pPr>
      <w:r>
        <w:rPr/>
        <w:t>34.2. The key assignments are: inbound security actions, Iran plus Oman; outbound security actions, Oman plus the Gulf Cooperation Council observer on duty; buffer and mine-risk actions, Oman plus Iran with the neutral observer on duty informed in real time; military deconfliction actions, the Center plus the naval commands concerned; crisis override, any two Council members under Article 59.</w:t>
      </w:r>
    </w:p>
    <w:p>
      <w:pPr>
        <w:pStyle w:val="TextBody"/>
        <w:rPr/>
      </w:pPr>
      <w:r>
        <w:rPr/>
        <w:t>34.3. The dual-key rule makes unilateral interdiction structurally impossible inside the system. A single key holder that acts alone produces an automatic incident report, an automatic Council notification, and an automatic review under Annex F, Section F.7.</w:t>
      </w:r>
    </w:p>
    <w:p>
      <w:pPr>
        <w:pStyle w:val="TextBody"/>
        <w:rPr/>
      </w:pPr>
      <w:bookmarkStart w:id="125" w:name="article-34.-the-dual-key-security-model"/>
      <w:r>
        <w:rPr/>
        <w:t>34.4. The dual-key model preserves face for every Party: Iran performs inbound functions, Oman anchors the system, the Gulf states hold a key on outbound actions, and no Party answers to another alone.</w:t>
      </w:r>
      <w:bookmarkEnd w:id="125"/>
    </w:p>
    <w:p>
      <w:pPr>
        <w:pStyle w:val="Heading2"/>
        <w:rPr/>
      </w:pPr>
      <w:bookmarkStart w:id="126" w:name="__RefHeading___Toc7808_2907148441"/>
      <w:bookmarkStart w:id="127" w:name="X66ec4a4c72b7f97a6368b2e22b96d49925b84d1"/>
      <w:bookmarkEnd w:id="126"/>
      <w:r>
        <w:rPr>
          <w:color w:val="2E4F6E"/>
        </w:rPr>
        <w:t>Article 35. Boarding, Inspection, and Interdiction Limits</w:t>
      </w:r>
    </w:p>
    <w:p>
      <w:pPr>
        <w:pStyle w:val="FirstParagraph"/>
        <w:rPr/>
      </w:pPr>
      <w:r>
        <w:rPr/>
        <w:t>35.1. Boarding and inspection of commercial vessels inside the corridors occurs only: with flag-state consent; under a dual-key authorization grounded in specific, articulable safety grounds; or under an international mandate.</w:t>
      </w:r>
    </w:p>
    <w:p>
      <w:pPr>
        <w:pStyle w:val="TextBody"/>
        <w:rPr/>
      </w:pPr>
      <w:r>
        <w:rPr/>
        <w:t>35.2. Interdiction of commercial transit stands outside the system entirely. Article 13 codifies the absolute non-interdiction protocol.</w:t>
      </w:r>
    </w:p>
    <w:p>
      <w:pPr>
        <w:pStyle w:val="TextBody"/>
        <w:rPr/>
      </w:pPr>
      <w:bookmarkStart w:id="128" w:name="X66ec4a4c72b7f97a6368b2e22b96d49925b84d1"/>
      <w:r>
        <w:rPr/>
        <w:t>35.3. Inspection outcomes feed the incident database within six hours, with the inspected vessel’s flag state copied automatically.</w:t>
      </w:r>
      <w:bookmarkEnd w:id="128"/>
    </w:p>
    <w:p>
      <w:pPr>
        <w:pStyle w:val="Heading2"/>
        <w:rPr/>
      </w:pPr>
      <w:bookmarkStart w:id="129" w:name="__RefHeading___Toc7810_2907148441"/>
      <w:bookmarkStart w:id="130" w:name="X236568b7442996ccf46a3cbb7e53c6a9945ca8b"/>
      <w:bookmarkEnd w:id="129"/>
      <w:r>
        <w:rPr>
          <w:color w:val="2E4F6E"/>
        </w:rPr>
        <w:t>Article 36. The First-Phase Security Coordinator</w:t>
      </w:r>
    </w:p>
    <w:p>
      <w:pPr>
        <w:pStyle w:val="FirstParagraph"/>
        <w:rPr/>
      </w:pPr>
      <w:r>
        <w:rPr/>
        <w:t>36.1. The United States serves as First-Phase Security Coordinator from Day 0 through the Layer 2 handover, with the consent of the Coastal Parties and under the mandate this Article defines.</w:t>
      </w:r>
    </w:p>
    <w:p>
      <w:pPr>
        <w:pStyle w:val="TextBody"/>
        <w:rPr/>
      </w:pPr>
      <w:r>
        <w:rPr/>
        <w:t>36.2. The Coordinator’s mandate covers: leadership of the mine countermeasure survey force under Article 33; defensive escort of commercial convoys on request through the Center; operation of the military deconfliction hotline; surge search and rescue support; and protection of corridor infrastructure against attack, on a defensive basis.</w:t>
      </w:r>
    </w:p>
    <w:p>
      <w:pPr>
        <w:pStyle w:val="TextBody"/>
        <w:rPr/>
      </w:pPr>
      <w:r>
        <w:rPr/>
        <w:t>36.3. The Coordinator’s mandate excludes: boarding or inspection of commercial vessels except under Article 35, enforcement of any blockade or interdiction regime inside the Treaty area, and any kinetic operation.</w:t>
      </w:r>
    </w:p>
    <w:p>
      <w:pPr>
        <w:pStyle w:val="TextBody"/>
        <w:rPr/>
      </w:pPr>
      <w:r>
        <w:rPr/>
        <w:t>36.4. The drawdown of the Guaranteeing Participant’s naval blockade commences on Day 0 and completes in step with corridor certification: blockade measures lift lane by lane as each corridor certifies, completing no later than Day 30. The lifting of blockade measures and the activation of corridors proceed as one synchronized movement.</w:t>
      </w:r>
    </w:p>
    <w:p>
      <w:pPr>
        <w:pStyle w:val="TextBody"/>
        <w:rPr/>
      </w:pPr>
      <w:r>
        <w:rPr/>
        <w:t>36.5. The Coordinator works inside the Authority’s structure, sits as observer in the Council, reports weekly to the Council, and hands over functions to the regional patrol rotation on the schedule in Annex E, Section E.6, completing no later than Day 90 absent a Council decision under Article 59.</w:t>
      </w:r>
    </w:p>
    <w:p>
      <w:pPr>
        <w:pStyle w:val="TextBody"/>
        <w:rPr/>
      </w:pPr>
      <w:bookmarkStart w:id="131" w:name="X236568b7442996ccf46a3cbb7e53c6a9945ca8b"/>
      <w:r>
        <w:rPr/>
        <w:t>36.6. After handover, the Guaranteeing Participant retains: naval transit rights under Article 14, observer status in the Council and the Center, hotline participation, and surge support obligations on request. This continuing role matches the stated preference of the Guaranteeing Participant for a protective posture without permanent operational burden.</w:t>
      </w:r>
      <w:bookmarkEnd w:id="131"/>
    </w:p>
    <w:p>
      <w:pPr>
        <w:pStyle w:val="Heading2"/>
        <w:rPr/>
      </w:pPr>
      <w:bookmarkStart w:id="132" w:name="__RefHeading___Toc7812_2907148441"/>
      <w:bookmarkStart w:id="133" w:name="article-37.-the-regional-patrol-rotation"/>
      <w:bookmarkEnd w:id="132"/>
      <w:r>
        <w:rPr>
          <w:color w:val="2E4F6E"/>
        </w:rPr>
        <w:t>Article 37. The Regional Patrol Rotation</w:t>
      </w:r>
    </w:p>
    <w:p>
      <w:pPr>
        <w:pStyle w:val="FirstParagraph"/>
        <w:rPr/>
      </w:pPr>
      <w:r>
        <w:rPr/>
        <w:t>37.1. From Layer 2, security presence operates through the Regional Patrol Rotation: Oman as neutral anchor, with Saudi Arabia, the United Arab Emirates, Qatar, Bahrain, Kuwait, Pakistan, and Iran contributing under the schedule in Annex E, Section E.5.</w:t>
      </w:r>
    </w:p>
    <w:p>
      <w:pPr>
        <w:pStyle w:val="TextBody"/>
        <w:rPr/>
      </w:pPr>
      <w:r>
        <w:rPr/>
        <w:t>37.2. Rotation patrols operate non-kinetically, carry Authority identification, share their tracks with the fused picture, and answer to the dual-key rules.</w:t>
      </w:r>
    </w:p>
    <w:p>
      <w:pPr>
        <w:pStyle w:val="TextBody"/>
        <w:rPr/>
      </w:pPr>
      <w:r>
        <w:rPr/>
        <w:t>37.3. Patrol costs flow from the funding system in Part IX, so no contributing state carries an unfunded burden.</w:t>
      </w:r>
    </w:p>
    <w:p>
      <w:pPr>
        <w:pStyle w:val="Normal"/>
        <w:rPr/>
      </w:pPr>
      <w:bookmarkStart w:id="134" w:name="X39daa8f62dd467633c30f8deb2bdefc3aba9980"/>
      <w:bookmarkStart w:id="135" w:name="article-37.-the-regional-patrol-rotati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1"/>
        <w:rPr/>
      </w:pPr>
      <w:bookmarkStart w:id="136" w:name="__RefHeading___Toc7814_2907148441"/>
      <w:bookmarkStart w:id="137" w:name="part-viii.-verification-architecture"/>
      <w:bookmarkEnd w:id="136"/>
      <w:r>
        <w:rPr>
          <w:color w:val="1F3A5F"/>
        </w:rPr>
        <w:t>PART VIII. VERIFICATION ARCHITECTURE</w:t>
      </w:r>
    </w:p>
    <w:p>
      <w:pPr>
        <w:pStyle w:val="Heading2"/>
        <w:rPr/>
      </w:pPr>
      <w:bookmarkStart w:id="138" w:name="__RefHeading___Toc7816_2907148441"/>
      <w:bookmarkStart w:id="139" w:name="article-38.-verification-principles"/>
      <w:bookmarkEnd w:id="138"/>
      <w:r>
        <w:rPr>
          <w:color w:val="2E4F6E"/>
        </w:rPr>
        <w:t>Article 38. Verification Principles</w:t>
      </w:r>
    </w:p>
    <w:p>
      <w:pPr>
        <w:pStyle w:val="FirstParagraph"/>
        <w:rPr/>
      </w:pPr>
      <w:r>
        <w:rPr/>
        <w:t>38.1. Verification in this Treaty is fair, symmetric, and continuous. The same rules, the same sensors, and the same standards apply to every Party and every corridor.</w:t>
      </w:r>
    </w:p>
    <w:p>
      <w:pPr>
        <w:pStyle w:val="TextBody"/>
        <w:rPr/>
      </w:pPr>
      <w:r>
        <w:rPr/>
        <w:t>38.2. Verification rests on shared data, not on trust. Every Party sees the same fused picture, the same incident logs, and the same audit results at the same time.</w:t>
      </w:r>
    </w:p>
    <w:p>
      <w:pPr>
        <w:pStyle w:val="TextBody"/>
        <w:rPr/>
      </w:pPr>
      <w:bookmarkStart w:id="140" w:name="article-38.-verification-principles"/>
      <w:r>
        <w:rPr/>
        <w:t>38.3. Verification produces findings, not accusations. Every finding states the data, the method, and the corrective path, and the system treats correction as completion.</w:t>
      </w:r>
      <w:bookmarkEnd w:id="140"/>
    </w:p>
    <w:p>
      <w:pPr>
        <w:pStyle w:val="Heading2"/>
        <w:rPr/>
      </w:pPr>
      <w:bookmarkStart w:id="141" w:name="__RefHeading___Toc7818_2907148441"/>
      <w:bookmarkStart w:id="142" w:name="article-39.-the-fused-picture"/>
      <w:bookmarkEnd w:id="141"/>
      <w:r>
        <w:rPr>
          <w:color w:val="2E4F6E"/>
        </w:rPr>
        <w:t>Article 39. The Fused Picture</w:t>
      </w:r>
    </w:p>
    <w:p>
      <w:pPr>
        <w:pStyle w:val="FirstParagraph"/>
        <w:rPr/>
      </w:pPr>
      <w:r>
        <w:rPr/>
        <w:t>39.1. The fused radar and Automatic Identification System picture at the Center constitutes the primary verification instrument. It merges the Omani coastal radar chain, the Iranian coastal stations, satellite feeds, and vessel broadcasts into one real-time track picture of the entire Treaty area.</w:t>
      </w:r>
    </w:p>
    <w:p>
      <w:pPr>
        <w:pStyle w:val="TextBody"/>
        <w:rPr/>
      </w:pPr>
      <w:r>
        <w:rPr/>
        <w:t>39.2. Every Party holds read access to the fused picture. Observer feeds for the Guaranteeing Participant, the Gulf Cooperation Council states, European maritime authorities, and accredited insurers run continuously at the tiers defined in Annex C, Section C.3.</w:t>
      </w:r>
    </w:p>
    <w:p>
      <w:pPr>
        <w:pStyle w:val="TextBody"/>
        <w:rPr/>
      </w:pPr>
      <w:bookmarkStart w:id="143" w:name="article-39.-the-fused-picture"/>
      <w:r>
        <w:rPr/>
        <w:t>39.3. Data integrity checks run hourly. Missing, corrupted, or altered data generates an automatic flag, an automatic log entry, and an automatic notice to the Directorate.</w:t>
      </w:r>
      <w:bookmarkEnd w:id="143"/>
    </w:p>
    <w:p>
      <w:pPr>
        <w:pStyle w:val="Heading2"/>
        <w:rPr/>
      </w:pPr>
      <w:bookmarkStart w:id="144" w:name="__RefHeading___Toc7820_2907148441"/>
      <w:bookmarkStart w:id="145" w:name="article-40.-joint-verification-teams"/>
      <w:bookmarkEnd w:id="144"/>
      <w:r>
        <w:rPr>
          <w:color w:val="2E4F6E"/>
        </w:rPr>
        <w:t>Article 40. Joint Verification Teams</w:t>
      </w:r>
    </w:p>
    <w:p>
      <w:pPr>
        <w:pStyle w:val="FirstParagraph"/>
        <w:rPr/>
      </w:pPr>
      <w:r>
        <w:rPr/>
        <w:t>40.1. Joint Verification Teams, staffed from at least three Parties on every mission and always including one Coastal Party and one non-coastal Party, conduct baseline checks, spot checks, and incident investigations across the maritime domain.</w:t>
      </w:r>
    </w:p>
    <w:p>
      <w:pPr>
        <w:pStyle w:val="TextBody"/>
        <w:rPr/>
      </w:pPr>
      <w:r>
        <w:rPr/>
        <w:t>40.2. A Team gains access to corridor infrastructure, logs, sensor stations, and port facilities within the Treaty area within seventy-two hours of a request issued through the Directorate.</w:t>
      </w:r>
    </w:p>
    <w:p>
      <w:pPr>
        <w:pStyle w:val="TextBody"/>
        <w:rPr/>
      </w:pPr>
      <w:bookmarkStart w:id="146" w:name="article-40.-joint-verification-teams"/>
      <w:r>
        <w:rPr/>
        <w:t>40.3. Joint Verification Teams hold no mandate over nuclear facilities, nuclear material, or any matter inside the firewall of Part X.</w:t>
      </w:r>
      <w:bookmarkEnd w:id="146"/>
    </w:p>
    <w:p>
      <w:pPr>
        <w:pStyle w:val="Heading2"/>
        <w:rPr/>
      </w:pPr>
      <w:bookmarkStart w:id="147" w:name="__RefHeading___Toc7822_2907148441"/>
      <w:bookmarkStart w:id="148" w:name="article-41.-the-stability-audit"/>
      <w:bookmarkEnd w:id="147"/>
      <w:r>
        <w:rPr>
          <w:color w:val="2E4F6E"/>
        </w:rPr>
        <w:t>Article 41. The Stability Audit</w:t>
      </w:r>
    </w:p>
    <w:p>
      <w:pPr>
        <w:pStyle w:val="FirstParagraph"/>
        <w:rPr/>
      </w:pPr>
      <w:r>
        <w:rPr/>
        <w:t>41.1. The Stability Audit measures whether the system performs safely, predictably, transparently, and financially soundly, and supplies the evidence for every layer gate in Part V.</w:t>
      </w:r>
    </w:p>
    <w:p>
      <w:pPr>
        <w:pStyle w:val="TextBody"/>
        <w:rPr/>
      </w:pPr>
      <w:r>
        <w:rPr/>
        <w:t>41.2. The Audit runs on twenty-five metrics in five domains: navigation and Automatic Identification System compliance; security and deconfliction; monitoring and transparency; environment and safety; and fees, payments, and funding. Annex F defines every metric, its threshold, and its scoring.</w:t>
      </w:r>
    </w:p>
    <w:p>
      <w:pPr>
        <w:pStyle w:val="TextBody"/>
        <w:rPr/>
      </w:pPr>
      <w:r>
        <w:rPr/>
        <w:t>41.3. The Audit returns one of three outcomes: Pass, which opens the next gate; Conditional Pass, which opens the gate after named annex adjustments; or Fail, which extends the current layer for one audit cycle with traffic continuing throughout.</w:t>
      </w:r>
    </w:p>
    <w:p>
      <w:pPr>
        <w:pStyle w:val="TextBody"/>
        <w:rPr/>
      </w:pPr>
      <w:bookmarkStart w:id="149" w:name="article-41.-the-stability-audit"/>
      <w:r>
        <w:rPr/>
        <w:t>41.4. The Directorate publishes every Audit report, in full, on the Transparency Portal within seventy-two hours of completion.</w:t>
      </w:r>
      <w:bookmarkEnd w:id="149"/>
    </w:p>
    <w:p>
      <w:pPr>
        <w:pStyle w:val="Heading2"/>
        <w:rPr/>
      </w:pPr>
      <w:bookmarkStart w:id="150" w:name="__RefHeading___Toc7824_2907148441"/>
      <w:bookmarkStart w:id="151" w:name="article-42.-third-party-verification"/>
      <w:bookmarkEnd w:id="150"/>
      <w:r>
        <w:rPr>
          <w:color w:val="2E4F6E"/>
        </w:rPr>
        <w:t>Article 42. Third-Party Verification</w:t>
      </w:r>
    </w:p>
    <w:p>
      <w:pPr>
        <w:pStyle w:val="FirstParagraph"/>
        <w:rPr/>
      </w:pPr>
      <w:r>
        <w:rPr/>
        <w:t>42.1. The International Maritime Organization, as Institutional Observer, verifies the traffic separation scheme, the corridor coordinates, and the safety rules against international standards, and receives standing access to the fused picture and the incident database.</w:t>
      </w:r>
    </w:p>
    <w:p>
      <w:pPr>
        <w:pStyle w:val="TextBody"/>
        <w:rPr/>
      </w:pPr>
      <w:r>
        <w:rPr/>
        <w:t>42.2. An independent international audit firm, appointed by the Council on a rotating three-year mandate, audits the escrow, the service charges, the funding channels, and the Authority budget every quarter.</w:t>
      </w:r>
    </w:p>
    <w:p>
      <w:pPr>
        <w:pStyle w:val="TextBody"/>
        <w:rPr/>
      </w:pPr>
      <w:bookmarkStart w:id="152" w:name="article-42.-third-party-verification"/>
      <w:r>
        <w:rPr/>
        <w:t>42.3. The insurance market verifies performance in its own currency: war-risk premiums for the Treaty area publish daily, and the Advisory Panel’s risk-tier assessment attaches to every Stability Audit.</w:t>
      </w:r>
      <w:bookmarkEnd w:id="152"/>
    </w:p>
    <w:p>
      <w:pPr>
        <w:pStyle w:val="Heading2"/>
        <w:rPr/>
      </w:pPr>
      <w:bookmarkStart w:id="153" w:name="__RefHeading___Toc7826_2907148441"/>
      <w:bookmarkStart w:id="154" w:name="article-43.-incident-verification"/>
      <w:bookmarkEnd w:id="153"/>
      <w:r>
        <w:rPr>
          <w:color w:val="2E4F6E"/>
        </w:rPr>
        <w:t>Article 43. Incident Verification</w:t>
      </w:r>
    </w:p>
    <w:p>
      <w:pPr>
        <w:pStyle w:val="FirstParagraph"/>
        <w:rPr/>
      </w:pPr>
      <w:r>
        <w:rPr/>
        <w:t>43.1. Every incident inside the Treaty area enters the incident database within six hours of detection, with time stamp, tracks, sensor data, and the identities of the responding units.</w:t>
      </w:r>
    </w:p>
    <w:p>
      <w:pPr>
        <w:pStyle w:val="TextBody"/>
        <w:rPr/>
      </w:pPr>
      <w:r>
        <w:rPr/>
        <w:t>43.2. Incident investigation follows the dual-source rule: no incident closes on the basis of one Party’s data alone.</w:t>
      </w:r>
    </w:p>
    <w:p>
      <w:pPr>
        <w:pStyle w:val="TextBody"/>
        <w:rPr/>
      </w:pPr>
      <w:r>
        <w:rPr/>
        <w:t>43.3. The public incident log publishes every closed incident, with national security redactions only where the Council approves the redaction by consensus.</w:t>
      </w:r>
    </w:p>
    <w:p>
      <w:pPr>
        <w:pStyle w:val="Normal"/>
        <w:rPr/>
      </w:pPr>
      <w:bookmarkStart w:id="155" w:name="part-viii.-verification-architecture"/>
      <w:bookmarkStart w:id="156" w:name="article-43.-incident-verific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rPr/>
      </w:pPr>
      <w:bookmarkStart w:id="157" w:name="__RefHeading___Toc7828_2907148441"/>
      <w:bookmarkStart w:id="158" w:name="X27dbcbd08067f1fd63651c1ddcf1cfdffc2ab46"/>
      <w:bookmarkEnd w:id="157"/>
      <w:r>
        <w:rPr>
          <w:color w:val="1F3A5F"/>
        </w:rPr>
        <w:t>PART IX. FEES, FUNDING, AND ECONOMIC CONTINUITY</w:t>
      </w:r>
    </w:p>
    <w:p>
      <w:pPr>
        <w:pStyle w:val="Heading2"/>
        <w:rPr/>
      </w:pPr>
      <w:bookmarkStart w:id="159" w:name="__RefHeading___Toc7830_2907148441"/>
      <w:bookmarkStart w:id="160" w:name="Xdc178c2c474dbeccbf7557562d88f0d74a4d35b"/>
      <w:bookmarkEnd w:id="159"/>
      <w:r>
        <w:rPr>
          <w:color w:val="2E4F6E"/>
        </w:rPr>
        <w:t>Article 44. The No-Toll Rule and the Service Charge Distinction</w:t>
      </w:r>
    </w:p>
    <w:p>
      <w:pPr>
        <w:pStyle w:val="FirstParagraph"/>
        <w:rPr/>
      </w:pPr>
      <w:r>
        <w:rPr/>
        <w:t>44.1. The system charges no transit tolls, no passage fees, and no permit costs. Passage is free. This rule satisfies the standing position of the Guaranteeing Participant, the Gulf Cooperation Council, and the European Union, and it holds permanently.</w:t>
      </w:r>
    </w:p>
    <w:p>
      <w:pPr>
        <w:pStyle w:val="TextBody"/>
        <w:rPr/>
      </w:pPr>
      <w:r>
        <w:rPr/>
        <w:t>44.2. The system funds itself through cost-recovery service charges for specific, identifiable services: pilotage on request, tug assistance, traffic management, environmental monitoring, emergency response standby, and chart and data services. Annex D sets the schedule.</w:t>
      </w:r>
    </w:p>
    <w:p>
      <w:pPr>
        <w:pStyle w:val="TextBody"/>
        <w:rPr/>
      </w:pPr>
      <w:r>
        <w:rPr/>
        <w:t>44.3. A service charge attaches to a service, never to passage. A vessel that uses no chargeable service pays nothing. Every charge maps to a published cost basis, and the independent auditor verifies the mapping quarterly.</w:t>
      </w:r>
    </w:p>
    <w:p>
      <w:pPr>
        <w:pStyle w:val="TextBody"/>
        <w:rPr/>
      </w:pPr>
      <w:bookmarkStart w:id="161" w:name="Xdc178c2c474dbeccbf7557562d88f0d74a4d35b"/>
      <w:r>
        <w:rPr/>
        <w:t>44.4. The system frames every charge, in every language and every document, as a service charge. The architecture recognizes no sovereign toll by any Party, in either direction.</w:t>
      </w:r>
      <w:bookmarkEnd w:id="161"/>
    </w:p>
    <w:p>
      <w:pPr>
        <w:pStyle w:val="Heading2"/>
        <w:rPr/>
      </w:pPr>
      <w:bookmarkStart w:id="162" w:name="__RefHeading___Toc7832_2907148441"/>
      <w:bookmarkStart w:id="163" w:name="X0e881812a94353fe112e9fc7b3e57cbe44f7db8"/>
      <w:bookmarkEnd w:id="162"/>
      <w:r>
        <w:rPr>
          <w:color w:val="2E4F6E"/>
        </w:rPr>
        <w:t>Article 45. The Zero-Charge Opening and the Voluntary Window</w:t>
      </w:r>
    </w:p>
    <w:p>
      <w:pPr>
        <w:pStyle w:val="FirstParagraph"/>
        <w:rPr/>
      </w:pPr>
      <w:r>
        <w:rPr/>
        <w:t>45.1. From Day 0 through the end of Layer 1, all service charges sit at zero. The opening costs the shipping community nothing.</w:t>
      </w:r>
    </w:p>
    <w:p>
      <w:pPr>
        <w:pStyle w:val="TextBody"/>
        <w:rPr/>
      </w:pPr>
      <w:r>
        <w:rPr/>
        <w:t>45.2. During the same period, a voluntary contribution window operates on the cooperative model associated with the Strait of Malacca: shipping companies, cargo owners, and flag states contribute voluntarily to the Navigation Safety Fund at the suggested bands in Annex D, Section D.5.</w:t>
      </w:r>
    </w:p>
    <w:p>
      <w:pPr>
        <w:pStyle w:val="TextBody"/>
        <w:rPr/>
      </w:pPr>
      <w:bookmarkStart w:id="164" w:name="X0e881812a94353fe112e9fc7b3e57cbe44f7db8"/>
      <w:r>
        <w:rPr/>
        <w:t>45.3. Voluntary contributions fund buoy maintenance, survey work, environmental baseline studies, and the Transparency Portal, and publish on the Portal donor by donor unless the donor opts for anonymity.</w:t>
      </w:r>
      <w:bookmarkEnd w:id="164"/>
    </w:p>
    <w:p>
      <w:pPr>
        <w:pStyle w:val="Heading2"/>
        <w:rPr/>
      </w:pPr>
      <w:bookmarkStart w:id="165" w:name="__RefHeading___Toc7834_2907148441"/>
      <w:bookmarkStart w:id="166" w:name="article-46.-the-service-charge-schedule"/>
      <w:bookmarkEnd w:id="165"/>
      <w:r>
        <w:rPr>
          <w:color w:val="2E4F6E"/>
        </w:rPr>
        <w:t>Article 46. The Service Charge Schedule</w:t>
      </w:r>
    </w:p>
    <w:p>
      <w:pPr>
        <w:pStyle w:val="FirstParagraph"/>
        <w:rPr/>
      </w:pPr>
      <w:r>
        <w:rPr/>
        <w:t>46.1. The permanent service charge schedule activates at Layer 2 at pilot rates, fifty percent below the permanent schedule, and reaches the permanent schedule at Layer 3.</w:t>
      </w:r>
    </w:p>
    <w:p>
      <w:pPr>
        <w:pStyle w:val="TextBody"/>
        <w:rPr/>
      </w:pPr>
      <w:r>
        <w:rPr/>
        <w:t>46.2. The schedule in Annex D sets: a traffic management charge scaled by gross tonnage; optional pilotage and tug tariffs at cost; an environmental monitoring charge scaled by vessel class; and an emergency standby charge folded into the traffic management charge so no separate billing exists.</w:t>
      </w:r>
    </w:p>
    <w:p>
      <w:pPr>
        <w:pStyle w:val="TextBody"/>
        <w:rPr/>
      </w:pPr>
      <w:r>
        <w:rPr/>
        <w:t>46.3. Charge levels follow the cost-effectiveness principle: the schedule recovers the audited cost of the services and nothing more. Surpluses flow to the reserve fund in Article 49, never to general revenue.</w:t>
      </w:r>
    </w:p>
    <w:p>
      <w:pPr>
        <w:pStyle w:val="TextBody"/>
        <w:rPr/>
      </w:pPr>
      <w:bookmarkStart w:id="167" w:name="article-46.-the-service-charge-schedule"/>
      <w:r>
        <w:rPr/>
        <w:t>46.4. The schedule publishes in full on the Transparency Portal, changes only through the Corridor Modification-style procedure in Annex D, Section D.7, and never changes with retroactive effect.</w:t>
      </w:r>
      <w:bookmarkEnd w:id="167"/>
    </w:p>
    <w:p>
      <w:pPr>
        <w:pStyle w:val="Heading2"/>
        <w:rPr/>
      </w:pPr>
      <w:bookmarkStart w:id="168" w:name="__RefHeading___Toc7836_2907148441"/>
      <w:bookmarkStart w:id="169" w:name="X56d3cb0fde678ddd6f8d6667a78ca54e3605740"/>
      <w:bookmarkEnd w:id="168"/>
      <w:r>
        <w:rPr>
          <w:color w:val="2E4F6E"/>
        </w:rPr>
        <w:t>Article 47. The Tri-Channel Funding System</w:t>
      </w:r>
    </w:p>
    <w:p>
      <w:pPr>
        <w:pStyle w:val="FirstParagraph"/>
        <w:rPr/>
      </w:pPr>
      <w:r>
        <w:rPr/>
        <w:t>47.1. The system funds itself through three channels, firewalled from one another and audited separately.</w:t>
      </w:r>
    </w:p>
    <w:p>
      <w:pPr>
        <w:pStyle w:val="TextBody"/>
        <w:rPr/>
      </w:pPr>
      <w:r>
        <w:rPr/>
        <w:t xml:space="preserve">47.2. </w:t>
      </w:r>
      <w:r>
        <w:rPr>
          <w:b/>
          <w:bCs/>
        </w:rPr>
        <w:t>Channel One, the Hormuz Insurance Pool share, sixty percent.</w:t>
      </w:r>
      <w:r>
        <w:rPr/>
        <w:t xml:space="preserve"> Insurance premiums under Annex J fund sixty percent of corridor operating costs. Ships pay insurance, not fees. Premiums scale with risk category, cargo class, and compliance record, and the Pool’s investment returns cover long-term costs.</w:t>
      </w:r>
    </w:p>
    <w:p>
      <w:pPr>
        <w:pStyle w:val="TextBody"/>
        <w:rPr/>
      </w:pPr>
      <w:r>
        <w:rPr/>
        <w:t xml:space="preserve">47.3. </w:t>
      </w:r>
      <w:r>
        <w:rPr>
          <w:b/>
          <w:bCs/>
        </w:rPr>
        <w:t>Channel Two, the Port Contribution Mechanism, twenty-five percent.</w:t>
      </w:r>
      <w:r>
        <w:rPr/>
        <w:t xml:space="preserve"> The major gateway ports, including Jebel Ali, Dammam, Sohar, Gwadar, and Bandar Abbas, contribute twenty-five percent of corridor costs in proportion to throughput. Ports pay; ships do not. Ports benefit directly from corridor stability, and the mechanism routes that benefit back into the system that creates it.</w:t>
      </w:r>
    </w:p>
    <w:p>
      <w:pPr>
        <w:pStyle w:val="TextBody"/>
        <w:rPr/>
      </w:pPr>
      <w:r>
        <w:rPr/>
        <w:t xml:space="preserve">47.4. </w:t>
      </w:r>
      <w:r>
        <w:rPr>
          <w:b/>
          <w:bCs/>
        </w:rPr>
        <w:t>Channel Three, the Sovereign Corridor Fund, fifteen percent.</w:t>
      </w:r>
      <w:r>
        <w:rPr/>
        <w:t xml:space="preserve"> The Parties contribute fifteen percent of corridor costs under the burden-sharing formula in Annex D, Section D.6, scaled by shipping volume and coastal length. Iran, Oman, the Gulf states, and other Parties contribute through this channel, and the Council’s Economic Committee governs it.</w:t>
      </w:r>
    </w:p>
    <w:p>
      <w:pPr>
        <w:pStyle w:val="TextBody"/>
        <w:rPr/>
      </w:pPr>
      <w:bookmarkStart w:id="170" w:name="X56d3cb0fde678ddd6f8d6667a78ca54e3605740"/>
      <w:r>
        <w:rPr/>
        <w:t>47.5. The tri-channel design makes the system financially self-sustaining, legally clean under the no-toll policies of the Guaranteeing Participant and the European Union, and shock-resistant: if one channel falters, the other two carry the system at reduced service levels under the continuity rules in Article 78.</w:t>
      </w:r>
      <w:bookmarkEnd w:id="170"/>
    </w:p>
    <w:p>
      <w:pPr>
        <w:pStyle w:val="Heading2"/>
        <w:rPr/>
      </w:pPr>
      <w:bookmarkStart w:id="171" w:name="__RefHeading___Toc7838_2907148441"/>
      <w:bookmarkStart w:id="172" w:name="Xc7283400f94cfb68340aad87e17b6a2998f88ca"/>
      <w:bookmarkEnd w:id="171"/>
      <w:r>
        <w:rPr>
          <w:color w:val="2E4F6E"/>
        </w:rPr>
        <w:t>Article 48. Escrow and Sanctions-Compatible Payment Routing</w:t>
      </w:r>
    </w:p>
    <w:p>
      <w:pPr>
        <w:pStyle w:val="FirstParagraph"/>
        <w:rPr/>
      </w:pPr>
      <w:r>
        <w:rPr/>
        <w:t>48.1. Oman administers the system’s escrow accounts through the Center, acting as the neutral financial anchor every Party accepts.</w:t>
      </w:r>
    </w:p>
    <w:p>
      <w:pPr>
        <w:pStyle w:val="TextBody"/>
        <w:rPr/>
      </w:pPr>
      <w:r>
        <w:rPr/>
        <w:t>48.2. A neutral clearing institution, designated by the Depositary and seated outside every sanctions jurisdiction in dispute, clears all service charge payments, contributions, and disbursements.</w:t>
      </w:r>
    </w:p>
    <w:p>
      <w:pPr>
        <w:pStyle w:val="TextBody"/>
        <w:rPr/>
      </w:pPr>
      <w:r>
        <w:rPr/>
        <w:t>48.3. Payment routing operates in a sanctions-compatible and sanctions-insulated structure: payments never touch a blocked channel, the clearing institution segregates every flow by legal character, and the independent auditor certifies the compliance of the routing every quarter.</w:t>
      </w:r>
    </w:p>
    <w:p>
      <w:pPr>
        <w:pStyle w:val="TextBody"/>
        <w:rPr/>
      </w:pPr>
      <w:bookmarkStart w:id="173" w:name="Xc7283400f94cfb68340aad87e17b6a2998f88ca"/>
      <w:r>
        <w:rPr/>
        <w:t>48.4. The escrow structure keeps the system operational through political crisis. A deterioration in relations between any Parties suspends no payment, no service, and no corridor. Article 78 codifies this continuity.</w:t>
      </w:r>
      <w:bookmarkEnd w:id="173"/>
    </w:p>
    <w:p>
      <w:pPr>
        <w:pStyle w:val="Heading2"/>
        <w:rPr/>
      </w:pPr>
      <w:bookmarkStart w:id="174" w:name="__RefHeading___Toc7840_2907148441"/>
      <w:bookmarkStart w:id="175" w:name="X25a4092b167e559c728bdf28504049f67fab9ce"/>
      <w:bookmarkEnd w:id="174"/>
      <w:r>
        <w:rPr>
          <w:color w:val="2E4F6E"/>
        </w:rPr>
        <w:t>Article 49. Reserves and the Stability Dividend</w:t>
      </w:r>
    </w:p>
    <w:p>
      <w:pPr>
        <w:pStyle w:val="FirstParagraph"/>
        <w:rPr/>
      </w:pPr>
      <w:r>
        <w:rPr/>
        <w:t>49.1. The system builds a reserve fund equal to twelve months of operating costs within three years, held in the escrow structure.</w:t>
      </w:r>
    </w:p>
    <w:p>
      <w:pPr>
        <w:pStyle w:val="TextBody"/>
        <w:rPr/>
      </w:pPr>
      <w:r>
        <w:rPr/>
        <w:t>49.2. Once the reserve fund reaches its target, surplus revenue flows to the Stability Dividend: a transparent program that rebates compliant carriers through reduced charges, funds port safety upgrades including at Bandar Abbas, and finances the environmental programs in Part XI.</w:t>
      </w:r>
    </w:p>
    <w:p>
      <w:pPr>
        <w:pStyle w:val="TextBody"/>
        <w:rPr/>
      </w:pPr>
      <w:bookmarkStart w:id="176" w:name="X25a4092b167e559c728bdf28504049f67fab9ce"/>
      <w:r>
        <w:rPr/>
        <w:t>49.3. The Stability Dividend gives every Party, including Iran, a visible, lawful, audit-proof economic return on stability, delivered through the system’s own channels rather than through any sanctions relief. Economic matters that belong to the separate track of the June 2026 Memorandum of Understanding stay in that track under the firewall of Part X.</w:t>
      </w:r>
      <w:bookmarkEnd w:id="176"/>
    </w:p>
    <w:p>
      <w:pPr>
        <w:pStyle w:val="Heading2"/>
        <w:rPr/>
      </w:pPr>
      <w:bookmarkStart w:id="177" w:name="__RefHeading___Toc7842_2907148441"/>
      <w:bookmarkStart w:id="178" w:name="X7fb29485f33e4b1d49783bb0b18c3d869e1aa20"/>
      <w:bookmarkEnd w:id="177"/>
      <w:r>
        <w:rPr>
          <w:color w:val="2E4F6E"/>
        </w:rPr>
        <w:t>Article 50. Economic Continuity Guarantees</w:t>
      </w:r>
    </w:p>
    <w:p>
      <w:pPr>
        <w:pStyle w:val="FirstParagraph"/>
        <w:rPr/>
      </w:pPr>
      <w:r>
        <w:rPr/>
        <w:t>50.1. The Hormuz Insurance Pool guarantees war-risk coverage continuity for the Treaty area, so a political shock never reproduces the practical closure that halted shipping during the conflict.</w:t>
      </w:r>
    </w:p>
    <w:p>
      <w:pPr>
        <w:pStyle w:val="TextBody"/>
        <w:rPr/>
      </w:pPr>
      <w:r>
        <w:rPr/>
        <w:t>50.2. The Trade Continuity Guarantee in Annex J, Section J.5, activates when any Party’s maritime trade through the Strait drops by ten percent or more for reasons outside its own breach: the system responds with premium relief, convoy priority, and Council review within seven days.</w:t>
      </w:r>
    </w:p>
    <w:p>
      <w:pPr>
        <w:pStyle w:val="TextBody"/>
        <w:rPr/>
      </w:pPr>
      <w:r>
        <w:rPr/>
        <w:t>50.3. The system measures its own economic success by three published indicators: war-risk premium levels, average transit time, and corridor traffic counts, all on the Transparency Portal.</w:t>
      </w:r>
    </w:p>
    <w:p>
      <w:pPr>
        <w:pStyle w:val="Normal"/>
        <w:rPr/>
      </w:pPr>
      <w:bookmarkStart w:id="179" w:name="X27dbcbd08067f1fd63651c1ddcf1cfdffc2ab46"/>
      <w:bookmarkStart w:id="180" w:name="X7fb29485f33e4b1d49783bb0b18c3d869e1aa20"/>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1"/>
        <w:rPr/>
      </w:pPr>
      <w:bookmarkStart w:id="181" w:name="__RefHeading___Toc7844_2907148441"/>
      <w:bookmarkStart w:id="182" w:name="part-x.-the-nuclear-firewall"/>
      <w:bookmarkEnd w:id="181"/>
      <w:r>
        <w:rPr>
          <w:color w:val="1F3A5F"/>
        </w:rPr>
        <w:t>PART X. THE NUCLEAR FIREWALL</w:t>
      </w:r>
    </w:p>
    <w:p>
      <w:pPr>
        <w:pStyle w:val="Heading2"/>
        <w:rPr/>
      </w:pPr>
      <w:bookmarkStart w:id="183" w:name="__RefHeading___Toc7846_2907148441"/>
      <w:bookmarkStart w:id="184" w:name="article-51.-complete-separation-of-files"/>
      <w:bookmarkEnd w:id="183"/>
      <w:r>
        <w:rPr>
          <w:color w:val="2E4F6E"/>
        </w:rPr>
        <w:t>Article 51. Complete Separation of Files</w:t>
      </w:r>
    </w:p>
    <w:p>
      <w:pPr>
        <w:pStyle w:val="FirstParagraph"/>
        <w:rPr/>
      </w:pPr>
      <w:r>
        <w:rPr/>
        <w:t>51.1. This Treaty does not address, condition, reference, or touch the nuclear file. The nuclear file proceeds exclusively within the separate track established by the June 2026 Memorandum of Understanding and its sixty-day negotiating window.</w:t>
      </w:r>
    </w:p>
    <w:p>
      <w:pPr>
        <w:pStyle w:val="TextBody"/>
        <w:rPr/>
      </w:pPr>
      <w:r>
        <w:rPr/>
        <w:t>51.2. No provision of this Treaty creates an obligation, a linkage, a sequence, or a condition involving nuclear matters. No provision of any nuclear arrangement creates an obligation, a linkage, a sequence, or a condition inside this Treaty.</w:t>
      </w:r>
    </w:p>
    <w:p>
      <w:pPr>
        <w:pStyle w:val="TextBody"/>
        <w:rPr/>
      </w:pPr>
      <w:r>
        <w:rPr/>
        <w:t>51.3. Compliance or non-compliance in the nuclear track produces no automatic effect inside this Treaty. Compliance or non-compliance inside this Treaty produces no automatic effect in the nuclear track.</w:t>
      </w:r>
    </w:p>
    <w:p>
      <w:pPr>
        <w:pStyle w:val="TextBody"/>
        <w:rPr/>
      </w:pPr>
      <w:bookmarkStart w:id="185" w:name="article-51.-complete-separation-of-files"/>
      <w:r>
        <w:rPr/>
        <w:t>51.4. The opening of the Strait under Part IV never waits on the nuclear track, and the nuclear track never waits on the opening.</w:t>
      </w:r>
      <w:bookmarkEnd w:id="185"/>
    </w:p>
    <w:p>
      <w:pPr>
        <w:pStyle w:val="Heading2"/>
        <w:rPr/>
      </w:pPr>
      <w:bookmarkStart w:id="186" w:name="__RefHeading___Toc7848_2907148441"/>
      <w:bookmarkStart w:id="187" w:name="Xd77a6daa31209eeda27fd061d53a59e670ac8b3"/>
      <w:bookmarkEnd w:id="186"/>
      <w:r>
        <w:rPr>
          <w:color w:val="2E4F6E"/>
        </w:rPr>
        <w:t>Article 52. The Navigation Safety Boundary</w:t>
      </w:r>
    </w:p>
    <w:p>
      <w:pPr>
        <w:pStyle w:val="FirstParagraph"/>
        <w:rPr/>
      </w:pPr>
      <w:r>
        <w:rPr/>
        <w:t>52.1. One narrow exception to the firewall exists, and it is navigational, not nuclear: activities of any kind within two hundred kilometers of the corridors that endanger shipping, including missile or drone tests and live-fire exercises, fall under the forty-eight hour notification rule in Annex E, Section E.8, as a pure safety measure.</w:t>
      </w:r>
    </w:p>
    <w:p>
      <w:pPr>
        <w:pStyle w:val="TextBody"/>
        <w:rPr/>
      </w:pPr>
      <w:r>
        <w:rPr/>
        <w:t>52.2. The notification rule in clause 52.1 covers timing, location, and impact area only. It collects no payload data, no design data, and no capability data beyond what maritime safety demands.</w:t>
      </w:r>
    </w:p>
    <w:p>
      <w:pPr>
        <w:pStyle w:val="TextBody"/>
        <w:rPr/>
      </w:pPr>
      <w:bookmarkStart w:id="188" w:name="Xd77a6daa31209eeda27fd061d53a59e670ac8b3"/>
      <w:r>
        <w:rPr/>
        <w:t>52.3. The firewall otherwise holds absolutely. The Authority, the Center, the Directorate, and the Joint Verification Teams hold no nuclear mandate of any kind.</w:t>
      </w:r>
      <w:bookmarkEnd w:id="188"/>
    </w:p>
    <w:p>
      <w:pPr>
        <w:pStyle w:val="Heading2"/>
        <w:rPr/>
      </w:pPr>
      <w:bookmarkStart w:id="189" w:name="__RefHeading___Toc7850_2907148441"/>
      <w:bookmarkStart w:id="190" w:name="article-53.-stability-signaling"/>
      <w:bookmarkEnd w:id="189"/>
      <w:r>
        <w:rPr>
          <w:color w:val="2E4F6E"/>
        </w:rPr>
        <w:t>Article 53. Stability Signaling</w:t>
      </w:r>
    </w:p>
    <w:p>
      <w:pPr>
        <w:pStyle w:val="FirstParagraph"/>
        <w:rPr/>
      </w:pPr>
      <w:r>
        <w:rPr/>
        <w:t>53.1. Each Coastal Party transmits a daily one-line Stability Signal to the Center: a simple confirmation that no activity within its jurisdiction endangers the corridors. The signal carries no substantive content beyond that confirmation.</w:t>
      </w:r>
    </w:p>
    <w:p>
      <w:pPr>
        <w:pStyle w:val="TextBody"/>
        <w:rPr/>
      </w:pPr>
      <w:r>
        <w:rPr/>
        <w:t>53.2. Absence of a Stability Signal triggers no penalty. It triggers a hotline check by the Center and a note in the daily Transparency Bulletin. The signal exists to steady markets, not to police conduct.</w:t>
      </w:r>
    </w:p>
    <w:p>
      <w:pPr>
        <w:pStyle w:val="Normal"/>
        <w:rPr/>
      </w:pPr>
      <w:bookmarkStart w:id="191" w:name="part-x.-the-nuclear-firewall"/>
      <w:bookmarkStart w:id="192" w:name="article-53.-stability-signaling"/>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r>
        <w:br w:type="page"/>
      </w:r>
    </w:p>
    <w:p>
      <w:pPr>
        <w:pStyle w:val="Heading1"/>
        <w:rPr/>
      </w:pPr>
      <w:bookmarkStart w:id="193" w:name="__RefHeading___Toc7852_2907148441"/>
      <w:bookmarkStart w:id="194" w:name="X14c5a0f7f7d62243161dafc0da4076512c02968"/>
      <w:bookmarkEnd w:id="193"/>
      <w:r>
        <w:rPr>
          <w:color w:val="1F3A5F"/>
        </w:rPr>
        <w:t>PART XI. ENVIRONMENTAL PROTECTION, SAFETY, AND SEARCH AND RESCUE</w:t>
      </w:r>
    </w:p>
    <w:p>
      <w:pPr>
        <w:pStyle w:val="Heading2"/>
        <w:rPr/>
      </w:pPr>
      <w:bookmarkStart w:id="195" w:name="__RefHeading___Toc7854_2907148441"/>
      <w:bookmarkStart w:id="196" w:name="article-54.-environmental-monitoring"/>
      <w:bookmarkEnd w:id="195"/>
      <w:r>
        <w:rPr>
          <w:color w:val="2E4F6E"/>
        </w:rPr>
        <w:t>Article 54. Environmental Monitoring</w:t>
      </w:r>
    </w:p>
    <w:p>
      <w:pPr>
        <w:pStyle w:val="FirstParagraph"/>
        <w:rPr/>
      </w:pPr>
      <w:r>
        <w:rPr/>
        <w:t>54.1. The system runs a continuous environmental monitoring program across all three corridors: water quality, emissions, acoustic levels, and ecological indicators, with the baseline study completed during Layer 1.</w:t>
      </w:r>
    </w:p>
    <w:p>
      <w:pPr>
        <w:pStyle w:val="TextBody"/>
        <w:rPr/>
      </w:pPr>
      <w:r>
        <w:rPr/>
        <w:t>54.2. Iran performs environmental monitoring for the Inbound Corridor, Oman for the Outbound Corridor, and joint teams for the Buffer Corridor, all feeding one common database at the Center under the standards in Annex G.</w:t>
      </w:r>
    </w:p>
    <w:p>
      <w:pPr>
        <w:pStyle w:val="TextBody"/>
        <w:rPr/>
      </w:pPr>
      <w:bookmarkStart w:id="197" w:name="article-54.-environmental-monitoring"/>
      <w:r>
        <w:rPr/>
        <w:t>54.3. Independent third-party environmental audits run every six months, and results publish in full.</w:t>
      </w:r>
      <w:bookmarkEnd w:id="197"/>
    </w:p>
    <w:p>
      <w:pPr>
        <w:pStyle w:val="Heading2"/>
        <w:rPr/>
      </w:pPr>
      <w:bookmarkStart w:id="198" w:name="__RefHeading___Toc7856_2907148441"/>
      <w:bookmarkStart w:id="199" w:name="X442e7af6521b01dcedc2d2e3d2a0ca49bc6d6fe"/>
      <w:bookmarkEnd w:id="198"/>
      <w:r>
        <w:rPr>
          <w:color w:val="2E4F6E"/>
        </w:rPr>
        <w:t>Article 55. Pollution Prevention and Response</w:t>
      </w:r>
    </w:p>
    <w:p>
      <w:pPr>
        <w:pStyle w:val="FirstParagraph"/>
        <w:rPr/>
      </w:pPr>
      <w:r>
        <w:rPr/>
        <w:t>55.1. A tiered spill response protocol operates under Annex G, Section G.4: tier one, vessel-level containment; tier two, coastal Party response with dual-key notification; tier three, full system response with regional assets and international assistance.</w:t>
      </w:r>
    </w:p>
    <w:p>
      <w:pPr>
        <w:pStyle w:val="TextBody"/>
        <w:rPr/>
      </w:pPr>
      <w:r>
        <w:rPr/>
        <w:t>55.2. The Environmental Response Reserve, funded from the environmental monitoring charge and the Stability Dividend, pre-positions containment and recovery equipment at four stations charted in Annex A, Schedule 2.</w:t>
      </w:r>
    </w:p>
    <w:p>
      <w:pPr>
        <w:pStyle w:val="TextBody"/>
        <w:rPr/>
      </w:pPr>
      <w:bookmarkStart w:id="200" w:name="X442e7af6521b01dcedc2d2e3d2a0ca49bc6d6fe"/>
      <w:r>
        <w:rPr/>
        <w:t>55.3. Every spill, leak, or hazardous release, security-related or not, enters the dual-ping alert system and the incident database.</w:t>
      </w:r>
      <w:bookmarkEnd w:id="200"/>
    </w:p>
    <w:p>
      <w:pPr>
        <w:pStyle w:val="Heading2"/>
        <w:rPr/>
      </w:pPr>
      <w:bookmarkStart w:id="201" w:name="__RefHeading___Toc7858_2907148441"/>
      <w:bookmarkStart w:id="202" w:name="article-56.-search-and-rescue"/>
      <w:bookmarkEnd w:id="201"/>
      <w:r>
        <w:rPr>
          <w:color w:val="2E4F6E"/>
        </w:rPr>
        <w:t>Article 56. Search and Rescue</w:t>
      </w:r>
    </w:p>
    <w:p>
      <w:pPr>
        <w:pStyle w:val="FirstParagraph"/>
        <w:rPr/>
      </w:pPr>
      <w:r>
        <w:rPr/>
        <w:t>56.1. A cooperative, coastal-state-led search and rescue framework operates across the Treaty area, with Oman and Iran as joint leads in their respective zones and the Buffer Corridor served by joint teams.</w:t>
      </w:r>
    </w:p>
    <w:p>
      <w:pPr>
        <w:pStyle w:val="TextBody"/>
        <w:rPr/>
      </w:pPr>
      <w:r>
        <w:rPr/>
        <w:t>56.2. The framework maintains: a shared readiness matrix, a coordinated tug and tow dispatch list, a fifteen-minute micro-drill standard exercised weekly, and a drift-prediction model for disabled vessels, all specified in Annex G, Section G.6.</w:t>
      </w:r>
    </w:p>
    <w:p>
      <w:pPr>
        <w:pStyle w:val="TextBody"/>
        <w:rPr/>
      </w:pPr>
      <w:bookmarkStart w:id="203" w:name="article-56.-search-and-rescue"/>
      <w:r>
        <w:rPr/>
        <w:t>56.3. Search and rescue never waits on politics. A distress call from any vessel of any flag activates the nearest capable unit under a standing dual-key pre-authorization recorded in Annex E, Table E-1.</w:t>
      </w:r>
      <w:bookmarkEnd w:id="203"/>
    </w:p>
    <w:p>
      <w:pPr>
        <w:pStyle w:val="Heading2"/>
        <w:rPr/>
      </w:pPr>
      <w:bookmarkStart w:id="204" w:name="__RefHeading___Toc7860_2907148441"/>
      <w:bookmarkStart w:id="205" w:name="article-57.-safety-standards"/>
      <w:bookmarkEnd w:id="204"/>
      <w:r>
        <w:rPr>
          <w:color w:val="2E4F6E"/>
        </w:rPr>
        <w:t>Article 57. Safety Standards</w:t>
      </w:r>
    </w:p>
    <w:p>
      <w:pPr>
        <w:pStyle w:val="FirstParagraph"/>
        <w:rPr/>
      </w:pPr>
      <w:r>
        <w:rPr/>
        <w:t>57.1. All corridors operate under uniform safety standards aligned with the International Convention for the Safety of Life at Sea and the applicable International Maritime Organization instruments.</w:t>
      </w:r>
    </w:p>
    <w:p>
      <w:pPr>
        <w:pStyle w:val="TextBody"/>
        <w:rPr/>
      </w:pPr>
      <w:r>
        <w:rPr/>
        <w:t>57.2. The standing rules cover speed bands, separation distances, Automatic Identification System continuity, bridge communication discipline on the harmonized emergency channel, and fog and swell thresholds, all specified in Annexes C and G.</w:t>
      </w:r>
    </w:p>
    <w:p>
      <w:pPr>
        <w:pStyle w:val="TextBody"/>
        <w:rPr/>
      </w:pPr>
      <w:r>
        <w:rPr/>
        <w:t>57.3. Vessels that fail safety standards receive routing instructions, not passage denial. The system corrects safety problems by guidance and assistance, and reserves refusal for vessels that present an immediate danger to life, in which case the nearest anchorage receives them.</w:t>
      </w:r>
    </w:p>
    <w:p>
      <w:pPr>
        <w:pStyle w:val="Normal"/>
        <w:rPr/>
      </w:pPr>
      <w:bookmarkStart w:id="206" w:name="X14c5a0f7f7d62243161dafc0da4076512c02968"/>
      <w:bookmarkStart w:id="207" w:name="article-57.-safety-standard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rPr/>
      </w:pPr>
      <w:bookmarkStart w:id="208" w:name="__RefHeading___Toc7862_2907148441"/>
      <w:bookmarkStart w:id="209" w:name="Xe70c30005f91c13a5c70ad4e4c79e24111a15cc"/>
      <w:bookmarkEnd w:id="208"/>
      <w:r>
        <w:rPr>
          <w:color w:val="1F3A5F"/>
        </w:rPr>
        <w:t>PART XII. CRISIS MANAGEMENT AND DE-ESCALATION</w:t>
      </w:r>
    </w:p>
    <w:p>
      <w:pPr>
        <w:pStyle w:val="Heading2"/>
        <w:rPr/>
      </w:pPr>
      <w:bookmarkStart w:id="210" w:name="__RefHeading___Toc7864_2907148441"/>
      <w:bookmarkStart w:id="211" w:name="article-58.-the-crisis-hotline-network"/>
      <w:bookmarkEnd w:id="210"/>
      <w:r>
        <w:rPr>
          <w:color w:val="2E4F6E"/>
        </w:rPr>
        <w:t>Article 58. The Crisis Hotline Network</w:t>
      </w:r>
    </w:p>
    <w:p>
      <w:pPr>
        <w:pStyle w:val="FirstParagraph"/>
        <w:rPr/>
      </w:pPr>
      <w:r>
        <w:rPr/>
        <w:t>58.1. The hotline network links the Center, the foreign and defense ministries of the Coastal Parties, the commands of the Guaranteeing Participant’s forces in the region, the patrol rotation headquarters, and the Council co-chairs.</w:t>
      </w:r>
    </w:p>
    <w:p>
      <w:pPr>
        <w:pStyle w:val="TextBody"/>
        <w:rPr/>
      </w:pPr>
      <w:r>
        <w:rPr/>
        <w:t>58.2. Any mobilization exceeding one thousand personnel within the Treaty area’s security perimeter activates mandatory notification to the network within six hours.</w:t>
      </w:r>
    </w:p>
    <w:p>
      <w:pPr>
        <w:pStyle w:val="TextBody"/>
        <w:rPr/>
      </w:pPr>
      <w:bookmarkStart w:id="212" w:name="article-58.-the-crisis-hotline-network"/>
      <w:r>
        <w:rPr/>
        <w:t>58.3. The network tests live every twelve hours during Layers 0 and 1, and daily thereafter.</w:t>
      </w:r>
      <w:bookmarkEnd w:id="212"/>
    </w:p>
    <w:p>
      <w:pPr>
        <w:pStyle w:val="Heading2"/>
        <w:rPr/>
      </w:pPr>
      <w:bookmarkStart w:id="213" w:name="__RefHeading___Toc7866_2907148441"/>
      <w:bookmarkStart w:id="214" w:name="article-59.-the-seventy-two-hour-rules"/>
      <w:bookmarkEnd w:id="213"/>
      <w:r>
        <w:rPr>
          <w:color w:val="2E4F6E"/>
        </w:rPr>
        <w:t>Article 59. The Seventy-Two Hour Rules</w:t>
      </w:r>
    </w:p>
    <w:p>
      <w:pPr>
        <w:pStyle w:val="FirstParagraph"/>
        <w:rPr/>
      </w:pPr>
      <w:r>
        <w:rPr/>
        <w:t xml:space="preserve">59.1. </w:t>
      </w:r>
      <w:r>
        <w:rPr>
          <w:b/>
          <w:bCs/>
        </w:rPr>
        <w:t>Cooling-off rule.</w:t>
      </w:r>
      <w:r>
        <w:rPr/>
        <w:t xml:space="preserve"> Following any security incident, a seventy-two hour de-escalation period applies before any responsive action, during which the Council convenes in emergency session within forty-eight hours.</w:t>
      </w:r>
    </w:p>
    <w:p>
      <w:pPr>
        <w:pStyle w:val="TextBody"/>
        <w:rPr/>
      </w:pPr>
      <w:r>
        <w:rPr/>
        <w:t xml:space="preserve">59.2. </w:t>
      </w:r>
      <w:r>
        <w:rPr>
          <w:b/>
          <w:bCs/>
        </w:rPr>
        <w:t>Corridor Emergency Override.</w:t>
      </w:r>
      <w:r>
        <w:rPr/>
        <w:t xml:space="preserve"> Any two voting Council members invoke the Corridor Emergency Override, which freezes military movements and test activity within the Treaty area for seventy-two hours while traffic continues under enhanced routing.</w:t>
      </w:r>
    </w:p>
    <w:p>
      <w:pPr>
        <w:pStyle w:val="TextBody"/>
        <w:rPr/>
      </w:pPr>
      <w:r>
        <w:rPr/>
        <w:t xml:space="preserve">59.3. </w:t>
      </w:r>
      <w:r>
        <w:rPr>
          <w:b/>
          <w:bCs/>
        </w:rPr>
        <w:t>Temporary deviation expiry.</w:t>
      </w:r>
      <w:r>
        <w:rPr/>
        <w:t xml:space="preserve"> Emergency routing deviations expire automatically at seventy-two hours unless the Council extends them by consensus.</w:t>
      </w:r>
      <w:bookmarkEnd w:id="214"/>
    </w:p>
    <w:p>
      <w:pPr>
        <w:pStyle w:val="Heading2"/>
        <w:rPr/>
      </w:pPr>
      <w:bookmarkStart w:id="215" w:name="__RefHeading___Toc7868_2907148441"/>
      <w:bookmarkStart w:id="216" w:name="article-60.-continuity-during-crisis"/>
      <w:bookmarkEnd w:id="215"/>
      <w:r>
        <w:rPr>
          <w:color w:val="2E4F6E"/>
        </w:rPr>
        <w:t>Article 60. Continuity During Crisis</w:t>
      </w:r>
    </w:p>
    <w:p>
      <w:pPr>
        <w:pStyle w:val="FirstParagraph"/>
        <w:rPr/>
      </w:pPr>
      <w:r>
        <w:rPr/>
        <w:t>60.1. The Strait never closes. Crisis management inside this system works through routing, speed, convoying, and insurance instruments, never through closure.</w:t>
      </w:r>
    </w:p>
    <w:p>
      <w:pPr>
        <w:pStyle w:val="TextBody"/>
        <w:rPr/>
      </w:pPr>
      <w:r>
        <w:rPr/>
        <w:t>60.2. During any crisis, the Buffer Corridor assumes emergency traffic duty under the pre-planned surge scheme in Annex E, Section E.7.</w:t>
      </w:r>
    </w:p>
    <w:p>
      <w:pPr>
        <w:pStyle w:val="TextBody"/>
        <w:rPr/>
      </w:pPr>
      <w:bookmarkStart w:id="217" w:name="article-60.-continuity-during-crisis"/>
      <w:r>
        <w:rPr/>
        <w:t>60.3. The Hormuz Insurance Pool maintains coverage through crisis, and the Transparency Portal publishes verified information continuously, so rumor never prices the market.</w:t>
      </w:r>
      <w:bookmarkEnd w:id="217"/>
    </w:p>
    <w:p>
      <w:pPr>
        <w:pStyle w:val="Heading2"/>
        <w:rPr/>
      </w:pPr>
      <w:bookmarkStart w:id="218" w:name="__RefHeading___Toc7870_2907148441"/>
      <w:bookmarkStart w:id="219" w:name="article-61.-manufactured-crisis-finding"/>
      <w:bookmarkEnd w:id="218"/>
      <w:r>
        <w:rPr>
          <w:color w:val="2E4F6E"/>
        </w:rPr>
        <w:t>Article 61. Manufactured Crisis Finding</w:t>
      </w:r>
    </w:p>
    <w:p>
      <w:pPr>
        <w:pStyle w:val="FirstParagraph"/>
        <w:rPr/>
      </w:pPr>
      <w:r>
        <w:rPr/>
        <w:t>61.1. Where the Council finds by three-quarters vote that a crisis was manufactured for leverage, the consequence ladder in Annex F, Section F.7, applies at tier two automatically.</w:t>
      </w:r>
    </w:p>
    <w:p>
      <w:pPr>
        <w:pStyle w:val="TextBody"/>
        <w:rPr/>
      </w:pPr>
      <w:bookmarkStart w:id="220" w:name="article-61.-manufactured-crisis-finding"/>
      <w:r>
        <w:rPr/>
        <w:t>61.2. A manufactured crisis finding rests on the fused picture, the incident database, and Joint Verification Team findings, never on allegation alone.</w:t>
      </w:r>
      <w:bookmarkEnd w:id="220"/>
    </w:p>
    <w:p>
      <w:pPr>
        <w:pStyle w:val="Heading2"/>
        <w:rPr/>
      </w:pPr>
      <w:bookmarkStart w:id="221" w:name="__RefHeading___Toc7872_2907148441"/>
      <w:bookmarkStart w:id="222" w:name="article-62.-reactivation-after-incident"/>
      <w:bookmarkEnd w:id="221"/>
      <w:r>
        <w:rPr>
          <w:color w:val="2E4F6E"/>
        </w:rPr>
        <w:t>Article 62. Reactivation After Incident</w:t>
      </w:r>
    </w:p>
    <w:p>
      <w:pPr>
        <w:pStyle w:val="FirstParagraph"/>
        <w:rPr/>
      </w:pPr>
      <w:r>
        <w:rPr/>
        <w:t>62.1. After any security incident, the system restores normal operations through the reactivation checklist in Annex B, Section B.6: corridor certification check, fused picture integrity check, insurance notice, and a published all-clear bulletin.</w:t>
      </w:r>
    </w:p>
    <w:p>
      <w:pPr>
        <w:pStyle w:val="TextBody"/>
        <w:rPr/>
      </w:pPr>
      <w:r>
        <w:rPr/>
        <w:t>62.2. Reactivation targets twenty-four hours for routine incidents and seventy-two hours for serious ones, and the Center publishes the target and the actual time side by side.</w:t>
      </w:r>
    </w:p>
    <w:p>
      <w:pPr>
        <w:pStyle w:val="Normal"/>
        <w:rPr/>
      </w:pPr>
      <w:bookmarkStart w:id="223" w:name="Xe70c30005f91c13a5c70ad4e4c79e24111a15cc"/>
      <w:bookmarkStart w:id="224" w:name="article-62.-reactivation-after-incident"/>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rPr/>
      </w:pPr>
      <w:bookmarkStart w:id="225" w:name="__RefHeading___Toc7874_2907148441"/>
      <w:bookmarkStart w:id="226" w:name="part-xiii.-dispute-resolution"/>
      <w:bookmarkEnd w:id="225"/>
      <w:r>
        <w:rPr>
          <w:color w:val="1F3A5F"/>
        </w:rPr>
        <w:t>PART XIII. DISPUTE RESOLUTION</w:t>
      </w:r>
    </w:p>
    <w:p>
      <w:pPr>
        <w:pStyle w:val="Heading2"/>
        <w:rPr/>
      </w:pPr>
      <w:bookmarkStart w:id="227" w:name="__RefHeading___Toc7876_2907148441"/>
      <w:bookmarkStart w:id="228" w:name="article-63.-the-three-band-system"/>
      <w:bookmarkEnd w:id="227"/>
      <w:r>
        <w:rPr>
          <w:color w:val="2E4F6E"/>
        </w:rPr>
        <w:t>Article 63. The Three-Band System</w:t>
      </w:r>
    </w:p>
    <w:p>
      <w:pPr>
        <w:pStyle w:val="FirstParagraph"/>
        <w:rPr/>
      </w:pPr>
      <w:r>
        <w:rPr/>
        <w:t>63.1. Disputes process through three concentric bands: Band One, micro, operational disputes resolved at Center level within fourteen days; Band Two, meso, treaty-interpretation disputes resolved by the neutral arbitration panel within forty-five days; Band Three, macro, disputes touching the architecture itself resolved at Council level within one hundred twenty days.</w:t>
      </w:r>
    </w:p>
    <w:p>
      <w:pPr>
        <w:pStyle w:val="TextBody"/>
        <w:rPr/>
      </w:pPr>
      <w:r>
        <w:rPr/>
        <w:t>63.2. No dispute remains in any single band for more than three full rotation cycles. A dispute that exhausts a band moves up automatically.</w:t>
      </w:r>
    </w:p>
    <w:p>
      <w:pPr>
        <w:pStyle w:val="TextBody"/>
        <w:rPr/>
      </w:pPr>
      <w:bookmarkStart w:id="229" w:name="article-63.-the-three-band-system"/>
      <w:r>
        <w:rPr/>
        <w:t>63.3. During resolution, the status quo of operations continues. A dispute changes nothing on the water until it resolves.</w:t>
      </w:r>
      <w:bookmarkEnd w:id="229"/>
    </w:p>
    <w:p>
      <w:pPr>
        <w:pStyle w:val="Heading2"/>
        <w:rPr/>
      </w:pPr>
      <w:bookmarkStart w:id="230" w:name="__RefHeading___Toc7878_2907148441"/>
      <w:bookmarkStart w:id="231" w:name="Xb553e879d4ce50bf143e0660c722a335ff5ca99"/>
      <w:bookmarkEnd w:id="230"/>
      <w:r>
        <w:rPr>
          <w:color w:val="2E4F6E"/>
        </w:rPr>
        <w:t>Article 64. The Neutral Arbitration Panel</w:t>
      </w:r>
    </w:p>
    <w:p>
      <w:pPr>
        <w:pStyle w:val="FirstParagraph"/>
        <w:rPr/>
      </w:pPr>
      <w:r>
        <w:rPr/>
        <w:t>64.1. The neutral arbitration panel seats five members: one nominated by Iran, one by Oman, one by the Regional Signatories jointly, one by the observer group, and a chair selected by the four from a roster maintained by the Depositary.</w:t>
      </w:r>
    </w:p>
    <w:p>
      <w:pPr>
        <w:pStyle w:val="TextBody"/>
        <w:rPr/>
      </w:pPr>
      <w:r>
        <w:rPr/>
        <w:t>64.2. Oman hosts and administers the panel. The panel decides by majority, publishes its reasoning, and applies this Treaty, international law, and the cost-effectiveness and safety principles of Article 3.</w:t>
      </w:r>
    </w:p>
    <w:p>
      <w:pPr>
        <w:pStyle w:val="TextBody"/>
        <w:rPr/>
      </w:pPr>
      <w:bookmarkStart w:id="232" w:name="Xb553e879d4ce50bf143e0660c722a335ff5ca99"/>
      <w:r>
        <w:rPr/>
        <w:t>64.3. Panel decisions bind the Parties on the matter decided and create no precedent beyond it.</w:t>
      </w:r>
      <w:bookmarkEnd w:id="232"/>
    </w:p>
    <w:p>
      <w:pPr>
        <w:pStyle w:val="Heading2"/>
        <w:rPr/>
      </w:pPr>
      <w:bookmarkStart w:id="233" w:name="__RefHeading___Toc7880_2907148441"/>
      <w:bookmarkStart w:id="234" w:name="article-65.-fee-and-incident-disputes"/>
      <w:bookmarkEnd w:id="233"/>
      <w:r>
        <w:rPr>
          <w:color w:val="2E4F6E"/>
        </w:rPr>
        <w:t>Article 65. Fee and Incident Disputes</w:t>
      </w:r>
    </w:p>
    <w:p>
      <w:pPr>
        <w:pStyle w:val="FirstParagraph"/>
        <w:rPr/>
      </w:pPr>
      <w:r>
        <w:rPr/>
        <w:t>65.1. Fee disputes route to Band One with the independent auditor’s certificate as primary evidence.</w:t>
      </w:r>
    </w:p>
    <w:p>
      <w:pPr>
        <w:pStyle w:val="TextBody"/>
        <w:rPr/>
      </w:pPr>
      <w:r>
        <w:rPr/>
        <w:t>65.2. Incident liability disputes route to Band Two with the incident database record as primary evidence, and the insurance instruments in Annex J handle compensation mechanics.</w:t>
      </w:r>
    </w:p>
    <w:p>
      <w:pPr>
        <w:pStyle w:val="TextBody"/>
        <w:rPr/>
      </w:pPr>
      <w:bookmarkStart w:id="235" w:name="article-65.-fee-and-incident-disputes"/>
      <w:r>
        <w:rPr/>
        <w:t>65.3. A carrier’s dispute with the system never delays that carrier’s transit. Traffic flows; disputes process ashore.</w:t>
      </w:r>
      <w:bookmarkEnd w:id="235"/>
    </w:p>
    <w:p>
      <w:pPr>
        <w:pStyle w:val="Heading2"/>
        <w:rPr/>
      </w:pPr>
      <w:bookmarkStart w:id="236" w:name="__RefHeading___Toc7882_2907148441"/>
      <w:bookmarkStart w:id="237" w:name="article-66.-tribunal-referral"/>
      <w:bookmarkEnd w:id="236"/>
      <w:r>
        <w:rPr>
          <w:color w:val="2E4F6E"/>
        </w:rPr>
        <w:t>Article 66. Tribunal Referral</w:t>
      </w:r>
    </w:p>
    <w:p>
      <w:pPr>
        <w:pStyle w:val="FirstParagraph"/>
        <w:rPr/>
      </w:pPr>
      <w:r>
        <w:rPr/>
        <w:t>66.1. A dispute that exhausts all three bands unresolved refers, by consent of the disputing Parties, to arbitration under rules the Council adopts, or to any other peaceful means the disputing Parties choose under Article 33 of the Charter of the United Nations.</w:t>
      </w:r>
    </w:p>
    <w:p>
      <w:pPr>
        <w:pStyle w:val="TextBody"/>
        <w:rPr/>
      </w:pPr>
      <w:r>
        <w:rPr/>
        <w:t>66.2. Referral never suspends this Treaty. Article 78 continuity applies throughout.</w:t>
      </w:r>
    </w:p>
    <w:p>
      <w:pPr>
        <w:pStyle w:val="Normal"/>
        <w:rPr/>
      </w:pPr>
      <w:bookmarkStart w:id="238" w:name="part-xiii.-dispute-resolution"/>
      <w:bookmarkStart w:id="239" w:name="article-66.-tribunal-referral"/>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
      <w:bookmarkEnd w:id="239"/>
      <w:r>
        <w:br w:type="page"/>
      </w:r>
    </w:p>
    <w:p>
      <w:pPr>
        <w:pStyle w:val="Heading1"/>
        <w:rPr/>
      </w:pPr>
      <w:bookmarkStart w:id="240" w:name="__RefHeading___Toc7884_2907148441"/>
      <w:bookmarkStart w:id="241" w:name="Xbe255a81f8c2bf3883f5e3f027ef184b48d58fd"/>
      <w:bookmarkEnd w:id="240"/>
      <w:r>
        <w:rPr>
          <w:color w:val="1F3A5F"/>
        </w:rPr>
        <w:t>PART XIV. TRANSPARENCY AND PUBLIC INFORMATION</w:t>
      </w:r>
    </w:p>
    <w:p>
      <w:pPr>
        <w:pStyle w:val="Heading2"/>
        <w:rPr/>
      </w:pPr>
      <w:bookmarkStart w:id="242" w:name="__RefHeading___Toc7886_2907148441"/>
      <w:bookmarkStart w:id="243" w:name="article-67.-the-transparency-portal"/>
      <w:bookmarkEnd w:id="242"/>
      <w:r>
        <w:rPr>
          <w:color w:val="2E4F6E"/>
        </w:rPr>
        <w:t>Article 67. The Transparency Portal</w:t>
      </w:r>
    </w:p>
    <w:p>
      <w:pPr>
        <w:pStyle w:val="FirstParagraph"/>
        <w:rPr/>
      </w:pPr>
      <w:r>
        <w:rPr/>
        <w:t>67.1. The Center operates the public Transparency Portal, publishing: corridor coordinates and charts; traffic rules and operational manuals; the daily Transparency Bulletin; the public incident log; the fee schedule and audit certificates; funding channel reports; Stability Audit reports; and the insurance market indicators.</w:t>
      </w:r>
    </w:p>
    <w:p>
      <w:pPr>
        <w:pStyle w:val="TextBody"/>
        <w:rPr/>
      </w:pPr>
      <w:bookmarkStart w:id="244" w:name="article-67.-the-transparency-portal"/>
      <w:r>
        <w:rPr/>
        <w:t>67.2. The Portal operates in the three working languages and updates in real time for traffic data and daily for everything else.</w:t>
      </w:r>
      <w:bookmarkEnd w:id="244"/>
    </w:p>
    <w:p>
      <w:pPr>
        <w:pStyle w:val="Heading2"/>
        <w:rPr/>
      </w:pPr>
      <w:bookmarkStart w:id="245" w:name="__RefHeading___Toc7888_2907148441"/>
      <w:bookmarkStart w:id="246" w:name="article-68.-mariner-information"/>
      <w:bookmarkEnd w:id="245"/>
      <w:r>
        <w:rPr>
          <w:color w:val="2E4F6E"/>
        </w:rPr>
        <w:t>Article 68. Mariner Information</w:t>
      </w:r>
    </w:p>
    <w:p>
      <w:pPr>
        <w:pStyle w:val="FirstParagraph"/>
        <w:rPr/>
      </w:pPr>
      <w:r>
        <w:rPr/>
        <w:t>68.1. Mariners receive: published routing charts, Automatic Identification System corridor guidance, the harmonized emergency channel, the dual-ping alert protocol, and the operational manual, all free of charge.</w:t>
      </w:r>
    </w:p>
    <w:p>
      <w:pPr>
        <w:pStyle w:val="TextBody"/>
        <w:rPr/>
      </w:pPr>
      <w:bookmarkStart w:id="247" w:name="article-68.-mariner-information"/>
      <w:r>
        <w:rPr/>
        <w:t>68.2. The Center issues notice-to-mariners bulletins through the standard international channels and mirrors them on the Portal.</w:t>
      </w:r>
      <w:bookmarkEnd w:id="247"/>
    </w:p>
    <w:p>
      <w:pPr>
        <w:pStyle w:val="Heading2"/>
        <w:rPr/>
      </w:pPr>
      <w:bookmarkStart w:id="248" w:name="__RefHeading___Toc7890_2907148441"/>
      <w:bookmarkStart w:id="249" w:name="article-69.-media-and-public-legitimacy"/>
      <w:bookmarkEnd w:id="248"/>
      <w:r>
        <w:rPr>
          <w:color w:val="2E4F6E"/>
        </w:rPr>
        <w:t>Article 69. Media and Public Legitimacy</w:t>
      </w:r>
    </w:p>
    <w:p>
      <w:pPr>
        <w:pStyle w:val="FirstParagraph"/>
        <w:rPr/>
      </w:pPr>
      <w:r>
        <w:rPr/>
        <w:t>69.1. An accredited media correspondent program gives journalists scheduled access to Center briefings, with embargoed operational detail handled under the program rules in Annex H, Section H.8.</w:t>
      </w:r>
    </w:p>
    <w:p>
      <w:pPr>
        <w:pStyle w:val="TextBody"/>
        <w:rPr/>
      </w:pPr>
      <w:r>
        <w:rPr/>
        <w:t>69.2. Each Party communicates the system to its own public under the shared messaging guidance in Annex K, Section K.4: every Party truthfully claims safety gained and nothing conceded.</w:t>
      </w:r>
    </w:p>
    <w:p>
      <w:pPr>
        <w:pStyle w:val="Normal"/>
        <w:rPr/>
      </w:pPr>
      <w:bookmarkStart w:id="250" w:name="Xbe255a81f8c2bf3883f5e3f027ef184b48d58fd"/>
      <w:bookmarkStart w:id="251" w:name="article-69.-media-and-public-legitimac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r>
        <w:br w:type="page"/>
      </w:r>
    </w:p>
    <w:p>
      <w:pPr>
        <w:pStyle w:val="Heading1"/>
        <w:rPr/>
      </w:pPr>
      <w:bookmarkStart w:id="252" w:name="__RefHeading___Toc7892_2907148441"/>
      <w:bookmarkStart w:id="253" w:name="Xebb2865430270099b28da0691104460a2529763"/>
      <w:bookmarkEnd w:id="252"/>
      <w:r>
        <w:rPr>
          <w:color w:val="1F3A5F"/>
        </w:rPr>
        <w:t>PART XV. TRANSITION FROM THE WARTIME LANE REGIME</w:t>
      </w:r>
    </w:p>
    <w:p>
      <w:pPr>
        <w:pStyle w:val="Heading2"/>
        <w:rPr/>
      </w:pPr>
      <w:bookmarkStart w:id="254" w:name="__RefHeading___Toc7894_2907148441"/>
      <w:bookmarkStart w:id="255" w:name="article-70.-sunset-of-the-wartime-lanes"/>
      <w:bookmarkEnd w:id="254"/>
      <w:r>
        <w:rPr>
          <w:color w:val="2E4F6E"/>
        </w:rPr>
        <w:t>Article 70. Sunset of the Wartime Lanes</w:t>
      </w:r>
    </w:p>
    <w:p>
      <w:pPr>
        <w:pStyle w:val="FirstParagraph"/>
        <w:rPr/>
      </w:pPr>
      <w:r>
        <w:rPr/>
        <w:t>70.1. The temporary wartime lanes remain available as backup routing from Day 0 and sunset on the schedule: Buffer-replacement functions end Day 5; outbound temporary routing ends Day 45; inbound temporary routing ends Day 90; the full wartime regime stands retired by Day 120.</w:t>
      </w:r>
    </w:p>
    <w:p>
      <w:pPr>
        <w:pStyle w:val="TextBody"/>
        <w:rPr/>
      </w:pPr>
      <w:bookmarkStart w:id="256" w:name="article-70.-sunset-of-the-wartime-lanes"/>
      <w:r>
        <w:rPr/>
        <w:t>70.2. Every sunset step follows certification that the replacement corridor performs equal or better on the Stability Audit metrics.</w:t>
      </w:r>
      <w:bookmarkEnd w:id="256"/>
    </w:p>
    <w:p>
      <w:pPr>
        <w:pStyle w:val="Heading2"/>
        <w:rPr/>
      </w:pPr>
      <w:bookmarkStart w:id="257" w:name="__RefHeading___Toc7896_2907148441"/>
      <w:bookmarkStart w:id="258" w:name="X5dd1e1fa63d4185907d3224a1a12d4bc933f6a2"/>
      <w:bookmarkEnd w:id="257"/>
      <w:r>
        <w:rPr>
          <w:color w:val="2E4F6E"/>
        </w:rPr>
        <w:t>Article 71. Stranded Vessels and Seafarers</w:t>
      </w:r>
    </w:p>
    <w:p>
      <w:pPr>
        <w:pStyle w:val="FirstParagraph"/>
        <w:rPr/>
      </w:pPr>
      <w:r>
        <w:rPr/>
        <w:t>71.1. The evacuation framework of the International Maritime Organization activates on Day 1. The system prioritizes the movement, assistance, and protection of the stranded seafarers and vessels inherited from the conflict period.</w:t>
      </w:r>
    </w:p>
    <w:p>
      <w:pPr>
        <w:pStyle w:val="TextBody"/>
        <w:rPr/>
      </w:pPr>
      <w:r>
        <w:rPr/>
        <w:t>71.2. Stranded vessels clear through the Buffer Corridor first, in an order set by humanitarian need, crew welfare, vessel condition, and cargo sensitivity, and the Center publishes the clearance queue and its progress daily.</w:t>
      </w:r>
    </w:p>
    <w:p>
      <w:pPr>
        <w:pStyle w:val="TextBody"/>
        <w:rPr/>
      </w:pPr>
      <w:bookmarkStart w:id="259" w:name="X5dd1e1fa63d4185907d3224a1a12d4bc933f6a2"/>
      <w:r>
        <w:rPr/>
        <w:t>71.3. Crew welfare support, including provisioning, medical access, and repatriation coordination, operates through the coastal ports of both Coastal Parties without charge to the crews.</w:t>
      </w:r>
      <w:bookmarkEnd w:id="259"/>
    </w:p>
    <w:p>
      <w:pPr>
        <w:pStyle w:val="Heading2"/>
        <w:rPr/>
      </w:pPr>
      <w:bookmarkStart w:id="260" w:name="__RefHeading___Toc7898_2907148441"/>
      <w:bookmarkStart w:id="261" w:name="article-72.-legacy-incidents-and-claims"/>
      <w:bookmarkEnd w:id="260"/>
      <w:r>
        <w:rPr>
          <w:color w:val="2E4F6E"/>
        </w:rPr>
        <w:t>Article 72. Legacy Incidents and Claims</w:t>
      </w:r>
    </w:p>
    <w:p>
      <w:pPr>
        <w:pStyle w:val="FirstParagraph"/>
        <w:rPr/>
      </w:pPr>
      <w:r>
        <w:rPr/>
        <w:t>72.1. Incidents arising from the conflict period, including damage to vessels and infrastructure, route to a dedicated Legacy Claims Window inside Band Two of the dispute system, with the insurance instruments in Annex J providing the compensation mechanics.</w:t>
      </w:r>
    </w:p>
    <w:p>
      <w:pPr>
        <w:pStyle w:val="TextBody"/>
        <w:rPr/>
      </w:pPr>
      <w:r>
        <w:rPr/>
        <w:t>72.2. The Legacy Claims Window operates for twenty-four months and then merges into the standing system.</w:t>
      </w:r>
    </w:p>
    <w:p>
      <w:pPr>
        <w:pStyle w:val="TextBody"/>
        <w:rPr/>
      </w:pPr>
      <w:bookmarkStart w:id="262" w:name="article-72.-legacy-incidents-and-claims"/>
      <w:r>
        <w:rPr/>
        <w:t>72.3. Participation in the Legacy Claims Window conditions nothing else in this Treaty.</w:t>
      </w:r>
      <w:bookmarkEnd w:id="262"/>
    </w:p>
    <w:p>
      <w:pPr>
        <w:pStyle w:val="Heading2"/>
        <w:rPr/>
      </w:pPr>
      <w:bookmarkStart w:id="263" w:name="__RefHeading___Toc7900_2907148441"/>
      <w:bookmarkStart w:id="264" w:name="article-73.-knowledge-transfer"/>
      <w:bookmarkEnd w:id="263"/>
      <w:r>
        <w:rPr>
          <w:color w:val="2E4F6E"/>
        </w:rPr>
        <w:t>Article 73. Knowledge Transfer</w:t>
      </w:r>
    </w:p>
    <w:p>
      <w:pPr>
        <w:pStyle w:val="FirstParagraph"/>
        <w:rPr/>
      </w:pPr>
      <w:r>
        <w:rPr/>
        <w:t>73.1. Wartime routing data, mine survey data, and incident records from the conflict period transfer into the system’s databases on Day 0, so the permanent system starts with full institutional memory.</w:t>
      </w:r>
    </w:p>
    <w:p>
      <w:pPr>
        <w:pStyle w:val="TextBody"/>
        <w:rPr/>
      </w:pPr>
      <w:r>
        <w:rPr/>
        <w:t>73.2. The Guaranteeing Participant, the Coastal Parties, and the coalition forces that operated during the conflict period deposit their relevant survey and routing data with the Center under the data rules in Annex C.</w:t>
      </w:r>
    </w:p>
    <w:p>
      <w:pPr>
        <w:pStyle w:val="Normal"/>
        <w:rPr/>
      </w:pPr>
      <w:bookmarkStart w:id="265" w:name="Xebb2865430270099b28da0691104460a2529763"/>
      <w:bookmarkStart w:id="266" w:name="article-73.-knowledge-transfe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1"/>
        <w:rPr/>
      </w:pPr>
      <w:bookmarkStart w:id="267" w:name="__RefHeading___Toc7902_2907148441"/>
      <w:bookmarkStart w:id="268" w:name="X53def1df7d9bbcdd6bf6cc15bfb61f5ac97f6b1"/>
      <w:bookmarkEnd w:id="267"/>
      <w:r>
        <w:rPr>
          <w:color w:val="1F3A5F"/>
        </w:rPr>
        <w:t>PART XVI. RELATIONSHIP TO OTHER INSTRUMENTS</w:t>
      </w:r>
    </w:p>
    <w:p>
      <w:pPr>
        <w:pStyle w:val="Heading2"/>
        <w:rPr/>
      </w:pPr>
      <w:bookmarkStart w:id="269" w:name="__RefHeading___Toc7904_2907148441"/>
      <w:bookmarkStart w:id="270" w:name="article-74.-international-law"/>
      <w:bookmarkEnd w:id="269"/>
      <w:r>
        <w:rPr>
          <w:color w:val="2E4F6E"/>
        </w:rPr>
        <w:t>Article 74. International Law</w:t>
      </w:r>
    </w:p>
    <w:p>
      <w:pPr>
        <w:pStyle w:val="FirstParagraph"/>
        <w:rPr/>
      </w:pPr>
      <w:r>
        <w:rPr/>
        <w:t>74.1. This Treaty operates within international law, including the United Nations Convention on the Law of the Sea, the International Convention for the Safety of Life at Sea, and the Charter of the United Nations, and consistent with Security Council resolution 2817 (2026).</w:t>
      </w:r>
    </w:p>
    <w:p>
      <w:pPr>
        <w:pStyle w:val="TextBody"/>
        <w:rPr/>
      </w:pPr>
      <w:r>
        <w:rPr/>
        <w:t>74.2. Nothing in this Treaty suspends, conditions, or impedes the right of passage through a strait used for international navigation, and nothing in this Treaty recognizes any sovereign toll on such passage, in either direction, by any Party.</w:t>
      </w:r>
    </w:p>
    <w:p>
      <w:pPr>
        <w:pStyle w:val="TextBody"/>
        <w:rPr/>
      </w:pPr>
      <w:bookmarkStart w:id="271" w:name="article-74.-international-law"/>
      <w:r>
        <w:rPr/>
        <w:t>74.3. The corridor system builds on, certifies, and where necessary replaces the traffic separation scheme established in the Strait in 1968, through the procedures of the International Maritime Organization.</w:t>
      </w:r>
      <w:bookmarkEnd w:id="271"/>
    </w:p>
    <w:p>
      <w:pPr>
        <w:pStyle w:val="Heading2"/>
        <w:rPr/>
      </w:pPr>
      <w:bookmarkStart w:id="272" w:name="__RefHeading___Toc7906_2907148441"/>
      <w:bookmarkStart w:id="273" w:name="X8d61f2005a4002f73fac32e9d97e7c5ea076ee7"/>
      <w:bookmarkEnd w:id="272"/>
      <w:r>
        <w:rPr>
          <w:color w:val="2E4F6E"/>
        </w:rPr>
        <w:t>Article 75. The June 2026 Memorandum of Understanding</w:t>
      </w:r>
    </w:p>
    <w:p>
      <w:pPr>
        <w:pStyle w:val="FirstParagraph"/>
        <w:rPr/>
      </w:pPr>
      <w:r>
        <w:rPr/>
        <w:t>75.1. This Treaty implements the maritime dimension of the framework opened by the June 2026 Memorandum of Understanding, and operates independently of the Memorandum’s other tracks under the firewall of Part X.</w:t>
      </w:r>
    </w:p>
    <w:p>
      <w:pPr>
        <w:pStyle w:val="TextBody"/>
        <w:rPr/>
      </w:pPr>
      <w:bookmarkStart w:id="274" w:name="X8d61f2005a4002f73fac32e9d97e7c5ea076ee7"/>
      <w:r>
        <w:rPr/>
        <w:t>75.2. Where the Memorandum’s maritime provisions and this Treaty overlap, this Treaty governs the maritime domain from its entry into force.</w:t>
      </w:r>
      <w:bookmarkEnd w:id="274"/>
    </w:p>
    <w:p>
      <w:pPr>
        <w:pStyle w:val="Heading2"/>
        <w:rPr/>
      </w:pPr>
      <w:bookmarkStart w:id="275" w:name="__RefHeading___Toc7908_2907148441"/>
      <w:bookmarkStart w:id="276" w:name="article-76.-adjacent-architectures"/>
      <w:bookmarkEnd w:id="275"/>
      <w:r>
        <w:rPr>
          <w:color w:val="2E4F6E"/>
        </w:rPr>
        <w:t>Article 76. Adjacent Architectures</w:t>
      </w:r>
    </w:p>
    <w:p>
      <w:pPr>
        <w:pStyle w:val="FirstParagraph"/>
        <w:rPr/>
      </w:pPr>
      <w:r>
        <w:rPr/>
        <w:t>76.1. The system interoperates with adjacent regional maritime architectures, including Red Sea coordination structures, through the Karachi node and the Red Sea coordination point, harmonizing risk pricing, incident reporting, and escort practice.</w:t>
      </w:r>
    </w:p>
    <w:p>
      <w:pPr>
        <w:pStyle w:val="TextBody"/>
        <w:rPr/>
      </w:pPr>
      <w:r>
        <w:rPr/>
        <w:t>76.2. Interoperation creates no obligation on any adjacent architecture and imports none from it.</w:t>
      </w:r>
    </w:p>
    <w:p>
      <w:pPr>
        <w:pStyle w:val="Normal"/>
        <w:rPr/>
      </w:pPr>
      <w:bookmarkStart w:id="277" w:name="X53def1df7d9bbcdd6bf6cc15bfb61f5ac97f6b1"/>
      <w:bookmarkStart w:id="278" w:name="article-76.-adjacent-architectur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r>
        <w:br w:type="page"/>
      </w:r>
    </w:p>
    <w:p>
      <w:pPr>
        <w:pStyle w:val="Heading1"/>
        <w:rPr/>
      </w:pPr>
      <w:bookmarkStart w:id="279" w:name="__RefHeading___Toc7910_2907148441"/>
      <w:bookmarkStart w:id="280" w:name="X2ba3d6afe01108c94a9eb063a5e2caf558910b0"/>
      <w:bookmarkEnd w:id="279"/>
      <w:r>
        <w:rPr>
          <w:color w:val="1F3A5F"/>
        </w:rPr>
        <w:t>PART XVII. AMENDMENT, REVIEW, AND CONTINUITY</w:t>
      </w:r>
    </w:p>
    <w:p>
      <w:pPr>
        <w:pStyle w:val="Heading2"/>
        <w:rPr/>
      </w:pPr>
      <w:bookmarkStart w:id="281" w:name="__RefHeading___Toc7912_2907148441"/>
      <w:bookmarkStart w:id="282" w:name="article-77.-amendment-and-review"/>
      <w:bookmarkEnd w:id="281"/>
      <w:r>
        <w:rPr>
          <w:color w:val="2E4F6E"/>
        </w:rPr>
        <w:t>Article 77. Amendment and Review</w:t>
      </w:r>
    </w:p>
    <w:p>
      <w:pPr>
        <w:pStyle w:val="FirstParagraph"/>
        <w:rPr/>
      </w:pPr>
      <w:r>
        <w:rPr/>
        <w:t>77.1. Any Party proposes amendments in writing to the Depositary. Amendments adopt by consensus of the voting Council members and enter into force on deposit of the last instrument of acceptance.</w:t>
      </w:r>
    </w:p>
    <w:p>
      <w:pPr>
        <w:pStyle w:val="TextBody"/>
        <w:rPr/>
      </w:pPr>
      <w:r>
        <w:rPr/>
        <w:t>77.2. Annexes update through the lighter annex procedure: technical annex changes adopt by three-quarters Council vote, except that Annex A coordinate changes follow Article 10, and Annex D fee changes follow Annex D, Section D.7.</w:t>
      </w:r>
    </w:p>
    <w:p>
      <w:pPr>
        <w:pStyle w:val="TextBody"/>
        <w:rPr/>
      </w:pPr>
      <w:bookmarkStart w:id="283" w:name="article-77.-amendment-and-review"/>
      <w:r>
        <w:rPr/>
        <w:t>77.3. The Council reviews the Treaty quarterly during the first year and annually thereafter, with each review published on the Transparency Portal.</w:t>
      </w:r>
      <w:bookmarkEnd w:id="283"/>
    </w:p>
    <w:p>
      <w:pPr>
        <w:pStyle w:val="Heading2"/>
        <w:rPr/>
      </w:pPr>
      <w:bookmarkStart w:id="284" w:name="__RefHeading___Toc7914_2907148441"/>
      <w:bookmarkStart w:id="285" w:name="article-78.-continuity"/>
      <w:bookmarkEnd w:id="284"/>
      <w:r>
        <w:rPr>
          <w:color w:val="2E4F6E"/>
        </w:rPr>
        <w:t>Article 78. Continuity</w:t>
      </w:r>
    </w:p>
    <w:p>
      <w:pPr>
        <w:pStyle w:val="FirstParagraph"/>
        <w:rPr/>
      </w:pPr>
      <w:r>
        <w:rPr/>
        <w:t>78.1. No sunset clause applies to any provision of this Treaty. Every provision remains in force permanently.</w:t>
      </w:r>
    </w:p>
    <w:p>
      <w:pPr>
        <w:pStyle w:val="TextBody"/>
        <w:rPr/>
      </w:pPr>
      <w:r>
        <w:rPr/>
        <w:t>78.2. The Silent Extension Protocol applies during any period of regional deterioration: all obligations and all operations continue, with benefit accrual at seventy-five percent of the standard rate, until conditions normalize. The system degrades gracefully, never catastrophically.</w:t>
      </w:r>
    </w:p>
    <w:p>
      <w:pPr>
        <w:pStyle w:val="TextBody"/>
        <w:rPr/>
      </w:pPr>
      <w:bookmarkStart w:id="286" w:name="article-78.-continuity"/>
      <w:r>
        <w:rPr/>
        <w:t>78.3. Withdrawal from this Treaty takes effect twelve months after written notice to the Depositary, and every obligation continues in full during those twelve months. Withdrawal changes nothing on the water during the notice period.</w:t>
      </w:r>
      <w:bookmarkEnd w:id="286"/>
    </w:p>
    <w:p>
      <w:pPr>
        <w:pStyle w:val="Heading2"/>
        <w:rPr/>
      </w:pPr>
      <w:bookmarkStart w:id="287" w:name="__RefHeading___Toc7916_2907148441"/>
      <w:bookmarkStart w:id="288" w:name="article-79.-succession-and-accession"/>
      <w:bookmarkEnd w:id="287"/>
      <w:r>
        <w:rPr>
          <w:color w:val="2E4F6E"/>
        </w:rPr>
        <w:t>Article 79. Succession and Accession</w:t>
      </w:r>
    </w:p>
    <w:p>
      <w:pPr>
        <w:pStyle w:val="FirstParagraph"/>
        <w:rPr/>
      </w:pPr>
      <w:r>
        <w:rPr/>
        <w:t>79.1. Any state with a maritime interest in the Treaty area accedes to this Treaty on terms the Council sets by consensus, with observer status available immediately upon application.</w:t>
      </w:r>
    </w:p>
    <w:p>
      <w:pPr>
        <w:pStyle w:val="TextBody"/>
        <w:rPr/>
      </w:pPr>
      <w:r>
        <w:rPr/>
        <w:t>79.2. The obligations of this Treaty bind successor governments and successor authorities of the Parties without interruption.</w:t>
      </w:r>
    </w:p>
    <w:p>
      <w:pPr>
        <w:pStyle w:val="Normal"/>
        <w:rPr/>
      </w:pPr>
      <w:bookmarkStart w:id="289" w:name="X2ba3d6afe01108c94a9eb063a5e2caf558910b0"/>
      <w:bookmarkStart w:id="290" w:name="article-79.-succession-and-accessio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1"/>
        <w:rPr/>
      </w:pPr>
      <w:bookmarkStart w:id="291" w:name="__RefHeading___Toc7918_2907148441"/>
      <w:bookmarkStart w:id="292" w:name="X3c0f6014d60037f70717cd4f551ef17d153e0b0"/>
      <w:bookmarkEnd w:id="291"/>
      <w:r>
        <w:rPr>
          <w:color w:val="1F3A5F"/>
        </w:rPr>
        <w:t>PART XVIII. SIGNATURE, RATIFICATION, AND ENTRY INTO FORCE</w:t>
      </w:r>
    </w:p>
    <w:p>
      <w:pPr>
        <w:pStyle w:val="Heading2"/>
        <w:rPr/>
      </w:pPr>
      <w:bookmarkStart w:id="293" w:name="__RefHeading___Toc7920_2907148441"/>
      <w:bookmarkStart w:id="294" w:name="X75ba49667deb09a56d3f62167d4c42fe059cacc"/>
      <w:bookmarkEnd w:id="293"/>
      <w:r>
        <w:rPr>
          <w:color w:val="2E4F6E"/>
        </w:rPr>
        <w:t>Article 80. Signature and Provisional Application</w:t>
      </w:r>
    </w:p>
    <w:p>
      <w:pPr>
        <w:pStyle w:val="FirstParagraph"/>
        <w:rPr/>
      </w:pPr>
      <w:r>
        <w:rPr/>
        <w:t>80.1. This Treaty opens for signature at Muscat. Signature by the two Coastal Parties activates provisional application of Parts I through XV and Annexes A through J immediately, so the five-day opening sequence runs on signature, ahead of ratification.</w:t>
      </w:r>
    </w:p>
    <w:p>
      <w:pPr>
        <w:pStyle w:val="TextBody"/>
        <w:rPr/>
      </w:pPr>
      <w:bookmarkStart w:id="295" w:name="X75ba49667deb09a56d3f62167d4c42fe059cacc"/>
      <w:r>
        <w:rPr/>
        <w:t>80.2. Regional Signatories, the Guaranteeing Participant, the Mediating Witnesses, and the Institutional Observers sign in their respective capacities as defined on the cover page.</w:t>
      </w:r>
      <w:bookmarkEnd w:id="295"/>
    </w:p>
    <w:p>
      <w:pPr>
        <w:pStyle w:val="Heading2"/>
        <w:rPr/>
      </w:pPr>
      <w:bookmarkStart w:id="296" w:name="__RefHeading___Toc7922_2907148441"/>
      <w:bookmarkStart w:id="297" w:name="X1f9e229020c41928ba5c9a62192de697785bbeb"/>
      <w:bookmarkEnd w:id="296"/>
      <w:r>
        <w:rPr>
          <w:color w:val="2E4F6E"/>
        </w:rPr>
        <w:t>Article 81. Ratification and Entry into Force</w:t>
      </w:r>
    </w:p>
    <w:p>
      <w:pPr>
        <w:pStyle w:val="FirstParagraph"/>
        <w:rPr/>
      </w:pPr>
      <w:r>
        <w:rPr/>
        <w:t>81.1. The Coastal Parties deposit instruments of ratification with the Depositary. This Treaty enters into force definitively on the deposit of the second instrument of ratification.</w:t>
      </w:r>
    </w:p>
    <w:p>
      <w:pPr>
        <w:pStyle w:val="TextBody"/>
        <w:rPr/>
      </w:pPr>
      <w:bookmarkStart w:id="298" w:name="X1f9e229020c41928ba5c9a62192de697785bbeb"/>
      <w:r>
        <w:rPr/>
        <w:t>81.2. Provisional application under Article 80 covers the entire period between signature and entry into force, so no gap exists in the governance of the Strait.</w:t>
      </w:r>
      <w:bookmarkEnd w:id="298"/>
    </w:p>
    <w:p>
      <w:pPr>
        <w:pStyle w:val="Heading2"/>
        <w:rPr/>
      </w:pPr>
      <w:bookmarkStart w:id="299" w:name="__RefHeading___Toc7924_2907148441"/>
      <w:bookmarkStart w:id="300" w:name="article-82.-depositary-functions"/>
      <w:bookmarkEnd w:id="299"/>
      <w:r>
        <w:rPr>
          <w:color w:val="2E4F6E"/>
        </w:rPr>
        <w:t>Article 82. Depositary Functions</w:t>
      </w:r>
    </w:p>
    <w:p>
      <w:pPr>
        <w:pStyle w:val="FirstParagraph"/>
        <w:rPr/>
      </w:pPr>
      <w:r>
        <w:rPr/>
        <w:t>82.1. The Sultanate of Oman serves as Depositary: it holds the original texts, receives instruments, registers amendments, holds the sealed coordinate set pending its transfer into Annex A, and transmits certified copies to all Parties and to the International Maritime Organization.</w:t>
      </w:r>
    </w:p>
    <w:p>
      <w:pPr>
        <w:pStyle w:val="TextBody"/>
        <w:rPr/>
      </w:pPr>
      <w:r>
        <w:rPr/>
        <w:t>82.2. The Depositary performs these functions with the neutrality that every Party relies upon throughout this Treaty.</w:t>
      </w:r>
    </w:p>
    <w:p>
      <w:pPr>
        <w:pStyle w:val="Normal"/>
        <w:rPr/>
      </w:pPr>
      <w:bookmarkStart w:id="301" w:name="X3c0f6014d60037f70717cd4f551ef17d153e0b0"/>
      <w:bookmarkStart w:id="302" w:name="article-82.-depositary-function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r>
        <w:br w:type="page"/>
      </w:r>
    </w:p>
    <w:p>
      <w:pPr>
        <w:pStyle w:val="Heading1"/>
        <w:rPr/>
      </w:pPr>
      <w:bookmarkStart w:id="303" w:name="__RefHeading___Toc7926_2907148441"/>
      <w:bookmarkStart w:id="304" w:name="signature-pages"/>
      <w:bookmarkEnd w:id="303"/>
      <w:r>
        <w:rPr>
          <w:color w:val="1F3A5F"/>
        </w:rPr>
        <w:t>SIGNATURE PAGES</w:t>
      </w:r>
    </w:p>
    <w:p>
      <w:pPr>
        <w:pStyle w:val="FirstParagraph"/>
        <w:rPr/>
      </w:pPr>
      <w:r>
        <w:rPr>
          <w:b/>
          <w:bCs/>
        </w:rPr>
        <w:t>Done at Muscat, Sultanate of Oman, in the Arabic, English, and Persian languages, all three texts equally authoritative.</w:t>
      </w:r>
    </w:p>
    <w:p>
      <w:pPr>
        <w:pStyle w:val="TextBody"/>
        <w:rPr/>
      </w:pPr>
      <w:r>
        <w:rPr/>
        <w:t>For the Islamic Republic of Iran (Coastal Party):</w:t>
      </w:r>
    </w:p>
    <w:p>
      <w:pPr>
        <w:pStyle w:val="TextBody"/>
        <w:rPr/>
      </w:pPr>
      <w:r>
        <w:rPr/>
        <w:t>Signature: ______________________ Name and Title: ______________________ Date: __________</w:t>
      </w:r>
    </w:p>
    <w:p>
      <w:pPr>
        <w:pStyle w:val="TextBody"/>
        <w:rPr/>
      </w:pPr>
      <w:r>
        <w:rPr/>
        <w:t>For the Sultanate of Oman (Coastal Party and Depositary):</w:t>
      </w:r>
    </w:p>
    <w:p>
      <w:pPr>
        <w:pStyle w:val="TextBody"/>
        <w:rPr/>
      </w:pPr>
      <w:r>
        <w:rPr/>
        <w:t>Signature: ______________________ Name and Title: ______________________ Date: __________</w:t>
      </w:r>
    </w:p>
    <w:p>
      <w:pPr>
        <w:pStyle w:val="TextBody"/>
        <w:rPr/>
      </w:pPr>
      <w:r>
        <w:rPr/>
        <w:t>For the Kingdom of Bahrain (Regional Signatory):</w:t>
      </w:r>
    </w:p>
    <w:p>
      <w:pPr>
        <w:pStyle w:val="TextBody"/>
        <w:rPr/>
      </w:pPr>
      <w:r>
        <w:rPr/>
        <w:t>Signature: ______________________ Name and Title: ______________________ Date: __________</w:t>
      </w:r>
    </w:p>
    <w:p>
      <w:pPr>
        <w:pStyle w:val="TextBody"/>
        <w:rPr/>
      </w:pPr>
      <w:r>
        <w:rPr/>
        <w:t>For the State of Kuwait (Regional Signatory):</w:t>
      </w:r>
    </w:p>
    <w:p>
      <w:pPr>
        <w:pStyle w:val="TextBody"/>
        <w:rPr/>
      </w:pPr>
      <w:r>
        <w:rPr/>
        <w:t>Signature: ______________________ Name and Title: ______________________ Date: __________</w:t>
      </w:r>
    </w:p>
    <w:p>
      <w:pPr>
        <w:pStyle w:val="TextBody"/>
        <w:rPr/>
      </w:pPr>
      <w:r>
        <w:rPr/>
        <w:t>For the State of Qatar (Regional Signatory and Mediating Witness):</w:t>
      </w:r>
    </w:p>
    <w:p>
      <w:pPr>
        <w:pStyle w:val="TextBody"/>
        <w:rPr/>
      </w:pPr>
      <w:r>
        <w:rPr/>
        <w:t>Signature: ______________________ Name and Title: ______________________ Date: __________</w:t>
      </w:r>
    </w:p>
    <w:p>
      <w:pPr>
        <w:pStyle w:val="TextBody"/>
        <w:rPr/>
      </w:pPr>
      <w:r>
        <w:rPr/>
        <w:t>For the Kingdom of Saudi Arabia (Regional Signatory):</w:t>
      </w:r>
    </w:p>
    <w:p>
      <w:pPr>
        <w:pStyle w:val="TextBody"/>
        <w:rPr/>
      </w:pPr>
      <w:r>
        <w:rPr/>
        <w:t>Signature: ______________________ Name and Title: ______________________ Date: __________</w:t>
      </w:r>
    </w:p>
    <w:p>
      <w:pPr>
        <w:pStyle w:val="TextBody"/>
        <w:rPr/>
      </w:pPr>
      <w:r>
        <w:rPr/>
        <w:t>For the United Arab Emirates (Regional Signatory):</w:t>
      </w:r>
    </w:p>
    <w:p>
      <w:pPr>
        <w:pStyle w:val="TextBody"/>
        <w:rPr/>
      </w:pPr>
      <w:r>
        <w:rPr/>
        <w:t>Signature: ______________________ Name and Title: ______________________ Date: __________</w:t>
      </w:r>
    </w:p>
    <w:p>
      <w:pPr>
        <w:pStyle w:val="TextBody"/>
        <w:rPr/>
      </w:pPr>
      <w:r>
        <w:rPr/>
        <w:t>For the Republic of Iraq (Regional Signatory):</w:t>
      </w:r>
    </w:p>
    <w:p>
      <w:pPr>
        <w:pStyle w:val="TextBody"/>
        <w:rPr/>
      </w:pPr>
      <w:r>
        <w:rPr/>
        <w:t>Signature: ______________________ Name and Title: ______________________ Date: __________</w:t>
      </w:r>
    </w:p>
    <w:p>
      <w:pPr>
        <w:pStyle w:val="TextBody"/>
        <w:rPr/>
      </w:pPr>
      <w:r>
        <w:rPr/>
        <w:t>For the United States of America (Guaranteeing Participant, First-Phase Security Coordinator):</w:t>
      </w:r>
    </w:p>
    <w:p>
      <w:pPr>
        <w:pStyle w:val="TextBody"/>
        <w:rPr/>
      </w:pPr>
      <w:r>
        <w:rPr/>
        <w:t>Signature: ______________________ Name and Title: ______________________ Date: __________</w:t>
      </w:r>
    </w:p>
    <w:p>
      <w:pPr>
        <w:pStyle w:val="TextBody"/>
        <w:rPr/>
      </w:pPr>
      <w:r>
        <w:rPr/>
        <w:t>For the Islamic Republic of Pakistan (Mediating Witness):</w:t>
      </w:r>
    </w:p>
    <w:p>
      <w:pPr>
        <w:pStyle w:val="TextBody"/>
        <w:rPr/>
      </w:pPr>
      <w:r>
        <w:rPr/>
        <w:t>Signature: ______________________ Name and Title: ______________________ Date: __________</w:t>
      </w:r>
    </w:p>
    <w:p>
      <w:pPr>
        <w:pStyle w:val="TextBody"/>
        <w:rPr/>
      </w:pPr>
      <w:r>
        <w:rPr/>
        <w:t>For the European Union (Institutional Observer):</w:t>
      </w:r>
    </w:p>
    <w:p>
      <w:pPr>
        <w:pStyle w:val="TextBody"/>
        <w:rPr/>
      </w:pPr>
      <w:r>
        <w:rPr/>
        <w:t>Signature: ______________________ Name and Title: ______________________ Date: __________</w:t>
      </w:r>
    </w:p>
    <w:p>
      <w:pPr>
        <w:pStyle w:val="TextBody"/>
        <w:rPr/>
      </w:pPr>
      <w:r>
        <w:rPr/>
        <w:t>For the International Maritime Organization (Institutional Observer):</w:t>
      </w:r>
    </w:p>
    <w:p>
      <w:pPr>
        <w:pStyle w:val="TextBody"/>
        <w:rPr/>
      </w:pPr>
      <w:r>
        <w:rPr/>
        <w:t>Signature: ______________________ Name and Title: ______________________ Date: __________</w:t>
      </w:r>
    </w:p>
    <w:p>
      <w:pPr>
        <w:pStyle w:val="Normal"/>
        <w:rPr/>
      </w:pPr>
      <w:bookmarkStart w:id="305" w:name="signature-page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r>
        <w:br w:type="page"/>
      </w:r>
    </w:p>
    <w:p>
      <w:pPr>
        <w:pStyle w:val="Heading1"/>
        <w:rPr/>
      </w:pPr>
      <w:bookmarkStart w:id="306" w:name="__RefHeading___Toc7928_2907148441"/>
      <w:bookmarkStart w:id="307" w:name="X59ff470827c433e3a3602c50064f2befdb0e335"/>
      <w:bookmarkEnd w:id="306"/>
      <w:r>
        <w:rPr>
          <w:color w:val="1F3A5F"/>
        </w:rPr>
        <w:t>ANNEX A. CORRIDOR COORDINATES AND CHARTLETS</w:t>
      </w:r>
    </w:p>
    <w:p>
      <w:pPr>
        <w:pStyle w:val="Heading2"/>
        <w:rPr/>
      </w:pPr>
      <w:bookmarkStart w:id="308" w:name="__RefHeading___Toc7930_2907148441"/>
      <w:bookmarkStart w:id="309" w:name="a.1.-structure-of-this-annex"/>
      <w:bookmarkEnd w:id="308"/>
      <w:r>
        <w:rPr>
          <w:color w:val="2E4F6E"/>
        </w:rPr>
        <w:t>A.1. Structure of this Annex</w:t>
      </w:r>
    </w:p>
    <w:p>
      <w:pPr>
        <w:pStyle w:val="FirstParagraph"/>
        <w:rPr/>
      </w:pPr>
      <w:r>
        <w:rPr/>
        <w:t>A.1.1. This Annex carries the coordinate architecture of the system in three schedules and one procedure. Schedule 1 holds the final corridor coordinates. Schedule 2 holds the approach lanes, anchorages, holding areas, and response stations. Schedule 3 holds the provisional corridor guidance that enters the public record on Day 0. Section A.7 holds the Corridor Modification Procedure.</w:t>
      </w:r>
    </w:p>
    <w:p>
      <w:pPr>
        <w:pStyle w:val="TextBody"/>
        <w:rPr/>
      </w:pPr>
      <w:bookmarkStart w:id="310" w:name="a.1.-structure-of-this-annex"/>
      <w:r>
        <w:rPr/>
        <w:t>A.1.2. The final coordinate set derives from the geometry the Coastal Parties agreed during the July and August 2026 technical talks. The Depositary holds that set under seal until signature, transfers it into Schedule 1 on Day 0, and the Center lodges it with the International Maritime Organization on Day 5. Until that transfer, Schedule 3 guidance governs navigation, and Schedule 3 geometry sits deliberately inside the agreed geometry so that no vessel transiting Schedule 3 guidance ever finds itself outside Schedule 1 corridors.</w:t>
      </w:r>
      <w:bookmarkEnd w:id="310"/>
    </w:p>
    <w:p>
      <w:pPr>
        <w:pStyle w:val="Heading2"/>
        <w:rPr/>
      </w:pPr>
      <w:bookmarkStart w:id="311" w:name="__RefHeading___Toc7932_2907148441"/>
      <w:bookmarkStart w:id="312" w:name="X0303a0d196c77c4e5fa0fc885edae77b2bb8f69"/>
      <w:bookmarkEnd w:id="311"/>
      <w:r>
        <w:rPr>
          <w:color w:val="2E4F6E"/>
        </w:rPr>
        <w:t>A.2. Schedule 1: Final Corridor Coordinates</w:t>
      </w:r>
    </w:p>
    <w:p>
      <w:pPr>
        <w:pStyle w:val="FirstParagraph"/>
        <w:rPr/>
      </w:pPr>
      <w:r>
        <w:rPr/>
        <w:t>A.2.1. Schedule 1 records every corridor as a closed polygon of turning points, expressed in degrees, minutes, and decimal minutes, WGS-84 datum, in the following standard format: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Corridor</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Point</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Latitude (N)</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Longitude (E)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Sequence Note</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IB-01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Eastern entry, Larak approach</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IB-02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Deep-water turn</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IB-03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Western exit, TSS junction</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IB-04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Southern boundary return</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OB-01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Western entry, Musandam approach</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OB-02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Southern lane turn</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OB-03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Ras al Hadd approach</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OB-04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Northern boundary return</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BF-01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Eastern gate</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BF-02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Central separation axis</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BF-03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Western gate</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BF-04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[transfers from sealed set]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Military Transit Window axis</w:t>
            </w:r>
          </w:p>
        </w:tc>
      </w:tr>
    </w:tbl>
    <w:p>
      <w:pPr>
        <w:pStyle w:val="TextBody"/>
        <w:rPr/>
      </w:pPr>
      <w:r>
        <w:rPr/>
        <w:t>A.2.2. The bracketed entries above complete automatically upon the Depositary’s transfer of the agreed set. This Annex intentionally publishes the architecture and the format in advance of the geometry, so mariners, software vendors, and charting authorities prepare their systems before Day 0 and load the numbers on Day 5.</w:t>
      </w:r>
    </w:p>
    <w:p>
      <w:pPr>
        <w:pStyle w:val="TextBody"/>
        <w:rPr/>
      </w:pPr>
      <w:r>
        <w:rPr/>
        <w:t>A.2.3. Corridor widths follow the agreed geometry: the Inbound and Outbound Corridors each run approximately two nautical miles wide along their traffic axes, and the Buffer Corridor runs approximately two nautical miles wide on its separation axis, matching the separation practice of the 1968 traffic separation scheme and the width mariners already train for.</w:t>
      </w:r>
    </w:p>
    <w:p>
      <w:pPr>
        <w:pStyle w:val="TextBody"/>
        <w:rPr/>
      </w:pPr>
      <w:bookmarkStart w:id="313" w:name="X0303a0d196c77c4e5fa0fc885edae77b2bb8f69"/>
      <w:r>
        <w:rPr/>
        <w:t>A.2.4. The Military Transit Window runs along the Buffer Corridor axis, one nautical mile wide, with entry gates at BF-01 and BF-03.</w:t>
      </w:r>
      <w:bookmarkEnd w:id="313"/>
    </w:p>
    <w:p>
      <w:pPr>
        <w:pStyle w:val="Heading2"/>
        <w:rPr/>
      </w:pPr>
      <w:bookmarkStart w:id="314" w:name="__RefHeading___Toc7934_2907148441"/>
      <w:bookmarkStart w:id="315" w:name="X49e05b94245019d81ed78e4532f9c9a07766cd8"/>
      <w:bookmarkEnd w:id="314"/>
      <w:r>
        <w:rPr>
          <w:color w:val="2E4F6E"/>
        </w:rPr>
        <w:t>A.3. Schedule 2: Approaches, Anchorages, and Stations</w:t>
      </w:r>
    </w:p>
    <w:p>
      <w:pPr>
        <w:pStyle w:val="FirstParagraph"/>
        <w:rPr/>
      </w:pPr>
      <w:r>
        <w:rPr/>
        <w:t xml:space="preserve">A.3.1. </w:t>
      </w:r>
      <w:r>
        <w:rPr>
          <w:b/>
          <w:bCs/>
        </w:rPr>
        <w:t>Eastern approach lanes.</w:t>
      </w:r>
      <w:r>
        <w:rPr/>
        <w:t xml:space="preserve"> Two approach lanes fan from the corridor gates into the Gulf of Oman: Approach East Alpha feeds the Inbound Corridor from the Ras al Hadd traffic area, and Approach East Bravo receives the Outbound Corridor flow toward the open ocean. Each approach lane runs five nautical miles long and two nautical miles wide, with coordinates recorded in the same format as Schedule 1.</w:t>
      </w:r>
    </w:p>
    <w:p>
      <w:pPr>
        <w:pStyle w:val="TextBody"/>
        <w:rPr/>
      </w:pPr>
      <w:r>
        <w:rPr/>
        <w:t xml:space="preserve">A.3.2. </w:t>
      </w:r>
      <w:r>
        <w:rPr>
          <w:b/>
          <w:bCs/>
        </w:rPr>
        <w:t>Western approach lanes.</w:t>
      </w:r>
      <w:r>
        <w:rPr/>
        <w:t xml:space="preserve"> Two approach lanes fan from the western corridor gates into the Arabian Gulf: Approach West Alpha receives Inbound flow toward the inshore traffic zones, and Approach West Bravo feeds Outbound flow from the Gulf loading terminals.</w:t>
      </w:r>
    </w:p>
    <w:p>
      <w:pPr>
        <w:pStyle w:val="TextBody"/>
        <w:rPr/>
      </w:pPr>
      <w:r>
        <w:rPr/>
        <w:t xml:space="preserve">A.3.3. </w:t>
      </w:r>
      <w:r>
        <w:rPr>
          <w:b/>
          <w:bCs/>
        </w:rPr>
        <w:t>Anchorages.</w:t>
      </w:r>
      <w:r>
        <w:rPr/>
        <w:t xml:space="preserve"> Four designated anchorages operate outside all corridors: Anchorage North One and Anchorage North Two on the Iranian side, Anchorage South One and Anchorage South Two on the Omani side. Each anchorage carries a two nautical mile radius, depth and bottom surveys on file at the Center, and a published capacity in vessel count.</w:t>
      </w:r>
    </w:p>
    <w:p>
      <w:pPr>
        <w:pStyle w:val="TextBody"/>
        <w:rPr/>
      </w:pPr>
      <w:r>
        <w:rPr/>
        <w:t xml:space="preserve">A.3.4. </w:t>
      </w:r>
      <w:r>
        <w:rPr>
          <w:b/>
          <w:bCs/>
        </w:rPr>
        <w:t>Holding areas.</w:t>
      </w:r>
      <w:r>
        <w:rPr/>
        <w:t xml:space="preserve"> Holding Area East and Holding Area West absorb vessels awaiting convoy windows, flag-requested inspections, or diversion clearance. Each holding area publishes a slot plan daily.</w:t>
      </w:r>
    </w:p>
    <w:p>
      <w:pPr>
        <w:pStyle w:val="TextBody"/>
        <w:rPr/>
      </w:pPr>
      <w:r>
        <w:rPr/>
        <w:t xml:space="preserve">A.3.5. </w:t>
      </w:r>
      <w:r>
        <w:rPr>
          <w:b/>
          <w:bCs/>
        </w:rPr>
        <w:t>Response stations.</w:t>
      </w:r>
      <w:r>
        <w:rPr/>
        <w:t xml:space="preserve"> Four Environmental Response Reserve stations pre-position spill equipment: Bandar Abbas area, Larak Island area, Musandam area, and Ras al Hadd area. Each station holds the equipment list in Annex G, Table G-2.</w:t>
      </w:r>
      <w:bookmarkEnd w:id="315"/>
    </w:p>
    <w:p>
      <w:pPr>
        <w:pStyle w:val="Heading2"/>
        <w:rPr/>
      </w:pPr>
      <w:bookmarkStart w:id="316" w:name="__RefHeading___Toc7936_2907148441"/>
      <w:bookmarkStart w:id="317" w:name="Xe0c10305a9cb23cf1d1a67db85d48b5ade787ef"/>
      <w:bookmarkEnd w:id="316"/>
      <w:r>
        <w:rPr>
          <w:color w:val="2E4F6E"/>
        </w:rPr>
        <w:t>A.4. Schedule 3: Provisional Corridor Guidance (Day 0 Publication)</w:t>
      </w:r>
    </w:p>
    <w:p>
      <w:pPr>
        <w:pStyle w:val="FirstParagraph"/>
        <w:rPr/>
      </w:pPr>
      <w:r>
        <w:rPr/>
        <w:t>A.4.1. Schedule 3 publishes on Day 0 as simplified routing guidance: one centerline per corridor with a stated half-width, turning waypoints rounded to the nearest whole minute, and plain-language entry and exit instructions. Schedule 3 deliberately sits inside the final geometry, so guidance-compliant vessels remain inside Schedule 1 corridors under all tidal and traffic conditions.</w:t>
      </w:r>
    </w:p>
    <w:p>
      <w:pPr>
        <w:pStyle w:val="TextBody"/>
        <w:rPr/>
      </w:pPr>
      <w:r>
        <w:rPr/>
        <w:t>A.4.2. Schedule 3 carries the following plain-language routing instructions:</w:t>
      </w:r>
    </w:p>
    <w:p>
      <w:pPr>
        <w:pStyle w:val="Normal"/>
        <w:numPr>
          <w:ilvl w:val="0"/>
          <w:numId w:val="4"/>
        </w:numPr>
        <w:rPr/>
      </w:pPr>
      <w:r>
        <w:rPr/>
        <w:t>Eastbound, Gulf-entering traffic enters the Inbound Corridor at the Larak eastern gate, follows the northern lane past Larak Island, and exits at the western traffic separation junction.</w:t>
      </w:r>
    </w:p>
    <w:p>
      <w:pPr>
        <w:pStyle w:val="Normal"/>
        <w:numPr>
          <w:ilvl w:val="0"/>
          <w:numId w:val="1"/>
        </w:numPr>
        <w:rPr/>
      </w:pPr>
      <w:r>
        <w:rPr/>
        <w:t>Westbound, Gulf-exiting traffic enters the Outbound Corridor at the Musandam western gate, follows the southern lane along the Omani coast, and exits toward Ras al Hadd and the open ocean. No prior approval applies.</w:t>
      </w:r>
    </w:p>
    <w:p>
      <w:pPr>
        <w:pStyle w:val="Normal"/>
        <w:numPr>
          <w:ilvl w:val="0"/>
          <w:numId w:val="1"/>
        </w:numPr>
        <w:rPr/>
      </w:pPr>
      <w:r>
        <w:rPr/>
        <w:t>No routine traffic enters the Buffer Corridor. Vessels enter the Buffer Corridor only on Center instruction for emergency diversion, mine-risk avoidance, or search and rescue routing.</w:t>
      </w:r>
    </w:p>
    <w:p>
      <w:pPr>
        <w:pStyle w:val="Normal"/>
        <w:numPr>
          <w:ilvl w:val="0"/>
          <w:numId w:val="1"/>
        </w:numPr>
        <w:rPr/>
      </w:pPr>
      <w:r>
        <w:rPr/>
        <w:t>Naval vessels transit the Military Transit Window inside the Buffer Corridor on twenty-four hour notice under Article 14.</w:t>
      </w:r>
    </w:p>
    <w:p>
      <w:pPr>
        <w:pStyle w:val="FirstParagraph"/>
        <w:rPr/>
      </w:pPr>
      <w:bookmarkStart w:id="318" w:name="Xe0c10305a9cb23cf1d1a67db85d48b5ade787ef"/>
      <w:r>
        <w:rPr/>
        <w:t>A.4.3. Schedule 3 expires automatically when the International Maritime Organization registers Schedule 1, and the Center issues the confirming notice to mariners.</w:t>
      </w:r>
      <w:bookmarkEnd w:id="318"/>
    </w:p>
    <w:p>
      <w:pPr>
        <w:pStyle w:val="Heading2"/>
        <w:rPr/>
      </w:pPr>
      <w:bookmarkStart w:id="319" w:name="__RefHeading___Toc7938_2907148441"/>
      <w:bookmarkStart w:id="320" w:name="a.5.-chartlets-and-electronic-products"/>
      <w:bookmarkEnd w:id="319"/>
      <w:r>
        <w:rPr>
          <w:color w:val="2E4F6E"/>
        </w:rPr>
        <w:t>A.5. Chartlets and Electronic Products</w:t>
      </w:r>
    </w:p>
    <w:p>
      <w:pPr>
        <w:pStyle w:val="FirstParagraph"/>
        <w:rPr/>
      </w:pPr>
      <w:r>
        <w:rPr/>
        <w:t>A.5.1. The Center publishes: paper chartlets of each corridor at 1:150,000; electronic navigational chart cells for the full Treaty area; a routing layer for voyage planning software; and an Automatic Identification System application-specific message set that pushes corridor guidance directly to shipboard displays.</w:t>
      </w:r>
    </w:p>
    <w:p>
      <w:pPr>
        <w:pStyle w:val="TextBody"/>
        <w:rPr/>
      </w:pPr>
      <w:bookmarkStart w:id="321" w:name="a.5.-chartlets-and-electronic-products"/>
      <w:r>
        <w:rPr/>
        <w:t>A.5.2. All chart products publish free of charge, in English with Arabic and Persian editions, within five days of the corresponding coordinate publication.</w:t>
      </w:r>
      <w:bookmarkEnd w:id="321"/>
    </w:p>
    <w:p>
      <w:pPr>
        <w:pStyle w:val="Heading2"/>
        <w:rPr/>
      </w:pPr>
      <w:bookmarkStart w:id="322" w:name="__RefHeading___Toc7940_2907148441"/>
      <w:bookmarkStart w:id="323" w:name="a.6.-hydrographic-maintenance"/>
      <w:bookmarkEnd w:id="322"/>
      <w:r>
        <w:rPr>
          <w:color w:val="2E4F6E"/>
        </w:rPr>
        <w:t>A.6. Hydrographic Maintenance</w:t>
      </w:r>
    </w:p>
    <w:p>
      <w:pPr>
        <w:pStyle w:val="FirstParagraph"/>
        <w:rPr/>
      </w:pPr>
      <w:r>
        <w:rPr/>
        <w:t>A.6.1. The system maintains a rolling survey program: full corridor surveys annually, swept-channel checks quarterly, and post-incident surveys on demand.</w:t>
      </w:r>
    </w:p>
    <w:p>
      <w:pPr>
        <w:pStyle w:val="TextBody"/>
        <w:rPr/>
      </w:pPr>
      <w:bookmarkStart w:id="324" w:name="a.6.-hydrographic-maintenance"/>
      <w:r>
        <w:rPr/>
        <w:t>A.6.2. Buoys, lights, and racons along the corridor boundaries report their status to the Center automatically, and outages publish within one hour with a notice to mariners.</w:t>
      </w:r>
      <w:bookmarkEnd w:id="324"/>
    </w:p>
    <w:p>
      <w:pPr>
        <w:pStyle w:val="Heading2"/>
        <w:rPr/>
      </w:pPr>
      <w:bookmarkStart w:id="325" w:name="__RefHeading___Toc7942_2907148441"/>
      <w:bookmarkStart w:id="326" w:name="a.7.-corridor-modification-procedure"/>
      <w:bookmarkEnd w:id="325"/>
      <w:r>
        <w:rPr>
          <w:color w:val="2E4F6E"/>
        </w:rPr>
        <w:t>A.7. Corridor Modification Procedure</w:t>
      </w:r>
    </w:p>
    <w:p>
      <w:pPr>
        <w:pStyle w:val="FirstParagraph"/>
        <w:rPr/>
      </w:pPr>
      <w:r>
        <w:rPr/>
        <w:t>A.7.1. A modification proposal originates at the Center with a full technical case: traffic data, safety analysis, environmental screen, and cost estimate.</w:t>
      </w:r>
    </w:p>
    <w:p>
      <w:pPr>
        <w:pStyle w:val="TextBody"/>
        <w:rPr/>
      </w:pPr>
      <w:r>
        <w:rPr/>
        <w:t>A.7.2. The Center circulates the case to all Parties and the Advisory Panel for a thirty-day comment window, then to the Council with the comments attached.</w:t>
      </w:r>
    </w:p>
    <w:p>
      <w:pPr>
        <w:pStyle w:val="TextBody"/>
        <w:rPr/>
      </w:pPr>
      <w:r>
        <w:rPr/>
        <w:t>A.7.3. The Council decides by consensus. On adoption, the Center issues a sixty-day notice to mariners, updates all chart products, and lodges the amended coordinates with the International Maritime Organization.</w:t>
      </w:r>
    </w:p>
    <w:p>
      <w:pPr>
        <w:pStyle w:val="TextBody"/>
        <w:rPr/>
      </w:pPr>
      <w:r>
        <w:rPr/>
        <w:t>A.7.4. The modification takes effect on the sixty-first day. During the notice period, both old and new geometry publish side by side, and both remain lawful to use.</w:t>
      </w:r>
    </w:p>
    <w:p>
      <w:pPr>
        <w:pStyle w:val="Normal"/>
        <w:rPr/>
      </w:pPr>
      <w:bookmarkStart w:id="327" w:name="X59ff470827c433e3a3602c50064f2befdb0e335"/>
      <w:bookmarkStart w:id="328" w:name="a.7.-corridor-modification-procedure"/>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1"/>
        <w:rPr/>
      </w:pPr>
      <w:bookmarkStart w:id="329" w:name="__RefHeading___Toc7944_2907148441"/>
      <w:bookmarkStart w:id="330" w:name="annex-b.-five-day-opening-checklist"/>
      <w:bookmarkEnd w:id="329"/>
      <w:r>
        <w:rPr>
          <w:color w:val="1F3A5F"/>
        </w:rPr>
        <w:t>ANNEX B. FIVE-DAY OPENING CHECKLIST</w:t>
      </w:r>
    </w:p>
    <w:p>
      <w:pPr>
        <w:pStyle w:val="Heading2"/>
        <w:rPr/>
      </w:pPr>
      <w:bookmarkStart w:id="331" w:name="__RefHeading___Toc7946_2907148441"/>
      <w:bookmarkStart w:id="332" w:name="b.1.-how-to-use-this-checklist"/>
      <w:bookmarkEnd w:id="331"/>
      <w:r>
        <w:rPr>
          <w:color w:val="2E4F6E"/>
        </w:rPr>
        <w:t>B.1. How to Use this Checklist</w:t>
      </w:r>
    </w:p>
    <w:p>
      <w:pPr>
        <w:pStyle w:val="FirstParagraph"/>
        <w:rPr/>
      </w:pPr>
      <w:r>
        <w:rPr/>
        <w:t>B.1.1. This Annex is the operational script for Article 17. Each line names the action, the actor, and the clock. Every action on every day runs in parallel with the others; the day structure exists for verification, not for sequencing permission.</w:t>
      </w:r>
    </w:p>
    <w:p>
      <w:pPr>
        <w:pStyle w:val="TextBody"/>
        <w:rPr/>
      </w:pPr>
      <w:bookmarkStart w:id="333" w:name="b.1.-how-to-use-this-checklist"/>
      <w:r>
        <w:rPr/>
        <w:t>B.1.2. The checklist uses a simple status discipline at the Center: green for complete, amber for in progress, red for delayed. The status board publishes on the Transparency Portal in real time, so the whole world watches the opening happen.</w:t>
      </w:r>
      <w:bookmarkEnd w:id="333"/>
    </w:p>
    <w:p>
      <w:pPr>
        <w:pStyle w:val="Heading2"/>
        <w:rPr/>
      </w:pPr>
      <w:bookmarkStart w:id="334" w:name="__RefHeading___Toc7948_2907148441"/>
      <w:bookmarkStart w:id="335" w:name="b.2.-day-0-signature-and-synchronization"/>
      <w:bookmarkEnd w:id="334"/>
      <w:r>
        <w:rPr>
          <w:color w:val="2E4F6E"/>
        </w:rPr>
        <w:t>B.2. Day 0: Signature and Synchronization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 (Muscat)</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Treaty executed, electronic and in person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09:30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Provisional corridor guidance (Annex A, Schedule 3)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Depositary and 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activates on twenty-four hour basis; staffing roster locks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10:30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Crisis hotline network live test, all nodes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all commands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Blockade drawdown commences; first measures lift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Guaranteeing Participant</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Coordinated cessation of interference with commercial navigation takes effect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11:30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Forty-eight hour notice freeze on tests and exercises within two hundred kilometers of corridors takes effect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 Parties (Annex E, Section E.8)</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Sealed coordinate set transferred from Depositary to Annex A, Schedule 1</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Depositary</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Fused radar and AIS picture goes live; observer feeds open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15:00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Wartime data deposit completed under Article 73</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 depositing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daily Stability Signal exchange</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18:00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Council convenes in opening session; adopts standing agenda</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Council</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0 Transparency Bulletin published</w:t>
            </w:r>
          </w:p>
        </w:tc>
        <w:tc>
          <w:tcPr>
            <w:tcW w:w="3120" w:type="dxa"/>
            <w:tcBorders/>
          </w:tcPr>
          <w:p>
            <w:pPr>
              <w:pStyle w:val="Compact"/>
              <w:widowControl/>
              <w:spacing w:before="36" w:after="36"/>
              <w:jc w:val="left"/>
              <w:rPr>
                <w:rFonts w:eastAsia="Cambria" w:cs=""/>
                <w:kern w:val="0"/>
                <w:szCs w:val="24"/>
                <w:lang w:val="en-US" w:eastAsia="en-US" w:bidi="ar-SA"/>
              </w:rPr>
            </w:pPr>
            <w:bookmarkStart w:id="336" w:name="b.2.-day-0-signature-and-synchronization"/>
            <w:r>
              <w:rPr>
                <w:rFonts w:eastAsia="Cambria" w:cs=""/>
                <w:kern w:val="0"/>
                <w:szCs w:val="24"/>
                <w:lang w:val="en-US" w:eastAsia="en-US" w:bidi="ar-SA"/>
              </w:rPr>
              <w:t>Center</w:t>
            </w:r>
            <w:bookmarkEnd w:id="336"/>
          </w:p>
        </w:tc>
      </w:tr>
    </w:tbl>
    <w:p>
      <w:pPr>
        <w:pStyle w:val="Heading2"/>
        <w:rPr/>
      </w:pPr>
      <w:bookmarkStart w:id="337" w:name="__RefHeading___Toc7950_2907148441"/>
      <w:bookmarkEnd w:id="337"/>
      <w:r>
        <w:rPr>
          <w:color w:val="2E4F6E"/>
        </w:rPr>
        <w:t>B.3. Day 1: Buffer First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 activates; separation and emergency routing live</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Oman, Iran</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06:30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Mine countermeasure survey force sails; Buffer sweep begins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Guaranteeing Participant, liaison officers embarked</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08:00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IMO evacuation framework activates; stranded vessel registry locks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IMO</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guided stranded-vessel movements through Buffer Corridor</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Fused picture integrity check, first cycle</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Escort readiness declared for Day 2 convoys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Guaranteeing Participant</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Anchorages North One and South One open for queue management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18:00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Crew welfare support points open at coastal ports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1 Transparency Bulletin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bl>
    <w:p>
      <w:pPr>
        <w:pStyle w:val="Heading2"/>
        <w:rPr/>
      </w:pPr>
      <w:bookmarkStart w:id="338" w:name="__RefHeading___Toc7952_2907148441"/>
      <w:bookmarkEnd w:id="338"/>
      <w:r>
        <w:rPr>
          <w:color w:val="2E4F6E"/>
        </w:rPr>
        <w:t>B.4. Day 2: Outbound Opens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 activates as free-navigation lane</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07:00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outbound pilot convoy sails, observers aboard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Center, observers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Hormuz Insurance Pool issues provisional coverage certificates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Pool administrator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War-risk premium notice goes to the market; first daily quote publishes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Advisory Panel</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Port Contribution Mechanism accounts open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gateway ports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Sovereign Corridor Fund accounts open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Parties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mine-survey interim certification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Survey force, 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Second outbound convoy sails; humanitarian lane designation marked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2 Transparency Bulletin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bl>
    <w:p>
      <w:pPr>
        <w:pStyle w:val="Heading2"/>
        <w:rPr/>
      </w:pPr>
      <w:bookmarkStart w:id="339" w:name="__RefHeading___Toc7954_2907148441"/>
      <w:bookmarkEnd w:id="339"/>
      <w:r>
        <w:rPr>
          <w:color w:val="2E4F6E"/>
        </w:rPr>
        <w:t>B.5. Day 3: Inbound Opens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 activates under dual-key rules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Oman, 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07:00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inbound pilot convoy sails, observers aboard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Center, observers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Two-way commercial traffic resumes on the new system</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Voluntary contribution window opens (Annex D, Section D.5)</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Dual-key live exercise, first drill, logged and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Escort coverage declared for both directions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Guaranteeing Participant</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Service charge meter runs in shadow mode, zero billing, data only</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3 Transparency Bulletin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bl>
    <w:p>
      <w:pPr>
        <w:pStyle w:val="Heading2"/>
        <w:rPr/>
      </w:pPr>
      <w:bookmarkStart w:id="340" w:name="__RefHeading___Toc7956_2907148441"/>
      <w:bookmarkEnd w:id="340"/>
      <w:r>
        <w:rPr>
          <w:color w:val="2E4F6E"/>
        </w:rPr>
        <w:t>B.6. Day 4: Full Flow and Verification Baseline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Full commercial flow both directions; slotting plan live</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08:00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Verification Team baseline spot checks begin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humanitarian priority convoy sails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baseline monitoring begins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environmental teams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Incident reporting drill, end-to-end, six-hour clock verified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Escrow clearing test transactions complete, all channels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Clearing institution</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Advisory Panel publishes first risk-tier assessment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Advisory Panel</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4 Transparency Bulletin published</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bl>
    <w:p>
      <w:pPr>
        <w:pStyle w:val="Heading2"/>
        <w:rPr/>
      </w:pPr>
      <w:bookmarkStart w:id="341" w:name="__RefHeading___Toc7958_2907148441"/>
      <w:bookmarkEnd w:id="341"/>
      <w:r>
        <w:rPr>
          <w:color w:val="2E4F6E"/>
        </w:rPr>
        <w:t>B.7. Day 5: Opening Declaration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Time</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Action</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Actor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Council adopts the Opening Resolution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Council</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09:30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issues the operational green light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Final coordinate schedule transmitted to the IMO</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Treaty transmitted for United Nations registration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Depositary</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Regional broadcast notice to shipping, markets, and media</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Stability Audit baseline period formally opens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Layer 1 pilot operations commence; micropilot Set One activates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 (Annex I)</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18:00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Public opening ceremony, Muscat</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Host</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20:00</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Day 5 Transparency Bulletin: the Strait stands open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r>
    </w:tbl>
    <w:p>
      <w:pPr>
        <w:pStyle w:val="Heading2"/>
        <w:rPr/>
      </w:pPr>
      <w:bookmarkStart w:id="342" w:name="__RefHeading___Toc7960_2907148441"/>
      <w:bookmarkEnd w:id="342"/>
      <w:r>
        <w:rPr>
          <w:color w:val="2E4F6E"/>
        </w:rPr>
        <w:t>B.8. Reactivation Checklist (After Any Incident)</w:t>
      </w:r>
    </w:p>
    <w:p>
      <w:pPr>
        <w:pStyle w:val="FirstParagraph"/>
        <w:rPr/>
      </w:pPr>
      <w:r>
        <w:rPr/>
        <w:t>B.8.1. Corridor certification check, fused picture integrity check, insurance notice, all-clear bulletin, publish target versus actual time. The checklist prints on one page at every Center workstation.</w:t>
      </w:r>
    </w:p>
    <w:p>
      <w:pPr>
        <w:pStyle w:val="Normal"/>
        <w:rPr/>
      </w:pPr>
      <w:bookmarkStart w:id="343" w:name="annex-b.-five-day-opening-checklis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r>
        <w:br w:type="page"/>
      </w:r>
    </w:p>
    <w:p>
      <w:pPr>
        <w:pStyle w:val="Heading1"/>
        <w:rPr/>
      </w:pPr>
      <w:bookmarkStart w:id="344" w:name="__RefHeading___Toc7962_2907148441"/>
      <w:bookmarkStart w:id="345" w:name="X4c1275a804dedfa84cf11e319c446f59ae1c56b"/>
      <w:bookmarkEnd w:id="344"/>
      <w:r>
        <w:rPr>
          <w:color w:val="1F3A5F"/>
        </w:rPr>
        <w:t>ANNEX C. MONITORING, TRANSPARENCY, AND INCIDENT REPORTING PROTOCOLS</w:t>
      </w:r>
    </w:p>
    <w:p>
      <w:pPr>
        <w:pStyle w:val="Heading2"/>
        <w:rPr/>
      </w:pPr>
      <w:bookmarkStart w:id="346" w:name="__RefHeading___Toc7964_2907148441"/>
      <w:bookmarkStart w:id="347" w:name="X04f248c8ee0cb1e19896e4529c18a75d42407a2"/>
      <w:bookmarkEnd w:id="346"/>
      <w:r>
        <w:rPr>
          <w:color w:val="2E4F6E"/>
        </w:rPr>
        <w:t>C.1. The Fused Picture: Technical Specification</w:t>
      </w:r>
    </w:p>
    <w:p>
      <w:pPr>
        <w:pStyle w:val="FirstParagraph"/>
        <w:rPr/>
      </w:pPr>
      <w:r>
        <w:rPr/>
        <w:t xml:space="preserve">C.1.1. </w:t>
      </w:r>
      <w:r>
        <w:rPr>
          <w:b/>
          <w:bCs/>
        </w:rPr>
        <w:t>Inputs.</w:t>
      </w:r>
      <w:r>
        <w:rPr/>
        <w:t xml:space="preserve"> The fused picture merges: the Omani coastal radar chain; the Iranian coastal stations; Automatic Identification System broadcasts; satellite vessel detection feeds; and the patrol and escort track feeds. Every input carries a time stamp and a source tag.</w:t>
      </w:r>
    </w:p>
    <w:p>
      <w:pPr>
        <w:pStyle w:val="TextBody"/>
        <w:rPr/>
      </w:pPr>
      <w:r>
        <w:rPr/>
        <w:t xml:space="preserve">C.1.2. </w:t>
      </w:r>
      <w:r>
        <w:rPr>
          <w:b/>
          <w:bCs/>
        </w:rPr>
        <w:t>Fusion engine.</w:t>
      </w:r>
      <w:r>
        <w:rPr/>
        <w:t xml:space="preserve"> The Center’s fusion engine correlates radar tracks and AIS tracks into single vessel tracks, flags uncorrelated radar contacts for attention, and assigns every track a corridor status: in-corridor, in-approach, in-anchorage, in-buffer, or out-of-system.</w:t>
      </w:r>
    </w:p>
    <w:p>
      <w:pPr>
        <w:pStyle w:val="TextBody"/>
        <w:rPr/>
      </w:pPr>
      <w:r>
        <w:rPr/>
        <w:t xml:space="preserve">C.1.3. </w:t>
      </w:r>
      <w:r>
        <w:rPr>
          <w:b/>
          <w:bCs/>
        </w:rPr>
        <w:t>Accuracy standard.</w:t>
      </w:r>
      <w:r>
        <w:rPr/>
        <w:t xml:space="preserve"> The fusion engine maintains a track correlation accuracy of ninety-eight percent or better, measured hourly against the sample audit in Annex F, metric M-16.</w:t>
      </w:r>
    </w:p>
    <w:p>
      <w:pPr>
        <w:pStyle w:val="TextBody"/>
        <w:rPr/>
      </w:pPr>
      <w:r>
        <w:rPr/>
        <w:t xml:space="preserve">C.1.4. </w:t>
      </w:r>
      <w:r>
        <w:rPr>
          <w:b/>
          <w:bCs/>
        </w:rPr>
        <w:t>Continuity.</w:t>
      </w:r>
      <w:r>
        <w:rPr/>
        <w:t xml:space="preserve"> The picture runs on redundant servers at Muscat with a hot backup site. Outage of any single input degrades resolution locally but never blanks the system.</w:t>
      </w:r>
      <w:bookmarkEnd w:id="347"/>
    </w:p>
    <w:p>
      <w:pPr>
        <w:pStyle w:val="Heading2"/>
        <w:rPr/>
      </w:pPr>
      <w:bookmarkStart w:id="348" w:name="__RefHeading___Toc7966_2907148441"/>
      <w:bookmarkStart w:id="349" w:name="c.2.-data-integrity-and-security"/>
      <w:bookmarkEnd w:id="348"/>
      <w:r>
        <w:rPr>
          <w:color w:val="2E4F6E"/>
        </w:rPr>
        <w:t>C.2. Data Integrity and Security</w:t>
      </w:r>
    </w:p>
    <w:p>
      <w:pPr>
        <w:pStyle w:val="FirstParagraph"/>
        <w:rPr/>
      </w:pPr>
      <w:r>
        <w:rPr/>
        <w:t>C.2.1. Integrity checks run hourly: completeness, time-stamp consistency, cross-source correlation, and tamper detection.</w:t>
      </w:r>
    </w:p>
    <w:p>
      <w:pPr>
        <w:pStyle w:val="TextBody"/>
        <w:rPr/>
      </w:pPr>
      <w:r>
        <w:rPr/>
        <w:t>C.2.2. Any missing, corrupted, or altered data generates an automatic flag, an automatic entry in the incident database, and an automatic notice to the Directorate within fifteen minutes.</w:t>
      </w:r>
    </w:p>
    <w:p>
      <w:pPr>
        <w:pStyle w:val="TextBody"/>
        <w:rPr/>
      </w:pPr>
      <w:bookmarkStart w:id="350" w:name="c.2.-data-integrity-and-security"/>
      <w:r>
        <w:rPr/>
        <w:t>C.2.3. Access control follows the tier rules in Section C.3. Every access logs. The log itself publishes quarterly in summary form.</w:t>
      </w:r>
      <w:bookmarkEnd w:id="350"/>
    </w:p>
    <w:p>
      <w:pPr>
        <w:pStyle w:val="Heading2"/>
        <w:rPr/>
      </w:pPr>
      <w:bookmarkStart w:id="351" w:name="__RefHeading___Toc7968_2907148441"/>
      <w:bookmarkStart w:id="352" w:name="c.3.-access-tiers"/>
      <w:bookmarkEnd w:id="351"/>
      <w:r>
        <w:rPr>
          <w:color w:val="2E4F6E"/>
        </w:rPr>
        <w:t>C.3. Access Tiers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Holder</w:t>
            </w:r>
          </w:p>
        </w:tc>
        <w:tc>
          <w:tcPr>
            <w:tcW w:w="312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Access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1</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Coastal Parties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Full real-time picture, full history, administrative tools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2</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Council members, Directorate, patrol rotation</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Full real-time picture, full history</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3</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Guaranteeing Participant, Gulf Cooperation Council states, European maritime authorities</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Real-time picture, thirty-day history</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4</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IMO observer, accredited insurers, Advisory Panel</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Real-time picture of corridor tracks, incident summaries</w:t>
            </w:r>
          </w:p>
        </w:tc>
      </w:tr>
      <w:tr>
        <w:trPr/>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Tier 5</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Public (Transparency Portal)</w:t>
            </w:r>
          </w:p>
        </w:tc>
        <w:tc>
          <w:tcPr>
            <w:tcW w:w="312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Fifteen-minute-delayed traffic picture, daily bulletins, incident log</w:t>
            </w:r>
          </w:p>
        </w:tc>
      </w:tr>
    </w:tbl>
    <w:p>
      <w:pPr>
        <w:pStyle w:val="TextBody"/>
        <w:rPr/>
      </w:pPr>
      <w:bookmarkStart w:id="353" w:name="c.3.-access-tiers"/>
      <w:r>
        <w:rPr/>
        <w:t>C.3.1. Tiers never restrict by flag of vessel. Every tier sees every vessel equally.</w:t>
      </w:r>
      <w:bookmarkEnd w:id="353"/>
    </w:p>
    <w:p>
      <w:pPr>
        <w:pStyle w:val="Heading2"/>
        <w:rPr/>
      </w:pPr>
      <w:bookmarkStart w:id="354" w:name="__RefHeading___Toc7970_2907148441"/>
      <w:bookmarkStart w:id="355" w:name="c.4.-standing-traffic-rules"/>
      <w:bookmarkEnd w:id="354"/>
      <w:r>
        <w:rPr>
          <w:color w:val="2E4F6E"/>
        </w:rPr>
        <w:t>C.4. Standing Traffic Rules</w:t>
      </w:r>
    </w:p>
    <w:p>
      <w:pPr>
        <w:pStyle w:val="FirstParagraph"/>
        <w:rPr/>
      </w:pPr>
      <w:r>
        <w:rPr/>
        <w:t xml:space="preserve">C.4.1. </w:t>
      </w:r>
      <w:r>
        <w:rPr>
          <w:b/>
          <w:bCs/>
        </w:rPr>
        <w:t>Speed bands.</w:t>
      </w:r>
      <w:r>
        <w:rPr/>
        <w:t xml:space="preserve"> Loaded tankers and gas carriers transit at ten to twelve knots; other deep-draft vessels at twelve to fourteen knots; the temporary slow-zone rule drops all traffic to eight knots in restricted visibility under the fog and swell thresholds in Annex G.</w:t>
      </w:r>
    </w:p>
    <w:p>
      <w:pPr>
        <w:pStyle w:val="TextBody"/>
        <w:rPr/>
      </w:pPr>
      <w:r>
        <w:rPr/>
        <w:t xml:space="preserve">C.4.2. </w:t>
      </w:r>
      <w:r>
        <w:rPr>
          <w:b/>
          <w:bCs/>
        </w:rPr>
        <w:t>Separation.</w:t>
      </w:r>
      <w:r>
        <w:rPr/>
        <w:t xml:space="preserve"> Vessels maintain one nautical mile longitudinal separation in-corridor, extended to two nautical miles for hazardous cargo classes listed in Annex G, Table G-1.</w:t>
      </w:r>
    </w:p>
    <w:p>
      <w:pPr>
        <w:pStyle w:val="TextBody"/>
        <w:rPr/>
      </w:pPr>
      <w:r>
        <w:rPr/>
        <w:t xml:space="preserve">C.4.3. </w:t>
      </w:r>
      <w:r>
        <w:rPr>
          <w:b/>
          <w:bCs/>
        </w:rPr>
        <w:t>AIS continuity.</w:t>
      </w:r>
      <w:r>
        <w:rPr/>
        <w:t xml:space="preserve"> Vessels broadcast AIS continuously within the system. An AIS outage beyond ten minutes triggers a Center query; beyond thirty minutes, the vessel receives routing instructions to the nearest holding area or anchorage, with assistance, not penalty, as the default response.</w:t>
      </w:r>
    </w:p>
    <w:p>
      <w:pPr>
        <w:pStyle w:val="TextBody"/>
        <w:rPr/>
      </w:pPr>
      <w:r>
        <w:rPr/>
        <w:t xml:space="preserve">C.4.4. </w:t>
      </w:r>
      <w:r>
        <w:rPr>
          <w:b/>
          <w:bCs/>
        </w:rPr>
        <w:t>Communications.</w:t>
      </w:r>
      <w:r>
        <w:rPr/>
        <w:t xml:space="preserve"> All vessels guard the harmonized emergency channel designated in the operational manual. Bridge-to-Bridge contact with the Center uses the standard phraseology in the manual, in English, with interpretation support available.</w:t>
      </w:r>
      <w:bookmarkEnd w:id="355"/>
    </w:p>
    <w:p>
      <w:pPr>
        <w:pStyle w:val="Heading2"/>
        <w:rPr/>
      </w:pPr>
      <w:bookmarkStart w:id="356" w:name="__RefHeading___Toc7972_2907148441"/>
      <w:bookmarkStart w:id="357" w:name="c.5.-slotting-convoys-and-balancing"/>
      <w:bookmarkEnd w:id="356"/>
      <w:r>
        <w:rPr>
          <w:color w:val="2E4F6E"/>
        </w:rPr>
        <w:t>C.5. Slotting, Convoys, and Balancing</w:t>
      </w:r>
    </w:p>
    <w:p>
      <w:pPr>
        <w:pStyle w:val="FirstParagraph"/>
        <w:rPr/>
      </w:pPr>
      <w:r>
        <w:rPr/>
        <w:t>C.5.1. The Center runs the slotting plan: scheduled entry windows for each corridor, published twenty-four hours ahead, sized to corridor capacity.</w:t>
      </w:r>
    </w:p>
    <w:p>
      <w:pPr>
        <w:pStyle w:val="TextBody"/>
        <w:rPr/>
      </w:pPr>
      <w:r>
        <w:rPr/>
        <w:t>C.5.2. Convoys form on request, through the Center, with escort assignment under Article 36 and Annex E. Convoy schedules publish like any other slot plan.</w:t>
      </w:r>
    </w:p>
    <w:p>
      <w:pPr>
        <w:pStyle w:val="TextBody"/>
        <w:rPr/>
      </w:pPr>
      <w:bookmarkStart w:id="358" w:name="c.5.-slotting-convoys-and-balancing"/>
      <w:r>
        <w:rPr/>
        <w:t>C.5.3. Traffic balancing assigns oversized or unusual-draft vessels to the northern lane or to dedicated windows, per Article 6.4, and publishes the assignment rules in the operational manual.</w:t>
      </w:r>
      <w:bookmarkEnd w:id="358"/>
    </w:p>
    <w:p>
      <w:pPr>
        <w:pStyle w:val="Heading2"/>
        <w:rPr/>
      </w:pPr>
      <w:bookmarkStart w:id="359" w:name="__RefHeading___Toc7974_2907148441"/>
      <w:bookmarkStart w:id="360" w:name="c.6.-the-dual-ping-alert-protocol"/>
      <w:bookmarkEnd w:id="359"/>
      <w:r>
        <w:rPr>
          <w:color w:val="2E4F6E"/>
        </w:rPr>
        <w:t>C.6. The Dual-Ping Alert Protocol</w:t>
      </w:r>
    </w:p>
    <w:p>
      <w:pPr>
        <w:pStyle w:val="FirstParagraph"/>
        <w:rPr/>
      </w:pPr>
      <w:r>
        <w:rPr/>
        <w:t>C.6.1. A vessel in difficulty sends the dual-ping: two structured alerts, one on the harmonized channel and one by AIS safety message, stating identity, position, nature of difficulty, and assistance needed.</w:t>
      </w:r>
    </w:p>
    <w:p>
      <w:pPr>
        <w:pStyle w:val="TextBody"/>
        <w:rPr/>
      </w:pPr>
      <w:r>
        <w:rPr/>
        <w:t>C.6.2. The Center acknowledges within five minutes, assigns a response unit under the pre-authorized search and rescue rule in Article 56.3, and logs the event.</w:t>
      </w:r>
    </w:p>
    <w:p>
      <w:pPr>
        <w:pStyle w:val="TextBody"/>
        <w:rPr/>
      </w:pPr>
      <w:bookmarkStart w:id="361" w:name="c.6.-the-dual-ping-alert-protocol"/>
      <w:r>
        <w:rPr/>
        <w:t>C.6.3. The dual-ping standard also covers anchor drift, engine restart, fuel leak, debris sighting, and hazmat release, each with its own structured message template in the operational manual.</w:t>
      </w:r>
      <w:bookmarkEnd w:id="361"/>
    </w:p>
    <w:p>
      <w:pPr>
        <w:pStyle w:val="Heading2"/>
        <w:rPr/>
      </w:pPr>
      <w:bookmarkStart w:id="362" w:name="__RefHeading___Toc7976_2907148441"/>
      <w:bookmarkStart w:id="363" w:name="c.7.-incident-reporting"/>
      <w:bookmarkEnd w:id="362"/>
      <w:r>
        <w:rPr>
          <w:color w:val="2E4F6E"/>
        </w:rPr>
        <w:t>C.7. Incident Reporting</w:t>
      </w:r>
    </w:p>
    <w:p>
      <w:pPr>
        <w:pStyle w:val="FirstParagraph"/>
        <w:rPr/>
      </w:pPr>
      <w:r>
        <w:rPr/>
        <w:t xml:space="preserve">C.7.1. </w:t>
      </w:r>
      <w:r>
        <w:rPr>
          <w:b/>
          <w:bCs/>
        </w:rPr>
        <w:t>Categories.</w:t>
      </w:r>
      <w:r>
        <w:rPr/>
        <w:t xml:space="preserve"> Incidents classify as: Class A, threat to life or vessel loss; Class B, security event or interdiction attempt; Class C, navigation casualty without injury; Class D, environmental event; Class E, administrative or data event.</w:t>
      </w:r>
    </w:p>
    <w:p>
      <w:pPr>
        <w:pStyle w:val="TextBody"/>
        <w:rPr/>
      </w:pPr>
      <w:r>
        <w:rPr/>
        <w:t xml:space="preserve">C.7.2. </w:t>
      </w:r>
      <w:r>
        <w:rPr>
          <w:b/>
          <w:bCs/>
        </w:rPr>
        <w:t>Clocks.</w:t>
      </w:r>
      <w:r>
        <w:rPr/>
        <w:t xml:space="preserve"> Class A and B incidents enter the database within one hour of detection; all classes within six hours; public log entries within twenty-four hours of the closing report.</w:t>
      </w:r>
    </w:p>
    <w:p>
      <w:pPr>
        <w:pStyle w:val="TextBody"/>
        <w:rPr/>
      </w:pPr>
      <w:r>
        <w:rPr/>
        <w:t xml:space="preserve">C.7.3. </w:t>
      </w:r>
      <w:r>
        <w:rPr>
          <w:b/>
          <w:bCs/>
        </w:rPr>
        <w:t>Content.</w:t>
      </w:r>
      <w:r>
        <w:rPr/>
        <w:t xml:space="preserve"> Every incident record carries: time, position, tracks, sensor data, responding units, actions taken, outcome, and corrective recommendations.</w:t>
      </w:r>
    </w:p>
    <w:p>
      <w:pPr>
        <w:pStyle w:val="TextBody"/>
        <w:rPr/>
      </w:pPr>
      <w:r>
        <w:rPr/>
        <w:t xml:space="preserve">C.7.4. </w:t>
      </w:r>
      <w:r>
        <w:rPr>
          <w:b/>
          <w:bCs/>
        </w:rPr>
        <w:t>Dual-source rule.</w:t>
      </w:r>
      <w:r>
        <w:rPr/>
        <w:t xml:space="preserve"> No incident closes on one Party’s data alone (Article 43.2). Records state their sources explicitly.</w:t>
      </w:r>
      <w:bookmarkEnd w:id="363"/>
    </w:p>
    <w:p>
      <w:pPr>
        <w:pStyle w:val="Heading2"/>
        <w:rPr/>
      </w:pPr>
      <w:bookmarkStart w:id="364" w:name="__RefHeading___Toc7978_2907148441"/>
      <w:bookmarkStart w:id="365" w:name="c.8.-the-daily-transparency-bulletin"/>
      <w:bookmarkEnd w:id="364"/>
      <w:r>
        <w:rPr>
          <w:color w:val="2E4F6E"/>
        </w:rPr>
        <w:t>C.8. The Daily Transparency Bulletin</w:t>
      </w:r>
    </w:p>
    <w:p>
      <w:pPr>
        <w:pStyle w:val="FirstParagraph"/>
        <w:rPr/>
      </w:pPr>
      <w:r>
        <w:rPr/>
        <w:t>C.8.1. The Bulletin publishes daily at 20:00 Muscat time and carries: traffic counts by corridor and direction; slotting performance; incidents and their status; mine-survey progress; Stability Signal status; fee and funding summaries; and the next day’s convoy schedule.</w:t>
      </w:r>
    </w:p>
    <w:p>
      <w:pPr>
        <w:pStyle w:val="TextBody"/>
        <w:rPr/>
      </w:pPr>
      <w:bookmarkStart w:id="366" w:name="c.8.-the-daily-transparency-bulletin"/>
      <w:r>
        <w:rPr/>
        <w:t>C.8.2. The Bulletin writes for a general audience: plain language, consistent format, no operational detail that endangers any vessel.</w:t>
      </w:r>
      <w:bookmarkEnd w:id="366"/>
    </w:p>
    <w:p>
      <w:pPr>
        <w:pStyle w:val="Heading2"/>
        <w:rPr/>
      </w:pPr>
      <w:bookmarkStart w:id="367" w:name="__RefHeading___Toc7980_2907148441"/>
      <w:bookmarkStart w:id="368" w:name="X0b1fa6db88a2b797da9651aa4ea51efee0a8030"/>
      <w:bookmarkEnd w:id="367"/>
      <w:r>
        <w:rPr>
          <w:color w:val="2E4F6E"/>
        </w:rPr>
        <w:t>C.9. Automatic Identification System Corridor Guidance</w:t>
      </w:r>
    </w:p>
    <w:p>
      <w:pPr>
        <w:pStyle w:val="FirstParagraph"/>
        <w:rPr/>
      </w:pPr>
      <w:r>
        <w:rPr/>
        <w:t>C.9.1. The Center broadcasts corridor guidance as AIS application-specific messages: corridor boundaries, temporary slow-zones, hazard marks, and routing instructions appear directly on shipboard displays.</w:t>
      </w:r>
    </w:p>
    <w:p>
      <w:pPr>
        <w:pStyle w:val="TextBody"/>
        <w:rPr/>
      </w:pPr>
      <w:r>
        <w:rPr/>
        <w:t>C.9.2. Guidance messages carry a publication flag so recipients distinguish system guidance from any spoofed source, and the Center publishes the authentication standard in the operational manual.</w:t>
      </w:r>
    </w:p>
    <w:p>
      <w:pPr>
        <w:pStyle w:val="Normal"/>
        <w:rPr/>
      </w:pPr>
      <w:bookmarkStart w:id="369" w:name="X4c1275a804dedfa84cf11e319c446f59ae1c56b"/>
      <w:bookmarkStart w:id="370" w:name="X0b1fa6db88a2b797da9651aa4ea51efee0a8030"/>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bookmarkEnd w:id="370"/>
      <w:r>
        <w:br w:type="page"/>
      </w:r>
    </w:p>
    <w:p>
      <w:pPr>
        <w:pStyle w:val="Heading1"/>
        <w:rPr/>
      </w:pPr>
      <w:bookmarkStart w:id="371" w:name="__RefHeading___Toc7982_2907148441"/>
      <w:bookmarkStart w:id="372" w:name="Xde9b7b11020738165745026c050d30f80e48cf4"/>
      <w:bookmarkEnd w:id="371"/>
      <w:r>
        <w:rPr>
          <w:color w:val="1F3A5F"/>
        </w:rPr>
        <w:t>ANNEX D. SERVICE CHARGE SCHEDULE, ESCROW, AND PAYMENT ROUTING</w:t>
      </w:r>
    </w:p>
    <w:p>
      <w:pPr>
        <w:pStyle w:val="Heading2"/>
        <w:rPr/>
      </w:pPr>
      <w:bookmarkStart w:id="373" w:name="__RefHeading___Toc7984_2907148441"/>
      <w:bookmarkStart w:id="374" w:name="d.1.-legal-character-of-all-charges"/>
      <w:bookmarkEnd w:id="373"/>
      <w:r>
        <w:rPr>
          <w:color w:val="2E4F6E"/>
        </w:rPr>
        <w:t>D.1. Legal Character of All Charges</w:t>
      </w:r>
    </w:p>
    <w:p>
      <w:pPr>
        <w:pStyle w:val="FirstParagraph"/>
        <w:rPr/>
      </w:pPr>
      <w:r>
        <w:rPr/>
        <w:t>D.1.1. Every charge in this Annex is a cost-recovery service charge attached to an identifiable service. No charge in this Annex attaches to passage. This distinction is the legal spine of the funding system, and every invoice, receipt, and report states it.</w:t>
      </w:r>
    </w:p>
    <w:p>
      <w:pPr>
        <w:pStyle w:val="TextBody"/>
        <w:rPr/>
      </w:pPr>
      <w:bookmarkStart w:id="375" w:name="d.1.-legal-character-of-all-charges"/>
      <w:r>
        <w:rPr/>
        <w:t>D.1.2. A vessel that uses no chargeable service pays nothing, forever. Passage is free.</w:t>
      </w:r>
      <w:bookmarkEnd w:id="375"/>
    </w:p>
    <w:p>
      <w:pPr>
        <w:pStyle w:val="Heading2"/>
        <w:rPr/>
      </w:pPr>
      <w:bookmarkStart w:id="376" w:name="__RefHeading___Toc7986_2907148441"/>
      <w:bookmarkStart w:id="377" w:name="Xb4e714fc70844f78a8ae6e98738e30bc5db6b3c"/>
      <w:bookmarkEnd w:id="376"/>
      <w:r>
        <w:rPr>
          <w:color w:val="2E4F6E"/>
        </w:rPr>
        <w:t>D.2. The Permanent Service Charge Schedule</w:t>
      </w:r>
    </w:p>
    <w:p>
      <w:pPr>
        <w:pStyle w:val="FirstParagraph"/>
        <w:rPr/>
      </w:pPr>
      <w:r>
        <w:rPr/>
        <w:t>D.2.1. The schedule below states the permanent rates that activate at Layer 3. Layer 2 pilot rates are fifty percent of these figures. Layer 0 and Layer 1 rates are zero.</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Service</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Basis</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Permanent Rate (USD)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Traffic management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 transit, scaled by gross tonnage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0.08 per gross ton, cap 4,000 per transit</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Pilotage (optional, on request)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 pilotage act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Cost-based tariff by port of embarkation, published by the Center</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Tug assistance (optional, on request)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 tug hour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Cost-based tariff, published by the Center</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monitoring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 transit, scaled by vessel class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Tankers and gas carriers 600; bulk and general cargo 300; container and passenger 300; others 150</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Emergency response standby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Folded into SC-1, no separate billing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Chart and data services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All products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 (free)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Humanitarian priority slotting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 Article 15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Military Transit Window</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Naval vessels of all flags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w:t>
            </w:r>
          </w:p>
        </w:tc>
      </w:tr>
    </w:tbl>
    <w:p>
      <w:pPr>
        <w:pStyle w:val="TextBody"/>
        <w:rPr/>
      </w:pPr>
      <w:r>
        <w:rPr/>
        <w:t>D.2.2. Rate-setting follows the audited cost of the service. The independent auditor certifies annually that each rate maps to costs, and any surplus flows to the reserve fund under Article 49.</w:t>
      </w:r>
    </w:p>
    <w:p>
      <w:pPr>
        <w:pStyle w:val="TextBody"/>
        <w:rPr/>
      </w:pPr>
      <w:bookmarkStart w:id="378" w:name="Xb4e714fc70844f78a8ae6e98738e30bc5db6b3c"/>
      <w:r>
        <w:rPr/>
        <w:t>D.2.3. Worked example. A 100,000 gross ton crude carrier transiting both directions in one voyage pays, at permanent rates: SC-1 capped at 4,000 per transit, so 8,000 for the voyage, plus SC-4 of 600 per transit, so 1,200 for the voyage; total 9,200, approximately the cost of a few hours of wartime war-risk premium for the same vessel. The schedule exists to be boring: small, predictable, and justified.</w:t>
      </w:r>
      <w:bookmarkEnd w:id="378"/>
    </w:p>
    <w:p>
      <w:pPr>
        <w:pStyle w:val="Heading2"/>
        <w:rPr/>
      </w:pPr>
      <w:bookmarkStart w:id="379" w:name="__RefHeading___Toc7988_2907148441"/>
      <w:bookmarkStart w:id="380" w:name="d.3.-who-administers-who-receives"/>
      <w:bookmarkEnd w:id="379"/>
      <w:r>
        <w:rPr>
          <w:color w:val="2E4F6E"/>
        </w:rPr>
        <w:t>D.3. Who Administers, Who Receives</w:t>
      </w:r>
    </w:p>
    <w:p>
      <w:pPr>
        <w:pStyle w:val="FirstParagraph"/>
        <w:rPr/>
      </w:pPr>
      <w:r>
        <w:rPr/>
        <w:t>D.3.1. The Center administers all charges through the escrow structure. Oman administers the escrow as neutral financial anchor.</w:t>
      </w:r>
    </w:p>
    <w:p>
      <w:pPr>
        <w:pStyle w:val="TextBody"/>
        <w:rPr/>
      </w:pPr>
      <w:r>
        <w:rPr/>
        <w:t>D.3.2. Revenue allocates by service location: charges generated by Inbound Corridor services allocate to the Inbound service account, administered with Iranian functional participation; charges generated by Outbound and Buffer services allocate to the Outbound service account, administered by Oman. Each account funds the services of its own corridor first, the shared systems second, per the allocation table in the Authority budget.</w:t>
      </w:r>
    </w:p>
    <w:p>
      <w:pPr>
        <w:pStyle w:val="TextBody"/>
        <w:rPr/>
      </w:pPr>
      <w:bookmarkStart w:id="381" w:name="d.3.-who-administers-who-receives"/>
      <w:r>
        <w:rPr/>
        <w:t>D.3.3. The allocation rule satisfies the fee-rights expectations of both Coastal Parties while keeping every dollar inside the audited system: Iran’s inbound service role carries its revenue recognition, Oman’s outbound role carries its revenue recognition, and the architecture carries the rest.</w:t>
      </w:r>
      <w:bookmarkEnd w:id="381"/>
    </w:p>
    <w:p>
      <w:pPr>
        <w:pStyle w:val="Heading2"/>
        <w:rPr/>
      </w:pPr>
      <w:bookmarkStart w:id="382" w:name="__RefHeading___Toc7990_2907148441"/>
      <w:bookmarkStart w:id="383" w:name="d.4.-escrow-and-clearing-mechanics"/>
      <w:bookmarkEnd w:id="382"/>
      <w:r>
        <w:rPr>
          <w:color w:val="2E4F6E"/>
        </w:rPr>
        <w:t>D.4. Escrow and Clearing Mechanics</w:t>
      </w:r>
    </w:p>
    <w:p>
      <w:pPr>
        <w:pStyle w:val="FirstParagraph"/>
        <w:rPr/>
      </w:pPr>
      <w:r>
        <w:rPr/>
        <w:t xml:space="preserve">D.4.1. </w:t>
      </w:r>
      <w:r>
        <w:rPr>
          <w:b/>
          <w:bCs/>
        </w:rPr>
        <w:t>Accounts.</w:t>
      </w:r>
      <w:r>
        <w:rPr/>
        <w:t xml:space="preserve"> The escrow structure holds: the Operating Account; the Inbound Service Account; the Outbound Service Account; the Reserve Fund; the Environmental Response Reserve; the Stability Dividend account; and the Insurance Pool accounts under Annex J.</w:t>
      </w:r>
    </w:p>
    <w:p>
      <w:pPr>
        <w:pStyle w:val="TextBody"/>
        <w:rPr/>
      </w:pPr>
      <w:r>
        <w:rPr/>
        <w:t xml:space="preserve">D.4.2. </w:t>
      </w:r>
      <w:r>
        <w:rPr>
          <w:b/>
          <w:bCs/>
        </w:rPr>
        <w:t>Clearing.</w:t>
      </w:r>
      <w:r>
        <w:rPr/>
        <w:t xml:space="preserve"> The neutral clearing institution designated by the Depositary clears all flows. The clearing institution seats outside every sanctions jurisdiction in dispute and operates under a published compliance charter.</w:t>
      </w:r>
    </w:p>
    <w:p>
      <w:pPr>
        <w:pStyle w:val="TextBody"/>
        <w:rPr/>
      </w:pPr>
      <w:r>
        <w:rPr/>
        <w:t xml:space="preserve">D.4.3. </w:t>
      </w:r>
      <w:r>
        <w:rPr>
          <w:b/>
          <w:bCs/>
        </w:rPr>
        <w:t>Segregation.</w:t>
      </w:r>
      <w:r>
        <w:rPr/>
        <w:t xml:space="preserve"> Every payment carries a legal-character tag: service charge, voluntary contribution, port contribution, sovereign contribution, or premium. The clearing institution routes each tag through the channel lawful for that character, so no payment ever touches a blocked channel.</w:t>
      </w:r>
    </w:p>
    <w:p>
      <w:pPr>
        <w:pStyle w:val="TextBody"/>
        <w:rPr/>
      </w:pPr>
      <w:r>
        <w:rPr/>
        <w:t xml:space="preserve">D.4.4. </w:t>
      </w:r>
      <w:r>
        <w:rPr>
          <w:b/>
          <w:bCs/>
        </w:rPr>
        <w:t>Currency.</w:t>
      </w:r>
      <w:r>
        <w:rPr/>
        <w:t xml:space="preserve"> The system invoices in United States dollars and accepts settlement in the currencies the clearing institution publishes, at the published daily rate.</w:t>
      </w:r>
    </w:p>
    <w:p>
      <w:pPr>
        <w:pStyle w:val="TextBody"/>
        <w:rPr/>
      </w:pPr>
      <w:r>
        <w:rPr/>
        <w:t xml:space="preserve">D.4.5. </w:t>
      </w:r>
      <w:r>
        <w:rPr>
          <w:b/>
          <w:bCs/>
        </w:rPr>
        <w:t>Audit.</w:t>
      </w:r>
      <w:r>
        <w:rPr/>
        <w:t xml:space="preserve"> The independent auditor certifies the escrow quarterly: balances, flows, segregation, compliance, and cost mapping. Certificates publish on the Transparency Portal.</w:t>
      </w:r>
      <w:bookmarkEnd w:id="383"/>
    </w:p>
    <w:p>
      <w:pPr>
        <w:pStyle w:val="Heading2"/>
        <w:rPr/>
      </w:pPr>
      <w:bookmarkStart w:id="384" w:name="__RefHeading___Toc7992_2907148441"/>
      <w:bookmarkStart w:id="385" w:name="d.5.-the-voluntary-contribution-window"/>
      <w:bookmarkEnd w:id="384"/>
      <w:r>
        <w:rPr>
          <w:color w:val="2E4F6E"/>
        </w:rPr>
        <w:t>D.5. The Voluntary Contribution Window</w:t>
      </w:r>
    </w:p>
    <w:p>
      <w:pPr>
        <w:pStyle w:val="FirstParagraph"/>
        <w:rPr/>
      </w:pPr>
      <w:r>
        <w:rPr/>
        <w:t>D.5.1. From Day 3 through the end of Layer 1, the voluntary Navigation Safety Fund accepts contributions on the cooperative model associated with the Strait of Malacca.</w:t>
      </w:r>
    </w:p>
    <w:p>
      <w:pPr>
        <w:pStyle w:val="TextBody"/>
        <w:rPr/>
      </w:pPr>
      <w:r>
        <w:rPr/>
        <w:t>D.5.2. Suggested bands: 1,000 per transit for tankers and gas carriers; 500 for other deep-draft vessels; flag states and cargo owners at their own scale. The word suggested carries its plain meaning: no invoice issues, no record of non-contribution attaches to any vessel, and transit never waits on a contribution.</w:t>
      </w:r>
    </w:p>
    <w:p>
      <w:pPr>
        <w:pStyle w:val="TextBody"/>
        <w:rPr/>
      </w:pPr>
      <w:r>
        <w:rPr/>
        <w:t>D.5.3. The Fund finances: buoy and survey maintenance, environmental baseline studies, Transparency Portal operations, and the stranded-seafarer welfare program.</w:t>
      </w:r>
    </w:p>
    <w:p>
      <w:pPr>
        <w:pStyle w:val="TextBody"/>
        <w:rPr/>
      </w:pPr>
      <w:bookmarkStart w:id="386" w:name="d.5.-the-voluntary-contribution-window"/>
      <w:r>
        <w:rPr/>
        <w:t>D.5.4. Donors publish on the Portal unless they opt for anonymity. The Fund reports monthly.</w:t>
      </w:r>
      <w:bookmarkEnd w:id="386"/>
    </w:p>
    <w:p>
      <w:pPr>
        <w:pStyle w:val="Heading2"/>
        <w:rPr/>
      </w:pPr>
      <w:bookmarkStart w:id="387" w:name="__RefHeading___Toc7994_2907148441"/>
      <w:bookmarkStart w:id="388" w:name="d.6.-the-sovereign-corridor-fund-formula"/>
      <w:bookmarkEnd w:id="387"/>
      <w:r>
        <w:rPr>
          <w:color w:val="2E4F6E"/>
        </w:rPr>
        <w:t>D.6. The Sovereign Corridor Fund Formula</w:t>
      </w:r>
    </w:p>
    <w:p>
      <w:pPr>
        <w:pStyle w:val="FirstParagraph"/>
        <w:rPr/>
      </w:pPr>
      <w:r>
        <w:rPr/>
        <w:t>D.6.1. Sovereign contributions scale fifty percent by shipping volume through the Strait attributable to each Party and fifty percent by coastal length on the Treaty area, computed annually from Center data.</w:t>
      </w:r>
    </w:p>
    <w:p>
      <w:pPr>
        <w:pStyle w:val="TextBody"/>
        <w:rPr/>
      </w:pPr>
      <w:r>
        <w:rPr/>
        <w:t>D.6.2. The Council’s Economic Committee sets the annual call within the fifteen percent channel share, issues it ninety days ahead, and publishes it.</w:t>
      </w:r>
    </w:p>
    <w:p>
      <w:pPr>
        <w:pStyle w:val="TextBody"/>
        <w:rPr/>
      </w:pPr>
      <w:bookmarkStart w:id="389" w:name="d.6.-the-sovereign-corridor-fund-formula"/>
      <w:r>
        <w:rPr/>
        <w:t>D.6.3. Small contributors settle through in-kind support where the Committee approves: hosting, staffing, survey work, or equipment.</w:t>
      </w:r>
      <w:bookmarkEnd w:id="389"/>
    </w:p>
    <w:p>
      <w:pPr>
        <w:pStyle w:val="Heading2"/>
        <w:rPr/>
      </w:pPr>
      <w:bookmarkStart w:id="390" w:name="__RefHeading___Toc7996_2907148441"/>
      <w:bookmarkStart w:id="391" w:name="d.7.-charge-modification-procedure"/>
      <w:bookmarkEnd w:id="390"/>
      <w:r>
        <w:rPr>
          <w:color w:val="2E4F6E"/>
        </w:rPr>
        <w:t>D.7. Charge Modification Procedure</w:t>
      </w:r>
    </w:p>
    <w:p>
      <w:pPr>
        <w:pStyle w:val="FirstParagraph"/>
        <w:rPr/>
      </w:pPr>
      <w:r>
        <w:rPr/>
        <w:t>D.7.1. Charge changes follow the same discipline as corridor changes: Center technical case, thirty-day comment window including the Advisory Panel, Council consensus, sixty-day public notice, no retroactive effect.</w:t>
      </w:r>
    </w:p>
    <w:p>
      <w:pPr>
        <w:pStyle w:val="TextBody"/>
        <w:rPr/>
      </w:pPr>
      <w:r>
        <w:rPr/>
        <w:t>D.7.2. An emergency temporary surcharge exists nowhere in this Annex. The schedule never spikes. The Insurance Pool, not the charge schedule, absorbs risk events.</w:t>
      </w:r>
    </w:p>
    <w:p>
      <w:pPr>
        <w:pStyle w:val="Normal"/>
        <w:rPr/>
      </w:pPr>
      <w:bookmarkStart w:id="392" w:name="Xde9b7b11020738165745026c050d30f80e48cf4"/>
      <w:bookmarkStart w:id="393" w:name="d.7.-charge-modification-procedure"/>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rPr/>
      </w:pPr>
      <w:bookmarkStart w:id="394" w:name="__RefHeading___Toc7998_2907148441"/>
      <w:bookmarkStart w:id="395" w:name="X71e1060289c7840a0eda4692ae6ed1a6ec17330"/>
      <w:bookmarkEnd w:id="394"/>
      <w:r>
        <w:rPr>
          <w:color w:val="1F3A5F"/>
        </w:rPr>
        <w:t>ANNEX E. SECURITY FUNCTIONS, DUAL-KEY RULES, AND DECONFLICTION PROTOCOLS</w:t>
      </w:r>
    </w:p>
    <w:p>
      <w:pPr>
        <w:pStyle w:val="Heading2"/>
        <w:rPr/>
      </w:pPr>
      <w:bookmarkStart w:id="396" w:name="__RefHeading___Toc8000_2907148441"/>
      <w:bookmarkStart w:id="397" w:name="e.1.-the-function-allocation-table"/>
      <w:bookmarkEnd w:id="396"/>
      <w:r>
        <w:rPr>
          <w:color w:val="2E4F6E"/>
        </w:rPr>
        <w:t>E.1. The Function Allocation Table</w:t>
      </w:r>
    </w:p>
    <w:p>
      <w:pPr>
        <w:pStyle w:val="FirstParagraph"/>
        <w:rPr/>
      </w:pPr>
      <w:r>
        <w:rPr/>
        <w:t>E.1.1. Table E-1 assigns every security function in the system. It is the answer to the question the negotiations could not answer: who does what. It answers with functions, and it leaves no blank space.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Function</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Corridor</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Traffic management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performs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administers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directs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Navigation safety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performs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administers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teams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monitoring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performs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administers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teams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Mine countermeasures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Survey force (Layer 0-1), MCM Cell (Layer 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Survey force, then MCM Cell</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Survey force, then MCM Cell</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Search and rescue lead</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Iran, joint support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 joint support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teams, pre-authorized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Incident response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Dual-key: Iran + Oman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Dual-key: Oman + GCC observer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Dual-key: Oman + Iran, neutral observer informed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Convoy escort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Coordinator (Layer 1), rotation (Layer 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Coordinator, then rotation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Coordinator, then rotation</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Boarding and inspection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35 limits, dual-key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35 limits, dual-key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35 limits, dual-key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Military deconfliction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 naval commands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 naval commands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 + naval commands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Crisis override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two Council members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two Council members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two Council members</w:t>
            </w:r>
          </w:p>
        </w:tc>
      </w:tr>
    </w:tbl>
    <w:p>
      <w:pPr>
        <w:pStyle w:val="TextBody"/>
        <w:rPr/>
      </w:pPr>
      <w:bookmarkStart w:id="398" w:name="e.1.-the-function-allocation-table"/>
      <w:r>
        <w:rPr/>
        <w:t>E.1.2. Every cell in Table E-1 names a performer and an oversight key. No cell names a sovereign.</w:t>
      </w:r>
      <w:bookmarkEnd w:id="398"/>
    </w:p>
    <w:p>
      <w:pPr>
        <w:pStyle w:val="Heading2"/>
        <w:rPr/>
      </w:pPr>
      <w:bookmarkStart w:id="399" w:name="__RefHeading___Toc8002_2907148441"/>
      <w:bookmarkStart w:id="400" w:name="e.2.-dual-key-operating-rules"/>
      <w:bookmarkEnd w:id="399"/>
      <w:r>
        <w:rPr>
          <w:color w:val="2E4F6E"/>
        </w:rPr>
        <w:t>E.2. Dual-Key Operating Rules</w:t>
      </w:r>
    </w:p>
    <w:p>
      <w:pPr>
        <w:pStyle w:val="FirstParagraph"/>
        <w:rPr/>
      </w:pPr>
      <w:r>
        <w:rPr/>
        <w:t>E.2.1. A dual-key authorization records: the action requested, the grounds, both key holders, the time of each key, and the executing unit. The record enters the incident database automatically.</w:t>
      </w:r>
    </w:p>
    <w:p>
      <w:pPr>
        <w:pStyle w:val="TextBody"/>
        <w:rPr/>
      </w:pPr>
      <w:r>
        <w:rPr/>
        <w:t>E.2.2. Keys exist at duty-officer level, twenty-four hours. Each key-holding Party maintains a named roster of authorized duty officers, filed with the Center.</w:t>
      </w:r>
    </w:p>
    <w:p>
      <w:pPr>
        <w:pStyle w:val="TextBody"/>
        <w:rPr/>
      </w:pPr>
      <w:r>
        <w:rPr/>
        <w:t>E.2.3. Response-time standard: a dual-key request receives both keys within thirty minutes for Class A safety grounds and within two hours otherwise. Silence beyond the standard escalates to the co-chairs automatically.</w:t>
      </w:r>
    </w:p>
    <w:p>
      <w:pPr>
        <w:pStyle w:val="TextBody"/>
        <w:rPr/>
      </w:pPr>
      <w:bookmarkStart w:id="401" w:name="e.2.-dual-key-operating-rules"/>
      <w:r>
        <w:rPr/>
        <w:t>E.2.4. A unilateral action, one key acting alone, produces: an automatic incident report, automatic notification to the Council, and automatic review under Annex F, Section F.7. The system treats the unilateral act as a system event to correct, not a crime to punish, and correction restores the architecture.</w:t>
      </w:r>
      <w:bookmarkEnd w:id="401"/>
    </w:p>
    <w:p>
      <w:pPr>
        <w:pStyle w:val="Heading2"/>
        <w:rPr/>
      </w:pPr>
      <w:bookmarkStart w:id="402" w:name="__RefHeading___Toc8004_2907148441"/>
      <w:bookmarkStart w:id="403" w:name="e.3.-interdiction-exclusion-protocol"/>
      <w:bookmarkEnd w:id="402"/>
      <w:r>
        <w:rPr>
          <w:color w:val="2E4F6E"/>
        </w:rPr>
        <w:t>E.3. Interdiction Exclusion Protocol</w:t>
      </w:r>
    </w:p>
    <w:p>
      <w:pPr>
        <w:pStyle w:val="FirstParagraph"/>
        <w:rPr/>
      </w:pPr>
      <w:r>
        <w:rPr/>
        <w:t>E.3.1. The absolute non-interdiction protocol of Article 13 operates as follows: no unit of any Party stops, diverts, boards, or detains any commercial vessel outside Article 35. Any approach to a commercial vessel beyond standard traffic management contact triggers a Center query in real time.</w:t>
      </w:r>
    </w:p>
    <w:p>
      <w:pPr>
        <w:pStyle w:val="TextBody"/>
        <w:rPr/>
      </w:pPr>
      <w:bookmarkStart w:id="404" w:name="e.3.-interdiction-exclusion-protocol"/>
      <w:r>
        <w:rPr/>
        <w:t>E.3.2. The fused picture flags any closing maneuver toward commercial traffic, and the flag reaches every Tier 1 through Tier 3 screen simultaneously. The system watches itself.</w:t>
      </w:r>
      <w:bookmarkEnd w:id="404"/>
    </w:p>
    <w:p>
      <w:pPr>
        <w:pStyle w:val="Heading2"/>
        <w:rPr/>
      </w:pPr>
      <w:bookmarkStart w:id="405" w:name="__RefHeading___Toc8006_2907148441"/>
      <w:bookmarkStart w:id="406" w:name="e.4.-mine-risk-response-protocol"/>
      <w:bookmarkEnd w:id="405"/>
      <w:r>
        <w:rPr>
          <w:color w:val="2E4F6E"/>
        </w:rPr>
        <w:t>E.4. Mine-Risk Response Protocol</w:t>
      </w:r>
    </w:p>
    <w:p>
      <w:pPr>
        <w:pStyle w:val="FirstParagraph"/>
        <w:rPr/>
      </w:pPr>
      <w:r>
        <w:rPr/>
        <w:t>E.4.1. On any mine-like contact: the detecting unit broadcasts system-wide within fifteen minutes; the Center diverts traffic through the Buffer Corridor; the survey force or MCM Cell dispatches; the dual-key for buffer and mine-risk actions records.</w:t>
      </w:r>
    </w:p>
    <w:p>
      <w:pPr>
        <w:pStyle w:val="TextBody"/>
        <w:rPr/>
      </w:pPr>
      <w:r>
        <w:rPr/>
        <w:t>E.4.2. Neutralization proceeds under dual-key authorization with both Coastal Parties’ liaison officers present or remotely connected, and the outcome publishes in the next Bulletin.</w:t>
      </w:r>
    </w:p>
    <w:p>
      <w:pPr>
        <w:pStyle w:val="TextBody"/>
        <w:rPr/>
      </w:pPr>
      <w:bookmarkStart w:id="407" w:name="e.4.-mine-risk-response-protocol"/>
      <w:r>
        <w:rPr/>
        <w:t>E.4.3. Corridor re-certification after any mine event requires a swept-channel check and Directorate certification, targeting seventy-two hours.</w:t>
      </w:r>
      <w:bookmarkEnd w:id="407"/>
    </w:p>
    <w:p>
      <w:pPr>
        <w:pStyle w:val="Heading2"/>
        <w:rPr/>
      </w:pPr>
      <w:bookmarkStart w:id="408" w:name="__RefHeading___Toc8008_2907148441"/>
      <w:bookmarkStart w:id="409" w:name="Xa8a96aa0c9d8efed1682a2f88dfb8c96f153e4d"/>
      <w:bookmarkEnd w:id="408"/>
      <w:r>
        <w:rPr>
          <w:color w:val="2E4F6E"/>
        </w:rPr>
        <w:t>E.5. The Regional Patrol Rotation Schedule</w:t>
      </w:r>
    </w:p>
    <w:p>
      <w:pPr>
        <w:pStyle w:val="FirstParagraph"/>
        <w:rPr/>
      </w:pPr>
      <w:r>
        <w:rPr/>
        <w:t>E.5.1. The rotation operates in standing task units of two to four vessels, built around Omani command, with contributions from Saudi Arabia, the United Arab Emirates, Qatar, Bahrain, Kuwait, Pakistan, and Iran.</w:t>
      </w:r>
    </w:p>
    <w:p>
      <w:pPr>
        <w:pStyle w:val="TextBody"/>
        <w:rPr/>
      </w:pPr>
      <w:r>
        <w:rPr/>
        <w:t>E.5.2. Rotation cycles run eight weeks. The schedule publishes twelve months ahead. Contributing states nominate units; the Council confirms; the Center tasks.</w:t>
      </w:r>
    </w:p>
    <w:p>
      <w:pPr>
        <w:pStyle w:val="TextBody"/>
        <w:rPr/>
      </w:pPr>
      <w:bookmarkStart w:id="410" w:name="Xa8a96aa0c9d8efed1682a2f88dfb8c96f153e4d"/>
      <w:r>
        <w:rPr/>
        <w:t>E.5.3. Rotation vessels carry Authority identification, broadcast on the fused picture, and operate non-kinetically under Article 32.</w:t>
      </w:r>
      <w:bookmarkEnd w:id="410"/>
    </w:p>
    <w:p>
      <w:pPr>
        <w:pStyle w:val="Heading2"/>
        <w:rPr/>
      </w:pPr>
      <w:bookmarkStart w:id="411" w:name="__RefHeading___Toc8010_2907148441"/>
      <w:bookmarkStart w:id="412" w:name="e.6.-first-phase-handover-schedule"/>
      <w:bookmarkEnd w:id="411"/>
      <w:r>
        <w:rPr>
          <w:color w:val="2E4F6E"/>
        </w:rPr>
        <w:t>E.6. First-Phase Handover Schedule</w:t>
      </w:r>
    </w:p>
    <w:p>
      <w:pPr>
        <w:pStyle w:val="FirstParagraph"/>
        <w:rPr/>
      </w:pPr>
      <w:r>
        <w:rPr/>
        <w:t>E.6.1. The handover from the First-Phase Security Coordinator to the regional patrol rotation proceeds function by function: escort coordination hands over at Day 45; mine countermeasure lead hands over at Day 60; hotline primary duty hands over at Day 75; the Coordinator role stands complete by Day 90.</w:t>
      </w:r>
    </w:p>
    <w:p>
      <w:pPr>
        <w:pStyle w:val="TextBody"/>
        <w:rPr/>
      </w:pPr>
      <w:r>
        <w:rPr/>
        <w:t>E.6.2. Each handover certifies against the Stability Audit metrics before executing. A failed certification holds that function with the Coordinator for one audit cycle while traffic continues.</w:t>
      </w:r>
    </w:p>
    <w:p>
      <w:pPr>
        <w:pStyle w:val="TextBody"/>
        <w:rPr/>
      </w:pPr>
      <w:bookmarkStart w:id="413" w:name="e.6.-first-phase-handover-schedule"/>
      <w:r>
        <w:rPr/>
        <w:t>E.6.3. After completion, the Guaranteeing Participant retains the continuing role defined in Article 36.6.</w:t>
      </w:r>
      <w:bookmarkEnd w:id="413"/>
    </w:p>
    <w:p>
      <w:pPr>
        <w:pStyle w:val="Heading2"/>
        <w:rPr/>
      </w:pPr>
      <w:bookmarkStart w:id="414" w:name="__RefHeading___Toc8012_2907148441"/>
      <w:bookmarkStart w:id="415" w:name="e.7.-buffer-surge-scheme"/>
      <w:bookmarkEnd w:id="414"/>
      <w:r>
        <w:rPr>
          <w:color w:val="2E4F6E"/>
        </w:rPr>
        <w:t>E.7. Buffer Surge Scheme</w:t>
      </w:r>
    </w:p>
    <w:p>
      <w:pPr>
        <w:pStyle w:val="FirstParagraph"/>
        <w:rPr/>
      </w:pPr>
      <w:r>
        <w:rPr/>
        <w:t>E.7.1. During any crisis, the Buffer Corridor converts to emergency traffic duty under a pre-planned scheme: two temporary lanes, convoy-only operation, escort at both ends, speed band fixed at ten knots.</w:t>
      </w:r>
    </w:p>
    <w:p>
      <w:pPr>
        <w:pStyle w:val="TextBody"/>
        <w:rPr/>
      </w:pPr>
      <w:bookmarkStart w:id="416" w:name="e.7.-buffer-surge-scheme"/>
      <w:r>
        <w:rPr/>
        <w:t>E.7.2. The surge scheme activates on Corridor Emergency Override or on Center determination with dual-key authorization, and publishes instantly.</w:t>
      </w:r>
      <w:bookmarkEnd w:id="416"/>
    </w:p>
    <w:p>
      <w:pPr>
        <w:pStyle w:val="Heading2"/>
        <w:rPr/>
      </w:pPr>
      <w:bookmarkStart w:id="417" w:name="__RefHeading___Toc8014_2907148441"/>
      <w:bookmarkStart w:id="418" w:name="Xb2c97ade30516a9aa865980c9e15d3d66ad68be"/>
      <w:bookmarkEnd w:id="417"/>
      <w:r>
        <w:rPr>
          <w:color w:val="2E4F6E"/>
        </w:rPr>
        <w:t>E.8. The Two Hundred Kilometer Notice Rule</w:t>
      </w:r>
    </w:p>
    <w:p>
      <w:pPr>
        <w:pStyle w:val="FirstParagraph"/>
        <w:rPr/>
      </w:pPr>
      <w:r>
        <w:rPr/>
        <w:t>E.8.1. Missile tests, drone tests, live-fire exercises, and major naval exercises within two hundred kilometers of the corridors carry a forty-eight hour advance notice to the Center, stating timing, location, and impact area.</w:t>
      </w:r>
    </w:p>
    <w:p>
      <w:pPr>
        <w:pStyle w:val="TextBody"/>
        <w:rPr/>
      </w:pPr>
      <w:r>
        <w:rPr/>
        <w:t>E.8.2. During the opening sequence, a complete freeze applies under Article 17.1. Thereafter, the notice rule governs.</w:t>
      </w:r>
    </w:p>
    <w:p>
      <w:pPr>
        <w:pStyle w:val="TextBody"/>
        <w:rPr/>
      </w:pPr>
      <w:bookmarkStart w:id="419" w:name="Xb2c97ade30516a9aa865980c9e15d3d66ad68be"/>
      <w:r>
        <w:rPr/>
        <w:t>E.8.3. The notice rule is a maritime safety instrument. It collects no capability data beyond what traffic safety demands, per Article 52.</w:t>
      </w:r>
      <w:bookmarkEnd w:id="419"/>
    </w:p>
    <w:p>
      <w:pPr>
        <w:pStyle w:val="Heading2"/>
        <w:rPr/>
      </w:pPr>
      <w:bookmarkStart w:id="420" w:name="__RefHeading___Toc8016_2907148441"/>
      <w:bookmarkStart w:id="421" w:name="e.9.-deconfliction-hotline-protocols"/>
      <w:bookmarkEnd w:id="420"/>
      <w:r>
        <w:rPr>
          <w:color w:val="2E4F6E"/>
        </w:rPr>
        <w:t>E.9. Deconfliction Hotline Protocols</w:t>
      </w:r>
    </w:p>
    <w:p>
      <w:pPr>
        <w:pStyle w:val="FirstParagraph"/>
        <w:rPr/>
      </w:pPr>
      <w:r>
        <w:rPr/>
        <w:t>E.9.1. The hotline network runs voice and data links between the Center, the Coastal Parties’ naval commands, the Guaranteeing Participant’s naval command, and the rotation headquarters.</w:t>
      </w:r>
    </w:p>
    <w:p>
      <w:pPr>
        <w:pStyle w:val="TextBody"/>
        <w:rPr/>
      </w:pPr>
      <w:r>
        <w:rPr/>
        <w:t>E.9.2. Standing procedures: twelve-hour tests during Layers 0 and 1, daily tests thereafter; thirty-second answer standard during crisis posture; five-minute answer standard otherwise.</w:t>
      </w:r>
    </w:p>
    <w:p>
      <w:pPr>
        <w:pStyle w:val="TextBody"/>
        <w:rPr/>
      </w:pPr>
      <w:r>
        <w:rPr/>
        <w:t>E.9.3. Every hotline contact logs. The log feeds the deconfliction metrics in Annex F.</w:t>
      </w:r>
    </w:p>
    <w:p>
      <w:pPr>
        <w:pStyle w:val="Normal"/>
        <w:rPr/>
      </w:pPr>
      <w:bookmarkStart w:id="422" w:name="X71e1060289c7840a0eda4692ae6ed1a6ec17330"/>
      <w:bookmarkStart w:id="423" w:name="e.9.-deconfliction-hotline-protocol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rPr/>
      </w:pPr>
      <w:bookmarkStart w:id="424" w:name="__RefHeading___Toc8018_2907148441"/>
      <w:bookmarkStart w:id="425" w:name="Xeaa7cd1aded894a112edfa08369be28c24f989a"/>
      <w:bookmarkEnd w:id="424"/>
      <w:r>
        <w:rPr>
          <w:color w:val="1F3A5F"/>
        </w:rPr>
        <w:t>ANNEX F. VERIFICATION PROCEDURES AND STABILITY AUDIT METRICS</w:t>
      </w:r>
    </w:p>
    <w:p>
      <w:pPr>
        <w:pStyle w:val="Heading2"/>
        <w:rPr/>
      </w:pPr>
      <w:bookmarkStart w:id="426" w:name="__RefHeading___Toc8020_2907148441"/>
      <w:bookmarkStart w:id="427" w:name="f.1.-verification-operating-procedures"/>
      <w:bookmarkEnd w:id="426"/>
      <w:r>
        <w:rPr>
          <w:color w:val="2E4F6E"/>
        </w:rPr>
        <w:t>F.1. Verification Operating Procedures</w:t>
      </w:r>
    </w:p>
    <w:p>
      <w:pPr>
        <w:pStyle w:val="FirstParagraph"/>
        <w:rPr/>
      </w:pPr>
      <w:r>
        <w:rPr/>
        <w:t xml:space="preserve">F.1.1. </w:t>
      </w:r>
      <w:r>
        <w:rPr>
          <w:b/>
          <w:bCs/>
        </w:rPr>
        <w:t>Baseline verification.</w:t>
      </w:r>
      <w:r>
        <w:rPr/>
        <w:t xml:space="preserve"> During Week 1, Joint Verification Teams verify: corridor geometry against Annex A; sensor station function; fusion accuracy; hotline performance; escrow channel function; and incident reporting clocks. The baseline report publishes on Day 7.</w:t>
      </w:r>
    </w:p>
    <w:p>
      <w:pPr>
        <w:pStyle w:val="TextBody"/>
        <w:rPr/>
      </w:pPr>
      <w:r>
        <w:rPr/>
        <w:t xml:space="preserve">F.1.2. </w:t>
      </w:r>
      <w:r>
        <w:rPr>
          <w:b/>
          <w:bCs/>
        </w:rPr>
        <w:t>Continuous verification.</w:t>
      </w:r>
      <w:r>
        <w:rPr/>
        <w:t xml:space="preserve"> The fused picture, the integrity checks, and the observer feeds run continuously. Verification is a standing state, not an inspection event.</w:t>
      </w:r>
    </w:p>
    <w:p>
      <w:pPr>
        <w:pStyle w:val="TextBody"/>
        <w:rPr/>
      </w:pPr>
      <w:r>
        <w:rPr/>
        <w:t xml:space="preserve">F.1.3. </w:t>
      </w:r>
      <w:r>
        <w:rPr>
          <w:b/>
          <w:bCs/>
        </w:rPr>
        <w:t>Spot checks.</w:t>
      </w:r>
      <w:r>
        <w:rPr/>
        <w:t xml:space="preserve"> Joint Verification Teams conduct unannounced spot checks, two per week minimum during Layers 1 and 2, one per week thereafter, on a random draw that the Directorate publishes after the fact.</w:t>
      </w:r>
    </w:p>
    <w:p>
      <w:pPr>
        <w:pStyle w:val="TextBody"/>
        <w:rPr/>
      </w:pPr>
      <w:r>
        <w:rPr/>
        <w:t xml:space="preserve">F.1.4. </w:t>
      </w:r>
      <w:r>
        <w:rPr>
          <w:b/>
          <w:bCs/>
        </w:rPr>
        <w:t>Incident investigation.</w:t>
      </w:r>
      <w:r>
        <w:rPr/>
        <w:t xml:space="preserve"> Every Class A and Class B incident receives a Joint Verification Team investigation, opened within twenty-four hours, closed within fourteen days, published within twenty-four hours of closing.</w:t>
      </w:r>
    </w:p>
    <w:p>
      <w:pPr>
        <w:pStyle w:val="TextBody"/>
        <w:rPr/>
      </w:pPr>
      <w:r>
        <w:rPr/>
        <w:t xml:space="preserve">F.1.5. </w:t>
      </w:r>
      <w:r>
        <w:rPr>
          <w:b/>
          <w:bCs/>
        </w:rPr>
        <w:t>Fairness rule.</w:t>
      </w:r>
      <w:r>
        <w:rPr/>
        <w:t xml:space="preserve"> Verification burdens distribute symmetrically: Iranian stations, Omani stations, Coordinator activities, and rotation activities all face the same check frequency, the same standards, and the same publication rules.</w:t>
      </w:r>
      <w:bookmarkEnd w:id="427"/>
    </w:p>
    <w:p>
      <w:pPr>
        <w:pStyle w:val="Heading2"/>
        <w:rPr/>
      </w:pPr>
      <w:bookmarkStart w:id="428" w:name="__RefHeading___Toc8022_2907148441"/>
      <w:bookmarkStart w:id="429" w:name="X27217a7a42bd4c12a1c94cef46baff6368ae0a9"/>
      <w:bookmarkEnd w:id="428"/>
      <w:r>
        <w:rPr>
          <w:color w:val="2E4F6E"/>
        </w:rPr>
        <w:t>F.2. The Stability Audit: Domain One, Navigation and AIS Compliance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Pass Threshold</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Fail</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AIS continuity rate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98% of vessel-hours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95-98%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Corridor adherence rate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97% of transits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93-97%</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93%</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Unauthorized deviations per week</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Buffer emergency uses, wrongful entry share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5% of uses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5-10%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10%</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Navigation incidents (collision, near miss) per 1,000 transits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0.5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0.5-1.0</w:t>
            </w:r>
          </w:p>
        </w:tc>
        <w:tc>
          <w:tcPr>
            <w:tcW w:w="1872" w:type="dxa"/>
            <w:tcBorders/>
          </w:tcPr>
          <w:p>
            <w:pPr>
              <w:pStyle w:val="Compact"/>
              <w:widowControl/>
              <w:spacing w:before="36" w:after="36"/>
              <w:jc w:val="left"/>
              <w:rPr>
                <w:rFonts w:eastAsia="Cambria" w:cs=""/>
                <w:kern w:val="0"/>
                <w:szCs w:val="24"/>
                <w:lang w:val="en-US" w:eastAsia="en-US" w:bidi="ar-SA"/>
              </w:rPr>
            </w:pPr>
            <w:bookmarkStart w:id="430" w:name="X27217a7a42bd4c12a1c94cef46baff6368ae0a9"/>
            <w:r>
              <w:rPr>
                <w:rFonts w:eastAsia="Cambria" w:cs=""/>
                <w:kern w:val="0"/>
                <w:szCs w:val="24"/>
                <w:lang w:val="en-US" w:eastAsia="en-US" w:bidi="ar-SA"/>
              </w:rPr>
              <w:t>Above 1.0</w:t>
            </w:r>
            <w:bookmarkEnd w:id="430"/>
          </w:p>
        </w:tc>
      </w:tr>
    </w:tbl>
    <w:p>
      <w:pPr>
        <w:pStyle w:val="Heading2"/>
        <w:rPr/>
      </w:pPr>
      <w:bookmarkStart w:id="431" w:name="__RefHeading___Toc8024_2907148441"/>
      <w:bookmarkEnd w:id="431"/>
      <w:r>
        <w:rPr>
          <w:color w:val="2E4F6E"/>
        </w:rPr>
        <w:t>F.3. Domain Two: Security and Deconfliction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Pass Threshold</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Fail</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M-06</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Dual-key actions executed correctly</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95-99%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M-07</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Unilateral interdiction attempts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corrected within 24 hours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uncorrected</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Deconfliction response time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standard (Section E.9.2)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Within 150% of standard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Beyond 150%</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M-09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Security incident severity index (Center scale)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2.0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2.0-3.5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3.5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Mine-risk alert handling time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15 minutes to broadcast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15-30 minutes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30 minutes</w:t>
            </w:r>
          </w:p>
        </w:tc>
      </w:tr>
    </w:tbl>
    <w:p>
      <w:pPr>
        <w:pStyle w:val="Heading2"/>
        <w:rPr/>
      </w:pPr>
      <w:bookmarkStart w:id="432" w:name="__RefHeading___Toc8026_2907148441"/>
      <w:bookmarkEnd w:id="432"/>
      <w:r>
        <w:rPr>
          <w:color w:val="2E4F6E"/>
        </w:rPr>
        <w:t>F.4. Domain Three: Monitoring and Transparency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Pass Threshold</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Fail</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M-16</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Fusion accuracy</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95-98%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M-17</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Incident reporting timeliness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 within clock (Section C.7.2)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95-99%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Observer feed uptime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99.5%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98-99.5%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98%</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Data integrity flags unresolved after 24 hours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2</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Bulletin publication on schedule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late bulletin</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More than one</w:t>
            </w:r>
          </w:p>
        </w:tc>
      </w:tr>
    </w:tbl>
    <w:p>
      <w:pPr>
        <w:pStyle w:val="Heading2"/>
        <w:rPr/>
      </w:pPr>
      <w:bookmarkStart w:id="433" w:name="__RefHeading___Toc8028_2907148441"/>
      <w:bookmarkEnd w:id="433"/>
      <w:r>
        <w:rPr>
          <w:color w:val="2E4F6E"/>
        </w:rPr>
        <w:t>F.5. Domain Four: Environment and Safety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Pass Threshold</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Fail</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baseline deviation</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Within baseline band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indicator outside band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Two or more outside</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Emergency response activation time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30 minutes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30-45 minutes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45 minutes</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Search and rescue success rate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 of tasked responses launched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95-99%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95%</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Mine-risk environmental impact score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 significant events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contained event</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uncontained event</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M-15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Safety compliance audit score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90-95%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90%</w:t>
            </w:r>
          </w:p>
        </w:tc>
      </w:tr>
    </w:tbl>
    <w:p>
      <w:pPr>
        <w:pStyle w:val="Heading2"/>
        <w:rPr/>
      </w:pPr>
      <w:bookmarkStart w:id="434" w:name="__RefHeading___Toc8030_2907148441"/>
      <w:bookmarkEnd w:id="434"/>
      <w:r>
        <w:rPr>
          <w:color w:val="2E4F6E"/>
        </w:rPr>
        <w:t>F.6. Domain Five: Fees, Payments, and Funding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Code</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Pass Threshold</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Conditional</w:t>
            </w:r>
          </w:p>
        </w:tc>
        <w:tc>
          <w:tcPr>
            <w:tcW w:w="187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Fail</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M-21</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Charge stability index (rate volatility)</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0 unscheduled changes</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 corrected within cycle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uncorrected</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M-22</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Payment routing success rate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above 99%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97-99%</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Below 97%</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compliance rate</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100% of flows certified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qualified finding</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Any adverse finding</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M-24</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War-risk premium trend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Stable or falling over audit period</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Rising under 25%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Rising 25% or more</w:t>
            </w:r>
          </w:p>
        </w:tc>
      </w:tr>
      <w:tr>
        <w:trPr/>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M-25</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Fee disputes per month</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At or below 3</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4-8</w:t>
            </w:r>
          </w:p>
        </w:tc>
        <w:tc>
          <w:tcPr>
            <w:tcW w:w="187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Above 8</w:t>
            </w:r>
          </w:p>
        </w:tc>
      </w:tr>
    </w:tbl>
    <w:p>
      <w:pPr>
        <w:pStyle w:val="Heading2"/>
        <w:rPr/>
      </w:pPr>
      <w:bookmarkStart w:id="435" w:name="__RefHeading___Toc8032_2907148441"/>
      <w:bookmarkEnd w:id="435"/>
      <w:r>
        <w:rPr>
          <w:color w:val="2E4F6E"/>
        </w:rPr>
        <w:t>F.7. Scoring, Outcomes, and the Consequence Ladder</w:t>
      </w:r>
    </w:p>
    <w:p>
      <w:pPr>
        <w:pStyle w:val="FirstParagraph"/>
        <w:rPr/>
      </w:pPr>
      <w:r>
        <w:rPr/>
        <w:t xml:space="preserve">F.7.1. </w:t>
      </w:r>
      <w:r>
        <w:rPr>
          <w:b/>
          <w:bCs/>
        </w:rPr>
        <w:t>Scoring.</w:t>
      </w:r>
      <w:r>
        <w:rPr/>
        <w:t xml:space="preserve"> Each domain scores as the weakest metric in the domain. The Audit outcome scores as the weakest domain: all domains Pass yields Pass; any Conditional yields Conditional Pass; any Fail yields Fail.</w:t>
      </w:r>
    </w:p>
    <w:p>
      <w:pPr>
        <w:pStyle w:val="TextBody"/>
        <w:rPr/>
      </w:pPr>
      <w:r>
        <w:rPr/>
        <w:t xml:space="preserve">F.7.2. </w:t>
      </w:r>
      <w:r>
        <w:rPr>
          <w:b/>
          <w:bCs/>
        </w:rPr>
        <w:t>Outcomes.</w:t>
      </w:r>
      <w:r>
        <w:rPr/>
        <w:t xml:space="preserve"> Pass opens the next layer gate. Conditional Pass opens the gate after the named annex adjustments execute within one audit cycle. Fail extends the current layer one audit cycle. Traffic continues in all cases.</w:t>
      </w:r>
    </w:p>
    <w:p>
      <w:pPr>
        <w:pStyle w:val="TextBody"/>
        <w:rPr/>
      </w:pPr>
      <w:r>
        <w:rPr/>
        <w:t xml:space="preserve">F.7.3. </w:t>
      </w:r>
      <w:r>
        <w:rPr>
          <w:b/>
          <w:bCs/>
        </w:rPr>
        <w:t>Consequence ladder.</w:t>
      </w:r>
      <w:r>
        <w:rPr/>
        <w:t xml:space="preserve"> Verified breaches escalate in tiers: tier one, delayed reporting, minor discrepancies, late notices, handled by corrective action plus public disclosure; tier two, repeated tier one conduct, unilateral security actions, obstruction of verification, handled by suspension of Stability Dividend accrual for the responsible Party plus enhanced verification of that Party’s functions; tier three, mining, seizure, attack on shipping or infrastructure, handled by full crisis activation under Part XII, Council emergency session, and referral to the Parties’ principals with the verification record attached.</w:t>
      </w:r>
    </w:p>
    <w:p>
      <w:pPr>
        <w:pStyle w:val="TextBody"/>
        <w:rPr/>
      </w:pPr>
      <w:r>
        <w:rPr/>
        <w:t>F.7.4. The ladder targets conduct, not people, and correction at any tier closes the matter. The system corrects; it does not punish for punishment’s sake.</w:t>
      </w:r>
    </w:p>
    <w:p>
      <w:pPr>
        <w:pStyle w:val="TextBody"/>
        <w:rPr/>
      </w:pPr>
      <w:r>
        <w:rPr/>
        <w:t xml:space="preserve">F.7.5. </w:t>
      </w:r>
      <w:r>
        <w:rPr>
          <w:b/>
          <w:bCs/>
        </w:rPr>
        <w:t>Symmetry.</w:t>
      </w:r>
      <w:r>
        <w:rPr/>
        <w:t xml:space="preserve"> The ladder applies identically to every Party, to the Coordinator, and to the rotation. The fused picture sees everyone.</w:t>
      </w:r>
    </w:p>
    <w:p>
      <w:pPr>
        <w:pStyle w:val="Heading2"/>
        <w:rPr/>
      </w:pPr>
      <w:bookmarkStart w:id="436" w:name="__RefHeading___Toc8034_2907148441"/>
      <w:bookmarkStart w:id="437" w:name="f.8.-audit-calendar"/>
      <w:bookmarkEnd w:id="436"/>
      <w:r>
        <w:rPr>
          <w:color w:val="2E4F6E"/>
        </w:rPr>
        <w:t>F.8. Audit Calendar</w:t>
      </w:r>
    </w:p>
    <w:p>
      <w:pPr>
        <w:pStyle w:val="FirstParagraph"/>
        <w:rPr/>
      </w:pPr>
      <w:r>
        <w:rPr/>
        <w:t>F.8.1. Audits run: baseline at Week 1; weekly during Layer 1; biweekly during Layer 2; monthly during the first year of Layer 3; quarterly thereafter.</w:t>
      </w:r>
    </w:p>
    <w:p>
      <w:pPr>
        <w:pStyle w:val="TextBody"/>
        <w:rPr/>
      </w:pPr>
      <w:r>
        <w:rPr/>
        <w:t>F.8.2. Every audit report publishes in full within seventy-two hours of completion, with the metric table, the domain scores, the outcome, and the corrective actions assigned.</w:t>
      </w:r>
    </w:p>
    <w:p>
      <w:pPr>
        <w:pStyle w:val="Normal"/>
        <w:rPr/>
      </w:pPr>
      <w:bookmarkStart w:id="438" w:name="Xeaa7cd1aded894a112edfa08369be28c24f989a"/>
      <w:bookmarkStart w:id="439" w:name="f.8.-audit-calenda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1"/>
        <w:rPr/>
      </w:pPr>
      <w:bookmarkStart w:id="440" w:name="__RefHeading___Toc8036_2907148441"/>
      <w:bookmarkStart w:id="441" w:name="Xf71dc31a3909dac4dfebba19aa38ff9e1741274"/>
      <w:bookmarkEnd w:id="440"/>
      <w:r>
        <w:rPr>
          <w:color w:val="1F3A5F"/>
        </w:rPr>
        <w:t>ANNEX G. ENVIRONMENTAL AND SAFETY PROTOCOLS</w:t>
      </w:r>
    </w:p>
    <w:p>
      <w:pPr>
        <w:pStyle w:val="Heading2"/>
        <w:rPr/>
      </w:pPr>
      <w:bookmarkStart w:id="442" w:name="__RefHeading___Toc8038_2907148441"/>
      <w:bookmarkStart w:id="443" w:name="g.1.-hazardous-cargo-classes"/>
      <w:bookmarkEnd w:id="442"/>
      <w:r>
        <w:rPr>
          <w:color w:val="2E4F6E"/>
        </w:rPr>
        <w:t>G.1. Hazardous Cargo Classes</w:t>
      </w:r>
    </w:p>
    <w:p>
      <w:pPr>
        <w:pStyle w:val="FirstParagraph"/>
        <w:rPr/>
      </w:pPr>
      <w:r>
        <w:rPr/>
        <w:t>G.1.1. Table G-1 lists the cargo classes carrying enhanced separation and reporting rules: crude oil and condensate in bulk; liquefied natural gas and liquefied petroleum gas; chemicals in bulk, International Bulk Chemical Code Type 1; radioactive material packages; explosives in commercial quantity.</w:t>
      </w:r>
    </w:p>
    <w:p>
      <w:pPr>
        <w:pStyle w:val="TextBody"/>
        <w:rPr/>
      </w:pPr>
      <w:bookmarkStart w:id="444" w:name="g.1.-hazardous-cargo-classes"/>
      <w:r>
        <w:rPr/>
        <w:t>G.1.2. Enhanced rules: two nautical mile separation; pre-transit manifest confirmation to the Center; dedicated convoy windows available on request.</w:t>
      </w:r>
      <w:bookmarkEnd w:id="444"/>
    </w:p>
    <w:p>
      <w:pPr>
        <w:pStyle w:val="Heading2"/>
        <w:rPr/>
      </w:pPr>
      <w:bookmarkStart w:id="445" w:name="__RefHeading___Toc8040_2907148441"/>
      <w:bookmarkStart w:id="446" w:name="Xfde1490008c77745b0380b6c06d064b1a7e7ae0"/>
      <w:bookmarkEnd w:id="445"/>
      <w:r>
        <w:rPr>
          <w:color w:val="2E4F6E"/>
        </w:rPr>
        <w:t>G.2. Environmental Baseline and Monitoring Stations</w:t>
      </w:r>
    </w:p>
    <w:p>
      <w:pPr>
        <w:pStyle w:val="FirstParagraph"/>
        <w:rPr/>
      </w:pPr>
      <w:r>
        <w:rPr/>
        <w:t>G.2.1. The baseline study runs during Layer 1 across twelve sampling stations: four per corridor. Parameters: hydrocarbon concentration, turbidity, dissolved oxygen, acoustic levels, and selected biological indicators.</w:t>
      </w:r>
    </w:p>
    <w:p>
      <w:pPr>
        <w:pStyle w:val="TextBody"/>
        <w:rPr/>
      </w:pPr>
      <w:bookmarkStart w:id="447" w:name="Xfde1490008c77745b0380b6c06d064b1a7e7ae0"/>
      <w:r>
        <w:rPr/>
        <w:t>G.2.2. Monitoring continues monthly after baseline. The common database at the Center holds every result, and the Portal publishes quarterly summaries.</w:t>
      </w:r>
      <w:bookmarkEnd w:id="447"/>
    </w:p>
    <w:p>
      <w:pPr>
        <w:pStyle w:val="Heading2"/>
        <w:rPr/>
      </w:pPr>
      <w:bookmarkStart w:id="448" w:name="__RefHeading___Toc8042_2907148441"/>
      <w:bookmarkStart w:id="449" w:name="g.3.-environmental-equipment-reserve"/>
      <w:bookmarkEnd w:id="448"/>
      <w:r>
        <w:rPr>
          <w:color w:val="2E4F6E"/>
        </w:rPr>
        <w:t>G.3. Environmental Equipment Reserve</w:t>
      </w:r>
    </w:p>
    <w:p>
      <w:pPr>
        <w:pStyle w:val="FirstParagraph"/>
        <w:rPr/>
      </w:pPr>
      <w:r>
        <w:rPr/>
        <w:t>G.3.1. Table G-2 sets the equipment list per response station: two thousand meters of containment boom; two skimmers; one dispersant spraying set, used only under the approval rule in Section G.4.4; absorbents; and one fast response boat.</w:t>
      </w:r>
    </w:p>
    <w:p>
      <w:pPr>
        <w:pStyle w:val="TextBody"/>
        <w:rPr/>
      </w:pPr>
      <w:bookmarkStart w:id="450" w:name="g.3.-environmental-equipment-reserve"/>
      <w:r>
        <w:rPr/>
        <w:t>G.3.2. Station crews drill monthly with the joint environmental teams and quarterly with the search and rescue framework.</w:t>
      </w:r>
      <w:bookmarkEnd w:id="450"/>
    </w:p>
    <w:p>
      <w:pPr>
        <w:pStyle w:val="Heading2"/>
        <w:rPr/>
      </w:pPr>
      <w:bookmarkStart w:id="451" w:name="__RefHeading___Toc8044_2907148441"/>
      <w:bookmarkStart w:id="452" w:name="g.4.-spill-response-tiers"/>
      <w:bookmarkEnd w:id="451"/>
      <w:r>
        <w:rPr>
          <w:color w:val="2E4F6E"/>
        </w:rPr>
        <w:t>G.4. Spill Response Tiers</w:t>
      </w:r>
    </w:p>
    <w:p>
      <w:pPr>
        <w:pStyle w:val="FirstParagraph"/>
        <w:rPr/>
      </w:pPr>
      <w:r>
        <w:rPr/>
        <w:t xml:space="preserve">G.4.1. </w:t>
      </w:r>
      <w:r>
        <w:rPr>
          <w:b/>
          <w:bCs/>
        </w:rPr>
        <w:t>Tier one.</w:t>
      </w:r>
      <w:r>
        <w:rPr/>
        <w:t xml:space="preserve"> The vessel contains with shipboard equipment under its own response plan, with Center notification.</w:t>
      </w:r>
    </w:p>
    <w:p>
      <w:pPr>
        <w:pStyle w:val="TextBody"/>
        <w:rPr/>
      </w:pPr>
      <w:r>
        <w:rPr/>
        <w:t xml:space="preserve">G.4.2. </w:t>
      </w:r>
      <w:r>
        <w:rPr>
          <w:b/>
          <w:bCs/>
        </w:rPr>
        <w:t>Tier two.</w:t>
      </w:r>
      <w:r>
        <w:rPr/>
        <w:t xml:space="preserve"> The coastal Party in whose corridor the event occurs responds with station assets, under dual-key notification, with joint team support from the Buffer stations.</w:t>
      </w:r>
    </w:p>
    <w:p>
      <w:pPr>
        <w:pStyle w:val="TextBody"/>
        <w:rPr/>
      </w:pPr>
      <w:r>
        <w:rPr/>
        <w:t xml:space="preserve">G.4.3. </w:t>
      </w:r>
      <w:r>
        <w:rPr>
          <w:b/>
          <w:bCs/>
        </w:rPr>
        <w:t>Tier three.</w:t>
      </w:r>
      <w:r>
        <w:rPr/>
        <w:t xml:space="preserve"> Full system response: all four stations, rotation vessels, and international assistance under the standing offers registered with the Center.</w:t>
      </w:r>
    </w:p>
    <w:p>
      <w:pPr>
        <w:pStyle w:val="TextBody"/>
        <w:rPr/>
      </w:pPr>
      <w:bookmarkStart w:id="453" w:name="g.4.-spill-response-tiers"/>
      <w:r>
        <w:rPr/>
        <w:t>G.4.4. Dispersant use requires dual-key authorization and immediate publication, given its ecological trade-offs.</w:t>
      </w:r>
      <w:bookmarkEnd w:id="453"/>
    </w:p>
    <w:p>
      <w:pPr>
        <w:pStyle w:val="Heading2"/>
        <w:rPr/>
      </w:pPr>
      <w:bookmarkStart w:id="454" w:name="__RefHeading___Toc8046_2907148441"/>
      <w:bookmarkStart w:id="455" w:name="g.5.-mine-risk-environmental-protocol"/>
      <w:bookmarkEnd w:id="454"/>
      <w:r>
        <w:rPr>
          <w:color w:val="2E4F6E"/>
        </w:rPr>
        <w:t>G.5. Mine-Risk Environmental Protocol</w:t>
      </w:r>
    </w:p>
    <w:p>
      <w:pPr>
        <w:pStyle w:val="FirstParagraph"/>
        <w:rPr/>
      </w:pPr>
      <w:r>
        <w:rPr/>
        <w:t>G.5.1. Mine neutralization at sea follows the environmental checklist: least-blast method preferred, exclusion zone for marine mammals during detonation windows, post-event water sampling at the nearest monitoring station.</w:t>
      </w:r>
    </w:p>
    <w:p>
      <w:pPr>
        <w:pStyle w:val="TextBody"/>
        <w:rPr/>
      </w:pPr>
      <w:bookmarkStart w:id="456" w:name="g.5.-mine-risk-environmental-protocol"/>
      <w:r>
        <w:rPr/>
        <w:t>G.5.2. The protocol’s results feed metric M-14.</w:t>
      </w:r>
      <w:bookmarkEnd w:id="456"/>
    </w:p>
    <w:p>
      <w:pPr>
        <w:pStyle w:val="Heading2"/>
        <w:rPr/>
      </w:pPr>
      <w:bookmarkStart w:id="457" w:name="__RefHeading___Toc8048_2907148441"/>
      <w:bookmarkStart w:id="458" w:name="g.6.-search-and-rescue-framework-details"/>
      <w:bookmarkEnd w:id="457"/>
      <w:r>
        <w:rPr>
          <w:color w:val="2E4F6E"/>
        </w:rPr>
        <w:t>G.6. Search and Rescue Framework Details</w:t>
      </w:r>
    </w:p>
    <w:p>
      <w:pPr>
        <w:pStyle w:val="FirstParagraph"/>
        <w:rPr/>
      </w:pPr>
      <w:r>
        <w:rPr/>
        <w:t xml:space="preserve">G.6.1. </w:t>
      </w:r>
      <w:r>
        <w:rPr>
          <w:b/>
          <w:bCs/>
        </w:rPr>
        <w:t>Readiness matrix.</w:t>
      </w:r>
      <w:r>
        <w:rPr/>
        <w:t xml:space="preserve"> Each coastal Party files its rescue units, their readiness state, and their response radii, updated daily. The matrix sits at the Center and drives automatic tasking.</w:t>
      </w:r>
    </w:p>
    <w:p>
      <w:pPr>
        <w:pStyle w:val="TextBody"/>
        <w:rPr/>
      </w:pPr>
      <w:r>
        <w:rPr/>
        <w:t xml:space="preserve">G.6.2. </w:t>
      </w:r>
      <w:r>
        <w:rPr>
          <w:b/>
          <w:bCs/>
        </w:rPr>
        <w:t>Tug and tow dispatch.</w:t>
      </w:r>
      <w:r>
        <w:rPr/>
        <w:t xml:space="preserve"> A shared list of tow-capable vessels, commercial and state, with contract terms pre-agreed at published rates, so a disabled tanker never waits for a negotiation.</w:t>
      </w:r>
    </w:p>
    <w:p>
      <w:pPr>
        <w:pStyle w:val="TextBody"/>
        <w:rPr/>
      </w:pPr>
      <w:r>
        <w:rPr/>
        <w:t xml:space="preserve">G.6.3. </w:t>
      </w:r>
      <w:r>
        <w:rPr>
          <w:b/>
          <w:bCs/>
        </w:rPr>
        <w:t>Micro-drills.</w:t>
      </w:r>
      <w:r>
        <w:rPr/>
        <w:t xml:space="preserve"> Fifteen-minute search and rescue micro-drills run weekly, rotating sectors, logged and published.</w:t>
      </w:r>
    </w:p>
    <w:p>
      <w:pPr>
        <w:pStyle w:val="TextBody"/>
        <w:rPr/>
      </w:pPr>
      <w:r>
        <w:rPr/>
        <w:t xml:space="preserve">G.6.4. </w:t>
      </w:r>
      <w:r>
        <w:rPr>
          <w:b/>
          <w:bCs/>
        </w:rPr>
        <w:t>Drift prediction.</w:t>
      </w:r>
      <w:r>
        <w:rPr/>
        <w:t xml:space="preserve"> The Center runs a drift-prediction model for disabled vessels, fed by the weather and current desk, updating every thirty minutes during any casualty.</w:t>
      </w:r>
      <w:bookmarkEnd w:id="458"/>
    </w:p>
    <w:p>
      <w:pPr>
        <w:pStyle w:val="Heading2"/>
        <w:rPr/>
      </w:pPr>
      <w:bookmarkStart w:id="459" w:name="__RefHeading___Toc8050_2907148441"/>
      <w:bookmarkStart w:id="460" w:name="g.7.-weather-fog-and-swell-thresholds"/>
      <w:bookmarkEnd w:id="459"/>
      <w:r>
        <w:rPr>
          <w:color w:val="2E4F6E"/>
        </w:rPr>
        <w:t>G.7. Weather, Fog, and Swell Thresholds</w:t>
      </w:r>
    </w:p>
    <w:p>
      <w:pPr>
        <w:pStyle w:val="FirstParagraph"/>
        <w:rPr/>
      </w:pPr>
      <w:r>
        <w:rPr/>
        <w:t>G.7.1. The joint meteorology desk operates at the Center, fusing both Coastal Parties’ weather services into one hourly product: visibility, wind, swell, and current for each corridor.</w:t>
      </w:r>
    </w:p>
    <w:p>
      <w:pPr>
        <w:pStyle w:val="TextBody"/>
        <w:rPr/>
      </w:pPr>
      <w:r>
        <w:rPr/>
        <w:t>G.7.2. Thresholds: visibility below one nautical mile activates the temporary slow-zone; swell above four meters activates heavy-weather routing through the deeper lane options; storm warnings activate the calm-sea window plan that sequences vulnerable vessels first.</w:t>
      </w:r>
    </w:p>
    <w:p>
      <w:pPr>
        <w:pStyle w:val="TextBody"/>
        <w:rPr/>
      </w:pPr>
      <w:r>
        <w:rPr/>
        <w:t>G.7.3. The desk issues one shared hazard bulletin daily, one joint hazard symbology set for all chart products, and immediate alerts for debris, drifting nets, and small-craft concentrations.</w:t>
      </w:r>
    </w:p>
    <w:p>
      <w:pPr>
        <w:pStyle w:val="Normal"/>
        <w:rPr/>
      </w:pPr>
      <w:bookmarkStart w:id="461" w:name="Xf71dc31a3909dac4dfebba19aa38ff9e1741274"/>
      <w:bookmarkStart w:id="462" w:name="g.7.-weather-fog-and-swell-threshold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rPr/>
      </w:pPr>
      <w:bookmarkStart w:id="463" w:name="__RefHeading___Toc8052_2907148441"/>
      <w:bookmarkStart w:id="464" w:name="X05c9a6037daee3c367d099638f26b3627197188"/>
      <w:bookmarkEnd w:id="463"/>
      <w:r>
        <w:rPr>
          <w:color w:val="1F3A5F"/>
        </w:rPr>
        <w:t>ANNEX H. GOVERNANCE, REPRESENTATION, AND DISPUTE RESOLUTION RULES</w:t>
      </w:r>
    </w:p>
    <w:p>
      <w:pPr>
        <w:pStyle w:val="Heading2"/>
        <w:rPr/>
      </w:pPr>
      <w:bookmarkStart w:id="465" w:name="__RefHeading___Toc8054_2907148441"/>
      <w:bookmarkStart w:id="466" w:name="h.1.-council-rules-of-procedure"/>
      <w:bookmarkEnd w:id="465"/>
      <w:r>
        <w:rPr>
          <w:color w:val="2E4F6E"/>
        </w:rPr>
        <w:t>H.1. Council Rules of Procedure</w:t>
      </w:r>
    </w:p>
    <w:p>
      <w:pPr>
        <w:pStyle w:val="FirstParagraph"/>
        <w:rPr/>
      </w:pPr>
      <w:r>
        <w:rPr/>
        <w:t>H.1.1. The Council adopts its agenda by consensus at each session. Any voting member adds an item with twenty-four hours notice.</w:t>
      </w:r>
    </w:p>
    <w:p>
      <w:pPr>
        <w:pStyle w:val="TextBody"/>
        <w:rPr/>
      </w:pPr>
      <w:r>
        <w:rPr/>
        <w:t>H.1.2. Quorum is both Coastal Parties plus a majority of Regional Signatories. The Council never decides protected matters (Section H.4) without both Coastal Parties present.</w:t>
      </w:r>
    </w:p>
    <w:p>
      <w:pPr>
        <w:pStyle w:val="TextBody"/>
        <w:rPr/>
      </w:pPr>
      <w:bookmarkStart w:id="467" w:name="h.1.-council-rules-of-procedure"/>
      <w:r>
        <w:rPr/>
        <w:t>H.1.3. Sessions publish a summary record within seventy-two hours; protected security detail records separately and circulates to Tier 1 and Tier 2 only.</w:t>
      </w:r>
      <w:bookmarkEnd w:id="467"/>
    </w:p>
    <w:p>
      <w:pPr>
        <w:pStyle w:val="Heading2"/>
        <w:rPr/>
      </w:pPr>
      <w:bookmarkStart w:id="468" w:name="__RefHeading___Toc8056_2907148441"/>
      <w:bookmarkStart w:id="469" w:name="h.2.-representation-and-equal-weight"/>
      <w:bookmarkEnd w:id="468"/>
      <w:r>
        <w:rPr>
          <w:color w:val="2E4F6E"/>
        </w:rPr>
        <w:t>H.2. Representation and Equal Weight</w:t>
      </w:r>
    </w:p>
    <w:p>
      <w:pPr>
        <w:pStyle w:val="FirstParagraph"/>
        <w:rPr/>
      </w:pPr>
      <w:r>
        <w:rPr/>
        <w:t>H.2.1. Each voting member holds equal procedural weight. Iran and Oman hold equal weight with each other and with every Regional Signatory, satisfying the equal-representation expectations of both Coastal Parties.</w:t>
      </w:r>
    </w:p>
    <w:p>
      <w:pPr>
        <w:pStyle w:val="TextBody"/>
        <w:rPr/>
      </w:pPr>
      <w:bookmarkStart w:id="470" w:name="h.2.-representation-and-equal-weight"/>
      <w:r>
        <w:rPr/>
        <w:t>H.2.2. The co-chair arrangement alternates the gavel; neither co-chair holds a veto over agenda or procedure, and both hold the consensus protection of Section H.4.</w:t>
      </w:r>
      <w:bookmarkEnd w:id="470"/>
    </w:p>
    <w:p>
      <w:pPr>
        <w:pStyle w:val="Heading2"/>
        <w:rPr/>
      </w:pPr>
      <w:bookmarkStart w:id="471" w:name="__RefHeading___Toc8058_2907148441"/>
      <w:bookmarkStart w:id="472" w:name="h.3.-observer-rights"/>
      <w:bookmarkEnd w:id="471"/>
      <w:r>
        <w:rPr>
          <w:color w:val="2E4F6E"/>
        </w:rPr>
        <w:t>H.3. Observer Rights</w:t>
      </w:r>
    </w:p>
    <w:p>
      <w:pPr>
        <w:pStyle w:val="FirstParagraph"/>
        <w:rPr/>
      </w:pPr>
      <w:r>
        <w:rPr/>
        <w:t>H.3.1. Observers, the Guaranteeing Participant, the European Union, the International Maritime Organization, and admitted accession observers, hold: speaking rights in Council; access to Tier 3 data; the right to file written positions that attach to the record; and the right to request a Stability Audit review, which the Directorate schedules within fourteen days.</w:t>
      </w:r>
    </w:p>
    <w:p>
      <w:pPr>
        <w:pStyle w:val="TextBody"/>
        <w:rPr/>
      </w:pPr>
      <w:bookmarkStart w:id="473" w:name="h.3.-observer-rights"/>
      <w:r>
        <w:rPr/>
        <w:t>H.3.2. United States naval liaison officers hold standing access to the deconfliction channels and the monitoring feeds, per Article 36 and the observer access expectations recorded in Annex K.</w:t>
      </w:r>
      <w:bookmarkEnd w:id="473"/>
    </w:p>
    <w:p>
      <w:pPr>
        <w:pStyle w:val="Heading2"/>
        <w:rPr/>
      </w:pPr>
      <w:bookmarkStart w:id="474" w:name="__RefHeading___Toc8060_2907148441"/>
      <w:bookmarkStart w:id="475" w:name="h.4.-protected-matters"/>
      <w:bookmarkEnd w:id="474"/>
      <w:r>
        <w:rPr>
          <w:color w:val="2E4F6E"/>
        </w:rPr>
        <w:t>H.4. Protected Matters</w:t>
      </w:r>
    </w:p>
    <w:p>
      <w:pPr>
        <w:pStyle w:val="FirstParagraph"/>
        <w:rPr/>
      </w:pPr>
      <w:r>
        <w:rPr/>
        <w:t>H.4.1. The following always require consensus: corridor modification; charge schedule changes; security function reallocation; amendment of this Annex; admission of acceding states; any change to the firewall of Part X.</w:t>
      </w:r>
    </w:p>
    <w:p>
      <w:pPr>
        <w:pStyle w:val="TextBody"/>
        <w:rPr/>
      </w:pPr>
      <w:bookmarkStart w:id="476" w:name="h.4.-protected-matters"/>
      <w:r>
        <w:rPr/>
        <w:t>H.4.2. Everything not listed decides by three-quarters vote after a genuine consensus attempt.</w:t>
      </w:r>
      <w:bookmarkEnd w:id="476"/>
    </w:p>
    <w:p>
      <w:pPr>
        <w:pStyle w:val="Heading2"/>
        <w:rPr/>
      </w:pPr>
      <w:bookmarkStart w:id="477" w:name="__RefHeading___Toc8062_2907148441"/>
      <w:bookmarkStart w:id="478" w:name="X28a3c743f1625be07635c14f1eff05b66112b39"/>
      <w:bookmarkEnd w:id="477"/>
      <w:r>
        <w:rPr>
          <w:color w:val="2E4F6E"/>
        </w:rPr>
        <w:t>H.5. The Secretariat: Staffing and Cost Discipline</w:t>
      </w:r>
    </w:p>
    <w:p>
      <w:pPr>
        <w:pStyle w:val="FirstParagraph"/>
        <w:rPr/>
      </w:pPr>
      <w:r>
        <w:rPr/>
        <w:t>H.5.1. The Secretariat staffs lean: a core establishment table publishes annually, and staffing grows only with workload evidence, never ahead of it.</w:t>
      </w:r>
    </w:p>
    <w:p>
      <w:pPr>
        <w:pStyle w:val="TextBody"/>
        <w:rPr/>
      </w:pPr>
      <w:r>
        <w:rPr/>
        <w:t>H.5.2. Secondment fills technical posts first: the Coastal Parties and Regional Signatories second officers to the Center, the Directorate, and the environmental teams, building shared institutional muscle memory at the lowest cost.</w:t>
      </w:r>
    </w:p>
    <w:p>
      <w:pPr>
        <w:pStyle w:val="TextBody"/>
        <w:rPr/>
      </w:pPr>
      <w:bookmarkStart w:id="479" w:name="X28a3c743f1625be07635c14f1eff05b66112b39"/>
      <w:r>
        <w:rPr/>
        <w:t>H.5.3. Every procurement above the published threshold follows open competition, and awards publish.</w:t>
      </w:r>
      <w:bookmarkEnd w:id="479"/>
    </w:p>
    <w:p>
      <w:pPr>
        <w:pStyle w:val="Heading2"/>
        <w:rPr/>
      </w:pPr>
      <w:bookmarkStart w:id="480" w:name="__RefHeading___Toc8064_2907148441"/>
      <w:bookmarkStart w:id="481" w:name="X73a414ecab971ed78f636ff000a27c958f31456"/>
      <w:bookmarkEnd w:id="480"/>
      <w:r>
        <w:rPr>
          <w:color w:val="2E4F6E"/>
        </w:rPr>
        <w:t>H.6. The Neutral Arbitration Panel: Operating Rules</w:t>
      </w:r>
    </w:p>
    <w:p>
      <w:pPr>
        <w:pStyle w:val="FirstParagraph"/>
        <w:rPr/>
      </w:pPr>
      <w:r>
        <w:rPr/>
        <w:t>H.6.1. The panel roster holds twelve names, maintained by the Depositary, drawn from maritime law, arbitration, and shipping practice, with no more than two nationals of any one state.</w:t>
      </w:r>
    </w:p>
    <w:p>
      <w:pPr>
        <w:pStyle w:val="TextBody"/>
        <w:rPr/>
      </w:pPr>
      <w:r>
        <w:rPr/>
        <w:t>H.6.2. Cases file at the panel registry in Muscat, acknowledge within seven days, hear within thirty, and decide within forty-five, matching Band Two’s clock.</w:t>
      </w:r>
    </w:p>
    <w:p>
      <w:pPr>
        <w:pStyle w:val="TextBody"/>
        <w:rPr/>
      </w:pPr>
      <w:bookmarkStart w:id="482" w:name="X73a414ecab971ed78f636ff000a27c958f31456"/>
      <w:r>
        <w:rPr/>
        <w:t>H.6.3. The panel’s fees follow a published schedule paid from the Operating Account for inter-party cases, and by the claimant for commercial cases, with fee relief for small claimants.</w:t>
      </w:r>
      <w:bookmarkEnd w:id="482"/>
    </w:p>
    <w:p>
      <w:pPr>
        <w:pStyle w:val="Heading2"/>
        <w:rPr/>
      </w:pPr>
      <w:bookmarkStart w:id="483" w:name="__RefHeading___Toc8066_2907148441"/>
      <w:bookmarkStart w:id="484" w:name="h.7.-review-cycles"/>
      <w:bookmarkEnd w:id="483"/>
      <w:r>
        <w:rPr>
          <w:color w:val="2E4F6E"/>
        </w:rPr>
        <w:t>H.7. Review Cycles</w:t>
      </w:r>
    </w:p>
    <w:p>
      <w:pPr>
        <w:pStyle w:val="FirstParagraph"/>
        <w:rPr/>
      </w:pPr>
      <w:r>
        <w:rPr/>
        <w:t>H.7.1. Quarterly reviews during year one cover: metric trends, budget execution, annex adjustments, and any pause or scale-back requests under Article 24.3.</w:t>
      </w:r>
    </w:p>
    <w:p>
      <w:pPr>
        <w:pStyle w:val="TextBody"/>
        <w:rPr/>
      </w:pPr>
      <w:bookmarkStart w:id="485" w:name="h.7.-review-cycles"/>
      <w:r>
        <w:rPr/>
        <w:t>H.7.2. Annual reviews thereafter add: the five-year outlook, the technology refresh plan, and the accession pipeline.</w:t>
      </w:r>
      <w:bookmarkEnd w:id="485"/>
    </w:p>
    <w:p>
      <w:pPr>
        <w:pStyle w:val="Heading2"/>
        <w:rPr/>
      </w:pPr>
      <w:bookmarkStart w:id="486" w:name="__RefHeading___Toc8068_2907148441"/>
      <w:bookmarkStart w:id="487" w:name="h.8.-media-program-rules"/>
      <w:bookmarkEnd w:id="486"/>
      <w:r>
        <w:rPr>
          <w:color w:val="2E4F6E"/>
        </w:rPr>
        <w:t>H.8. Media Program Rules</w:t>
      </w:r>
    </w:p>
    <w:p>
      <w:pPr>
        <w:pStyle w:val="FirstParagraph"/>
        <w:rPr/>
      </w:pPr>
      <w:r>
        <w:rPr/>
        <w:t>H.8.1. Accredited correspondents attend scheduled Center briefings, receive the Bulletin under embargo thirty minutes early, and join corridor observation visits under escort.</w:t>
      </w:r>
    </w:p>
    <w:p>
      <w:pPr>
        <w:pStyle w:val="TextBody"/>
        <w:rPr/>
      </w:pPr>
      <w:r>
        <w:rPr/>
        <w:t>H.8.2. Operational detail that endangers any vessel stays off the record; everything else publishes.</w:t>
      </w:r>
    </w:p>
    <w:p>
      <w:pPr>
        <w:pStyle w:val="Normal"/>
        <w:rPr/>
      </w:pPr>
      <w:bookmarkStart w:id="488" w:name="X05c9a6037daee3c367d099638f26b3627197188"/>
      <w:bookmarkStart w:id="489" w:name="h.8.-media-program-rules"/>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r>
        <w:br w:type="page"/>
      </w:r>
    </w:p>
    <w:p>
      <w:pPr>
        <w:pStyle w:val="Heading1"/>
        <w:rPr/>
      </w:pPr>
      <w:bookmarkStart w:id="490" w:name="__RefHeading___Toc8070_2907148441"/>
      <w:bookmarkStart w:id="491" w:name="Xf99149d054fad4e10adeacd0fdda64fb90c8678"/>
      <w:bookmarkEnd w:id="490"/>
      <w:r>
        <w:rPr>
          <w:color w:val="1F3A5F"/>
        </w:rPr>
        <w:t>ANNEX I. GRADUATED LAYER MICROPILOT CATALOGUE</w:t>
      </w:r>
    </w:p>
    <w:p>
      <w:pPr>
        <w:pStyle w:val="Heading2"/>
        <w:rPr/>
      </w:pPr>
      <w:bookmarkStart w:id="492" w:name="__RefHeading___Toc8072_2907148441"/>
      <w:bookmarkStart w:id="493" w:name="i.1.-purpose-and-method"/>
      <w:bookmarkEnd w:id="492"/>
      <w:r>
        <w:rPr>
          <w:color w:val="2E4F6E"/>
        </w:rPr>
        <w:t>I.1. Purpose and Method</w:t>
      </w:r>
    </w:p>
    <w:p>
      <w:pPr>
        <w:pStyle w:val="FirstParagraph"/>
        <w:rPr/>
      </w:pPr>
      <w:r>
        <w:rPr/>
        <w:t>I.1.1. Micropilots are the smallest units of cooperation: tiny, reversible, low-stakes actions that create facts on the water. The catalogue below groups fifty micropilots into five sets of ten, activating in order from Layer 1 onward. Each micropilot carries an owner, a clock, and a metric.</w:t>
      </w:r>
    </w:p>
    <w:p>
      <w:pPr>
        <w:pStyle w:val="TextBody"/>
        <w:rPr/>
      </w:pPr>
      <w:bookmarkStart w:id="494" w:name="i.1.-purpose-and-method"/>
      <w:r>
        <w:rPr/>
        <w:t>I.1.2. Micropilots never touch sovereignty, never cost much, and never run more than one audit cycle without a keep-adjust-retire decision recorded in the Council. The catalogue exists so that cooperation compounds from small proofs rather than leaping from large promises.</w:t>
      </w:r>
      <w:bookmarkEnd w:id="494"/>
    </w:p>
    <w:p>
      <w:pPr>
        <w:pStyle w:val="Heading2"/>
        <w:rPr/>
      </w:pPr>
      <w:bookmarkStart w:id="495" w:name="__RefHeading___Toc8074_2907148441"/>
      <w:bookmarkStart w:id="496" w:name="Xb2be6e323a88273bab21f5be628b03c7fb12a5e"/>
      <w:bookmarkEnd w:id="495"/>
      <w:r>
        <w:rPr>
          <w:color w:val="2E4F6E"/>
        </w:rPr>
        <w:t>I.2. Set One: Visibility and Predictability (Activates Day 5)</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Micropilot</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AIS snapshot exchange, ten vessels per day each side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Exchange completed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Visibility-only feed, fog alerts shared</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Alerts shared within 15 minutes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weather exchange, hourly visibility and wind for one zone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24 products per day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tide table, harmonized predictions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table, both coasts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Swell-risk micro-map for one corridor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Map live, updated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hazard bulletin, one daily summary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Published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storm threshold agreement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Single threshold table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meteorology desk, two officers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 desk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Desk staffed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9</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hazard symbols for all warnings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symbol set</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10</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traffic forecast, one corridor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bookmarkStart w:id="497" w:name="Xb2be6e323a88273bab21f5be628b03c7fb12a5e"/>
            <w:r>
              <w:rPr>
                <w:rFonts w:eastAsia="Cambria" w:cs=""/>
                <w:kern w:val="0"/>
                <w:szCs w:val="24"/>
                <w:lang w:val="en-US" w:eastAsia="en-US" w:bidi="ar-SA"/>
              </w:rPr>
              <w:t>Forecast published daily</w:t>
            </w:r>
            <w:bookmarkEnd w:id="497"/>
          </w:p>
        </w:tc>
      </w:tr>
    </w:tbl>
    <w:p>
      <w:pPr>
        <w:pStyle w:val="Heading2"/>
        <w:rPr/>
      </w:pPr>
      <w:bookmarkStart w:id="498" w:name="__RefHeading___Toc8076_2907148441"/>
      <w:bookmarkEnd w:id="498"/>
      <w:r>
        <w:rPr>
          <w:color w:val="2E4F6E"/>
        </w:rPr>
        <w:t>I.3. Set Two: Micro-Routing and Movement Safety (Activates Day 12)</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Micropilot</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Single-corridor stability test, six-hour window</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Window stability report</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 mirror test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Mirror report</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Temporary slow-zone drill</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Drill completed, logged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anchorage zone, one jointly acknowledged anchorage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Oman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Zone opens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anchoring advisory, non-binding guidance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Advisory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navigation cues, harmonized light signals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Cue table published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calm-sea window plan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Plan published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Harbor-exit timing, aligned departure windows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Windows aligned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19</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Pilot-boat coordination, two hours per day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Schedule shared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20</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Harbor pilot rotation alignment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Roster shared</w:t>
            </w:r>
          </w:p>
        </w:tc>
      </w:tr>
    </w:tbl>
    <w:p>
      <w:pPr>
        <w:pStyle w:val="Heading2"/>
        <w:rPr/>
      </w:pPr>
      <w:bookmarkStart w:id="499" w:name="__RefHeading___Toc8078_2907148441"/>
      <w:bookmarkEnd w:id="499"/>
      <w:r>
        <w:rPr>
          <w:color w:val="2E4F6E"/>
        </w:rPr>
        <w:t>I.4. Set Three: Micro-Alerts and Incident Reduction (Activates Day 19)</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Micropilot</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Dual-ping mechanical failure alerts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Alerts acknowledged in 5 minutes</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Mechanical failure registry, non-security breakdowns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Registry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Engine-restart alerts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Template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Anchor-drift alerts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Template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Fuel-leak notifications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Template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hazmat alert, non-security releases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Template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debris alert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Template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AIS blackout log, no attribution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Log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29</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Small-craft advisory, fishing boats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Advisory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Fishing-net drift map</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Map live</w:t>
            </w:r>
          </w:p>
        </w:tc>
      </w:tr>
    </w:tbl>
    <w:p>
      <w:pPr>
        <w:pStyle w:val="Heading2"/>
        <w:rPr/>
      </w:pPr>
      <w:bookmarkStart w:id="500" w:name="__RefHeading___Toc8080_2907148441"/>
      <w:bookmarkEnd w:id="500"/>
      <w:r>
        <w:rPr>
          <w:color w:val="2E4F6E"/>
        </w:rPr>
        <w:t>I.5. Set Four: Micro-Response and Repair Coordination (Activates Day 26)</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Micropilot</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Emergency tow readiness list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SAR framework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List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tug dispatch drill</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SAR framework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Drill logged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SAR coordination, readiness status shared</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SAR framework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Status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SAR drill, fifteen minutes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SAR framework</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Weekly drill</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repair-ship list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List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repair-crew roster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Roster shared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repair-dock timing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Windows aligned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repair coordination, one vessel per day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Coastal ports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Log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39</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drift prediction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Model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40</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collision review, joint near-miss review</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Reviews published</w:t>
            </w:r>
          </w:p>
        </w:tc>
      </w:tr>
    </w:tbl>
    <w:p>
      <w:pPr>
        <w:pStyle w:val="Heading2"/>
        <w:rPr/>
      </w:pPr>
      <w:bookmarkStart w:id="501" w:name="__RefHeading___Toc8082_2907148441"/>
      <w:bookmarkEnd w:id="501"/>
      <w:r>
        <w:rPr>
          <w:color w:val="2E4F6E"/>
        </w:rPr>
        <w:t>I.6. Set Five: Micro-Governance and Simulation (Activates Day 33)</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Micropilot</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Owner</w:t>
            </w:r>
          </w:p>
        </w:tc>
        <w:tc>
          <w:tcPr>
            <w:tcW w:w="234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Metric</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41</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logbook cell, four officers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Cell staffed daily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42</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training exchange, two officers each side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Secretariat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Exchange completed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43</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Radio channel harmonization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One channel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44</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fog-horn protocol</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Protocol published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45</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vessel-intent form, non-binding</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Form live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46</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fee simulation, parallel accounting, no money moves</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Simulation report</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47</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oversight cell, two officers per Coastal Party</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Cell meets weekly</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48</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Micro governance review cycle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Secretariat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First cycle complete</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49</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Pilot-compatibility audit</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Directorate</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Audit published</w:t>
            </w:r>
          </w:p>
        </w:tc>
      </w:tr>
      <w:tr>
        <w:trPr/>
        <w:tc>
          <w:tcPr>
            <w:tcW w:w="233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50</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Corridor-expansion simulation</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Center</w:t>
            </w:r>
          </w:p>
        </w:tc>
        <w:tc>
          <w:tcPr>
            <w:tcW w:w="234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Simulation report</w:t>
            </w:r>
          </w:p>
        </w:tc>
      </w:tr>
    </w:tbl>
    <w:p>
      <w:pPr>
        <w:pStyle w:val="Heading2"/>
        <w:rPr/>
      </w:pPr>
      <w:bookmarkStart w:id="502" w:name="__RefHeading___Toc8084_2907148441"/>
      <w:bookmarkEnd w:id="502"/>
      <w:r>
        <w:rPr>
          <w:color w:val="2E4F6E"/>
        </w:rPr>
        <w:t>I.7. Graduation Rules</w:t>
      </w:r>
    </w:p>
    <w:p>
      <w:pPr>
        <w:pStyle w:val="FirstParagraph"/>
        <w:rPr/>
      </w:pPr>
      <w:r>
        <w:rPr/>
        <w:t>I.7.1. A micropilot that passes two consecutive audit cycles graduates into the standing procedures of the relevant annex, and the Council records the graduation.</w:t>
      </w:r>
    </w:p>
    <w:p>
      <w:pPr>
        <w:pStyle w:val="TextBody"/>
        <w:rPr/>
      </w:pPr>
      <w:r>
        <w:rPr/>
        <w:t>I.7.2. A micropilot that fails retires without consequence, and the record states the lesson. Failure inside the catalogue costs nothing and teaches everything.</w:t>
      </w:r>
    </w:p>
    <w:p>
      <w:pPr>
        <w:pStyle w:val="TextBody"/>
        <w:rPr/>
      </w:pPr>
      <w:r>
        <w:rPr/>
        <w:t>I.7.3. New micropilots enter the catalogue by Council resolution, keeping the system inventive without making it unstable.</w:t>
      </w:r>
    </w:p>
    <w:p>
      <w:pPr>
        <w:pStyle w:val="Normal"/>
        <w:rPr/>
      </w:pPr>
      <w:bookmarkStart w:id="503" w:name="Xf99149d054fad4e10adeacd0fdda64fb90c8678"/>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3"/>
      <w:r>
        <w:br w:type="page"/>
      </w:r>
    </w:p>
    <w:p>
      <w:pPr>
        <w:pStyle w:val="Heading1"/>
        <w:rPr/>
      </w:pPr>
      <w:bookmarkStart w:id="504" w:name="__RefHeading___Toc8086_2907148441"/>
      <w:bookmarkStart w:id="505" w:name="X0fba99fc061909141a6638dfb86978f1172e47d"/>
      <w:bookmarkEnd w:id="504"/>
      <w:r>
        <w:rPr>
          <w:color w:val="1F3A5F"/>
        </w:rPr>
        <w:t>ANNEX J. INSURANCE POOL AND ECONOMIC CONTINUITY INSTRUMENTS</w:t>
      </w:r>
    </w:p>
    <w:p>
      <w:pPr>
        <w:pStyle w:val="Heading2"/>
        <w:rPr/>
      </w:pPr>
      <w:bookmarkStart w:id="506" w:name="__RefHeading___Toc8088_2907148441"/>
      <w:bookmarkStart w:id="507" w:name="j.1.-the-hormuz-insurance-pool"/>
      <w:bookmarkEnd w:id="506"/>
      <w:r>
        <w:rPr>
          <w:color w:val="2E4F6E"/>
        </w:rPr>
        <w:t>J.1. The Hormuz Insurance Pool</w:t>
      </w:r>
    </w:p>
    <w:p>
      <w:pPr>
        <w:pStyle w:val="FirstParagraph"/>
        <w:rPr/>
      </w:pPr>
      <w:r>
        <w:rPr/>
        <w:t>J.1.1. The Hormuz Insurance Pool, hereafter the Pool, guarantees war-risk and related coverage for the Treaty area, so insurance never again becomes the practical closure of the Strait.</w:t>
      </w:r>
    </w:p>
    <w:p>
      <w:pPr>
        <w:pStyle w:val="TextBody"/>
        <w:rPr/>
      </w:pPr>
      <w:r>
        <w:rPr/>
        <w:t xml:space="preserve">J.1.2. </w:t>
      </w:r>
      <w:r>
        <w:rPr>
          <w:b/>
          <w:bCs/>
        </w:rPr>
        <w:t>Capitalization.</w:t>
      </w:r>
      <w:r>
        <w:rPr/>
        <w:t xml:space="preserve"> The Pool capitalizes at three billion United States dollars, subscribed by: the Sovereign Corridor Fund; the gateway ports; reinsurance market participants; and contributing states under the Annex D, Section D.6, formula. Provisional coverage begins Day 2 at five hundred million dollars per incident, rising to the full one billion dollars per incident at full capitalization during Layer 2.</w:t>
      </w:r>
    </w:p>
    <w:p>
      <w:pPr>
        <w:pStyle w:val="TextBody"/>
        <w:rPr/>
      </w:pPr>
      <w:r>
        <w:rPr/>
        <w:t xml:space="preserve">J.1.3. </w:t>
      </w:r>
      <w:r>
        <w:rPr>
          <w:b/>
          <w:bCs/>
        </w:rPr>
        <w:t>Coverage.</w:t>
      </w:r>
      <w:r>
        <w:rPr/>
        <w:t xml:space="preserve"> The Pool covers: military action; piracy; terrorism; accidental collision involving system failures; and environmental damage arising from covered events.</w:t>
      </w:r>
    </w:p>
    <w:p>
      <w:pPr>
        <w:pStyle w:val="TextBody"/>
        <w:rPr/>
      </w:pPr>
      <w:r>
        <w:rPr/>
        <w:t xml:space="preserve">J.1.4. </w:t>
      </w:r>
      <w:r>
        <w:rPr>
          <w:b/>
          <w:bCs/>
        </w:rPr>
        <w:t>Premiums.</w:t>
      </w:r>
      <w:r>
        <w:rPr/>
        <w:t xml:space="preserve"> Premiums scale by corridor risk tier, cargo class, and vessel compliance record. The Pool’s rates publish daily. A vessel with a clean system record pays less; the system prices good behavior, not flags.</w:t>
      </w:r>
    </w:p>
    <w:p>
      <w:pPr>
        <w:pStyle w:val="TextBody"/>
        <w:rPr/>
      </w:pPr>
      <w:r>
        <w:rPr/>
        <w:t xml:space="preserve">J.1.5. </w:t>
      </w:r>
      <w:r>
        <w:rPr>
          <w:b/>
          <w:bCs/>
        </w:rPr>
        <w:t>Administration.</w:t>
      </w:r>
      <w:r>
        <w:rPr/>
        <w:t xml:space="preserve"> A professional Pool administrator, selected by open competition, runs underwriting and claims. The Council’s Economic Committee supervises. The independent auditor audits the Pool on the same quarterly cycle as the escrow.</w:t>
      </w:r>
    </w:p>
    <w:p>
      <w:pPr>
        <w:pStyle w:val="TextBody"/>
        <w:rPr/>
      </w:pPr>
      <w:r>
        <w:rPr/>
        <w:t xml:space="preserve">J.1.6. </w:t>
      </w:r>
      <w:r>
        <w:rPr>
          <w:b/>
          <w:bCs/>
        </w:rPr>
        <w:t>Investment returns.</w:t>
      </w:r>
      <w:r>
        <w:rPr/>
        <w:t xml:space="preserve"> Pool reserves invest conservatively under a published mandate, and returns flow first to premium stabilization, then to the corridor operating share under Article 47.2.</w:t>
      </w:r>
      <w:bookmarkEnd w:id="507"/>
    </w:p>
    <w:p>
      <w:pPr>
        <w:pStyle w:val="Heading2"/>
        <w:rPr/>
      </w:pPr>
      <w:bookmarkStart w:id="508" w:name="__RefHeading___Toc8090_2907148441"/>
      <w:bookmarkStart w:id="509" w:name="X26834efe12d3d99498325ee4139a965ce48d89a"/>
      <w:bookmarkEnd w:id="508"/>
      <w:r>
        <w:rPr>
          <w:color w:val="2E4F6E"/>
        </w:rPr>
        <w:t>J.2. Relationship with the Commercial Market</w:t>
      </w:r>
    </w:p>
    <w:p>
      <w:pPr>
        <w:pStyle w:val="FirstParagraph"/>
        <w:rPr/>
      </w:pPr>
      <w:r>
        <w:rPr/>
        <w:t>J.2.1. The Pool complements the commercial war-risk market: it writes the layer the market abandons during crisis, and it cedes back to the market as premiums normalize.</w:t>
      </w:r>
    </w:p>
    <w:p>
      <w:pPr>
        <w:pStyle w:val="TextBody"/>
        <w:rPr/>
      </w:pPr>
      <w:bookmarkStart w:id="510" w:name="X26834efe12d3d99498325ee4139a965ce48d89a"/>
      <w:r>
        <w:rPr/>
        <w:t>J.2.2. The Advisory Panel’s daily risk-tier assessment drives the Pool’s posture: tier green, Pool in standby; tier amber, Pool writing supplementary cover; tier red, Pool writing primary cover so traffic never stops for want of insurance.</w:t>
      </w:r>
      <w:bookmarkEnd w:id="510"/>
    </w:p>
    <w:p>
      <w:pPr>
        <w:pStyle w:val="Heading2"/>
        <w:rPr/>
      </w:pPr>
      <w:bookmarkStart w:id="511" w:name="__RefHeading___Toc8092_2907148441"/>
      <w:bookmarkStart w:id="512" w:name="j.3.-the-trade-continuity-guarantee"/>
      <w:bookmarkEnd w:id="511"/>
      <w:r>
        <w:rPr>
          <w:color w:val="2E4F6E"/>
        </w:rPr>
        <w:t>J.3. The Trade Continuity Guarantee</w:t>
      </w:r>
    </w:p>
    <w:p>
      <w:pPr>
        <w:pStyle w:val="FirstParagraph"/>
        <w:rPr/>
      </w:pPr>
      <w:r>
        <w:rPr/>
        <w:t>J.3.1. Where any Party’s maritime trade through the Strait drops by ten percent or more, measured over fourteen days against the trailing ninety-day baseline, and the cause lies outside that Party’s own verified breach, the Guarantee activates automatically.</w:t>
      </w:r>
    </w:p>
    <w:p>
      <w:pPr>
        <w:pStyle w:val="TextBody"/>
        <w:rPr/>
      </w:pPr>
      <w:r>
        <w:rPr/>
        <w:t>J.3.2. The Guarantee delivers: premium relief from the Pool; convoy priority through the Center; and a Council review of the cause within seven days, with remedies recorded.</w:t>
      </w:r>
    </w:p>
    <w:p>
      <w:pPr>
        <w:pStyle w:val="TextBody"/>
        <w:rPr/>
      </w:pPr>
      <w:bookmarkStart w:id="513" w:name="j.3.-the-trade-continuity-guarantee"/>
      <w:r>
        <w:rPr/>
        <w:t>J.3.3. The Guarantee exists because trade shocks in the Strait punish the innocent first. The architecture protects the bystander.</w:t>
      </w:r>
      <w:bookmarkEnd w:id="513"/>
    </w:p>
    <w:p>
      <w:pPr>
        <w:pStyle w:val="Heading2"/>
        <w:rPr/>
      </w:pPr>
      <w:bookmarkStart w:id="514" w:name="__RefHeading___Toc8094_2907148441"/>
      <w:bookmarkStart w:id="515" w:name="j.4.-the-stability-dividend-program"/>
      <w:bookmarkEnd w:id="514"/>
      <w:r>
        <w:rPr>
          <w:color w:val="2E4F6E"/>
        </w:rPr>
        <w:t>J.4. The Stability Dividend Program</w:t>
      </w:r>
    </w:p>
    <w:p>
      <w:pPr>
        <w:pStyle w:val="FirstParagraph"/>
        <w:rPr/>
      </w:pPr>
      <w:r>
        <w:rPr/>
        <w:t>J.4.1. Once the reserve fund reaches its twelve-month target, the Stability Dividend distributes surplus through three published windows: carrier rebates for compliant operators; port safety and efficiency grants, including Bandar Abbas modernization projects selected by the Economic Committee; and environmental program funding under Part XI.</w:t>
      </w:r>
    </w:p>
    <w:p>
      <w:pPr>
        <w:pStyle w:val="TextBody"/>
        <w:rPr/>
      </w:pPr>
      <w:bookmarkStart w:id="516" w:name="j.4.-the-stability-dividend-program"/>
      <w:r>
        <w:rPr/>
        <w:t>J.4.2. The Dividend gives every stakeholder, including Iran and its ports, a lawful, audited, sanctions-clean economic return on stability, generated by the system’s own operations. This is the system’s economic carrot, and it ruffles no feathers because it comes from efficiency, not from any state’s treasury or any sanctions decision.</w:t>
      </w:r>
      <w:bookmarkEnd w:id="516"/>
    </w:p>
    <w:p>
      <w:pPr>
        <w:pStyle w:val="Heading2"/>
        <w:rPr/>
      </w:pPr>
      <w:bookmarkStart w:id="517" w:name="__RefHeading___Toc8096_2907148441"/>
      <w:bookmarkStart w:id="518" w:name="j.5.-cost-effectiveness-commitments"/>
      <w:bookmarkEnd w:id="517"/>
      <w:r>
        <w:rPr>
          <w:color w:val="2E4F6E"/>
        </w:rPr>
        <w:t>J.5. Cost-Effectiveness Commitments</w:t>
      </w:r>
    </w:p>
    <w:p>
      <w:pPr>
        <w:pStyle w:val="FirstParagraph"/>
        <w:rPr/>
      </w:pPr>
      <w:r>
        <w:rPr/>
        <w:t>J.5.1. The Authority commits to: shared infrastructure before new builds; secondment before hiring; open competition before negotiation; and publication of every cost.</w:t>
      </w:r>
    </w:p>
    <w:p>
      <w:pPr>
        <w:pStyle w:val="TextBody"/>
        <w:rPr/>
      </w:pPr>
      <w:bookmarkStart w:id="519" w:name="j.5.-cost-effectiveness-commitments"/>
      <w:r>
        <w:rPr/>
        <w:t>J.5.2. An annual value-for-money review by the independent auditor reports the system’s cost per transit, benchmarked against comparable international straits, and the Council acts on its recommendations.</w:t>
      </w:r>
      <w:bookmarkEnd w:id="519"/>
    </w:p>
    <w:p>
      <w:pPr>
        <w:pStyle w:val="Heading2"/>
        <w:rPr/>
      </w:pPr>
      <w:bookmarkStart w:id="520" w:name="__RefHeading___Toc8098_2907148441"/>
      <w:bookmarkStart w:id="521" w:name="X51733e17163b2946d3d20dd54c7f761630b9177"/>
      <w:bookmarkEnd w:id="520"/>
      <w:r>
        <w:rPr>
          <w:color w:val="2E4F6E"/>
        </w:rPr>
        <w:t>J.6. Insurance Data and Actuarial Transparency</w:t>
      </w:r>
    </w:p>
    <w:p>
      <w:pPr>
        <w:pStyle w:val="FirstParagraph"/>
        <w:rPr/>
      </w:pPr>
      <w:r>
        <w:rPr/>
        <w:t>J.6.1. The incident database feeds the Pool and the market with actuarial-grade data: every incident, every near miss, every metric, published in structured form.</w:t>
      </w:r>
    </w:p>
    <w:p>
      <w:pPr>
        <w:pStyle w:val="TextBody"/>
        <w:rPr/>
      </w:pPr>
      <w:r>
        <w:rPr/>
        <w:t>J.6.2. Predictability is the product. Insurers price what they see, and this system shows everything.</w:t>
      </w:r>
    </w:p>
    <w:p>
      <w:pPr>
        <w:pStyle w:val="Normal"/>
        <w:rPr/>
      </w:pPr>
      <w:bookmarkStart w:id="522" w:name="X0fba99fc061909141a6638dfb86978f1172e47d"/>
      <w:bookmarkStart w:id="523" w:name="X51733e17163b2946d3d20dd54c7f761630b9177"/>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r>
        <w:br w:type="page"/>
      </w:r>
    </w:p>
    <w:p>
      <w:pPr>
        <w:pStyle w:val="Heading1"/>
        <w:rPr/>
      </w:pPr>
      <w:bookmarkStart w:id="524" w:name="__RefHeading___Toc8100_2907148441"/>
      <w:bookmarkStart w:id="525" w:name="annex-k.-positions-alignment-matrix"/>
      <w:bookmarkEnd w:id="524"/>
      <w:r>
        <w:rPr>
          <w:color w:val="1F3A5F"/>
        </w:rPr>
        <w:t>ANNEX K. POSITIONS ALIGNMENT MATRIX</w:t>
      </w:r>
    </w:p>
    <w:p>
      <w:pPr>
        <w:pStyle w:val="Heading2"/>
        <w:rPr/>
      </w:pPr>
      <w:bookmarkStart w:id="526" w:name="__RefHeading___Toc8102_2907148441"/>
      <w:bookmarkStart w:id="527" w:name="k.1.-purpose"/>
      <w:bookmarkEnd w:id="526"/>
      <w:r>
        <w:rPr>
          <w:color w:val="2E4F6E"/>
        </w:rPr>
        <w:t>K.1. Purpose</w:t>
      </w:r>
    </w:p>
    <w:p>
      <w:pPr>
        <w:pStyle w:val="FirstParagraph"/>
        <w:rPr/>
      </w:pPr>
      <w:bookmarkStart w:id="528" w:name="k.1.-purpose"/>
      <w:r>
        <w:rPr/>
        <w:t>K.1.1. This Annex demonstrates that the Treaty answers the stated, non-threat positions of every negotiating bloc. Each row states a position as recorded in the pre-signature process and names the Treaty provisions that answer it. The matrix exists for parliaments, cabinets, and publics: every Party finds its asks here, and finds them answered without another Party’s loss.</w:t>
      </w:r>
      <w:bookmarkEnd w:id="528"/>
    </w:p>
    <w:p>
      <w:pPr>
        <w:pStyle w:val="Heading2"/>
        <w:rPr/>
      </w:pPr>
      <w:bookmarkStart w:id="529" w:name="__RefHeading___Toc8104_2907148441"/>
      <w:bookmarkStart w:id="530" w:name="k.2.-guaranteeing-participant-positions"/>
      <w:bookmarkEnd w:id="529"/>
      <w:r>
        <w:rPr>
          <w:color w:val="2E4F6E"/>
        </w:rPr>
        <w:t>K.2. Guaranteeing Participant Positions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Position</w:t>
            </w:r>
          </w:p>
        </w:tc>
        <w:tc>
          <w:tcPr>
            <w:tcW w:w="46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Answer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Iranian unilateral control of the Strait</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31, 34; Annex E: function allocation and dual-key keys on every coercive action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Multilateral oversight of governance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26-29: Council with all Parties seated, observers, Advisory Panel</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Full publication of corridor coordinates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5.3, 10; Annex A: Day 5 IMO registration, public chart products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security functions, not sovereign claims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31: security by function allocation, no cell names a sovereign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Guaranteed freedom of navigation, commercial and military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11, 14: free transit, Military Transit Window on notification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Sanctions-compatible fee system</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44, 48; Annex D: zero tolls, service charges, segregated clearing</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Transparent fee auditing</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46, 48.4; Annex D.4.5: quarterly independent audit, published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Neutral dispute resolution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63-66; Annex H.6: five-member neutral panel, Oman-hosted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radar and AIS picture with United States access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27.4, 39; Annex C.3: Tier 3 observer feed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corridor changes without multilateral approval</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10; Annex A.7: consensus procedure, IMO registration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International registration of the treaty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17.6, 82; UN registration, IMO deposit</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compliance standards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Part XI; Annex G: monitoring, audits, spill tiers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Incident-reporting transparency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43; Annex C.7: timed public logging</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Observer access for United States naval forces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27.4, 36.6; Annex H.3.2: standing naval liaison access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recognition of sovereign tolls</w:t>
            </w:r>
          </w:p>
        </w:tc>
        <w:tc>
          <w:tcPr>
            <w:tcW w:w="4680" w:type="dxa"/>
            <w:tcBorders/>
          </w:tcPr>
          <w:p>
            <w:pPr>
              <w:pStyle w:val="Compact"/>
              <w:widowControl/>
              <w:spacing w:before="36" w:after="36"/>
              <w:jc w:val="left"/>
              <w:rPr>
                <w:rFonts w:eastAsia="Cambria" w:cs=""/>
                <w:kern w:val="0"/>
                <w:szCs w:val="24"/>
                <w:lang w:val="en-US" w:eastAsia="en-US" w:bidi="ar-SA"/>
              </w:rPr>
            </w:pPr>
            <w:bookmarkStart w:id="531" w:name="k.2.-guaranteeing-participant-positions"/>
            <w:r>
              <w:rPr>
                <w:rFonts w:eastAsia="Cambria" w:cs=""/>
                <w:kern w:val="0"/>
                <w:szCs w:val="24"/>
                <w:lang w:val="en-US" w:eastAsia="en-US" w:bidi="ar-SA"/>
              </w:rPr>
              <w:t>Article 44: no-toll rule, service charge distinction, permanent</w:t>
            </w:r>
            <w:bookmarkEnd w:id="531"/>
          </w:p>
        </w:tc>
      </w:tr>
    </w:tbl>
    <w:p>
      <w:pPr>
        <w:pStyle w:val="Heading2"/>
        <w:rPr/>
      </w:pPr>
      <w:bookmarkStart w:id="532" w:name="__RefHeading___Toc8106_2907148441"/>
      <w:bookmarkEnd w:id="532"/>
      <w:r>
        <w:rPr>
          <w:color w:val="2E4F6E"/>
        </w:rPr>
        <w:t>K.3. Iranian Positions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Position</w:t>
            </w:r>
          </w:p>
        </w:tc>
        <w:tc>
          <w:tcPr>
            <w:tcW w:w="46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Answer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corridor functional role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6.2, 31; Annex E Table E-1: Iran performs inbound functions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Recognition of mine-risk response role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8.3, 33; Annex E.4: Iran co-manages, liaison officers embarked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monitoring authority inbound</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54.2; Annex G: Iran performs inbound monitoring</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Inbound service revenue recognition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Annex D.3.2: Inbound Service Account with Iranian functional participation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Radar integration into shared picture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39.1: Iranian stations feed the fused picture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Acknowledgment of inbound routing through Iranian waters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6.1: the northern lane in Iranian waters, stated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emergency response authority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56; Annex E: joint leads, dual-key pre-authorization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Equal representation in the governance body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26; Annex H.2: equal procedural weight, co-chair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Protection of Iranian commercial shipping</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11, 13; Annex J: identical rules, identical insurance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Neutral dispute resolution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63-66: neutral panel, Iran nominates a member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Pilot-phase flexibility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21; Annex I: pilot layer with adjustment cycles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Recognition of deconfliction role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32, 34.2: Iran holds keys, sits on the hotline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Sanctions-insulated payment routing</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48; Annex D.4: neutral clearing, segregated channels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Transparency into outbound operations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27.4, 39.2: full read access to the fused picture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foreign sovereign tolls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44: the no-toll rule binds in both directions</w:t>
            </w:r>
          </w:p>
        </w:tc>
      </w:tr>
    </w:tbl>
    <w:p>
      <w:pPr>
        <w:pStyle w:val="Heading2"/>
        <w:rPr/>
      </w:pPr>
      <w:bookmarkStart w:id="533" w:name="__RefHeading___Toc8108_2907148441"/>
      <w:bookmarkEnd w:id="533"/>
      <w:r>
        <w:rPr>
          <w:color w:val="2E4F6E"/>
        </w:rPr>
        <w:t>K.4. Omani Positions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Position</w:t>
            </w:r>
          </w:p>
        </w:tc>
        <w:tc>
          <w:tcPr>
            <w:tcW w:w="46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Answer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corridor administrative role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7.2, 31: Oman administers outbound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Neutral anchor of governance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26.2, 27.4, 82: co-chair, host, Depositary</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Host of the joint radar and AIS fusion center</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27.2-27.4: Center and servers in Muscat</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Equal representation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26; Annex H.2: equal weight, co-chair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Outbound service revenue recognition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Annex D.3.2: Outbound Service Account administered by Oman</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Neutral dispute-resolution facilitation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64.2; Annex H.6: Oman hosts the panel and registry</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Transparency into inbound operations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27.4, 39.2: full read access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emergency-response authority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56; Annex E: joint leads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Pilot-phase flexibility</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21; Annex I</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International registration of coordinates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5.3, 17.6; Annex A</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compliance oversight</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54.2-54.3: outbound and buffer monitoring, audits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authority in the Buffer Corridor</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8.3: Oman administers, Iran co-manages mine-risk</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Escrow and clearing administration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48.1; Annex D.4: Oman administers the escrow</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Gulf Cooperation Council observer participation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26.1, 29; Annex C.3: seats and feeds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foreign sovereign tolls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44</w:t>
            </w:r>
          </w:p>
        </w:tc>
      </w:tr>
    </w:tbl>
    <w:p>
      <w:pPr>
        <w:pStyle w:val="Heading2"/>
        <w:rPr/>
      </w:pPr>
      <w:bookmarkStart w:id="534" w:name="__RefHeading___Toc8110_2907148441"/>
      <w:bookmarkEnd w:id="534"/>
      <w:r>
        <w:rPr>
          <w:color w:val="2E4F6E"/>
        </w:rPr>
        <w:t>K.5. Gulf Cooperation Council Positions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Position</w:t>
            </w:r>
          </w:p>
        </w:tc>
        <w:tc>
          <w:tcPr>
            <w:tcW w:w="468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Answer</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Observer status in governance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26.1, 29: voting seats for member states, observer feeds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emergency-response participation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56; Annex E: rotation and joint teams</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Transparency into both corridors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27.4, 39.2; Annex C.3 Tier 3</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Protection of Gulf commercial shipping</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11, 13; Annex J</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Joint radar and AIS access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39.2; Annex C.3</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Neutral dispute resolution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63-66</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Environmental compliance guarantees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Part XI; Annex G</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Iranian unilateral interdiction</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13, 34, 35; Annex E.3: structurally excluded</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Shared authority or observer access in buffer</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8, 34.2: GCC observer holds an outbound key</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International registration of coordinates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5.3, 17.6</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Predictable fee structure</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46; Annex D: published, capped, slow to change</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Sanctions-compatible payment routing</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48; Annex D.4</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Pilot-phase monitoring access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21.1: all feeds live from Day 1</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Clear military deconfliction rules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Articles 14, 32; Annex E.8-E.9</w:t>
            </w:r>
          </w:p>
        </w:tc>
      </w:tr>
      <w:tr>
        <w:trPr/>
        <w:tc>
          <w:tcPr>
            <w:tcW w:w="467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No sovereign tolls</w:t>
            </w:r>
          </w:p>
        </w:tc>
        <w:tc>
          <w:tcPr>
            <w:tcW w:w="468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Article 44</w:t>
            </w:r>
          </w:p>
        </w:tc>
      </w:tr>
    </w:tbl>
    <w:p>
      <w:pPr>
        <w:pStyle w:val="Heading2"/>
        <w:rPr/>
      </w:pPr>
      <w:bookmarkStart w:id="535" w:name="__RefHeading___Toc8112_2907148441"/>
      <w:bookmarkEnd w:id="535"/>
      <w:r>
        <w:rPr>
          <w:color w:val="2E4F6E"/>
        </w:rPr>
        <w:t>K.6. European and Insurer Positions</w:t>
      </w:r>
    </w:p>
    <w:p>
      <w:pPr>
        <w:pStyle w:val="FirstParagraph"/>
        <w:rPr/>
      </w:pPr>
      <w:r>
        <w:rPr/>
        <w:t>K.6.1. European positions, as reflected in the July 2026 joint statement with the Gulf Cooperation Council, center on: freedom of navigation under international law (Articles 11, 74); no tolls, permits, or conditional passage (Article 44); governance through international institutions, particularly the IMO (Articles 27, 42.1, 74.3, 82); incident transparency (Article 43; Annex C.7); environmental compliance audits (Article 54.3); predictable fees (Article 46); sanctions-compatible payments (Article 48); and published corridor documentation (Annex A, Annex C).</w:t>
      </w:r>
    </w:p>
    <w:p>
      <w:pPr>
        <w:pStyle w:val="TextBody"/>
        <w:rPr/>
      </w:pPr>
      <w:r>
        <w:rPr/>
        <w:t>K.6.2. Insurer positions center on: predictable risk classification (Annex J.2.2: daily risk tiers); transparent incident data (Annex C.7, Annex J.6); clear deconfliction rules (Annex E); monitoring access (Annex C.3 Tier 4); stable fees (Article 46); environmental data (Annex G.2); emergency-response guarantees (Article 56); no unilateral interdiction (Annex E.3); published coordinates (Annex A); neutral dispute resolution for claims (Article 65); sanctions-compatible payment routing (Annex D.4); and real-time AIS compliance (Annex C.4.3). Every item answers in the provisions cited.</w:t>
      </w:r>
    </w:p>
    <w:p>
      <w:pPr>
        <w:pStyle w:val="TextBody"/>
        <w:rPr/>
      </w:pPr>
      <w:r>
        <w:rPr/>
        <w:t xml:space="preserve">K.6.3. </w:t>
      </w:r>
      <w:r>
        <w:rPr>
          <w:b/>
          <w:bCs/>
        </w:rPr>
        <w:t>Shared messaging guidance.</w:t>
      </w:r>
      <w:r>
        <w:rPr/>
        <w:t xml:space="preserve"> Each Party communicates the system truthfully at home under one common frame: every Party kept its sovereignty, every Party gained safety and revenue recognition, every commitment is reversible, and the Strait opened in five days. No Party surrendered, because the architecture, not any Party, carries the constraints.</w:t>
      </w:r>
    </w:p>
    <w:p>
      <w:pPr>
        <w:pStyle w:val="Normal"/>
        <w:rPr/>
      </w:pPr>
      <w:bookmarkStart w:id="536" w:name="annex-k.-positions-alignment-matrix"/>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r>
        <w:br w:type="page"/>
      </w:r>
    </w:p>
    <w:p>
      <w:pPr>
        <w:pStyle w:val="Heading1"/>
        <w:rPr/>
      </w:pPr>
      <w:bookmarkStart w:id="537" w:name="__RefHeading___Toc8114_2907148441"/>
      <w:bookmarkStart w:id="538" w:name="annex-l.-definitions-and-abbreviations"/>
      <w:bookmarkEnd w:id="537"/>
      <w:r>
        <w:rPr>
          <w:color w:val="1F3A5F"/>
        </w:rPr>
        <w:t>ANNEX L. DEFINITIONS AND ABBREVIATIONS</w:t>
      </w:r>
    </w:p>
    <w:p>
      <w:pPr>
        <w:pStyle w:val="Heading2"/>
        <w:rPr/>
      </w:pPr>
      <w:bookmarkStart w:id="539" w:name="__RefHeading___Toc8116_2907148441"/>
      <w:bookmarkStart w:id="540" w:name="l.1.-definitions"/>
      <w:bookmarkEnd w:id="539"/>
      <w:r>
        <w:rPr>
          <w:color w:val="2E4F6E"/>
        </w:rPr>
        <w:t>L.1. Definitions</w:t>
      </w:r>
    </w:p>
    <w:p>
      <w:pPr>
        <w:pStyle w:val="FirstParagraph"/>
        <w:rPr/>
      </w:pPr>
      <w:r>
        <w:rPr/>
        <w:t>L.1.1. In this Treaty, the following terms carry the following meanings:</w:t>
      </w:r>
    </w:p>
    <w:p>
      <w:pPr>
        <w:pStyle w:val="Normal"/>
        <w:numPr>
          <w:ilvl w:val="0"/>
          <w:numId w:val="5"/>
        </w:numPr>
        <w:rPr/>
      </w:pPr>
      <w:r>
        <w:rPr>
          <w:b/>
          <w:bCs/>
        </w:rPr>
        <w:t>Authority</w:t>
      </w:r>
      <w:r>
        <w:rPr/>
        <w:t xml:space="preserve"> means the Hormuz Navigation Authority established by Article 25.</w:t>
      </w:r>
    </w:p>
    <w:p>
      <w:pPr>
        <w:pStyle w:val="Normal"/>
        <w:numPr>
          <w:ilvl w:val="0"/>
          <w:numId w:val="6"/>
        </w:numPr>
        <w:rPr/>
      </w:pPr>
      <w:r>
        <w:rPr>
          <w:b/>
          <w:bCs/>
        </w:rPr>
        <w:t>Buffer Corridor</w:t>
      </w:r>
      <w:r>
        <w:rPr/>
        <w:t xml:space="preserve"> means the central separation and safety corridor defined by Article 8.</w:t>
      </w:r>
    </w:p>
    <w:p>
      <w:pPr>
        <w:pStyle w:val="Normal"/>
        <w:numPr>
          <w:ilvl w:val="0"/>
          <w:numId w:val="7"/>
        </w:numPr>
        <w:rPr/>
      </w:pPr>
      <w:r>
        <w:rPr>
          <w:b/>
          <w:bCs/>
        </w:rPr>
        <w:t>Center</w:t>
      </w:r>
      <w:r>
        <w:rPr/>
        <w:t xml:space="preserve"> means the Maritime Coordination Center at Muscat under Article 27.</w:t>
      </w:r>
    </w:p>
    <w:p>
      <w:pPr>
        <w:pStyle w:val="Normal"/>
        <w:numPr>
          <w:ilvl w:val="0"/>
          <w:numId w:val="8"/>
        </w:numPr>
        <w:rPr/>
      </w:pPr>
      <w:r>
        <w:rPr>
          <w:b/>
          <w:bCs/>
        </w:rPr>
        <w:t>Coastal Parties</w:t>
      </w:r>
      <w:r>
        <w:rPr/>
        <w:t xml:space="preserve"> means the Islamic Republic of Iran and the Sultanate of Oman.</w:t>
      </w:r>
    </w:p>
    <w:p>
      <w:pPr>
        <w:pStyle w:val="Normal"/>
        <w:numPr>
          <w:ilvl w:val="0"/>
          <w:numId w:val="9"/>
        </w:numPr>
        <w:rPr/>
      </w:pPr>
      <w:r>
        <w:rPr>
          <w:b/>
          <w:bCs/>
        </w:rPr>
        <w:t>Corridor</w:t>
      </w:r>
      <w:r>
        <w:rPr/>
        <w:t xml:space="preserve"> means the Inbound Corridor, the Outbound Corridor, or the Buffer Corridor, and </w:t>
      </w:r>
      <w:r>
        <w:rPr>
          <w:b/>
          <w:bCs/>
        </w:rPr>
        <w:t>corridors</w:t>
      </w:r>
      <w:r>
        <w:rPr/>
        <w:t xml:space="preserve"> means all three.</w:t>
      </w:r>
    </w:p>
    <w:p>
      <w:pPr>
        <w:pStyle w:val="Normal"/>
        <w:numPr>
          <w:ilvl w:val="0"/>
          <w:numId w:val="10"/>
        </w:numPr>
        <w:rPr/>
      </w:pPr>
      <w:r>
        <w:rPr>
          <w:b/>
          <w:bCs/>
        </w:rPr>
        <w:t>Council</w:t>
      </w:r>
      <w:r>
        <w:rPr/>
        <w:t xml:space="preserve"> means the Authority Council under Article 26.</w:t>
      </w:r>
    </w:p>
    <w:p>
      <w:pPr>
        <w:pStyle w:val="Normal"/>
        <w:numPr>
          <w:ilvl w:val="0"/>
          <w:numId w:val="11"/>
        </w:numPr>
        <w:rPr/>
      </w:pPr>
      <w:r>
        <w:rPr>
          <w:b/>
          <w:bCs/>
        </w:rPr>
        <w:t>Day 0</w:t>
      </w:r>
      <w:r>
        <w:rPr/>
        <w:t xml:space="preserve"> means the day of signature of this Treaty, and day counts run from that day.</w:t>
      </w:r>
    </w:p>
    <w:p>
      <w:pPr>
        <w:pStyle w:val="Normal"/>
        <w:numPr>
          <w:ilvl w:val="0"/>
          <w:numId w:val="12"/>
        </w:numPr>
        <w:rPr/>
      </w:pPr>
      <w:r>
        <w:rPr>
          <w:b/>
          <w:bCs/>
        </w:rPr>
        <w:t>Directorate</w:t>
      </w:r>
      <w:r>
        <w:rPr/>
        <w:t xml:space="preserve"> means the Verification and Surveillance Directorate under Article 28.</w:t>
      </w:r>
    </w:p>
    <w:p>
      <w:pPr>
        <w:pStyle w:val="Normal"/>
        <w:numPr>
          <w:ilvl w:val="0"/>
          <w:numId w:val="13"/>
        </w:numPr>
        <w:rPr/>
      </w:pPr>
      <w:r>
        <w:rPr>
          <w:b/>
          <w:bCs/>
        </w:rPr>
        <w:t>Dual-key</w:t>
      </w:r>
      <w:r>
        <w:rPr/>
        <w:t xml:space="preserve"> means the two-authority authorization model defined by Article 34.</w:t>
      </w:r>
    </w:p>
    <w:p>
      <w:pPr>
        <w:pStyle w:val="Normal"/>
        <w:numPr>
          <w:ilvl w:val="0"/>
          <w:numId w:val="14"/>
        </w:numPr>
        <w:rPr/>
      </w:pPr>
      <w:r>
        <w:rPr>
          <w:b/>
          <w:bCs/>
        </w:rPr>
        <w:t>Dual-ping</w:t>
      </w:r>
      <w:r>
        <w:rPr/>
        <w:t xml:space="preserve"> means the structured alert protocol defined by Annex C, Section C.6.</w:t>
      </w:r>
    </w:p>
    <w:p>
      <w:pPr>
        <w:pStyle w:val="Normal"/>
        <w:numPr>
          <w:ilvl w:val="0"/>
          <w:numId w:val="15"/>
        </w:numPr>
        <w:rPr/>
      </w:pPr>
      <w:r>
        <w:rPr>
          <w:b/>
          <w:bCs/>
        </w:rPr>
        <w:t>First-Phase Security Coordinator</w:t>
      </w:r>
      <w:r>
        <w:rPr/>
        <w:t xml:space="preserve"> means the role defined by Article 36.</w:t>
      </w:r>
    </w:p>
    <w:p>
      <w:pPr>
        <w:pStyle w:val="Normal"/>
        <w:numPr>
          <w:ilvl w:val="0"/>
          <w:numId w:val="16"/>
        </w:numPr>
        <w:rPr/>
      </w:pPr>
      <w:r>
        <w:rPr>
          <w:b/>
          <w:bCs/>
        </w:rPr>
        <w:t>Fused picture</w:t>
      </w:r>
      <w:r>
        <w:rPr/>
        <w:t xml:space="preserve"> means the merged radar, AIS, satellite, and track picture under Article 39.</w:t>
      </w:r>
    </w:p>
    <w:p>
      <w:pPr>
        <w:pStyle w:val="Normal"/>
        <w:numPr>
          <w:ilvl w:val="0"/>
          <w:numId w:val="17"/>
        </w:numPr>
        <w:rPr/>
      </w:pPr>
      <w:r>
        <w:rPr>
          <w:b/>
          <w:bCs/>
        </w:rPr>
        <w:t>Inbound Corridor</w:t>
      </w:r>
      <w:r>
        <w:rPr/>
        <w:t xml:space="preserve"> means the northern, Gulf-entering lane defined by Article 6.</w:t>
      </w:r>
    </w:p>
    <w:p>
      <w:pPr>
        <w:pStyle w:val="Normal"/>
        <w:numPr>
          <w:ilvl w:val="0"/>
          <w:numId w:val="18"/>
        </w:numPr>
        <w:rPr/>
      </w:pPr>
      <w:r>
        <w:rPr>
          <w:b/>
          <w:bCs/>
        </w:rPr>
        <w:t>Layer</w:t>
      </w:r>
      <w:r>
        <w:rPr/>
        <w:t xml:space="preserve"> means a graduated operational phase under Part V: Layer 0, Opening; Layer 1, Pilot; Layer 2, Consolidation; Layer 3, Permanent.</w:t>
      </w:r>
    </w:p>
    <w:p>
      <w:pPr>
        <w:pStyle w:val="Normal"/>
        <w:numPr>
          <w:ilvl w:val="0"/>
          <w:numId w:val="19"/>
        </w:numPr>
        <w:rPr/>
      </w:pPr>
      <w:r>
        <w:rPr>
          <w:b/>
          <w:bCs/>
        </w:rPr>
        <w:t>Micropilot</w:t>
      </w:r>
      <w:r>
        <w:rPr/>
        <w:t xml:space="preserve"> means a small, reversible cooperative measure catalogued in Annex I.</w:t>
      </w:r>
    </w:p>
    <w:p>
      <w:pPr>
        <w:pStyle w:val="Normal"/>
        <w:numPr>
          <w:ilvl w:val="0"/>
          <w:numId w:val="20"/>
        </w:numPr>
        <w:rPr/>
      </w:pPr>
      <w:r>
        <w:rPr>
          <w:b/>
          <w:bCs/>
        </w:rPr>
        <w:t>Military Transit Window</w:t>
      </w:r>
      <w:r>
        <w:rPr/>
        <w:t xml:space="preserve"> means the naval transit lane inside the Buffer Corridor under Article 14.</w:t>
      </w:r>
    </w:p>
    <w:p>
      <w:pPr>
        <w:pStyle w:val="Normal"/>
        <w:numPr>
          <w:ilvl w:val="0"/>
          <w:numId w:val="21"/>
        </w:numPr>
        <w:rPr/>
      </w:pPr>
      <w:r>
        <w:rPr>
          <w:b/>
          <w:bCs/>
        </w:rPr>
        <w:t>Outbound Corridor</w:t>
      </w:r>
      <w:r>
        <w:rPr/>
        <w:t xml:space="preserve"> means the southern, Gulf-exiting lane defined by Article 7.</w:t>
      </w:r>
    </w:p>
    <w:p>
      <w:pPr>
        <w:pStyle w:val="Normal"/>
        <w:numPr>
          <w:ilvl w:val="0"/>
          <w:numId w:val="22"/>
        </w:numPr>
        <w:rPr/>
      </w:pPr>
      <w:r>
        <w:rPr>
          <w:b/>
          <w:bCs/>
        </w:rPr>
        <w:t>Pool</w:t>
      </w:r>
      <w:r>
        <w:rPr/>
        <w:t xml:space="preserve"> means the Hormuz Insurance Pool under Annex J.</w:t>
      </w:r>
    </w:p>
    <w:p>
      <w:pPr>
        <w:pStyle w:val="Normal"/>
        <w:numPr>
          <w:ilvl w:val="0"/>
          <w:numId w:val="23"/>
        </w:numPr>
        <w:rPr/>
      </w:pPr>
      <w:r>
        <w:rPr>
          <w:b/>
          <w:bCs/>
        </w:rPr>
        <w:t>Service charge</w:t>
      </w:r>
      <w:r>
        <w:rPr/>
        <w:t xml:space="preserve"> means a cost-recovery charge attached to an identifiable service under Article 44, and never a charge on passage.</w:t>
      </w:r>
    </w:p>
    <w:p>
      <w:pPr>
        <w:pStyle w:val="Normal"/>
        <w:numPr>
          <w:ilvl w:val="0"/>
          <w:numId w:val="24"/>
        </w:numPr>
        <w:rPr/>
      </w:pPr>
      <w:r>
        <w:rPr>
          <w:b/>
          <w:bCs/>
        </w:rPr>
        <w:t>Stability Audit</w:t>
      </w:r>
      <w:r>
        <w:rPr/>
        <w:t xml:space="preserve"> means the metric-based performance audit under Article 41 and Annex F.</w:t>
      </w:r>
    </w:p>
    <w:p>
      <w:pPr>
        <w:pStyle w:val="Normal"/>
        <w:numPr>
          <w:ilvl w:val="0"/>
          <w:numId w:val="25"/>
        </w:numPr>
        <w:rPr/>
      </w:pPr>
      <w:r>
        <w:rPr>
          <w:b/>
          <w:bCs/>
        </w:rPr>
        <w:t>Stability Signal</w:t>
      </w:r>
      <w:r>
        <w:rPr/>
        <w:t xml:space="preserve"> means the daily one-line confirmation under Article 53.</w:t>
      </w:r>
    </w:p>
    <w:p>
      <w:pPr>
        <w:pStyle w:val="Normal"/>
        <w:numPr>
          <w:ilvl w:val="0"/>
          <w:numId w:val="26"/>
        </w:numPr>
        <w:rPr/>
      </w:pPr>
      <w:r>
        <w:rPr>
          <w:b/>
          <w:bCs/>
        </w:rPr>
        <w:t>Transparency Portal</w:t>
      </w:r>
      <w:r>
        <w:rPr/>
        <w:t xml:space="preserve"> means the public information system under Article 67.</w:t>
      </w:r>
    </w:p>
    <w:p>
      <w:pPr>
        <w:pStyle w:val="Normal"/>
        <w:numPr>
          <w:ilvl w:val="0"/>
          <w:numId w:val="27"/>
        </w:numPr>
        <w:rPr/>
      </w:pPr>
      <w:r>
        <w:rPr>
          <w:b/>
          <w:bCs/>
        </w:rPr>
        <w:t>Treaty area</w:t>
      </w:r>
      <w:r>
        <w:rPr/>
        <w:t xml:space="preserve"> means the area described in Article 2.1.</w:t>
      </w:r>
    </w:p>
    <w:p>
      <w:pPr>
        <w:pStyle w:val="Normal"/>
        <w:numPr>
          <w:ilvl w:val="0"/>
          <w:numId w:val="28"/>
        </w:numPr>
        <w:rPr/>
      </w:pPr>
      <w:r>
        <w:rPr>
          <w:b/>
          <w:bCs/>
        </w:rPr>
        <w:t>Tri-channel funding system</w:t>
      </w:r>
      <w:r>
        <w:rPr/>
        <w:t xml:space="preserve"> means the funding architecture under Article 47.</w:t>
      </w:r>
    </w:p>
    <w:p>
      <w:pPr>
        <w:pStyle w:val="Normal"/>
        <w:numPr>
          <w:ilvl w:val="0"/>
          <w:numId w:val="29"/>
        </w:numPr>
        <w:rPr/>
      </w:pPr>
      <w:r>
        <w:rPr>
          <w:b/>
          <w:bCs/>
        </w:rPr>
        <w:t>Wartime lanes</w:t>
      </w:r>
      <w:r>
        <w:rPr/>
        <w:t xml:space="preserve"> means the temporary routing regime of the conflict period, sunset under Part XV.</w:t>
      </w:r>
      <w:bookmarkEnd w:id="540"/>
    </w:p>
    <w:p>
      <w:pPr>
        <w:pStyle w:val="Heading2"/>
        <w:rPr/>
      </w:pPr>
      <w:bookmarkStart w:id="541" w:name="__RefHeading___Toc8118_2907148441"/>
      <w:bookmarkStart w:id="542" w:name="l.2.-abbreviations"/>
      <w:bookmarkEnd w:id="541"/>
      <w:r>
        <w:rPr>
          <w:color w:val="2E4F6E"/>
        </w:rPr>
        <w:t>L.2. Abbreviations</w:t>
      </w:r>
    </w:p>
    <w:p>
      <w:pPr>
        <w:pStyle w:val="FirstParagraph"/>
        <w:rPr/>
      </w:pPr>
      <w:bookmarkStart w:id="543" w:name="l.2.-abbreviations"/>
      <w:r>
        <w:rPr/>
        <w:t>L.2.1. AIS: Automatic Identification System. GCC: Gulf Cooperation Council. HN&amp;TT: this Treaty. IMO: International Maritime Organization. MCM: mine countermeasures. SAR: search and rescue. TSS: traffic separation scheme. UNCLOS: United Nations Convention on the Law of the Sea.</w:t>
      </w:r>
      <w:bookmarkEnd w:id="543"/>
    </w:p>
    <w:p>
      <w:pPr>
        <w:pStyle w:val="Heading2"/>
        <w:rPr/>
      </w:pPr>
      <w:bookmarkStart w:id="544" w:name="__RefHeading___Toc8120_2907148441"/>
      <w:bookmarkStart w:id="545" w:name="l.3.-interpretation-rules"/>
      <w:bookmarkEnd w:id="544"/>
      <w:r>
        <w:rPr>
          <w:color w:val="2E4F6E"/>
        </w:rPr>
        <w:t>L.3. Interpretation Rules</w:t>
      </w:r>
    </w:p>
    <w:p>
      <w:pPr>
        <w:pStyle w:val="FirstParagraph"/>
        <w:rPr/>
      </w:pPr>
      <w:r>
        <w:rPr/>
        <w:t>L.3.1. Headings aid navigation and carry no legal weight.</w:t>
      </w:r>
    </w:p>
    <w:p>
      <w:pPr>
        <w:pStyle w:val="TextBody"/>
        <w:rPr/>
      </w:pPr>
      <w:r>
        <w:rPr/>
        <w:t>L.3.2. Singular includes plural where context admits. References to Articles and Annexes mean this Treaty’s Articles and Annexes.</w:t>
      </w:r>
    </w:p>
    <w:p>
      <w:pPr>
        <w:pStyle w:val="TextBody"/>
        <w:rPr/>
      </w:pPr>
      <w:r>
        <w:rPr/>
        <w:t>L.3.3. The Annexes form an integral part of this Treaty. Where the main text and an Annex diverge, the main text governs, and the Council records the correction.</w:t>
      </w:r>
    </w:p>
    <w:p>
      <w:pPr>
        <w:pStyle w:val="TextBody"/>
        <w:rPr/>
      </w:pPr>
      <w:r>
        <w:rPr/>
        <w:t>L.3.4. Nothing in this Treaty reads as a concession by any Party to any other Party. The framework architecture carries every constraint, equally, for everyone.</w:t>
      </w:r>
    </w:p>
    <w:p>
      <w:pPr>
        <w:pStyle w:val="Normal"/>
        <w:rPr/>
      </w:pPr>
      <w:bookmarkStart w:id="546" w:name="annex-l.-definitions-and-abbreviations"/>
      <w:bookmarkStart w:id="547" w:name="l.3.-interpretation-rul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r>
        <w:br w:type="page"/>
      </w:r>
    </w:p>
    <w:p>
      <w:pPr>
        <w:pStyle w:val="Heading1"/>
        <w:rPr/>
      </w:pPr>
      <w:bookmarkStart w:id="548" w:name="__RefHeading___Toc8122_2907148441"/>
      <w:bookmarkStart w:id="549" w:name="X7fb9a4f22b41d1318373b5164d5ac775d1559cb"/>
      <w:bookmarkEnd w:id="548"/>
      <w:r>
        <w:rPr>
          <w:color w:val="1F3A5F"/>
        </w:rPr>
        <w:t>CLOSING NOTE OF THE DRAFTING FACILITATORS</w:t>
      </w:r>
    </w:p>
    <w:p>
      <w:pPr>
        <w:pStyle w:val="FirstParagraph"/>
        <w:spacing w:before="180" w:after="180"/>
        <w:rPr/>
      </w:pPr>
      <w:bookmarkStart w:id="550" w:name="X7fb9a4f22b41d1318373b5164d5ac775d1559cb"/>
      <w:r>
        <w:rPr/>
        <w:t>This Treaty assembles what the negotiations already built: agreed corridor geometry, a converging three-lane model, a shared preference for a neutral anchor, and a universal refusal to let the Strait serve as leverage ever again. It adds the four pieces the process lacked: a security authority answer written as function allocation, a fee answer written as cost-recovery service charges inside a tri-channel funding system, a reopening mechanism written as a five-day synchronized sequence, and a multilateral acceptance structure written as this instrument itself. The Strait opens on Day 5. The system proves itself through the Stability Audit. The architecture holds because every Party owns a part of it, and no Party owns all of it.</w:t>
      </w:r>
      <w:bookmarkEnd w:id="550"/>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spacing w:before="0" w:after="200"/>
      <w:jc w:val="center"/>
      <w:rPr/>
    </w:pPr>
    <w:r>
      <w:rPr>
        <w:rFonts w:eastAsia="Calibri" w:cs="Calibri"/>
        <w:color w:val="78909C"/>
        <w:sz w:val="18"/>
      </w:rPr>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spacing w:before="0" w:after="200"/>
      <w:jc w:val="center"/>
      <w:rPr/>
    </w:pPr>
    <w:r>
      <w:rPr>
        <w:rFonts w:eastAsia="Calibri" w:cs="Calibri"/>
        <w:color w:val="78909C"/>
        <w:sz w:val="18"/>
      </w:rPr>
      <w:t xml:space="preserve">Page </w:t>
    </w:r>
    <w:r>
      <w:rPr/>
      <w:fldChar w:fldCharType="begin"/>
    </w:r>
    <w:r>
      <w:rPr/>
      <w:instrText xml:space="preserve"> PAGE </w:instrText>
    </w:r>
    <w:r>
      <w:rPr/>
      <w:fldChar w:fldCharType="separate"/>
    </w:r>
    <w:r>
      <w:rPr/>
      <w:t>76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spacing w:before="0" w:after="200"/>
      <w:jc w:val="right"/>
      <w:rPr/>
    </w:pPr>
    <w:r>
      <w:rPr>
        <w:rFonts w:eastAsia="Calibri" w:cs="Calibri"/>
        <w:caps/>
        <w:color w:val="78909C"/>
        <w:sz w:val="16"/>
      </w:rPr>
      <w:t>THE HORMUZ NAVIGATION AND TRANSIT TREATY  ·  SAFE PASSAGE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spacing w:before="0" w:after="200"/>
      <w:jc w:val="right"/>
      <w:rPr/>
    </w:pPr>
    <w:r>
      <w:rPr>
        <w:rFonts w:eastAsia="Calibri" w:cs="Calibri"/>
        <w:caps/>
        <w:color w:val="78909C"/>
        <w:sz w:val="16"/>
      </w:rPr>
      <w:t>THE HORMUZ NAVIGATION AND TRANSIT TREATY  ·  SAFE PASSAGE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spacing w:lineRule="exact" w:line="200" w:before="0" w:after="0"/>
    </w:pPr>
    <w:rPr>
      <w:sz w:val="18"/>
      <w:szCs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Contents1" w:customStyle="1">
    <w:name w:val="TOC 1"/>
    <w:pPr>
      <w:widowControl/>
      <w:tabs>
        <w:tab w:val="clear" w:pos="720"/>
        <w:tab w:val="right" w:pos="9360" w:leader="dot"/>
      </w:tabs>
      <w:bidi w:val="0"/>
      <w:spacing w:lineRule="auto" w:line="240" w:before="120" w:after="40"/>
      <w:ind w:left="0" w:hanging="0"/>
      <w:jc w:val="left"/>
    </w:pPr>
    <w:rPr>
      <w:rFonts w:ascii="Calibri" w:hAnsi="Calibri" w:eastAsia="Calibri" w:cs="Calibri"/>
      <w:b/>
      <w:color w:val="37474F"/>
      <w:kern w:val="0"/>
      <w:sz w:val="24"/>
      <w:szCs w:val="24"/>
      <w:lang w:val="en-US" w:eastAsia="en-US" w:bidi="ar-SA"/>
    </w:rPr>
  </w:style>
  <w:style w:type="paragraph" w:styleId="Contents2" w:customStyle="1">
    <w:name w:val="TOC 2"/>
    <w:pPr>
      <w:widowControl/>
      <w:tabs>
        <w:tab w:val="clear" w:pos="720"/>
        <w:tab w:val="right" w:pos="9360" w:leader="dot"/>
      </w:tabs>
      <w:bidi w:val="0"/>
      <w:spacing w:lineRule="auto" w:line="240" w:before="0" w:after="20"/>
      <w:ind w:left="360" w:hanging="0"/>
      <w:jc w:val="left"/>
    </w:pPr>
    <w:rPr>
      <w:rFonts w:ascii="Calibri" w:hAnsi="Calibri" w:eastAsia="Calibri" w:cs="Calibri"/>
      <w:b w:val="false"/>
      <w:color w:val="37474F"/>
      <w:kern w:val="0"/>
      <w:sz w:val="24"/>
      <w:szCs w:val="24"/>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78</Pages>
  <Words>20132</Words>
  <Characters>118535</Characters>
  <CharactersWithSpaces>136861</CharactersWithSpaces>
  <Paragraphs>1830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2026-08-12T19:08:21Z</dcterms:created>
  <dc:creator/>
  <dc:description/>
  <dc:language>en-US</dc:language>
  <cp:lastModifiedBy/>
  <dcterms:modified xsi:type="dcterms:W3CDTF">2026-08-15T05:16:00Z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