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3400" w:after="0"/>
        <w:jc w:val="center"/>
        <w:rPr/>
      </w:pPr>
      <w:r>
        <w:rPr/>
      </w:r>
    </w:p>
    <w:p>
      <w:pPr>
        <w:pStyle w:val="Normal"/>
        <w:bidi w:val="0"/>
        <w:spacing w:before="0" w:after="300"/>
        <w:jc w:val="center"/>
        <w:rPr/>
      </w:pPr>
      <w:r>
        <w:rPr>
          <w:rFonts w:eastAsia="Calibri" w:cs="Calibri" w:ascii="Calibri" w:hAnsi="Calibri"/>
          <w:b/>
          <w:color w:val="37474F"/>
          <w:spacing w:val="60"/>
          <w:sz w:val="60"/>
          <w:szCs w:val="60"/>
        </w:rPr>
        <w:t>THE HORMUZ REGIONAL</w:t>
        <w:br/>
        <w:t>STEWARDSHIP CHARTER</w:t>
      </w:r>
    </w:p>
    <w:p>
      <w:pPr>
        <w:pStyle w:val="Normal"/>
        <w:bidi w:val="0"/>
        <w:spacing w:before="0" w:after="520"/>
        <w:jc w:val="center"/>
        <w:rPr/>
      </w:pPr>
      <w:r>
        <w:rPr>
          <w:rFonts w:eastAsia="Calibri" w:cs="Calibri" w:ascii="Calibri" w:hAnsi="Calibri"/>
          <w:i/>
          <w:color w:val="546E7A"/>
          <w:sz w:val="27"/>
          <w:szCs w:val="27"/>
        </w:rPr>
        <w:t>A Permanent Framework for the Governance of the Strait of Hormuz</w:t>
      </w:r>
    </w:p>
    <w:p>
      <w:pPr>
        <w:pStyle w:val="Normal"/>
        <w:pBdr>
          <w:bottom w:val="single" w:sz="6" w:space="1" w:color="546E7A"/>
        </w:pBdr>
        <w:bidi w:val="0"/>
        <w:spacing w:before="0" w:after="520"/>
        <w:ind w:left="2400" w:right="2400" w:hanging="0"/>
        <w:rPr/>
      </w:pPr>
      <w:r>
        <w:rPr/>
      </w:r>
    </w:p>
    <w:p>
      <w:pPr>
        <w:pStyle w:val="Normal"/>
        <w:bidi w:val="0"/>
        <w:spacing w:before="0" w:after="160"/>
        <w:jc w:val="center"/>
        <w:rPr/>
      </w:pPr>
      <w:r>
        <w:rPr>
          <w:rFonts w:eastAsia="Calibri" w:cs="Calibri" w:ascii="Calibri" w:hAnsi="Calibri"/>
          <w:sz w:val="24"/>
        </w:rPr>
        <w:t>Shared Stewardship  ·  Free Transit  ·  Calm Water</w:t>
      </w:r>
    </w:p>
    <w:p>
      <w:pPr>
        <w:pStyle w:val="Normal"/>
        <w:bidi w:val="0"/>
        <w:spacing w:before="0" w:after="160"/>
        <w:jc w:val="center"/>
        <w:rPr/>
      </w:pPr>
      <w:r>
        <w:rPr>
          <w:rFonts w:eastAsia="Calibri" w:cs="Calibri" w:ascii="Calibri" w:hAnsi="Calibri"/>
          <w:color w:val="546E7A"/>
          <w:sz w:val="22"/>
          <w:szCs w:val="22"/>
        </w:rPr>
        <w:t>Adopted at Muscat</w:t>
      </w:r>
    </w:p>
    <w:p>
      <w:pPr>
        <w:pStyle w:val="Normal"/>
        <w:bidi w:val="0"/>
        <w:spacing w:before="0" w:after="2600"/>
        <w:jc w:val="center"/>
        <w:rPr/>
      </w:pPr>
      <w:r>
        <w:rPr>
          <w:rFonts w:eastAsia="Calibri" w:cs="Calibri" w:ascii="Calibri" w:hAnsi="Calibri"/>
          <w:i/>
          <w:color w:val="78909C"/>
          <w:sz w:val="20"/>
          <w:szCs w:val="20"/>
        </w:rPr>
        <w:t>Executed in English, Arabic, and Persian, each text equally authoritative</w:t>
      </w:r>
    </w:p>
    <w:p>
      <w:pPr>
        <w:pStyle w:val="Normal"/>
        <w:bidi w:val="0"/>
        <w:spacing w:before="0" w:after="160"/>
        <w:jc w:val="center"/>
        <w:rPr/>
      </w:pPr>
      <w:r>
        <w:rPr>
          <w:rFonts w:eastAsia="Calibri" w:cs="Calibri" w:ascii="Calibri" w:hAnsi="Calibri"/>
          <w:b/>
          <w:color w:val="37474F"/>
          <w:sz w:val="22"/>
          <w:szCs w:val="22"/>
        </w:rPr>
        <w:t>The Islamic Republic of Iran  ·  The Sultanate of Oman  ·  The Gulf Cooperation Council States  ·  The Republic of Iraq</w:t>
      </w:r>
    </w:p>
    <w:p>
      <w:pPr>
        <w:pStyle w:val="Normal"/>
        <w:bidi w:val="0"/>
        <w:spacing w:before="0" w:after="160"/>
        <w:jc w:val="center"/>
        <w:rPr/>
      </w:pPr>
      <w:r>
        <w:rPr>
          <w:rFonts w:eastAsia="Calibri" w:cs="Calibri" w:ascii="Calibri" w:hAnsi="Calibri"/>
          <w:color w:val="546E7A"/>
          <w:sz w:val="20"/>
          <w:szCs w:val="20"/>
        </w:rPr>
        <w:t>with the standing observers and technical participants named herein</w:t>
      </w:r>
    </w:p>
    <w:p>
      <w:pPr>
        <w:pStyle w:val="Normal"/>
        <w:bidi w:val="0"/>
        <w:spacing w:before="0" w:after="160"/>
        <w:jc w:val="center"/>
        <w:rPr/>
      </w:pPr>
      <w:r>
        <w:rPr/>
      </w:r>
    </w:p>
    <w:p>
      <w:pPr>
        <w:pStyle w:val="Normal"/>
        <w:bidi w:val="0"/>
        <w:spacing w:before="0" w:after="400"/>
        <w:jc w:val="center"/>
        <w:rPr/>
      </w:pPr>
      <w:r>
        <w:rPr/>
      </w:r>
    </w:p>
    <w:p>
      <w:pPr>
        <w:sectPr>
          <w:type w:val="nextPage"/>
          <w:pgSz w:w="11906" w:h="16838"/>
          <w:pgMar w:left="1137" w:right="1137" w:gutter="0" w:header="0" w:top="1137" w:footer="0" w:bottom="1137"/>
          <w:pgBorders w:display="allPages" w:offsetFrom="text">
            <w:top w:val="double" w:sz="12" w:space="24" w:color="2F4858"/>
            <w:left w:val="double" w:sz="12" w:space="24" w:color="2F4858"/>
            <w:bottom w:val="double" w:sz="12" w:space="24" w:color="2F4858"/>
            <w:right w:val="double" w:sz="12" w:space="24" w:color="2F4858"/>
          </w:pgBorders>
          <w:pgNumType w:fmt="decimal"/>
          <w:formProt w:val="false"/>
          <w:textDirection w:val="lrTb"/>
          <w:docGrid w:type="default" w:linePitch="100" w:charSpace="0"/>
        </w:sectPr>
        <w:pStyle w:val="Normal"/>
        <w:bidi w:val="0"/>
        <w:spacing w:before="0" w:after="0"/>
        <w:jc w:val="center"/>
        <w:rPr/>
      </w:pPr>
      <w:r>
        <w:rPr/>
      </w:r>
    </w:p>
    <w:p>
      <w:pPr>
        <w:pStyle w:val="Normal"/>
        <w:keepNext w:val="true"/>
        <w:bidi w:val="0"/>
        <w:spacing w:before="0" w:after="360"/>
        <w:rPr/>
      </w:pPr>
      <w:r>
        <w:rPr>
          <w:rFonts w:ascii="Calibri" w:hAnsi="Calibri"/>
          <w:b/>
          <w:caps/>
          <w:color w:val="37474F"/>
          <w:sz w:val="32"/>
        </w:rPr>
        <w:t>Table of Contents</w:t>
      </w:r>
    </w:p>
    <w:sdt>
      <w:sdtPr>
        <w:docPartObj>
          <w:docPartGallery w:val="Table of Contents"/>
          <w:docPartUnique w:val="true"/>
        </w:docPartObj>
      </w:sdtPr>
      <w:sdtContent>
        <w:p>
          <w:pPr>
            <w:pStyle w:val="Contents1"/>
            <w:tabs>
              <w:tab w:val="clear" w:pos="720"/>
              <w:tab w:val="right" w:pos="9026" w:leader="dot"/>
            </w:tabs>
            <w:bidi w:val="0"/>
            <w:jc w:val="left"/>
            <w:rPr/>
          </w:pPr>
          <w:r>
            <w:fldChar w:fldCharType="begin"/>
          </w:r>
          <w:r>
            <w:rPr>
              <w:webHidden/>
              <w:rStyle w:val="IndexLink"/>
            </w:rPr>
            <w:instrText xml:space="preserve"> TOC \z \o "1-3" \u \h</w:instrText>
          </w:r>
          <w:r>
            <w:rPr>
              <w:webHidden/>
              <w:rStyle w:val="IndexLink"/>
            </w:rPr>
            <w:fldChar w:fldCharType="separate"/>
          </w:r>
          <w:hyperlink w:anchor="__RefHeading___Toc3447_4199434714">
            <w:r>
              <w:rPr>
                <w:webHidden/>
                <w:rStyle w:val="IndexLink"/>
              </w:rPr>
              <w:t>THE HORMUZ REGIONAL STEWARDSHIP CHARTER</w:t>
              <w:tab/>
              <w:t>9</w:t>
            </w:r>
          </w:hyperlink>
        </w:p>
        <w:p>
          <w:pPr>
            <w:pStyle w:val="Contents2"/>
            <w:tabs>
              <w:tab w:val="clear" w:pos="720"/>
              <w:tab w:val="right" w:pos="9026" w:leader="dot"/>
            </w:tabs>
            <w:bidi w:val="0"/>
            <w:jc w:val="left"/>
            <w:rPr/>
          </w:pPr>
          <w:hyperlink w:anchor="__RefHeading___Toc3449_4199434714">
            <w:r>
              <w:rPr>
                <w:webHidden/>
                <w:rStyle w:val="IndexLink"/>
              </w:rPr>
              <w:t>Preamble</w:t>
              <w:tab/>
              <w:t>9</w:t>
            </w:r>
          </w:hyperlink>
        </w:p>
        <w:p>
          <w:pPr>
            <w:pStyle w:val="Contents1"/>
            <w:tabs>
              <w:tab w:val="clear" w:pos="720"/>
              <w:tab w:val="right" w:pos="9026" w:leader="dot"/>
            </w:tabs>
            <w:bidi w:val="0"/>
            <w:jc w:val="left"/>
            <w:rPr/>
          </w:pPr>
          <w:hyperlink w:anchor="__RefHeading___Toc3451_4199434714">
            <w:r>
              <w:rPr>
                <w:webHidden/>
                <w:rStyle w:val="IndexLink"/>
              </w:rPr>
              <w:t>PART I: FOUNDATIONS</w:t>
              <w:tab/>
              <w:t>11</w:t>
            </w:r>
          </w:hyperlink>
        </w:p>
        <w:p>
          <w:pPr>
            <w:pStyle w:val="Contents2"/>
            <w:tabs>
              <w:tab w:val="clear" w:pos="720"/>
              <w:tab w:val="right" w:pos="9026" w:leader="dot"/>
            </w:tabs>
            <w:bidi w:val="0"/>
            <w:jc w:val="left"/>
            <w:rPr/>
          </w:pPr>
          <w:hyperlink w:anchor="__RefHeading___Toc3453_4199434714">
            <w:r>
              <w:rPr>
                <w:webHidden/>
                <w:rStyle w:val="IndexLink"/>
              </w:rPr>
              <w:t>Article 1: Establishment, Purpose, and Scope</w:t>
              <w:tab/>
              <w:t>11</w:t>
            </w:r>
          </w:hyperlink>
        </w:p>
        <w:p>
          <w:pPr>
            <w:pStyle w:val="Contents3"/>
            <w:tabs>
              <w:tab w:val="clear" w:pos="720"/>
              <w:tab w:val="right" w:pos="9026" w:leader="dot"/>
            </w:tabs>
            <w:bidi w:val="0"/>
            <w:jc w:val="left"/>
            <w:rPr/>
          </w:pPr>
          <w:hyperlink w:anchor="__RefHeading___Toc3455_4199434714">
            <w:r>
              <w:rPr>
                <w:webHidden/>
                <w:rStyle w:val="IndexLink"/>
              </w:rPr>
              <w:t>1.1 Establishment</w:t>
              <w:tab/>
              <w:t>11</w:t>
            </w:r>
          </w:hyperlink>
        </w:p>
        <w:p>
          <w:pPr>
            <w:pStyle w:val="Contents3"/>
            <w:tabs>
              <w:tab w:val="clear" w:pos="720"/>
              <w:tab w:val="right" w:pos="9026" w:leader="dot"/>
            </w:tabs>
            <w:bidi w:val="0"/>
            <w:jc w:val="left"/>
            <w:rPr/>
          </w:pPr>
          <w:hyperlink w:anchor="__RefHeading___Toc3457_4199434714">
            <w:r>
              <w:rPr>
                <w:webHidden/>
                <w:rStyle w:val="IndexLink"/>
              </w:rPr>
              <w:t>1.2 Purpose</w:t>
              <w:tab/>
              <w:t>11</w:t>
            </w:r>
          </w:hyperlink>
        </w:p>
        <w:p>
          <w:pPr>
            <w:pStyle w:val="Contents3"/>
            <w:tabs>
              <w:tab w:val="clear" w:pos="720"/>
              <w:tab w:val="right" w:pos="9026" w:leader="dot"/>
            </w:tabs>
            <w:bidi w:val="0"/>
            <w:jc w:val="left"/>
            <w:rPr/>
          </w:pPr>
          <w:hyperlink w:anchor="__RefHeading___Toc3459_4199434714">
            <w:r>
              <w:rPr>
                <w:webHidden/>
                <w:rStyle w:val="IndexLink"/>
              </w:rPr>
              <w:t>1.3 Scope</w:t>
              <w:tab/>
              <w:t>11</w:t>
            </w:r>
          </w:hyperlink>
        </w:p>
        <w:p>
          <w:pPr>
            <w:pStyle w:val="Contents2"/>
            <w:tabs>
              <w:tab w:val="clear" w:pos="720"/>
              <w:tab w:val="right" w:pos="9026" w:leader="dot"/>
            </w:tabs>
            <w:bidi w:val="0"/>
            <w:jc w:val="left"/>
            <w:rPr/>
          </w:pPr>
          <w:hyperlink w:anchor="__RefHeading___Toc3461_4199434714">
            <w:r>
              <w:rPr>
                <w:webHidden/>
                <w:rStyle w:val="IndexLink"/>
              </w:rPr>
              <w:t>Article 2: The Governance Area</w:t>
              <w:tab/>
              <w:t>12</w:t>
            </w:r>
          </w:hyperlink>
        </w:p>
        <w:p>
          <w:pPr>
            <w:pStyle w:val="Contents3"/>
            <w:tabs>
              <w:tab w:val="clear" w:pos="720"/>
              <w:tab w:val="right" w:pos="9026" w:leader="dot"/>
            </w:tabs>
            <w:bidi w:val="0"/>
            <w:jc w:val="left"/>
            <w:rPr/>
          </w:pPr>
          <w:hyperlink w:anchor="__RefHeading___Toc3463_4199434714">
            <w:r>
              <w:rPr>
                <w:webHidden/>
                <w:rStyle w:val="IndexLink"/>
              </w:rPr>
              <w:t>2.1 Definition</w:t>
              <w:tab/>
              <w:t>12</w:t>
            </w:r>
          </w:hyperlink>
        </w:p>
        <w:p>
          <w:pPr>
            <w:pStyle w:val="Contents3"/>
            <w:tabs>
              <w:tab w:val="clear" w:pos="720"/>
              <w:tab w:val="right" w:pos="9026" w:leader="dot"/>
            </w:tabs>
            <w:bidi w:val="0"/>
            <w:jc w:val="left"/>
            <w:rPr/>
          </w:pPr>
          <w:hyperlink w:anchor="__RefHeading___Toc3465_4199434714">
            <w:r>
              <w:rPr>
                <w:webHidden/>
                <w:rStyle w:val="IndexLink"/>
              </w:rPr>
              <w:t>2.2 Overlap Reality</w:t>
              <w:tab/>
              <w:t>12</w:t>
            </w:r>
          </w:hyperlink>
        </w:p>
        <w:p>
          <w:pPr>
            <w:pStyle w:val="Contents2"/>
            <w:tabs>
              <w:tab w:val="clear" w:pos="720"/>
              <w:tab w:val="right" w:pos="9026" w:leader="dot"/>
            </w:tabs>
            <w:bidi w:val="0"/>
            <w:jc w:val="left"/>
            <w:rPr/>
          </w:pPr>
          <w:hyperlink w:anchor="__RefHeading___Toc3467_4199434714">
            <w:r>
              <w:rPr>
                <w:webHidden/>
                <w:rStyle w:val="IndexLink"/>
              </w:rPr>
              <w:t>Article 3: Definitions and Interpretation</w:t>
              <w:tab/>
              <w:t>13</w:t>
            </w:r>
          </w:hyperlink>
        </w:p>
        <w:p>
          <w:pPr>
            <w:pStyle w:val="Contents3"/>
            <w:tabs>
              <w:tab w:val="clear" w:pos="720"/>
              <w:tab w:val="right" w:pos="9026" w:leader="dot"/>
            </w:tabs>
            <w:bidi w:val="0"/>
            <w:jc w:val="left"/>
            <w:rPr/>
          </w:pPr>
          <w:hyperlink w:anchor="__RefHeading___Toc3469_4199434714">
            <w:r>
              <w:rPr>
                <w:webHidden/>
                <w:rStyle w:val="IndexLink"/>
              </w:rPr>
              <w:t>3.1 Definitions</w:t>
              <w:tab/>
              <w:t>13</w:t>
            </w:r>
          </w:hyperlink>
        </w:p>
        <w:p>
          <w:pPr>
            <w:pStyle w:val="Contents3"/>
            <w:tabs>
              <w:tab w:val="clear" w:pos="720"/>
              <w:tab w:val="right" w:pos="9026" w:leader="dot"/>
            </w:tabs>
            <w:bidi w:val="0"/>
            <w:jc w:val="left"/>
            <w:rPr/>
          </w:pPr>
          <w:hyperlink w:anchor="__RefHeading___Toc3471_4199434714">
            <w:r>
              <w:rPr>
                <w:webHidden/>
                <w:rStyle w:val="IndexLink"/>
              </w:rPr>
              <w:t>3.2 Interpretation</w:t>
              <w:tab/>
              <w:t>14</w:t>
            </w:r>
          </w:hyperlink>
        </w:p>
        <w:p>
          <w:pPr>
            <w:pStyle w:val="Contents2"/>
            <w:tabs>
              <w:tab w:val="clear" w:pos="720"/>
              <w:tab w:val="right" w:pos="9026" w:leader="dot"/>
            </w:tabs>
            <w:bidi w:val="0"/>
            <w:jc w:val="left"/>
            <w:rPr/>
          </w:pPr>
          <w:hyperlink w:anchor="__RefHeading___Toc3473_4199434714">
            <w:r>
              <w:rPr>
                <w:webHidden/>
                <w:rStyle w:val="IndexLink"/>
              </w:rPr>
              <w:t>Article 4: Legal Foundations and the Non-Prejudice Architecture</w:t>
              <w:tab/>
              <w:t>14</w:t>
            </w:r>
          </w:hyperlink>
        </w:p>
        <w:p>
          <w:pPr>
            <w:pStyle w:val="Contents3"/>
            <w:tabs>
              <w:tab w:val="clear" w:pos="720"/>
              <w:tab w:val="right" w:pos="9026" w:leader="dot"/>
            </w:tabs>
            <w:bidi w:val="0"/>
            <w:jc w:val="left"/>
            <w:rPr/>
          </w:pPr>
          <w:hyperlink w:anchor="__RefHeading___Toc3475_4199434714">
            <w:r>
              <w:rPr>
                <w:webHidden/>
                <w:rStyle w:val="IndexLink"/>
              </w:rPr>
              <w:t>4.1 Legal Foundations</w:t>
              <w:tab/>
              <w:t>14</w:t>
            </w:r>
          </w:hyperlink>
        </w:p>
        <w:p>
          <w:pPr>
            <w:pStyle w:val="Contents3"/>
            <w:tabs>
              <w:tab w:val="clear" w:pos="720"/>
              <w:tab w:val="right" w:pos="9026" w:leader="dot"/>
            </w:tabs>
            <w:bidi w:val="0"/>
            <w:jc w:val="left"/>
            <w:rPr/>
          </w:pPr>
          <w:hyperlink w:anchor="__RefHeading___Toc3477_4199434714">
            <w:r>
              <w:rPr>
                <w:webHidden/>
                <w:rStyle w:val="IndexLink"/>
              </w:rPr>
              <w:t>4.2 The Non-Prejudice Architecture</w:t>
              <w:tab/>
              <w:t>14</w:t>
            </w:r>
          </w:hyperlink>
        </w:p>
        <w:p>
          <w:pPr>
            <w:pStyle w:val="Contents3"/>
            <w:tabs>
              <w:tab w:val="clear" w:pos="720"/>
              <w:tab w:val="right" w:pos="9026" w:leader="dot"/>
            </w:tabs>
            <w:bidi w:val="0"/>
            <w:jc w:val="left"/>
            <w:rPr/>
          </w:pPr>
          <w:hyperlink w:anchor="__RefHeading___Toc3479_4199434714">
            <w:r>
              <w:rPr>
                <w:webHidden/>
                <w:rStyle w:val="IndexLink"/>
              </w:rPr>
              <w:t>4.3 Conformity Duty</w:t>
              <w:tab/>
              <w:t>15</w:t>
            </w:r>
          </w:hyperlink>
        </w:p>
        <w:p>
          <w:pPr>
            <w:pStyle w:val="Contents2"/>
            <w:tabs>
              <w:tab w:val="clear" w:pos="720"/>
              <w:tab w:val="right" w:pos="9026" w:leader="dot"/>
            </w:tabs>
            <w:bidi w:val="0"/>
            <w:jc w:val="left"/>
            <w:rPr/>
          </w:pPr>
          <w:hyperlink w:anchor="__RefHeading___Toc3481_4199434714">
            <w:r>
              <w:rPr>
                <w:webHidden/>
                <w:rStyle w:val="IndexLink"/>
              </w:rPr>
              <w:t>Article 5: The Participation Tiers</w:t>
              <w:tab/>
              <w:t>15</w:t>
            </w:r>
          </w:hyperlink>
        </w:p>
        <w:p>
          <w:pPr>
            <w:pStyle w:val="Contents3"/>
            <w:tabs>
              <w:tab w:val="clear" w:pos="720"/>
              <w:tab w:val="right" w:pos="9026" w:leader="dot"/>
            </w:tabs>
            <w:bidi w:val="0"/>
            <w:jc w:val="left"/>
            <w:rPr/>
          </w:pPr>
          <w:hyperlink w:anchor="__RefHeading___Toc3483_4199434714">
            <w:r>
              <w:rPr>
                <w:webHidden/>
                <w:rStyle w:val="IndexLink"/>
              </w:rPr>
              <w:t>5.1 Structure</w:t>
              <w:tab/>
              <w:t>15</w:t>
            </w:r>
          </w:hyperlink>
        </w:p>
        <w:p>
          <w:pPr>
            <w:pStyle w:val="Contents3"/>
            <w:tabs>
              <w:tab w:val="clear" w:pos="720"/>
              <w:tab w:val="right" w:pos="9026" w:leader="dot"/>
            </w:tabs>
            <w:bidi w:val="0"/>
            <w:jc w:val="left"/>
            <w:rPr/>
          </w:pPr>
          <w:hyperlink w:anchor="__RefHeading___Toc3485_4199434714">
            <w:r>
              <w:rPr>
                <w:webHidden/>
                <w:rStyle w:val="IndexLink"/>
              </w:rPr>
              <w:t>5.2 Tier One: The Founding Parties</w:t>
              <w:tab/>
              <w:t>15</w:t>
            </w:r>
          </w:hyperlink>
        </w:p>
        <w:p>
          <w:pPr>
            <w:pStyle w:val="Contents3"/>
            <w:tabs>
              <w:tab w:val="clear" w:pos="720"/>
              <w:tab w:val="right" w:pos="9026" w:leader="dot"/>
            </w:tabs>
            <w:bidi w:val="0"/>
            <w:jc w:val="left"/>
            <w:rPr/>
          </w:pPr>
          <w:hyperlink w:anchor="__RefHeading___Toc3487_4199434714">
            <w:r>
              <w:rPr>
                <w:webHidden/>
                <w:rStyle w:val="IndexLink"/>
              </w:rPr>
              <w:t>5.3 Tier Two: Regional Members</w:t>
              <w:tab/>
              <w:t>15</w:t>
            </w:r>
          </w:hyperlink>
        </w:p>
        <w:p>
          <w:pPr>
            <w:pStyle w:val="Contents3"/>
            <w:tabs>
              <w:tab w:val="clear" w:pos="720"/>
              <w:tab w:val="right" w:pos="9026" w:leader="dot"/>
            </w:tabs>
            <w:bidi w:val="0"/>
            <w:jc w:val="left"/>
            <w:rPr/>
          </w:pPr>
          <w:hyperlink w:anchor="__RefHeading___Toc3489_4199434714">
            <w:r>
              <w:rPr>
                <w:webHidden/>
                <w:rStyle w:val="IndexLink"/>
              </w:rPr>
              <w:t>5.4 Tier Three: Observer and Technical Participants</w:t>
              <w:tab/>
              <w:t>16</w:t>
            </w:r>
          </w:hyperlink>
        </w:p>
        <w:p>
          <w:pPr>
            <w:pStyle w:val="Contents3"/>
            <w:tabs>
              <w:tab w:val="clear" w:pos="720"/>
              <w:tab w:val="right" w:pos="9026" w:leader="dot"/>
            </w:tabs>
            <w:bidi w:val="0"/>
            <w:jc w:val="left"/>
            <w:rPr/>
          </w:pPr>
          <w:hyperlink w:anchor="__RefHeading___Toc3491_4199434714">
            <w:r>
              <w:rPr>
                <w:webHidden/>
                <w:rStyle w:val="IndexLink"/>
              </w:rPr>
              <w:t>5.5 Tier Four: Stakeholder Panel</w:t>
              <w:tab/>
              <w:t>16</w:t>
            </w:r>
          </w:hyperlink>
        </w:p>
        <w:p>
          <w:pPr>
            <w:pStyle w:val="Contents3"/>
            <w:tabs>
              <w:tab w:val="clear" w:pos="720"/>
              <w:tab w:val="right" w:pos="9026" w:leader="dot"/>
            </w:tabs>
            <w:bidi w:val="0"/>
            <w:jc w:val="left"/>
            <w:rPr/>
          </w:pPr>
          <w:hyperlink w:anchor="__RefHeading___Toc3493_4199434714">
            <w:r>
              <w:rPr>
                <w:webHidden/>
                <w:rStyle w:val="IndexLink"/>
              </w:rPr>
              <w:t>5.6 Equality of the Water</w:t>
              <w:tab/>
              <w:t>16</w:t>
            </w:r>
          </w:hyperlink>
        </w:p>
        <w:p>
          <w:pPr>
            <w:pStyle w:val="Contents2"/>
            <w:tabs>
              <w:tab w:val="clear" w:pos="720"/>
              <w:tab w:val="right" w:pos="9026" w:leader="dot"/>
            </w:tabs>
            <w:bidi w:val="0"/>
            <w:jc w:val="left"/>
            <w:rPr/>
          </w:pPr>
          <w:hyperlink w:anchor="__RefHeading___Toc3495_4199434714">
            <w:r>
              <w:rPr>
                <w:webHidden/>
                <w:rStyle w:val="IndexLink"/>
              </w:rPr>
              <w:t>Article 6: Core Operating Principles</w:t>
              <w:tab/>
              <w:t>16</w:t>
            </w:r>
          </w:hyperlink>
        </w:p>
        <w:p>
          <w:pPr>
            <w:pStyle w:val="Contents3"/>
            <w:tabs>
              <w:tab w:val="clear" w:pos="720"/>
              <w:tab w:val="right" w:pos="9026" w:leader="dot"/>
            </w:tabs>
            <w:bidi w:val="0"/>
            <w:jc w:val="left"/>
            <w:rPr/>
          </w:pPr>
          <w:hyperlink w:anchor="__RefHeading___Toc3497_4199434714">
            <w:r>
              <w:rPr>
                <w:webHidden/>
                <w:rStyle w:val="IndexLink"/>
              </w:rPr>
              <w:t>6.1 The Principle of Shared Stewardship</w:t>
              <w:tab/>
              <w:t>16</w:t>
            </w:r>
          </w:hyperlink>
        </w:p>
        <w:p>
          <w:pPr>
            <w:pStyle w:val="Contents3"/>
            <w:tabs>
              <w:tab w:val="clear" w:pos="720"/>
              <w:tab w:val="right" w:pos="9026" w:leader="dot"/>
            </w:tabs>
            <w:bidi w:val="0"/>
            <w:jc w:val="left"/>
            <w:rPr/>
          </w:pPr>
          <w:hyperlink w:anchor="__RefHeading___Toc3499_4199434714">
            <w:r>
              <w:rPr>
                <w:webHidden/>
                <w:rStyle w:val="IndexLink"/>
              </w:rPr>
              <w:t>6.2 The Principle of Free Transit</w:t>
              <w:tab/>
              <w:t>17</w:t>
            </w:r>
          </w:hyperlink>
        </w:p>
        <w:p>
          <w:pPr>
            <w:pStyle w:val="Contents3"/>
            <w:tabs>
              <w:tab w:val="clear" w:pos="720"/>
              <w:tab w:val="right" w:pos="9026" w:leader="dot"/>
            </w:tabs>
            <w:bidi w:val="0"/>
            <w:jc w:val="left"/>
            <w:rPr/>
          </w:pPr>
          <w:hyperlink w:anchor="__RefHeading___Toc3501_4199434714">
            <w:r>
              <w:rPr>
                <w:webHidden/>
                <w:rStyle w:val="IndexLink"/>
              </w:rPr>
              <w:t>6.3 The Principle of Notification, Not Permission</w:t>
              <w:tab/>
              <w:t>17</w:t>
            </w:r>
          </w:hyperlink>
        </w:p>
        <w:p>
          <w:pPr>
            <w:pStyle w:val="Contents3"/>
            <w:tabs>
              <w:tab w:val="clear" w:pos="720"/>
              <w:tab w:val="right" w:pos="9026" w:leader="dot"/>
            </w:tabs>
            <w:bidi w:val="0"/>
            <w:jc w:val="left"/>
            <w:rPr/>
          </w:pPr>
          <w:hyperlink w:anchor="__RefHeading___Toc3503_4199434714">
            <w:r>
              <w:rPr>
                <w:webHidden/>
                <w:rStyle w:val="IndexLink"/>
              </w:rPr>
              <w:t>6.4 The Principle of the Closed List</w:t>
              <w:tab/>
              <w:t>17</w:t>
            </w:r>
          </w:hyperlink>
        </w:p>
        <w:p>
          <w:pPr>
            <w:pStyle w:val="Contents3"/>
            <w:tabs>
              <w:tab w:val="clear" w:pos="720"/>
              <w:tab w:val="right" w:pos="9026" w:leader="dot"/>
            </w:tabs>
            <w:bidi w:val="0"/>
            <w:jc w:val="left"/>
            <w:rPr/>
          </w:pPr>
          <w:hyperlink w:anchor="__RefHeading___Toc3505_4199434714">
            <w:r>
              <w:rPr>
                <w:webHidden/>
                <w:rStyle w:val="IndexLink"/>
              </w:rPr>
              <w:t>6.5 The Principle of Proportionate Breathing</w:t>
              <w:tab/>
              <w:t>17</w:t>
            </w:r>
          </w:hyperlink>
        </w:p>
        <w:p>
          <w:pPr>
            <w:pStyle w:val="Contents3"/>
            <w:tabs>
              <w:tab w:val="clear" w:pos="720"/>
              <w:tab w:val="right" w:pos="9026" w:leader="dot"/>
            </w:tabs>
            <w:bidi w:val="0"/>
            <w:jc w:val="left"/>
            <w:rPr/>
          </w:pPr>
          <w:hyperlink w:anchor="__RefHeading___Toc3507_4199434714">
            <w:r>
              <w:rPr>
                <w:webHidden/>
                <w:rStyle w:val="IndexLink"/>
              </w:rPr>
              <w:t>6.6 The Principle of Radical Transparency with Bounded Confidentiality</w:t>
              <w:tab/>
              <w:t>17</w:t>
            </w:r>
          </w:hyperlink>
        </w:p>
        <w:p>
          <w:pPr>
            <w:pStyle w:val="Contents3"/>
            <w:tabs>
              <w:tab w:val="clear" w:pos="720"/>
              <w:tab w:val="right" w:pos="9026" w:leader="dot"/>
            </w:tabs>
            <w:bidi w:val="0"/>
            <w:jc w:val="left"/>
            <w:rPr/>
          </w:pPr>
          <w:hyperlink w:anchor="__RefHeading___Toc3509_4199434714">
            <w:r>
              <w:rPr>
                <w:webHidden/>
                <w:rStyle w:val="IndexLink"/>
              </w:rPr>
              <w:t>6.7 The Principle of Boring Water</w:t>
              <w:tab/>
              <w:t>17</w:t>
            </w:r>
          </w:hyperlink>
        </w:p>
        <w:p>
          <w:pPr>
            <w:pStyle w:val="Contents2"/>
            <w:tabs>
              <w:tab w:val="clear" w:pos="720"/>
              <w:tab w:val="right" w:pos="9026" w:leader="dot"/>
            </w:tabs>
            <w:bidi w:val="0"/>
            <w:jc w:val="left"/>
            <w:rPr/>
          </w:pPr>
          <w:hyperlink w:anchor="__RefHeading___Toc3511_4199434714">
            <w:r>
              <w:rPr>
                <w:webHidden/>
                <w:rStyle w:val="IndexLink"/>
              </w:rPr>
              <w:t>Article 7: The Standing Continuity Guarantee</w:t>
              <w:tab/>
              <w:t>18</w:t>
            </w:r>
          </w:hyperlink>
        </w:p>
        <w:p>
          <w:pPr>
            <w:pStyle w:val="Contents3"/>
            <w:tabs>
              <w:tab w:val="clear" w:pos="720"/>
              <w:tab w:val="right" w:pos="9026" w:leader="dot"/>
            </w:tabs>
            <w:bidi w:val="0"/>
            <w:jc w:val="left"/>
            <w:rPr/>
          </w:pPr>
          <w:hyperlink w:anchor="__RefHeading___Toc3513_4199434714">
            <w:r>
              <w:rPr>
                <w:webHidden/>
                <w:rStyle w:val="IndexLink"/>
              </w:rPr>
              <w:t>7.1 Dormancy, Never Death</w:t>
              <w:tab/>
              <w:t>18</w:t>
            </w:r>
          </w:hyperlink>
        </w:p>
        <w:p>
          <w:pPr>
            <w:pStyle w:val="Contents3"/>
            <w:tabs>
              <w:tab w:val="clear" w:pos="720"/>
              <w:tab w:val="right" w:pos="9026" w:leader="dot"/>
            </w:tabs>
            <w:bidi w:val="0"/>
            <w:jc w:val="left"/>
            <w:rPr/>
          </w:pPr>
          <w:hyperlink w:anchor="__RefHeading___Toc3515_4199434714">
            <w:r>
              <w:rPr>
                <w:webHidden/>
                <w:rStyle w:val="IndexLink"/>
              </w:rPr>
              <w:t>7.2 Reconstitution</w:t>
              <w:tab/>
              <w:t>18</w:t>
            </w:r>
          </w:hyperlink>
        </w:p>
        <w:p>
          <w:pPr>
            <w:pStyle w:val="Contents3"/>
            <w:tabs>
              <w:tab w:val="clear" w:pos="720"/>
              <w:tab w:val="right" w:pos="9026" w:leader="dot"/>
            </w:tabs>
            <w:bidi w:val="0"/>
            <w:jc w:val="left"/>
            <w:rPr/>
          </w:pPr>
          <w:hyperlink w:anchor="__RefHeading___Toc3517_4199434714">
            <w:r>
              <w:rPr>
                <w:webHidden/>
                <w:rStyle w:val="IndexLink"/>
              </w:rPr>
              <w:t>7.3 Succession</w:t>
              <w:tab/>
              <w:t>18</w:t>
            </w:r>
          </w:hyperlink>
        </w:p>
        <w:p>
          <w:pPr>
            <w:pStyle w:val="Contents1"/>
            <w:tabs>
              <w:tab w:val="clear" w:pos="720"/>
              <w:tab w:val="right" w:pos="9026" w:leader="dot"/>
            </w:tabs>
            <w:bidi w:val="0"/>
            <w:jc w:val="left"/>
            <w:rPr/>
          </w:pPr>
          <w:hyperlink w:anchor="__RefHeading___Toc3519_4199434714">
            <w:r>
              <w:rPr>
                <w:webHidden/>
                <w:rStyle w:val="IndexLink"/>
              </w:rPr>
              <w:t>PART II: THE CORRIDOR SYSTEM</w:t>
              <w:tab/>
              <w:t>19</w:t>
            </w:r>
          </w:hyperlink>
        </w:p>
        <w:p>
          <w:pPr>
            <w:pStyle w:val="Contents2"/>
            <w:tabs>
              <w:tab w:val="clear" w:pos="720"/>
              <w:tab w:val="right" w:pos="9026" w:leader="dot"/>
            </w:tabs>
            <w:bidi w:val="0"/>
            <w:jc w:val="left"/>
            <w:rPr/>
          </w:pPr>
          <w:hyperlink w:anchor="__RefHeading___Toc3521_4199434714">
            <w:r>
              <w:rPr>
                <w:webHidden/>
                <w:rStyle w:val="IndexLink"/>
              </w:rPr>
              <w:t>Article 8: The Two-Corridor Geometry</w:t>
              <w:tab/>
              <w:t>19</w:t>
            </w:r>
          </w:hyperlink>
        </w:p>
        <w:p>
          <w:pPr>
            <w:pStyle w:val="Contents3"/>
            <w:tabs>
              <w:tab w:val="clear" w:pos="720"/>
              <w:tab w:val="right" w:pos="9026" w:leader="dot"/>
            </w:tabs>
            <w:bidi w:val="0"/>
            <w:jc w:val="left"/>
            <w:rPr/>
          </w:pPr>
          <w:hyperlink w:anchor="__RefHeading___Toc3523_4199434714">
            <w:r>
              <w:rPr>
                <w:webHidden/>
                <w:rStyle w:val="IndexLink"/>
              </w:rPr>
              <w:t>8.1 The Core Design</w:t>
              <w:tab/>
              <w:t>19</w:t>
            </w:r>
          </w:hyperlink>
        </w:p>
        <w:p>
          <w:pPr>
            <w:pStyle w:val="Contents3"/>
            <w:tabs>
              <w:tab w:val="clear" w:pos="720"/>
              <w:tab w:val="right" w:pos="9026" w:leader="dot"/>
            </w:tabs>
            <w:bidi w:val="0"/>
            <w:jc w:val="left"/>
            <w:rPr/>
          </w:pPr>
          <w:hyperlink w:anchor="__RefHeading___Toc3525_4199434714">
            <w:r>
              <w:rPr>
                <w:webHidden/>
                <w:rStyle w:val="IndexLink"/>
              </w:rPr>
              <w:t>8.2 Why Two Corridors</w:t>
              <w:tab/>
              <w:t>19</w:t>
            </w:r>
          </w:hyperlink>
        </w:p>
        <w:p>
          <w:pPr>
            <w:pStyle w:val="Contents3"/>
            <w:tabs>
              <w:tab w:val="clear" w:pos="720"/>
              <w:tab w:val="right" w:pos="9026" w:leader="dot"/>
            </w:tabs>
            <w:bidi w:val="0"/>
            <w:jc w:val="left"/>
            <w:rPr/>
          </w:pPr>
          <w:hyperlink w:anchor="__RefHeading___Toc3527_4199434714">
            <w:r>
              <w:rPr>
                <w:webHidden/>
                <w:rStyle w:val="IndexLink"/>
              </w:rPr>
              <w:t>8.3 Corridor Dimensions</w:t>
              <w:tab/>
              <w:t>19</w:t>
            </w:r>
          </w:hyperlink>
        </w:p>
        <w:p>
          <w:pPr>
            <w:pStyle w:val="Contents2"/>
            <w:tabs>
              <w:tab w:val="clear" w:pos="720"/>
              <w:tab w:val="right" w:pos="9026" w:leader="dot"/>
            </w:tabs>
            <w:bidi w:val="0"/>
            <w:jc w:val="left"/>
            <w:rPr/>
          </w:pPr>
          <w:hyperlink w:anchor="__RefHeading___Toc3529_4199434714">
            <w:r>
              <w:rPr>
                <w:webHidden/>
                <w:rStyle w:val="IndexLink"/>
              </w:rPr>
              <w:t>Article 9: The Central Buffer and the Neutral Coordinate Registry</w:t>
              <w:tab/>
              <w:t>20</w:t>
            </w:r>
          </w:hyperlink>
        </w:p>
        <w:p>
          <w:pPr>
            <w:pStyle w:val="Contents3"/>
            <w:tabs>
              <w:tab w:val="clear" w:pos="720"/>
              <w:tab w:val="right" w:pos="9026" w:leader="dot"/>
            </w:tabs>
            <w:bidi w:val="0"/>
            <w:jc w:val="left"/>
            <w:rPr/>
          </w:pPr>
          <w:hyperlink w:anchor="__RefHeading___Toc3531_4199434714">
            <w:r>
              <w:rPr>
                <w:webHidden/>
                <w:rStyle w:val="IndexLink"/>
              </w:rPr>
              <w:t>9.1 The Central Buffer</w:t>
              <w:tab/>
              <w:t>20</w:t>
            </w:r>
          </w:hyperlink>
        </w:p>
        <w:p>
          <w:pPr>
            <w:pStyle w:val="Contents3"/>
            <w:tabs>
              <w:tab w:val="clear" w:pos="720"/>
              <w:tab w:val="right" w:pos="9026" w:leader="dot"/>
            </w:tabs>
            <w:bidi w:val="0"/>
            <w:jc w:val="left"/>
            <w:rPr/>
          </w:pPr>
          <w:hyperlink w:anchor="__RefHeading___Toc3533_4199434714">
            <w:r>
              <w:rPr>
                <w:webHidden/>
                <w:rStyle w:val="IndexLink"/>
              </w:rPr>
              <w:t>9.2 Buffer Functions</w:t>
              <w:tab/>
              <w:t>20</w:t>
            </w:r>
          </w:hyperlink>
        </w:p>
        <w:p>
          <w:pPr>
            <w:pStyle w:val="Contents3"/>
            <w:tabs>
              <w:tab w:val="clear" w:pos="720"/>
              <w:tab w:val="right" w:pos="9026" w:leader="dot"/>
            </w:tabs>
            <w:bidi w:val="0"/>
            <w:jc w:val="left"/>
            <w:rPr/>
          </w:pPr>
          <w:hyperlink w:anchor="__RefHeading___Toc3535_4199434714">
            <w:r>
              <w:rPr>
                <w:webHidden/>
                <w:rStyle w:val="IndexLink"/>
              </w:rPr>
              <w:t>9.3 The Neutral Coordinate Registry</w:t>
              <w:tab/>
              <w:t>20</w:t>
            </w:r>
          </w:hyperlink>
        </w:p>
        <w:p>
          <w:pPr>
            <w:pStyle w:val="Contents2"/>
            <w:tabs>
              <w:tab w:val="clear" w:pos="720"/>
              <w:tab w:val="right" w:pos="9026" w:leader="dot"/>
            </w:tabs>
            <w:bidi w:val="0"/>
            <w:jc w:val="left"/>
            <w:rPr/>
          </w:pPr>
          <w:hyperlink w:anchor="__RefHeading___Toc3537_4199434714">
            <w:r>
              <w:rPr>
                <w:webHidden/>
                <w:rStyle w:val="IndexLink"/>
              </w:rPr>
              <w:t>Article 10: Corridor One, the Northern Inbound Stewardship Corridor</w:t>
              <w:tab/>
              <w:t>21</w:t>
            </w:r>
          </w:hyperlink>
        </w:p>
        <w:p>
          <w:pPr>
            <w:pStyle w:val="Contents3"/>
            <w:tabs>
              <w:tab w:val="clear" w:pos="720"/>
              <w:tab w:val="right" w:pos="9026" w:leader="dot"/>
            </w:tabs>
            <w:bidi w:val="0"/>
            <w:jc w:val="left"/>
            <w:rPr/>
          </w:pPr>
          <w:hyperlink w:anchor="__RefHeading___Toc3539_4199434714">
            <w:r>
              <w:rPr>
                <w:webHidden/>
                <w:rStyle w:val="IndexLink"/>
              </w:rPr>
              <w:t>10.1 Function and Administration</w:t>
              <w:tab/>
              <w:t>21</w:t>
            </w:r>
          </w:hyperlink>
        </w:p>
        <w:p>
          <w:pPr>
            <w:pStyle w:val="Contents3"/>
            <w:tabs>
              <w:tab w:val="clear" w:pos="720"/>
              <w:tab w:val="right" w:pos="9026" w:leader="dot"/>
            </w:tabs>
            <w:bidi w:val="0"/>
            <w:jc w:val="left"/>
            <w:rPr/>
          </w:pPr>
          <w:hyperlink w:anchor="__RefHeading___Toc3541_4199434714">
            <w:r>
              <w:rPr>
                <w:webHidden/>
                <w:rStyle w:val="IndexLink"/>
              </w:rPr>
              <w:t>10.2 Service Delivery in Corridor One</w:t>
              <w:tab/>
              <w:t>21</w:t>
            </w:r>
          </w:hyperlink>
        </w:p>
        <w:p>
          <w:pPr>
            <w:pStyle w:val="Contents3"/>
            <w:tabs>
              <w:tab w:val="clear" w:pos="720"/>
              <w:tab w:val="right" w:pos="9026" w:leader="dot"/>
            </w:tabs>
            <w:bidi w:val="0"/>
            <w:jc w:val="left"/>
            <w:rPr/>
          </w:pPr>
          <w:hyperlink w:anchor="__RefHeading___Toc3543_4199434714">
            <w:r>
              <w:rPr>
                <w:webHidden/>
                <w:rStyle w:val="IndexLink"/>
              </w:rPr>
              <w:t>10.3 Security Posture in Corridor One</w:t>
              <w:tab/>
              <w:t>21</w:t>
            </w:r>
          </w:hyperlink>
        </w:p>
        <w:p>
          <w:pPr>
            <w:pStyle w:val="Contents2"/>
            <w:tabs>
              <w:tab w:val="clear" w:pos="720"/>
              <w:tab w:val="right" w:pos="9026" w:leader="dot"/>
            </w:tabs>
            <w:bidi w:val="0"/>
            <w:jc w:val="left"/>
            <w:rPr/>
          </w:pPr>
          <w:hyperlink w:anchor="__RefHeading___Toc3545_4199434714">
            <w:r>
              <w:rPr>
                <w:webHidden/>
                <w:rStyle w:val="IndexLink"/>
              </w:rPr>
              <w:t>Article 11: Corridor Two, the Southern Outbound Assurance Corridor</w:t>
              <w:tab/>
              <w:t>21</w:t>
            </w:r>
          </w:hyperlink>
        </w:p>
        <w:p>
          <w:pPr>
            <w:pStyle w:val="Contents3"/>
            <w:tabs>
              <w:tab w:val="clear" w:pos="720"/>
              <w:tab w:val="right" w:pos="9026" w:leader="dot"/>
            </w:tabs>
            <w:bidi w:val="0"/>
            <w:jc w:val="left"/>
            <w:rPr/>
          </w:pPr>
          <w:hyperlink w:anchor="__RefHeading___Toc3547_4199434714">
            <w:r>
              <w:rPr>
                <w:webHidden/>
                <w:rStyle w:val="IndexLink"/>
              </w:rPr>
              <w:t>11.1 Function and Administration</w:t>
              <w:tab/>
              <w:t>21</w:t>
            </w:r>
          </w:hyperlink>
        </w:p>
        <w:p>
          <w:pPr>
            <w:pStyle w:val="Contents3"/>
            <w:tabs>
              <w:tab w:val="clear" w:pos="720"/>
              <w:tab w:val="right" w:pos="9026" w:leader="dot"/>
            </w:tabs>
            <w:bidi w:val="0"/>
            <w:jc w:val="left"/>
            <w:rPr/>
          </w:pPr>
          <w:hyperlink w:anchor="__RefHeading___Toc3549_4199434714">
            <w:r>
              <w:rPr>
                <w:webHidden/>
                <w:rStyle w:val="IndexLink"/>
              </w:rPr>
              <w:t>11.2 Service Delivery in Corridor Two</w:t>
              <w:tab/>
              <w:t>22</w:t>
            </w:r>
          </w:hyperlink>
        </w:p>
        <w:p>
          <w:pPr>
            <w:pStyle w:val="Contents3"/>
            <w:tabs>
              <w:tab w:val="clear" w:pos="720"/>
              <w:tab w:val="right" w:pos="9026" w:leader="dot"/>
            </w:tabs>
            <w:bidi w:val="0"/>
            <w:jc w:val="left"/>
            <w:rPr/>
          </w:pPr>
          <w:hyperlink w:anchor="__RefHeading___Toc3551_4199434714">
            <w:r>
              <w:rPr>
                <w:webHidden/>
                <w:rStyle w:val="IndexLink"/>
              </w:rPr>
              <w:t>11.3 Security Posture in Corridor Two</w:t>
              <w:tab/>
              <w:t>22</w:t>
            </w:r>
          </w:hyperlink>
        </w:p>
        <w:p>
          <w:pPr>
            <w:pStyle w:val="Contents2"/>
            <w:tabs>
              <w:tab w:val="clear" w:pos="720"/>
              <w:tab w:val="right" w:pos="9026" w:leader="dot"/>
            </w:tabs>
            <w:bidi w:val="0"/>
            <w:jc w:val="left"/>
            <w:rPr/>
          </w:pPr>
          <w:hyperlink w:anchor="__RefHeading___Toc3553_4199434714">
            <w:r>
              <w:rPr>
                <w:webHidden/>
                <w:rStyle w:val="IndexLink"/>
              </w:rPr>
              <w:t>Article 12: The Wartime Lane Sunset and the Transition Rule</w:t>
              <w:tab/>
              <w:t>22</w:t>
            </w:r>
          </w:hyperlink>
        </w:p>
        <w:p>
          <w:pPr>
            <w:pStyle w:val="Contents3"/>
            <w:tabs>
              <w:tab w:val="clear" w:pos="720"/>
              <w:tab w:val="right" w:pos="9026" w:leader="dot"/>
            </w:tabs>
            <w:bidi w:val="0"/>
            <w:jc w:val="left"/>
            <w:rPr/>
          </w:pPr>
          <w:hyperlink w:anchor="__RefHeading___Toc3555_4199434714">
            <w:r>
              <w:rPr>
                <w:webHidden/>
                <w:rStyle w:val="IndexLink"/>
              </w:rPr>
              <w:t>12.1 Sunset</w:t>
              <w:tab/>
              <w:t>22</w:t>
            </w:r>
          </w:hyperlink>
        </w:p>
        <w:p>
          <w:pPr>
            <w:pStyle w:val="Contents3"/>
            <w:tabs>
              <w:tab w:val="clear" w:pos="720"/>
              <w:tab w:val="right" w:pos="9026" w:leader="dot"/>
            </w:tabs>
            <w:bidi w:val="0"/>
            <w:jc w:val="left"/>
            <w:rPr/>
          </w:pPr>
          <w:hyperlink w:anchor="__RefHeading___Toc3557_4199434714">
            <w:r>
              <w:rPr>
                <w:webHidden/>
                <w:rStyle w:val="IndexLink"/>
              </w:rPr>
              <w:t>12.2 The Transition Rule</w:t>
              <w:tab/>
              <w:t>22</w:t>
            </w:r>
          </w:hyperlink>
        </w:p>
        <w:p>
          <w:pPr>
            <w:pStyle w:val="Contents2"/>
            <w:tabs>
              <w:tab w:val="clear" w:pos="720"/>
              <w:tab w:val="right" w:pos="9026" w:leader="dot"/>
            </w:tabs>
            <w:bidi w:val="0"/>
            <w:jc w:val="left"/>
            <w:rPr/>
          </w:pPr>
          <w:hyperlink w:anchor="__RefHeading___Toc3559_4199434714">
            <w:r>
              <w:rPr>
                <w:webHidden/>
                <w:rStyle w:val="IndexLink"/>
              </w:rPr>
              <w:t>Article 13: The Unified Route Convergence Pathway</w:t>
              <w:tab/>
              <w:t>23</w:t>
            </w:r>
          </w:hyperlink>
        </w:p>
        <w:p>
          <w:pPr>
            <w:pStyle w:val="Contents3"/>
            <w:tabs>
              <w:tab w:val="clear" w:pos="720"/>
              <w:tab w:val="right" w:pos="9026" w:leader="dot"/>
            </w:tabs>
            <w:bidi w:val="0"/>
            <w:jc w:val="left"/>
            <w:rPr/>
          </w:pPr>
          <w:hyperlink w:anchor="__RefHeading___Toc3561_4199434714">
            <w:r>
              <w:rPr>
                <w:webHidden/>
                <w:rStyle w:val="IndexLink"/>
              </w:rPr>
              <w:t>13.1 The Convergence Objective</w:t>
              <w:tab/>
              <w:t>23</w:t>
            </w:r>
          </w:hyperlink>
        </w:p>
        <w:p>
          <w:pPr>
            <w:pStyle w:val="Contents3"/>
            <w:tabs>
              <w:tab w:val="clear" w:pos="720"/>
              <w:tab w:val="right" w:pos="9026" w:leader="dot"/>
            </w:tabs>
            <w:bidi w:val="0"/>
            <w:jc w:val="left"/>
            <w:rPr/>
          </w:pPr>
          <w:hyperlink w:anchor="__RefHeading___Toc3563_4199434714">
            <w:r>
              <w:rPr>
                <w:webHidden/>
                <w:rStyle w:val="IndexLink"/>
              </w:rPr>
              <w:t>13.2 Convergence Steps</w:t>
              <w:tab/>
              <w:t>23</w:t>
            </w:r>
          </w:hyperlink>
        </w:p>
        <w:p>
          <w:pPr>
            <w:pStyle w:val="Contents3"/>
            <w:tabs>
              <w:tab w:val="clear" w:pos="720"/>
              <w:tab w:val="right" w:pos="9026" w:leader="dot"/>
            </w:tabs>
            <w:bidi w:val="0"/>
            <w:jc w:val="left"/>
            <w:rPr/>
          </w:pPr>
          <w:hyperlink w:anchor="__RefHeading___Toc3565_4199434714">
            <w:r>
              <w:rPr>
                <w:webHidden/>
                <w:rStyle w:val="IndexLink"/>
              </w:rPr>
              <w:t>13.3 No Forced Convergence</w:t>
              <w:tab/>
              <w:t>23</w:t>
            </w:r>
          </w:hyperlink>
        </w:p>
        <w:p>
          <w:pPr>
            <w:pStyle w:val="Contents2"/>
            <w:tabs>
              <w:tab w:val="clear" w:pos="720"/>
              <w:tab w:val="right" w:pos="9026" w:leader="dot"/>
            </w:tabs>
            <w:bidi w:val="0"/>
            <w:jc w:val="left"/>
            <w:rPr/>
          </w:pPr>
          <w:hyperlink w:anchor="__RefHeading___Toc3567_4199434714">
            <w:r>
              <w:rPr>
                <w:webHidden/>
                <w:rStyle w:val="IndexLink"/>
              </w:rPr>
              <w:t>Article 14: Hazard Survey, Mine Exclusion, and Clearance</w:t>
              <w:tab/>
              <w:t>23</w:t>
            </w:r>
          </w:hyperlink>
        </w:p>
        <w:p>
          <w:pPr>
            <w:pStyle w:val="Contents3"/>
            <w:tabs>
              <w:tab w:val="clear" w:pos="720"/>
              <w:tab w:val="right" w:pos="9026" w:leader="dot"/>
            </w:tabs>
            <w:bidi w:val="0"/>
            <w:jc w:val="left"/>
            <w:rPr/>
          </w:pPr>
          <w:hyperlink w:anchor="__RefHeading___Toc3569_4199434714">
            <w:r>
              <w:rPr>
                <w:webHidden/>
                <w:rStyle w:val="IndexLink"/>
              </w:rPr>
              <w:t>14.1 The Mine Exclusion Principle</w:t>
              <w:tab/>
              <w:t>23</w:t>
            </w:r>
          </w:hyperlink>
        </w:p>
        <w:p>
          <w:pPr>
            <w:pStyle w:val="Contents3"/>
            <w:tabs>
              <w:tab w:val="clear" w:pos="720"/>
              <w:tab w:val="right" w:pos="9026" w:leader="dot"/>
            </w:tabs>
            <w:bidi w:val="0"/>
            <w:jc w:val="left"/>
            <w:rPr/>
          </w:pPr>
          <w:hyperlink w:anchor="__RefHeading___Toc3571_4199434714">
            <w:r>
              <w:rPr>
                <w:webHidden/>
                <w:rStyle w:val="IndexLink"/>
              </w:rPr>
              <w:t>14.2 The Joint Survey</w:t>
              <w:tab/>
              <w:t>24</w:t>
            </w:r>
          </w:hyperlink>
        </w:p>
        <w:p>
          <w:pPr>
            <w:pStyle w:val="Contents3"/>
            <w:tabs>
              <w:tab w:val="clear" w:pos="720"/>
              <w:tab w:val="right" w:pos="9026" w:leader="dot"/>
            </w:tabs>
            <w:bidi w:val="0"/>
            <w:jc w:val="left"/>
            <w:rPr/>
          </w:pPr>
          <w:hyperlink w:anchor="__RefHeading___Toc3573_4199434714">
            <w:r>
              <w:rPr>
                <w:webHidden/>
                <w:rStyle w:val="IndexLink"/>
              </w:rPr>
              <w:t>14.3 Clearance Operations</w:t>
              <w:tab/>
              <w:t>24</w:t>
            </w:r>
          </w:hyperlink>
        </w:p>
        <w:p>
          <w:pPr>
            <w:pStyle w:val="Contents3"/>
            <w:tabs>
              <w:tab w:val="clear" w:pos="720"/>
              <w:tab w:val="right" w:pos="9026" w:leader="dot"/>
            </w:tabs>
            <w:bidi w:val="0"/>
            <w:jc w:val="left"/>
            <w:rPr/>
          </w:pPr>
          <w:hyperlink w:anchor="__RefHeading___Toc3575_4199434714">
            <w:r>
              <w:rPr>
                <w:webHidden/>
                <w:rStyle w:val="IndexLink"/>
              </w:rPr>
              <w:t>14.4 Standing Surveillance</w:t>
              <w:tab/>
              <w:t>24</w:t>
            </w:r>
          </w:hyperlink>
        </w:p>
        <w:p>
          <w:pPr>
            <w:pStyle w:val="Contents1"/>
            <w:tabs>
              <w:tab w:val="clear" w:pos="720"/>
              <w:tab w:val="right" w:pos="9026" w:leader="dot"/>
            </w:tabs>
            <w:bidi w:val="0"/>
            <w:jc w:val="left"/>
            <w:rPr/>
          </w:pPr>
          <w:hyperlink w:anchor="__RefHeading___Toc3577_4199434714">
            <w:r>
              <w:rPr>
                <w:webHidden/>
                <w:rStyle w:val="IndexLink"/>
              </w:rPr>
              <w:t>PART III: THE TRANSIT REGIME</w:t>
              <w:tab/>
              <w:t>25</w:t>
            </w:r>
          </w:hyperlink>
        </w:p>
        <w:p>
          <w:pPr>
            <w:pStyle w:val="Contents2"/>
            <w:tabs>
              <w:tab w:val="clear" w:pos="720"/>
              <w:tab w:val="right" w:pos="9026" w:leader="dot"/>
            </w:tabs>
            <w:bidi w:val="0"/>
            <w:jc w:val="left"/>
            <w:rPr/>
          </w:pPr>
          <w:hyperlink w:anchor="__RefHeading___Toc3579_4199434714">
            <w:r>
              <w:rPr>
                <w:webHidden/>
                <w:rStyle w:val="IndexLink"/>
              </w:rPr>
              <w:t>Article 15: Notification, Not Permission</w:t>
              <w:tab/>
              <w:t>25</w:t>
            </w:r>
          </w:hyperlink>
        </w:p>
        <w:p>
          <w:pPr>
            <w:pStyle w:val="Contents3"/>
            <w:tabs>
              <w:tab w:val="clear" w:pos="720"/>
              <w:tab w:val="right" w:pos="9026" w:leader="dot"/>
            </w:tabs>
            <w:bidi w:val="0"/>
            <w:jc w:val="left"/>
            <w:rPr/>
          </w:pPr>
          <w:hyperlink w:anchor="__RefHeading___Toc3581_4199434714">
            <w:r>
              <w:rPr>
                <w:webHidden/>
                <w:rStyle w:val="IndexLink"/>
              </w:rPr>
              <w:t>15.1 The File-and-Acknowledge Rule</w:t>
              <w:tab/>
              <w:t>25</w:t>
            </w:r>
          </w:hyperlink>
        </w:p>
        <w:p>
          <w:pPr>
            <w:pStyle w:val="Contents3"/>
            <w:tabs>
              <w:tab w:val="clear" w:pos="720"/>
              <w:tab w:val="right" w:pos="9026" w:leader="dot"/>
            </w:tabs>
            <w:bidi w:val="0"/>
            <w:jc w:val="left"/>
            <w:rPr/>
          </w:pPr>
          <w:hyperlink w:anchor="__RefHeading___Toc3583_4199434714">
            <w:r>
              <w:rPr>
                <w:webHidden/>
                <w:rStyle w:val="IndexLink"/>
              </w:rPr>
              <w:t>15.2 Content of the Notice</w:t>
              <w:tab/>
              <w:t>25</w:t>
            </w:r>
          </w:hyperlink>
        </w:p>
        <w:p>
          <w:pPr>
            <w:pStyle w:val="Contents3"/>
            <w:tabs>
              <w:tab w:val="clear" w:pos="720"/>
              <w:tab w:val="right" w:pos="9026" w:leader="dot"/>
            </w:tabs>
            <w:bidi w:val="0"/>
            <w:jc w:val="left"/>
            <w:rPr/>
          </w:pPr>
          <w:hyperlink w:anchor="__RefHeading___Toc3585_4199434714">
            <w:r>
              <w:rPr>
                <w:webHidden/>
                <w:rStyle w:val="IndexLink"/>
              </w:rPr>
              <w:t>15.3 Gate Sequencing</w:t>
              <w:tab/>
              <w:t>25</w:t>
            </w:r>
          </w:hyperlink>
        </w:p>
        <w:p>
          <w:pPr>
            <w:pStyle w:val="Contents3"/>
            <w:tabs>
              <w:tab w:val="clear" w:pos="720"/>
              <w:tab w:val="right" w:pos="9026" w:leader="dot"/>
            </w:tabs>
            <w:bidi w:val="0"/>
            <w:jc w:val="left"/>
            <w:rPr/>
          </w:pPr>
          <w:hyperlink w:anchor="__RefHeading___Toc3587_4199434714">
            <w:r>
              <w:rPr>
                <w:webHidden/>
                <w:rStyle w:val="IndexLink"/>
              </w:rPr>
              <w:t>15.4 Standing Registration</w:t>
              <w:tab/>
              <w:t>25</w:t>
            </w:r>
          </w:hyperlink>
        </w:p>
        <w:p>
          <w:pPr>
            <w:pStyle w:val="Contents2"/>
            <w:tabs>
              <w:tab w:val="clear" w:pos="720"/>
              <w:tab w:val="right" w:pos="9026" w:leader="dot"/>
            </w:tabs>
            <w:bidi w:val="0"/>
            <w:jc w:val="left"/>
            <w:rPr/>
          </w:pPr>
          <w:hyperlink w:anchor="__RefHeading___Toc3589_4199434714">
            <w:r>
              <w:rPr>
                <w:webHidden/>
                <w:rStyle w:val="IndexLink"/>
              </w:rPr>
              <w:t>Article 16: Vessel Classification and Differentiated Treatment</w:t>
              <w:tab/>
              <w:t>26</w:t>
            </w:r>
          </w:hyperlink>
        </w:p>
        <w:p>
          <w:pPr>
            <w:pStyle w:val="Contents3"/>
            <w:tabs>
              <w:tab w:val="clear" w:pos="720"/>
              <w:tab w:val="right" w:pos="9026" w:leader="dot"/>
            </w:tabs>
            <w:bidi w:val="0"/>
            <w:jc w:val="left"/>
            <w:rPr/>
          </w:pPr>
          <w:hyperlink w:anchor="__RefHeading___Toc3591_4199434714">
            <w:r>
              <w:rPr>
                <w:webHidden/>
                <w:rStyle w:val="IndexLink"/>
              </w:rPr>
              <w:t>16.1 Classification</w:t>
              <w:tab/>
              <w:t>26</w:t>
            </w:r>
          </w:hyperlink>
        </w:p>
        <w:p>
          <w:pPr>
            <w:pStyle w:val="Contents3"/>
            <w:tabs>
              <w:tab w:val="clear" w:pos="720"/>
              <w:tab w:val="right" w:pos="9026" w:leader="dot"/>
            </w:tabs>
            <w:bidi w:val="0"/>
            <w:jc w:val="left"/>
            <w:rPr/>
          </w:pPr>
          <w:hyperlink w:anchor="__RefHeading___Toc3593_4199434714">
            <w:r>
              <w:rPr>
                <w:webHidden/>
                <w:rStyle w:val="IndexLink"/>
              </w:rPr>
              <w:t>16.2 Humanitarian Vessels</w:t>
              <w:tab/>
              <w:t>26</w:t>
            </w:r>
          </w:hyperlink>
        </w:p>
        <w:p>
          <w:pPr>
            <w:pStyle w:val="Contents3"/>
            <w:tabs>
              <w:tab w:val="clear" w:pos="720"/>
              <w:tab w:val="right" w:pos="9026" w:leader="dot"/>
            </w:tabs>
            <w:bidi w:val="0"/>
            <w:jc w:val="left"/>
            <w:rPr/>
          </w:pPr>
          <w:hyperlink w:anchor="__RefHeading___Toc3595_4199434714">
            <w:r>
              <w:rPr>
                <w:webHidden/>
                <w:rStyle w:val="IndexLink"/>
              </w:rPr>
              <w:t>16.3 Flag Neutrality</w:t>
              <w:tab/>
              <w:t>26</w:t>
            </w:r>
          </w:hyperlink>
        </w:p>
        <w:p>
          <w:pPr>
            <w:pStyle w:val="Contents2"/>
            <w:tabs>
              <w:tab w:val="clear" w:pos="720"/>
              <w:tab w:val="right" w:pos="9026" w:leader="dot"/>
            </w:tabs>
            <w:bidi w:val="0"/>
            <w:jc w:val="left"/>
            <w:rPr/>
          </w:pPr>
          <w:hyperlink w:anchor="__RefHeading___Toc3597_4199434714">
            <w:r>
              <w:rPr>
                <w:webHidden/>
                <w:rStyle w:val="IndexLink"/>
              </w:rPr>
              <w:t>Article 17: The Absolute Non-Interdiction Protocol</w:t>
              <w:tab/>
              <w:t>26</w:t>
            </w:r>
          </w:hyperlink>
        </w:p>
        <w:p>
          <w:pPr>
            <w:pStyle w:val="Contents3"/>
            <w:tabs>
              <w:tab w:val="clear" w:pos="720"/>
              <w:tab w:val="right" w:pos="9026" w:leader="dot"/>
            </w:tabs>
            <w:bidi w:val="0"/>
            <w:jc w:val="left"/>
            <w:rPr/>
          </w:pPr>
          <w:hyperlink w:anchor="__RefHeading___Toc3599_4199434714">
            <w:r>
              <w:rPr>
                <w:webHidden/>
                <w:rStyle w:val="IndexLink"/>
              </w:rPr>
              <w:t>17.1 The Protocol</w:t>
              <w:tab/>
              <w:t>26</w:t>
            </w:r>
          </w:hyperlink>
        </w:p>
        <w:p>
          <w:pPr>
            <w:pStyle w:val="Contents3"/>
            <w:tabs>
              <w:tab w:val="clear" w:pos="720"/>
              <w:tab w:val="right" w:pos="9026" w:leader="dot"/>
            </w:tabs>
            <w:bidi w:val="0"/>
            <w:jc w:val="left"/>
            <w:rPr/>
          </w:pPr>
          <w:hyperlink w:anchor="__RefHeading___Toc3601_4199434714">
            <w:r>
              <w:rPr>
                <w:webHidden/>
                <w:rStyle w:val="IndexLink"/>
              </w:rPr>
              <w:t>17.2 The Safety Exception</w:t>
              <w:tab/>
              <w:t>26</w:t>
            </w:r>
          </w:hyperlink>
        </w:p>
        <w:p>
          <w:pPr>
            <w:pStyle w:val="Contents3"/>
            <w:tabs>
              <w:tab w:val="clear" w:pos="720"/>
              <w:tab w:val="right" w:pos="9026" w:leader="dot"/>
            </w:tabs>
            <w:bidi w:val="0"/>
            <w:jc w:val="left"/>
            <w:rPr/>
          </w:pPr>
          <w:hyperlink w:anchor="__RefHeading___Toc3603_4199434714">
            <w:r>
              <w:rPr>
                <w:webHidden/>
                <w:rStyle w:val="IndexLink"/>
              </w:rPr>
              <w:t>17.3 Consequences of Violation</w:t>
              <w:tab/>
              <w:t>27</w:t>
            </w:r>
          </w:hyperlink>
        </w:p>
        <w:p>
          <w:pPr>
            <w:pStyle w:val="Contents2"/>
            <w:tabs>
              <w:tab w:val="clear" w:pos="720"/>
              <w:tab w:val="right" w:pos="9026" w:leader="dot"/>
            </w:tabs>
            <w:bidi w:val="0"/>
            <w:jc w:val="left"/>
            <w:rPr/>
          </w:pPr>
          <w:hyperlink w:anchor="__RefHeading___Toc3605_4199434714">
            <w:r>
              <w:rPr>
                <w:webHidden/>
                <w:rStyle w:val="IndexLink"/>
              </w:rPr>
              <w:t>Article 18: Traffic Management, Flow States, and the Open Water Bulletin</w:t>
              <w:tab/>
              <w:t>27</w:t>
            </w:r>
          </w:hyperlink>
        </w:p>
        <w:p>
          <w:pPr>
            <w:pStyle w:val="Contents3"/>
            <w:tabs>
              <w:tab w:val="clear" w:pos="720"/>
              <w:tab w:val="right" w:pos="9026" w:leader="dot"/>
            </w:tabs>
            <w:bidi w:val="0"/>
            <w:jc w:val="left"/>
            <w:rPr/>
          </w:pPr>
          <w:hyperlink w:anchor="__RefHeading___Toc3607_4199434714">
            <w:r>
              <w:rPr>
                <w:webHidden/>
                <w:rStyle w:val="IndexLink"/>
              </w:rPr>
              <w:t>18.1 The Coordination Center's Traffic Function</w:t>
              <w:tab/>
              <w:t>27</w:t>
            </w:r>
          </w:hyperlink>
        </w:p>
        <w:p>
          <w:pPr>
            <w:pStyle w:val="Contents3"/>
            <w:tabs>
              <w:tab w:val="clear" w:pos="720"/>
              <w:tab w:val="right" w:pos="9026" w:leader="dot"/>
            </w:tabs>
            <w:bidi w:val="0"/>
            <w:jc w:val="left"/>
            <w:rPr/>
          </w:pPr>
          <w:hyperlink w:anchor="__RefHeading___Toc3609_4199434714">
            <w:r>
              <w:rPr>
                <w:webHidden/>
                <w:rStyle w:val="IndexLink"/>
              </w:rPr>
              <w:t>18.2 Flow States</w:t>
              <w:tab/>
              <w:t>27</w:t>
            </w:r>
          </w:hyperlink>
        </w:p>
        <w:p>
          <w:pPr>
            <w:pStyle w:val="Contents3"/>
            <w:tabs>
              <w:tab w:val="clear" w:pos="720"/>
              <w:tab w:val="right" w:pos="9026" w:leader="dot"/>
            </w:tabs>
            <w:bidi w:val="0"/>
            <w:jc w:val="left"/>
            <w:rPr/>
          </w:pPr>
          <w:hyperlink w:anchor="__RefHeading___Toc3611_4199434714">
            <w:r>
              <w:rPr>
                <w:webHidden/>
                <w:rStyle w:val="IndexLink"/>
              </w:rPr>
              <w:t>18.3 Convoy Windows</w:t>
              <w:tab/>
              <w:t>28</w:t>
            </w:r>
          </w:hyperlink>
        </w:p>
        <w:p>
          <w:pPr>
            <w:pStyle w:val="Contents3"/>
            <w:tabs>
              <w:tab w:val="clear" w:pos="720"/>
              <w:tab w:val="right" w:pos="9026" w:leader="dot"/>
            </w:tabs>
            <w:bidi w:val="0"/>
            <w:jc w:val="left"/>
            <w:rPr/>
          </w:pPr>
          <w:hyperlink w:anchor="__RefHeading___Toc3613_4199434714">
            <w:r>
              <w:rPr>
                <w:webHidden/>
                <w:rStyle w:val="IndexLink"/>
              </w:rPr>
              <w:t>18.4 The Open Water Bulletin</w:t>
              <w:tab/>
              <w:t>28</w:t>
            </w:r>
          </w:hyperlink>
        </w:p>
        <w:p>
          <w:pPr>
            <w:pStyle w:val="Contents2"/>
            <w:tabs>
              <w:tab w:val="clear" w:pos="720"/>
              <w:tab w:val="right" w:pos="9026" w:leader="dot"/>
            </w:tabs>
            <w:bidi w:val="0"/>
            <w:jc w:val="left"/>
            <w:rPr/>
          </w:pPr>
          <w:hyperlink w:anchor="__RefHeading___Toc3615_4199434714">
            <w:r>
              <w:rPr>
                <w:webHidden/>
                <w:rStyle w:val="IndexLink"/>
              </w:rPr>
              <w:t>Article 19: Anchorages and Waiting Discipline</w:t>
              <w:tab/>
              <w:t>28</w:t>
            </w:r>
          </w:hyperlink>
        </w:p>
        <w:p>
          <w:pPr>
            <w:pStyle w:val="Contents3"/>
            <w:tabs>
              <w:tab w:val="clear" w:pos="720"/>
              <w:tab w:val="right" w:pos="9026" w:leader="dot"/>
            </w:tabs>
            <w:bidi w:val="0"/>
            <w:jc w:val="left"/>
            <w:rPr/>
          </w:pPr>
          <w:hyperlink w:anchor="__RefHeading___Toc3617_4199434714">
            <w:r>
              <w:rPr>
                <w:webHidden/>
                <w:rStyle w:val="IndexLink"/>
              </w:rPr>
              <w:t>19.1 Designated Anchorages</w:t>
              <w:tab/>
              <w:t>28</w:t>
            </w:r>
          </w:hyperlink>
        </w:p>
        <w:p>
          <w:pPr>
            <w:pStyle w:val="Contents3"/>
            <w:tabs>
              <w:tab w:val="clear" w:pos="720"/>
              <w:tab w:val="right" w:pos="9026" w:leader="dot"/>
            </w:tabs>
            <w:bidi w:val="0"/>
            <w:jc w:val="left"/>
            <w:rPr/>
          </w:pPr>
          <w:hyperlink w:anchor="__RefHeading___Toc3619_4199434714">
            <w:r>
              <w:rPr>
                <w:webHidden/>
                <w:rStyle w:val="IndexLink"/>
              </w:rPr>
              <w:t>19.2 Waiting Discipline</w:t>
              <w:tab/>
              <w:t>28</w:t>
            </w:r>
          </w:hyperlink>
        </w:p>
        <w:p>
          <w:pPr>
            <w:pStyle w:val="Contents3"/>
            <w:tabs>
              <w:tab w:val="clear" w:pos="720"/>
              <w:tab w:val="right" w:pos="9026" w:leader="dot"/>
            </w:tabs>
            <w:bidi w:val="0"/>
            <w:jc w:val="left"/>
            <w:rPr/>
          </w:pPr>
          <w:hyperlink w:anchor="__RefHeading___Toc3621_4199434714">
            <w:r>
              <w:rPr>
                <w:webHidden/>
                <w:rStyle w:val="IndexLink"/>
              </w:rPr>
              <w:t>19.3 Anchorage Services</w:t>
              <w:tab/>
              <w:t>28</w:t>
            </w:r>
          </w:hyperlink>
        </w:p>
        <w:p>
          <w:pPr>
            <w:pStyle w:val="Contents2"/>
            <w:tabs>
              <w:tab w:val="clear" w:pos="720"/>
              <w:tab w:val="right" w:pos="9026" w:leader="dot"/>
            </w:tabs>
            <w:bidi w:val="0"/>
            <w:jc w:val="left"/>
            <w:rPr/>
          </w:pPr>
          <w:hyperlink w:anchor="__RefHeading___Toc3623_4199434714">
            <w:r>
              <w:rPr>
                <w:webHidden/>
                <w:rStyle w:val="IndexLink"/>
              </w:rPr>
              <w:t>Article 20: Naval and Military Transit</w:t>
              <w:tab/>
              <w:t>29</w:t>
            </w:r>
          </w:hyperlink>
        </w:p>
        <w:p>
          <w:pPr>
            <w:pStyle w:val="Contents3"/>
            <w:tabs>
              <w:tab w:val="clear" w:pos="720"/>
              <w:tab w:val="right" w:pos="9026" w:leader="dot"/>
            </w:tabs>
            <w:bidi w:val="0"/>
            <w:jc w:val="left"/>
            <w:rPr/>
          </w:pPr>
          <w:hyperlink w:anchor="__RefHeading___Toc3625_4199434714">
            <w:r>
              <w:rPr>
                <w:webHidden/>
                <w:rStyle w:val="IndexLink"/>
              </w:rPr>
              <w:t>20.1 The Standing Rule</w:t>
              <w:tab/>
              <w:t>29</w:t>
            </w:r>
          </w:hyperlink>
        </w:p>
        <w:p>
          <w:pPr>
            <w:pStyle w:val="Contents3"/>
            <w:tabs>
              <w:tab w:val="clear" w:pos="720"/>
              <w:tab w:val="right" w:pos="9026" w:leader="dot"/>
            </w:tabs>
            <w:bidi w:val="0"/>
            <w:jc w:val="left"/>
            <w:rPr/>
          </w:pPr>
          <w:hyperlink w:anchor="__RefHeading___Toc3627_4199434714">
            <w:r>
              <w:rPr>
                <w:webHidden/>
                <w:rStyle w:val="IndexLink"/>
              </w:rPr>
              <w:t>20.2 Naval Notification</w:t>
              <w:tab/>
              <w:t>29</w:t>
            </w:r>
          </w:hyperlink>
        </w:p>
        <w:p>
          <w:pPr>
            <w:pStyle w:val="Contents3"/>
            <w:tabs>
              <w:tab w:val="clear" w:pos="720"/>
              <w:tab w:val="right" w:pos="9026" w:leader="dot"/>
            </w:tabs>
            <w:bidi w:val="0"/>
            <w:jc w:val="left"/>
            <w:rPr/>
          </w:pPr>
          <w:hyperlink w:anchor="__RefHeading___Toc3629_4199434714">
            <w:r>
              <w:rPr>
                <w:webHidden/>
                <w:rStyle w:val="IndexLink"/>
              </w:rPr>
              <w:t>20.3 Conduct at Sea</w:t>
              <w:tab/>
              <w:t>29</w:t>
            </w:r>
          </w:hyperlink>
        </w:p>
        <w:p>
          <w:pPr>
            <w:pStyle w:val="Contents2"/>
            <w:tabs>
              <w:tab w:val="clear" w:pos="720"/>
              <w:tab w:val="right" w:pos="9026" w:leader="dot"/>
            </w:tabs>
            <w:bidi w:val="0"/>
            <w:jc w:val="left"/>
            <w:rPr/>
          </w:pPr>
          <w:hyperlink w:anchor="__RefHeading___Toc3631_4199434714">
            <w:r>
              <w:rPr>
                <w:webHidden/>
                <w:rStyle w:val="IndexLink"/>
              </w:rPr>
              <w:t>Article 21: Data Custody and Confidentiality</w:t>
              <w:tab/>
              <w:t>29</w:t>
            </w:r>
          </w:hyperlink>
        </w:p>
        <w:p>
          <w:pPr>
            <w:pStyle w:val="Contents3"/>
            <w:tabs>
              <w:tab w:val="clear" w:pos="720"/>
              <w:tab w:val="right" w:pos="9026" w:leader="dot"/>
            </w:tabs>
            <w:bidi w:val="0"/>
            <w:jc w:val="left"/>
            <w:rPr/>
          </w:pPr>
          <w:hyperlink w:anchor="__RefHeading___Toc3633_4199434714">
            <w:r>
              <w:rPr>
                <w:webHidden/>
                <w:rStyle w:val="IndexLink"/>
              </w:rPr>
              <w:t>21.1 The Data Rule</w:t>
              <w:tab/>
              <w:t>29</w:t>
            </w:r>
          </w:hyperlink>
        </w:p>
        <w:p>
          <w:pPr>
            <w:pStyle w:val="Contents3"/>
            <w:tabs>
              <w:tab w:val="clear" w:pos="720"/>
              <w:tab w:val="right" w:pos="9026" w:leader="dot"/>
            </w:tabs>
            <w:bidi w:val="0"/>
            <w:jc w:val="left"/>
            <w:rPr/>
          </w:pPr>
          <w:hyperlink w:anchor="__RefHeading___Toc3635_4199434714">
            <w:r>
              <w:rPr>
                <w:webHidden/>
                <w:rStyle w:val="IndexLink"/>
              </w:rPr>
              <w:t>21.2 Confidentiality Classes</w:t>
              <w:tab/>
              <w:t>29</w:t>
            </w:r>
          </w:hyperlink>
        </w:p>
        <w:p>
          <w:pPr>
            <w:pStyle w:val="Contents3"/>
            <w:tabs>
              <w:tab w:val="clear" w:pos="720"/>
              <w:tab w:val="right" w:pos="9026" w:leader="dot"/>
            </w:tabs>
            <w:bidi w:val="0"/>
            <w:jc w:val="left"/>
            <w:rPr/>
          </w:pPr>
          <w:hyperlink w:anchor="__RefHeading___Toc3637_4199434714">
            <w:r>
              <w:rPr>
                <w:webHidden/>
                <w:rStyle w:val="IndexLink"/>
              </w:rPr>
              <w:t>21.3 Cybersecurity and Integrity</w:t>
              <w:tab/>
              <w:t>30</w:t>
            </w:r>
          </w:hyperlink>
        </w:p>
        <w:p>
          <w:pPr>
            <w:pStyle w:val="Contents1"/>
            <w:tabs>
              <w:tab w:val="clear" w:pos="720"/>
              <w:tab w:val="right" w:pos="9026" w:leader="dot"/>
            </w:tabs>
            <w:bidi w:val="0"/>
            <w:jc w:val="left"/>
            <w:rPr/>
          </w:pPr>
          <w:hyperlink w:anchor="__RefHeading___Toc3639_4199434714">
            <w:r>
              <w:rPr>
                <w:webHidden/>
                <w:rStyle w:val="IndexLink"/>
              </w:rPr>
              <w:t>PART IV: THE FEE RESOLUTION AND THE ECONOMIC ARCHITECTURE</w:t>
              <w:tab/>
              <w:t>31</w:t>
            </w:r>
          </w:hyperlink>
        </w:p>
        <w:p>
          <w:pPr>
            <w:pStyle w:val="Contents2"/>
            <w:tabs>
              <w:tab w:val="clear" w:pos="720"/>
              <w:tab w:val="right" w:pos="9026" w:leader="dot"/>
            </w:tabs>
            <w:bidi w:val="0"/>
            <w:jc w:val="left"/>
            <w:rPr/>
          </w:pPr>
          <w:hyperlink w:anchor="__RefHeading___Toc3641_4199434714">
            <w:r>
              <w:rPr>
                <w:webHidden/>
                <w:rStyle w:val="IndexLink"/>
              </w:rPr>
              <w:t>Article 22: The Zero-Toll Covenant</w:t>
              <w:tab/>
              <w:t>31</w:t>
            </w:r>
          </w:hyperlink>
        </w:p>
        <w:p>
          <w:pPr>
            <w:pStyle w:val="Contents3"/>
            <w:tabs>
              <w:tab w:val="clear" w:pos="720"/>
              <w:tab w:val="right" w:pos="9026" w:leader="dot"/>
            </w:tabs>
            <w:bidi w:val="0"/>
            <w:jc w:val="left"/>
            <w:rPr/>
          </w:pPr>
          <w:hyperlink w:anchor="__RefHeading___Toc3643_4199434714">
            <w:r>
              <w:rPr>
                <w:webHidden/>
                <w:rStyle w:val="IndexLink"/>
              </w:rPr>
              <w:t>22.1 The Covenant</w:t>
              <w:tab/>
              <w:t>31</w:t>
            </w:r>
          </w:hyperlink>
        </w:p>
        <w:p>
          <w:pPr>
            <w:pStyle w:val="Contents3"/>
            <w:tabs>
              <w:tab w:val="clear" w:pos="720"/>
              <w:tab w:val="right" w:pos="9026" w:leader="dot"/>
            </w:tabs>
            <w:bidi w:val="0"/>
            <w:jc w:val="left"/>
            <w:rPr/>
          </w:pPr>
          <w:hyperlink w:anchor="__RefHeading___Toc3645_4199434714">
            <w:r>
              <w:rPr>
                <w:webHidden/>
                <w:rStyle w:val="IndexLink"/>
              </w:rPr>
              <w:t>22.2 The Substance Anchor</w:t>
              <w:tab/>
              <w:t>31</w:t>
            </w:r>
          </w:hyperlink>
        </w:p>
        <w:p>
          <w:pPr>
            <w:pStyle w:val="Contents3"/>
            <w:tabs>
              <w:tab w:val="clear" w:pos="720"/>
              <w:tab w:val="right" w:pos="9026" w:leader="dot"/>
            </w:tabs>
            <w:bidi w:val="0"/>
            <w:jc w:val="left"/>
            <w:rPr/>
          </w:pPr>
          <w:hyperlink w:anchor="__RefHeading___Toc3647_4199434714">
            <w:r>
              <w:rPr>
                <w:webHidden/>
                <w:rStyle w:val="IndexLink"/>
              </w:rPr>
              <w:t>22.3 The Record of the Compromise</w:t>
              <w:tab/>
              <w:t>31</w:t>
            </w:r>
          </w:hyperlink>
        </w:p>
        <w:p>
          <w:pPr>
            <w:pStyle w:val="Contents2"/>
            <w:tabs>
              <w:tab w:val="clear" w:pos="720"/>
              <w:tab w:val="right" w:pos="9026" w:leader="dot"/>
            </w:tabs>
            <w:bidi w:val="0"/>
            <w:jc w:val="left"/>
            <w:rPr/>
          </w:pPr>
          <w:hyperlink w:anchor="__RefHeading___Toc3649_4199434714">
            <w:r>
              <w:rPr>
                <w:webHidden/>
                <w:rStyle w:val="IndexLink"/>
              </w:rPr>
              <w:t>Article 23: The Service Distinction and the Verified Services Catalog</w:t>
              <w:tab/>
              <w:t>31</w:t>
            </w:r>
          </w:hyperlink>
        </w:p>
        <w:p>
          <w:pPr>
            <w:pStyle w:val="Contents3"/>
            <w:tabs>
              <w:tab w:val="clear" w:pos="720"/>
              <w:tab w:val="right" w:pos="9026" w:leader="dot"/>
            </w:tabs>
            <w:bidi w:val="0"/>
            <w:jc w:val="left"/>
            <w:rPr/>
          </w:pPr>
          <w:hyperlink w:anchor="__RefHeading___Toc3651_4199434714">
            <w:r>
              <w:rPr>
                <w:webHidden/>
                <w:rStyle w:val="IndexLink"/>
              </w:rPr>
              <w:t>23.1 The Distinction</w:t>
              <w:tab/>
              <w:t>31</w:t>
            </w:r>
          </w:hyperlink>
        </w:p>
        <w:p>
          <w:pPr>
            <w:pStyle w:val="Contents3"/>
            <w:tabs>
              <w:tab w:val="clear" w:pos="720"/>
              <w:tab w:val="right" w:pos="9026" w:leader="dot"/>
            </w:tabs>
            <w:bidi w:val="0"/>
            <w:jc w:val="left"/>
            <w:rPr/>
          </w:pPr>
          <w:hyperlink w:anchor="__RefHeading___Toc3653_4199434714">
            <w:r>
              <w:rPr>
                <w:webHidden/>
                <w:rStyle w:val="IndexLink"/>
              </w:rPr>
              <w:t>23.2 The Verified Services Catalog</w:t>
              <w:tab/>
              <w:t>32</w:t>
            </w:r>
          </w:hyperlink>
        </w:p>
        <w:p>
          <w:pPr>
            <w:pStyle w:val="Contents3"/>
            <w:tabs>
              <w:tab w:val="clear" w:pos="720"/>
              <w:tab w:val="right" w:pos="9026" w:leader="dot"/>
            </w:tabs>
            <w:bidi w:val="0"/>
            <w:jc w:val="left"/>
            <w:rPr/>
          </w:pPr>
          <w:hyperlink w:anchor="__RefHeading___Toc3655_4199434714">
            <w:r>
              <w:rPr>
                <w:webHidden/>
                <w:rStyle w:val="IndexLink"/>
              </w:rPr>
              <w:t>23.3 The Documented-Delivery Rule</w:t>
              <w:tab/>
              <w:t>32</w:t>
            </w:r>
          </w:hyperlink>
        </w:p>
        <w:p>
          <w:pPr>
            <w:pStyle w:val="Contents3"/>
            <w:tabs>
              <w:tab w:val="clear" w:pos="720"/>
              <w:tab w:val="right" w:pos="9026" w:leader="dot"/>
            </w:tabs>
            <w:bidi w:val="0"/>
            <w:jc w:val="left"/>
            <w:rPr/>
          </w:pPr>
          <w:hyperlink w:anchor="__RefHeading___Toc3657_4199434714">
            <w:r>
              <w:rPr>
                <w:webHidden/>
                <w:rStyle w:val="IndexLink"/>
              </w:rPr>
              <w:t>23.4 The Request-or-Benefit Rule</w:t>
              <w:tab/>
              <w:t>32</w:t>
            </w:r>
          </w:hyperlink>
        </w:p>
        <w:p>
          <w:pPr>
            <w:pStyle w:val="Contents2"/>
            <w:tabs>
              <w:tab w:val="clear" w:pos="720"/>
              <w:tab w:val="right" w:pos="9026" w:leader="dot"/>
            </w:tabs>
            <w:bidi w:val="0"/>
            <w:jc w:val="left"/>
            <w:rPr/>
          </w:pPr>
          <w:hyperlink w:anchor="__RefHeading___Toc3659_4199434714">
            <w:r>
              <w:rPr>
                <w:webHidden/>
                <w:rStyle w:val="IndexLink"/>
              </w:rPr>
              <w:t>Article 24: The Hormuz Stewardship Fund</w:t>
              <w:tab/>
              <w:t>32</w:t>
            </w:r>
          </w:hyperlink>
        </w:p>
        <w:p>
          <w:pPr>
            <w:pStyle w:val="Contents3"/>
            <w:tabs>
              <w:tab w:val="clear" w:pos="720"/>
              <w:tab w:val="right" w:pos="9026" w:leader="dot"/>
            </w:tabs>
            <w:bidi w:val="0"/>
            <w:jc w:val="left"/>
            <w:rPr/>
          </w:pPr>
          <w:hyperlink w:anchor="__RefHeading___Toc3661_4199434714">
            <w:r>
              <w:rPr>
                <w:webHidden/>
                <w:rStyle w:val="IndexLink"/>
              </w:rPr>
              <w:t>24.1 Establishment</w:t>
              <w:tab/>
              <w:t>32</w:t>
            </w:r>
          </w:hyperlink>
        </w:p>
        <w:p>
          <w:pPr>
            <w:pStyle w:val="Contents3"/>
            <w:tabs>
              <w:tab w:val="clear" w:pos="720"/>
              <w:tab w:val="right" w:pos="9026" w:leader="dot"/>
            </w:tabs>
            <w:bidi w:val="0"/>
            <w:jc w:val="left"/>
            <w:rPr/>
          </w:pPr>
          <w:hyperlink w:anchor="__RefHeading___Toc3663_4199434714">
            <w:r>
              <w:rPr>
                <w:webHidden/>
                <w:rStyle w:val="IndexLink"/>
              </w:rPr>
              <w:t>24.2 Revenue Sources</w:t>
              <w:tab/>
              <w:t>33</w:t>
            </w:r>
          </w:hyperlink>
        </w:p>
        <w:p>
          <w:pPr>
            <w:pStyle w:val="Contents3"/>
            <w:tabs>
              <w:tab w:val="clear" w:pos="720"/>
              <w:tab w:val="right" w:pos="9026" w:leader="dot"/>
            </w:tabs>
            <w:bidi w:val="0"/>
            <w:jc w:val="left"/>
            <w:rPr/>
          </w:pPr>
          <w:hyperlink w:anchor="__RefHeading___Toc3665_4199434714">
            <w:r>
              <w:rPr>
                <w:webHidden/>
                <w:rStyle w:val="IndexLink"/>
              </w:rPr>
              <w:t>24.3 Distribution</w:t>
              <w:tab/>
              <w:t>33</w:t>
            </w:r>
          </w:hyperlink>
        </w:p>
        <w:p>
          <w:pPr>
            <w:pStyle w:val="Contents3"/>
            <w:tabs>
              <w:tab w:val="clear" w:pos="720"/>
              <w:tab w:val="right" w:pos="9026" w:leader="dot"/>
            </w:tabs>
            <w:bidi w:val="0"/>
            <w:jc w:val="left"/>
            <w:rPr/>
          </w:pPr>
          <w:hyperlink w:anchor="__RefHeading___Toc3667_4199434714">
            <w:r>
              <w:rPr>
                <w:webHidden/>
                <w:rStyle w:val="IndexLink"/>
              </w:rPr>
              <w:t>24.4 Transparency</w:t>
              <w:tab/>
              <w:t>33</w:t>
            </w:r>
          </w:hyperlink>
        </w:p>
        <w:p>
          <w:pPr>
            <w:pStyle w:val="Contents2"/>
            <w:tabs>
              <w:tab w:val="clear" w:pos="720"/>
              <w:tab w:val="right" w:pos="9026" w:leader="dot"/>
            </w:tabs>
            <w:bidi w:val="0"/>
            <w:jc w:val="left"/>
            <w:rPr/>
          </w:pPr>
          <w:hyperlink w:anchor="__RefHeading___Toc3669_4199434714">
            <w:r>
              <w:rPr>
                <w:webHidden/>
                <w:rStyle w:val="IndexLink"/>
              </w:rPr>
              <w:t>Article 25: The Tri-Channel Funding Architecture</w:t>
              <w:tab/>
              <w:t>33</w:t>
            </w:r>
          </w:hyperlink>
        </w:p>
        <w:p>
          <w:pPr>
            <w:pStyle w:val="Contents3"/>
            <w:tabs>
              <w:tab w:val="clear" w:pos="720"/>
              <w:tab w:val="right" w:pos="9026" w:leader="dot"/>
            </w:tabs>
            <w:bidi w:val="0"/>
            <w:jc w:val="left"/>
            <w:rPr/>
          </w:pPr>
          <w:hyperlink w:anchor="__RefHeading___Toc3671_4199434714">
            <w:r>
              <w:rPr>
                <w:webHidden/>
                <w:rStyle w:val="IndexLink"/>
              </w:rPr>
              <w:t>25.1 Channel One: Service Charges</w:t>
              <w:tab/>
              <w:t>33</w:t>
            </w:r>
          </w:hyperlink>
        </w:p>
        <w:p>
          <w:pPr>
            <w:pStyle w:val="Contents3"/>
            <w:tabs>
              <w:tab w:val="clear" w:pos="720"/>
              <w:tab w:val="right" w:pos="9026" w:leader="dot"/>
            </w:tabs>
            <w:bidi w:val="0"/>
            <w:jc w:val="left"/>
            <w:rPr/>
          </w:pPr>
          <w:hyperlink w:anchor="__RefHeading___Toc3673_4199434714">
            <w:r>
              <w:rPr>
                <w:webHidden/>
                <w:rStyle w:val="IndexLink"/>
              </w:rPr>
              <w:t>25.2 Channel Two: The Voluntary Contribution Facility</w:t>
              <w:tab/>
              <w:t>33</w:t>
            </w:r>
          </w:hyperlink>
        </w:p>
        <w:p>
          <w:pPr>
            <w:pStyle w:val="Contents3"/>
            <w:tabs>
              <w:tab w:val="clear" w:pos="720"/>
              <w:tab w:val="right" w:pos="9026" w:leader="dot"/>
            </w:tabs>
            <w:bidi w:val="0"/>
            <w:jc w:val="left"/>
            <w:rPr/>
          </w:pPr>
          <w:hyperlink w:anchor="__RefHeading___Toc3675_4199434714">
            <w:r>
              <w:rPr>
                <w:webHidden/>
                <w:rStyle w:val="IndexLink"/>
              </w:rPr>
              <w:t>25.3 Channel Three: Member Contributions</w:t>
              <w:tab/>
              <w:t>34</w:t>
            </w:r>
          </w:hyperlink>
        </w:p>
        <w:p>
          <w:pPr>
            <w:pStyle w:val="Contents3"/>
            <w:tabs>
              <w:tab w:val="clear" w:pos="720"/>
              <w:tab w:val="right" w:pos="9026" w:leader="dot"/>
            </w:tabs>
            <w:bidi w:val="0"/>
            <w:jc w:val="left"/>
            <w:rPr/>
          </w:pPr>
          <w:hyperlink w:anchor="__RefHeading___Toc3677_4199434714">
            <w:r>
              <w:rPr>
                <w:webHidden/>
                <w:rStyle w:val="IndexLink"/>
              </w:rPr>
              <w:t>25.4 The Performance Bond Facility</w:t>
              <w:tab/>
              <w:t>34</w:t>
            </w:r>
          </w:hyperlink>
        </w:p>
        <w:p>
          <w:pPr>
            <w:pStyle w:val="Contents2"/>
            <w:tabs>
              <w:tab w:val="clear" w:pos="720"/>
              <w:tab w:val="right" w:pos="9026" w:leader="dot"/>
            </w:tabs>
            <w:bidi w:val="0"/>
            <w:jc w:val="left"/>
            <w:rPr/>
          </w:pPr>
          <w:hyperlink w:anchor="__RefHeading___Toc3679_4199434714">
            <w:r>
              <w:rPr>
                <w:webHidden/>
                <w:rStyle w:val="IndexLink"/>
              </w:rPr>
              <w:t>Article 26: Rate Discipline, the Heavy-User Cap, the Green Discount, and the Confidence Trigger</w:t>
              <w:tab/>
              <w:t>34</w:t>
            </w:r>
          </w:hyperlink>
        </w:p>
        <w:p>
          <w:pPr>
            <w:pStyle w:val="Contents3"/>
            <w:tabs>
              <w:tab w:val="clear" w:pos="720"/>
              <w:tab w:val="right" w:pos="9026" w:leader="dot"/>
            </w:tabs>
            <w:bidi w:val="0"/>
            <w:jc w:val="left"/>
            <w:rPr/>
          </w:pPr>
          <w:hyperlink w:anchor="__RefHeading___Toc3681_4199434714">
            <w:r>
              <w:rPr>
                <w:webHidden/>
                <w:rStyle w:val="IndexLink"/>
              </w:rPr>
              <w:t>26.1 The Rate Card</w:t>
              <w:tab/>
              <w:t>34</w:t>
            </w:r>
          </w:hyperlink>
        </w:p>
        <w:p>
          <w:pPr>
            <w:pStyle w:val="Contents3"/>
            <w:tabs>
              <w:tab w:val="clear" w:pos="720"/>
              <w:tab w:val="right" w:pos="9026" w:leader="dot"/>
            </w:tabs>
            <w:bidi w:val="0"/>
            <w:jc w:val="left"/>
            <w:rPr/>
          </w:pPr>
          <w:hyperlink w:anchor="__RefHeading___Toc3683_4199434714">
            <w:r>
              <w:rPr>
                <w:webHidden/>
                <w:rStyle w:val="IndexLink"/>
              </w:rPr>
              <w:t>26.2 The Heavy-User Cap</w:t>
              <w:tab/>
              <w:t>34</w:t>
            </w:r>
          </w:hyperlink>
        </w:p>
        <w:p>
          <w:pPr>
            <w:pStyle w:val="Contents3"/>
            <w:tabs>
              <w:tab w:val="clear" w:pos="720"/>
              <w:tab w:val="right" w:pos="9026" w:leader="dot"/>
            </w:tabs>
            <w:bidi w:val="0"/>
            <w:jc w:val="left"/>
            <w:rPr/>
          </w:pPr>
          <w:hyperlink w:anchor="__RefHeading___Toc3685_4199434714">
            <w:r>
              <w:rPr>
                <w:webHidden/>
                <w:rStyle w:val="IndexLink"/>
              </w:rPr>
              <w:t>26.3 The Green Discount</w:t>
              <w:tab/>
              <w:t>35</w:t>
            </w:r>
          </w:hyperlink>
        </w:p>
        <w:p>
          <w:pPr>
            <w:pStyle w:val="Contents3"/>
            <w:tabs>
              <w:tab w:val="clear" w:pos="720"/>
              <w:tab w:val="right" w:pos="9026" w:leader="dot"/>
            </w:tabs>
            <w:bidi w:val="0"/>
            <w:jc w:val="left"/>
            <w:rPr/>
          </w:pPr>
          <w:hyperlink w:anchor="__RefHeading___Toc3687_4199434714">
            <w:r>
              <w:rPr>
                <w:webHidden/>
                <w:rStyle w:val="IndexLink"/>
              </w:rPr>
              <w:t>26.4 The First-Mover Discount</w:t>
              <w:tab/>
              <w:t>35</w:t>
            </w:r>
          </w:hyperlink>
        </w:p>
        <w:p>
          <w:pPr>
            <w:pStyle w:val="Contents3"/>
            <w:tabs>
              <w:tab w:val="clear" w:pos="720"/>
              <w:tab w:val="right" w:pos="9026" w:leader="dot"/>
            </w:tabs>
            <w:bidi w:val="0"/>
            <w:jc w:val="left"/>
            <w:rPr/>
          </w:pPr>
          <w:hyperlink w:anchor="__RefHeading___Toc3689_4199434714">
            <w:r>
              <w:rPr>
                <w:webHidden/>
                <w:rStyle w:val="IndexLink"/>
              </w:rPr>
              <w:t>26.5 The Private Sector Confidence Trigger</w:t>
              <w:tab/>
              <w:t>35</w:t>
            </w:r>
          </w:hyperlink>
        </w:p>
        <w:p>
          <w:pPr>
            <w:pStyle w:val="Contents2"/>
            <w:tabs>
              <w:tab w:val="clear" w:pos="720"/>
              <w:tab w:val="right" w:pos="9026" w:leader="dot"/>
            </w:tabs>
            <w:bidi w:val="0"/>
            <w:jc w:val="left"/>
            <w:rPr/>
          </w:pPr>
          <w:hyperlink w:anchor="__RefHeading___Toc3691_4199434714">
            <w:r>
              <w:rPr>
                <w:webHidden/>
                <w:rStyle w:val="IndexLink"/>
              </w:rPr>
              <w:t>Article 27: Anti-Circumvention and the Substance Test</w:t>
              <w:tab/>
              <w:t>35</w:t>
            </w:r>
          </w:hyperlink>
        </w:p>
        <w:p>
          <w:pPr>
            <w:pStyle w:val="Contents3"/>
            <w:tabs>
              <w:tab w:val="clear" w:pos="720"/>
              <w:tab w:val="right" w:pos="9026" w:leader="dot"/>
            </w:tabs>
            <w:bidi w:val="0"/>
            <w:jc w:val="left"/>
            <w:rPr/>
          </w:pPr>
          <w:hyperlink w:anchor="__RefHeading___Toc3693_4199434714">
            <w:r>
              <w:rPr>
                <w:webHidden/>
                <w:rStyle w:val="IndexLink"/>
              </w:rPr>
              <w:t>27.1 The Substance Test</w:t>
              <w:tab/>
              <w:t>35</w:t>
            </w:r>
          </w:hyperlink>
        </w:p>
        <w:p>
          <w:pPr>
            <w:pStyle w:val="Contents3"/>
            <w:tabs>
              <w:tab w:val="clear" w:pos="720"/>
              <w:tab w:val="right" w:pos="9026" w:leader="dot"/>
            </w:tabs>
            <w:bidi w:val="0"/>
            <w:jc w:val="left"/>
            <w:rPr/>
          </w:pPr>
          <w:hyperlink w:anchor="__RefHeading___Toc3695_4199434714">
            <w:r>
              <w:rPr>
                <w:webHidden/>
                <w:rStyle w:val="IndexLink"/>
              </w:rPr>
              <w:t>27.2 Standing Scrutiny</w:t>
              <w:tab/>
              <w:t>35</w:t>
            </w:r>
          </w:hyperlink>
        </w:p>
        <w:p>
          <w:pPr>
            <w:pStyle w:val="Contents3"/>
            <w:tabs>
              <w:tab w:val="clear" w:pos="720"/>
              <w:tab w:val="right" w:pos="9026" w:leader="dot"/>
            </w:tabs>
            <w:bidi w:val="0"/>
            <w:jc w:val="left"/>
            <w:rPr/>
          </w:pPr>
          <w:hyperlink w:anchor="__RefHeading___Toc3697_4199434714">
            <w:r>
              <w:rPr>
                <w:webHidden/>
                <w:rStyle w:val="IndexLink"/>
              </w:rPr>
              <w:t>27.3 The Precedent Safeguard</w:t>
              <w:tab/>
              <w:t>36</w:t>
            </w:r>
          </w:hyperlink>
        </w:p>
        <w:p>
          <w:pPr>
            <w:pStyle w:val="Contents2"/>
            <w:tabs>
              <w:tab w:val="clear" w:pos="720"/>
              <w:tab w:val="right" w:pos="9026" w:leader="dot"/>
            </w:tabs>
            <w:bidi w:val="0"/>
            <w:jc w:val="left"/>
            <w:rPr/>
          </w:pPr>
          <w:hyperlink w:anchor="__RefHeading___Toc3699_4199434714">
            <w:r>
              <w:rPr>
                <w:webHidden/>
                <w:rStyle w:val="IndexLink"/>
              </w:rPr>
              <w:t>Article 28: The Neutral Escrow and the Sanctions-Compliance Firewall</w:t>
              <w:tab/>
              <w:t>36</w:t>
            </w:r>
          </w:hyperlink>
        </w:p>
        <w:p>
          <w:pPr>
            <w:pStyle w:val="Contents3"/>
            <w:tabs>
              <w:tab w:val="clear" w:pos="720"/>
              <w:tab w:val="right" w:pos="9026" w:leader="dot"/>
            </w:tabs>
            <w:bidi w:val="0"/>
            <w:jc w:val="left"/>
            <w:rPr/>
          </w:pPr>
          <w:hyperlink w:anchor="__RefHeading___Toc3701_4199434714">
            <w:r>
              <w:rPr>
                <w:webHidden/>
                <w:rStyle w:val="IndexLink"/>
              </w:rPr>
              <w:t>28.1 The Neutral Escrow Institution</w:t>
              <w:tab/>
              <w:t>36</w:t>
            </w:r>
          </w:hyperlink>
        </w:p>
        <w:p>
          <w:pPr>
            <w:pStyle w:val="Contents3"/>
            <w:tabs>
              <w:tab w:val="clear" w:pos="720"/>
              <w:tab w:val="right" w:pos="9026" w:leader="dot"/>
            </w:tabs>
            <w:bidi w:val="0"/>
            <w:jc w:val="left"/>
            <w:rPr/>
          </w:pPr>
          <w:hyperlink w:anchor="__RefHeading___Toc3703_4199434714">
            <w:r>
              <w:rPr>
                <w:webHidden/>
                <w:rStyle w:val="IndexLink"/>
              </w:rPr>
              <w:t>28.2 The Sanctions-Compliance Firewall</w:t>
              <w:tab/>
              <w:t>36</w:t>
            </w:r>
          </w:hyperlink>
        </w:p>
        <w:p>
          <w:pPr>
            <w:pStyle w:val="Contents3"/>
            <w:tabs>
              <w:tab w:val="clear" w:pos="720"/>
              <w:tab w:val="right" w:pos="9026" w:leader="dot"/>
            </w:tabs>
            <w:bidi w:val="0"/>
            <w:jc w:val="left"/>
            <w:rPr/>
          </w:pPr>
          <w:hyperlink w:anchor="__RefHeading___Toc3705_4199434714">
            <w:r>
              <w:rPr>
                <w:webHidden/>
                <w:rStyle w:val="IndexLink"/>
              </w:rPr>
              <w:t>28.3 Prohibition on Diversion</w:t>
              <w:tab/>
              <w:t>36</w:t>
            </w:r>
          </w:hyperlink>
        </w:p>
        <w:p>
          <w:pPr>
            <w:pStyle w:val="Contents2"/>
            <w:tabs>
              <w:tab w:val="clear" w:pos="720"/>
              <w:tab w:val="right" w:pos="9026" w:leader="dot"/>
            </w:tabs>
            <w:bidi w:val="0"/>
            <w:jc w:val="left"/>
            <w:rPr/>
          </w:pPr>
          <w:hyperlink w:anchor="__RefHeading___Toc3707_4199434714">
            <w:r>
              <w:rPr>
                <w:webHidden/>
                <w:rStyle w:val="IndexLink"/>
              </w:rPr>
              <w:t>Article 29: The Economic Normalization Track</w:t>
              <w:tab/>
              <w:t>37</w:t>
            </w:r>
          </w:hyperlink>
        </w:p>
        <w:p>
          <w:pPr>
            <w:pStyle w:val="Contents3"/>
            <w:tabs>
              <w:tab w:val="clear" w:pos="720"/>
              <w:tab w:val="right" w:pos="9026" w:leader="dot"/>
            </w:tabs>
            <w:bidi w:val="0"/>
            <w:jc w:val="left"/>
            <w:rPr/>
          </w:pPr>
          <w:hyperlink w:anchor="__RefHeading___Toc3709_4199434714">
            <w:r>
              <w:rPr>
                <w:webHidden/>
                <w:rStyle w:val="IndexLink"/>
              </w:rPr>
              <w:t>29.1 The Development Windows</w:t>
              <w:tab/>
              <w:t>37</w:t>
            </w:r>
          </w:hyperlink>
        </w:p>
        <w:p>
          <w:pPr>
            <w:pStyle w:val="Contents3"/>
            <w:tabs>
              <w:tab w:val="clear" w:pos="720"/>
              <w:tab w:val="right" w:pos="9026" w:leader="dot"/>
            </w:tabs>
            <w:bidi w:val="0"/>
            <w:jc w:val="left"/>
            <w:rPr/>
          </w:pPr>
          <w:hyperlink w:anchor="__RefHeading___Toc3711_4199434714">
            <w:r>
              <w:rPr>
                <w:webHidden/>
                <w:rStyle w:val="IndexLink"/>
              </w:rPr>
              <w:t>29.2 The Economic Logic of the Settlement</w:t>
              <w:tab/>
              <w:t>37</w:t>
            </w:r>
          </w:hyperlink>
        </w:p>
        <w:p>
          <w:pPr>
            <w:pStyle w:val="Contents3"/>
            <w:tabs>
              <w:tab w:val="clear" w:pos="720"/>
              <w:tab w:val="right" w:pos="9026" w:leader="dot"/>
            </w:tabs>
            <w:bidi w:val="0"/>
            <w:jc w:val="left"/>
            <w:rPr/>
          </w:pPr>
          <w:hyperlink w:anchor="__RefHeading___Toc3713_4199434714">
            <w:r>
              <w:rPr>
                <w:webHidden/>
                <w:rStyle w:val="IndexLink"/>
              </w:rPr>
              <w:t>29.3 Review</w:t>
              <w:tab/>
              <w:t>37</w:t>
            </w:r>
          </w:hyperlink>
        </w:p>
        <w:p>
          <w:pPr>
            <w:pStyle w:val="Contents1"/>
            <w:tabs>
              <w:tab w:val="clear" w:pos="720"/>
              <w:tab w:val="right" w:pos="9026" w:leader="dot"/>
            </w:tabs>
            <w:bidi w:val="0"/>
            <w:jc w:val="left"/>
            <w:rPr/>
          </w:pPr>
          <w:hyperlink w:anchor="__RefHeading___Toc3715_4199434714">
            <w:r>
              <w:rPr>
                <w:webHidden/>
                <w:rStyle w:val="IndexLink"/>
              </w:rPr>
              <w:t>PART V: SECURITY AND DE-ESCALATION</w:t>
              <w:tab/>
              <w:t>38</w:t>
            </w:r>
          </w:hyperlink>
        </w:p>
        <w:p>
          <w:pPr>
            <w:pStyle w:val="Contents2"/>
            <w:tabs>
              <w:tab w:val="clear" w:pos="720"/>
              <w:tab w:val="right" w:pos="9026" w:leader="dot"/>
            </w:tabs>
            <w:bidi w:val="0"/>
            <w:jc w:val="left"/>
            <w:rPr/>
          </w:pPr>
          <w:hyperlink w:anchor="__RefHeading___Toc3717_4199434714">
            <w:r>
              <w:rPr>
                <w:webHidden/>
                <w:rStyle w:val="IndexLink"/>
              </w:rPr>
              <w:t>Article 30: Standoff Geometry and Military Deconfliction</w:t>
              <w:tab/>
              <w:t>38</w:t>
            </w:r>
          </w:hyperlink>
        </w:p>
        <w:p>
          <w:pPr>
            <w:pStyle w:val="Contents3"/>
            <w:tabs>
              <w:tab w:val="clear" w:pos="720"/>
              <w:tab w:val="right" w:pos="9026" w:leader="dot"/>
            </w:tabs>
            <w:bidi w:val="0"/>
            <w:jc w:val="left"/>
            <w:rPr/>
          </w:pPr>
          <w:hyperlink w:anchor="__RefHeading___Toc3719_4199434714">
            <w:r>
              <w:rPr>
                <w:webHidden/>
                <w:rStyle w:val="IndexLink"/>
              </w:rPr>
              <w:t>30.1 The Standoff Geometry</w:t>
              <w:tab/>
              <w:t>38</w:t>
            </w:r>
          </w:hyperlink>
        </w:p>
        <w:p>
          <w:pPr>
            <w:pStyle w:val="Contents3"/>
            <w:tabs>
              <w:tab w:val="clear" w:pos="720"/>
              <w:tab w:val="right" w:pos="9026" w:leader="dot"/>
            </w:tabs>
            <w:bidi w:val="0"/>
            <w:jc w:val="left"/>
            <w:rPr/>
          </w:pPr>
          <w:hyperlink w:anchor="__RefHeading___Toc3721_4199434714">
            <w:r>
              <w:rPr>
                <w:webHidden/>
                <w:rStyle w:val="IndexLink"/>
              </w:rPr>
              <w:t>30.2 The Multinational Patrol Rotation</w:t>
              <w:tab/>
              <w:t>38</w:t>
            </w:r>
          </w:hyperlink>
        </w:p>
        <w:p>
          <w:pPr>
            <w:pStyle w:val="Contents3"/>
            <w:tabs>
              <w:tab w:val="clear" w:pos="720"/>
              <w:tab w:val="right" w:pos="9026" w:leader="dot"/>
            </w:tabs>
            <w:bidi w:val="0"/>
            <w:jc w:val="left"/>
            <w:rPr/>
          </w:pPr>
          <w:hyperlink w:anchor="__RefHeading___Toc3723_4199434714">
            <w:r>
              <w:rPr>
                <w:webHidden/>
                <w:rStyle w:val="IndexLink"/>
              </w:rPr>
              <w:t>30.3 The Red Lines Register</w:t>
              <w:tab/>
              <w:t>38</w:t>
            </w:r>
          </w:hyperlink>
        </w:p>
        <w:p>
          <w:pPr>
            <w:pStyle w:val="Contents2"/>
            <w:tabs>
              <w:tab w:val="clear" w:pos="720"/>
              <w:tab w:val="right" w:pos="9026" w:leader="dot"/>
            </w:tabs>
            <w:bidi w:val="0"/>
            <w:jc w:val="left"/>
            <w:rPr/>
          </w:pPr>
          <w:hyperlink w:anchor="__RefHeading___Toc3725_4199434714">
            <w:r>
              <w:rPr>
                <w:webHidden/>
                <w:rStyle w:val="IndexLink"/>
              </w:rPr>
              <w:t>Article 31: The Crisis Hotline Network</w:t>
              <w:tab/>
              <w:t>39</w:t>
            </w:r>
          </w:hyperlink>
        </w:p>
        <w:p>
          <w:pPr>
            <w:pStyle w:val="Contents3"/>
            <w:tabs>
              <w:tab w:val="clear" w:pos="720"/>
              <w:tab w:val="right" w:pos="9026" w:leader="dot"/>
            </w:tabs>
            <w:bidi w:val="0"/>
            <w:jc w:val="left"/>
            <w:rPr/>
          </w:pPr>
          <w:hyperlink w:anchor="__RefHeading___Toc3727_4199434714">
            <w:r>
              <w:rPr>
                <w:webHidden/>
                <w:rStyle w:val="IndexLink"/>
              </w:rPr>
              <w:t>31.1 The Network</w:t>
              <w:tab/>
              <w:t>39</w:t>
            </w:r>
          </w:hyperlink>
        </w:p>
        <w:p>
          <w:pPr>
            <w:pStyle w:val="Contents3"/>
            <w:tabs>
              <w:tab w:val="clear" w:pos="720"/>
              <w:tab w:val="right" w:pos="9026" w:leader="dot"/>
            </w:tabs>
            <w:bidi w:val="0"/>
            <w:jc w:val="left"/>
            <w:rPr/>
          </w:pPr>
          <w:hyperlink w:anchor="__RefHeading___Toc3729_4199434714">
            <w:r>
              <w:rPr>
                <w:webHidden/>
                <w:rStyle w:val="IndexLink"/>
              </w:rPr>
              <w:t>31.2 The Answer Standard</w:t>
              <w:tab/>
              <w:t>39</w:t>
            </w:r>
          </w:hyperlink>
        </w:p>
        <w:p>
          <w:pPr>
            <w:pStyle w:val="Contents3"/>
            <w:tabs>
              <w:tab w:val="clear" w:pos="720"/>
              <w:tab w:val="right" w:pos="9026" w:leader="dot"/>
            </w:tabs>
            <w:bidi w:val="0"/>
            <w:jc w:val="left"/>
            <w:rPr/>
          </w:pPr>
          <w:hyperlink w:anchor="__RefHeading___Toc3731_4199434714">
            <w:r>
              <w:rPr>
                <w:webHidden/>
                <w:rStyle w:val="IndexLink"/>
              </w:rPr>
              <w:t>31.3 The Language and Recording Rules</w:t>
              <w:tab/>
              <w:t>39</w:t>
            </w:r>
          </w:hyperlink>
        </w:p>
        <w:p>
          <w:pPr>
            <w:pStyle w:val="Contents2"/>
            <w:tabs>
              <w:tab w:val="clear" w:pos="720"/>
              <w:tab w:val="right" w:pos="9026" w:leader="dot"/>
            </w:tabs>
            <w:bidi w:val="0"/>
            <w:jc w:val="left"/>
            <w:rPr/>
          </w:pPr>
          <w:hyperlink w:anchor="__RefHeading___Toc3733_4199434714">
            <w:r>
              <w:rPr>
                <w:webHidden/>
                <w:rStyle w:val="IndexLink"/>
              </w:rPr>
              <w:t>Article 32: The Incident Ladder</w:t>
              <w:tab/>
              <w:t>39</w:t>
            </w:r>
          </w:hyperlink>
        </w:p>
        <w:p>
          <w:pPr>
            <w:pStyle w:val="Contents3"/>
            <w:tabs>
              <w:tab w:val="clear" w:pos="720"/>
              <w:tab w:val="right" w:pos="9026" w:leader="dot"/>
            </w:tabs>
            <w:bidi w:val="0"/>
            <w:jc w:val="left"/>
            <w:rPr/>
          </w:pPr>
          <w:hyperlink w:anchor="__RefHeading___Toc3735_4199434714">
            <w:r>
              <w:rPr>
                <w:webHidden/>
                <w:rStyle w:val="IndexLink"/>
              </w:rPr>
              <w:t>32.1 Grading</w:t>
              <w:tab/>
              <w:t>39</w:t>
            </w:r>
          </w:hyperlink>
        </w:p>
        <w:p>
          <w:pPr>
            <w:pStyle w:val="Contents3"/>
            <w:tabs>
              <w:tab w:val="clear" w:pos="720"/>
              <w:tab w:val="right" w:pos="9026" w:leader="dot"/>
            </w:tabs>
            <w:bidi w:val="0"/>
            <w:jc w:val="left"/>
            <w:rPr/>
          </w:pPr>
          <w:hyperlink w:anchor="__RefHeading___Toc3737_4199434714">
            <w:r>
              <w:rPr>
                <w:webHidden/>
                <w:rStyle w:val="IndexLink"/>
              </w:rPr>
              <w:t>32.2 Responses</w:t>
              <w:tab/>
              <w:t>40</w:t>
            </w:r>
          </w:hyperlink>
        </w:p>
        <w:p>
          <w:pPr>
            <w:pStyle w:val="Contents3"/>
            <w:tabs>
              <w:tab w:val="clear" w:pos="720"/>
              <w:tab w:val="right" w:pos="9026" w:leader="dot"/>
            </w:tabs>
            <w:bidi w:val="0"/>
            <w:jc w:val="left"/>
            <w:rPr/>
          </w:pPr>
          <w:hyperlink w:anchor="__RefHeading___Toc3739_4199434714">
            <w:r>
              <w:rPr>
                <w:webHidden/>
                <w:rStyle w:val="IndexLink"/>
              </w:rPr>
              <w:t>32.3 No Ambiguity Advantage</w:t>
              <w:tab/>
              <w:t>40</w:t>
            </w:r>
          </w:hyperlink>
        </w:p>
        <w:p>
          <w:pPr>
            <w:pStyle w:val="Contents2"/>
            <w:tabs>
              <w:tab w:val="clear" w:pos="720"/>
              <w:tab w:val="right" w:pos="9026" w:leader="dot"/>
            </w:tabs>
            <w:bidi w:val="0"/>
            <w:jc w:val="left"/>
            <w:rPr/>
          </w:pPr>
          <w:hyperlink w:anchor="__RefHeading___Toc3741_4199434714">
            <w:r>
              <w:rPr>
                <w:webHidden/>
                <w:rStyle w:val="IndexLink"/>
              </w:rPr>
              <w:t>Article 33: The Five-Level Crisis Protocol and the Corridor Emergency State</w:t>
              <w:tab/>
              <w:t>40</w:t>
            </w:r>
          </w:hyperlink>
        </w:p>
        <w:p>
          <w:pPr>
            <w:pStyle w:val="Contents3"/>
            <w:tabs>
              <w:tab w:val="clear" w:pos="720"/>
              <w:tab w:val="right" w:pos="9026" w:leader="dot"/>
            </w:tabs>
            <w:bidi w:val="0"/>
            <w:jc w:val="left"/>
            <w:rPr/>
          </w:pPr>
          <w:hyperlink w:anchor="__RefHeading___Toc3743_4199434714">
            <w:r>
              <w:rPr>
                <w:webHidden/>
                <w:rStyle w:val="IndexLink"/>
              </w:rPr>
              <w:t>33.1 The Protocol</w:t>
              <w:tab/>
              <w:t>40</w:t>
            </w:r>
          </w:hyperlink>
        </w:p>
        <w:p>
          <w:pPr>
            <w:pStyle w:val="Contents3"/>
            <w:tabs>
              <w:tab w:val="clear" w:pos="720"/>
              <w:tab w:val="right" w:pos="9026" w:leader="dot"/>
            </w:tabs>
            <w:bidi w:val="0"/>
            <w:jc w:val="left"/>
            <w:rPr/>
          </w:pPr>
          <w:hyperlink w:anchor="__RefHeading___Toc3745_4199434714">
            <w:r>
              <w:rPr>
                <w:webHidden/>
                <w:rStyle w:val="IndexLink"/>
              </w:rPr>
              <w:t>33.2 The Corridor Emergency State</w:t>
              <w:tab/>
              <w:t>40</w:t>
            </w:r>
          </w:hyperlink>
        </w:p>
        <w:p>
          <w:pPr>
            <w:pStyle w:val="Contents3"/>
            <w:tabs>
              <w:tab w:val="clear" w:pos="720"/>
              <w:tab w:val="right" w:pos="9026" w:leader="dot"/>
            </w:tabs>
            <w:bidi w:val="0"/>
            <w:jc w:val="left"/>
            <w:rPr/>
          </w:pPr>
          <w:hyperlink w:anchor="__RefHeading___Toc3747_4199434714">
            <w:r>
              <w:rPr>
                <w:webHidden/>
                <w:rStyle w:val="IndexLink"/>
              </w:rPr>
              <w:t>33.3 De-Escalation Duty</w:t>
              <w:tab/>
              <w:t>40</w:t>
            </w:r>
          </w:hyperlink>
        </w:p>
        <w:p>
          <w:pPr>
            <w:pStyle w:val="Contents2"/>
            <w:tabs>
              <w:tab w:val="clear" w:pos="720"/>
              <w:tab w:val="right" w:pos="9026" w:leader="dot"/>
            </w:tabs>
            <w:bidi w:val="0"/>
            <w:jc w:val="left"/>
            <w:rPr/>
          </w:pPr>
          <w:hyperlink w:anchor="__RefHeading___Toc3749_4199434714">
            <w:r>
              <w:rPr>
                <w:webHidden/>
                <w:rStyle w:val="IndexLink"/>
              </w:rPr>
              <w:t>Article 34: The False-Flag Forensic Protocol</w:t>
              <w:tab/>
              <w:t>41</w:t>
            </w:r>
          </w:hyperlink>
        </w:p>
        <w:p>
          <w:pPr>
            <w:pStyle w:val="Contents3"/>
            <w:tabs>
              <w:tab w:val="clear" w:pos="720"/>
              <w:tab w:val="right" w:pos="9026" w:leader="dot"/>
            </w:tabs>
            <w:bidi w:val="0"/>
            <w:jc w:val="left"/>
            <w:rPr/>
          </w:pPr>
          <w:hyperlink w:anchor="__RefHeading___Toc3751_4199434714">
            <w:r>
              <w:rPr>
                <w:webHidden/>
                <w:rStyle w:val="IndexLink"/>
              </w:rPr>
              <w:t>34.1 Standing Procedure</w:t>
              <w:tab/>
              <w:t>41</w:t>
            </w:r>
          </w:hyperlink>
        </w:p>
        <w:p>
          <w:pPr>
            <w:pStyle w:val="Contents3"/>
            <w:tabs>
              <w:tab w:val="clear" w:pos="720"/>
              <w:tab w:val="right" w:pos="9026" w:leader="dot"/>
            </w:tabs>
            <w:bidi w:val="0"/>
            <w:jc w:val="left"/>
            <w:rPr/>
          </w:pPr>
          <w:hyperlink w:anchor="__RefHeading___Toc3753_4199434714">
            <w:r>
              <w:rPr>
                <w:webHidden/>
                <w:rStyle w:val="IndexLink"/>
              </w:rPr>
              <w:t>34.2 Publication and Classification</w:t>
              <w:tab/>
              <w:t>41</w:t>
            </w:r>
          </w:hyperlink>
        </w:p>
        <w:p>
          <w:pPr>
            <w:pStyle w:val="Contents3"/>
            <w:tabs>
              <w:tab w:val="clear" w:pos="720"/>
              <w:tab w:val="right" w:pos="9026" w:leader="dot"/>
            </w:tabs>
            <w:bidi w:val="0"/>
            <w:jc w:val="left"/>
            <w:rPr/>
          </w:pPr>
          <w:hyperlink w:anchor="__RefHeading___Toc3755_4199434714">
            <w:r>
              <w:rPr>
                <w:webHidden/>
                <w:rStyle w:val="IndexLink"/>
              </w:rPr>
              <w:t>34.3 Restoration</w:t>
              <w:tab/>
              <w:t>41</w:t>
            </w:r>
          </w:hyperlink>
        </w:p>
        <w:p>
          <w:pPr>
            <w:pStyle w:val="Contents3"/>
            <w:tabs>
              <w:tab w:val="clear" w:pos="720"/>
              <w:tab w:val="right" w:pos="9026" w:leader="dot"/>
            </w:tabs>
            <w:bidi w:val="0"/>
            <w:jc w:val="left"/>
            <w:rPr/>
          </w:pPr>
          <w:hyperlink w:anchor="__RefHeading___Toc3757_4199434714">
            <w:r>
              <w:rPr>
                <w:webHidden/>
                <w:rStyle w:val="IndexLink"/>
              </w:rPr>
              <w:t>34.4 Evidence Custody</w:t>
              <w:tab/>
              <w:t>41</w:t>
            </w:r>
          </w:hyperlink>
        </w:p>
        <w:p>
          <w:pPr>
            <w:pStyle w:val="Contents2"/>
            <w:tabs>
              <w:tab w:val="clear" w:pos="720"/>
              <w:tab w:val="right" w:pos="9026" w:leader="dot"/>
            </w:tabs>
            <w:bidi w:val="0"/>
            <w:jc w:val="left"/>
            <w:rPr/>
          </w:pPr>
          <w:hyperlink w:anchor="__RefHeading___Toc3759_4199434714">
            <w:r>
              <w:rPr>
                <w:webHidden/>
                <w:rStyle w:val="IndexLink"/>
              </w:rPr>
              <w:t>Article 35: Missile and Exercise Notification Rules</w:t>
              <w:tab/>
              <w:t>41</w:t>
            </w:r>
          </w:hyperlink>
        </w:p>
        <w:p>
          <w:pPr>
            <w:pStyle w:val="Contents3"/>
            <w:tabs>
              <w:tab w:val="clear" w:pos="720"/>
              <w:tab w:val="right" w:pos="9026" w:leader="dot"/>
            </w:tabs>
            <w:bidi w:val="0"/>
            <w:jc w:val="left"/>
            <w:rPr/>
          </w:pPr>
          <w:hyperlink w:anchor="__RefHeading___Toc3761_4199434714">
            <w:r>
              <w:rPr>
                <w:webHidden/>
                <w:rStyle w:val="IndexLink"/>
              </w:rPr>
              <w:t>35.1 Notification</w:t>
              <w:tab/>
              <w:t>41</w:t>
            </w:r>
          </w:hyperlink>
        </w:p>
        <w:p>
          <w:pPr>
            <w:pStyle w:val="Contents3"/>
            <w:tabs>
              <w:tab w:val="clear" w:pos="720"/>
              <w:tab w:val="right" w:pos="9026" w:leader="dot"/>
            </w:tabs>
            <w:bidi w:val="0"/>
            <w:jc w:val="left"/>
            <w:rPr/>
          </w:pPr>
          <w:hyperlink w:anchor="__RefHeading___Toc3763_4199434714">
            <w:r>
              <w:rPr>
                <w:webHidden/>
                <w:rStyle w:val="IndexLink"/>
              </w:rPr>
              <w:t>35.2 Prohibited Windows and Areas</w:t>
              <w:tab/>
              <w:t>41</w:t>
            </w:r>
          </w:hyperlink>
        </w:p>
        <w:p>
          <w:pPr>
            <w:pStyle w:val="Contents2"/>
            <w:tabs>
              <w:tab w:val="clear" w:pos="720"/>
              <w:tab w:val="right" w:pos="9026" w:leader="dot"/>
            </w:tabs>
            <w:bidi w:val="0"/>
            <w:jc w:val="left"/>
            <w:rPr/>
          </w:pPr>
          <w:hyperlink w:anchor="__RefHeading___Toc3765_4199434714">
            <w:r>
              <w:rPr>
                <w:webHidden/>
                <w:rStyle w:val="IndexLink"/>
              </w:rPr>
              <w:t>Article 36: Airspace Deconfliction</w:t>
              <w:tab/>
              <w:t>42</w:t>
            </w:r>
          </w:hyperlink>
        </w:p>
        <w:p>
          <w:pPr>
            <w:pStyle w:val="Contents3"/>
            <w:tabs>
              <w:tab w:val="clear" w:pos="720"/>
              <w:tab w:val="right" w:pos="9026" w:leader="dot"/>
            </w:tabs>
            <w:bidi w:val="0"/>
            <w:jc w:val="left"/>
            <w:rPr/>
          </w:pPr>
          <w:hyperlink w:anchor="__RefHeading___Toc3767_4199434714">
            <w:r>
              <w:rPr>
                <w:webHidden/>
                <w:rStyle w:val="IndexLink"/>
              </w:rPr>
              <w:t>36.1 The Air-Maritime Interface</w:t>
              <w:tab/>
              <w:t>42</w:t>
            </w:r>
          </w:hyperlink>
        </w:p>
        <w:p>
          <w:pPr>
            <w:pStyle w:val="Contents3"/>
            <w:tabs>
              <w:tab w:val="clear" w:pos="720"/>
              <w:tab w:val="right" w:pos="9026" w:leader="dot"/>
            </w:tabs>
            <w:bidi w:val="0"/>
            <w:jc w:val="left"/>
            <w:rPr/>
          </w:pPr>
          <w:hyperlink w:anchor="__RefHeading___Toc3769_4199434714">
            <w:r>
              <w:rPr>
                <w:webHidden/>
                <w:rStyle w:val="IndexLink"/>
              </w:rPr>
              <w:t>36.2 Civil Aviation Protection</w:t>
              <w:tab/>
              <w:t>42</w:t>
            </w:r>
          </w:hyperlink>
        </w:p>
        <w:p>
          <w:pPr>
            <w:pStyle w:val="Contents1"/>
            <w:tabs>
              <w:tab w:val="clear" w:pos="720"/>
              <w:tab w:val="right" w:pos="9026" w:leader="dot"/>
            </w:tabs>
            <w:bidi w:val="0"/>
            <w:jc w:val="left"/>
            <w:rPr/>
          </w:pPr>
          <w:hyperlink w:anchor="__RefHeading___Toc3771_4199434714">
            <w:r>
              <w:rPr>
                <w:webHidden/>
                <w:rStyle w:val="IndexLink"/>
              </w:rPr>
              <w:t>PART VI: THE HUMANITARIAN AND ENVIRONMENTAL FRAMEWORK</w:t>
              <w:tab/>
              <w:t>43</w:t>
            </w:r>
          </w:hyperlink>
        </w:p>
        <w:p>
          <w:pPr>
            <w:pStyle w:val="Contents2"/>
            <w:tabs>
              <w:tab w:val="clear" w:pos="720"/>
              <w:tab w:val="right" w:pos="9026" w:leader="dot"/>
            </w:tabs>
            <w:bidi w:val="0"/>
            <w:jc w:val="left"/>
            <w:rPr/>
          </w:pPr>
          <w:hyperlink w:anchor="__RefHeading___Toc3773_4199434714">
            <w:r>
              <w:rPr>
                <w:webHidden/>
                <w:rStyle w:val="IndexLink"/>
              </w:rPr>
              <w:t>Article 37: The Humanitarian Bridge</w:t>
              <w:tab/>
              <w:t>43</w:t>
            </w:r>
          </w:hyperlink>
        </w:p>
        <w:p>
          <w:pPr>
            <w:pStyle w:val="Contents3"/>
            <w:tabs>
              <w:tab w:val="clear" w:pos="720"/>
              <w:tab w:val="right" w:pos="9026" w:leader="dot"/>
            </w:tabs>
            <w:bidi w:val="0"/>
            <w:jc w:val="left"/>
            <w:rPr/>
          </w:pPr>
          <w:hyperlink w:anchor="__RefHeading___Toc3775_4199434714">
            <w:r>
              <w:rPr>
                <w:webHidden/>
                <w:rStyle w:val="IndexLink"/>
              </w:rPr>
              <w:t>37.1 The Absolute Priority Rule</w:t>
              <w:tab/>
              <w:t>43</w:t>
            </w:r>
          </w:hyperlink>
        </w:p>
        <w:p>
          <w:pPr>
            <w:pStyle w:val="Contents3"/>
            <w:tabs>
              <w:tab w:val="clear" w:pos="720"/>
              <w:tab w:val="right" w:pos="9026" w:leader="dot"/>
            </w:tabs>
            <w:bidi w:val="0"/>
            <w:jc w:val="left"/>
            <w:rPr/>
          </w:pPr>
          <w:hyperlink w:anchor="__RefHeading___Toc3777_4199434714">
            <w:r>
              <w:rPr>
                <w:webHidden/>
                <w:rStyle w:val="IndexLink"/>
              </w:rPr>
              <w:t>37.2 The Humanitarian Desk</w:t>
              <w:tab/>
              <w:t>43</w:t>
            </w:r>
          </w:hyperlink>
        </w:p>
        <w:p>
          <w:pPr>
            <w:pStyle w:val="Contents3"/>
            <w:tabs>
              <w:tab w:val="clear" w:pos="720"/>
              <w:tab w:val="right" w:pos="9026" w:leader="dot"/>
            </w:tabs>
            <w:bidi w:val="0"/>
            <w:jc w:val="left"/>
            <w:rPr/>
          </w:pPr>
          <w:hyperlink w:anchor="__RefHeading___Toc3779_4199434714">
            <w:r>
              <w:rPr>
                <w:webHidden/>
                <w:rStyle w:val="IndexLink"/>
              </w:rPr>
              <w:t>37.3 Verification of Humanitarian Cargo</w:t>
              <w:tab/>
              <w:t>43</w:t>
            </w:r>
          </w:hyperlink>
        </w:p>
        <w:p>
          <w:pPr>
            <w:pStyle w:val="Contents2"/>
            <w:tabs>
              <w:tab w:val="clear" w:pos="720"/>
              <w:tab w:val="right" w:pos="9026" w:leader="dot"/>
            </w:tabs>
            <w:bidi w:val="0"/>
            <w:jc w:val="left"/>
            <w:rPr/>
          </w:pPr>
          <w:hyperlink w:anchor="__RefHeading___Toc3781_4199434714">
            <w:r>
              <w:rPr>
                <w:webHidden/>
                <w:rStyle w:val="IndexLink"/>
              </w:rPr>
              <w:t>Article 38: Seafarer Protection and Welfare</w:t>
              <w:tab/>
              <w:t>43</w:t>
            </w:r>
          </w:hyperlink>
        </w:p>
        <w:p>
          <w:pPr>
            <w:pStyle w:val="Contents3"/>
            <w:tabs>
              <w:tab w:val="clear" w:pos="720"/>
              <w:tab w:val="right" w:pos="9026" w:leader="dot"/>
            </w:tabs>
            <w:bidi w:val="0"/>
            <w:jc w:val="left"/>
            <w:rPr/>
          </w:pPr>
          <w:hyperlink w:anchor="__RefHeading___Toc3783_4199434714">
            <w:r>
              <w:rPr>
                <w:webHidden/>
                <w:rStyle w:val="IndexLink"/>
              </w:rPr>
              <w:t>38.1 The Seafarer Protections</w:t>
              <w:tab/>
              <w:t>43</w:t>
            </w:r>
          </w:hyperlink>
        </w:p>
        <w:p>
          <w:pPr>
            <w:pStyle w:val="Contents3"/>
            <w:tabs>
              <w:tab w:val="clear" w:pos="720"/>
              <w:tab w:val="right" w:pos="9026" w:leader="dot"/>
            </w:tabs>
            <w:bidi w:val="0"/>
            <w:jc w:val="left"/>
            <w:rPr/>
          </w:pPr>
          <w:hyperlink w:anchor="__RefHeading___Toc3785_4199434714">
            <w:r>
              <w:rPr>
                <w:webHidden/>
                <w:rStyle w:val="IndexLink"/>
              </w:rPr>
              <w:t>38.2 Welfare Services</w:t>
              <w:tab/>
              <w:t>44</w:t>
            </w:r>
          </w:hyperlink>
        </w:p>
        <w:p>
          <w:pPr>
            <w:pStyle w:val="Contents3"/>
            <w:tabs>
              <w:tab w:val="clear" w:pos="720"/>
              <w:tab w:val="right" w:pos="9026" w:leader="dot"/>
            </w:tabs>
            <w:bidi w:val="0"/>
            <w:jc w:val="left"/>
            <w:rPr/>
          </w:pPr>
          <w:hyperlink w:anchor="__RefHeading___Toc3787_4199434714">
            <w:r>
              <w:rPr>
                <w:webHidden/>
                <w:rStyle w:val="IndexLink"/>
              </w:rPr>
              <w:t>38.3 Evacuation Standing Capability</w:t>
              <w:tab/>
              <w:t>44</w:t>
            </w:r>
          </w:hyperlink>
        </w:p>
        <w:p>
          <w:pPr>
            <w:pStyle w:val="Contents3"/>
            <w:tabs>
              <w:tab w:val="clear" w:pos="720"/>
              <w:tab w:val="right" w:pos="9026" w:leader="dot"/>
            </w:tabs>
            <w:bidi w:val="0"/>
            <w:jc w:val="left"/>
            <w:rPr/>
          </w:pPr>
          <w:hyperlink w:anchor="__RefHeading___Toc3789_4199434714">
            <w:r>
              <w:rPr>
                <w:webHidden/>
                <w:rStyle w:val="IndexLink"/>
              </w:rPr>
              <w:t>38.4 Repatriation Support</w:t>
              <w:tab/>
              <w:t>44</w:t>
            </w:r>
          </w:hyperlink>
        </w:p>
        <w:p>
          <w:pPr>
            <w:pStyle w:val="Contents2"/>
            <w:tabs>
              <w:tab w:val="clear" w:pos="720"/>
              <w:tab w:val="right" w:pos="9026" w:leader="dot"/>
            </w:tabs>
            <w:bidi w:val="0"/>
            <w:jc w:val="left"/>
            <w:rPr/>
          </w:pPr>
          <w:hyperlink w:anchor="__RefHeading___Toc3791_4199434714">
            <w:r>
              <w:rPr>
                <w:webHidden/>
                <w:rStyle w:val="IndexLink"/>
              </w:rPr>
              <w:t>Article 39: Environmental Monitoring and Protection</w:t>
              <w:tab/>
              <w:t>44</w:t>
            </w:r>
          </w:hyperlink>
        </w:p>
        <w:p>
          <w:pPr>
            <w:pStyle w:val="Contents3"/>
            <w:tabs>
              <w:tab w:val="clear" w:pos="720"/>
              <w:tab w:val="right" w:pos="9026" w:leader="dot"/>
            </w:tabs>
            <w:bidi w:val="0"/>
            <w:jc w:val="left"/>
            <w:rPr/>
          </w:pPr>
          <w:hyperlink w:anchor="__RefHeading___Toc3793_4199434714">
            <w:r>
              <w:rPr>
                <w:webHidden/>
                <w:rStyle w:val="IndexLink"/>
              </w:rPr>
              <w:t>39.1 The Standing Program</w:t>
              <w:tab/>
              <w:t>44</w:t>
            </w:r>
          </w:hyperlink>
        </w:p>
        <w:p>
          <w:pPr>
            <w:pStyle w:val="Contents3"/>
            <w:tabs>
              <w:tab w:val="clear" w:pos="720"/>
              <w:tab w:val="right" w:pos="9026" w:leader="dot"/>
            </w:tabs>
            <w:bidi w:val="0"/>
            <w:jc w:val="left"/>
            <w:rPr/>
          </w:pPr>
          <w:hyperlink w:anchor="__RefHeading___Toc3795_4199434714">
            <w:r>
              <w:rPr>
                <w:webHidden/>
                <w:rStyle w:val="IndexLink"/>
              </w:rPr>
              <w:t>39.2 Sensitive Areas</w:t>
              <w:tab/>
              <w:t>44</w:t>
            </w:r>
          </w:hyperlink>
        </w:p>
        <w:p>
          <w:pPr>
            <w:pStyle w:val="Contents3"/>
            <w:tabs>
              <w:tab w:val="clear" w:pos="720"/>
              <w:tab w:val="right" w:pos="9026" w:leader="dot"/>
            </w:tabs>
            <w:bidi w:val="0"/>
            <w:jc w:val="left"/>
            <w:rPr/>
          </w:pPr>
          <w:hyperlink w:anchor="__RefHeading___Toc3797_4199434714">
            <w:r>
              <w:rPr>
                <w:webHidden/>
                <w:rStyle w:val="IndexLink"/>
              </w:rPr>
              <w:t>39.3 Environmental Standards for Services</w:t>
              <w:tab/>
              <w:t>44</w:t>
            </w:r>
          </w:hyperlink>
        </w:p>
        <w:p>
          <w:pPr>
            <w:pStyle w:val="Contents2"/>
            <w:tabs>
              <w:tab w:val="clear" w:pos="720"/>
              <w:tab w:val="right" w:pos="9026" w:leader="dot"/>
            </w:tabs>
            <w:bidi w:val="0"/>
            <w:jc w:val="left"/>
            <w:rPr/>
          </w:pPr>
          <w:hyperlink w:anchor="__RefHeading___Toc3799_4199434714">
            <w:r>
              <w:rPr>
                <w:webHidden/>
                <w:rStyle w:val="IndexLink"/>
              </w:rPr>
              <w:t>Article 40: Spill Response and the Joint Roster</w:t>
              <w:tab/>
              <w:t>45</w:t>
            </w:r>
          </w:hyperlink>
        </w:p>
        <w:p>
          <w:pPr>
            <w:pStyle w:val="Contents3"/>
            <w:tabs>
              <w:tab w:val="clear" w:pos="720"/>
              <w:tab w:val="right" w:pos="9026" w:leader="dot"/>
            </w:tabs>
            <w:bidi w:val="0"/>
            <w:jc w:val="left"/>
            <w:rPr/>
          </w:pPr>
          <w:hyperlink w:anchor="__RefHeading___Toc3801_4199434714">
            <w:r>
              <w:rPr>
                <w:webHidden/>
                <w:rStyle w:val="IndexLink"/>
              </w:rPr>
              <w:t>40.1 The Joint Spill-Response Roster</w:t>
              <w:tab/>
              <w:t>45</w:t>
            </w:r>
          </w:hyperlink>
        </w:p>
        <w:p>
          <w:pPr>
            <w:pStyle w:val="Contents3"/>
            <w:tabs>
              <w:tab w:val="clear" w:pos="720"/>
              <w:tab w:val="right" w:pos="9026" w:leader="dot"/>
            </w:tabs>
            <w:bidi w:val="0"/>
            <w:jc w:val="left"/>
            <w:rPr/>
          </w:pPr>
          <w:hyperlink w:anchor="__RefHeading___Toc3803_4199434714">
            <w:r>
              <w:rPr>
                <w:webHidden/>
                <w:rStyle w:val="IndexLink"/>
              </w:rPr>
              <w:t>40.2 Response Timelines</w:t>
              <w:tab/>
              <w:t>45</w:t>
            </w:r>
          </w:hyperlink>
        </w:p>
        <w:p>
          <w:pPr>
            <w:pStyle w:val="Contents3"/>
            <w:tabs>
              <w:tab w:val="clear" w:pos="720"/>
              <w:tab w:val="right" w:pos="9026" w:leader="dot"/>
            </w:tabs>
            <w:bidi w:val="0"/>
            <w:jc w:val="left"/>
            <w:rPr/>
          </w:pPr>
          <w:hyperlink w:anchor="__RefHeading___Toc3805_4199434714">
            <w:r>
              <w:rPr>
                <w:webHidden/>
                <w:rStyle w:val="IndexLink"/>
              </w:rPr>
              <w:t>40.3 Liability Interface</w:t>
              <w:tab/>
              <w:t>45</w:t>
            </w:r>
          </w:hyperlink>
        </w:p>
        <w:p>
          <w:pPr>
            <w:pStyle w:val="Contents2"/>
            <w:tabs>
              <w:tab w:val="clear" w:pos="720"/>
              <w:tab w:val="right" w:pos="9026" w:leader="dot"/>
            </w:tabs>
            <w:bidi w:val="0"/>
            <w:jc w:val="left"/>
            <w:rPr/>
          </w:pPr>
          <w:hyperlink w:anchor="__RefHeading___Toc3807_4199434714">
            <w:r>
              <w:rPr>
                <w:webHidden/>
                <w:rStyle w:val="IndexLink"/>
              </w:rPr>
              <w:t>Article 41: Green Incentives and the Decarbonization Interface</w:t>
              <w:tab/>
              <w:t>45</w:t>
            </w:r>
          </w:hyperlink>
        </w:p>
        <w:p>
          <w:pPr>
            <w:pStyle w:val="Contents3"/>
            <w:tabs>
              <w:tab w:val="clear" w:pos="720"/>
              <w:tab w:val="right" w:pos="9026" w:leader="dot"/>
            </w:tabs>
            <w:bidi w:val="0"/>
            <w:jc w:val="left"/>
            <w:rPr/>
          </w:pPr>
          <w:hyperlink w:anchor="__RefHeading___Toc3809_4199434714">
            <w:r>
              <w:rPr>
                <w:webHidden/>
                <w:rStyle w:val="IndexLink"/>
              </w:rPr>
              <w:t>41.1 The Green Discount Link</w:t>
              <w:tab/>
              <w:t>45</w:t>
            </w:r>
          </w:hyperlink>
        </w:p>
        <w:p>
          <w:pPr>
            <w:pStyle w:val="Contents3"/>
            <w:tabs>
              <w:tab w:val="clear" w:pos="720"/>
              <w:tab w:val="right" w:pos="9026" w:leader="dot"/>
            </w:tabs>
            <w:bidi w:val="0"/>
            <w:jc w:val="left"/>
            <w:rPr/>
          </w:pPr>
          <w:hyperlink w:anchor="__RefHeading___Toc3811_4199434714">
            <w:r>
              <w:rPr>
                <w:webHidden/>
                <w:rStyle w:val="IndexLink"/>
              </w:rPr>
              <w:t>41.2 The Alternative Fuels Interface</w:t>
              <w:tab/>
              <w:t>45</w:t>
            </w:r>
          </w:hyperlink>
        </w:p>
        <w:p>
          <w:pPr>
            <w:pStyle w:val="Contents3"/>
            <w:tabs>
              <w:tab w:val="clear" w:pos="720"/>
              <w:tab w:val="right" w:pos="9026" w:leader="dot"/>
            </w:tabs>
            <w:bidi w:val="0"/>
            <w:jc w:val="left"/>
            <w:rPr/>
          </w:pPr>
          <w:hyperlink w:anchor="__RefHeading___Toc3813_4199434714">
            <w:r>
              <w:rPr>
                <w:webHidden/>
                <w:rStyle w:val="IndexLink"/>
              </w:rPr>
              <w:t>41.3 The Stewardship Pledge</w:t>
              <w:tab/>
              <w:t>45</w:t>
            </w:r>
          </w:hyperlink>
        </w:p>
        <w:p>
          <w:pPr>
            <w:pStyle w:val="Contents1"/>
            <w:tabs>
              <w:tab w:val="clear" w:pos="720"/>
              <w:tab w:val="right" w:pos="9026" w:leader="dot"/>
            </w:tabs>
            <w:bidi w:val="0"/>
            <w:jc w:val="left"/>
            <w:rPr/>
          </w:pPr>
          <w:hyperlink w:anchor="__RefHeading___Toc3815_4199434714">
            <w:r>
              <w:rPr>
                <w:webHidden/>
                <w:rStyle w:val="IndexLink"/>
              </w:rPr>
              <w:t>PART VII: THE INSTITUTIONAL ARCHITECTURE</w:t>
              <w:tab/>
              <w:t>47</w:t>
            </w:r>
          </w:hyperlink>
        </w:p>
        <w:p>
          <w:pPr>
            <w:pStyle w:val="Contents2"/>
            <w:tabs>
              <w:tab w:val="clear" w:pos="720"/>
              <w:tab w:val="right" w:pos="9026" w:leader="dot"/>
            </w:tabs>
            <w:bidi w:val="0"/>
            <w:jc w:val="left"/>
            <w:rPr/>
          </w:pPr>
          <w:hyperlink w:anchor="__RefHeading___Toc3817_4199434714">
            <w:r>
              <w:rPr>
                <w:webHidden/>
                <w:rStyle w:val="IndexLink"/>
              </w:rPr>
              <w:t>Article 42: The Hormuz Regional Stewardship Council</w:t>
              <w:tab/>
              <w:t>47</w:t>
            </w:r>
          </w:hyperlink>
        </w:p>
        <w:p>
          <w:pPr>
            <w:pStyle w:val="Contents3"/>
            <w:tabs>
              <w:tab w:val="clear" w:pos="720"/>
              <w:tab w:val="right" w:pos="9026" w:leader="dot"/>
            </w:tabs>
            <w:bidi w:val="0"/>
            <w:jc w:val="left"/>
            <w:rPr/>
          </w:pPr>
          <w:hyperlink w:anchor="__RefHeading___Toc3819_4199434714">
            <w:r>
              <w:rPr>
                <w:webHidden/>
                <w:rStyle w:val="IndexLink"/>
              </w:rPr>
              <w:t>42.1 Composition</w:t>
              <w:tab/>
              <w:t>47</w:t>
            </w:r>
          </w:hyperlink>
        </w:p>
        <w:p>
          <w:pPr>
            <w:pStyle w:val="Contents3"/>
            <w:tabs>
              <w:tab w:val="clear" w:pos="720"/>
              <w:tab w:val="right" w:pos="9026" w:leader="dot"/>
            </w:tabs>
            <w:bidi w:val="0"/>
            <w:jc w:val="left"/>
            <w:rPr/>
          </w:pPr>
          <w:hyperlink w:anchor="__RefHeading___Toc3821_4199434714">
            <w:r>
              <w:rPr>
                <w:webHidden/>
                <w:rStyle w:val="IndexLink"/>
              </w:rPr>
              <w:t>42.2 Functions</w:t>
              <w:tab/>
              <w:t>47</w:t>
            </w:r>
          </w:hyperlink>
        </w:p>
        <w:p>
          <w:pPr>
            <w:pStyle w:val="Contents2"/>
            <w:tabs>
              <w:tab w:val="clear" w:pos="720"/>
              <w:tab w:val="right" w:pos="9026" w:leader="dot"/>
            </w:tabs>
            <w:bidi w:val="0"/>
            <w:jc w:val="left"/>
            <w:rPr/>
          </w:pPr>
          <w:hyperlink w:anchor="__RefHeading___Toc3823_4199434714">
            <w:r>
              <w:rPr>
                <w:webHidden/>
                <w:rStyle w:val="IndexLink"/>
              </w:rPr>
              <w:t>Article 43: The Twin Key Rule</w:t>
              <w:tab/>
              <w:t>47</w:t>
            </w:r>
          </w:hyperlink>
        </w:p>
        <w:p>
          <w:pPr>
            <w:pStyle w:val="Contents3"/>
            <w:tabs>
              <w:tab w:val="clear" w:pos="720"/>
              <w:tab w:val="right" w:pos="9026" w:leader="dot"/>
            </w:tabs>
            <w:bidi w:val="0"/>
            <w:jc w:val="left"/>
            <w:rPr/>
          </w:pPr>
          <w:hyperlink w:anchor="__RefHeading___Toc3825_4199434714">
            <w:r>
              <w:rPr>
                <w:webHidden/>
                <w:rStyle w:val="IndexLink"/>
              </w:rPr>
              <w:t>43.1 The Rule</w:t>
              <w:tab/>
              <w:t>47</w:t>
            </w:r>
          </w:hyperlink>
        </w:p>
        <w:p>
          <w:pPr>
            <w:pStyle w:val="Contents3"/>
            <w:tabs>
              <w:tab w:val="clear" w:pos="720"/>
              <w:tab w:val="right" w:pos="9026" w:leader="dot"/>
            </w:tabs>
            <w:bidi w:val="0"/>
            <w:jc w:val="left"/>
            <w:rPr/>
          </w:pPr>
          <w:hyperlink w:anchor="__RefHeading___Toc3827_4199434714">
            <w:r>
              <w:rPr>
                <w:webHidden/>
                <w:rStyle w:val="IndexLink"/>
              </w:rPr>
              <w:t>43.3 Deadlock Resolution</w:t>
              <w:tab/>
              <w:t>47</w:t>
            </w:r>
          </w:hyperlink>
        </w:p>
        <w:p>
          <w:pPr>
            <w:pStyle w:val="Contents2"/>
            <w:tabs>
              <w:tab w:val="clear" w:pos="720"/>
              <w:tab w:val="right" w:pos="9026" w:leader="dot"/>
            </w:tabs>
            <w:bidi w:val="0"/>
            <w:jc w:val="left"/>
            <w:rPr/>
          </w:pPr>
          <w:hyperlink w:anchor="__RefHeading___Toc3829_4199434714">
            <w:r>
              <w:rPr>
                <w:webHidden/>
                <w:rStyle w:val="IndexLink"/>
              </w:rPr>
              <w:t>Article 44: The Secretariat</w:t>
              <w:tab/>
              <w:t>48</w:t>
            </w:r>
          </w:hyperlink>
        </w:p>
        <w:p>
          <w:pPr>
            <w:pStyle w:val="Contents3"/>
            <w:tabs>
              <w:tab w:val="clear" w:pos="720"/>
              <w:tab w:val="right" w:pos="9026" w:leader="dot"/>
            </w:tabs>
            <w:bidi w:val="0"/>
            <w:jc w:val="left"/>
            <w:rPr/>
          </w:pPr>
          <w:hyperlink w:anchor="__RefHeading___Toc3831_4199434714">
            <w:r>
              <w:rPr>
                <w:webHidden/>
                <w:rStyle w:val="IndexLink"/>
              </w:rPr>
              <w:t>44.1 Establishment and Seat</w:t>
              <w:tab/>
              <w:t>48</w:t>
            </w:r>
          </w:hyperlink>
        </w:p>
        <w:p>
          <w:pPr>
            <w:pStyle w:val="Contents3"/>
            <w:tabs>
              <w:tab w:val="clear" w:pos="720"/>
              <w:tab w:val="right" w:pos="9026" w:leader="dot"/>
            </w:tabs>
            <w:bidi w:val="0"/>
            <w:jc w:val="left"/>
            <w:rPr/>
          </w:pPr>
          <w:hyperlink w:anchor="__RefHeading___Toc3833_4199434714">
            <w:r>
              <w:rPr>
                <w:webHidden/>
                <w:rStyle w:val="IndexLink"/>
              </w:rPr>
              <w:t>44.2 Functions</w:t>
              <w:tab/>
              <w:t>48</w:t>
            </w:r>
          </w:hyperlink>
        </w:p>
        <w:p>
          <w:pPr>
            <w:pStyle w:val="Contents3"/>
            <w:tabs>
              <w:tab w:val="clear" w:pos="720"/>
              <w:tab w:val="right" w:pos="9026" w:leader="dot"/>
            </w:tabs>
            <w:bidi w:val="0"/>
            <w:jc w:val="left"/>
            <w:rPr/>
          </w:pPr>
          <w:hyperlink w:anchor="__RefHeading___Toc3835_4199434714">
            <w:r>
              <w:rPr>
                <w:webHidden/>
                <w:rStyle w:val="IndexLink"/>
              </w:rPr>
              <w:t>44.3 Staffing</w:t>
              <w:tab/>
              <w:t>48</w:t>
            </w:r>
          </w:hyperlink>
        </w:p>
        <w:p>
          <w:pPr>
            <w:pStyle w:val="Contents2"/>
            <w:tabs>
              <w:tab w:val="clear" w:pos="720"/>
              <w:tab w:val="right" w:pos="9026" w:leader="dot"/>
            </w:tabs>
            <w:bidi w:val="0"/>
            <w:jc w:val="left"/>
            <w:rPr/>
          </w:pPr>
          <w:hyperlink w:anchor="__RefHeading___Toc3837_4199434714">
            <w:r>
              <w:rPr>
                <w:webHidden/>
                <w:rStyle w:val="IndexLink"/>
              </w:rPr>
              <w:t>Article 45: The Maritime Coordination Center</w:t>
              <w:tab/>
              <w:t>48</w:t>
            </w:r>
          </w:hyperlink>
        </w:p>
        <w:p>
          <w:pPr>
            <w:pStyle w:val="Contents3"/>
            <w:tabs>
              <w:tab w:val="clear" w:pos="720"/>
              <w:tab w:val="right" w:pos="9026" w:leader="dot"/>
            </w:tabs>
            <w:bidi w:val="0"/>
            <w:jc w:val="left"/>
            <w:rPr/>
          </w:pPr>
          <w:hyperlink w:anchor="__RefHeading___Toc3839_4199434714">
            <w:r>
              <w:rPr>
                <w:webHidden/>
                <w:rStyle w:val="IndexLink"/>
              </w:rPr>
              <w:t>45.1 Establishment</w:t>
              <w:tab/>
              <w:t>48</w:t>
            </w:r>
          </w:hyperlink>
        </w:p>
        <w:p>
          <w:pPr>
            <w:pStyle w:val="Contents3"/>
            <w:tabs>
              <w:tab w:val="clear" w:pos="720"/>
              <w:tab w:val="right" w:pos="9026" w:leader="dot"/>
            </w:tabs>
            <w:bidi w:val="0"/>
            <w:jc w:val="left"/>
            <w:rPr/>
          </w:pPr>
          <w:hyperlink w:anchor="__RefHeading___Toc3841_4199434714">
            <w:r>
              <w:rPr>
                <w:webHidden/>
                <w:rStyle w:val="IndexLink"/>
              </w:rPr>
              <w:t>45.2 Functions</w:t>
              <w:tab/>
              <w:t>49</w:t>
            </w:r>
          </w:hyperlink>
        </w:p>
        <w:p>
          <w:pPr>
            <w:pStyle w:val="Contents2"/>
            <w:tabs>
              <w:tab w:val="clear" w:pos="720"/>
              <w:tab w:val="right" w:pos="9026" w:leader="dot"/>
            </w:tabs>
            <w:bidi w:val="0"/>
            <w:jc w:val="left"/>
            <w:rPr/>
          </w:pPr>
          <w:hyperlink w:anchor="__RefHeading___Toc3843_4199434714">
            <w:r>
              <w:rPr>
                <w:webHidden/>
                <w:rStyle w:val="IndexLink"/>
              </w:rPr>
              <w:t>Article 46: The Verification and Surveillance Directorate</w:t>
              <w:tab/>
              <w:t>49</w:t>
            </w:r>
          </w:hyperlink>
        </w:p>
        <w:p>
          <w:pPr>
            <w:pStyle w:val="Contents3"/>
            <w:tabs>
              <w:tab w:val="clear" w:pos="720"/>
              <w:tab w:val="right" w:pos="9026" w:leader="dot"/>
            </w:tabs>
            <w:bidi w:val="0"/>
            <w:jc w:val="left"/>
            <w:rPr/>
          </w:pPr>
          <w:hyperlink w:anchor="__RefHeading___Toc3845_4199434714">
            <w:r>
              <w:rPr>
                <w:webHidden/>
                <w:rStyle w:val="IndexLink"/>
              </w:rPr>
              <w:t>46.1 Establishment</w:t>
              <w:tab/>
              <w:t>49</w:t>
            </w:r>
          </w:hyperlink>
        </w:p>
        <w:p>
          <w:pPr>
            <w:pStyle w:val="Contents3"/>
            <w:tabs>
              <w:tab w:val="clear" w:pos="720"/>
              <w:tab w:val="right" w:pos="9026" w:leader="dot"/>
            </w:tabs>
            <w:bidi w:val="0"/>
            <w:jc w:val="left"/>
            <w:rPr/>
          </w:pPr>
          <w:hyperlink w:anchor="__RefHeading___Toc3847_4199434714">
            <w:r>
              <w:rPr>
                <w:webHidden/>
                <w:rStyle w:val="IndexLink"/>
              </w:rPr>
              <w:t>46.2 The Fused Picture</w:t>
              <w:tab/>
              <w:t>49</w:t>
            </w:r>
          </w:hyperlink>
        </w:p>
        <w:p>
          <w:pPr>
            <w:pStyle w:val="Contents3"/>
            <w:tabs>
              <w:tab w:val="clear" w:pos="720"/>
              <w:tab w:val="right" w:pos="9026" w:leader="dot"/>
            </w:tabs>
            <w:bidi w:val="0"/>
            <w:jc w:val="left"/>
            <w:rPr/>
          </w:pPr>
          <w:hyperlink w:anchor="__RefHeading___Toc3849_4199434714">
            <w:r>
              <w:rPr>
                <w:webHidden/>
                <w:rStyle w:val="IndexLink"/>
              </w:rPr>
              <w:t>46.3 Functions</w:t>
              <w:tab/>
              <w:t>49</w:t>
            </w:r>
          </w:hyperlink>
        </w:p>
        <w:p>
          <w:pPr>
            <w:pStyle w:val="Contents2"/>
            <w:tabs>
              <w:tab w:val="clear" w:pos="720"/>
              <w:tab w:val="right" w:pos="9026" w:leader="dot"/>
            </w:tabs>
            <w:bidi w:val="0"/>
            <w:jc w:val="left"/>
            <w:rPr/>
          </w:pPr>
          <w:hyperlink w:anchor="__RefHeading___Toc3851_4199434714">
            <w:r>
              <w:rPr>
                <w:webHidden/>
                <w:rStyle w:val="IndexLink"/>
              </w:rPr>
              <w:t>Article 47: Decision Rules</w:t>
              <w:tab/>
              <w:t>49</w:t>
            </w:r>
          </w:hyperlink>
        </w:p>
        <w:p>
          <w:pPr>
            <w:pStyle w:val="Contents3"/>
            <w:tabs>
              <w:tab w:val="clear" w:pos="720"/>
              <w:tab w:val="right" w:pos="9026" w:leader="dot"/>
            </w:tabs>
            <w:bidi w:val="0"/>
            <w:jc w:val="left"/>
            <w:rPr/>
          </w:pPr>
          <w:hyperlink w:anchor="__RefHeading___Toc3853_4199434714">
            <w:r>
              <w:rPr>
                <w:webHidden/>
                <w:rStyle w:val="IndexLink"/>
              </w:rPr>
              <w:t>47.1 The Three Chambers of Decision</w:t>
              <w:tab/>
              <w:t>49</w:t>
            </w:r>
          </w:hyperlink>
        </w:p>
        <w:p>
          <w:pPr>
            <w:pStyle w:val="Contents3"/>
            <w:tabs>
              <w:tab w:val="clear" w:pos="720"/>
              <w:tab w:val="right" w:pos="9026" w:leader="dot"/>
            </w:tabs>
            <w:bidi w:val="0"/>
            <w:jc w:val="left"/>
            <w:rPr/>
          </w:pPr>
          <w:hyperlink w:anchor="__RefHeading___Toc3855_4199434714">
            <w:r>
              <w:rPr>
                <w:webHidden/>
                <w:rStyle w:val="IndexLink"/>
              </w:rPr>
              <w:t>47.2 The Agenda Procedure</w:t>
              <w:tab/>
              <w:t>50</w:t>
            </w:r>
          </w:hyperlink>
        </w:p>
        <w:p>
          <w:pPr>
            <w:pStyle w:val="Contents2"/>
            <w:tabs>
              <w:tab w:val="clear" w:pos="720"/>
              <w:tab w:val="right" w:pos="9026" w:leader="dot"/>
            </w:tabs>
            <w:bidi w:val="0"/>
            <w:jc w:val="left"/>
            <w:rPr/>
          </w:pPr>
          <w:hyperlink w:anchor="__RefHeading___Toc3857_4199434714">
            <w:r>
              <w:rPr>
                <w:webHidden/>
                <w:rStyle w:val="IndexLink"/>
              </w:rPr>
              <w:t>Article 48: The Intermediary Bridge and Observer Tiers</w:t>
              <w:tab/>
              <w:t>50</w:t>
            </w:r>
          </w:hyperlink>
        </w:p>
        <w:p>
          <w:pPr>
            <w:pStyle w:val="Contents3"/>
            <w:tabs>
              <w:tab w:val="clear" w:pos="720"/>
              <w:tab w:val="right" w:pos="9026" w:leader="dot"/>
            </w:tabs>
            <w:bidi w:val="0"/>
            <w:jc w:val="left"/>
            <w:rPr/>
          </w:pPr>
          <w:hyperlink w:anchor="__RefHeading___Toc3859_4199434714">
            <w:r>
              <w:rPr>
                <w:webHidden/>
                <w:rStyle w:val="IndexLink"/>
              </w:rPr>
              <w:t>48.1 The Intermediary Bridge</w:t>
              <w:tab/>
              <w:t>50</w:t>
            </w:r>
          </w:hyperlink>
        </w:p>
        <w:p>
          <w:pPr>
            <w:pStyle w:val="Contents3"/>
            <w:tabs>
              <w:tab w:val="clear" w:pos="720"/>
              <w:tab w:val="right" w:pos="9026" w:leader="dot"/>
            </w:tabs>
            <w:bidi w:val="0"/>
            <w:jc w:val="left"/>
            <w:rPr/>
          </w:pPr>
          <w:hyperlink w:anchor="__RefHeading___Toc3861_4199434714">
            <w:r>
              <w:rPr>
                <w:webHidden/>
                <w:rStyle w:val="IndexLink"/>
              </w:rPr>
              <w:t>48.2 Observer Tiers</w:t>
              <w:tab/>
              <w:t>50</w:t>
            </w:r>
          </w:hyperlink>
        </w:p>
        <w:p>
          <w:pPr>
            <w:pStyle w:val="Contents1"/>
            <w:tabs>
              <w:tab w:val="clear" w:pos="720"/>
              <w:tab w:val="right" w:pos="9026" w:leader="dot"/>
            </w:tabs>
            <w:bidi w:val="0"/>
            <w:jc w:val="left"/>
            <w:rPr/>
          </w:pPr>
          <w:hyperlink w:anchor="__RefHeading___Toc3863_4199434714">
            <w:r>
              <w:rPr>
                <w:webHidden/>
                <w:rStyle w:val="IndexLink"/>
              </w:rPr>
              <w:t>PART VIII: VERIFICATION, TRANSPARENCY, AND COMPLIANCE</w:t>
              <w:tab/>
              <w:t>51</w:t>
            </w:r>
          </w:hyperlink>
        </w:p>
        <w:p>
          <w:pPr>
            <w:pStyle w:val="Contents2"/>
            <w:tabs>
              <w:tab w:val="clear" w:pos="720"/>
              <w:tab w:val="right" w:pos="9026" w:leader="dot"/>
            </w:tabs>
            <w:bidi w:val="0"/>
            <w:jc w:val="left"/>
            <w:rPr/>
          </w:pPr>
          <w:hyperlink w:anchor="__RefHeading___Toc3865_4199434714">
            <w:r>
              <w:rPr>
                <w:webHidden/>
                <w:rStyle w:val="IndexLink"/>
              </w:rPr>
              <w:t>Article 49: The Three-Pillar Verification Architecture</w:t>
              <w:tab/>
              <w:t>51</w:t>
            </w:r>
          </w:hyperlink>
        </w:p>
        <w:p>
          <w:pPr>
            <w:pStyle w:val="Contents3"/>
            <w:tabs>
              <w:tab w:val="clear" w:pos="720"/>
              <w:tab w:val="right" w:pos="9026" w:leader="dot"/>
            </w:tabs>
            <w:bidi w:val="0"/>
            <w:jc w:val="left"/>
            <w:rPr/>
          </w:pPr>
          <w:hyperlink w:anchor="__RefHeading___Toc3867_4199434714">
            <w:r>
              <w:rPr>
                <w:webHidden/>
                <w:rStyle w:val="IndexLink"/>
              </w:rPr>
              <w:t>49.1 The Pillars</w:t>
              <w:tab/>
              <w:t>51</w:t>
            </w:r>
          </w:hyperlink>
        </w:p>
        <w:p>
          <w:pPr>
            <w:pStyle w:val="Contents3"/>
            <w:tabs>
              <w:tab w:val="clear" w:pos="720"/>
              <w:tab w:val="right" w:pos="9026" w:leader="dot"/>
            </w:tabs>
            <w:bidi w:val="0"/>
            <w:jc w:val="left"/>
            <w:rPr/>
          </w:pPr>
          <w:hyperlink w:anchor="__RefHeading___Toc3869_4199434714">
            <w:r>
              <w:rPr>
                <w:webHidden/>
                <w:rStyle w:val="IndexLink"/>
              </w:rPr>
              <w:t>49.2 Verification Principles</w:t>
              <w:tab/>
              <w:t>51</w:t>
            </w:r>
          </w:hyperlink>
        </w:p>
        <w:p>
          <w:pPr>
            <w:pStyle w:val="Contents2"/>
            <w:tabs>
              <w:tab w:val="clear" w:pos="720"/>
              <w:tab w:val="right" w:pos="9026" w:leader="dot"/>
            </w:tabs>
            <w:bidi w:val="0"/>
            <w:jc w:val="left"/>
            <w:rPr/>
          </w:pPr>
          <w:hyperlink w:anchor="__RefHeading___Toc3871_4199434714">
            <w:r>
              <w:rPr>
                <w:webHidden/>
                <w:rStyle w:val="IndexLink"/>
              </w:rPr>
              <w:t>Article 50: The Balanced Compliance Engine</w:t>
              <w:tab/>
              <w:t>51</w:t>
            </w:r>
          </w:hyperlink>
        </w:p>
        <w:p>
          <w:pPr>
            <w:pStyle w:val="Contents3"/>
            <w:tabs>
              <w:tab w:val="clear" w:pos="720"/>
              <w:tab w:val="right" w:pos="9026" w:leader="dot"/>
            </w:tabs>
            <w:bidi w:val="0"/>
            <w:jc w:val="left"/>
            <w:rPr/>
          </w:pPr>
          <w:hyperlink w:anchor="__RefHeading___Toc3873_4199434714">
            <w:r>
              <w:rPr>
                <w:webHidden/>
                <w:rStyle w:val="IndexLink"/>
              </w:rPr>
              <w:t>50.1 The Breathing Framework</w:t>
              <w:tab/>
              <w:t>51</w:t>
            </w:r>
          </w:hyperlink>
        </w:p>
        <w:p>
          <w:pPr>
            <w:pStyle w:val="Contents3"/>
            <w:tabs>
              <w:tab w:val="clear" w:pos="720"/>
              <w:tab w:val="right" w:pos="9026" w:leader="dot"/>
            </w:tabs>
            <w:bidi w:val="0"/>
            <w:jc w:val="left"/>
            <w:rPr/>
          </w:pPr>
          <w:hyperlink w:anchor="__RefHeading___Toc3875_4199434714">
            <w:r>
              <w:rPr>
                <w:webHidden/>
                <w:rStyle w:val="IndexLink"/>
              </w:rPr>
              <w:t>50.2 The Compliance Dashboard</w:t>
              <w:tab/>
              <w:t>52</w:t>
            </w:r>
          </w:hyperlink>
        </w:p>
        <w:p>
          <w:pPr>
            <w:pStyle w:val="Contents2"/>
            <w:tabs>
              <w:tab w:val="clear" w:pos="720"/>
              <w:tab w:val="right" w:pos="9026" w:leader="dot"/>
            </w:tabs>
            <w:bidi w:val="0"/>
            <w:jc w:val="left"/>
            <w:rPr/>
          </w:pPr>
          <w:hyperlink w:anchor="__RefHeading___Toc3877_4199434714">
            <w:r>
              <w:rPr>
                <w:webHidden/>
                <w:rStyle w:val="IndexLink"/>
              </w:rPr>
              <w:t>Article 51: The Step-Back and Earn-Back Ladder</w:t>
              <w:tab/>
              <w:t>52</w:t>
            </w:r>
          </w:hyperlink>
        </w:p>
        <w:p>
          <w:pPr>
            <w:pStyle w:val="Contents3"/>
            <w:tabs>
              <w:tab w:val="clear" w:pos="720"/>
              <w:tab w:val="right" w:pos="9026" w:leader="dot"/>
            </w:tabs>
            <w:bidi w:val="0"/>
            <w:jc w:val="left"/>
            <w:rPr/>
          </w:pPr>
          <w:hyperlink w:anchor="__RefHeading___Toc3879_4199434714">
            <w:r>
              <w:rPr>
                <w:webHidden/>
                <w:rStyle w:val="IndexLink"/>
              </w:rPr>
              <w:t>51.1 The Ladder</w:t>
              <w:tab/>
              <w:t>52</w:t>
            </w:r>
          </w:hyperlink>
        </w:p>
        <w:p>
          <w:pPr>
            <w:pStyle w:val="Contents3"/>
            <w:tabs>
              <w:tab w:val="clear" w:pos="720"/>
              <w:tab w:val="right" w:pos="9026" w:leader="dot"/>
            </w:tabs>
            <w:bidi w:val="0"/>
            <w:jc w:val="left"/>
            <w:rPr/>
          </w:pPr>
          <w:hyperlink w:anchor="__RefHeading___Toc3881_4199434714">
            <w:r>
              <w:rPr>
                <w:webHidden/>
                <w:rStyle w:val="IndexLink"/>
              </w:rPr>
              <w:t>51.2 Earn-Back</w:t>
              <w:tab/>
              <w:t>52</w:t>
            </w:r>
          </w:hyperlink>
        </w:p>
        <w:p>
          <w:pPr>
            <w:pStyle w:val="Contents3"/>
            <w:tabs>
              <w:tab w:val="clear" w:pos="720"/>
              <w:tab w:val="right" w:pos="9026" w:leader="dot"/>
            </w:tabs>
            <w:bidi w:val="0"/>
            <w:jc w:val="left"/>
            <w:rPr/>
          </w:pPr>
          <w:hyperlink w:anchor="__RefHeading___Toc3883_4199434714">
            <w:r>
              <w:rPr>
                <w:webHidden/>
                <w:rStyle w:val="IndexLink"/>
              </w:rPr>
              <w:t>51.3 Symmetry</w:t>
              <w:tab/>
              <w:t>53</w:t>
            </w:r>
          </w:hyperlink>
        </w:p>
        <w:p>
          <w:pPr>
            <w:pStyle w:val="Contents2"/>
            <w:tabs>
              <w:tab w:val="clear" w:pos="720"/>
              <w:tab w:val="right" w:pos="9026" w:leader="dot"/>
            </w:tabs>
            <w:bidi w:val="0"/>
            <w:jc w:val="left"/>
            <w:rPr/>
          </w:pPr>
          <w:hyperlink w:anchor="__RefHeading___Toc3885_4199434714">
            <w:r>
              <w:rPr>
                <w:webHidden/>
                <w:rStyle w:val="IndexLink"/>
              </w:rPr>
              <w:t>Article 52: The Stability Audit</w:t>
              <w:tab/>
              <w:t>53</w:t>
            </w:r>
          </w:hyperlink>
        </w:p>
        <w:p>
          <w:pPr>
            <w:pStyle w:val="Contents3"/>
            <w:tabs>
              <w:tab w:val="clear" w:pos="720"/>
              <w:tab w:val="right" w:pos="9026" w:leader="dot"/>
            </w:tabs>
            <w:bidi w:val="0"/>
            <w:jc w:val="left"/>
            <w:rPr/>
          </w:pPr>
          <w:hyperlink w:anchor="__RefHeading___Toc3887_4199434714">
            <w:r>
              <w:rPr>
                <w:webHidden/>
                <w:rStyle w:val="IndexLink"/>
              </w:rPr>
              <w:t>52.1 The Annual Audit</w:t>
              <w:tab/>
              <w:t>53</w:t>
            </w:r>
          </w:hyperlink>
        </w:p>
        <w:p>
          <w:pPr>
            <w:pStyle w:val="Contents3"/>
            <w:tabs>
              <w:tab w:val="clear" w:pos="720"/>
              <w:tab w:val="right" w:pos="9026" w:leader="dot"/>
            </w:tabs>
            <w:bidi w:val="0"/>
            <w:jc w:val="left"/>
            <w:rPr/>
          </w:pPr>
          <w:hyperlink w:anchor="__RefHeading___Toc3889_4199434714">
            <w:r>
              <w:rPr>
                <w:webHidden/>
                <w:rStyle w:val="IndexLink"/>
              </w:rPr>
              <w:t>52.2 The Interim Audits</w:t>
              <w:tab/>
              <w:t>53</w:t>
            </w:r>
          </w:hyperlink>
        </w:p>
        <w:p>
          <w:pPr>
            <w:pStyle w:val="Contents2"/>
            <w:tabs>
              <w:tab w:val="clear" w:pos="720"/>
              <w:tab w:val="right" w:pos="9026" w:leader="dot"/>
            </w:tabs>
            <w:bidi w:val="0"/>
            <w:jc w:val="left"/>
            <w:rPr/>
          </w:pPr>
          <w:hyperlink w:anchor="__RefHeading___Toc3891_4199434714">
            <w:r>
              <w:rPr>
                <w:webHidden/>
                <w:rStyle w:val="IndexLink"/>
              </w:rPr>
              <w:t>Article 53: The Incident Database and the Transparency Portals</w:t>
              <w:tab/>
              <w:t>53</w:t>
            </w:r>
          </w:hyperlink>
        </w:p>
        <w:p>
          <w:pPr>
            <w:pStyle w:val="Contents3"/>
            <w:tabs>
              <w:tab w:val="clear" w:pos="720"/>
              <w:tab w:val="right" w:pos="9026" w:leader="dot"/>
            </w:tabs>
            <w:bidi w:val="0"/>
            <w:jc w:val="left"/>
            <w:rPr/>
          </w:pPr>
          <w:hyperlink w:anchor="__RefHeading___Toc3893_4199434714">
            <w:r>
              <w:rPr>
                <w:webHidden/>
                <w:rStyle w:val="IndexLink"/>
              </w:rPr>
              <w:t>53.1 The Incident Database</w:t>
              <w:tab/>
              <w:t>53</w:t>
            </w:r>
          </w:hyperlink>
        </w:p>
        <w:p>
          <w:pPr>
            <w:pStyle w:val="Contents3"/>
            <w:tabs>
              <w:tab w:val="clear" w:pos="720"/>
              <w:tab w:val="right" w:pos="9026" w:leader="dot"/>
            </w:tabs>
            <w:bidi w:val="0"/>
            <w:jc w:val="left"/>
            <w:rPr/>
          </w:pPr>
          <w:hyperlink w:anchor="__RefHeading___Toc3895_4199434714">
            <w:r>
              <w:rPr>
                <w:webHidden/>
                <w:rStyle w:val="IndexLink"/>
              </w:rPr>
              <w:t>53.2 The Transparency Portal</w:t>
              <w:tab/>
              <w:t>53</w:t>
            </w:r>
          </w:hyperlink>
        </w:p>
        <w:p>
          <w:pPr>
            <w:pStyle w:val="Contents3"/>
            <w:tabs>
              <w:tab w:val="clear" w:pos="720"/>
              <w:tab w:val="right" w:pos="9026" w:leader="dot"/>
            </w:tabs>
            <w:bidi w:val="0"/>
            <w:jc w:val="left"/>
            <w:rPr/>
          </w:pPr>
          <w:hyperlink w:anchor="__RefHeading___Toc3897_4199434714">
            <w:r>
              <w:rPr>
                <w:webHidden/>
                <w:rStyle w:val="IndexLink"/>
              </w:rPr>
              <w:t>53.3 The Counter-Misinformation Function</w:t>
              <w:tab/>
              <w:t>54</w:t>
            </w:r>
          </w:hyperlink>
        </w:p>
        <w:p>
          <w:pPr>
            <w:pStyle w:val="Contents2"/>
            <w:tabs>
              <w:tab w:val="clear" w:pos="720"/>
              <w:tab w:val="right" w:pos="9026" w:leader="dot"/>
            </w:tabs>
            <w:bidi w:val="0"/>
            <w:jc w:val="left"/>
            <w:rPr/>
          </w:pPr>
          <w:hyperlink w:anchor="__RefHeading___Toc3899_4199434714">
            <w:r>
              <w:rPr>
                <w:webHidden/>
                <w:rStyle w:val="IndexLink"/>
              </w:rPr>
              <w:t>Article 54: Audit and Financial Transparency</w:t>
              <w:tab/>
              <w:t>54</w:t>
            </w:r>
          </w:hyperlink>
        </w:p>
        <w:p>
          <w:pPr>
            <w:pStyle w:val="Contents3"/>
            <w:tabs>
              <w:tab w:val="clear" w:pos="720"/>
              <w:tab w:val="right" w:pos="9026" w:leader="dot"/>
            </w:tabs>
            <w:bidi w:val="0"/>
            <w:jc w:val="left"/>
            <w:rPr/>
          </w:pPr>
          <w:hyperlink w:anchor="__RefHeading___Toc3901_4199434714">
            <w:r>
              <w:rPr>
                <w:webHidden/>
                <w:rStyle w:val="IndexLink"/>
              </w:rPr>
              <w:t>54.1 The Auditors</w:t>
              <w:tab/>
              <w:t>54</w:t>
            </w:r>
          </w:hyperlink>
        </w:p>
        <w:p>
          <w:pPr>
            <w:pStyle w:val="Contents3"/>
            <w:tabs>
              <w:tab w:val="clear" w:pos="720"/>
              <w:tab w:val="right" w:pos="9026" w:leader="dot"/>
            </w:tabs>
            <w:bidi w:val="0"/>
            <w:jc w:val="left"/>
            <w:rPr/>
          </w:pPr>
          <w:hyperlink w:anchor="__RefHeading___Toc3903_4199434714">
            <w:r>
              <w:rPr>
                <w:webHidden/>
                <w:rStyle w:val="IndexLink"/>
              </w:rPr>
              <w:t>54.2 The Operational Audit Trail</w:t>
              <w:tab/>
              <w:t>54</w:t>
            </w:r>
          </w:hyperlink>
        </w:p>
        <w:p>
          <w:pPr>
            <w:pStyle w:val="Contents3"/>
            <w:tabs>
              <w:tab w:val="clear" w:pos="720"/>
              <w:tab w:val="right" w:pos="9026" w:leader="dot"/>
            </w:tabs>
            <w:bidi w:val="0"/>
            <w:jc w:val="left"/>
            <w:rPr/>
          </w:pPr>
          <w:hyperlink w:anchor="__RefHeading___Toc3905_4199434714">
            <w:r>
              <w:rPr>
                <w:webHidden/>
                <w:rStyle w:val="IndexLink"/>
              </w:rPr>
              <w:t>54.3 The Anti-Corruption Rule</w:t>
              <w:tab/>
              <w:t>54</w:t>
            </w:r>
          </w:hyperlink>
        </w:p>
        <w:p>
          <w:pPr>
            <w:pStyle w:val="Contents1"/>
            <w:tabs>
              <w:tab w:val="clear" w:pos="720"/>
              <w:tab w:val="right" w:pos="9026" w:leader="dot"/>
            </w:tabs>
            <w:bidi w:val="0"/>
            <w:jc w:val="left"/>
            <w:rPr/>
          </w:pPr>
          <w:hyperlink w:anchor="__RefHeading___Toc3907_4199434714">
            <w:r>
              <w:rPr>
                <w:webHidden/>
                <w:rStyle w:val="IndexLink"/>
              </w:rPr>
              <w:t>PART IX: DISPUTE RESOLUTION</w:t>
              <w:tab/>
              <w:t>55</w:t>
            </w:r>
          </w:hyperlink>
        </w:p>
        <w:p>
          <w:pPr>
            <w:pStyle w:val="Contents2"/>
            <w:tabs>
              <w:tab w:val="clear" w:pos="720"/>
              <w:tab w:val="right" w:pos="9026" w:leader="dot"/>
            </w:tabs>
            <w:bidi w:val="0"/>
            <w:jc w:val="left"/>
            <w:rPr/>
          </w:pPr>
          <w:hyperlink w:anchor="__RefHeading___Toc3909_4199434714">
            <w:r>
              <w:rPr>
                <w:webHidden/>
                <w:rStyle w:val="IndexLink"/>
              </w:rPr>
              <w:t>Article 55: Operational Consultation</w:t>
              <w:tab/>
              <w:t>55</w:t>
            </w:r>
          </w:hyperlink>
        </w:p>
        <w:p>
          <w:pPr>
            <w:pStyle w:val="Contents3"/>
            <w:tabs>
              <w:tab w:val="clear" w:pos="720"/>
              <w:tab w:val="right" w:pos="9026" w:leader="dot"/>
            </w:tabs>
            <w:bidi w:val="0"/>
            <w:jc w:val="left"/>
            <w:rPr/>
          </w:pPr>
          <w:hyperlink w:anchor="__RefHeading___Toc3911_4199434714">
            <w:r>
              <w:rPr>
                <w:webHidden/>
                <w:rStyle w:val="IndexLink"/>
              </w:rPr>
              <w:t>55.1 The First Tier</w:t>
              <w:tab/>
              <w:t>55</w:t>
            </w:r>
          </w:hyperlink>
        </w:p>
        <w:p>
          <w:pPr>
            <w:pStyle w:val="Contents3"/>
            <w:tabs>
              <w:tab w:val="clear" w:pos="720"/>
              <w:tab w:val="right" w:pos="9026" w:leader="dot"/>
            </w:tabs>
            <w:bidi w:val="0"/>
            <w:jc w:val="left"/>
            <w:rPr/>
          </w:pPr>
          <w:hyperlink w:anchor="__RefHeading___Toc3913_4199434714">
            <w:r>
              <w:rPr>
                <w:webHidden/>
                <w:rStyle w:val="IndexLink"/>
              </w:rPr>
              <w:t>55.2 Standing Characteristics</w:t>
              <w:tab/>
              <w:t>55</w:t>
            </w:r>
          </w:hyperlink>
        </w:p>
        <w:p>
          <w:pPr>
            <w:pStyle w:val="Contents2"/>
            <w:tabs>
              <w:tab w:val="clear" w:pos="720"/>
              <w:tab w:val="right" w:pos="9026" w:leader="dot"/>
            </w:tabs>
            <w:bidi w:val="0"/>
            <w:jc w:val="left"/>
            <w:rPr/>
          </w:pPr>
          <w:hyperlink w:anchor="__RefHeading___Toc3915_4199434714">
            <w:r>
              <w:rPr>
                <w:webHidden/>
                <w:rStyle w:val="IndexLink"/>
              </w:rPr>
              <w:t>Article 56: Mediation</w:t>
              <w:tab/>
              <w:t>55</w:t>
            </w:r>
          </w:hyperlink>
        </w:p>
        <w:p>
          <w:pPr>
            <w:pStyle w:val="Contents3"/>
            <w:tabs>
              <w:tab w:val="clear" w:pos="720"/>
              <w:tab w:val="right" w:pos="9026" w:leader="dot"/>
            </w:tabs>
            <w:bidi w:val="0"/>
            <w:jc w:val="left"/>
            <w:rPr/>
          </w:pPr>
          <w:hyperlink w:anchor="__RefHeading___Toc3917_4199434714">
            <w:r>
              <w:rPr>
                <w:webHidden/>
                <w:rStyle w:val="IndexLink"/>
              </w:rPr>
              <w:t>56.1 The Second Tier</w:t>
              <w:tab/>
              <w:t>55</w:t>
            </w:r>
          </w:hyperlink>
        </w:p>
        <w:p>
          <w:pPr>
            <w:pStyle w:val="Contents2"/>
            <w:tabs>
              <w:tab w:val="clear" w:pos="720"/>
              <w:tab w:val="right" w:pos="9026" w:leader="dot"/>
            </w:tabs>
            <w:bidi w:val="0"/>
            <w:jc w:val="left"/>
            <w:rPr/>
          </w:pPr>
          <w:hyperlink w:anchor="__RefHeading___Toc3919_4199434714">
            <w:r>
              <w:rPr>
                <w:webHidden/>
                <w:rStyle w:val="IndexLink"/>
              </w:rPr>
              <w:t>Article 57: The Standing Tribunal</w:t>
              <w:tab/>
              <w:t>55</w:t>
            </w:r>
          </w:hyperlink>
        </w:p>
        <w:p>
          <w:pPr>
            <w:pStyle w:val="Contents3"/>
            <w:tabs>
              <w:tab w:val="clear" w:pos="720"/>
              <w:tab w:val="right" w:pos="9026" w:leader="dot"/>
            </w:tabs>
            <w:bidi w:val="0"/>
            <w:jc w:val="left"/>
            <w:rPr/>
          </w:pPr>
          <w:hyperlink w:anchor="__RefHeading___Toc3921_4199434714">
            <w:r>
              <w:rPr>
                <w:webHidden/>
                <w:rStyle w:val="IndexLink"/>
              </w:rPr>
              <w:t>57.1 Establishment</w:t>
              <w:tab/>
              <w:t>55</w:t>
            </w:r>
          </w:hyperlink>
        </w:p>
        <w:p>
          <w:pPr>
            <w:pStyle w:val="Contents3"/>
            <w:tabs>
              <w:tab w:val="clear" w:pos="720"/>
              <w:tab w:val="right" w:pos="9026" w:leader="dot"/>
            </w:tabs>
            <w:bidi w:val="0"/>
            <w:jc w:val="left"/>
            <w:rPr/>
          </w:pPr>
          <w:hyperlink w:anchor="__RefHeading___Toc3923_4199434714">
            <w:r>
              <w:rPr>
                <w:webHidden/>
                <w:rStyle w:val="IndexLink"/>
              </w:rPr>
              <w:t>57.2 Procedure</w:t>
              <w:tab/>
              <w:t>56</w:t>
            </w:r>
          </w:hyperlink>
        </w:p>
        <w:p>
          <w:pPr>
            <w:pStyle w:val="Contents2"/>
            <w:tabs>
              <w:tab w:val="clear" w:pos="720"/>
              <w:tab w:val="right" w:pos="9026" w:leader="dot"/>
            </w:tabs>
            <w:bidi w:val="0"/>
            <w:jc w:val="left"/>
            <w:rPr/>
          </w:pPr>
          <w:hyperlink w:anchor="__RefHeading___Toc3925_4199434714">
            <w:r>
              <w:rPr>
                <w:webHidden/>
                <w:rStyle w:val="IndexLink"/>
              </w:rPr>
              <w:t>Article 58: Compliance Measures and Non-Compliance Response</w:t>
              <w:tab/>
              <w:t>56</w:t>
            </w:r>
          </w:hyperlink>
        </w:p>
        <w:p>
          <w:pPr>
            <w:pStyle w:val="Contents3"/>
            <w:tabs>
              <w:tab w:val="clear" w:pos="720"/>
              <w:tab w:val="right" w:pos="9026" w:leader="dot"/>
            </w:tabs>
            <w:bidi w:val="0"/>
            <w:jc w:val="left"/>
            <w:rPr/>
          </w:pPr>
          <w:hyperlink w:anchor="__RefHeading___Toc3927_4199434714">
            <w:r>
              <w:rPr>
                <w:webHidden/>
                <w:rStyle w:val="IndexLink"/>
              </w:rPr>
              <w:t>58.1 The Integrated Response</w:t>
              <w:tab/>
              <w:t>56</w:t>
            </w:r>
          </w:hyperlink>
        </w:p>
        <w:p>
          <w:pPr>
            <w:pStyle w:val="Contents3"/>
            <w:tabs>
              <w:tab w:val="clear" w:pos="720"/>
              <w:tab w:val="right" w:pos="9026" w:leader="dot"/>
            </w:tabs>
            <w:bidi w:val="0"/>
            <w:jc w:val="left"/>
            <w:rPr/>
          </w:pPr>
          <w:hyperlink w:anchor="__RefHeading___Toc3929_4199434714">
            <w:r>
              <w:rPr>
                <w:webHidden/>
                <w:rStyle w:val="IndexLink"/>
              </w:rPr>
              <w:t>58.2 The Final Guarantee</w:t>
              <w:tab/>
              <w:t>56</w:t>
            </w:r>
          </w:hyperlink>
        </w:p>
        <w:p>
          <w:pPr>
            <w:pStyle w:val="Contents1"/>
            <w:tabs>
              <w:tab w:val="clear" w:pos="720"/>
              <w:tab w:val="right" w:pos="9026" w:leader="dot"/>
            </w:tabs>
            <w:bidi w:val="0"/>
            <w:jc w:val="left"/>
            <w:rPr/>
          </w:pPr>
          <w:hyperlink w:anchor="__RefHeading___Toc3931_4199434714">
            <w:r>
              <w:rPr>
                <w:webHidden/>
                <w:rStyle w:val="IndexLink"/>
              </w:rPr>
              <w:t>PART X: IMPLEMENTATION AND TRANSITION</w:t>
              <w:tab/>
              <w:t>57</w:t>
            </w:r>
          </w:hyperlink>
        </w:p>
        <w:p>
          <w:pPr>
            <w:pStyle w:val="Contents2"/>
            <w:tabs>
              <w:tab w:val="clear" w:pos="720"/>
              <w:tab w:val="right" w:pos="9026" w:leader="dot"/>
            </w:tabs>
            <w:bidi w:val="0"/>
            <w:jc w:val="left"/>
            <w:rPr/>
          </w:pPr>
          <w:hyperlink w:anchor="__RefHeading___Toc3933_4199434714">
            <w:r>
              <w:rPr>
                <w:webHidden/>
                <w:rStyle w:val="IndexLink"/>
              </w:rPr>
              <w:t>Article 59: The Phased Activation Schedule</w:t>
              <w:tab/>
              <w:t>57</w:t>
            </w:r>
          </w:hyperlink>
        </w:p>
        <w:p>
          <w:pPr>
            <w:pStyle w:val="Contents3"/>
            <w:tabs>
              <w:tab w:val="clear" w:pos="720"/>
              <w:tab w:val="right" w:pos="9026" w:leader="dot"/>
            </w:tabs>
            <w:bidi w:val="0"/>
            <w:jc w:val="left"/>
            <w:rPr/>
          </w:pPr>
          <w:hyperlink w:anchor="__RefHeading___Toc3935_4199434714">
            <w:r>
              <w:rPr>
                <w:webHidden/>
                <w:rStyle w:val="IndexLink"/>
              </w:rPr>
              <w:t>59.1 The Phases</w:t>
              <w:tab/>
              <w:t>57</w:t>
            </w:r>
          </w:hyperlink>
        </w:p>
        <w:p>
          <w:pPr>
            <w:pStyle w:val="Contents3"/>
            <w:tabs>
              <w:tab w:val="clear" w:pos="720"/>
              <w:tab w:val="right" w:pos="9026" w:leader="dot"/>
            </w:tabs>
            <w:bidi w:val="0"/>
            <w:jc w:val="left"/>
            <w:rPr/>
          </w:pPr>
          <w:hyperlink w:anchor="__RefHeading___Toc3937_4199434714">
            <w:r>
              <w:rPr>
                <w:webHidden/>
                <w:rStyle w:val="IndexLink"/>
              </w:rPr>
              <w:t>59.2 The Early Fee Simulation</w:t>
              <w:tab/>
              <w:t>57</w:t>
            </w:r>
          </w:hyperlink>
        </w:p>
        <w:p>
          <w:pPr>
            <w:pStyle w:val="Contents3"/>
            <w:tabs>
              <w:tab w:val="clear" w:pos="720"/>
              <w:tab w:val="right" w:pos="9026" w:leader="dot"/>
            </w:tabs>
            <w:bidi w:val="0"/>
            <w:jc w:val="left"/>
            <w:rPr/>
          </w:pPr>
          <w:hyperlink w:anchor="__RefHeading___Toc3939_4199434714">
            <w:r>
              <w:rPr>
                <w:webHidden/>
                <w:rStyle w:val="IndexLink"/>
              </w:rPr>
              <w:t>59.3 The Concurrency Doctrine</w:t>
              <w:tab/>
              <w:t>57</w:t>
            </w:r>
          </w:hyperlink>
        </w:p>
        <w:p>
          <w:pPr>
            <w:pStyle w:val="Contents2"/>
            <w:tabs>
              <w:tab w:val="clear" w:pos="720"/>
              <w:tab w:val="right" w:pos="9026" w:leader="dot"/>
            </w:tabs>
            <w:bidi w:val="0"/>
            <w:jc w:val="left"/>
            <w:rPr/>
          </w:pPr>
          <w:hyperlink w:anchor="__RefHeading___Toc3941_4199434714">
            <w:r>
              <w:rPr>
                <w:webHidden/>
                <w:rStyle w:val="IndexLink"/>
              </w:rPr>
              <w:t>Article 60: The Gate Certification System</w:t>
              <w:tab/>
              <w:t>58</w:t>
            </w:r>
          </w:hyperlink>
        </w:p>
        <w:p>
          <w:pPr>
            <w:pStyle w:val="Contents3"/>
            <w:tabs>
              <w:tab w:val="clear" w:pos="720"/>
              <w:tab w:val="right" w:pos="9026" w:leader="dot"/>
            </w:tabs>
            <w:bidi w:val="0"/>
            <w:jc w:val="left"/>
            <w:rPr/>
          </w:pPr>
          <w:hyperlink w:anchor="__RefHeading___Toc3943_4199434714">
            <w:r>
              <w:rPr>
                <w:webHidden/>
                <w:rStyle w:val="IndexLink"/>
              </w:rPr>
              <w:t>60.1 The Gates</w:t>
              <w:tab/>
              <w:t>58</w:t>
            </w:r>
          </w:hyperlink>
        </w:p>
        <w:p>
          <w:pPr>
            <w:pStyle w:val="Contents3"/>
            <w:tabs>
              <w:tab w:val="clear" w:pos="720"/>
              <w:tab w:val="right" w:pos="9026" w:leader="dot"/>
            </w:tabs>
            <w:bidi w:val="0"/>
            <w:jc w:val="left"/>
            <w:rPr/>
          </w:pPr>
          <w:hyperlink w:anchor="__RefHeading___Toc3945_4199434714">
            <w:r>
              <w:rPr>
                <w:webHidden/>
                <w:rStyle w:val="IndexLink"/>
              </w:rPr>
              <w:t>60.2 The Emergency Acceleration Clause</w:t>
              <w:tab/>
              <w:t>58</w:t>
            </w:r>
          </w:hyperlink>
        </w:p>
        <w:p>
          <w:pPr>
            <w:pStyle w:val="Contents2"/>
            <w:tabs>
              <w:tab w:val="clear" w:pos="720"/>
              <w:tab w:val="right" w:pos="9026" w:leader="dot"/>
            </w:tabs>
            <w:bidi w:val="0"/>
            <w:jc w:val="left"/>
            <w:rPr/>
          </w:pPr>
          <w:hyperlink w:anchor="__RefHeading___Toc3947_4199434714">
            <w:r>
              <w:rPr>
                <w:webHidden/>
                <w:rStyle w:val="IndexLink"/>
              </w:rPr>
              <w:t>Article 61: The Synchronized Relief Track</w:t>
              <w:tab/>
              <w:t>58</w:t>
            </w:r>
          </w:hyperlink>
        </w:p>
        <w:p>
          <w:pPr>
            <w:pStyle w:val="Contents3"/>
            <w:tabs>
              <w:tab w:val="clear" w:pos="720"/>
              <w:tab w:val="right" w:pos="9026" w:leader="dot"/>
            </w:tabs>
            <w:bidi w:val="0"/>
            <w:jc w:val="left"/>
            <w:rPr/>
          </w:pPr>
          <w:hyperlink w:anchor="__RefHeading___Toc3949_4199434714">
            <w:r>
              <w:rPr>
                <w:webHidden/>
                <w:rStyle w:val="IndexLink"/>
              </w:rPr>
              <w:t>61.1 The Track</w:t>
              <w:tab/>
              <w:t>58</w:t>
            </w:r>
          </w:hyperlink>
        </w:p>
        <w:p>
          <w:pPr>
            <w:pStyle w:val="Contents3"/>
            <w:tabs>
              <w:tab w:val="clear" w:pos="720"/>
              <w:tab w:val="right" w:pos="9026" w:leader="dot"/>
            </w:tabs>
            <w:bidi w:val="0"/>
            <w:jc w:val="left"/>
            <w:rPr/>
          </w:pPr>
          <w:hyperlink w:anchor="__RefHeading___Toc3951_4199434714">
            <w:r>
              <w:rPr>
                <w:webHidden/>
                <w:rStyle w:val="IndexLink"/>
              </w:rPr>
              <w:t>61.2 The Fast-Track Option</w:t>
              <w:tab/>
              <w:t>59</w:t>
            </w:r>
          </w:hyperlink>
        </w:p>
        <w:p>
          <w:pPr>
            <w:pStyle w:val="Contents2"/>
            <w:tabs>
              <w:tab w:val="clear" w:pos="720"/>
              <w:tab w:val="right" w:pos="9026" w:leader="dot"/>
            </w:tabs>
            <w:bidi w:val="0"/>
            <w:jc w:val="left"/>
            <w:rPr/>
          </w:pPr>
          <w:hyperlink w:anchor="__RefHeading___Toc3953_4199434714">
            <w:r>
              <w:rPr>
                <w:webHidden/>
                <w:rStyle w:val="IndexLink"/>
              </w:rPr>
              <w:t>Article 62: Relationship to Other Instruments</w:t>
              <w:tab/>
              <w:t>59</w:t>
            </w:r>
          </w:hyperlink>
        </w:p>
        <w:p>
          <w:pPr>
            <w:pStyle w:val="Contents3"/>
            <w:tabs>
              <w:tab w:val="clear" w:pos="720"/>
              <w:tab w:val="right" w:pos="9026" w:leader="dot"/>
            </w:tabs>
            <w:bidi w:val="0"/>
            <w:jc w:val="left"/>
            <w:rPr/>
          </w:pPr>
          <w:hyperlink w:anchor="__RefHeading___Toc3955_4199434714">
            <w:r>
              <w:rPr>
                <w:webHidden/>
                <w:rStyle w:val="IndexLink"/>
              </w:rPr>
              <w:t>62.1 The Complementarity Rule</w:t>
              <w:tab/>
              <w:t>59</w:t>
            </w:r>
          </w:hyperlink>
        </w:p>
        <w:p>
          <w:pPr>
            <w:pStyle w:val="Contents3"/>
            <w:tabs>
              <w:tab w:val="clear" w:pos="720"/>
              <w:tab w:val="right" w:pos="9026" w:leader="dot"/>
            </w:tabs>
            <w:bidi w:val="0"/>
            <w:jc w:val="left"/>
            <w:rPr/>
          </w:pPr>
          <w:hyperlink w:anchor="__RefHeading___Toc3957_4199434714">
            <w:r>
              <w:rPr>
                <w:webHidden/>
                <w:rStyle w:val="IndexLink"/>
              </w:rPr>
              <w:t>62.2 The Non-Conditionality Rule</w:t>
              <w:tab/>
              <w:t>59</w:t>
            </w:r>
          </w:hyperlink>
        </w:p>
        <w:p>
          <w:pPr>
            <w:pStyle w:val="Contents3"/>
            <w:tabs>
              <w:tab w:val="clear" w:pos="720"/>
              <w:tab w:val="right" w:pos="9026" w:leader="dot"/>
            </w:tabs>
            <w:bidi w:val="0"/>
            <w:jc w:val="left"/>
            <w:rPr/>
          </w:pPr>
          <w:hyperlink w:anchor="__RefHeading___Toc3959_4199434714">
            <w:r>
              <w:rPr>
                <w:webHidden/>
                <w:rStyle w:val="IndexLink"/>
              </w:rPr>
              <w:t>62.3 The Registration Rule</w:t>
              <w:tab/>
              <w:t>59</w:t>
            </w:r>
          </w:hyperlink>
        </w:p>
        <w:p>
          <w:pPr>
            <w:pStyle w:val="Contents2"/>
            <w:tabs>
              <w:tab w:val="clear" w:pos="720"/>
              <w:tab w:val="right" w:pos="9026" w:leader="dot"/>
            </w:tabs>
            <w:bidi w:val="0"/>
            <w:jc w:val="left"/>
            <w:rPr/>
          </w:pPr>
          <w:hyperlink w:anchor="__RefHeading___Toc3961_4199434714">
            <w:r>
              <w:rPr>
                <w:webHidden/>
                <w:rStyle w:val="IndexLink"/>
              </w:rPr>
              <w:t>Article 63: The Nuclear Firewall</w:t>
              <w:tab/>
              <w:t>60</w:t>
            </w:r>
          </w:hyperlink>
        </w:p>
        <w:p>
          <w:pPr>
            <w:pStyle w:val="Contents3"/>
            <w:tabs>
              <w:tab w:val="clear" w:pos="720"/>
              <w:tab w:val="right" w:pos="9026" w:leader="dot"/>
            </w:tabs>
            <w:bidi w:val="0"/>
            <w:jc w:val="left"/>
            <w:rPr/>
          </w:pPr>
          <w:hyperlink w:anchor="__RefHeading___Toc3963_4199434714">
            <w:r>
              <w:rPr>
                <w:webHidden/>
                <w:rStyle w:val="IndexLink"/>
              </w:rPr>
              <w:t>63.1 The Firewall Principle</w:t>
              <w:tab/>
              <w:t>60</w:t>
            </w:r>
          </w:hyperlink>
        </w:p>
        <w:p>
          <w:pPr>
            <w:pStyle w:val="Contents3"/>
            <w:tabs>
              <w:tab w:val="clear" w:pos="720"/>
              <w:tab w:val="right" w:pos="9026" w:leader="dot"/>
            </w:tabs>
            <w:bidi w:val="0"/>
            <w:jc w:val="left"/>
            <w:rPr/>
          </w:pPr>
          <w:hyperlink w:anchor="__RefHeading___Toc3965_4199434714">
            <w:r>
              <w:rPr>
                <w:webHidden/>
                <w:rStyle w:val="IndexLink"/>
              </w:rPr>
              <w:t>63.2 The Interface</w:t>
              <w:tab/>
              <w:t>60</w:t>
            </w:r>
          </w:hyperlink>
        </w:p>
        <w:p>
          <w:pPr>
            <w:pStyle w:val="Contents2"/>
            <w:tabs>
              <w:tab w:val="clear" w:pos="720"/>
              <w:tab w:val="right" w:pos="9026" w:leader="dot"/>
            </w:tabs>
            <w:bidi w:val="0"/>
            <w:jc w:val="left"/>
            <w:rPr/>
          </w:pPr>
          <w:hyperlink w:anchor="__RefHeading___Toc3967_4199434714">
            <w:r>
              <w:rPr>
                <w:webHidden/>
                <w:rStyle w:val="IndexLink"/>
              </w:rPr>
              <w:t>Article 64: Scope Exclusions</w:t>
              <w:tab/>
              <w:t>60</w:t>
            </w:r>
          </w:hyperlink>
        </w:p>
        <w:p>
          <w:pPr>
            <w:pStyle w:val="Contents3"/>
            <w:tabs>
              <w:tab w:val="clear" w:pos="720"/>
              <w:tab w:val="right" w:pos="9026" w:leader="dot"/>
            </w:tabs>
            <w:bidi w:val="0"/>
            <w:jc w:val="left"/>
            <w:rPr/>
          </w:pPr>
          <w:hyperlink w:anchor="__RefHeading___Toc3969_4199434714">
            <w:r>
              <w:rPr>
                <w:webHidden/>
                <w:rStyle w:val="IndexLink"/>
              </w:rPr>
              <w:t>64.1 The Exclusions</w:t>
              <w:tab/>
              <w:t>60</w:t>
            </w:r>
          </w:hyperlink>
        </w:p>
        <w:p>
          <w:pPr>
            <w:pStyle w:val="Contents3"/>
            <w:tabs>
              <w:tab w:val="clear" w:pos="720"/>
              <w:tab w:val="right" w:pos="9026" w:leader="dot"/>
            </w:tabs>
            <w:bidi w:val="0"/>
            <w:jc w:val="left"/>
            <w:rPr/>
          </w:pPr>
          <w:hyperlink w:anchor="__RefHeading___Toc3971_4199434714">
            <w:r>
              <w:rPr>
                <w:webHidden/>
                <w:rStyle w:val="IndexLink"/>
              </w:rPr>
              <w:t>64.2 The Perimeter Test</w:t>
              <w:tab/>
              <w:t>60</w:t>
            </w:r>
          </w:hyperlink>
        </w:p>
        <w:p>
          <w:pPr>
            <w:pStyle w:val="Contents2"/>
            <w:tabs>
              <w:tab w:val="clear" w:pos="720"/>
              <w:tab w:val="right" w:pos="9026" w:leader="dot"/>
            </w:tabs>
            <w:bidi w:val="0"/>
            <w:jc w:val="left"/>
            <w:rPr/>
          </w:pPr>
          <w:hyperlink w:anchor="__RefHeading___Toc3973_4199434714">
            <w:r>
              <w:rPr>
                <w:webHidden/>
                <w:rStyle w:val="IndexLink"/>
              </w:rPr>
              <w:t>Article 65: Accession</w:t>
              <w:tab/>
              <w:t>60</w:t>
            </w:r>
          </w:hyperlink>
        </w:p>
        <w:p>
          <w:pPr>
            <w:pStyle w:val="Contents3"/>
            <w:tabs>
              <w:tab w:val="clear" w:pos="720"/>
              <w:tab w:val="right" w:pos="9026" w:leader="dot"/>
            </w:tabs>
            <w:bidi w:val="0"/>
            <w:jc w:val="left"/>
            <w:rPr/>
          </w:pPr>
          <w:hyperlink w:anchor="__RefHeading___Toc3975_4199434714">
            <w:r>
              <w:rPr>
                <w:webHidden/>
                <w:rStyle w:val="IndexLink"/>
              </w:rPr>
              <w:t>65.1 Accession of States</w:t>
              <w:tab/>
              <w:t>60</w:t>
            </w:r>
          </w:hyperlink>
        </w:p>
        <w:p>
          <w:pPr>
            <w:pStyle w:val="Contents3"/>
            <w:tabs>
              <w:tab w:val="clear" w:pos="720"/>
              <w:tab w:val="right" w:pos="9026" w:leader="dot"/>
            </w:tabs>
            <w:bidi w:val="0"/>
            <w:jc w:val="left"/>
            <w:rPr/>
          </w:pPr>
          <w:hyperlink w:anchor="__RefHeading___Toc3977_4199434714">
            <w:r>
              <w:rPr>
                <w:webHidden/>
                <w:rStyle w:val="IndexLink"/>
              </w:rPr>
              <w:t>65.2 Accession Duties</w:t>
              <w:tab/>
              <w:t>61</w:t>
            </w:r>
          </w:hyperlink>
        </w:p>
        <w:p>
          <w:pPr>
            <w:pStyle w:val="Contents2"/>
            <w:tabs>
              <w:tab w:val="clear" w:pos="720"/>
              <w:tab w:val="right" w:pos="9026" w:leader="dot"/>
            </w:tabs>
            <w:bidi w:val="0"/>
            <w:jc w:val="left"/>
            <w:rPr/>
          </w:pPr>
          <w:hyperlink w:anchor="__RefHeading___Toc3979_4199434714">
            <w:r>
              <w:rPr>
                <w:webHidden/>
                <w:rStyle w:val="IndexLink"/>
              </w:rPr>
              <w:t>Article 66: Amendment</w:t>
              <w:tab/>
              <w:t>61</w:t>
            </w:r>
          </w:hyperlink>
        </w:p>
        <w:p>
          <w:pPr>
            <w:pStyle w:val="Contents3"/>
            <w:tabs>
              <w:tab w:val="clear" w:pos="720"/>
              <w:tab w:val="right" w:pos="9026" w:leader="dot"/>
            </w:tabs>
            <w:bidi w:val="0"/>
            <w:jc w:val="left"/>
            <w:rPr/>
          </w:pPr>
          <w:hyperlink w:anchor="__RefHeading___Toc3981_4199434714">
            <w:r>
              <w:rPr>
                <w:webHidden/>
                <w:rStyle w:val="IndexLink"/>
              </w:rPr>
              <w:t>66.1 The Amendment Rule</w:t>
              <w:tab/>
              <w:t>61</w:t>
            </w:r>
          </w:hyperlink>
        </w:p>
        <w:p>
          <w:pPr>
            <w:pStyle w:val="Contents2"/>
            <w:tabs>
              <w:tab w:val="clear" w:pos="720"/>
              <w:tab w:val="right" w:pos="9026" w:leader="dot"/>
            </w:tabs>
            <w:bidi w:val="0"/>
            <w:jc w:val="left"/>
            <w:rPr/>
          </w:pPr>
          <w:hyperlink w:anchor="__RefHeading___Toc3983_4199434714">
            <w:r>
              <w:rPr>
                <w:webHidden/>
                <w:rStyle w:val="IndexLink"/>
              </w:rPr>
              <w:t>Article 67: Entry into Force</w:t>
              <w:tab/>
              <w:t>61</w:t>
            </w:r>
          </w:hyperlink>
        </w:p>
        <w:p>
          <w:pPr>
            <w:pStyle w:val="Contents3"/>
            <w:tabs>
              <w:tab w:val="clear" w:pos="720"/>
              <w:tab w:val="right" w:pos="9026" w:leader="dot"/>
            </w:tabs>
            <w:bidi w:val="0"/>
            <w:jc w:val="left"/>
            <w:rPr/>
          </w:pPr>
          <w:hyperlink w:anchor="__RefHeading___Toc3985_4199434714">
            <w:r>
              <w:rPr>
                <w:webHidden/>
                <w:rStyle w:val="IndexLink"/>
              </w:rPr>
              <w:t>67.1 Entry into Force</w:t>
              <w:tab/>
              <w:t>61</w:t>
            </w:r>
          </w:hyperlink>
        </w:p>
        <w:p>
          <w:pPr>
            <w:pStyle w:val="Contents3"/>
            <w:tabs>
              <w:tab w:val="clear" w:pos="720"/>
              <w:tab w:val="right" w:pos="9026" w:leader="dot"/>
            </w:tabs>
            <w:bidi w:val="0"/>
            <w:jc w:val="left"/>
            <w:rPr/>
          </w:pPr>
          <w:hyperlink w:anchor="__RefHeading___Toc3987_4199434714">
            <w:r>
              <w:rPr>
                <w:webHidden/>
                <w:rStyle w:val="IndexLink"/>
              </w:rPr>
              <w:t>67.2 Parliamentary Notification</w:t>
              <w:tab/>
              <w:t>61</w:t>
            </w:r>
          </w:hyperlink>
        </w:p>
        <w:p>
          <w:pPr>
            <w:pStyle w:val="Contents2"/>
            <w:tabs>
              <w:tab w:val="clear" w:pos="720"/>
              <w:tab w:val="right" w:pos="9026" w:leader="dot"/>
            </w:tabs>
            <w:bidi w:val="0"/>
            <w:jc w:val="left"/>
            <w:rPr/>
          </w:pPr>
          <w:hyperlink w:anchor="__RefHeading___Toc3989_4199434714">
            <w:r>
              <w:rPr>
                <w:webHidden/>
                <w:rStyle w:val="IndexLink"/>
              </w:rPr>
              <w:t>Article 68: Depositary, Languages, and Final Provisions</w:t>
              <w:tab/>
              <w:t>62</w:t>
            </w:r>
          </w:hyperlink>
        </w:p>
        <w:p>
          <w:pPr>
            <w:pStyle w:val="Contents3"/>
            <w:tabs>
              <w:tab w:val="clear" w:pos="720"/>
              <w:tab w:val="right" w:pos="9026" w:leader="dot"/>
            </w:tabs>
            <w:bidi w:val="0"/>
            <w:jc w:val="left"/>
            <w:rPr/>
          </w:pPr>
          <w:hyperlink w:anchor="__RefHeading___Toc3991_4199434714">
            <w:r>
              <w:rPr>
                <w:webHidden/>
                <w:rStyle w:val="IndexLink"/>
              </w:rPr>
              <w:t>68.1 The Depositary</w:t>
              <w:tab/>
              <w:t>62</w:t>
            </w:r>
          </w:hyperlink>
        </w:p>
        <w:p>
          <w:pPr>
            <w:pStyle w:val="Contents3"/>
            <w:tabs>
              <w:tab w:val="clear" w:pos="720"/>
              <w:tab w:val="right" w:pos="9026" w:leader="dot"/>
            </w:tabs>
            <w:bidi w:val="0"/>
            <w:jc w:val="left"/>
            <w:rPr/>
          </w:pPr>
          <w:hyperlink w:anchor="__RefHeading___Toc3993_4199434714">
            <w:r>
              <w:rPr>
                <w:webHidden/>
                <w:rStyle w:val="IndexLink"/>
              </w:rPr>
              <w:t>68.2 Languages</w:t>
              <w:tab/>
              <w:t>62</w:t>
            </w:r>
          </w:hyperlink>
        </w:p>
        <w:p>
          <w:pPr>
            <w:pStyle w:val="Contents3"/>
            <w:tabs>
              <w:tab w:val="clear" w:pos="720"/>
              <w:tab w:val="right" w:pos="9026" w:leader="dot"/>
            </w:tabs>
            <w:bidi w:val="0"/>
            <w:jc w:val="left"/>
            <w:rPr/>
          </w:pPr>
          <w:hyperlink w:anchor="__RefHeading___Toc3995_4199434714">
            <w:r>
              <w:rPr>
                <w:webHidden/>
                <w:rStyle w:val="IndexLink"/>
              </w:rPr>
              <w:t>68.3 The Standing Reservation</w:t>
              <w:tab/>
              <w:t>62</w:t>
            </w:r>
          </w:hyperlink>
        </w:p>
        <w:p>
          <w:pPr>
            <w:pStyle w:val="Contents3"/>
            <w:tabs>
              <w:tab w:val="clear" w:pos="720"/>
              <w:tab w:val="right" w:pos="9026" w:leader="dot"/>
            </w:tabs>
            <w:bidi w:val="0"/>
            <w:jc w:val="left"/>
            <w:rPr/>
          </w:pPr>
          <w:hyperlink w:anchor="__RefHeading___Toc3997_4199434714">
            <w:r>
              <w:rPr>
                <w:webHidden/>
                <w:rStyle w:val="IndexLink"/>
              </w:rPr>
              <w:t>68.4 In Witness Whereof</w:t>
              <w:tab/>
              <w:t>62</w:t>
            </w:r>
          </w:hyperlink>
        </w:p>
        <w:p>
          <w:pPr>
            <w:pStyle w:val="Contents1"/>
            <w:tabs>
              <w:tab w:val="clear" w:pos="720"/>
              <w:tab w:val="right" w:pos="9026" w:leader="dot"/>
            </w:tabs>
            <w:bidi w:val="0"/>
            <w:jc w:val="left"/>
            <w:rPr/>
          </w:pPr>
          <w:hyperlink w:anchor="__RefHeading___Toc3999_4199434714">
            <w:r>
              <w:rPr>
                <w:webHidden/>
                <w:rStyle w:val="IndexLink"/>
              </w:rPr>
              <w:t>PART XI: OPERATIONAL PROTOCOLS</w:t>
              <w:tab/>
              <w:t>63</w:t>
            </w:r>
          </w:hyperlink>
        </w:p>
        <w:p>
          <w:pPr>
            <w:pStyle w:val="Contents2"/>
            <w:tabs>
              <w:tab w:val="clear" w:pos="720"/>
              <w:tab w:val="right" w:pos="9026" w:leader="dot"/>
            </w:tabs>
            <w:bidi w:val="0"/>
            <w:jc w:val="left"/>
            <w:rPr/>
          </w:pPr>
          <w:hyperlink w:anchor="__RefHeading___Toc4001_4199434714">
            <w:r>
              <w:rPr>
                <w:webHidden/>
                <w:rStyle w:val="IndexLink"/>
              </w:rPr>
              <w:t>Article 69: Communications and Reporting Procedures</w:t>
              <w:tab/>
              <w:t>63</w:t>
            </w:r>
          </w:hyperlink>
        </w:p>
        <w:p>
          <w:pPr>
            <w:pStyle w:val="Contents3"/>
            <w:tabs>
              <w:tab w:val="clear" w:pos="720"/>
              <w:tab w:val="right" w:pos="9026" w:leader="dot"/>
            </w:tabs>
            <w:bidi w:val="0"/>
            <w:jc w:val="left"/>
            <w:rPr/>
          </w:pPr>
          <w:hyperlink w:anchor="__RefHeading___Toc4003_4199434714">
            <w:r>
              <w:rPr>
                <w:webHidden/>
                <w:rStyle w:val="IndexLink"/>
              </w:rPr>
              <w:t>69.1 The Common Channel</w:t>
              <w:tab/>
              <w:t>63</w:t>
            </w:r>
          </w:hyperlink>
        </w:p>
        <w:p>
          <w:pPr>
            <w:pStyle w:val="Contents3"/>
            <w:tabs>
              <w:tab w:val="clear" w:pos="720"/>
              <w:tab w:val="right" w:pos="9026" w:leader="dot"/>
            </w:tabs>
            <w:bidi w:val="0"/>
            <w:jc w:val="left"/>
            <w:rPr/>
          </w:pPr>
          <w:hyperlink w:anchor="__RefHeading___Toc4005_4199434714">
            <w:r>
              <w:rPr>
                <w:webHidden/>
                <w:rStyle w:val="IndexLink"/>
              </w:rPr>
              <w:t>69.2 Reporting Points</w:t>
              <w:tab/>
              <w:t>63</w:t>
            </w:r>
          </w:hyperlink>
        </w:p>
        <w:p>
          <w:pPr>
            <w:pStyle w:val="Contents3"/>
            <w:tabs>
              <w:tab w:val="clear" w:pos="720"/>
              <w:tab w:val="right" w:pos="9026" w:leader="dot"/>
            </w:tabs>
            <w:bidi w:val="0"/>
            <w:jc w:val="left"/>
            <w:rPr/>
          </w:pPr>
          <w:hyperlink w:anchor="__RefHeading___Toc4007_4199434714">
            <w:r>
              <w:rPr>
                <w:webHidden/>
                <w:rStyle w:val="IndexLink"/>
              </w:rPr>
              <w:t>69.3 The Anti-Coercion Rule for Communications</w:t>
              <w:tab/>
              <w:t>63</w:t>
            </w:r>
          </w:hyperlink>
        </w:p>
        <w:p>
          <w:pPr>
            <w:pStyle w:val="Contents3"/>
            <w:tabs>
              <w:tab w:val="clear" w:pos="720"/>
              <w:tab w:val="right" w:pos="9026" w:leader="dot"/>
            </w:tabs>
            <w:bidi w:val="0"/>
            <w:jc w:val="left"/>
            <w:rPr/>
          </w:pPr>
          <w:hyperlink w:anchor="__RefHeading___Toc4009_4199434714">
            <w:r>
              <w:rPr>
                <w:webHidden/>
                <w:rStyle w:val="IndexLink"/>
              </w:rPr>
              <w:t>69.4 Language</w:t>
              <w:tab/>
              <w:t>63</w:t>
            </w:r>
          </w:hyperlink>
        </w:p>
        <w:p>
          <w:pPr>
            <w:pStyle w:val="Contents2"/>
            <w:tabs>
              <w:tab w:val="clear" w:pos="720"/>
              <w:tab w:val="right" w:pos="9026" w:leader="dot"/>
            </w:tabs>
            <w:bidi w:val="0"/>
            <w:jc w:val="left"/>
            <w:rPr/>
          </w:pPr>
          <w:hyperlink w:anchor="__RefHeading___Toc4011_4199434714">
            <w:r>
              <w:rPr>
                <w:webHidden/>
                <w:rStyle w:val="IndexLink"/>
              </w:rPr>
              <w:t>Article 70: Small Craft and Coastal Traffic</w:t>
              <w:tab/>
              <w:t>63</w:t>
            </w:r>
          </w:hyperlink>
        </w:p>
        <w:p>
          <w:pPr>
            <w:pStyle w:val="Contents3"/>
            <w:tabs>
              <w:tab w:val="clear" w:pos="720"/>
              <w:tab w:val="right" w:pos="9026" w:leader="dot"/>
            </w:tabs>
            <w:bidi w:val="0"/>
            <w:jc w:val="left"/>
            <w:rPr/>
          </w:pPr>
          <w:hyperlink w:anchor="__RefHeading___Toc4013_4199434714">
            <w:r>
              <w:rPr>
                <w:webHidden/>
                <w:rStyle w:val="IndexLink"/>
              </w:rPr>
              <w:t>70.1 The Coastal Regime</w:t>
              <w:tab/>
              <w:t>63</w:t>
            </w:r>
          </w:hyperlink>
        </w:p>
        <w:p>
          <w:pPr>
            <w:pStyle w:val="Contents3"/>
            <w:tabs>
              <w:tab w:val="clear" w:pos="720"/>
              <w:tab w:val="right" w:pos="9026" w:leader="dot"/>
            </w:tabs>
            <w:bidi w:val="0"/>
            <w:jc w:val="left"/>
            <w:rPr/>
          </w:pPr>
          <w:hyperlink w:anchor="__RefHeading___Toc4015_4199434714">
            <w:r>
              <w:rPr>
                <w:webHidden/>
                <w:rStyle w:val="IndexLink"/>
              </w:rPr>
              <w:t>70.2 Fishing Protection</w:t>
              <w:tab/>
              <w:t>64</w:t>
            </w:r>
          </w:hyperlink>
        </w:p>
        <w:p>
          <w:pPr>
            <w:pStyle w:val="Contents2"/>
            <w:tabs>
              <w:tab w:val="clear" w:pos="720"/>
              <w:tab w:val="right" w:pos="9026" w:leader="dot"/>
            </w:tabs>
            <w:bidi w:val="0"/>
            <w:jc w:val="left"/>
            <w:rPr/>
          </w:pPr>
          <w:hyperlink w:anchor="__RefHeading___Toc4017_4199434714">
            <w:r>
              <w:rPr>
                <w:webHidden/>
                <w:rStyle w:val="IndexLink"/>
              </w:rPr>
              <w:t>Article 71: Emergency Diversion and Casualty Procedures</w:t>
              <w:tab/>
              <w:t>64</w:t>
            </w:r>
          </w:hyperlink>
        </w:p>
        <w:p>
          <w:pPr>
            <w:pStyle w:val="Contents3"/>
            <w:tabs>
              <w:tab w:val="clear" w:pos="720"/>
              <w:tab w:val="right" w:pos="9026" w:leader="dot"/>
            </w:tabs>
            <w:bidi w:val="0"/>
            <w:jc w:val="left"/>
            <w:rPr/>
          </w:pPr>
          <w:hyperlink w:anchor="__RefHeading___Toc4019_4199434714">
            <w:r>
              <w:rPr>
                <w:webHidden/>
                <w:rStyle w:val="IndexLink"/>
              </w:rPr>
              <w:t>71.1 The Diversion Geometry</w:t>
              <w:tab/>
              <w:t>64</w:t>
            </w:r>
          </w:hyperlink>
        </w:p>
        <w:p>
          <w:pPr>
            <w:pStyle w:val="Contents3"/>
            <w:tabs>
              <w:tab w:val="clear" w:pos="720"/>
              <w:tab w:val="right" w:pos="9026" w:leader="dot"/>
            </w:tabs>
            <w:bidi w:val="0"/>
            <w:jc w:val="left"/>
            <w:rPr/>
          </w:pPr>
          <w:hyperlink w:anchor="__RefHeading___Toc4021_4199434714">
            <w:r>
              <w:rPr>
                <w:webHidden/>
                <w:rStyle w:val="IndexLink"/>
              </w:rPr>
              <w:t>71.2 Casualty Response</w:t>
              <w:tab/>
              <w:t>64</w:t>
            </w:r>
          </w:hyperlink>
        </w:p>
        <w:p>
          <w:pPr>
            <w:pStyle w:val="Contents3"/>
            <w:tabs>
              <w:tab w:val="clear" w:pos="720"/>
              <w:tab w:val="right" w:pos="9026" w:leader="dot"/>
            </w:tabs>
            <w:bidi w:val="0"/>
            <w:jc w:val="left"/>
            <w:rPr/>
          </w:pPr>
          <w:hyperlink w:anchor="__RefHeading___Toc4023_4199434714">
            <w:r>
              <w:rPr>
                <w:webHidden/>
                <w:rStyle w:val="IndexLink"/>
              </w:rPr>
              <w:t>71.3 Places of Refuge</w:t>
              <w:tab/>
              <w:t>64</w:t>
            </w:r>
          </w:hyperlink>
        </w:p>
        <w:p>
          <w:pPr>
            <w:pStyle w:val="Contents2"/>
            <w:tabs>
              <w:tab w:val="clear" w:pos="720"/>
              <w:tab w:val="right" w:pos="9026" w:leader="dot"/>
            </w:tabs>
            <w:bidi w:val="0"/>
            <w:jc w:val="left"/>
            <w:rPr/>
          </w:pPr>
          <w:hyperlink w:anchor="__RefHeading___Toc4025_4199434714">
            <w:r>
              <w:rPr>
                <w:webHidden/>
                <w:rStyle w:val="IndexLink"/>
              </w:rPr>
              <w:t>Article 72: Salvage, Wreck Removal, and Navigation Restoration</w:t>
              <w:tab/>
              <w:t>64</w:t>
            </w:r>
          </w:hyperlink>
        </w:p>
        <w:p>
          <w:pPr>
            <w:pStyle w:val="Contents3"/>
            <w:tabs>
              <w:tab w:val="clear" w:pos="720"/>
              <w:tab w:val="right" w:pos="9026" w:leader="dot"/>
            </w:tabs>
            <w:bidi w:val="0"/>
            <w:jc w:val="left"/>
            <w:rPr/>
          </w:pPr>
          <w:hyperlink w:anchor="__RefHeading___Toc4027_4199434714">
            <w:r>
              <w:rPr>
                <w:webHidden/>
                <w:rStyle w:val="IndexLink"/>
              </w:rPr>
              <w:t>72.1 The Salvage Interface</w:t>
              <w:tab/>
              <w:t>64</w:t>
            </w:r>
          </w:hyperlink>
        </w:p>
        <w:p>
          <w:pPr>
            <w:pStyle w:val="Contents3"/>
            <w:tabs>
              <w:tab w:val="clear" w:pos="720"/>
              <w:tab w:val="right" w:pos="9026" w:leader="dot"/>
            </w:tabs>
            <w:bidi w:val="0"/>
            <w:jc w:val="left"/>
            <w:rPr/>
          </w:pPr>
          <w:hyperlink w:anchor="__RefHeading___Toc4029_4199434714">
            <w:r>
              <w:rPr>
                <w:webHidden/>
                <w:rStyle w:val="IndexLink"/>
              </w:rPr>
              <w:t>72.2 Wreck Removal</w:t>
              <w:tab/>
              <w:t>65</w:t>
            </w:r>
          </w:hyperlink>
        </w:p>
        <w:p>
          <w:pPr>
            <w:pStyle w:val="Contents3"/>
            <w:tabs>
              <w:tab w:val="clear" w:pos="720"/>
              <w:tab w:val="right" w:pos="9026" w:leader="dot"/>
            </w:tabs>
            <w:bidi w:val="0"/>
            <w:jc w:val="left"/>
            <w:rPr/>
          </w:pPr>
          <w:hyperlink w:anchor="__RefHeading___Toc4031_4199434714">
            <w:r>
              <w:rPr>
                <w:webHidden/>
                <w:rStyle w:val="IndexLink"/>
              </w:rPr>
              <w:t>72.3 The Restoration Standard</w:t>
              <w:tab/>
              <w:t>65</w:t>
            </w:r>
          </w:hyperlink>
        </w:p>
        <w:p>
          <w:pPr>
            <w:pStyle w:val="Contents2"/>
            <w:tabs>
              <w:tab w:val="clear" w:pos="720"/>
              <w:tab w:val="right" w:pos="9026" w:leader="dot"/>
            </w:tabs>
            <w:bidi w:val="0"/>
            <w:jc w:val="left"/>
            <w:rPr/>
          </w:pPr>
          <w:hyperlink w:anchor="__RefHeading___Toc4033_4199434714">
            <w:r>
              <w:rPr>
                <w:webHidden/>
                <w:rStyle w:val="IndexLink"/>
              </w:rPr>
              <w:t>Article 73: Electronic Interference and Navigation Integrity</w:t>
              <w:tab/>
              <w:t>65</w:t>
            </w:r>
          </w:hyperlink>
        </w:p>
        <w:p>
          <w:pPr>
            <w:pStyle w:val="Contents3"/>
            <w:tabs>
              <w:tab w:val="clear" w:pos="720"/>
              <w:tab w:val="right" w:pos="9026" w:leader="dot"/>
            </w:tabs>
            <w:bidi w:val="0"/>
            <w:jc w:val="left"/>
            <w:rPr/>
          </w:pPr>
          <w:hyperlink w:anchor="__RefHeading___Toc4035_4199434714">
            <w:r>
              <w:rPr>
                <w:webHidden/>
                <w:rStyle w:val="IndexLink"/>
              </w:rPr>
              <w:t>73.1 The Standing Condition</w:t>
              <w:tab/>
              <w:t>65</w:t>
            </w:r>
          </w:hyperlink>
        </w:p>
        <w:p>
          <w:pPr>
            <w:pStyle w:val="Contents3"/>
            <w:tabs>
              <w:tab w:val="clear" w:pos="720"/>
              <w:tab w:val="right" w:pos="9026" w:leader="dot"/>
            </w:tabs>
            <w:bidi w:val="0"/>
            <w:jc w:val="left"/>
            <w:rPr/>
          </w:pPr>
          <w:hyperlink w:anchor="__RefHeading___Toc4037_4199434714">
            <w:r>
              <w:rPr>
                <w:webHidden/>
                <w:rStyle w:val="IndexLink"/>
              </w:rPr>
              <w:t>73.2 The Attribution and Response Rule</w:t>
              <w:tab/>
              <w:t>65</w:t>
            </w:r>
          </w:hyperlink>
        </w:p>
        <w:p>
          <w:pPr>
            <w:pStyle w:val="Contents1"/>
            <w:tabs>
              <w:tab w:val="clear" w:pos="720"/>
              <w:tab w:val="right" w:pos="9026" w:leader="dot"/>
            </w:tabs>
            <w:bidi w:val="0"/>
            <w:jc w:val="left"/>
            <w:rPr/>
          </w:pPr>
          <w:hyperlink w:anchor="__RefHeading___Toc4039_4199434714">
            <w:r>
              <w:rPr>
                <w:webHidden/>
                <w:rStyle w:val="IndexLink"/>
              </w:rPr>
              <w:t>PART XII: INSTITUTIONAL OPERATIONS</w:t>
              <w:tab/>
              <w:t>66</w:t>
            </w:r>
          </w:hyperlink>
        </w:p>
        <w:p>
          <w:pPr>
            <w:pStyle w:val="Contents2"/>
            <w:tabs>
              <w:tab w:val="clear" w:pos="720"/>
              <w:tab w:val="right" w:pos="9026" w:leader="dot"/>
            </w:tabs>
            <w:bidi w:val="0"/>
            <w:jc w:val="left"/>
            <w:rPr/>
          </w:pPr>
          <w:hyperlink w:anchor="__RefHeading___Toc4041_4199434714">
            <w:r>
              <w:rPr>
                <w:webHidden/>
                <w:rStyle w:val="IndexLink"/>
              </w:rPr>
              <w:t>Article 74: Committees and Working Groups</w:t>
              <w:tab/>
              <w:t>66</w:t>
            </w:r>
          </w:hyperlink>
        </w:p>
        <w:p>
          <w:pPr>
            <w:pStyle w:val="Contents3"/>
            <w:tabs>
              <w:tab w:val="clear" w:pos="720"/>
              <w:tab w:val="right" w:pos="9026" w:leader="dot"/>
            </w:tabs>
            <w:bidi w:val="0"/>
            <w:jc w:val="left"/>
            <w:rPr/>
          </w:pPr>
          <w:hyperlink w:anchor="__RefHeading___Toc4043_4199434714">
            <w:r>
              <w:rPr>
                <w:webHidden/>
                <w:rStyle w:val="IndexLink"/>
              </w:rPr>
              <w:t>74.1 The Standing Committees</w:t>
              <w:tab/>
              <w:t>66</w:t>
            </w:r>
          </w:hyperlink>
        </w:p>
        <w:p>
          <w:pPr>
            <w:pStyle w:val="Contents3"/>
            <w:tabs>
              <w:tab w:val="clear" w:pos="720"/>
              <w:tab w:val="right" w:pos="9026" w:leader="dot"/>
            </w:tabs>
            <w:bidi w:val="0"/>
            <w:jc w:val="left"/>
            <w:rPr/>
          </w:pPr>
          <w:hyperlink w:anchor="__RefHeading___Toc4045_4199434714">
            <w:r>
              <w:rPr>
                <w:webHidden/>
                <w:rStyle w:val="IndexLink"/>
              </w:rPr>
              <w:t>74.2 Working Groups</w:t>
              <w:tab/>
              <w:t>66</w:t>
            </w:r>
          </w:hyperlink>
        </w:p>
        <w:p>
          <w:pPr>
            <w:pStyle w:val="Contents3"/>
            <w:tabs>
              <w:tab w:val="clear" w:pos="720"/>
              <w:tab w:val="right" w:pos="9026" w:leader="dot"/>
            </w:tabs>
            <w:bidi w:val="0"/>
            <w:jc w:val="left"/>
            <w:rPr/>
          </w:pPr>
          <w:hyperlink w:anchor="__RefHeading___Toc4047_4199434714">
            <w:r>
              <w:rPr>
                <w:webHidden/>
                <w:rStyle w:val="IndexLink"/>
              </w:rPr>
              <w:t>74.3 The Industry Interface</w:t>
              <w:tab/>
              <w:t>66</w:t>
            </w:r>
          </w:hyperlink>
        </w:p>
        <w:p>
          <w:pPr>
            <w:pStyle w:val="Contents2"/>
            <w:tabs>
              <w:tab w:val="clear" w:pos="720"/>
              <w:tab w:val="right" w:pos="9026" w:leader="dot"/>
            </w:tabs>
            <w:bidi w:val="0"/>
            <w:jc w:val="left"/>
            <w:rPr/>
          </w:pPr>
          <w:hyperlink w:anchor="__RefHeading___Toc4049_4199434714">
            <w:r>
              <w:rPr>
                <w:webHidden/>
                <w:rStyle w:val="IndexLink"/>
              </w:rPr>
              <w:t>Article 75: Budget and Finance of the Institutions</w:t>
              <w:tab/>
              <w:t>66</w:t>
            </w:r>
          </w:hyperlink>
        </w:p>
        <w:p>
          <w:pPr>
            <w:pStyle w:val="Contents3"/>
            <w:tabs>
              <w:tab w:val="clear" w:pos="720"/>
              <w:tab w:val="right" w:pos="9026" w:leader="dot"/>
            </w:tabs>
            <w:bidi w:val="0"/>
            <w:jc w:val="left"/>
            <w:rPr/>
          </w:pPr>
          <w:hyperlink w:anchor="__RefHeading___Toc4051_4199434714">
            <w:r>
              <w:rPr>
                <w:webHidden/>
                <w:rStyle w:val="IndexLink"/>
              </w:rPr>
              <w:t>75.1 The Budget Cycle</w:t>
              <w:tab/>
              <w:t>66</w:t>
            </w:r>
          </w:hyperlink>
        </w:p>
        <w:p>
          <w:pPr>
            <w:pStyle w:val="Contents3"/>
            <w:tabs>
              <w:tab w:val="clear" w:pos="720"/>
              <w:tab w:val="right" w:pos="9026" w:leader="dot"/>
            </w:tabs>
            <w:bidi w:val="0"/>
            <w:jc w:val="left"/>
            <w:rPr/>
          </w:pPr>
          <w:hyperlink w:anchor="__RefHeading___Toc4053_4199434714">
            <w:r>
              <w:rPr>
                <w:webHidden/>
                <w:rStyle w:val="IndexLink"/>
              </w:rPr>
              <w:t>75.2 Financial Rules</w:t>
              <w:tab/>
              <w:t>67</w:t>
            </w:r>
          </w:hyperlink>
        </w:p>
        <w:p>
          <w:pPr>
            <w:pStyle w:val="Contents3"/>
            <w:tabs>
              <w:tab w:val="clear" w:pos="720"/>
              <w:tab w:val="right" w:pos="9026" w:leader="dot"/>
            </w:tabs>
            <w:bidi w:val="0"/>
            <w:jc w:val="left"/>
            <w:rPr/>
          </w:pPr>
          <w:hyperlink w:anchor="__RefHeading___Toc4055_4199434714">
            <w:r>
              <w:rPr>
                <w:webHidden/>
                <w:rStyle w:val="IndexLink"/>
              </w:rPr>
              <w:t>75.3 Arrears</w:t>
              <w:tab/>
              <w:t>67</w:t>
            </w:r>
          </w:hyperlink>
        </w:p>
        <w:p>
          <w:pPr>
            <w:pStyle w:val="Contents2"/>
            <w:tabs>
              <w:tab w:val="clear" w:pos="720"/>
              <w:tab w:val="right" w:pos="9026" w:leader="dot"/>
            </w:tabs>
            <w:bidi w:val="0"/>
            <w:jc w:val="left"/>
            <w:rPr/>
          </w:pPr>
          <w:hyperlink w:anchor="__RefHeading___Toc4057_4199434714">
            <w:r>
              <w:rPr>
                <w:webHidden/>
                <w:rStyle w:val="IndexLink"/>
              </w:rPr>
              <w:t>Article 76: Personnel and the Independence Rule</w:t>
              <w:tab/>
              <w:t>67</w:t>
            </w:r>
          </w:hyperlink>
        </w:p>
        <w:p>
          <w:pPr>
            <w:pStyle w:val="Contents3"/>
            <w:tabs>
              <w:tab w:val="clear" w:pos="720"/>
              <w:tab w:val="right" w:pos="9026" w:leader="dot"/>
            </w:tabs>
            <w:bidi w:val="0"/>
            <w:jc w:val="left"/>
            <w:rPr/>
          </w:pPr>
          <w:hyperlink w:anchor="__RefHeading___Toc4059_4199434714">
            <w:r>
              <w:rPr>
                <w:webHidden/>
                <w:rStyle w:val="IndexLink"/>
              </w:rPr>
              <w:t>76.1 The Service</w:t>
              <w:tab/>
              <w:t>67</w:t>
            </w:r>
          </w:hyperlink>
        </w:p>
        <w:p>
          <w:pPr>
            <w:pStyle w:val="Contents3"/>
            <w:tabs>
              <w:tab w:val="clear" w:pos="720"/>
              <w:tab w:val="right" w:pos="9026" w:leader="dot"/>
            </w:tabs>
            <w:bidi w:val="0"/>
            <w:jc w:val="left"/>
            <w:rPr/>
          </w:pPr>
          <w:hyperlink w:anchor="__RefHeading___Toc4061_4199434714">
            <w:r>
              <w:rPr>
                <w:webHidden/>
                <w:rStyle w:val="IndexLink"/>
              </w:rPr>
              <w:t>76.2 The Parity Practice</w:t>
              <w:tab/>
              <w:t>67</w:t>
            </w:r>
          </w:hyperlink>
        </w:p>
        <w:p>
          <w:pPr>
            <w:pStyle w:val="Contents3"/>
            <w:tabs>
              <w:tab w:val="clear" w:pos="720"/>
              <w:tab w:val="right" w:pos="9026" w:leader="dot"/>
            </w:tabs>
            <w:bidi w:val="0"/>
            <w:jc w:val="left"/>
            <w:rPr/>
          </w:pPr>
          <w:hyperlink w:anchor="__RefHeading___Toc4063_4199434714">
            <w:r>
              <w:rPr>
                <w:webHidden/>
                <w:rStyle w:val="IndexLink"/>
              </w:rPr>
              <w:t>76.3 Training and Doctrine</w:t>
              <w:tab/>
              <w:t>67</w:t>
            </w:r>
          </w:hyperlink>
        </w:p>
        <w:p>
          <w:pPr>
            <w:pStyle w:val="Contents1"/>
            <w:tabs>
              <w:tab w:val="clear" w:pos="720"/>
              <w:tab w:val="right" w:pos="9026" w:leader="dot"/>
            </w:tabs>
            <w:bidi w:val="0"/>
            <w:jc w:val="left"/>
            <w:rPr/>
          </w:pPr>
          <w:hyperlink w:anchor="__RefHeading___Toc4065_4199434714">
            <w:r>
              <w:rPr>
                <w:webHidden/>
                <w:rStyle w:val="IndexLink"/>
              </w:rPr>
              <w:t>PART XIII: DETAILED VERIFICATION PROCEDURES</w:t>
              <w:tab/>
              <w:t>68</w:t>
            </w:r>
          </w:hyperlink>
        </w:p>
        <w:p>
          <w:pPr>
            <w:pStyle w:val="Contents2"/>
            <w:tabs>
              <w:tab w:val="clear" w:pos="720"/>
              <w:tab w:val="right" w:pos="9026" w:leader="dot"/>
            </w:tabs>
            <w:bidi w:val="0"/>
            <w:jc w:val="left"/>
            <w:rPr/>
          </w:pPr>
          <w:hyperlink w:anchor="__RefHeading___Toc4067_4199434714">
            <w:r>
              <w:rPr>
                <w:webHidden/>
                <w:rStyle w:val="IndexLink"/>
              </w:rPr>
              <w:t>Article 77: The Claim and Verification Cycle</w:t>
              <w:tab/>
              <w:t>68</w:t>
            </w:r>
          </w:hyperlink>
        </w:p>
        <w:p>
          <w:pPr>
            <w:pStyle w:val="Contents3"/>
            <w:tabs>
              <w:tab w:val="clear" w:pos="720"/>
              <w:tab w:val="right" w:pos="9026" w:leader="dot"/>
            </w:tabs>
            <w:bidi w:val="0"/>
            <w:jc w:val="left"/>
            <w:rPr/>
          </w:pPr>
          <w:hyperlink w:anchor="__RefHeading___Toc4069_4199434714">
            <w:r>
              <w:rPr>
                <w:webHidden/>
                <w:rStyle w:val="IndexLink"/>
              </w:rPr>
              <w:t>77.1 The Cycle</w:t>
              <w:tab/>
              <w:t>68</w:t>
            </w:r>
          </w:hyperlink>
        </w:p>
        <w:p>
          <w:pPr>
            <w:pStyle w:val="Contents3"/>
            <w:tabs>
              <w:tab w:val="clear" w:pos="720"/>
              <w:tab w:val="right" w:pos="9026" w:leader="dot"/>
            </w:tabs>
            <w:bidi w:val="0"/>
            <w:jc w:val="left"/>
            <w:rPr/>
          </w:pPr>
          <w:hyperlink w:anchor="__RefHeading___Toc4071_4199434714">
            <w:r>
              <w:rPr>
                <w:webHidden/>
                <w:rStyle w:val="IndexLink"/>
              </w:rPr>
              <w:t>77.2 The Verification Score</w:t>
              <w:tab/>
              <w:t>68</w:t>
            </w:r>
          </w:hyperlink>
        </w:p>
        <w:p>
          <w:pPr>
            <w:pStyle w:val="Contents3"/>
            <w:tabs>
              <w:tab w:val="clear" w:pos="720"/>
              <w:tab w:val="right" w:pos="9026" w:leader="dot"/>
            </w:tabs>
            <w:bidi w:val="0"/>
            <w:jc w:val="left"/>
            <w:rPr/>
          </w:pPr>
          <w:hyperlink w:anchor="__RefHeading___Toc4073_4199434714">
            <w:r>
              <w:rPr>
                <w:webHidden/>
                <w:rStyle w:val="IndexLink"/>
              </w:rPr>
              <w:t>77.3 Neutral Expert Oversight</w:t>
              <w:tab/>
              <w:t>68</w:t>
            </w:r>
          </w:hyperlink>
        </w:p>
        <w:p>
          <w:pPr>
            <w:pStyle w:val="Contents2"/>
            <w:tabs>
              <w:tab w:val="clear" w:pos="720"/>
              <w:tab w:val="right" w:pos="9026" w:leader="dot"/>
            </w:tabs>
            <w:bidi w:val="0"/>
            <w:jc w:val="left"/>
            <w:rPr/>
          </w:pPr>
          <w:hyperlink w:anchor="__RefHeading___Toc4075_4199434714">
            <w:r>
              <w:rPr>
                <w:webHidden/>
                <w:rStyle w:val="IndexLink"/>
              </w:rPr>
              <w:t>Article 78: The Goodwill Credits and the Forward Drift Archive</w:t>
              <w:tab/>
              <w:t>68</w:t>
            </w:r>
          </w:hyperlink>
        </w:p>
        <w:p>
          <w:pPr>
            <w:pStyle w:val="Contents3"/>
            <w:tabs>
              <w:tab w:val="clear" w:pos="720"/>
              <w:tab w:val="right" w:pos="9026" w:leader="dot"/>
            </w:tabs>
            <w:bidi w:val="0"/>
            <w:jc w:val="left"/>
            <w:rPr/>
          </w:pPr>
          <w:hyperlink w:anchor="__RefHeading___Toc4077_4199434714">
            <w:r>
              <w:rPr>
                <w:webHidden/>
                <w:rStyle w:val="IndexLink"/>
              </w:rPr>
              <w:t>78.1 Goodwill Credits</w:t>
              <w:tab/>
              <w:t>68</w:t>
            </w:r>
          </w:hyperlink>
        </w:p>
        <w:p>
          <w:pPr>
            <w:pStyle w:val="Contents3"/>
            <w:tabs>
              <w:tab w:val="clear" w:pos="720"/>
              <w:tab w:val="right" w:pos="9026" w:leader="dot"/>
            </w:tabs>
            <w:bidi w:val="0"/>
            <w:jc w:val="left"/>
            <w:rPr/>
          </w:pPr>
          <w:hyperlink w:anchor="__RefHeading___Toc4079_4199434714">
            <w:r>
              <w:rPr>
                <w:webHidden/>
                <w:rStyle w:val="IndexLink"/>
              </w:rPr>
              <w:t>78.2 The Forward Drift Archive</w:t>
              <w:tab/>
              <w:t>68</w:t>
            </w:r>
          </w:hyperlink>
        </w:p>
        <w:p>
          <w:pPr>
            <w:pStyle w:val="Contents2"/>
            <w:tabs>
              <w:tab w:val="clear" w:pos="720"/>
              <w:tab w:val="right" w:pos="9026" w:leader="dot"/>
            </w:tabs>
            <w:bidi w:val="0"/>
            <w:jc w:val="left"/>
            <w:rPr/>
          </w:pPr>
          <w:hyperlink w:anchor="__RefHeading___Toc4081_4199434714">
            <w:r>
              <w:rPr>
                <w:webHidden/>
                <w:rStyle w:val="IndexLink"/>
              </w:rPr>
              <w:t>Article 79: Verification of the Financial Architecture</w:t>
              <w:tab/>
              <w:t>69</w:t>
            </w:r>
          </w:hyperlink>
        </w:p>
        <w:p>
          <w:pPr>
            <w:pStyle w:val="Contents3"/>
            <w:tabs>
              <w:tab w:val="clear" w:pos="720"/>
              <w:tab w:val="right" w:pos="9026" w:leader="dot"/>
            </w:tabs>
            <w:bidi w:val="0"/>
            <w:jc w:val="left"/>
            <w:rPr/>
          </w:pPr>
          <w:hyperlink w:anchor="__RefHeading___Toc4083_4199434714">
            <w:r>
              <w:rPr>
                <w:webHidden/>
                <w:rStyle w:val="IndexLink"/>
              </w:rPr>
              <w:t>79.1 Financial Verification</w:t>
              <w:tab/>
              <w:t>69</w:t>
            </w:r>
          </w:hyperlink>
        </w:p>
        <w:p>
          <w:pPr>
            <w:pStyle w:val="Contents3"/>
            <w:tabs>
              <w:tab w:val="clear" w:pos="720"/>
              <w:tab w:val="right" w:pos="9026" w:leader="dot"/>
            </w:tabs>
            <w:bidi w:val="0"/>
            <w:jc w:val="left"/>
            <w:rPr/>
          </w:pPr>
          <w:hyperlink w:anchor="__RefHeading___Toc4085_4199434714">
            <w:r>
              <w:rPr>
                <w:webHidden/>
                <w:rStyle w:val="IndexLink"/>
              </w:rPr>
              <w:t>79.2 The Anomaly Protocol</w:t>
              <w:tab/>
              <w:t>69</w:t>
            </w:r>
          </w:hyperlink>
        </w:p>
        <w:p>
          <w:pPr>
            <w:pStyle w:val="Contents1"/>
            <w:tabs>
              <w:tab w:val="clear" w:pos="720"/>
              <w:tab w:val="right" w:pos="9026" w:leader="dot"/>
            </w:tabs>
            <w:bidi w:val="0"/>
            <w:jc w:val="left"/>
            <w:rPr/>
          </w:pPr>
          <w:hyperlink w:anchor="__RefHeading___Toc4087_4199434714">
            <w:r>
              <w:rPr>
                <w:webHidden/>
                <w:rStyle w:val="IndexLink"/>
              </w:rPr>
              <w:t>PART XIV: THE CLAIMS AND COMPENSATION FACILITY</w:t>
              <w:tab/>
              <w:t>70</w:t>
            </w:r>
          </w:hyperlink>
        </w:p>
        <w:p>
          <w:pPr>
            <w:pStyle w:val="Contents2"/>
            <w:tabs>
              <w:tab w:val="clear" w:pos="720"/>
              <w:tab w:val="right" w:pos="9026" w:leader="dot"/>
            </w:tabs>
            <w:bidi w:val="0"/>
            <w:jc w:val="left"/>
            <w:rPr/>
          </w:pPr>
          <w:hyperlink w:anchor="__RefHeading___Toc4089_4199434714">
            <w:r>
              <w:rPr>
                <w:webHidden/>
                <w:rStyle w:val="IndexLink"/>
              </w:rPr>
              <w:t>Article 80: The Corridor Claims Facility</w:t>
              <w:tab/>
              <w:t>70</w:t>
            </w:r>
          </w:hyperlink>
        </w:p>
        <w:p>
          <w:pPr>
            <w:pStyle w:val="Contents3"/>
            <w:tabs>
              <w:tab w:val="clear" w:pos="720"/>
              <w:tab w:val="right" w:pos="9026" w:leader="dot"/>
            </w:tabs>
            <w:bidi w:val="0"/>
            <w:jc w:val="left"/>
            <w:rPr/>
          </w:pPr>
          <w:hyperlink w:anchor="__RefHeading___Toc4091_4199434714">
            <w:r>
              <w:rPr>
                <w:webHidden/>
                <w:rStyle w:val="IndexLink"/>
              </w:rPr>
              <w:t>80.1 Establishment</w:t>
              <w:tab/>
              <w:t>70</w:t>
            </w:r>
          </w:hyperlink>
        </w:p>
        <w:p>
          <w:pPr>
            <w:pStyle w:val="Contents3"/>
            <w:tabs>
              <w:tab w:val="clear" w:pos="720"/>
              <w:tab w:val="right" w:pos="9026" w:leader="dot"/>
            </w:tabs>
            <w:bidi w:val="0"/>
            <w:jc w:val="left"/>
            <w:rPr/>
          </w:pPr>
          <w:hyperlink w:anchor="__RefHeading___Toc4093_4199434714">
            <w:r>
              <w:rPr>
                <w:webHidden/>
                <w:rStyle w:val="IndexLink"/>
              </w:rPr>
              <w:t>80.2 The Claims Process</w:t>
              <w:tab/>
              <w:t>70</w:t>
            </w:r>
          </w:hyperlink>
        </w:p>
        <w:p>
          <w:pPr>
            <w:pStyle w:val="Contents3"/>
            <w:tabs>
              <w:tab w:val="clear" w:pos="720"/>
              <w:tab w:val="right" w:pos="9026" w:leader="dot"/>
            </w:tabs>
            <w:bidi w:val="0"/>
            <w:jc w:val="left"/>
            <w:rPr/>
          </w:pPr>
          <w:hyperlink w:anchor="__RefHeading___Toc4095_4199434714">
            <w:r>
              <w:rPr>
                <w:webHidden/>
                <w:rStyle w:val="IndexLink"/>
              </w:rPr>
              <w:t>80.3 The Humanitarian Fast Lane</w:t>
              <w:tab/>
              <w:t>70</w:t>
            </w:r>
          </w:hyperlink>
        </w:p>
        <w:p>
          <w:pPr>
            <w:pStyle w:val="Contents3"/>
            <w:tabs>
              <w:tab w:val="clear" w:pos="720"/>
              <w:tab w:val="right" w:pos="9026" w:leader="dot"/>
            </w:tabs>
            <w:bidi w:val="0"/>
            <w:jc w:val="left"/>
            <w:rPr/>
          </w:pPr>
          <w:hyperlink w:anchor="__RefHeading___Toc4097_4199434714">
            <w:r>
              <w:rPr>
                <w:webHidden/>
                <w:rStyle w:val="IndexLink"/>
              </w:rPr>
              <w:t>80.4 No Double Recovery, No Waiver</w:t>
              <w:tab/>
              <w:t>70</w:t>
            </w:r>
          </w:hyperlink>
        </w:p>
        <w:p>
          <w:pPr>
            <w:pStyle w:val="Contents1"/>
            <w:tabs>
              <w:tab w:val="clear" w:pos="720"/>
              <w:tab w:val="right" w:pos="9026" w:leader="dot"/>
            </w:tabs>
            <w:bidi w:val="0"/>
            <w:jc w:val="left"/>
            <w:rPr/>
          </w:pPr>
          <w:hyperlink w:anchor="__RefHeading___Toc4099_4199434714">
            <w:r>
              <w:rPr>
                <w:webHidden/>
                <w:rStyle w:val="IndexLink"/>
              </w:rPr>
              <w:t>PART XV: THE FIRST ONE HUNDRED EIGHTY DAYS</w:t>
              <w:tab/>
              <w:t>71</w:t>
            </w:r>
          </w:hyperlink>
        </w:p>
        <w:p>
          <w:pPr>
            <w:pStyle w:val="Contents2"/>
            <w:tabs>
              <w:tab w:val="clear" w:pos="720"/>
              <w:tab w:val="right" w:pos="9026" w:leader="dot"/>
            </w:tabs>
            <w:bidi w:val="0"/>
            <w:jc w:val="left"/>
            <w:rPr/>
          </w:pPr>
          <w:hyperlink w:anchor="__RefHeading___Toc4101_4199434714">
            <w:r>
              <w:rPr>
                <w:webHidden/>
                <w:rStyle w:val="IndexLink"/>
              </w:rPr>
              <w:t>Article 81: The Operational Calendar</w:t>
              <w:tab/>
              <w:t>71</w:t>
            </w:r>
          </w:hyperlink>
        </w:p>
        <w:p>
          <w:pPr>
            <w:pStyle w:val="Contents3"/>
            <w:tabs>
              <w:tab w:val="clear" w:pos="720"/>
              <w:tab w:val="right" w:pos="9026" w:leader="dot"/>
            </w:tabs>
            <w:bidi w:val="0"/>
            <w:jc w:val="left"/>
            <w:rPr/>
          </w:pPr>
          <w:hyperlink w:anchor="__RefHeading___Toc4103_4199434714">
            <w:r>
              <w:rPr>
                <w:webHidden/>
                <w:rStyle w:val="IndexLink"/>
              </w:rPr>
              <w:t>81.1 Day 0 to Day 7</w:t>
              <w:tab/>
              <w:t>71</w:t>
            </w:r>
          </w:hyperlink>
        </w:p>
        <w:p>
          <w:pPr>
            <w:pStyle w:val="Contents3"/>
            <w:tabs>
              <w:tab w:val="clear" w:pos="720"/>
              <w:tab w:val="right" w:pos="9026" w:leader="dot"/>
            </w:tabs>
            <w:bidi w:val="0"/>
            <w:jc w:val="left"/>
            <w:rPr/>
          </w:pPr>
          <w:hyperlink w:anchor="__RefHeading___Toc4105_4199434714">
            <w:r>
              <w:rPr>
                <w:webHidden/>
                <w:rStyle w:val="IndexLink"/>
              </w:rPr>
              <w:t>81.2 Day 7 to Day 30</w:t>
              <w:tab/>
              <w:t>71</w:t>
            </w:r>
          </w:hyperlink>
        </w:p>
        <w:p>
          <w:pPr>
            <w:pStyle w:val="Contents3"/>
            <w:tabs>
              <w:tab w:val="clear" w:pos="720"/>
              <w:tab w:val="right" w:pos="9026" w:leader="dot"/>
            </w:tabs>
            <w:bidi w:val="0"/>
            <w:jc w:val="left"/>
            <w:rPr/>
          </w:pPr>
          <w:hyperlink w:anchor="__RefHeading___Toc4107_4199434714">
            <w:r>
              <w:rPr>
                <w:webHidden/>
                <w:rStyle w:val="IndexLink"/>
              </w:rPr>
              <w:t>81.3 Day 30 to Day 60</w:t>
              <w:tab/>
              <w:t>71</w:t>
            </w:r>
          </w:hyperlink>
        </w:p>
        <w:p>
          <w:pPr>
            <w:pStyle w:val="Contents3"/>
            <w:tabs>
              <w:tab w:val="clear" w:pos="720"/>
              <w:tab w:val="right" w:pos="9026" w:leader="dot"/>
            </w:tabs>
            <w:bidi w:val="0"/>
            <w:jc w:val="left"/>
            <w:rPr/>
          </w:pPr>
          <w:hyperlink w:anchor="__RefHeading___Toc4109_4199434714">
            <w:r>
              <w:rPr>
                <w:webHidden/>
                <w:rStyle w:val="IndexLink"/>
              </w:rPr>
              <w:t>81.4 Day 60 to Day 90</w:t>
              <w:tab/>
              <w:t>71</w:t>
            </w:r>
          </w:hyperlink>
        </w:p>
        <w:p>
          <w:pPr>
            <w:pStyle w:val="Contents3"/>
            <w:tabs>
              <w:tab w:val="clear" w:pos="720"/>
              <w:tab w:val="right" w:pos="9026" w:leader="dot"/>
            </w:tabs>
            <w:bidi w:val="0"/>
            <w:jc w:val="left"/>
            <w:rPr/>
          </w:pPr>
          <w:hyperlink w:anchor="__RefHeading___Toc4111_4199434714">
            <w:r>
              <w:rPr>
                <w:webHidden/>
                <w:rStyle w:val="IndexLink"/>
              </w:rPr>
              <w:t>81.5 Day 90 to Day 180</w:t>
              <w:tab/>
              <w:t>71</w:t>
            </w:r>
          </w:hyperlink>
        </w:p>
        <w:p>
          <w:pPr>
            <w:pStyle w:val="Contents2"/>
            <w:tabs>
              <w:tab w:val="clear" w:pos="720"/>
              <w:tab w:val="right" w:pos="9026" w:leader="dot"/>
            </w:tabs>
            <w:bidi w:val="0"/>
            <w:jc w:val="left"/>
            <w:rPr/>
          </w:pPr>
          <w:hyperlink w:anchor="__RefHeading___Toc4113_4199434714">
            <w:r>
              <w:rPr>
                <w:webHidden/>
                <w:rStyle w:val="IndexLink"/>
              </w:rPr>
              <w:t>Article 82: Review, Evolution, and the Living Charter</w:t>
              <w:tab/>
              <w:t>72</w:t>
            </w:r>
          </w:hyperlink>
        </w:p>
        <w:p>
          <w:pPr>
            <w:pStyle w:val="Contents3"/>
            <w:tabs>
              <w:tab w:val="clear" w:pos="720"/>
              <w:tab w:val="right" w:pos="9026" w:leader="dot"/>
            </w:tabs>
            <w:bidi w:val="0"/>
            <w:jc w:val="left"/>
            <w:rPr/>
          </w:pPr>
          <w:hyperlink w:anchor="__RefHeading___Toc4115_4199434714">
            <w:r>
              <w:rPr>
                <w:webHidden/>
                <w:rStyle w:val="IndexLink"/>
              </w:rPr>
              <w:t>82.1 The Periodic Review</w:t>
              <w:tab/>
              <w:t>72</w:t>
            </w:r>
          </w:hyperlink>
        </w:p>
        <w:p>
          <w:pPr>
            <w:pStyle w:val="Contents3"/>
            <w:tabs>
              <w:tab w:val="clear" w:pos="720"/>
              <w:tab w:val="right" w:pos="9026" w:leader="dot"/>
            </w:tabs>
            <w:bidi w:val="0"/>
            <w:jc w:val="left"/>
            <w:rPr/>
          </w:pPr>
          <w:hyperlink w:anchor="__RefHeading___Toc4117_4199434714">
            <w:r>
              <w:rPr>
                <w:webHidden/>
                <w:rStyle w:val="IndexLink"/>
              </w:rPr>
              <w:t>82.2 The Quinquennial Conference</w:t>
              <w:tab/>
              <w:t>72</w:t>
            </w:r>
          </w:hyperlink>
        </w:p>
        <w:p>
          <w:pPr>
            <w:pStyle w:val="Contents3"/>
            <w:tabs>
              <w:tab w:val="clear" w:pos="720"/>
              <w:tab w:val="right" w:pos="9026" w:leader="dot"/>
            </w:tabs>
            <w:bidi w:val="0"/>
            <w:jc w:val="left"/>
            <w:rPr/>
          </w:pPr>
          <w:hyperlink w:anchor="__RefHeading___Toc4119_4199434714">
            <w:r>
              <w:rPr>
                <w:webHidden/>
                <w:rStyle w:val="IndexLink"/>
              </w:rPr>
              <w:t>82.3 The Living Character of the Charter</w:t>
              <w:tab/>
              <w:t>72</w:t>
            </w:r>
          </w:hyperlink>
        </w:p>
        <w:p>
          <w:pPr>
            <w:pStyle w:val="Contents1"/>
            <w:tabs>
              <w:tab w:val="clear" w:pos="720"/>
              <w:tab w:val="right" w:pos="9026" w:leader="dot"/>
            </w:tabs>
            <w:bidi w:val="0"/>
            <w:jc w:val="left"/>
            <w:rPr/>
          </w:pPr>
          <w:hyperlink w:anchor="__RefHeading___Toc4121_4199434714">
            <w:r>
              <w:rPr>
                <w:webHidden/>
                <w:rStyle w:val="IndexLink"/>
              </w:rPr>
              <w:t>PART XVI: TRANSITIONAL PROVISIONS AND THE CONTINUITY BRIDGE</w:t>
              <w:tab/>
              <w:t>73</w:t>
            </w:r>
          </w:hyperlink>
        </w:p>
        <w:p>
          <w:pPr>
            <w:pStyle w:val="Contents2"/>
            <w:tabs>
              <w:tab w:val="clear" w:pos="720"/>
              <w:tab w:val="right" w:pos="9026" w:leader="dot"/>
            </w:tabs>
            <w:bidi w:val="0"/>
            <w:jc w:val="left"/>
            <w:rPr/>
          </w:pPr>
          <w:hyperlink w:anchor="__RefHeading___Toc4123_4199434714">
            <w:r>
              <w:rPr>
                <w:webHidden/>
                <w:rStyle w:val="IndexLink"/>
              </w:rPr>
              <w:t>Article 83: The Continuity Bridge</w:t>
              <w:tab/>
              <w:t>73</w:t>
            </w:r>
          </w:hyperlink>
        </w:p>
        <w:p>
          <w:pPr>
            <w:pStyle w:val="Contents3"/>
            <w:tabs>
              <w:tab w:val="clear" w:pos="720"/>
              <w:tab w:val="right" w:pos="9026" w:leader="dot"/>
            </w:tabs>
            <w:bidi w:val="0"/>
            <w:jc w:val="left"/>
            <w:rPr/>
          </w:pPr>
          <w:hyperlink w:anchor="__RefHeading___Toc4125_4199434714">
            <w:r>
              <w:rPr>
                <w:webHidden/>
                <w:rStyle w:val="IndexLink"/>
              </w:rPr>
              <w:t>83.1 Bridging the Present Moment</w:t>
              <w:tab/>
              <w:t>73</w:t>
            </w:r>
          </w:hyperlink>
        </w:p>
        <w:p>
          <w:pPr>
            <w:pStyle w:val="Contents3"/>
            <w:tabs>
              <w:tab w:val="clear" w:pos="720"/>
              <w:tab w:val="right" w:pos="9026" w:leader="dot"/>
            </w:tabs>
            <w:bidi w:val="0"/>
            <w:jc w:val="left"/>
            <w:rPr/>
          </w:pPr>
          <w:hyperlink w:anchor="__RefHeading___Toc4127_4199434714">
            <w:r>
              <w:rPr>
                <w:webHidden/>
                <w:rStyle w:val="IndexLink"/>
              </w:rPr>
              <w:t>83.2 Transitional Traffic Arrangements</w:t>
              <w:tab/>
              <w:t>73</w:t>
            </w:r>
          </w:hyperlink>
        </w:p>
        <w:p>
          <w:pPr>
            <w:pStyle w:val="Contents3"/>
            <w:tabs>
              <w:tab w:val="clear" w:pos="720"/>
              <w:tab w:val="right" w:pos="9026" w:leader="dot"/>
            </w:tabs>
            <w:bidi w:val="0"/>
            <w:jc w:val="left"/>
            <w:rPr/>
          </w:pPr>
          <w:hyperlink w:anchor="__RefHeading___Toc4129_4199434714">
            <w:r>
              <w:rPr>
                <w:webHidden/>
                <w:rStyle w:val="IndexLink"/>
              </w:rPr>
              <w:t>83.3 Transitional Personnel</w:t>
              <w:tab/>
              <w:t>73</w:t>
            </w:r>
          </w:hyperlink>
        </w:p>
        <w:p>
          <w:pPr>
            <w:pStyle w:val="Contents3"/>
            <w:tabs>
              <w:tab w:val="clear" w:pos="720"/>
              <w:tab w:val="right" w:pos="9026" w:leader="dot"/>
            </w:tabs>
            <w:bidi w:val="0"/>
            <w:jc w:val="left"/>
            <w:rPr/>
          </w:pPr>
          <w:hyperlink w:anchor="__RefHeading___Toc4131_4199434714">
            <w:r>
              <w:rPr>
                <w:webHidden/>
                <w:rStyle w:val="IndexLink"/>
              </w:rPr>
              <w:t>83.4 The Authority Transition</w:t>
              <w:tab/>
              <w:t>73</w:t>
            </w:r>
          </w:hyperlink>
        </w:p>
        <w:p>
          <w:pPr>
            <w:pStyle w:val="Contents3"/>
            <w:tabs>
              <w:tab w:val="clear" w:pos="720"/>
              <w:tab w:val="right" w:pos="9026" w:leader="dot"/>
            </w:tabs>
            <w:bidi w:val="0"/>
            <w:jc w:val="left"/>
            <w:rPr/>
          </w:pPr>
          <w:hyperlink w:anchor="__RefHeading___Toc4133_4199434714">
            <w:r>
              <w:rPr>
                <w:webHidden/>
                <w:rStyle w:val="IndexLink"/>
              </w:rPr>
              <w:t>83.5 Legacy Instruments</w:t>
              <w:tab/>
              <w:t>73</w:t>
            </w:r>
          </w:hyperlink>
        </w:p>
        <w:p>
          <w:pPr>
            <w:pStyle w:val="Contents2"/>
            <w:tabs>
              <w:tab w:val="clear" w:pos="720"/>
              <w:tab w:val="right" w:pos="9026" w:leader="dot"/>
            </w:tabs>
            <w:bidi w:val="0"/>
            <w:jc w:val="left"/>
            <w:rPr/>
          </w:pPr>
          <w:hyperlink w:anchor="__RefHeading___Toc4135_4199434714">
            <w:r>
              <w:rPr>
                <w:webHidden/>
                <w:rStyle w:val="IndexLink"/>
              </w:rPr>
              <w:t>Article 84: The Accession Fast-Track and the Regional Circle</w:t>
              <w:tab/>
              <w:t>74</w:t>
            </w:r>
          </w:hyperlink>
        </w:p>
        <w:p>
          <w:pPr>
            <w:pStyle w:val="Contents3"/>
            <w:tabs>
              <w:tab w:val="clear" w:pos="720"/>
              <w:tab w:val="right" w:pos="9026" w:leader="dot"/>
            </w:tabs>
            <w:bidi w:val="0"/>
            <w:jc w:val="left"/>
            <w:rPr/>
          </w:pPr>
          <w:hyperlink w:anchor="__RefHeading___Toc4137_4199434714">
            <w:r>
              <w:rPr>
                <w:webHidden/>
                <w:rStyle w:val="IndexLink"/>
              </w:rPr>
              <w:t>84.1 The Fast-Track</w:t>
              <w:tab/>
              <w:t>74</w:t>
            </w:r>
          </w:hyperlink>
        </w:p>
        <w:p>
          <w:pPr>
            <w:pStyle w:val="Contents3"/>
            <w:tabs>
              <w:tab w:val="clear" w:pos="720"/>
              <w:tab w:val="right" w:pos="9026" w:leader="dot"/>
            </w:tabs>
            <w:bidi w:val="0"/>
            <w:jc w:val="left"/>
            <w:rPr/>
          </w:pPr>
          <w:hyperlink w:anchor="__RefHeading___Toc4139_4199434714">
            <w:r>
              <w:rPr>
                <w:webHidden/>
                <w:rStyle w:val="IndexLink"/>
              </w:rPr>
              <w:t>84.2 The Wider Circle</w:t>
              <w:tab/>
              <w:t>74</w:t>
            </w:r>
          </w:hyperlink>
        </w:p>
        <w:p>
          <w:pPr>
            <w:pStyle w:val="Contents2"/>
            <w:tabs>
              <w:tab w:val="clear" w:pos="720"/>
              <w:tab w:val="right" w:pos="9026" w:leader="dot"/>
            </w:tabs>
            <w:bidi w:val="0"/>
            <w:jc w:val="left"/>
            <w:rPr/>
          </w:pPr>
          <w:hyperlink w:anchor="__RefHeading___Toc4141_4199434714">
            <w:r>
              <w:rPr>
                <w:webHidden/>
                <w:rStyle w:val="IndexLink"/>
              </w:rPr>
              <w:t>Article 85: The Final Word</w:t>
              <w:tab/>
              <w:t>74</w:t>
            </w:r>
          </w:hyperlink>
        </w:p>
        <w:p>
          <w:pPr>
            <w:pStyle w:val="Contents3"/>
            <w:tabs>
              <w:tab w:val="clear" w:pos="720"/>
              <w:tab w:val="right" w:pos="9026" w:leader="dot"/>
            </w:tabs>
            <w:bidi w:val="0"/>
            <w:jc w:val="left"/>
            <w:rPr/>
          </w:pPr>
          <w:hyperlink w:anchor="__RefHeading___Toc4143_4199434714">
            <w:r>
              <w:rPr>
                <w:webHidden/>
                <w:rStyle w:val="IndexLink"/>
              </w:rPr>
              <w:t>85.1 The Parties' Declaration</w:t>
              <w:tab/>
              <w:t>74</w:t>
            </w:r>
          </w:hyperlink>
        </w:p>
        <w:p>
          <w:pPr>
            <w:pStyle w:val="Contents2"/>
            <w:tabs>
              <w:tab w:val="clear" w:pos="720"/>
              <w:tab w:val="right" w:pos="9026" w:leader="dot"/>
            </w:tabs>
            <w:bidi w:val="0"/>
            <w:jc w:val="left"/>
            <w:rPr/>
          </w:pPr>
          <w:hyperlink w:anchor="__RefHeading___Toc4145_4199434714">
            <w:r>
              <w:rPr>
                <w:webHidden/>
                <w:rStyle w:val="IndexLink"/>
              </w:rPr>
              <w:t>Signature Blocks</w:t>
              <w:tab/>
              <w:t>74</w:t>
            </w:r>
          </w:hyperlink>
        </w:p>
        <w:p>
          <w:pPr>
            <w:pStyle w:val="Contents2"/>
            <w:tabs>
              <w:tab w:val="clear" w:pos="720"/>
              <w:tab w:val="right" w:pos="9026" w:leader="dot"/>
            </w:tabs>
            <w:bidi w:val="0"/>
            <w:jc w:val="left"/>
            <w:rPr/>
          </w:pPr>
          <w:hyperlink w:anchor="__RefHeading___Toc4147_4199434714">
            <w:r>
              <w:rPr>
                <w:webHidden/>
                <w:rStyle w:val="IndexLink"/>
              </w:rPr>
              <w:t>Witnesses and Standing Observers</w:t>
              <w:tab/>
              <w:t>75</w:t>
            </w:r>
          </w:hyperlink>
        </w:p>
        <w:p>
          <w:pPr>
            <w:pStyle w:val="Contents1"/>
            <w:tabs>
              <w:tab w:val="clear" w:pos="720"/>
              <w:tab w:val="right" w:pos="9026" w:leader="dot"/>
            </w:tabs>
            <w:bidi w:val="0"/>
            <w:jc w:val="left"/>
            <w:rPr/>
          </w:pPr>
          <w:hyperlink w:anchor="__RefHeading___Toc4149_4199434714">
            <w:r>
              <w:rPr>
                <w:webHidden/>
                <w:rStyle w:val="IndexLink"/>
              </w:rPr>
              <w:t>ANNEXES</w:t>
              <w:tab/>
              <w:t>76</w:t>
            </w:r>
          </w:hyperlink>
        </w:p>
        <w:p>
          <w:pPr>
            <w:pStyle w:val="Contents2"/>
            <w:tabs>
              <w:tab w:val="clear" w:pos="720"/>
              <w:tab w:val="right" w:pos="9026" w:leader="dot"/>
            </w:tabs>
            <w:bidi w:val="0"/>
            <w:jc w:val="left"/>
            <w:rPr/>
          </w:pPr>
          <w:hyperlink w:anchor="__RefHeading___Toc4151_4199434714">
            <w:r>
              <w:rPr>
                <w:webHidden/>
                <w:rStyle w:val="IndexLink"/>
              </w:rPr>
              <w:t>Annex A: The Neutral Coordinate Registry</w:t>
              <w:tab/>
              <w:t>76</w:t>
            </w:r>
          </w:hyperlink>
        </w:p>
        <w:p>
          <w:pPr>
            <w:pStyle w:val="Contents3"/>
            <w:tabs>
              <w:tab w:val="clear" w:pos="720"/>
              <w:tab w:val="right" w:pos="9026" w:leader="dot"/>
            </w:tabs>
            <w:bidi w:val="0"/>
            <w:jc w:val="left"/>
            <w:rPr/>
          </w:pPr>
          <w:hyperlink w:anchor="__RefHeading___Toc4153_4199434714">
            <w:r>
              <w:rPr>
                <w:webHidden/>
                <w:rStyle w:val="IndexLink"/>
              </w:rPr>
              <w:t>A.1 Standing Rules</w:t>
              <w:tab/>
              <w:t>76</w:t>
            </w:r>
          </w:hyperlink>
        </w:p>
        <w:p>
          <w:pPr>
            <w:pStyle w:val="Contents3"/>
            <w:tabs>
              <w:tab w:val="clear" w:pos="720"/>
              <w:tab w:val="right" w:pos="9026" w:leader="dot"/>
            </w:tabs>
            <w:bidi w:val="0"/>
            <w:jc w:val="left"/>
            <w:rPr/>
          </w:pPr>
          <w:hyperlink w:anchor="__RefHeading___Toc4155_4199434714">
            <w:r>
              <w:rPr>
                <w:webHidden/>
                <w:rStyle w:val="IndexLink"/>
              </w:rPr>
              <w:t>A.2 The Governance Area Boundary</w:t>
              <w:tab/>
              <w:t>76</w:t>
            </w:r>
          </w:hyperlink>
        </w:p>
        <w:p>
          <w:pPr>
            <w:pStyle w:val="Contents3"/>
            <w:tabs>
              <w:tab w:val="clear" w:pos="720"/>
              <w:tab w:val="right" w:pos="9026" w:leader="dot"/>
            </w:tabs>
            <w:bidi w:val="0"/>
            <w:jc w:val="left"/>
            <w:rPr/>
          </w:pPr>
          <w:hyperlink w:anchor="__RefHeading___Toc4157_4199434714">
            <w:r>
              <w:rPr>
                <w:webHidden/>
                <w:rStyle w:val="IndexLink"/>
              </w:rPr>
              <w:t>A.3 Corridor One, Reference Geometry</w:t>
              <w:tab/>
              <w:t>76</w:t>
            </w:r>
          </w:hyperlink>
        </w:p>
        <w:p>
          <w:pPr>
            <w:pStyle w:val="Contents3"/>
            <w:tabs>
              <w:tab w:val="clear" w:pos="720"/>
              <w:tab w:val="right" w:pos="9026" w:leader="dot"/>
            </w:tabs>
            <w:bidi w:val="0"/>
            <w:jc w:val="left"/>
            <w:rPr/>
          </w:pPr>
          <w:hyperlink w:anchor="__RefHeading___Toc4159_4199434714">
            <w:r>
              <w:rPr>
                <w:webHidden/>
                <w:rStyle w:val="IndexLink"/>
              </w:rPr>
              <w:t>A.4 Corridor Two, Reference Geometry</w:t>
              <w:tab/>
              <w:t>76</w:t>
            </w:r>
          </w:hyperlink>
        </w:p>
        <w:p>
          <w:pPr>
            <w:pStyle w:val="Contents3"/>
            <w:tabs>
              <w:tab w:val="clear" w:pos="720"/>
              <w:tab w:val="right" w:pos="9026" w:leader="dot"/>
            </w:tabs>
            <w:bidi w:val="0"/>
            <w:jc w:val="left"/>
            <w:rPr/>
          </w:pPr>
          <w:hyperlink w:anchor="__RefHeading___Toc4161_4199434714">
            <w:r>
              <w:rPr>
                <w:webHidden/>
                <w:rStyle w:val="IndexLink"/>
              </w:rPr>
              <w:t>A.5 The Central Buffer</w:t>
              <w:tab/>
              <w:t>76</w:t>
            </w:r>
          </w:hyperlink>
        </w:p>
        <w:p>
          <w:pPr>
            <w:pStyle w:val="Contents3"/>
            <w:tabs>
              <w:tab w:val="clear" w:pos="720"/>
              <w:tab w:val="right" w:pos="9026" w:leader="dot"/>
            </w:tabs>
            <w:bidi w:val="0"/>
            <w:jc w:val="left"/>
            <w:rPr/>
          </w:pPr>
          <w:hyperlink w:anchor="__RefHeading___Toc4163_4199434714">
            <w:r>
              <w:rPr>
                <w:webHidden/>
                <w:rStyle w:val="IndexLink"/>
              </w:rPr>
              <w:t>A.6 The Red Lines Register</w:t>
              <w:tab/>
              <w:t>77</w:t>
            </w:r>
          </w:hyperlink>
        </w:p>
        <w:p>
          <w:pPr>
            <w:pStyle w:val="Contents3"/>
            <w:tabs>
              <w:tab w:val="clear" w:pos="720"/>
              <w:tab w:val="right" w:pos="9026" w:leader="dot"/>
            </w:tabs>
            <w:bidi w:val="0"/>
            <w:jc w:val="left"/>
            <w:rPr/>
          </w:pPr>
          <w:hyperlink w:anchor="__RefHeading___Toc4165_4199434714">
            <w:r>
              <w:rPr>
                <w:webHidden/>
                <w:rStyle w:val="IndexLink"/>
              </w:rPr>
              <w:t>A.7 Standoff Geometry Tables</w:t>
              <w:tab/>
              <w:t>77</w:t>
            </w:r>
          </w:hyperlink>
        </w:p>
        <w:p>
          <w:pPr>
            <w:pStyle w:val="Contents3"/>
            <w:tabs>
              <w:tab w:val="clear" w:pos="720"/>
              <w:tab w:val="right" w:pos="9026" w:leader="dot"/>
            </w:tabs>
            <w:bidi w:val="0"/>
            <w:jc w:val="left"/>
            <w:rPr/>
          </w:pPr>
          <w:hyperlink w:anchor="__RefHeading___Toc4167_4199434714">
            <w:r>
              <w:rPr>
                <w:webHidden/>
                <w:rStyle w:val="IndexLink"/>
              </w:rPr>
              <w:t>A.8 Anchorages and Hub Ports</w:t>
              <w:tab/>
              <w:t>77</w:t>
            </w:r>
          </w:hyperlink>
        </w:p>
        <w:p>
          <w:pPr>
            <w:pStyle w:val="Contents2"/>
            <w:tabs>
              <w:tab w:val="clear" w:pos="720"/>
              <w:tab w:val="right" w:pos="9026" w:leader="dot"/>
            </w:tabs>
            <w:bidi w:val="0"/>
            <w:jc w:val="left"/>
            <w:rPr/>
          </w:pPr>
          <w:hyperlink w:anchor="__RefHeading___Toc4169_4199434714">
            <w:r>
              <w:rPr>
                <w:webHidden/>
                <w:rStyle w:val="IndexLink"/>
              </w:rPr>
              <w:t>Annex B: The Verified Services Catalog and the Rate Card</w:t>
              <w:tab/>
              <w:t>77</w:t>
            </w:r>
          </w:hyperlink>
        </w:p>
        <w:p>
          <w:pPr>
            <w:pStyle w:val="Contents3"/>
            <w:tabs>
              <w:tab w:val="clear" w:pos="720"/>
              <w:tab w:val="right" w:pos="9026" w:leader="dot"/>
            </w:tabs>
            <w:bidi w:val="0"/>
            <w:jc w:val="left"/>
            <w:rPr/>
          </w:pPr>
          <w:hyperlink w:anchor="__RefHeading___Toc4171_4199434714">
            <w:r>
              <w:rPr>
                <w:webHidden/>
                <w:rStyle w:val="IndexLink"/>
              </w:rPr>
              <w:t>B.1 Catalog Structure</w:t>
              <w:tab/>
              <w:t>77</w:t>
            </w:r>
          </w:hyperlink>
        </w:p>
        <w:p>
          <w:pPr>
            <w:pStyle w:val="Contents3"/>
            <w:tabs>
              <w:tab w:val="clear" w:pos="720"/>
              <w:tab w:val="right" w:pos="9026" w:leader="dot"/>
            </w:tabs>
            <w:bidi w:val="0"/>
            <w:jc w:val="left"/>
            <w:rPr/>
          </w:pPr>
          <w:hyperlink w:anchor="__RefHeading___Toc4173_4199434714">
            <w:r>
              <w:rPr>
                <w:webHidden/>
                <w:rStyle w:val="IndexLink"/>
              </w:rPr>
              <w:t>B.2 The Catalog</w:t>
              <w:tab/>
              <w:t>77</w:t>
            </w:r>
          </w:hyperlink>
        </w:p>
        <w:p>
          <w:pPr>
            <w:pStyle w:val="Contents3"/>
            <w:tabs>
              <w:tab w:val="clear" w:pos="720"/>
              <w:tab w:val="right" w:pos="9026" w:leader="dot"/>
            </w:tabs>
            <w:bidi w:val="0"/>
            <w:jc w:val="left"/>
            <w:rPr/>
          </w:pPr>
          <w:hyperlink w:anchor="__RefHeading___Toc4175_4199434714">
            <w:r>
              <w:rPr>
                <w:webHidden/>
                <w:rStyle w:val="IndexLink"/>
              </w:rPr>
              <w:t>B.3 The Rate Card Rules</w:t>
              <w:tab/>
              <w:t>78</w:t>
            </w:r>
          </w:hyperlink>
        </w:p>
        <w:p>
          <w:pPr>
            <w:pStyle w:val="Contents3"/>
            <w:tabs>
              <w:tab w:val="clear" w:pos="720"/>
              <w:tab w:val="right" w:pos="9026" w:leader="dot"/>
            </w:tabs>
            <w:bidi w:val="0"/>
            <w:jc w:val="left"/>
            <w:rPr/>
          </w:pPr>
          <w:hyperlink w:anchor="__RefHeading___Toc4177_4199434714">
            <w:r>
              <w:rPr>
                <w:webHidden/>
                <w:rStyle w:val="IndexLink"/>
              </w:rPr>
              <w:t>B.4 The Voluntary Facility Instruments</w:t>
              <w:tab/>
              <w:t>78</w:t>
            </w:r>
          </w:hyperlink>
        </w:p>
        <w:p>
          <w:pPr>
            <w:pStyle w:val="Contents2"/>
            <w:tabs>
              <w:tab w:val="clear" w:pos="720"/>
              <w:tab w:val="right" w:pos="9026" w:leader="dot"/>
            </w:tabs>
            <w:bidi w:val="0"/>
            <w:jc w:val="left"/>
            <w:rPr/>
          </w:pPr>
          <w:hyperlink w:anchor="__RefHeading___Toc4179_4199434714">
            <w:r>
              <w:rPr>
                <w:webHidden/>
                <w:rStyle w:val="IndexLink"/>
              </w:rPr>
              <w:t>Annex C: Technical and Safety Standards</w:t>
              <w:tab/>
              <w:t>78</w:t>
            </w:r>
          </w:hyperlink>
        </w:p>
        <w:p>
          <w:pPr>
            <w:pStyle w:val="Contents3"/>
            <w:tabs>
              <w:tab w:val="clear" w:pos="720"/>
              <w:tab w:val="right" w:pos="9026" w:leader="dot"/>
            </w:tabs>
            <w:bidi w:val="0"/>
            <w:jc w:val="left"/>
            <w:rPr/>
          </w:pPr>
          <w:hyperlink w:anchor="__RefHeading___Toc4181_4199434714">
            <w:r>
              <w:rPr>
                <w:webHidden/>
                <w:rStyle w:val="IndexLink"/>
              </w:rPr>
              <w:t>C.1 Navigational Standards</w:t>
              <w:tab/>
              <w:t>78</w:t>
            </w:r>
          </w:hyperlink>
        </w:p>
        <w:p>
          <w:pPr>
            <w:pStyle w:val="Contents3"/>
            <w:tabs>
              <w:tab w:val="clear" w:pos="720"/>
              <w:tab w:val="right" w:pos="9026" w:leader="dot"/>
            </w:tabs>
            <w:bidi w:val="0"/>
            <w:jc w:val="left"/>
            <w:rPr/>
          </w:pPr>
          <w:hyperlink w:anchor="__RefHeading___Toc4183_4199434714">
            <w:r>
              <w:rPr>
                <w:webHidden/>
                <w:rStyle w:val="IndexLink"/>
              </w:rPr>
              <w:t>C.2 Interference Resilience</w:t>
              <w:tab/>
              <w:t>79</w:t>
            </w:r>
          </w:hyperlink>
        </w:p>
        <w:p>
          <w:pPr>
            <w:pStyle w:val="Contents3"/>
            <w:tabs>
              <w:tab w:val="clear" w:pos="720"/>
              <w:tab w:val="right" w:pos="9026" w:leader="dot"/>
            </w:tabs>
            <w:bidi w:val="0"/>
            <w:jc w:val="left"/>
            <w:rPr/>
          </w:pPr>
          <w:hyperlink w:anchor="__RefHeading___Toc4185_4199434714">
            <w:r>
              <w:rPr>
                <w:webHidden/>
                <w:rStyle w:val="IndexLink"/>
              </w:rPr>
              <w:t>C.3 Emergency Procedures</w:t>
              <w:tab/>
              <w:t>79</w:t>
            </w:r>
          </w:hyperlink>
        </w:p>
        <w:p>
          <w:pPr>
            <w:pStyle w:val="Contents3"/>
            <w:tabs>
              <w:tab w:val="clear" w:pos="720"/>
              <w:tab w:val="right" w:pos="9026" w:leader="dot"/>
            </w:tabs>
            <w:bidi w:val="0"/>
            <w:jc w:val="left"/>
            <w:rPr/>
          </w:pPr>
          <w:hyperlink w:anchor="__RefHeading___Toc4187_4199434714">
            <w:r>
              <w:rPr>
                <w:webHidden/>
                <w:rStyle w:val="IndexLink"/>
              </w:rPr>
              <w:t>C.4 Response Standards</w:t>
              <w:tab/>
              <w:t>79</w:t>
            </w:r>
          </w:hyperlink>
        </w:p>
        <w:p>
          <w:pPr>
            <w:pStyle w:val="Contents2"/>
            <w:tabs>
              <w:tab w:val="clear" w:pos="720"/>
              <w:tab w:val="right" w:pos="9026" w:leader="dot"/>
            </w:tabs>
            <w:bidi w:val="0"/>
            <w:jc w:val="left"/>
            <w:rPr/>
          </w:pPr>
          <w:hyperlink w:anchor="__RefHeading___Toc4189_4199434714">
            <w:r>
              <w:rPr>
                <w:webHidden/>
                <w:rStyle w:val="IndexLink"/>
              </w:rPr>
              <w:t>Annex D: The Notification Protocol and Manifest Rules</w:t>
              <w:tab/>
              <w:t>79</w:t>
            </w:r>
          </w:hyperlink>
        </w:p>
        <w:p>
          <w:pPr>
            <w:pStyle w:val="Contents3"/>
            <w:tabs>
              <w:tab w:val="clear" w:pos="720"/>
              <w:tab w:val="right" w:pos="9026" w:leader="dot"/>
            </w:tabs>
            <w:bidi w:val="0"/>
            <w:jc w:val="left"/>
            <w:rPr/>
          </w:pPr>
          <w:hyperlink w:anchor="__RefHeading___Toc4191_4199434714">
            <w:r>
              <w:rPr>
                <w:webHidden/>
                <w:rStyle w:val="IndexLink"/>
              </w:rPr>
              <w:t>D.1 The Notice of Transit</w:t>
              <w:tab/>
              <w:t>79</w:t>
            </w:r>
          </w:hyperlink>
        </w:p>
        <w:p>
          <w:pPr>
            <w:pStyle w:val="Contents3"/>
            <w:tabs>
              <w:tab w:val="clear" w:pos="720"/>
              <w:tab w:val="right" w:pos="9026" w:leader="dot"/>
            </w:tabs>
            <w:bidi w:val="0"/>
            <w:jc w:val="left"/>
            <w:rPr/>
          </w:pPr>
          <w:hyperlink w:anchor="__RefHeading___Toc4193_4199434714">
            <w:r>
              <w:rPr>
                <w:webHidden/>
                <w:rStyle w:val="IndexLink"/>
              </w:rPr>
              <w:t>D.2 The Standing Register</w:t>
              <w:tab/>
              <w:t>79</w:t>
            </w:r>
          </w:hyperlink>
        </w:p>
        <w:p>
          <w:pPr>
            <w:pStyle w:val="Contents3"/>
            <w:tabs>
              <w:tab w:val="clear" w:pos="720"/>
              <w:tab w:val="right" w:pos="9026" w:leader="dot"/>
            </w:tabs>
            <w:bidi w:val="0"/>
            <w:jc w:val="left"/>
            <w:rPr/>
          </w:pPr>
          <w:hyperlink w:anchor="__RefHeading___Toc4195_4199434714">
            <w:r>
              <w:rPr>
                <w:webHidden/>
                <w:rStyle w:val="IndexLink"/>
              </w:rPr>
              <w:t>D.3 Humanitarian Manifests</w:t>
              <w:tab/>
              <w:t>79</w:t>
            </w:r>
          </w:hyperlink>
        </w:p>
        <w:p>
          <w:pPr>
            <w:pStyle w:val="Contents3"/>
            <w:tabs>
              <w:tab w:val="clear" w:pos="720"/>
              <w:tab w:val="right" w:pos="9026" w:leader="dot"/>
            </w:tabs>
            <w:bidi w:val="0"/>
            <w:jc w:val="left"/>
            <w:rPr/>
          </w:pPr>
          <w:hyperlink w:anchor="__RefHeading___Toc4197_4199434714">
            <w:r>
              <w:rPr>
                <w:webHidden/>
                <w:rStyle w:val="IndexLink"/>
              </w:rPr>
              <w:t>D.4 Classification Tables</w:t>
              <w:tab/>
              <w:t>79</w:t>
            </w:r>
          </w:hyperlink>
        </w:p>
        <w:p>
          <w:pPr>
            <w:pStyle w:val="Contents2"/>
            <w:tabs>
              <w:tab w:val="clear" w:pos="720"/>
              <w:tab w:val="right" w:pos="9026" w:leader="dot"/>
            </w:tabs>
            <w:bidi w:val="0"/>
            <w:jc w:val="left"/>
            <w:rPr/>
          </w:pPr>
          <w:hyperlink w:anchor="__RefHeading___Toc4199_4199434714">
            <w:r>
              <w:rPr>
                <w:webHidden/>
                <w:rStyle w:val="IndexLink"/>
              </w:rPr>
              <w:t>Annex E: Formulas, Rosters, and Schedules</w:t>
              <w:tab/>
              <w:t>79</w:t>
            </w:r>
          </w:hyperlink>
        </w:p>
        <w:p>
          <w:pPr>
            <w:pStyle w:val="Contents3"/>
            <w:tabs>
              <w:tab w:val="clear" w:pos="720"/>
              <w:tab w:val="right" w:pos="9026" w:leader="dot"/>
            </w:tabs>
            <w:bidi w:val="0"/>
            <w:jc w:val="left"/>
            <w:rPr/>
          </w:pPr>
          <w:hyperlink w:anchor="__RefHeading___Toc4201_4199434714">
            <w:r>
              <w:rPr>
                <w:webHidden/>
                <w:rStyle w:val="IndexLink"/>
              </w:rPr>
              <w:t>E.1 The Contribution Formula</w:t>
              <w:tab/>
              <w:t>79</w:t>
            </w:r>
          </w:hyperlink>
        </w:p>
        <w:p>
          <w:pPr>
            <w:pStyle w:val="Contents3"/>
            <w:tabs>
              <w:tab w:val="clear" w:pos="720"/>
              <w:tab w:val="right" w:pos="9026" w:leader="dot"/>
            </w:tabs>
            <w:bidi w:val="0"/>
            <w:jc w:val="left"/>
            <w:rPr/>
          </w:pPr>
          <w:hyperlink w:anchor="__RefHeading___Toc4203_4199434714">
            <w:r>
              <w:rPr>
                <w:webHidden/>
                <w:rStyle w:val="IndexLink"/>
              </w:rPr>
              <w:t>E.2 The Distribution Formula</w:t>
              <w:tab/>
              <w:t>80</w:t>
            </w:r>
          </w:hyperlink>
        </w:p>
        <w:p>
          <w:pPr>
            <w:pStyle w:val="Contents3"/>
            <w:tabs>
              <w:tab w:val="clear" w:pos="720"/>
              <w:tab w:val="right" w:pos="9026" w:leader="dot"/>
            </w:tabs>
            <w:bidi w:val="0"/>
            <w:jc w:val="left"/>
            <w:rPr/>
          </w:pPr>
          <w:hyperlink w:anchor="__RefHeading___Toc4205_4199434714">
            <w:r>
              <w:rPr>
                <w:webHidden/>
                <w:rStyle w:val="IndexLink"/>
              </w:rPr>
              <w:t>E.3 The Reciprocity Ledger</w:t>
              <w:tab/>
              <w:t>80</w:t>
            </w:r>
          </w:hyperlink>
        </w:p>
        <w:p>
          <w:pPr>
            <w:pStyle w:val="Contents3"/>
            <w:tabs>
              <w:tab w:val="clear" w:pos="720"/>
              <w:tab w:val="right" w:pos="9026" w:leader="dot"/>
            </w:tabs>
            <w:bidi w:val="0"/>
            <w:jc w:val="left"/>
            <w:rPr/>
          </w:pPr>
          <w:hyperlink w:anchor="__RefHeading___Toc4207_4199434714">
            <w:r>
              <w:rPr>
                <w:webHidden/>
                <w:rStyle w:val="IndexLink"/>
              </w:rPr>
              <w:t>E.4 Rosters</w:t>
              <w:tab/>
              <w:t>80</w:t>
            </w:r>
          </w:hyperlink>
        </w:p>
        <w:p>
          <w:pPr>
            <w:pStyle w:val="Contents3"/>
            <w:tabs>
              <w:tab w:val="clear" w:pos="720"/>
              <w:tab w:val="right" w:pos="9026" w:leader="dot"/>
            </w:tabs>
            <w:bidi w:val="0"/>
            <w:jc w:val="left"/>
            <w:rPr/>
          </w:pPr>
          <w:hyperlink w:anchor="__RefHeading___Toc4209_4199434714">
            <w:r>
              <w:rPr>
                <w:webHidden/>
                <w:rStyle w:val="IndexLink"/>
              </w:rPr>
              <w:t>E.5 Stability Metrics</w:t>
              <w:tab/>
              <w:t>80</w:t>
            </w:r>
          </w:hyperlink>
        </w:p>
        <w:p>
          <w:pPr>
            <w:pStyle w:val="Contents3"/>
            <w:tabs>
              <w:tab w:val="clear" w:pos="720"/>
              <w:tab w:val="right" w:pos="9026" w:leader="dot"/>
            </w:tabs>
            <w:bidi w:val="0"/>
            <w:jc w:val="left"/>
            <w:rPr/>
          </w:pPr>
          <w:hyperlink w:anchor="__RefHeading___Toc4211_4199434714">
            <w:r>
              <w:rPr>
                <w:webHidden/>
                <w:rStyle w:val="IndexLink"/>
              </w:rPr>
              <w:t>E.6 The Technical Amendment Procedure</w:t>
              <w:tab/>
              <w:t>80</w:t>
            </w:r>
          </w:hyperlink>
        </w:p>
        <w:p>
          <w:pPr>
            <w:pStyle w:val="Contents2"/>
            <w:tabs>
              <w:tab w:val="clear" w:pos="720"/>
              <w:tab w:val="right" w:pos="9026" w:leader="dot"/>
            </w:tabs>
            <w:bidi w:val="0"/>
            <w:jc w:val="left"/>
            <w:rPr/>
          </w:pPr>
          <w:hyperlink w:anchor="__RefHeading___Toc4213_4199434714">
            <w:r>
              <w:rPr>
                <w:webHidden/>
                <w:rStyle w:val="IndexLink"/>
              </w:rPr>
              <w:t>Annex F: Interpretation Notes</w:t>
              <w:tab/>
              <w:t>80</w:t>
            </w:r>
          </w:hyperlink>
        </w:p>
        <w:p>
          <w:pPr>
            <w:pStyle w:val="Contents3"/>
            <w:tabs>
              <w:tab w:val="clear" w:pos="720"/>
              <w:tab w:val="right" w:pos="9026" w:leader="dot"/>
            </w:tabs>
            <w:bidi w:val="0"/>
            <w:jc w:val="left"/>
            <w:rPr/>
          </w:pPr>
          <w:hyperlink w:anchor="__RefHeading___Toc4215_4199434714">
            <w:r>
              <w:rPr>
                <w:webHidden/>
                <w:rStyle w:val="IndexLink"/>
              </w:rPr>
              <w:t>F.1 Method</w:t>
              <w:tab/>
              <w:t>80</w:t>
            </w:r>
          </w:hyperlink>
        </w:p>
        <w:p>
          <w:pPr>
            <w:pStyle w:val="Contents3"/>
            <w:tabs>
              <w:tab w:val="clear" w:pos="720"/>
              <w:tab w:val="right" w:pos="9026" w:leader="dot"/>
            </w:tabs>
            <w:bidi w:val="0"/>
            <w:jc w:val="left"/>
            <w:rPr/>
          </w:pPr>
          <w:hyperlink w:anchor="__RefHeading___Toc4217_4199434714">
            <w:r>
              <w:rPr>
                <w:webHidden/>
                <w:rStyle w:val="IndexLink"/>
              </w:rPr>
              <w:t>F.2 The Core Notes</w:t>
              <w:tab/>
              <w:t>80</w:t>
            </w:r>
          </w:hyperlink>
        </w:p>
        <w:p>
          <w:pPr>
            <w:pStyle w:val="Contents2"/>
            <w:tabs>
              <w:tab w:val="clear" w:pos="720"/>
              <w:tab w:val="right" w:pos="9026" w:leader="dot"/>
            </w:tabs>
            <w:bidi w:val="0"/>
            <w:jc w:val="left"/>
            <w:rPr/>
          </w:pPr>
          <w:hyperlink w:anchor="__RefHeading___Toc4219_4199434714">
            <w:r>
              <w:rPr>
                <w:webHidden/>
                <w:rStyle w:val="IndexLink"/>
              </w:rPr>
              <w:t>Annex G: Data Custody, Ethics, and Tribunal Rules</w:t>
              <w:tab/>
              <w:t>81</w:t>
            </w:r>
          </w:hyperlink>
        </w:p>
        <w:p>
          <w:pPr>
            <w:pStyle w:val="Contents3"/>
            <w:tabs>
              <w:tab w:val="clear" w:pos="720"/>
              <w:tab w:val="right" w:pos="9026" w:leader="dot"/>
            </w:tabs>
            <w:bidi w:val="0"/>
            <w:jc w:val="left"/>
            <w:rPr/>
          </w:pPr>
          <w:hyperlink w:anchor="__RefHeading___Toc4221_4199434714">
            <w:r>
              <w:rPr>
                <w:webHidden/>
                <w:rStyle w:val="IndexLink"/>
              </w:rPr>
              <w:t>G.1 Data Custody</w:t>
              <w:tab/>
              <w:t>81</w:t>
            </w:r>
          </w:hyperlink>
        </w:p>
        <w:p>
          <w:pPr>
            <w:pStyle w:val="Contents3"/>
            <w:tabs>
              <w:tab w:val="clear" w:pos="720"/>
              <w:tab w:val="right" w:pos="9026" w:leader="dot"/>
            </w:tabs>
            <w:bidi w:val="0"/>
            <w:jc w:val="left"/>
            <w:rPr/>
          </w:pPr>
          <w:hyperlink w:anchor="__RefHeading___Toc4223_4199434714">
            <w:r>
              <w:rPr>
                <w:webHidden/>
                <w:rStyle w:val="IndexLink"/>
              </w:rPr>
              <w:t>G.2 Independence and Ethics</w:t>
              <w:tab/>
              <w:t>81</w:t>
            </w:r>
          </w:hyperlink>
        </w:p>
        <w:p>
          <w:pPr>
            <w:pStyle w:val="Contents3"/>
            <w:tabs>
              <w:tab w:val="clear" w:pos="720"/>
              <w:tab w:val="right" w:pos="9026" w:leader="dot"/>
            </w:tabs>
            <w:bidi w:val="0"/>
            <w:jc w:val="left"/>
            <w:rPr/>
          </w:pPr>
          <w:hyperlink w:anchor="__RefHeading___Toc4225_4199434714">
            <w:r>
              <w:rPr>
                <w:webHidden/>
                <w:rStyle w:val="IndexLink"/>
              </w:rPr>
              <w:t>G.3 Tribunal Rules</w:t>
              <w:tab/>
              <w:t>81</w:t>
            </w:r>
          </w:hyperlink>
        </w:p>
        <w:p>
          <w:pPr>
            <w:pStyle w:val="Contents3"/>
            <w:tabs>
              <w:tab w:val="clear" w:pos="720"/>
              <w:tab w:val="right" w:pos="9026" w:leader="dot"/>
            </w:tabs>
            <w:bidi w:val="0"/>
            <w:jc w:val="left"/>
            <w:rPr/>
          </w:pPr>
          <w:hyperlink w:anchor="__RefHeading___Toc4227_4199434714">
            <w:r>
              <w:rPr>
                <w:webHidden/>
                <w:rStyle w:val="IndexLink"/>
              </w:rPr>
              <w:t>G.4 The Standing Assurance Statement</w:t>
              <w:tab/>
              <w:t>81</w:t>
            </w:r>
          </w:hyperlink>
        </w:p>
        <w:p>
          <w:pPr>
            <w:pStyle w:val="Contents1"/>
            <w:tabs>
              <w:tab w:val="clear" w:pos="720"/>
              <w:tab w:val="right" w:pos="9026" w:leader="dot"/>
            </w:tabs>
            <w:bidi w:val="0"/>
            <w:jc w:val="left"/>
            <w:rPr/>
          </w:pPr>
          <w:hyperlink w:anchor="__RefHeading___Toc4229_4199434714">
            <w:r>
              <w:rPr>
                <w:webHidden/>
                <w:rStyle w:val="IndexLink"/>
              </w:rPr>
              <w:t>CLOSING NOTE OF THE DRAFTING FACILITATORS</w:t>
              <w:tab/>
              <w:t>82</w:t>
            </w:r>
          </w:hyperlink>
          <w:r>
            <w:rPr>
              <w:rStyle w:val="IndexLink"/>
            </w:rPr>
            <w:fldChar w:fldCharType="end"/>
          </w:r>
        </w:p>
      </w:sdtContent>
    </w:sdt>
    <w:p>
      <w:pPr>
        <w:sectPr>
          <w:headerReference w:type="default" r:id="rId2"/>
          <w:footerReference w:type="default" r:id="rId3"/>
          <w:type w:val="nextPage"/>
          <w:pgSz w:w="11906" w:h="16838"/>
          <w:pgMar w:left="1440" w:right="1440" w:gutter="0" w:header="720" w:top="1440" w:footer="720" w:bottom="1440"/>
          <w:pgNumType w:start="1" w:fmt="decimal"/>
          <w:formProt w:val="false"/>
          <w:textDirection w:val="lrTb"/>
          <w:docGrid w:type="default" w:linePitch="100" w:charSpace="0"/>
        </w:sectPr>
        <w:pStyle w:val="Normal"/>
        <w:bidi w:val="0"/>
        <w:spacing w:lineRule="auto" w:line="288" w:before="0" w:after="80"/>
        <w:jc w:val="both"/>
        <w:rPr>
          <w:rFonts w:ascii="Georgia" w:hAnsi="Georgia" w:eastAsia="Microsoft YaHei"/>
          <w:color w:val="26333B"/>
          <w:sz w:val="21"/>
        </w:rPr>
      </w:pPr>
      <w:r>
        <w:rPr>
          <w:rFonts w:eastAsia="Microsoft YaHei"/>
          <w:color w:val="26333B"/>
          <w:sz w:val="21"/>
        </w:rPr>
      </w:r>
    </w:p>
    <w:p>
      <w:pPr>
        <w:pStyle w:val="Heading1"/>
        <w:bidi w:val="0"/>
        <w:rPr/>
      </w:pPr>
      <w:bookmarkStart w:id="0" w:name="__RefHeading___Toc3447_4199434714"/>
      <w:bookmarkEnd w:id="0"/>
      <w:r>
        <w:rPr/>
        <w:t>THE HORMUZ REGIONAL STEWARDSHIP CHARTER</w:t>
      </w:r>
    </w:p>
    <w:p>
      <w:pPr>
        <w:pStyle w:val="Heading2"/>
        <w:keepNext w:val="true"/>
        <w:keepLines/>
        <w:bidi w:val="0"/>
        <w:spacing w:before="280" w:after="120"/>
        <w:rPr/>
      </w:pPr>
      <w:bookmarkStart w:id="1" w:name="__RefHeading___Toc3449_4199434714"/>
      <w:bookmarkEnd w:id="1"/>
      <w:r>
        <w:rPr/>
        <w:t>Preamble</w:t>
      </w:r>
    </w:p>
    <w:p>
      <w:pPr>
        <w:pStyle w:val="Normal"/>
        <w:bidi w:val="0"/>
        <w:spacing w:lineRule="auto" w:line="288" w:before="0" w:after="80"/>
        <w:jc w:val="both"/>
        <w:rPr/>
      </w:pPr>
      <w:r>
        <w:rPr/>
        <w:t>The Islamic Republic of Iran, the Sultanate of Oman, the Kingdom of Saudi Arabia, the United Arab Emirates, the State of Qatar, the State of Kuwait, the Kingdom of Bahrain, and the Republic of Iraq, hereinafter the Parties, convene to establish a permanent, treaty-level framework for the cooperative governance of the Strait of Hormuz and its approaches.</w:t>
      </w:r>
    </w:p>
    <w:p>
      <w:pPr>
        <w:pStyle w:val="Normal"/>
        <w:bidi w:val="0"/>
        <w:spacing w:lineRule="auto" w:line="288" w:before="0" w:after="80"/>
        <w:jc w:val="both"/>
        <w:rPr/>
      </w:pPr>
      <w:r>
        <w:rPr/>
        <w:t>Recalling the vital importance of the Strait of Hormuz to global energy security and to the economies of every littoral state, through whose waters approximately one-fifth of the world's petroleum liquids and liquefied natural gas pass each day, and through which the food, medicine, and commercial lifeblood of the region flows.</w:t>
      </w:r>
    </w:p>
    <w:p>
      <w:pPr>
        <w:pStyle w:val="Normal"/>
        <w:bidi w:val="0"/>
        <w:spacing w:lineRule="auto" w:line="288" w:before="0" w:after="80"/>
        <w:jc w:val="both"/>
        <w:rPr/>
      </w:pPr>
      <w:r>
        <w:rPr/>
        <w:t>Recalling the Traffic Separation Scheme adopted through the International Maritime Organization in 1968, which established the ship routing system that served the Strait for nearly six decades, and the technical and legal solution that scheme provided to the reality that the sovereign waters of the Islamic Republic of Iran and the Sultanate of Oman meet within the Strait, leaving no neutral international waters at its narrowest point.</w:t>
      </w:r>
    </w:p>
    <w:p>
      <w:pPr>
        <w:pStyle w:val="Normal"/>
        <w:bidi w:val="0"/>
        <w:spacing w:lineRule="auto" w:line="288" w:before="0" w:after="80"/>
        <w:jc w:val="both"/>
        <w:rPr/>
      </w:pPr>
      <w:r>
        <w:rPr/>
        <w:t>Recalling the crisis of 2026, in which military conflict between the United States of America and the Islamic Republic of Iran produced the effective closure of the Strait by behavior and enforcement, the stranding of thousands of seafarers, the suspension of the traditional traffic separation scheme, and cascading consequences for global energy markets, food security, and maritime commerce.</w:t>
      </w:r>
    </w:p>
    <w:p>
      <w:pPr>
        <w:pStyle w:val="Normal"/>
        <w:bidi w:val="0"/>
        <w:spacing w:lineRule="auto" w:line="288" w:before="0" w:after="80"/>
        <w:jc w:val="both"/>
        <w:rPr/>
      </w:pPr>
      <w:r>
        <w:rPr/>
        <w:t>Recalling United Nations Security Council resolution 2817 of 11 March 2026, co-sponsored by 136 states, which condemned actions and threats aimed at closing or obstructing international navigation through the Strait of Hormuz and affirmed that impediments to lawful transit passage constitute a serious threat to international peace and security.</w:t>
      </w:r>
    </w:p>
    <w:p>
      <w:pPr>
        <w:pStyle w:val="Normal"/>
        <w:bidi w:val="0"/>
        <w:spacing w:lineRule="auto" w:line="288" w:before="0" w:after="80"/>
        <w:jc w:val="both"/>
        <w:rPr/>
      </w:pPr>
      <w:r>
        <w:rPr/>
        <w:t>Recalling the decision of the Council of the International Maritime Organization of July 2026, which expressed the collective determination of the international maritime community that no single state's unilateral instrument purporting to control traffic through the Strait commands international acceptance, and that only a cooperative framework enjoys durable legitimacy.</w:t>
      </w:r>
    </w:p>
    <w:p>
      <w:pPr>
        <w:pStyle w:val="Normal"/>
        <w:bidi w:val="0"/>
        <w:spacing w:lineRule="auto" w:line="288" w:before="0" w:after="80"/>
        <w:jc w:val="both"/>
        <w:rPr/>
      </w:pPr>
      <w:r>
        <w:rPr/>
        <w:t>Recalling the Islamabad Memorandum of Understanding of June 2026 between the United States of America and the Islamic Republic of Iran, and the ongoing bilateral negotiations between the Islamic Republic of Iran and the Sultanate of Oman concerning the management of the Strait, within which the coastal states have reached broad agreement on the geographical coordinates of a renewed navigation route.</w:t>
      </w:r>
    </w:p>
    <w:p>
      <w:pPr>
        <w:pStyle w:val="Normal"/>
        <w:bidi w:val="0"/>
        <w:spacing w:lineRule="auto" w:line="288" w:before="0" w:after="80"/>
        <w:jc w:val="both"/>
        <w:rPr/>
      </w:pPr>
      <w:r>
        <w:rPr/>
        <w:t>Affirming the right of transit passage through straits used for international navigation, as codified in Part III of the United Nations Convention on the Law of the Sea and reflected in customary international law, and affirming that this right belongs to all states and all vessels without discrimination.</w:t>
      </w:r>
    </w:p>
    <w:p>
      <w:pPr>
        <w:pStyle w:val="Normal"/>
        <w:bidi w:val="0"/>
        <w:spacing w:lineRule="auto" w:line="288" w:before="0" w:after="80"/>
        <w:jc w:val="both"/>
        <w:rPr/>
      </w:pPr>
      <w:r>
        <w:rPr/>
        <w:t>Affirming the sovereign rights of the coastal states over their territorial waters, consistent with applicable international law, including their rights and duties concerning navigational safety, the protection of the marine environment, and the security of their coasts.</w:t>
      </w:r>
    </w:p>
    <w:p>
      <w:pPr>
        <w:pStyle w:val="Normal"/>
        <w:bidi w:val="0"/>
        <w:spacing w:lineRule="auto" w:line="288" w:before="0" w:after="80"/>
        <w:jc w:val="both"/>
        <w:rPr/>
      </w:pPr>
      <w:r>
        <w:rPr/>
        <w:t>Affirming the legal distinction between the regulation of how vessels transit, which belongs to cooperative coastal-state administration, and the power to decide which vessels transit, which this Charter excludes from every hand, including the hands of the coastal states.</w:t>
      </w:r>
    </w:p>
    <w:p>
      <w:pPr>
        <w:pStyle w:val="Normal"/>
        <w:bidi w:val="0"/>
        <w:spacing w:lineRule="auto" w:line="288" w:before="0" w:after="80"/>
        <w:jc w:val="both"/>
        <w:rPr/>
      </w:pPr>
      <w:r>
        <w:rPr/>
        <w:t>Affirming that the crisis of 2026 demonstrated the insufficiency of informal arrangements and the absence of a standing regional institution, and that durable calm in the Strait rests on shared stewardship backed by the region itself rather than on unilateral control, external enforcement, or temporary understandings.</w:t>
      </w:r>
    </w:p>
    <w:p>
      <w:pPr>
        <w:pStyle w:val="Normal"/>
        <w:bidi w:val="0"/>
        <w:spacing w:lineRule="auto" w:line="288" w:before="0" w:after="80"/>
        <w:jc w:val="both"/>
        <w:rPr/>
      </w:pPr>
      <w:r>
        <w:rPr/>
        <w:t>Determined to replace every perception of exclusive unilateral control with a cooperative regional mechanism, endowed with shared institutions, balanced verification, transparent finance, graduated compliance, and genuine dispute resolution, so that the Strait of Hormuz operates as safe, secure, efficient, and boring water.</w:t>
      </w:r>
    </w:p>
    <w:p>
      <w:pPr>
        <w:pStyle w:val="Normal"/>
        <w:bidi w:val="0"/>
        <w:spacing w:lineRule="auto" w:line="288" w:before="0" w:after="80"/>
        <w:jc w:val="both"/>
        <w:rPr/>
      </w:pPr>
      <w:r>
        <w:rPr/>
        <w:t>Determined to build this framework so that its strength lies in its architecture rather than in the goodwill of any incumbent government, and so that the framework breathes under stress rather than collapsing at the first breach.</w:t>
      </w:r>
    </w:p>
    <w:p>
      <w:pPr>
        <w:pStyle w:val="Normal"/>
        <w:bidi w:val="0"/>
        <w:spacing w:lineRule="auto" w:line="288" w:before="0" w:after="80"/>
        <w:jc w:val="both"/>
        <w:rPr/>
      </w:pPr>
      <w:r>
        <w:rPr/>
        <w:t>Determined that the women and men who crew the world's merchant fleets, and the populations who depend on the cargoes they carry, stand at the center of this Charter's protections.</w:t>
      </w:r>
    </w:p>
    <w:p>
      <w:pPr>
        <w:pStyle w:val="Normal"/>
        <w:bidi w:val="0"/>
        <w:spacing w:lineRule="auto" w:line="288" w:before="0" w:after="80"/>
        <w:jc w:val="both"/>
        <w:rPr/>
      </w:pPr>
      <w:r>
        <w:rPr/>
        <w:t>The Parties agree as follows.</w:t>
      </w:r>
    </w:p>
    <w:p>
      <w:pPr>
        <w:pStyle w:val="Heading1"/>
        <w:keepNext w:val="true"/>
        <w:keepLines/>
        <w:pBdr>
          <w:bottom w:val="single" w:sz="12" w:space="6" w:color="B8860B"/>
        </w:pBdr>
        <w:bidi w:val="0"/>
        <w:spacing w:before="0" w:after="360"/>
        <w:rPr/>
      </w:pPr>
      <w:bookmarkStart w:id="2" w:name="__RefHeading___Toc3451_4199434714"/>
      <w:bookmarkEnd w:id="2"/>
      <w:r>
        <w:rPr/>
        <w:t>PART I: FOUNDATIONS</w:t>
      </w:r>
    </w:p>
    <w:p>
      <w:pPr>
        <w:pStyle w:val="Heading2"/>
        <w:keepNext w:val="true"/>
        <w:keepLines/>
        <w:bidi w:val="0"/>
        <w:spacing w:before="280" w:after="120"/>
        <w:rPr/>
      </w:pPr>
      <w:bookmarkStart w:id="3" w:name="__RefHeading___Toc3453_4199434714"/>
      <w:bookmarkEnd w:id="3"/>
      <w:r>
        <w:rPr/>
        <w:t>Article 1: Establishment, Purpose, and Scope</w:t>
      </w:r>
    </w:p>
    <w:p>
      <w:pPr>
        <w:pStyle w:val="Heading3"/>
        <w:keepNext w:val="true"/>
        <w:keepLines/>
        <w:bidi w:val="0"/>
        <w:spacing w:before="220" w:after="100"/>
        <w:rPr/>
      </w:pPr>
      <w:bookmarkStart w:id="4" w:name="__RefHeading___Toc3455_4199434714"/>
      <w:bookmarkEnd w:id="4"/>
      <w:r>
        <w:rPr/>
        <w:t>1.1 Establishment</w:t>
      </w:r>
    </w:p>
    <w:p>
      <w:pPr>
        <w:pStyle w:val="Normal"/>
        <w:bidi w:val="0"/>
        <w:spacing w:lineRule="auto" w:line="288" w:before="0" w:after="80"/>
        <w:jc w:val="both"/>
        <w:rPr/>
      </w:pPr>
      <w:r>
        <w:rPr/>
        <w:t>1.1.1 The Parties establish the Hormuz Regional Stewardship Charter as the permanent governance architecture for the Strait of Hormuz and its approaches. The Charter constitutes a treaty-level instrument binding upon the Parties and creates the institutions, rules, and mechanisms described in its Parts and Annexes.</w:t>
      </w:r>
    </w:p>
    <w:p>
      <w:pPr>
        <w:pStyle w:val="Normal"/>
        <w:bidi w:val="0"/>
        <w:spacing w:lineRule="auto" w:line="288" w:before="0" w:after="80"/>
        <w:jc w:val="both"/>
        <w:rPr/>
      </w:pPr>
      <w:r>
        <w:rPr/>
        <w:t>1.1.2 The Charter supersedes the 1968 Traffic Separation Scheme as the operative routing framework for the Strait and establishes the renewed corridor system described in Part II. Nothing in the act of supersession diminishes any rule of international law; the Charter operates within the international legal order, not above it and not beside it.</w:t>
      </w:r>
    </w:p>
    <w:p>
      <w:pPr>
        <w:pStyle w:val="Normal"/>
        <w:bidi w:val="0"/>
        <w:spacing w:lineRule="auto" w:line="288" w:before="0" w:after="80"/>
        <w:jc w:val="both"/>
        <w:rPr/>
      </w:pPr>
      <w:r>
        <w:rPr/>
        <w:t>1.1.3 The Charter creates the Hormuz Regional Stewardship Council and its subordinate institutions, described in Part VII, and vests them with the operational, administrative, and coordinative competence that this Charter enumerates and no other competence.</w:t>
      </w:r>
    </w:p>
    <w:p>
      <w:pPr>
        <w:pStyle w:val="Heading3"/>
        <w:keepNext w:val="true"/>
        <w:keepLines/>
        <w:bidi w:val="0"/>
        <w:spacing w:before="220" w:after="100"/>
        <w:rPr/>
      </w:pPr>
      <w:bookmarkStart w:id="5" w:name="__RefHeading___Toc3457_4199434714"/>
      <w:bookmarkEnd w:id="5"/>
      <w:r>
        <w:rPr/>
        <w:t>1.2 Purpose</w:t>
      </w:r>
    </w:p>
    <w:p>
      <w:pPr>
        <w:pStyle w:val="Normal"/>
        <w:bidi w:val="0"/>
        <w:spacing w:lineRule="auto" w:line="288" w:before="0" w:after="80"/>
        <w:jc w:val="both"/>
        <w:rPr/>
      </w:pPr>
      <w:r>
        <w:rPr/>
        <w:t>1.2.1 The Charter governs navigation safety, traffic coordination, environmental protection, incident management, humanitarian passage, fee architecture, and security deconfliction within the Governance Area.</w:t>
      </w:r>
    </w:p>
    <w:p>
      <w:pPr>
        <w:pStyle w:val="Normal"/>
        <w:bidi w:val="0"/>
        <w:spacing w:lineRule="auto" w:line="288" w:before="0" w:after="80"/>
        <w:jc w:val="both"/>
        <w:rPr/>
      </w:pPr>
      <w:r>
        <w:rPr/>
        <w:t>1.2.2 The Charter exists to achieve five standing outcomes:</w:t>
      </w:r>
    </w:p>
    <w:p>
      <w:pPr>
        <w:pStyle w:val="Normal"/>
        <w:bidi w:val="0"/>
        <w:spacing w:lineRule="auto" w:line="288" w:before="0" w:after="80"/>
        <w:jc w:val="both"/>
        <w:rPr/>
      </w:pPr>
      <w:r>
        <w:rPr/>
        <w:t>(a) Continuous, safe, and predictable transit passage for all vessels in all conditions short of the crisis states that Part V defines and regulates;</w:t>
      </w:r>
    </w:p>
    <w:p>
      <w:pPr>
        <w:pStyle w:val="Normal"/>
        <w:bidi w:val="0"/>
        <w:spacing w:lineRule="auto" w:line="288" w:before="0" w:after="80"/>
        <w:jc w:val="both"/>
        <w:rPr/>
      </w:pPr>
      <w:r>
        <w:rPr/>
        <w:t>(b) The replacement of unilateral control, actual or perceived, with a cooperative regional mechanism in which the coastal states exercise their lawful functions jointly and accountably;</w:t>
      </w:r>
    </w:p>
    <w:p>
      <w:pPr>
        <w:pStyle w:val="Normal"/>
        <w:bidi w:val="0"/>
        <w:spacing w:lineRule="auto" w:line="288" w:before="0" w:after="80"/>
        <w:jc w:val="both"/>
        <w:rPr/>
      </w:pPr>
      <w:r>
        <w:rPr/>
        <w:t>(c) The permanent separation of passage from payment, such that no vessel pays for the right to transit and every lawful payment attaches to a verified service actually rendered;</w:t>
      </w:r>
    </w:p>
    <w:p>
      <w:pPr>
        <w:pStyle w:val="Normal"/>
        <w:bidi w:val="0"/>
        <w:spacing w:lineRule="auto" w:line="288" w:before="0" w:after="80"/>
        <w:jc w:val="both"/>
        <w:rPr/>
      </w:pPr>
      <w:r>
        <w:rPr/>
        <w:t>(d) The protection of seafarers, coastal populations, and the marine environment from the consequences of both conflict and commerce;</w:t>
      </w:r>
    </w:p>
    <w:p>
      <w:pPr>
        <w:pStyle w:val="Normal"/>
        <w:bidi w:val="0"/>
        <w:spacing w:lineRule="auto" w:line="288" w:before="0" w:after="80"/>
        <w:jc w:val="both"/>
        <w:rPr/>
      </w:pPr>
      <w:r>
        <w:rPr/>
        <w:t>(e) The conversion of the Strait from a geopolitical pressure point into ordinary, well-administered water, in which the measure of success is the absence of drama.</w:t>
      </w:r>
    </w:p>
    <w:p>
      <w:pPr>
        <w:pStyle w:val="Heading3"/>
        <w:keepNext w:val="true"/>
        <w:keepLines/>
        <w:bidi w:val="0"/>
        <w:spacing w:before="220" w:after="100"/>
        <w:rPr/>
      </w:pPr>
      <w:bookmarkStart w:id="6" w:name="__RefHeading___Toc3459_4199434714"/>
      <w:bookmarkEnd w:id="6"/>
      <w:r>
        <w:rPr/>
        <w:t>1.3 Scope</w:t>
      </w:r>
    </w:p>
    <w:p>
      <w:pPr>
        <w:pStyle w:val="Normal"/>
        <w:bidi w:val="0"/>
        <w:spacing w:lineRule="auto" w:line="288" w:before="0" w:after="80"/>
        <w:jc w:val="both"/>
        <w:rPr/>
      </w:pPr>
      <w:r>
        <w:rPr/>
        <w:t>1.3.1 The Charter applies within the Governance Area defined in Article 2. It binds the Parties, their organs, and their instrumentalities. It addresses vessels through the obligations of flag states, the participation framework of Part VII, and the service architecture of Part IV; it does not assert jurisdiction over vessels beyond the jurisdiction that international law already assigns to the coastal states and to flag states.</w:t>
      </w:r>
    </w:p>
    <w:p>
      <w:pPr>
        <w:pStyle w:val="Normal"/>
        <w:bidi w:val="0"/>
        <w:spacing w:lineRule="auto" w:line="288" w:before="0" w:after="80"/>
        <w:jc w:val="both"/>
        <w:rPr/>
      </w:pPr>
      <w:r>
        <w:rPr/>
        <w:t>1.3.2 The Charter does not govern the nuclear file, sanctions between non-parties, bilateral defense arrangements, or any question that Article 64 assigns to other instruments. The Charter's firewall provisions in Article 63 and Article 64 preserve this boundary.</w:t>
      </w:r>
    </w:p>
    <w:p>
      <w:pPr>
        <w:pStyle w:val="Normal"/>
        <w:bidi w:val="0"/>
        <w:spacing w:lineRule="auto" w:line="288" w:before="0" w:after="80"/>
        <w:jc w:val="both"/>
        <w:rPr/>
      </w:pPr>
      <w:r>
        <w:rPr/>
        <w:t>1.3.3 The Charter operates independently of and without prejudice to the Hormuz Bilateral Corridor and Stewardship Agreement between the coastal states, the strategic negotiations between the United States and the Islamic Republic of Iran, and any humanitarian framework operating under United Nations auspices. Progress or difficulty in those tracks neither suspends nor accelerates this Charter except where Article 62 expressly so provides.</w:t>
      </w:r>
    </w:p>
    <w:p>
      <w:pPr>
        <w:pStyle w:val="Heading2"/>
        <w:keepNext w:val="true"/>
        <w:keepLines/>
        <w:bidi w:val="0"/>
        <w:spacing w:before="280" w:after="120"/>
        <w:rPr/>
      </w:pPr>
      <w:bookmarkStart w:id="7" w:name="__RefHeading___Toc3461_4199434714"/>
      <w:bookmarkEnd w:id="7"/>
      <w:r>
        <w:rPr/>
        <w:t>Article 2: The Governance Area</w:t>
      </w:r>
    </w:p>
    <w:p>
      <w:pPr>
        <w:pStyle w:val="Heading3"/>
        <w:keepNext w:val="true"/>
        <w:keepLines/>
        <w:bidi w:val="0"/>
        <w:spacing w:before="220" w:after="100"/>
        <w:rPr/>
      </w:pPr>
      <w:bookmarkStart w:id="8" w:name="__RefHeading___Toc3463_4199434714"/>
      <w:bookmarkEnd w:id="8"/>
      <w:r>
        <w:rPr/>
        <w:t>2.1 Definition</w:t>
      </w:r>
    </w:p>
    <w:p>
      <w:pPr>
        <w:pStyle w:val="Normal"/>
        <w:bidi w:val="0"/>
        <w:spacing w:lineRule="auto" w:line="288" w:before="0" w:after="80"/>
        <w:jc w:val="both"/>
        <w:rPr/>
      </w:pPr>
      <w:r>
        <w:rPr/>
        <w:t>2.1.1 The Governance Area comprises the Strait of Hormuz and its approaches, bounded as follows: to the west, by the line connecting the outermost points of the approaches used by deep-draft traffic entering the Strait from the Persian Gulf; to the east, by the line of the Gulf of Oman approaches through which outbound traffic disperses toward open water; to the north, by the territorial sea baseline and internal waters of the Islamic Republic of Iran; and to the south, by the territorial sea baseline and internal waters of the Sultanate of Oman, including the Musandam Peninsula.</w:t>
      </w:r>
    </w:p>
    <w:p>
      <w:pPr>
        <w:pStyle w:val="Normal"/>
        <w:bidi w:val="0"/>
        <w:spacing w:lineRule="auto" w:line="288" w:before="0" w:after="80"/>
        <w:jc w:val="both"/>
        <w:rPr/>
      </w:pPr>
      <w:r>
        <w:rPr/>
        <w:t>2.1.2 The precise coordinates of the Governance Area, its boundary lines, its corridors, its buffer zone, its anchorages, and its exclusion areas reside in the Neutral Coordinate Registry maintained under Article 9 and published as Annex A. The Registry, not this narrative description, controls in case of divergence.</w:t>
      </w:r>
    </w:p>
    <w:p>
      <w:pPr>
        <w:pStyle w:val="Normal"/>
        <w:bidi w:val="0"/>
        <w:spacing w:lineRule="auto" w:line="288" w:before="0" w:after="80"/>
        <w:jc w:val="both"/>
        <w:rPr/>
      </w:pPr>
      <w:r>
        <w:rPr/>
        <w:t>2.1.3 The Governance Area definition operates without prejudice to the baselines, territorial sea limits, or maritime claims of any Party. The Charter draws an administrative boundary for cooperative management; it draws no sovereignty boundary.</w:t>
      </w:r>
    </w:p>
    <w:p>
      <w:pPr>
        <w:pStyle w:val="Heading3"/>
        <w:keepNext w:val="true"/>
        <w:keepLines/>
        <w:bidi w:val="0"/>
        <w:spacing w:before="220" w:after="100"/>
        <w:rPr/>
      </w:pPr>
      <w:bookmarkStart w:id="9" w:name="__RefHeading___Toc3465_4199434714"/>
      <w:bookmarkEnd w:id="9"/>
      <w:r>
        <w:rPr/>
        <w:t>2.2 Overlap Reality</w:t>
      </w:r>
    </w:p>
    <w:p>
      <w:pPr>
        <w:pStyle w:val="Normal"/>
        <w:bidi w:val="0"/>
        <w:spacing w:lineRule="auto" w:line="288" w:before="0" w:after="80"/>
        <w:jc w:val="both"/>
        <w:rPr/>
      </w:pPr>
      <w:r>
        <w:rPr/>
        <w:t>2.2.1 The Parties acknowledge the geographic fact that the territorial seas of Iran and Oman meet within the Strait and that no band of high seas or neutral international water lies at the Strait's narrowest navigable point. Every rule in this Charter rests on this fact: cooperative administration between the coastal states is not a diplomatic preference but a physical necessity.</w:t>
      </w:r>
    </w:p>
    <w:p>
      <w:pPr>
        <w:pStyle w:val="Normal"/>
        <w:bidi w:val="0"/>
        <w:spacing w:lineRule="auto" w:line="288" w:before="0" w:after="80"/>
        <w:jc w:val="both"/>
        <w:rPr/>
      </w:pPr>
      <w:r>
        <w:rPr/>
        <w:t>2.2.2 The Parties further acknowledge that other littoral states, while not coastal states of the Strait itself, possess direct and vital interests in its operation, as their ports, exports, imports, desalination intakes, and offshore infrastructure depend on its continuous functioning. The participation architecture of Article 5 translates this interest into standing institutional roles.</w:t>
      </w:r>
    </w:p>
    <w:p>
      <w:pPr>
        <w:pStyle w:val="Heading2"/>
        <w:keepNext w:val="true"/>
        <w:keepLines/>
        <w:bidi w:val="0"/>
        <w:spacing w:before="280" w:after="120"/>
        <w:rPr/>
      </w:pPr>
      <w:bookmarkStart w:id="10" w:name="__RefHeading___Toc3467_4199434714"/>
      <w:bookmarkEnd w:id="10"/>
      <w:r>
        <w:rPr/>
        <w:t>Article 3: Definitions and Interpretation</w:t>
      </w:r>
    </w:p>
    <w:p>
      <w:pPr>
        <w:pStyle w:val="Heading3"/>
        <w:keepNext w:val="true"/>
        <w:keepLines/>
        <w:bidi w:val="0"/>
        <w:spacing w:before="220" w:after="100"/>
        <w:rPr/>
      </w:pPr>
      <w:bookmarkStart w:id="11" w:name="__RefHeading___Toc3469_4199434714"/>
      <w:bookmarkEnd w:id="11"/>
      <w:r>
        <w:rPr/>
        <w:t>3.1 Definitions</w:t>
      </w:r>
    </w:p>
    <w:p>
      <w:pPr>
        <w:pStyle w:val="Normal"/>
        <w:bidi w:val="0"/>
        <w:spacing w:lineRule="auto" w:line="288" w:before="0" w:after="80"/>
        <w:jc w:val="both"/>
        <w:rPr/>
      </w:pPr>
      <w:r>
        <w:rPr/>
        <w:t>3.1.1 In this Charter:</w:t>
      </w:r>
    </w:p>
    <w:p>
      <w:pPr>
        <w:pStyle w:val="Normal"/>
        <w:bidi w:val="0"/>
        <w:spacing w:lineRule="auto" w:line="288" w:before="0" w:after="80"/>
        <w:jc w:val="both"/>
        <w:rPr/>
      </w:pPr>
      <w:r>
        <w:rPr/>
        <w:t>(a) "Governance Area" means the area defined in Article 2 and Annex A;</w:t>
      </w:r>
    </w:p>
    <w:p>
      <w:pPr>
        <w:pStyle w:val="Normal"/>
        <w:bidi w:val="0"/>
        <w:spacing w:lineRule="auto" w:line="288" w:before="0" w:after="80"/>
        <w:jc w:val="both"/>
        <w:rPr/>
      </w:pPr>
      <w:r>
        <w:rPr/>
        <w:t>(b) "Corridor One" means the northern inbound corridor described in Article 10;</w:t>
      </w:r>
    </w:p>
    <w:p>
      <w:pPr>
        <w:pStyle w:val="Normal"/>
        <w:bidi w:val="0"/>
        <w:spacing w:lineRule="auto" w:line="288" w:before="0" w:after="80"/>
        <w:jc w:val="both"/>
        <w:rPr/>
      </w:pPr>
      <w:r>
        <w:rPr/>
        <w:t>(c) "Corridor Two" means the southern outbound corridor described in Article 11;</w:t>
      </w:r>
    </w:p>
    <w:p>
      <w:pPr>
        <w:pStyle w:val="Normal"/>
        <w:bidi w:val="0"/>
        <w:spacing w:lineRule="auto" w:line="288" w:before="0" w:after="80"/>
        <w:jc w:val="both"/>
        <w:rPr/>
      </w:pPr>
      <w:r>
        <w:rPr/>
        <w:t>(d) "Central Buffer" means the deconfliction and safety zone described in Article 9;</w:t>
      </w:r>
    </w:p>
    <w:p>
      <w:pPr>
        <w:pStyle w:val="Normal"/>
        <w:bidi w:val="0"/>
        <w:spacing w:lineRule="auto" w:line="288" w:before="0" w:after="80"/>
        <w:jc w:val="both"/>
        <w:rPr/>
      </w:pPr>
      <w:r>
        <w:rPr/>
        <w:t>(e) "transit passage" means the exercise of the freedom of navigation and overflight solely for the purpose of continuous and expeditious transit of the Strait, consistent with international law;</w:t>
      </w:r>
    </w:p>
    <w:p>
      <w:pPr>
        <w:pStyle w:val="Normal"/>
        <w:bidi w:val="0"/>
        <w:spacing w:lineRule="auto" w:line="288" w:before="0" w:after="80"/>
        <w:jc w:val="both"/>
        <w:rPr/>
      </w:pPr>
      <w:r>
        <w:rPr/>
        <w:t>(f) "transit toll" means any charge, levy, fee, payment, or exaction, monetary or in kind, that functions in law or in fact as a condition of passage through the Strait, regardless of its name;</w:t>
      </w:r>
    </w:p>
    <w:p>
      <w:pPr>
        <w:pStyle w:val="Normal"/>
        <w:bidi w:val="0"/>
        <w:spacing w:lineRule="auto" w:line="288" w:before="0" w:after="80"/>
        <w:jc w:val="both"/>
        <w:rPr/>
      </w:pPr>
      <w:r>
        <w:rPr/>
        <w:t>(g) "verified service" means a service appearing on the Verified Services Catalog of Annex B, delivered to a vessel or to the common navigation system, and documented as delivered under Article 23;</w:t>
      </w:r>
    </w:p>
    <w:p>
      <w:pPr>
        <w:pStyle w:val="Normal"/>
        <w:bidi w:val="0"/>
        <w:spacing w:lineRule="auto" w:line="288" w:before="0" w:after="80"/>
        <w:jc w:val="both"/>
        <w:rPr/>
      </w:pPr>
      <w:r>
        <w:rPr/>
        <w:t>(h) "the Council" means the Hormuz Regional Stewardship Council established by Article 42;</w:t>
      </w:r>
    </w:p>
    <w:p>
      <w:pPr>
        <w:pStyle w:val="Normal"/>
        <w:bidi w:val="0"/>
        <w:spacing w:lineRule="auto" w:line="288" w:before="0" w:after="80"/>
        <w:jc w:val="both"/>
        <w:rPr/>
      </w:pPr>
      <w:r>
        <w:rPr/>
        <w:t>(i) "the Secretariat" means the body established by Article 44;</w:t>
      </w:r>
    </w:p>
    <w:p>
      <w:pPr>
        <w:pStyle w:val="Normal"/>
        <w:bidi w:val="0"/>
        <w:spacing w:lineRule="auto" w:line="288" w:before="0" w:after="80"/>
        <w:jc w:val="both"/>
        <w:rPr/>
      </w:pPr>
      <w:r>
        <w:rPr/>
        <w:t>(j) "the Coordination Center" means the Maritime Coordination Center established by Article 45;</w:t>
      </w:r>
    </w:p>
    <w:p>
      <w:pPr>
        <w:pStyle w:val="Normal"/>
        <w:bidi w:val="0"/>
        <w:spacing w:lineRule="auto" w:line="288" w:before="0" w:after="80"/>
        <w:jc w:val="both"/>
        <w:rPr/>
      </w:pPr>
      <w:r>
        <w:rPr/>
        <w:t>(k) "the Directorate" means the Verification and Surveillance Directorate established by Article 46;</w:t>
      </w:r>
    </w:p>
    <w:p>
      <w:pPr>
        <w:pStyle w:val="Normal"/>
        <w:bidi w:val="0"/>
        <w:spacing w:lineRule="auto" w:line="288" w:before="0" w:after="80"/>
        <w:jc w:val="both"/>
        <w:rPr/>
      </w:pPr>
      <w:r>
        <w:rPr/>
        <w:t>(l) "the Fund" means the Hormuz Stewardship Fund established by Article 24;</w:t>
      </w:r>
    </w:p>
    <w:p>
      <w:pPr>
        <w:pStyle w:val="Normal"/>
        <w:bidi w:val="0"/>
        <w:spacing w:lineRule="auto" w:line="288" w:before="0" w:after="80"/>
        <w:jc w:val="both"/>
        <w:rPr/>
      </w:pPr>
      <w:r>
        <w:rPr/>
        <w:t>(m) "the Bulletin" means the Open Water Bulletin described in Article 18;</w:t>
      </w:r>
    </w:p>
    <w:p>
      <w:pPr>
        <w:pStyle w:val="Normal"/>
        <w:bidi w:val="0"/>
        <w:spacing w:lineRule="auto" w:line="288" w:before="0" w:after="80"/>
        <w:jc w:val="both"/>
        <w:rPr/>
      </w:pPr>
      <w:r>
        <w:rPr/>
        <w:t>(n) "the Registry" means the Neutral Coordinate Registry described in Article 9;</w:t>
      </w:r>
    </w:p>
    <w:p>
      <w:pPr>
        <w:pStyle w:val="Normal"/>
        <w:bidi w:val="0"/>
        <w:spacing w:lineRule="auto" w:line="288" w:before="0" w:after="80"/>
        <w:jc w:val="both"/>
        <w:rPr/>
      </w:pPr>
      <w:r>
        <w:rPr/>
        <w:t>(o) "founding parties" means the Islamic Republic of Iran and the Sultanate of Oman as the coastal states of the Strait;</w:t>
      </w:r>
    </w:p>
    <w:p>
      <w:pPr>
        <w:pStyle w:val="Normal"/>
        <w:bidi w:val="0"/>
        <w:spacing w:lineRule="auto" w:line="288" w:before="0" w:after="80"/>
        <w:jc w:val="both"/>
        <w:rPr/>
      </w:pPr>
      <w:r>
        <w:rPr/>
        <w:t>(p) "regional members" means the founding parties together with the other Parties listed in the Preamble;</w:t>
      </w:r>
    </w:p>
    <w:p>
      <w:pPr>
        <w:pStyle w:val="Normal"/>
        <w:bidi w:val="0"/>
        <w:spacing w:lineRule="auto" w:line="288" w:before="0" w:after="80"/>
        <w:jc w:val="both"/>
        <w:rPr/>
      </w:pPr>
      <w:r>
        <w:rPr/>
        <w:t>(q) "flow state" means an operational condition of the corridor system as classified in Article 18;</w:t>
      </w:r>
    </w:p>
    <w:p>
      <w:pPr>
        <w:pStyle w:val="Normal"/>
        <w:bidi w:val="0"/>
        <w:spacing w:lineRule="auto" w:line="288" w:before="0" w:after="80"/>
        <w:jc w:val="both"/>
        <w:rPr/>
      </w:pPr>
      <w:r>
        <w:rPr/>
        <w:t>(r) "day" means a calendar day; deadlines expressed in days run from the event that starts them, and a deadline falling on a day of declared crisis suspension extends by the duration of the suspension.</w:t>
      </w:r>
    </w:p>
    <w:p>
      <w:pPr>
        <w:pStyle w:val="Heading3"/>
        <w:keepNext w:val="true"/>
        <w:keepLines/>
        <w:bidi w:val="0"/>
        <w:spacing w:before="220" w:after="100"/>
        <w:rPr/>
      </w:pPr>
      <w:bookmarkStart w:id="12" w:name="__RefHeading___Toc3471_4199434714"/>
      <w:bookmarkEnd w:id="12"/>
      <w:r>
        <w:rPr/>
        <w:t>3.2 Interpretation</w:t>
      </w:r>
    </w:p>
    <w:p>
      <w:pPr>
        <w:pStyle w:val="Normal"/>
        <w:bidi w:val="0"/>
        <w:spacing w:lineRule="auto" w:line="288" w:before="0" w:after="80"/>
        <w:jc w:val="both"/>
        <w:rPr/>
      </w:pPr>
      <w:r>
        <w:rPr/>
        <w:t>3.2.1 This Charter interprets in good faith according to the ordinary meaning of its terms in context and in the light of its object and purpose as stated in the Preamble and Article 1.</w:t>
      </w:r>
    </w:p>
    <w:p>
      <w:pPr>
        <w:pStyle w:val="Normal"/>
        <w:bidi w:val="0"/>
        <w:spacing w:lineRule="auto" w:line="288" w:before="0" w:after="80"/>
        <w:jc w:val="both"/>
        <w:rPr/>
      </w:pPr>
      <w:r>
        <w:rPr/>
        <w:t>3.2.2 The interpretation notes of Annex F form part of this Charter. Where the texts in different languages diverge, Article 68 provides the reconciliation mechanism.</w:t>
      </w:r>
    </w:p>
    <w:p>
      <w:pPr>
        <w:pStyle w:val="Normal"/>
        <w:bidi w:val="0"/>
        <w:spacing w:lineRule="auto" w:line="288" w:before="0" w:after="80"/>
        <w:jc w:val="both"/>
        <w:rPr/>
      </w:pPr>
      <w:r>
        <w:rPr/>
        <w:t>3.2.3 A generic term follows its illustrative list without limitation only where the list itself uses open language; closed lists, including the Verified Services Catalog and the Red Lines Register, admit no extension by analogy.</w:t>
      </w:r>
    </w:p>
    <w:p>
      <w:pPr>
        <w:pStyle w:val="Normal"/>
        <w:bidi w:val="0"/>
        <w:spacing w:lineRule="auto" w:line="288" w:before="0" w:after="80"/>
        <w:jc w:val="both"/>
        <w:rPr/>
      </w:pPr>
      <w:r>
        <w:rPr/>
        <w:t>3.2.4 No provision of this Charter interprets as a renunciation, limitation, or transfer of sovereignty, sovereign rights, or jurisdiction, except to the extent that a provision expressly creates a cooperative mechanism, and then only within the limits of that mechanism.</w:t>
      </w:r>
    </w:p>
    <w:p>
      <w:pPr>
        <w:pStyle w:val="Heading2"/>
        <w:keepNext w:val="true"/>
        <w:keepLines/>
        <w:bidi w:val="0"/>
        <w:spacing w:before="280" w:after="120"/>
        <w:rPr/>
      </w:pPr>
      <w:bookmarkStart w:id="13" w:name="__RefHeading___Toc3473_4199434714"/>
      <w:bookmarkEnd w:id="13"/>
      <w:r>
        <w:rPr/>
        <w:t>Article 4: Legal Foundations and the Non-Prejudice Architecture</w:t>
      </w:r>
    </w:p>
    <w:p>
      <w:pPr>
        <w:pStyle w:val="Heading3"/>
        <w:keepNext w:val="true"/>
        <w:keepLines/>
        <w:bidi w:val="0"/>
        <w:spacing w:before="220" w:after="100"/>
        <w:rPr/>
      </w:pPr>
      <w:bookmarkStart w:id="14" w:name="__RefHeading___Toc3475_4199434714"/>
      <w:bookmarkEnd w:id="14"/>
      <w:r>
        <w:rPr/>
        <w:t>4.1 Legal Foundations</w:t>
      </w:r>
    </w:p>
    <w:p>
      <w:pPr>
        <w:pStyle w:val="Normal"/>
        <w:bidi w:val="0"/>
        <w:spacing w:lineRule="auto" w:line="288" w:before="0" w:after="80"/>
        <w:jc w:val="both"/>
        <w:rPr/>
      </w:pPr>
      <w:r>
        <w:rPr/>
        <w:t>4.1.1 The Charter rests on four legal foundations operating together:</w:t>
      </w:r>
    </w:p>
    <w:p>
      <w:pPr>
        <w:pStyle w:val="Normal"/>
        <w:bidi w:val="0"/>
        <w:spacing w:lineRule="auto" w:line="288" w:before="0" w:after="80"/>
        <w:jc w:val="both"/>
        <w:rPr/>
      </w:pPr>
      <w:r>
        <w:rPr/>
        <w:t>(a) The regime of transit passage through straits used for international navigation, as codified in Part III of the United Nations Convention on the Law of the Sea and reflected in customary international law binding all states;</w:t>
      </w:r>
    </w:p>
    <w:p>
      <w:pPr>
        <w:pStyle w:val="Normal"/>
        <w:bidi w:val="0"/>
        <w:spacing w:lineRule="auto" w:line="288" w:before="0" w:after="80"/>
        <w:jc w:val="both"/>
        <w:rPr/>
      </w:pPr>
      <w:r>
        <w:rPr/>
        <w:t>(b) The rights and duties of coastal states in their territorial seas concerning navigational safety, traffic separation, marine environmental protection, and resource protection, exercised in conformity with the transit passage regime;</w:t>
      </w:r>
    </w:p>
    <w:p>
      <w:pPr>
        <w:pStyle w:val="Normal"/>
        <w:bidi w:val="0"/>
        <w:spacing w:lineRule="auto" w:line="288" w:before="0" w:after="80"/>
        <w:jc w:val="both"/>
        <w:rPr/>
      </w:pPr>
      <w:r>
        <w:rPr/>
        <w:t>(c) The treaty-making competence of the Parties and the principle that states bind themselves through consent;</w:t>
      </w:r>
    </w:p>
    <w:p>
      <w:pPr>
        <w:pStyle w:val="Normal"/>
        <w:bidi w:val="0"/>
        <w:spacing w:lineRule="auto" w:line="288" w:before="0" w:after="80"/>
        <w:jc w:val="both"/>
        <w:rPr/>
      </w:pPr>
      <w:r>
        <w:rPr/>
        <w:t>(d) The technical authority of the International Maritime Organization in matters of ship routing, safety of navigation, and maritime environmental standards.</w:t>
      </w:r>
    </w:p>
    <w:p>
      <w:pPr>
        <w:pStyle w:val="Normal"/>
        <w:bidi w:val="0"/>
        <w:spacing w:lineRule="auto" w:line="288" w:before="0" w:after="80"/>
        <w:jc w:val="both"/>
        <w:rPr/>
      </w:pPr>
      <w:r>
        <w:rPr/>
        <w:t>4.1.2 The Charter constitutes an exercise of coastal-state competence in cooperation, and an acceptance by every Party of the disciplines that the transit passage regime imposes on that competence. The two elements stand together; neither erases the other.</w:t>
      </w:r>
    </w:p>
    <w:p>
      <w:pPr>
        <w:pStyle w:val="Heading3"/>
        <w:keepNext w:val="true"/>
        <w:keepLines/>
        <w:bidi w:val="0"/>
        <w:spacing w:before="220" w:after="100"/>
        <w:rPr/>
      </w:pPr>
      <w:bookmarkStart w:id="15" w:name="__RefHeading___Toc3477_4199434714"/>
      <w:bookmarkEnd w:id="15"/>
      <w:r>
        <w:rPr/>
        <w:t>4.2 The Non-Prejudice Architecture</w:t>
      </w:r>
    </w:p>
    <w:p>
      <w:pPr>
        <w:pStyle w:val="Normal"/>
        <w:bidi w:val="0"/>
        <w:spacing w:lineRule="auto" w:line="288" w:before="0" w:after="80"/>
        <w:jc w:val="both"/>
        <w:rPr/>
      </w:pPr>
      <w:r>
        <w:rPr/>
        <w:t>4.2.1 Nothing in this Charter, and nothing done under it, prejudices:</w:t>
      </w:r>
    </w:p>
    <w:p>
      <w:pPr>
        <w:pStyle w:val="Normal"/>
        <w:bidi w:val="0"/>
        <w:spacing w:lineRule="auto" w:line="288" w:before="0" w:after="80"/>
        <w:jc w:val="both"/>
        <w:rPr/>
      </w:pPr>
      <w:r>
        <w:rPr/>
        <w:t>(a) The position of any Party on the delimitation of maritime boundaries, baselines, or islands;</w:t>
      </w:r>
    </w:p>
    <w:p>
      <w:pPr>
        <w:pStyle w:val="Normal"/>
        <w:bidi w:val="0"/>
        <w:spacing w:lineRule="auto" w:line="288" w:before="0" w:after="80"/>
        <w:jc w:val="both"/>
        <w:rPr/>
      </w:pPr>
      <w:r>
        <w:rPr/>
        <w:t>(b) The position of any Party on the applicability or interpretation of any rule of international law beyond what this Charter expressly provides;</w:t>
      </w:r>
    </w:p>
    <w:p>
      <w:pPr>
        <w:pStyle w:val="Normal"/>
        <w:bidi w:val="0"/>
        <w:spacing w:lineRule="auto" w:line="288" w:before="0" w:after="80"/>
        <w:jc w:val="both"/>
        <w:rPr/>
      </w:pPr>
      <w:r>
        <w:rPr/>
        <w:t>(c) The position of any Party in any other negotiation, including the bilateral corridor negotiations between the coastal states and the strategic negotiations between the United States and Iran;</w:t>
      </w:r>
    </w:p>
    <w:p>
      <w:pPr>
        <w:pStyle w:val="Normal"/>
        <w:bidi w:val="0"/>
        <w:spacing w:lineRule="auto" w:line="288" w:before="0" w:after="80"/>
        <w:jc w:val="both"/>
        <w:rPr/>
      </w:pPr>
      <w:r>
        <w:rPr/>
        <w:t>(d) The legal character of any act of recognition, registration, notification, or payment made under this Charter, none of which constitutes recognition of any claim by any Party.</w:t>
      </w:r>
    </w:p>
    <w:p>
      <w:pPr>
        <w:pStyle w:val="Normal"/>
        <w:bidi w:val="0"/>
        <w:spacing w:lineRule="auto" w:line="288" w:before="0" w:after="80"/>
        <w:jc w:val="both"/>
        <w:rPr/>
      </w:pPr>
      <w:r>
        <w:rPr/>
        <w:t>4.2.2 Every instrument issued under this Charter carries the following standing reservation, which reads into every act by operation of this Article: "This act occurs under the Hormuz Regional Stewardship Charter and is without prejudice to the legal positions of all parties."</w:t>
      </w:r>
    </w:p>
    <w:p>
      <w:pPr>
        <w:pStyle w:val="Heading3"/>
        <w:keepNext w:val="true"/>
        <w:keepLines/>
        <w:bidi w:val="0"/>
        <w:spacing w:before="220" w:after="100"/>
        <w:rPr/>
      </w:pPr>
      <w:bookmarkStart w:id="16" w:name="__RefHeading___Toc3479_4199434714"/>
      <w:bookmarkEnd w:id="16"/>
      <w:r>
        <w:rPr/>
        <w:t>4.3 Conformity Duty</w:t>
      </w:r>
    </w:p>
    <w:p>
      <w:pPr>
        <w:pStyle w:val="Normal"/>
        <w:bidi w:val="0"/>
        <w:spacing w:lineRule="auto" w:line="288" w:before="0" w:after="80"/>
        <w:jc w:val="both"/>
        <w:rPr/>
      </w:pPr>
      <w:r>
        <w:rPr/>
        <w:t>4.3.1 The Council, the Secretariat, the Coordination Center, the Directorate, and every organ of this Charter operate within the international legal order. An organ that confronts a conflict between an operational instruction and a rule of international law applicable to the matter resolves the conflict in favor of international law and refers the question to the Council under Article 47.</w:t>
      </w:r>
    </w:p>
    <w:p>
      <w:pPr>
        <w:pStyle w:val="Heading2"/>
        <w:keepNext w:val="true"/>
        <w:keepLines/>
        <w:bidi w:val="0"/>
        <w:spacing w:before="280" w:after="120"/>
        <w:rPr/>
      </w:pPr>
      <w:bookmarkStart w:id="17" w:name="__RefHeading___Toc3481_4199434714"/>
      <w:bookmarkEnd w:id="17"/>
      <w:r>
        <w:rPr/>
        <w:t>Article 5: The Participation Tiers</w:t>
      </w:r>
    </w:p>
    <w:p>
      <w:pPr>
        <w:pStyle w:val="Heading3"/>
        <w:keepNext w:val="true"/>
        <w:keepLines/>
        <w:bidi w:val="0"/>
        <w:spacing w:before="220" w:after="100"/>
        <w:rPr/>
      </w:pPr>
      <w:bookmarkStart w:id="18" w:name="__RefHeading___Toc3483_4199434714"/>
      <w:bookmarkEnd w:id="18"/>
      <w:r>
        <w:rPr/>
        <w:t>5.1 Structure</w:t>
      </w:r>
    </w:p>
    <w:p>
      <w:pPr>
        <w:pStyle w:val="Normal"/>
        <w:bidi w:val="0"/>
        <w:spacing w:lineRule="auto" w:line="288" w:before="0" w:after="80"/>
        <w:jc w:val="both"/>
        <w:rPr/>
      </w:pPr>
      <w:r>
        <w:rPr/>
        <w:t>5.1.1 Participation in the Charter operates in four tiers, each with defined rights and obligations, so that influence tracks responsibility and no participant holds power without function.</w:t>
      </w:r>
    </w:p>
    <w:p>
      <w:pPr>
        <w:pStyle w:val="Heading3"/>
        <w:keepNext w:val="true"/>
        <w:keepLines/>
        <w:bidi w:val="0"/>
        <w:spacing w:before="220" w:after="100"/>
        <w:rPr/>
      </w:pPr>
      <w:bookmarkStart w:id="19" w:name="__RefHeading___Toc3485_4199434714"/>
      <w:bookmarkEnd w:id="19"/>
      <w:r>
        <w:rPr/>
        <w:t>5.2 Tier One: The Founding Parties</w:t>
      </w:r>
    </w:p>
    <w:p>
      <w:pPr>
        <w:pStyle w:val="Normal"/>
        <w:bidi w:val="0"/>
        <w:spacing w:lineRule="auto" w:line="288" w:before="0" w:after="80"/>
        <w:jc w:val="both"/>
        <w:rPr/>
      </w:pPr>
      <w:r>
        <w:rPr/>
        <w:t>5.2.1 The Islamic Republic of Iran and the Sultanate of Oman, as the coastal states of the Strait, hold the foundational tier. The founding parties hold the Twin Key described in Article 43, the corridor administration functions described in Articles 10 and 11, and the duty to host and resource the institutions of Part VII on a shared and equitable basis.</w:t>
      </w:r>
    </w:p>
    <w:p>
      <w:pPr>
        <w:pStyle w:val="Normal"/>
        <w:bidi w:val="0"/>
        <w:spacing w:lineRule="auto" w:line="288" w:before="0" w:after="80"/>
        <w:jc w:val="both"/>
        <w:rPr/>
      </w:pPr>
      <w:r>
        <w:rPr/>
        <w:t>5.2.2 The founding parties exercise their tier-one functions jointly wherever this Charter so provides, and neither founding party acts alone on any matter that Article 43 designates as a Twin Key matter.</w:t>
      </w:r>
    </w:p>
    <w:p>
      <w:pPr>
        <w:pStyle w:val="Heading3"/>
        <w:keepNext w:val="true"/>
        <w:keepLines/>
        <w:bidi w:val="0"/>
        <w:spacing w:before="220" w:after="100"/>
        <w:rPr/>
      </w:pPr>
      <w:bookmarkStart w:id="20" w:name="__RefHeading___Toc3487_4199434714"/>
      <w:bookmarkEnd w:id="20"/>
      <w:r>
        <w:rPr/>
        <w:t>5.3 Tier Two: Regional Members</w:t>
      </w:r>
    </w:p>
    <w:p>
      <w:pPr>
        <w:pStyle w:val="Normal"/>
        <w:bidi w:val="0"/>
        <w:spacing w:lineRule="auto" w:line="288" w:before="0" w:after="80"/>
        <w:jc w:val="both"/>
        <w:rPr/>
      </w:pPr>
      <w:r>
        <w:rPr/>
        <w:t>5.3.1 The Kingdom of Saudi Arabia, the United Arab Emirates, the State of Qatar, the State of Kuwait, the Kingdom of Bahrain, and the Republic of Iraq participate as regional members, seated on the Council with the founding parties and holding the committee, verification, and fund-governance roles that Parts IV, VII, and VIII assign.</w:t>
      </w:r>
    </w:p>
    <w:p>
      <w:pPr>
        <w:pStyle w:val="Normal"/>
        <w:bidi w:val="0"/>
        <w:spacing w:lineRule="auto" w:line="288" w:before="0" w:after="80"/>
        <w:jc w:val="both"/>
        <w:rPr/>
      </w:pPr>
      <w:r>
        <w:rPr/>
        <w:t>5.3.2 Regional membership carries the duty to contribute to the common functions of the Charter in proportion to the capacity formula of Annex E, whether through personnel, patrol assets, funding, data feeds, or hosting, and the right to the full fused operational picture described in Article 53.</w:t>
      </w:r>
    </w:p>
    <w:p>
      <w:pPr>
        <w:pStyle w:val="Heading3"/>
        <w:keepNext w:val="true"/>
        <w:keepLines/>
        <w:bidi w:val="0"/>
        <w:spacing w:before="220" w:after="100"/>
        <w:rPr/>
      </w:pPr>
      <w:bookmarkStart w:id="21" w:name="__RefHeading___Toc3489_4199434714"/>
      <w:bookmarkEnd w:id="21"/>
      <w:r>
        <w:rPr/>
        <w:t>5.4 Tier Three: Observer and Technical Participants</w:t>
      </w:r>
    </w:p>
    <w:p>
      <w:pPr>
        <w:pStyle w:val="Normal"/>
        <w:bidi w:val="0"/>
        <w:spacing w:lineRule="auto" w:line="288" w:before="0" w:after="80"/>
        <w:jc w:val="both"/>
        <w:rPr/>
      </w:pPr>
      <w:r>
        <w:rPr/>
        <w:t>5.4.1 The International Maritime Organization holds standing observer status and exercises the registration, certification, and technical-oversight functions that Articles 6 and 59 assign. The International Hydrographic Organization, the United Nations Mine Action Service, the United Nations Office for Project Services, and the International Labour Organization hold standing technical participant status within their mandates.</w:t>
      </w:r>
    </w:p>
    <w:p>
      <w:pPr>
        <w:pStyle w:val="Normal"/>
        <w:bidi w:val="0"/>
        <w:spacing w:lineRule="auto" w:line="288" w:before="0" w:after="80"/>
        <w:jc w:val="both"/>
        <w:rPr/>
      </w:pPr>
      <w:r>
        <w:rPr/>
        <w:t>5.4.2 The United Nations Secretary-General receives standing invitation to participate as observer and coordinator for humanitarian operations, and the Secretary-General's task force machinery coordinates humanitarian corridor operations with the Coordination Center under Article 37.</w:t>
      </w:r>
    </w:p>
    <w:p>
      <w:pPr>
        <w:pStyle w:val="Normal"/>
        <w:bidi w:val="0"/>
        <w:spacing w:lineRule="auto" w:line="288" w:before="0" w:after="80"/>
        <w:jc w:val="both"/>
        <w:rPr/>
      </w:pPr>
      <w:r>
        <w:rPr/>
        <w:t>5.4.3 User states, including major importing and flag states, hold user-state observer status under the accession protocol of Annex E. User-state observers receive the Bulletin, the public incident record, and the right to address the Council through the agenda procedure of Article 47, without vote.</w:t>
      </w:r>
    </w:p>
    <w:p>
      <w:pPr>
        <w:pStyle w:val="Heading3"/>
        <w:keepNext w:val="true"/>
        <w:keepLines/>
        <w:bidi w:val="0"/>
        <w:spacing w:before="220" w:after="100"/>
        <w:rPr/>
      </w:pPr>
      <w:bookmarkStart w:id="22" w:name="__RefHeading___Toc3491_4199434714"/>
      <w:bookmarkEnd w:id="22"/>
      <w:r>
        <w:rPr/>
        <w:t>5.5 Tier Four: Stakeholder Panel</w:t>
      </w:r>
    </w:p>
    <w:p>
      <w:pPr>
        <w:pStyle w:val="Normal"/>
        <w:bidi w:val="0"/>
        <w:spacing w:lineRule="auto" w:line="288" w:before="0" w:after="80"/>
        <w:jc w:val="both"/>
        <w:rPr/>
      </w:pPr>
      <w:r>
        <w:rPr/>
        <w:t>5.4.4 The Charter recognizes a Stakeholder Panel composed of representatives of shipowners, cargo owners, protection and indemnity clubs, war-risk insurers, seafarer unions, and classification societies, selected under the rules of Annex E.</w:t>
      </w:r>
    </w:p>
    <w:p>
      <w:pPr>
        <w:pStyle w:val="Normal"/>
        <w:bidi w:val="0"/>
        <w:spacing w:lineRule="auto" w:line="288" w:before="0" w:after="80"/>
        <w:jc w:val="both"/>
        <w:rPr/>
      </w:pPr>
      <w:r>
        <w:rPr/>
        <w:t>5.5.1 The Panel holds the right to receive operational data under Article 53, to issue the Confidence Trigger described in Article 26, to nominate technical experts to working groups, and to be consulted before the Council adopts changes to the corridor geometry, the Verified Services Catalog, or the rate structure.</w:t>
      </w:r>
    </w:p>
    <w:p>
      <w:pPr>
        <w:pStyle w:val="Heading3"/>
        <w:keepNext w:val="true"/>
        <w:keepLines/>
        <w:bidi w:val="0"/>
        <w:spacing w:before="220" w:after="100"/>
        <w:rPr/>
      </w:pPr>
      <w:bookmarkStart w:id="23" w:name="__RefHeading___Toc3493_4199434714"/>
      <w:bookmarkEnd w:id="23"/>
      <w:r>
        <w:rPr/>
        <w:t>5.6 Equality of the Water</w:t>
      </w:r>
    </w:p>
    <w:p>
      <w:pPr>
        <w:pStyle w:val="Normal"/>
        <w:bidi w:val="0"/>
        <w:spacing w:lineRule="auto" w:line="288" w:before="0" w:after="80"/>
        <w:jc w:val="both"/>
        <w:rPr/>
      </w:pPr>
      <w:r>
        <w:rPr/>
        <w:t>5.6.1 Tier distinctions organize governance; they never organize the water. Every vessel in transit passage, regardless of flag, ownership, cargo, or destination, enjoys identical passage rights under identical rules. The Charter admits no tier system on the sea itself.</w:t>
      </w:r>
    </w:p>
    <w:p>
      <w:pPr>
        <w:pStyle w:val="Heading2"/>
        <w:keepNext w:val="true"/>
        <w:keepLines/>
        <w:bidi w:val="0"/>
        <w:spacing w:before="280" w:after="120"/>
        <w:rPr/>
      </w:pPr>
      <w:bookmarkStart w:id="24" w:name="__RefHeading___Toc3495_4199434714"/>
      <w:bookmarkEnd w:id="24"/>
      <w:r>
        <w:rPr/>
        <w:t>Article 6: Core Operating Principles</w:t>
      </w:r>
    </w:p>
    <w:p>
      <w:pPr>
        <w:pStyle w:val="Heading3"/>
        <w:keepNext w:val="true"/>
        <w:keepLines/>
        <w:bidi w:val="0"/>
        <w:spacing w:before="220" w:after="100"/>
        <w:rPr/>
      </w:pPr>
      <w:bookmarkStart w:id="25" w:name="__RefHeading___Toc3497_4199434714"/>
      <w:bookmarkEnd w:id="25"/>
      <w:r>
        <w:rPr/>
        <w:t>6.1 The Principle of Shared Stewardship</w:t>
      </w:r>
    </w:p>
    <w:p>
      <w:pPr>
        <w:pStyle w:val="Normal"/>
        <w:bidi w:val="0"/>
        <w:spacing w:lineRule="auto" w:line="288" w:before="0" w:after="80"/>
        <w:jc w:val="both"/>
        <w:rPr/>
      </w:pPr>
      <w:r>
        <w:rPr/>
        <w:t>6.1.1 The Strait operates under shared stewardship. The founding parties administer, the regional members participate, the technical bodies certify, and the institutions account. No Party controls the Strait; the Charter governs it through its mechanisms.</w:t>
      </w:r>
    </w:p>
    <w:p>
      <w:pPr>
        <w:pStyle w:val="Normal"/>
        <w:bidi w:val="0"/>
        <w:spacing w:lineRule="auto" w:line="288" w:before="0" w:after="80"/>
        <w:jc w:val="both"/>
        <w:rPr/>
      </w:pPr>
      <w:r>
        <w:rPr/>
        <w:t>6.1.2 Shared stewardship replaces both unilateral control and external administration. It locates authority in regional hands and disciplines that authority through transparency, verification, and the Twin Key.</w:t>
      </w:r>
    </w:p>
    <w:p>
      <w:pPr>
        <w:pStyle w:val="Heading3"/>
        <w:keepNext w:val="true"/>
        <w:keepLines/>
        <w:bidi w:val="0"/>
        <w:spacing w:before="220" w:after="100"/>
        <w:rPr/>
      </w:pPr>
      <w:bookmarkStart w:id="26" w:name="__RefHeading___Toc3499_4199434714"/>
      <w:bookmarkEnd w:id="26"/>
      <w:r>
        <w:rPr/>
        <w:t>6.2 The Principle of Free Transit</w:t>
      </w:r>
    </w:p>
    <w:p>
      <w:pPr>
        <w:pStyle w:val="Normal"/>
        <w:bidi w:val="0"/>
        <w:spacing w:lineRule="auto" w:line="288" w:before="0" w:after="80"/>
        <w:jc w:val="both"/>
        <w:rPr/>
      </w:pPr>
      <w:r>
        <w:rPr/>
        <w:t>6.2.1 Transit passage through the Strait remains free, continuous, and expeditious for all vessels of all states, in conformity with international law. The Charter's administrative machinery exists to make passage safe and predictable, never to ration it, condition it, or monetize it.</w:t>
      </w:r>
    </w:p>
    <w:p>
      <w:pPr>
        <w:pStyle w:val="Heading3"/>
        <w:keepNext w:val="true"/>
        <w:keepLines/>
        <w:bidi w:val="0"/>
        <w:spacing w:before="220" w:after="100"/>
        <w:rPr/>
      </w:pPr>
      <w:bookmarkStart w:id="27" w:name="__RefHeading___Toc3501_4199434714"/>
      <w:bookmarkEnd w:id="27"/>
      <w:r>
        <w:rPr/>
        <w:t>6.3 The Principle of Notification, Not Permission</w:t>
      </w:r>
    </w:p>
    <w:p>
      <w:pPr>
        <w:pStyle w:val="Normal"/>
        <w:bidi w:val="0"/>
        <w:spacing w:lineRule="auto" w:line="288" w:before="0" w:after="80"/>
        <w:jc w:val="both"/>
        <w:rPr/>
      </w:pPr>
      <w:r>
        <w:rPr/>
        <w:t>6.3.1 Vessels notify; the system coordinates. No vessel requires permission, license, approval, or authorization from any Party or organ to transit the Strait. Notification functions as a safety and coordination instrument and operates under the file-and-acknowledge rule of Article 15.</w:t>
      </w:r>
    </w:p>
    <w:p>
      <w:pPr>
        <w:pStyle w:val="Heading3"/>
        <w:keepNext w:val="true"/>
        <w:keepLines/>
        <w:bidi w:val="0"/>
        <w:spacing w:before="220" w:after="100"/>
        <w:rPr/>
      </w:pPr>
      <w:bookmarkStart w:id="28" w:name="__RefHeading___Toc3503_4199434714"/>
      <w:bookmarkEnd w:id="28"/>
      <w:r>
        <w:rPr/>
        <w:t>6.4 The Principle of the Closed List</w:t>
      </w:r>
    </w:p>
    <w:p>
      <w:pPr>
        <w:pStyle w:val="Normal"/>
        <w:bidi w:val="0"/>
        <w:spacing w:lineRule="auto" w:line="288" w:before="0" w:after="80"/>
        <w:jc w:val="both"/>
        <w:rPr/>
      </w:pPr>
      <w:r>
        <w:rPr/>
        <w:t>6.4.1 The powers of the Charter's organs, the charges permitted under Part IV, and the prohibitions of the Red Lines Register operate as closed lists. An organ acts only on enumerated competence; a charge issues only from the Verified Services Catalog; a red line stands only where the Register records it. Extension occurs only by amendment under Article 66.</w:t>
      </w:r>
    </w:p>
    <w:p>
      <w:pPr>
        <w:pStyle w:val="Heading3"/>
        <w:keepNext w:val="true"/>
        <w:keepLines/>
        <w:bidi w:val="0"/>
        <w:spacing w:before="220" w:after="100"/>
        <w:rPr/>
      </w:pPr>
      <w:bookmarkStart w:id="29" w:name="__RefHeading___Toc3505_4199434714"/>
      <w:bookmarkEnd w:id="29"/>
      <w:r>
        <w:rPr/>
        <w:t>6.5 The Principle of Proportionate Breathing</w:t>
      </w:r>
    </w:p>
    <w:p>
      <w:pPr>
        <w:pStyle w:val="Normal"/>
        <w:bidi w:val="0"/>
        <w:spacing w:lineRule="auto" w:line="288" w:before="0" w:after="80"/>
        <w:jc w:val="both"/>
        <w:rPr/>
      </w:pPr>
      <w:r>
        <w:rPr/>
        <w:t>6.5.1 The framework breathes under stress. Minor infractions produce minor proportionate consequences; discretionary benefits pause before core constraints; humanitarian protections remain absolute under every condition; sustained compliance restores every suspended benefit through the earn-back pathways of Article 51. No violation produces permanent exclusion, and no violation collapses the framework.</w:t>
      </w:r>
    </w:p>
    <w:p>
      <w:pPr>
        <w:pStyle w:val="Heading3"/>
        <w:keepNext w:val="true"/>
        <w:keepLines/>
        <w:bidi w:val="0"/>
        <w:spacing w:before="220" w:after="100"/>
        <w:rPr/>
      </w:pPr>
      <w:bookmarkStart w:id="30" w:name="__RefHeading___Toc3507_4199434714"/>
      <w:bookmarkEnd w:id="30"/>
      <w:r>
        <w:rPr/>
        <w:t>6.6 The Principle of Radical Transparency with Bounded Confidentiality</w:t>
      </w:r>
    </w:p>
    <w:p>
      <w:pPr>
        <w:pStyle w:val="Normal"/>
        <w:bidi w:val="0"/>
        <w:spacing w:lineRule="auto" w:line="288" w:before="0" w:after="80"/>
        <w:jc w:val="both"/>
        <w:rPr/>
      </w:pPr>
      <w:r>
        <w:rPr/>
        <w:t>6.6.1 Operational data, financial accounts, incident records, and verification findings publish by default through the instruments of Part VIII. Confidentiality attaches only to the categories that Article 21 and Article 68 enumerate, and confidentiality never covers safety-of-navigation information, fund accounts, or compliance determinations.</w:t>
      </w:r>
    </w:p>
    <w:p>
      <w:pPr>
        <w:pStyle w:val="Heading3"/>
        <w:keepNext w:val="true"/>
        <w:keepLines/>
        <w:bidi w:val="0"/>
        <w:spacing w:before="220" w:after="100"/>
        <w:rPr/>
      </w:pPr>
      <w:bookmarkStart w:id="31" w:name="__RefHeading___Toc3509_4199434714"/>
      <w:bookmarkEnd w:id="31"/>
      <w:r>
        <w:rPr/>
        <w:t>6.7 The Principle of Boring Water</w:t>
      </w:r>
    </w:p>
    <w:p>
      <w:pPr>
        <w:pStyle w:val="Normal"/>
        <w:bidi w:val="0"/>
        <w:spacing w:lineRule="auto" w:line="288" w:before="0" w:after="80"/>
        <w:jc w:val="both"/>
        <w:rPr/>
      </w:pPr>
      <w:r>
        <w:rPr/>
        <w:t>6.7.1 The Charter adopts the administrative measure of success: the Strait succeeds when transit through it becomes routine, insurable, and unremarkable. Every institution measures itself against this outcome, and the Stability Audit of Article 52 scores the framework against it annually.</w:t>
      </w:r>
    </w:p>
    <w:p>
      <w:pPr>
        <w:pStyle w:val="Heading2"/>
        <w:keepNext w:val="true"/>
        <w:keepLines/>
        <w:bidi w:val="0"/>
        <w:spacing w:before="280" w:after="120"/>
        <w:rPr/>
      </w:pPr>
      <w:bookmarkStart w:id="32" w:name="__RefHeading___Toc3511_4199434714"/>
      <w:bookmarkEnd w:id="32"/>
      <w:r>
        <w:rPr/>
        <w:t>Article 7: The Standing Continuity Guarantee</w:t>
      </w:r>
    </w:p>
    <w:p>
      <w:pPr>
        <w:pStyle w:val="Heading3"/>
        <w:keepNext w:val="true"/>
        <w:keepLines/>
        <w:bidi w:val="0"/>
        <w:spacing w:before="220" w:after="100"/>
        <w:rPr/>
      </w:pPr>
      <w:bookmarkStart w:id="33" w:name="__RefHeading___Toc3513_4199434714"/>
      <w:bookmarkEnd w:id="33"/>
      <w:r>
        <w:rPr/>
        <w:t>7.1 Dormancy, Never Death</w:t>
      </w:r>
    </w:p>
    <w:p>
      <w:pPr>
        <w:pStyle w:val="Normal"/>
        <w:bidi w:val="0"/>
        <w:spacing w:lineRule="auto" w:line="288" w:before="0" w:after="80"/>
        <w:jc w:val="both"/>
        <w:rPr/>
      </w:pPr>
      <w:r>
        <w:rPr/>
        <w:t>7.1.1 The Charter possesses no sunset clause and no termination for convenience. Political rupture between Parties, armed conflict, or the suspension of any other instrument places the Charter at most into dormancy, never into extinction.</w:t>
      </w:r>
    </w:p>
    <w:p>
      <w:pPr>
        <w:pStyle w:val="Normal"/>
        <w:bidi w:val="0"/>
        <w:spacing w:lineRule="auto" w:line="288" w:before="0" w:after="80"/>
        <w:jc w:val="both"/>
        <w:rPr/>
      </w:pPr>
      <w:r>
        <w:rPr/>
        <w:t>7.1.2 Dormancy means the reduction of operations to the Permanent Floor: the Registry, the Bulletin in its minimal form, the hotline network of Article 31, the humanitarian bridge of Article 37, and the depositary functions of Article 68 continue to operate regardless of the state of relations among the Parties.</w:t>
      </w:r>
    </w:p>
    <w:p>
      <w:pPr>
        <w:pStyle w:val="Heading3"/>
        <w:keepNext w:val="true"/>
        <w:keepLines/>
        <w:bidi w:val="0"/>
        <w:spacing w:before="220" w:after="100"/>
        <w:rPr/>
      </w:pPr>
      <w:bookmarkStart w:id="34" w:name="__RefHeading___Toc3515_4199434714"/>
      <w:bookmarkEnd w:id="34"/>
      <w:r>
        <w:rPr/>
        <w:t>7.2 Reconstitution</w:t>
      </w:r>
    </w:p>
    <w:p>
      <w:pPr>
        <w:pStyle w:val="Normal"/>
        <w:bidi w:val="0"/>
        <w:spacing w:lineRule="auto" w:line="288" w:before="0" w:after="80"/>
        <w:jc w:val="both"/>
        <w:rPr/>
      </w:pPr>
      <w:r>
        <w:rPr/>
        <w:t>7.2.1 Upon any two founding parties filing reactivation instruments with the Depositary, the Charter reconstitutes in its entirety, resuming from the last certified gate under Article 60. Reconstitution occurs within 14 days of filing. The Depositary notifies all participants within 24 hours, and the Bulletin announces reconstitution within 48 hours.</w:t>
      </w:r>
    </w:p>
    <w:p>
      <w:pPr>
        <w:pStyle w:val="Normal"/>
        <w:bidi w:val="0"/>
        <w:spacing w:lineRule="auto" w:line="288" w:before="0" w:after="80"/>
        <w:jc w:val="both"/>
        <w:rPr/>
      </w:pPr>
      <w:r>
        <w:rPr/>
        <w:t>7.2.2 All banked performance, certified gates, Permanent Floors, and earn-back credits survive dormancy and reassert themselves automatically upon reconstitution.</w:t>
      </w:r>
    </w:p>
    <w:p>
      <w:pPr>
        <w:pStyle w:val="Heading3"/>
        <w:keepNext w:val="true"/>
        <w:keepLines/>
        <w:bidi w:val="0"/>
        <w:spacing w:before="220" w:after="100"/>
        <w:rPr/>
      </w:pPr>
      <w:bookmarkStart w:id="35" w:name="__RefHeading___Toc3517_4199434714"/>
      <w:bookmarkEnd w:id="35"/>
      <w:r>
        <w:rPr/>
        <w:t>7.3 Succession</w:t>
      </w:r>
    </w:p>
    <w:p>
      <w:pPr>
        <w:pStyle w:val="Normal"/>
        <w:bidi w:val="0"/>
        <w:spacing w:lineRule="auto" w:line="288" w:before="0" w:after="80"/>
        <w:jc w:val="both"/>
        <w:rPr/>
      </w:pPr>
      <w:r>
        <w:rPr/>
        <w:t>7.3.1 The obligations of a Party under this Charter attach to the state, not to the government of the day. A change of government, regime, or constitutional order leaves the Charter untouched, and the successor authorities inherit the seat, the duties, and the protections together.</w:t>
      </w:r>
    </w:p>
    <w:p>
      <w:pPr>
        <w:pStyle w:val="Heading1"/>
        <w:keepNext w:val="true"/>
        <w:keepLines/>
        <w:pBdr>
          <w:bottom w:val="single" w:sz="12" w:space="6" w:color="B8860B"/>
        </w:pBdr>
        <w:bidi w:val="0"/>
        <w:spacing w:before="0" w:after="360"/>
        <w:rPr/>
      </w:pPr>
      <w:bookmarkStart w:id="36" w:name="__RefHeading___Toc3519_4199434714"/>
      <w:bookmarkEnd w:id="36"/>
      <w:r>
        <w:rPr/>
        <w:t>PART II: THE CORRIDOR SYSTEM</w:t>
      </w:r>
    </w:p>
    <w:p>
      <w:pPr>
        <w:pStyle w:val="Heading2"/>
        <w:keepNext w:val="true"/>
        <w:keepLines/>
        <w:bidi w:val="0"/>
        <w:spacing w:before="280" w:after="120"/>
        <w:rPr/>
      </w:pPr>
      <w:bookmarkStart w:id="37" w:name="__RefHeading___Toc3521_4199434714"/>
      <w:bookmarkEnd w:id="37"/>
      <w:r>
        <w:rPr/>
        <w:t>Article 8: The Two-Corridor Geometry</w:t>
      </w:r>
    </w:p>
    <w:p>
      <w:pPr>
        <w:pStyle w:val="Heading3"/>
        <w:keepNext w:val="true"/>
        <w:keepLines/>
        <w:bidi w:val="0"/>
        <w:spacing w:before="220" w:after="100"/>
        <w:rPr/>
      </w:pPr>
      <w:bookmarkStart w:id="38" w:name="__RefHeading___Toc3523_4199434714"/>
      <w:bookmarkEnd w:id="38"/>
      <w:r>
        <w:rPr/>
        <w:t>8.1 The Core Design</w:t>
      </w:r>
    </w:p>
    <w:p>
      <w:pPr>
        <w:pStyle w:val="Normal"/>
        <w:bidi w:val="0"/>
        <w:spacing w:lineRule="auto" w:line="288" w:before="0" w:after="80"/>
        <w:jc w:val="both"/>
        <w:rPr/>
      </w:pPr>
      <w:r>
        <w:rPr/>
        <w:t>8.1.1 The Charter organizes traffic through the Strait in a two-corridor system reflecting the agreement in principle reached between the coastal states in the bilateral track: one corridor carries inbound traffic and one corridor carries outbound traffic, each lane operating as a one-way artery.</w:t>
      </w:r>
    </w:p>
    <w:p>
      <w:pPr>
        <w:pStyle w:val="Normal"/>
        <w:bidi w:val="0"/>
        <w:spacing w:lineRule="auto" w:line="288" w:before="0" w:after="80"/>
        <w:jc w:val="both"/>
        <w:rPr/>
      </w:pPr>
      <w:r>
        <w:rPr/>
        <w:t>8.1.2 Corridor One, the Northern Inbound Stewardship Corridor, lies adjacent to the Iranian coast and carries traffic entering the Gulf. The Islamic Republic of Iran coordinates Corridor One within the disciplines of this Charter.</w:t>
      </w:r>
    </w:p>
    <w:p>
      <w:pPr>
        <w:pStyle w:val="Normal"/>
        <w:bidi w:val="0"/>
        <w:spacing w:lineRule="auto" w:line="288" w:before="0" w:after="80"/>
        <w:jc w:val="both"/>
        <w:rPr/>
      </w:pPr>
      <w:r>
        <w:rPr/>
        <w:t>8.1.3 Corridor Two, the Southern Outbound Assurance Corridor, lies adjacent to the Omani coast and carries traffic leaving the Gulf. The Sultanate of Oman coordinates Corridor Two within the disciplines of this Charter.</w:t>
      </w:r>
    </w:p>
    <w:p>
      <w:pPr>
        <w:pStyle w:val="Normal"/>
        <w:bidi w:val="0"/>
        <w:spacing w:lineRule="auto" w:line="288" w:before="0" w:after="80"/>
        <w:jc w:val="both"/>
        <w:rPr/>
      </w:pPr>
      <w:r>
        <w:rPr/>
        <w:t>8.1.4 The two corridors operate as one system under one rulebook. Coordination asymmetry in geography never becomes legal asymmetry on the water: the same notification protocol, the same non-interdiction protocol, the same fee rules, and the same verification regime apply in both corridors.</w:t>
      </w:r>
    </w:p>
    <w:p>
      <w:pPr>
        <w:pStyle w:val="Heading3"/>
        <w:keepNext w:val="true"/>
        <w:keepLines/>
        <w:bidi w:val="0"/>
        <w:spacing w:before="220" w:after="100"/>
        <w:rPr/>
      </w:pPr>
      <w:bookmarkStart w:id="39" w:name="__RefHeading___Toc3525_4199434714"/>
      <w:bookmarkEnd w:id="39"/>
      <w:r>
        <w:rPr/>
        <w:t>8.2 Why Two Corridors</w:t>
      </w:r>
    </w:p>
    <w:p>
      <w:pPr>
        <w:pStyle w:val="Normal"/>
        <w:bidi w:val="0"/>
        <w:spacing w:lineRule="auto" w:line="288" w:before="0" w:after="80"/>
        <w:jc w:val="both"/>
        <w:rPr/>
      </w:pPr>
      <w:r>
        <w:rPr/>
        <w:t>8.2.1 The two-corridor design records the actual compromise reached in the bilateral negotiations: the consolidation of the two wartime routes into a unified, lawful, jointly verified system, rather than the creation of a third separate lane. The design gives each coastal state a defined, recognized functional role while converting both roles into shared administrative functions under the Twin Key.</w:t>
      </w:r>
    </w:p>
    <w:p>
      <w:pPr>
        <w:pStyle w:val="Normal"/>
        <w:bidi w:val="0"/>
        <w:spacing w:lineRule="auto" w:line="288" w:before="0" w:after="80"/>
        <w:jc w:val="both"/>
        <w:rPr/>
      </w:pPr>
      <w:r>
        <w:rPr/>
        <w:t>8.2.2 The design also reflects seamanship. One-way flow in separated lanes, with a defined buffer between them, reduces head-on encounter risk in narrow, mine-affected, electronically degraded waters more effectively than two-way traffic in a single channel.</w:t>
      </w:r>
    </w:p>
    <w:p>
      <w:pPr>
        <w:pStyle w:val="Heading3"/>
        <w:keepNext w:val="true"/>
        <w:keepLines/>
        <w:bidi w:val="0"/>
        <w:spacing w:before="220" w:after="100"/>
        <w:rPr/>
      </w:pPr>
      <w:bookmarkStart w:id="40" w:name="__RefHeading___Toc3527_4199434714"/>
      <w:bookmarkEnd w:id="40"/>
      <w:r>
        <w:rPr/>
        <w:t>8.3 Corridor Dimensions</w:t>
      </w:r>
    </w:p>
    <w:p>
      <w:pPr>
        <w:pStyle w:val="Normal"/>
        <w:bidi w:val="0"/>
        <w:spacing w:lineRule="auto" w:line="288" w:before="0" w:after="80"/>
        <w:jc w:val="both"/>
        <w:rPr/>
      </w:pPr>
      <w:r>
        <w:rPr/>
        <w:t>8.3.1 Each corridor comprises a traffic lane of defined width, entry and exit gates, and reporting points. Annex A records the coordinates as agreed between the coastal states and certified under Article 59. Lane widths accommodate the largest vessels in regular service through the Strait, with under-keel clearance margins set by the technical standards of Annex C.</w:t>
      </w:r>
    </w:p>
    <w:p>
      <w:pPr>
        <w:pStyle w:val="Normal"/>
        <w:bidi w:val="0"/>
        <w:spacing w:lineRule="auto" w:line="288" w:before="0" w:after="80"/>
        <w:jc w:val="both"/>
        <w:rPr/>
      </w:pPr>
      <w:r>
        <w:rPr/>
        <w:t>8.3.2 Entry gates and exit gates mark the points at which the coordination regime of Part III activates and deactivates for each vessel. A vessel enters the corridor system at a gate, transits under corridor discipline, and exits at the far gate into open routing.</w:t>
      </w:r>
    </w:p>
    <w:p>
      <w:pPr>
        <w:pStyle w:val="Heading2"/>
        <w:keepNext w:val="true"/>
        <w:keepLines/>
        <w:bidi w:val="0"/>
        <w:spacing w:before="280" w:after="120"/>
        <w:rPr/>
      </w:pPr>
      <w:bookmarkStart w:id="41" w:name="__RefHeading___Toc3529_4199434714"/>
      <w:bookmarkEnd w:id="41"/>
      <w:r>
        <w:rPr/>
        <w:t>Article 9: The Central Buffer and the Neutral Coordinate Registry</w:t>
      </w:r>
    </w:p>
    <w:p>
      <w:pPr>
        <w:pStyle w:val="Heading3"/>
        <w:keepNext w:val="true"/>
        <w:keepLines/>
        <w:bidi w:val="0"/>
        <w:spacing w:before="220" w:after="100"/>
        <w:rPr/>
      </w:pPr>
      <w:bookmarkStart w:id="42" w:name="__RefHeading___Toc3531_4199434714"/>
      <w:bookmarkEnd w:id="42"/>
      <w:r>
        <w:rPr/>
        <w:t>9.1 The Central Buffer</w:t>
      </w:r>
    </w:p>
    <w:p>
      <w:pPr>
        <w:pStyle w:val="Normal"/>
        <w:bidi w:val="0"/>
        <w:spacing w:lineRule="auto" w:line="288" w:before="0" w:after="80"/>
        <w:jc w:val="both"/>
        <w:rPr/>
      </w:pPr>
      <w:r>
        <w:rPr/>
        <w:t>9.1.1 A Central Buffer and Deconfliction Zone lies between Corridor One and Corridor Two. The Buffer carries no regular through traffic. It exists to separate opposing flows, to provide maneuvering room for vessels in difficulty, to host the diversion procedures of Article 18, and to absorb error without incident.</w:t>
      </w:r>
    </w:p>
    <w:p>
      <w:pPr>
        <w:pStyle w:val="Normal"/>
        <w:bidi w:val="0"/>
        <w:spacing w:lineRule="auto" w:line="288" w:before="0" w:after="80"/>
        <w:jc w:val="both"/>
        <w:rPr/>
      </w:pPr>
      <w:r>
        <w:rPr/>
        <w:t>9.1.2 The founding parties administer the Central Buffer jointly. Monitoring within the Buffer operates through the shared sensor and picture-fusion architecture of Article 46. Neither founding party stations permanent enforcement assets in the Buffer; presence in the Buffer occurs only for rescue, hazard response, escort of a vessel in difficulty, or a tasking that the Joint Council approves and the Bulletin publishes.</w:t>
      </w:r>
    </w:p>
    <w:p>
      <w:pPr>
        <w:pStyle w:val="Heading3"/>
        <w:keepNext w:val="true"/>
        <w:keepLines/>
        <w:bidi w:val="0"/>
        <w:spacing w:before="220" w:after="100"/>
        <w:rPr/>
      </w:pPr>
      <w:bookmarkStart w:id="43" w:name="__RefHeading___Toc3533_4199434714"/>
      <w:bookmarkEnd w:id="43"/>
      <w:r>
        <w:rPr/>
        <w:t>9.2 Buffer Functions</w:t>
      </w:r>
    </w:p>
    <w:p>
      <w:pPr>
        <w:pStyle w:val="Normal"/>
        <w:bidi w:val="0"/>
        <w:spacing w:lineRule="auto" w:line="288" w:before="0" w:after="80"/>
        <w:jc w:val="both"/>
        <w:rPr/>
      </w:pPr>
      <w:r>
        <w:rPr/>
        <w:t>9.2.1 The Buffer hosts: emergency holding positions for vessels awaiting assistance; the turning and staging geometry for the convoy windows of Article 18; the survey tracks of the mine-clearance operations of Article 14; and the standoff geometry of Article 30 during periods of elevated tension.</w:t>
      </w:r>
    </w:p>
    <w:p>
      <w:pPr>
        <w:pStyle w:val="Heading3"/>
        <w:keepNext w:val="true"/>
        <w:keepLines/>
        <w:bidi w:val="0"/>
        <w:spacing w:before="220" w:after="100"/>
        <w:rPr/>
      </w:pPr>
      <w:bookmarkStart w:id="44" w:name="__RefHeading___Toc3535_4199434714"/>
      <w:bookmarkEnd w:id="44"/>
      <w:r>
        <w:rPr/>
        <w:t>9.3 The Neutral Coordinate Registry</w:t>
      </w:r>
    </w:p>
    <w:p>
      <w:pPr>
        <w:pStyle w:val="Normal"/>
        <w:bidi w:val="0"/>
        <w:spacing w:lineRule="auto" w:line="288" w:before="0" w:after="80"/>
        <w:jc w:val="both"/>
        <w:rPr/>
      </w:pPr>
      <w:r>
        <w:rPr/>
        <w:t>9.3.1 The Secretariat maintains the Neutral Coordinate Registry as the single authoritative record of every boundary, lane, gate, anchorage, exclusion area, and hazard area under this Charter. The Registry records coordinates in WGS-84, publishes them in Annex A, and transmits every entry and every change to the International Maritime Organization and the International Hydrographic Organization for chart action.</w:t>
      </w:r>
    </w:p>
    <w:p>
      <w:pPr>
        <w:pStyle w:val="Normal"/>
        <w:bidi w:val="0"/>
        <w:spacing w:lineRule="auto" w:line="288" w:before="0" w:after="80"/>
        <w:jc w:val="both"/>
        <w:rPr/>
      </w:pPr>
      <w:r>
        <w:rPr/>
        <w:t>9.3.2 A coordinate enters the Registry only through the Twin Key procedure of Article 43: proposal by one founding party's technical directorate, concurrence by the other founding party's technical directorate, certification by the IMO observer, and registration by the Secretariat. The same procedure governs every amendment. No unilateral coordinate change exists under this Charter.</w:t>
      </w:r>
    </w:p>
    <w:p>
      <w:pPr>
        <w:pStyle w:val="Normal"/>
        <w:bidi w:val="0"/>
        <w:spacing w:lineRule="auto" w:line="288" w:before="0" w:after="80"/>
        <w:jc w:val="both"/>
        <w:rPr/>
      </w:pPr>
      <w:r>
        <w:rPr/>
        <w:t>9.3.3 The Registry publishes every change as a Notice to Mariners through the coastal states and as a NAVAREA IX navigational warning through the established international channels, with not fewer than 14 days between publication and effectiveness except in a declared corridor emergency under Article 33.</w:t>
      </w:r>
    </w:p>
    <w:p>
      <w:pPr>
        <w:pStyle w:val="Heading2"/>
        <w:keepNext w:val="true"/>
        <w:keepLines/>
        <w:bidi w:val="0"/>
        <w:spacing w:before="280" w:after="120"/>
        <w:rPr/>
      </w:pPr>
      <w:bookmarkStart w:id="45" w:name="__RefHeading___Toc3537_4199434714"/>
      <w:bookmarkEnd w:id="45"/>
      <w:r>
        <w:rPr/>
        <w:t>Article 10: Corridor One, the Northern Inbound Stewardship Corridor</w:t>
      </w:r>
    </w:p>
    <w:p>
      <w:pPr>
        <w:pStyle w:val="Heading3"/>
        <w:keepNext w:val="true"/>
        <w:keepLines/>
        <w:bidi w:val="0"/>
        <w:spacing w:before="220" w:after="100"/>
        <w:rPr/>
      </w:pPr>
      <w:bookmarkStart w:id="46" w:name="__RefHeading___Toc3539_4199434714"/>
      <w:bookmarkEnd w:id="46"/>
      <w:r>
        <w:rPr/>
        <w:t>10.1 Function and Administration</w:t>
      </w:r>
    </w:p>
    <w:p>
      <w:pPr>
        <w:pStyle w:val="Normal"/>
        <w:bidi w:val="0"/>
        <w:spacing w:lineRule="auto" w:line="288" w:before="0" w:after="80"/>
        <w:jc w:val="both"/>
        <w:rPr/>
      </w:pPr>
      <w:r>
        <w:rPr/>
        <w:t>10.1.1 Corridor One carries all inbound traffic from the Gulf of Oman approaches into the Gulf. Its entry gate lies east of the Strait at the position recorded in Annex A; its exit gate delivers traffic to the open approaches of the Gulf.</w:t>
      </w:r>
    </w:p>
    <w:p>
      <w:pPr>
        <w:pStyle w:val="Normal"/>
        <w:bidi w:val="0"/>
        <w:spacing w:lineRule="auto" w:line="288" w:before="0" w:after="80"/>
        <w:jc w:val="both"/>
        <w:rPr/>
      </w:pPr>
      <w:r>
        <w:rPr/>
        <w:t>10.1.2 The Islamic Republic of Iran operates the vessel traffic service for Corridor One through the corridor desk of the Maritime Coordination Center, staffed under the joint rosters of Article 45. The corridor desk issues routing advisories, manages gate sequencing, monitors lane discipline, and coordinates with the southern desk on Buffer management.</w:t>
      </w:r>
    </w:p>
    <w:p>
      <w:pPr>
        <w:pStyle w:val="Normal"/>
        <w:bidi w:val="0"/>
        <w:spacing w:lineRule="auto" w:line="288" w:before="0" w:after="80"/>
        <w:jc w:val="both"/>
        <w:rPr/>
      </w:pPr>
      <w:r>
        <w:rPr/>
        <w:t>10.1.3 The Iranian corridor function operates under the same Charter disciplines as every organ: file-and-acknowledge notification, non-interdiction, the closed list of services and charges, the hotline obligations of Article 31, and the verification access of Article 49.</w:t>
      </w:r>
    </w:p>
    <w:p>
      <w:pPr>
        <w:pStyle w:val="Heading3"/>
        <w:keepNext w:val="true"/>
        <w:keepLines/>
        <w:bidi w:val="0"/>
        <w:spacing w:before="220" w:after="100"/>
        <w:rPr/>
      </w:pPr>
      <w:bookmarkStart w:id="47" w:name="__RefHeading___Toc3541_4199434714"/>
      <w:bookmarkEnd w:id="47"/>
      <w:r>
        <w:rPr/>
        <w:t>10.2 Service Delivery in Corridor One</w:t>
      </w:r>
    </w:p>
    <w:p>
      <w:pPr>
        <w:pStyle w:val="Normal"/>
        <w:bidi w:val="0"/>
        <w:spacing w:lineRule="auto" w:line="288" w:before="0" w:after="80"/>
        <w:jc w:val="both"/>
        <w:rPr/>
      </w:pPr>
      <w:r>
        <w:rPr/>
        <w:t>10.2.1 Within Corridor One, the following verified services operate: vessel traffic service and gate sequencing; navigational aids and their maintenance; pilotage on request; tug and escort assistance on request; search and rescue coordination; environmental monitoring; and hazard bulletins. Each service operates to the standards of Annex C and charges only under the Verified Services Catalog of Annex B.</w:t>
      </w:r>
    </w:p>
    <w:p>
      <w:pPr>
        <w:pStyle w:val="Normal"/>
        <w:bidi w:val="0"/>
        <w:spacing w:lineRule="auto" w:line="288" w:before="0" w:after="80"/>
        <w:jc w:val="both"/>
        <w:rPr/>
      </w:pPr>
      <w:r>
        <w:rPr/>
        <w:t>10.2.2 Corridor One carries the primary burden of inbound deep-draft traffic, and the Fund's distribution formula of Article 24 recognizes that burden in the shares it assigns.</w:t>
      </w:r>
    </w:p>
    <w:p>
      <w:pPr>
        <w:pStyle w:val="Heading3"/>
        <w:keepNext w:val="true"/>
        <w:keepLines/>
        <w:bidi w:val="0"/>
        <w:spacing w:before="220" w:after="100"/>
        <w:rPr/>
      </w:pPr>
      <w:bookmarkStart w:id="48" w:name="__RefHeading___Toc3543_4199434714"/>
      <w:bookmarkEnd w:id="48"/>
      <w:r>
        <w:rPr/>
        <w:t>10.3 Security Posture in Corridor One</w:t>
      </w:r>
    </w:p>
    <w:p>
      <w:pPr>
        <w:pStyle w:val="Normal"/>
        <w:bidi w:val="0"/>
        <w:spacing w:lineRule="auto" w:line="288" w:before="0" w:after="80"/>
        <w:jc w:val="both"/>
        <w:rPr/>
      </w:pPr>
      <w:r>
        <w:rPr/>
        <w:t>10.3.1 The security functions adjacent to Corridor One operate under the standoff geometry of Article 30. Surface patrols maintain the published separation distances from the traffic lane. No live-fire exercise, missile test, or drone operation occurs within the Governance Area except under the notification regime of Article 35.</w:t>
      </w:r>
    </w:p>
    <w:p>
      <w:pPr>
        <w:pStyle w:val="Heading2"/>
        <w:keepNext w:val="true"/>
        <w:keepLines/>
        <w:bidi w:val="0"/>
        <w:spacing w:before="280" w:after="120"/>
        <w:rPr/>
      </w:pPr>
      <w:bookmarkStart w:id="49" w:name="__RefHeading___Toc3545_4199434714"/>
      <w:bookmarkEnd w:id="49"/>
      <w:r>
        <w:rPr/>
        <w:t>Article 11: Corridor Two, the Southern Outbound Assurance Corridor</w:t>
      </w:r>
    </w:p>
    <w:p>
      <w:pPr>
        <w:pStyle w:val="Heading3"/>
        <w:keepNext w:val="true"/>
        <w:keepLines/>
        <w:bidi w:val="0"/>
        <w:spacing w:before="220" w:after="100"/>
        <w:rPr/>
      </w:pPr>
      <w:bookmarkStart w:id="50" w:name="__RefHeading___Toc3547_4199434714"/>
      <w:bookmarkEnd w:id="50"/>
      <w:r>
        <w:rPr/>
        <w:t>11.1 Function and Administration</w:t>
      </w:r>
    </w:p>
    <w:p>
      <w:pPr>
        <w:pStyle w:val="Normal"/>
        <w:bidi w:val="0"/>
        <w:spacing w:lineRule="auto" w:line="288" w:before="0" w:after="80"/>
        <w:jc w:val="both"/>
        <w:rPr/>
      </w:pPr>
      <w:r>
        <w:rPr/>
        <w:t>11.1.1 Corridor Two carries all outbound traffic from the Gulf to the Gulf of Oman and the open sea. Its entry gate lies at the position recorded in Annex A; its exit gate disperses traffic eastward.</w:t>
      </w:r>
    </w:p>
    <w:p>
      <w:pPr>
        <w:pStyle w:val="Normal"/>
        <w:bidi w:val="0"/>
        <w:spacing w:lineRule="auto" w:line="288" w:before="0" w:after="80"/>
        <w:jc w:val="both"/>
        <w:rPr/>
      </w:pPr>
      <w:r>
        <w:rPr/>
        <w:t>11.1.2 The Sultanate of Oman operates the vessel traffic service for Corridor Two through the southern corridor desk of the Maritime Coordination Center, staffed under the joint rosters of Article 45, with the same functions, disciplines, and standards as the northern desk.</w:t>
      </w:r>
    </w:p>
    <w:p>
      <w:pPr>
        <w:pStyle w:val="Normal"/>
        <w:bidi w:val="0"/>
        <w:spacing w:lineRule="auto" w:line="288" w:before="0" w:after="80"/>
        <w:jc w:val="both"/>
        <w:rPr/>
      </w:pPr>
      <w:r>
        <w:rPr/>
        <w:t>11.1.3 Corridor Two serves as the initial assurance corridor: during the phased activation of Article 59, Corridor Two opens first as the Fast-Track lane, because its approaches enjoyed the highest confidence of the shipping and insurance community during the crisis period. The Fast-Track rule of Article 59 governs that opening.</w:t>
      </w:r>
    </w:p>
    <w:p>
      <w:pPr>
        <w:pStyle w:val="Heading3"/>
        <w:keepNext w:val="true"/>
        <w:keepLines/>
        <w:bidi w:val="0"/>
        <w:spacing w:before="220" w:after="100"/>
        <w:rPr/>
      </w:pPr>
      <w:bookmarkStart w:id="51" w:name="__RefHeading___Toc3549_4199434714"/>
      <w:bookmarkEnd w:id="51"/>
      <w:r>
        <w:rPr/>
        <w:t>11.2 Service Delivery in Corridor Two</w:t>
      </w:r>
    </w:p>
    <w:p>
      <w:pPr>
        <w:pStyle w:val="Normal"/>
        <w:bidi w:val="0"/>
        <w:spacing w:lineRule="auto" w:line="288" w:before="0" w:after="80"/>
        <w:jc w:val="both"/>
        <w:rPr/>
      </w:pPr>
      <w:r>
        <w:rPr/>
        <w:t>11.2.1 Within Corridor Two the same family of verified services operates as in Corridor One, with Oman's established traffic-management infrastructure at Muscat and the Musandam approaches forming the operational backbone.</w:t>
      </w:r>
    </w:p>
    <w:p>
      <w:pPr>
        <w:pStyle w:val="Normal"/>
        <w:bidi w:val="0"/>
        <w:spacing w:lineRule="auto" w:line="288" w:before="0" w:after="80"/>
        <w:jc w:val="both"/>
        <w:rPr/>
      </w:pPr>
      <w:r>
        <w:rPr/>
        <w:t>11.2.2 Corridor Two hosts the primary designated waiting area for the corridor system, at the anchorage positions recorded in Annex A, together with the humanitarian staging functions of Article 37.</w:t>
      </w:r>
    </w:p>
    <w:p>
      <w:pPr>
        <w:pStyle w:val="Heading3"/>
        <w:keepNext w:val="true"/>
        <w:keepLines/>
        <w:bidi w:val="0"/>
        <w:spacing w:before="220" w:after="100"/>
        <w:rPr/>
      </w:pPr>
      <w:bookmarkStart w:id="52" w:name="__RefHeading___Toc3551_4199434714"/>
      <w:bookmarkEnd w:id="52"/>
      <w:r>
        <w:rPr/>
        <w:t>11.3 Security Posture in Corridor Two</w:t>
      </w:r>
    </w:p>
    <w:p>
      <w:pPr>
        <w:pStyle w:val="Normal"/>
        <w:bidi w:val="0"/>
        <w:spacing w:lineRule="auto" w:line="288" w:before="0" w:after="80"/>
        <w:jc w:val="both"/>
        <w:rPr/>
      </w:pPr>
      <w:r>
        <w:rPr/>
        <w:t>11.3.1 The same standoff geometry, notification rules, and non-interdiction disciplines apply in and around Corridor Two as in Corridor One. The multinational patrol rotation of Article 30 maintains its southern station in the approaches to Corridor Two.</w:t>
      </w:r>
    </w:p>
    <w:p>
      <w:pPr>
        <w:pStyle w:val="Heading2"/>
        <w:keepNext w:val="true"/>
        <w:keepLines/>
        <w:bidi w:val="0"/>
        <w:spacing w:before="280" w:after="120"/>
        <w:rPr/>
      </w:pPr>
      <w:bookmarkStart w:id="53" w:name="__RefHeading___Toc3553_4199434714"/>
      <w:bookmarkEnd w:id="53"/>
      <w:r>
        <w:rPr/>
        <w:t>Article 12: The Wartime Lane Sunset and the Transition Rule</w:t>
      </w:r>
    </w:p>
    <w:p>
      <w:pPr>
        <w:pStyle w:val="Heading3"/>
        <w:keepNext w:val="true"/>
        <w:keepLines/>
        <w:bidi w:val="0"/>
        <w:spacing w:before="220" w:after="100"/>
        <w:rPr/>
      </w:pPr>
      <w:bookmarkStart w:id="54" w:name="__RefHeading___Toc3555_4199434714"/>
      <w:bookmarkEnd w:id="54"/>
      <w:r>
        <w:rPr/>
        <w:t>12.1 Sunset</w:t>
      </w:r>
    </w:p>
    <w:p>
      <w:pPr>
        <w:pStyle w:val="Normal"/>
        <w:bidi w:val="0"/>
        <w:spacing w:lineRule="auto" w:line="288" w:before="0" w:after="80"/>
        <w:jc w:val="both"/>
        <w:rPr/>
      </w:pPr>
      <w:r>
        <w:rPr/>
        <w:t>12.1.1 The temporary wartime routing arrangements, including any controlled-transit corridor, permit regime, or vetting practice established by any state during the crisis, terminate on the day the corridor system of this Charter achieves full operational certification under Article 60, and in no case later than 120 days after entry into force.</w:t>
      </w:r>
    </w:p>
    <w:p>
      <w:pPr>
        <w:pStyle w:val="Normal"/>
        <w:bidi w:val="0"/>
        <w:spacing w:lineRule="auto" w:line="288" w:before="0" w:after="80"/>
        <w:jc w:val="both"/>
        <w:rPr/>
      </w:pPr>
      <w:r>
        <w:rPr/>
        <w:t>12.1.2 From the date of entry into force, no new permit requirement, fee schedule, or routing decree concerning the Governance Area issues from any Party except through the mechanisms of this Charter. Existing wartime measures continue in declining force only to the extent the phased activation schedule of Article 59 expressly carries them.</w:t>
      </w:r>
    </w:p>
    <w:p>
      <w:pPr>
        <w:pStyle w:val="Heading3"/>
        <w:keepNext w:val="true"/>
        <w:keepLines/>
        <w:bidi w:val="0"/>
        <w:spacing w:before="220" w:after="100"/>
        <w:rPr/>
      </w:pPr>
      <w:bookmarkStart w:id="55" w:name="__RefHeading___Toc3557_4199434714"/>
      <w:bookmarkEnd w:id="55"/>
      <w:r>
        <w:rPr/>
        <w:t>12.2 The Transition Rule</w:t>
      </w:r>
    </w:p>
    <w:p>
      <w:pPr>
        <w:pStyle w:val="Normal"/>
        <w:bidi w:val="0"/>
        <w:spacing w:lineRule="auto" w:line="288" w:before="0" w:after="80"/>
        <w:jc w:val="both"/>
        <w:rPr/>
      </w:pPr>
      <w:r>
        <w:rPr/>
        <w:t>12.2.1 During transition, the rule of safer water governs: wherever a wartime measure and a Charter provision both address a situation, the provision that affords the greater safety and freedom of navigation applies. The Coordination Center resolves conflicts of overlap in real time and records each resolution in the Bulletin.</w:t>
      </w:r>
    </w:p>
    <w:p>
      <w:pPr>
        <w:pStyle w:val="Normal"/>
        <w:bidi w:val="0"/>
        <w:spacing w:lineRule="auto" w:line="288" w:before="0" w:after="80"/>
        <w:jc w:val="both"/>
        <w:rPr/>
      </w:pPr>
      <w:r>
        <w:rPr/>
        <w:t>12.2.2 The Secretariat maintains a Transition Ledger recording each wartime measure, its sunset date, and its replacement provision. The Ledger publishes with the Bulletin and closes when the last wartime measure terminates.</w:t>
      </w:r>
    </w:p>
    <w:p>
      <w:pPr>
        <w:pStyle w:val="Heading2"/>
        <w:keepNext w:val="true"/>
        <w:keepLines/>
        <w:bidi w:val="0"/>
        <w:spacing w:before="280" w:after="120"/>
        <w:rPr/>
      </w:pPr>
      <w:bookmarkStart w:id="56" w:name="__RefHeading___Toc3559_4199434714"/>
      <w:bookmarkEnd w:id="56"/>
      <w:r>
        <w:rPr/>
        <w:t>Article 13: The Unified Route Convergence Pathway</w:t>
      </w:r>
    </w:p>
    <w:p>
      <w:pPr>
        <w:pStyle w:val="Heading3"/>
        <w:keepNext w:val="true"/>
        <w:keepLines/>
        <w:bidi w:val="0"/>
        <w:spacing w:before="220" w:after="100"/>
        <w:rPr/>
      </w:pPr>
      <w:bookmarkStart w:id="57" w:name="__RefHeading___Toc3561_4199434714"/>
      <w:bookmarkEnd w:id="57"/>
      <w:r>
        <w:rPr/>
        <w:t>13.1 The Convergence Objective</w:t>
      </w:r>
    </w:p>
    <w:p>
      <w:pPr>
        <w:pStyle w:val="Normal"/>
        <w:bidi w:val="0"/>
        <w:spacing w:lineRule="auto" w:line="288" w:before="0" w:after="80"/>
        <w:jc w:val="both"/>
        <w:rPr/>
      </w:pPr>
      <w:r>
        <w:rPr/>
        <w:t>13.1.1 The Parties share the stated objective of the bilateral track: the transformation of the northern and southern routes into a unified intermediate route as the permanent mature configuration of the Strait. The Charter treats convergence as a destination to be earned by performance, not imposed by calendar.</w:t>
      </w:r>
    </w:p>
    <w:p>
      <w:pPr>
        <w:pStyle w:val="Normal"/>
        <w:bidi w:val="0"/>
        <w:spacing w:lineRule="auto" w:line="288" w:before="0" w:after="80"/>
        <w:jc w:val="both"/>
        <w:rPr/>
      </w:pPr>
      <w:r>
        <w:rPr/>
        <w:t>13.1.2 Convergence proceeds through the corridor expansion and traffic simulations of Article 59 and the Stability Audit of Article 52. The Council adopts a convergence plan only after the Audit records the thresholds of Annex E: sustained incident-free operation, certified clearance of hazards in the central geometry, insurance normalization, and Stakeholder Panel confidence.</w:t>
      </w:r>
    </w:p>
    <w:p>
      <w:pPr>
        <w:pStyle w:val="Heading3"/>
        <w:keepNext w:val="true"/>
        <w:keepLines/>
        <w:bidi w:val="0"/>
        <w:spacing w:before="220" w:after="100"/>
        <w:rPr/>
      </w:pPr>
      <w:bookmarkStart w:id="58" w:name="__RefHeading___Toc3563_4199434714"/>
      <w:bookmarkEnd w:id="58"/>
      <w:r>
        <w:rPr/>
        <w:t>13.2 Convergence Steps</w:t>
      </w:r>
    </w:p>
    <w:p>
      <w:pPr>
        <w:pStyle w:val="Normal"/>
        <w:bidi w:val="0"/>
        <w:spacing w:lineRule="auto" w:line="288" w:before="0" w:after="80"/>
        <w:jc w:val="both"/>
        <w:rPr/>
      </w:pPr>
      <w:r>
        <w:rPr/>
        <w:t>13.2.1 Convergence proceeds in three steps:</w:t>
      </w:r>
    </w:p>
    <w:p>
      <w:pPr>
        <w:pStyle w:val="Normal"/>
        <w:bidi w:val="0"/>
        <w:spacing w:lineRule="auto" w:line="288" w:before="0" w:after="80"/>
        <w:jc w:val="both"/>
        <w:rPr/>
      </w:pPr>
      <w:r>
        <w:rPr/>
        <w:t>(a) Harmonization: the two corridors adopt identical notification, reporting, and service standards, so that a vessel experiences one system;</w:t>
      </w:r>
    </w:p>
    <w:p>
      <w:pPr>
        <w:pStyle w:val="Normal"/>
        <w:bidi w:val="0"/>
        <w:spacing w:lineRule="auto" w:line="288" w:before="0" w:after="80"/>
        <w:jc w:val="both"/>
        <w:rPr/>
      </w:pPr>
      <w:r>
        <w:rPr/>
        <w:t>(b) Integration: the corridor desks merge into a single joint watch floor at the Coordination Center, with the Buffer transitioning from a separation zone to a managed two-way central segment for selected traffic classes;</w:t>
      </w:r>
    </w:p>
    <w:p>
      <w:pPr>
        <w:pStyle w:val="Normal"/>
        <w:bidi w:val="0"/>
        <w:spacing w:lineRule="auto" w:line="288" w:before="0" w:after="80"/>
        <w:jc w:val="both"/>
        <w:rPr/>
      </w:pPr>
      <w:r>
        <w:rPr/>
        <w:t>(c) Convergence: the unified route operates as the primary artery, with the northern and southern lanes persisting as alternates for surge, maintenance, and emergency states.</w:t>
      </w:r>
    </w:p>
    <w:p>
      <w:pPr>
        <w:pStyle w:val="Normal"/>
        <w:bidi w:val="0"/>
        <w:spacing w:lineRule="auto" w:line="288" w:before="0" w:after="80"/>
        <w:jc w:val="both"/>
        <w:rPr/>
      </w:pPr>
      <w:r>
        <w:rPr/>
        <w:t>13.2.2 Each step activates by Twin Key decision following certification by the Directorate and publication in the Bulletin with 30 days of notice.</w:t>
      </w:r>
    </w:p>
    <w:p>
      <w:pPr>
        <w:pStyle w:val="Heading3"/>
        <w:keepNext w:val="true"/>
        <w:keepLines/>
        <w:bidi w:val="0"/>
        <w:spacing w:before="220" w:after="100"/>
        <w:rPr/>
      </w:pPr>
      <w:bookmarkStart w:id="59" w:name="__RefHeading___Toc3565_4199434714"/>
      <w:bookmarkEnd w:id="59"/>
      <w:r>
        <w:rPr/>
        <w:t>13.3 No Forced Convergence</w:t>
      </w:r>
    </w:p>
    <w:p>
      <w:pPr>
        <w:pStyle w:val="Normal"/>
        <w:bidi w:val="0"/>
        <w:spacing w:lineRule="auto" w:line="288" w:before="0" w:after="80"/>
        <w:jc w:val="both"/>
        <w:rPr/>
      </w:pPr>
      <w:r>
        <w:rPr/>
        <w:t>13.3.1 Convergence never proceeds faster than verified safety permits. A failure of a convergence step triggers automatic reversion to the prior certified configuration, recorded and explained in the Bulletin. The corridor system treats reversion as normal seamanship, not as political failure.</w:t>
      </w:r>
    </w:p>
    <w:p>
      <w:pPr>
        <w:pStyle w:val="Heading2"/>
        <w:keepNext w:val="true"/>
        <w:keepLines/>
        <w:bidi w:val="0"/>
        <w:spacing w:before="280" w:after="120"/>
        <w:rPr/>
      </w:pPr>
      <w:bookmarkStart w:id="60" w:name="__RefHeading___Toc3567_4199434714"/>
      <w:bookmarkEnd w:id="60"/>
      <w:r>
        <w:rPr/>
        <w:t>Article 14: Hazard Survey, Mine Exclusion, and Clearance</w:t>
      </w:r>
    </w:p>
    <w:p>
      <w:pPr>
        <w:pStyle w:val="Heading3"/>
        <w:keepNext w:val="true"/>
        <w:keepLines/>
        <w:bidi w:val="0"/>
        <w:spacing w:before="220" w:after="100"/>
        <w:rPr/>
      </w:pPr>
      <w:bookmarkStart w:id="61" w:name="__RefHeading___Toc3569_4199434714"/>
      <w:bookmarkEnd w:id="61"/>
      <w:r>
        <w:rPr/>
        <w:t>14.1 The Mine Exclusion Principle</w:t>
      </w:r>
    </w:p>
    <w:p>
      <w:pPr>
        <w:pStyle w:val="Normal"/>
        <w:bidi w:val="0"/>
        <w:spacing w:lineRule="auto" w:line="288" w:before="0" w:after="80"/>
        <w:jc w:val="both"/>
        <w:rPr/>
      </w:pPr>
      <w:r>
        <w:rPr/>
        <w:t>14.1.1 The Governance Area operates as a mine-free zone. The presence, emplacement, or toleration of naval mines within the Governance Area by any Party constitutes a breach of the Red Lines Register of Article 30 and triggers the compliance consequences of Article 51.</w:t>
      </w:r>
    </w:p>
    <w:p>
      <w:pPr>
        <w:pStyle w:val="Normal"/>
        <w:bidi w:val="0"/>
        <w:spacing w:lineRule="auto" w:line="288" w:before="0" w:after="80"/>
        <w:jc w:val="both"/>
        <w:rPr/>
      </w:pPr>
      <w:r>
        <w:rPr/>
        <w:t>14.1.2 The founding parties, with the support of the regional members and the technical participants, conduct the clearance of all explosive remnants of the crisis period within the Governance Area, including mines, unexploded ordnance, and hazardous debris.</w:t>
      </w:r>
    </w:p>
    <w:p>
      <w:pPr>
        <w:pStyle w:val="Heading3"/>
        <w:keepNext w:val="true"/>
        <w:keepLines/>
        <w:bidi w:val="0"/>
        <w:spacing w:before="220" w:after="100"/>
        <w:rPr/>
      </w:pPr>
      <w:bookmarkStart w:id="62" w:name="__RefHeading___Toc3571_4199434714"/>
      <w:bookmarkEnd w:id="62"/>
      <w:r>
        <w:rPr/>
        <w:t>14.2 The Joint Survey</w:t>
      </w:r>
    </w:p>
    <w:p>
      <w:pPr>
        <w:pStyle w:val="Normal"/>
        <w:bidi w:val="0"/>
        <w:spacing w:lineRule="auto" w:line="288" w:before="0" w:after="80"/>
        <w:jc w:val="both"/>
        <w:rPr/>
      </w:pPr>
      <w:r>
        <w:rPr/>
        <w:t>14.2.1 A Joint Hazard Survey, led by the Directorate with the United Nations Mine Action Service as technical participant, maps the Governance Area and its approaches. The Survey proceeds segment by segment along the corridor geometry, using the survey tracks within the Central Buffer and adjacent waters recorded in Annex A.</w:t>
      </w:r>
    </w:p>
    <w:p>
      <w:pPr>
        <w:pStyle w:val="Normal"/>
        <w:bidi w:val="0"/>
        <w:spacing w:lineRule="auto" w:line="288" w:before="0" w:after="80"/>
        <w:jc w:val="both"/>
        <w:rPr/>
      </w:pPr>
      <w:r>
        <w:rPr/>
        <w:t>14.2.2 Each corridor segment opens to traffic only after the Survey certifies it clear and the Directorate publishes the certification. Segment certificates state the survey method, coverage, confidence level, and residual-risk assessment, and they publish in the Bulletin.</w:t>
      </w:r>
    </w:p>
    <w:p>
      <w:pPr>
        <w:pStyle w:val="Heading3"/>
        <w:keepNext w:val="true"/>
        <w:keepLines/>
        <w:bidi w:val="0"/>
        <w:spacing w:before="220" w:after="100"/>
        <w:rPr/>
      </w:pPr>
      <w:bookmarkStart w:id="63" w:name="__RefHeading___Toc3573_4199434714"/>
      <w:bookmarkEnd w:id="63"/>
      <w:r>
        <w:rPr/>
        <w:t>14.3 Clearance Operations</w:t>
      </w:r>
    </w:p>
    <w:p>
      <w:pPr>
        <w:pStyle w:val="Normal"/>
        <w:bidi w:val="0"/>
        <w:spacing w:lineRule="auto" w:line="288" w:before="0" w:after="80"/>
        <w:jc w:val="both"/>
        <w:rPr/>
      </w:pPr>
      <w:r>
        <w:rPr/>
        <w:t>14.3.1 Clearance operations execute under a multinational mine countermeasure tasking coordinated by the Coordination Center. Contributing states provide vessels, aircraft, and disposal teams under the contribution rules of Annex E. Operations follow the safety separation standards of Annex C, and every clearance operation publishes its track and results.</w:t>
      </w:r>
    </w:p>
    <w:p>
      <w:pPr>
        <w:pStyle w:val="Normal"/>
        <w:bidi w:val="0"/>
        <w:spacing w:lineRule="auto" w:line="288" w:before="0" w:after="80"/>
        <w:jc w:val="both"/>
        <w:rPr/>
      </w:pPr>
      <w:r>
        <w:rPr/>
        <w:t>14.3.2 Discovered ordnance receives marking, reporting, and disposal in that order of urgency. The Bulletin publishes every discovery and every clearance within 24 hours.</w:t>
      </w:r>
    </w:p>
    <w:p>
      <w:pPr>
        <w:pStyle w:val="Heading3"/>
        <w:keepNext w:val="true"/>
        <w:keepLines/>
        <w:bidi w:val="0"/>
        <w:spacing w:before="220" w:after="100"/>
        <w:rPr/>
      </w:pPr>
      <w:bookmarkStart w:id="64" w:name="__RefHeading___Toc3575_4199434714"/>
      <w:bookmarkEnd w:id="64"/>
      <w:r>
        <w:rPr/>
        <w:t>14.4 Standing Surveillance</w:t>
      </w:r>
    </w:p>
    <w:p>
      <w:pPr>
        <w:pStyle w:val="Normal"/>
        <w:bidi w:val="0"/>
        <w:spacing w:lineRule="auto" w:line="288" w:before="0" w:after="80"/>
        <w:jc w:val="both"/>
        <w:rPr/>
      </w:pPr>
      <w:r>
        <w:rPr/>
        <w:t>14.4.1 After the Joint Survey completes, standing mine surveillance continues as a permanent function of the Directorate: periodic re-survey on the schedule of Annex E, continuous analysis of sensor data, and immediate response to any report of a suspect contact. The NAVAREA IX warning channel carries every confirmed hazard report.</w:t>
      </w:r>
    </w:p>
    <w:p>
      <w:pPr>
        <w:pStyle w:val="Normal"/>
        <w:bidi w:val="0"/>
        <w:spacing w:lineRule="auto" w:line="288" w:before="0" w:after="80"/>
        <w:jc w:val="both"/>
        <w:rPr/>
      </w:pPr>
      <w:r>
        <w:rPr/>
        <w:t>14.4.2 Any report of a floating or moored suspect device triggers the corridor emergency procedures of Article 33 for the affected segment while leaving unaffected segments in operation. The system isolates hazard; it does not paralyze itself.</w:t>
      </w:r>
    </w:p>
    <w:p>
      <w:pPr>
        <w:pStyle w:val="Heading1"/>
        <w:keepNext w:val="true"/>
        <w:keepLines/>
        <w:pBdr>
          <w:bottom w:val="single" w:sz="12" w:space="6" w:color="B8860B"/>
        </w:pBdr>
        <w:bidi w:val="0"/>
        <w:spacing w:before="0" w:after="360"/>
        <w:rPr/>
      </w:pPr>
      <w:bookmarkStart w:id="65" w:name="__RefHeading___Toc3577_4199434714"/>
      <w:bookmarkEnd w:id="65"/>
      <w:r>
        <w:rPr/>
        <w:t>PART III: THE TRANSIT REGIME</w:t>
      </w:r>
    </w:p>
    <w:p>
      <w:pPr>
        <w:pStyle w:val="Heading2"/>
        <w:keepNext w:val="true"/>
        <w:keepLines/>
        <w:bidi w:val="0"/>
        <w:spacing w:before="280" w:after="120"/>
        <w:rPr/>
      </w:pPr>
      <w:bookmarkStart w:id="66" w:name="__RefHeading___Toc3579_4199434714"/>
      <w:bookmarkEnd w:id="66"/>
      <w:r>
        <w:rPr/>
        <w:t>Article 15: Notification, Not Permission</w:t>
      </w:r>
    </w:p>
    <w:p>
      <w:pPr>
        <w:pStyle w:val="Heading3"/>
        <w:keepNext w:val="true"/>
        <w:keepLines/>
        <w:bidi w:val="0"/>
        <w:spacing w:before="220" w:after="100"/>
        <w:rPr/>
      </w:pPr>
      <w:bookmarkStart w:id="67" w:name="__RefHeading___Toc3581_4199434714"/>
      <w:bookmarkEnd w:id="67"/>
      <w:r>
        <w:rPr/>
        <w:t>15.1 The File-and-Acknowledge Rule</w:t>
      </w:r>
    </w:p>
    <w:p>
      <w:pPr>
        <w:pStyle w:val="Normal"/>
        <w:bidi w:val="0"/>
        <w:spacing w:lineRule="auto" w:line="288" w:before="0" w:after="80"/>
        <w:jc w:val="both"/>
        <w:rPr/>
      </w:pPr>
      <w:r>
        <w:rPr/>
        <w:t>15.1.1 A vessel intending to transit the Strait files a Notice of Transit with the Coordination Center through the digital portal, by satellite communication, or through its flag state or agent. Filing constitutes the entirety of the vessel's administrative obligation for passage. The Coordination Center acknowledges receipt automatically and immediately. Acknowledgment confirms data receipt and corridor assignment; it grants nothing, because nothing requires granting.</w:t>
      </w:r>
    </w:p>
    <w:p>
      <w:pPr>
        <w:pStyle w:val="Normal"/>
        <w:bidi w:val="0"/>
        <w:spacing w:lineRule="auto" w:line="288" w:before="0" w:after="80"/>
        <w:jc w:val="both"/>
        <w:rPr/>
      </w:pPr>
      <w:r>
        <w:rPr/>
        <w:t>15.1.2 No organ, Party, or authority under this Charter grants, withholds, conditions, delays, or revokes passage. The system registers, sequences, advises, and protects. It never permits.</w:t>
      </w:r>
    </w:p>
    <w:p>
      <w:pPr>
        <w:pStyle w:val="Heading3"/>
        <w:keepNext w:val="true"/>
        <w:keepLines/>
        <w:bidi w:val="0"/>
        <w:spacing w:before="220" w:after="100"/>
        <w:rPr/>
      </w:pPr>
      <w:bookmarkStart w:id="68" w:name="__RefHeading___Toc3583_4199434714"/>
      <w:bookmarkEnd w:id="68"/>
      <w:r>
        <w:rPr/>
        <w:t>15.2 Content of the Notice</w:t>
      </w:r>
    </w:p>
    <w:p>
      <w:pPr>
        <w:pStyle w:val="Normal"/>
        <w:bidi w:val="0"/>
        <w:spacing w:lineRule="auto" w:line="288" w:before="0" w:after="80"/>
        <w:jc w:val="both"/>
        <w:rPr/>
      </w:pPr>
      <w:r>
        <w:rPr/>
        <w:t>15.2.1 The Notice of Transit contains only the fields of Annex D: vessel identity and flag; position and intended entry gate; draft, dimensions, and vessel class; dangerous-goods declaration to the standard of the International Maritime Dangerous Goods Code; destination port; and master contact. The Notice excludes ownership structures beyond the documented owner required for safety accountability, commercial cargo details beyond dangerous-goods declarations, charter terms, and crew nationalities beyond the safe-manning certificate.</w:t>
      </w:r>
    </w:p>
    <w:p>
      <w:pPr>
        <w:pStyle w:val="Normal"/>
        <w:bidi w:val="0"/>
        <w:spacing w:lineRule="auto" w:line="288" w:before="0" w:after="80"/>
        <w:jc w:val="both"/>
        <w:rPr/>
      </w:pPr>
      <w:r>
        <w:rPr/>
        <w:t>15.2.2 The vessel files the Notice no earlier than 96 hours and ordinarily no later than 12 hours before entry. A vessel unable to file 12 hours in advance files as early as practicable and transits under the gate sequencing that the Coordination Center assigns; lateness of filing never converts notification into permission.</w:t>
      </w:r>
    </w:p>
    <w:p>
      <w:pPr>
        <w:pStyle w:val="Heading3"/>
        <w:keepNext w:val="true"/>
        <w:keepLines/>
        <w:bidi w:val="0"/>
        <w:spacing w:before="220" w:after="100"/>
        <w:rPr/>
      </w:pPr>
      <w:bookmarkStart w:id="69" w:name="__RefHeading___Toc3585_4199434714"/>
      <w:bookmarkEnd w:id="69"/>
      <w:r>
        <w:rPr/>
        <w:t>15.3 Gate Sequencing</w:t>
      </w:r>
    </w:p>
    <w:p>
      <w:pPr>
        <w:pStyle w:val="Normal"/>
        <w:bidi w:val="0"/>
        <w:spacing w:lineRule="auto" w:line="288" w:before="0" w:after="80"/>
        <w:jc w:val="both"/>
        <w:rPr/>
      </w:pPr>
      <w:r>
        <w:rPr/>
        <w:t>15.3.1 The Coordination Center assigns each vessel a gate window to manage flow, prevent congestion, and maintain lane discipline. Gate sequencing operates on published, transparent, first-filed-first-sequenced rules with the priority classes of Article 18. A vessel that misses its window receives the next available window; it never faces penalty, levy, or denial for missing a window.</w:t>
      </w:r>
    </w:p>
    <w:p>
      <w:pPr>
        <w:pStyle w:val="Normal"/>
        <w:bidi w:val="0"/>
        <w:spacing w:lineRule="auto" w:line="288" w:before="0" w:after="80"/>
        <w:jc w:val="both"/>
        <w:rPr/>
      </w:pPr>
      <w:r>
        <w:rPr/>
        <w:t>15.3.2 The Bulletin publishes current gate congestion, average sequencing delay, and lane status in real time.</w:t>
      </w:r>
    </w:p>
    <w:p>
      <w:pPr>
        <w:pStyle w:val="Heading3"/>
        <w:keepNext w:val="true"/>
        <w:keepLines/>
        <w:bidi w:val="0"/>
        <w:spacing w:before="220" w:after="100"/>
        <w:rPr/>
      </w:pPr>
      <w:bookmarkStart w:id="70" w:name="__RefHeading___Toc3587_4199434714"/>
      <w:bookmarkEnd w:id="70"/>
      <w:r>
        <w:rPr/>
        <w:t>15.4 Standing Registration</w:t>
      </w:r>
    </w:p>
    <w:p>
      <w:pPr>
        <w:pStyle w:val="Normal"/>
        <w:bidi w:val="0"/>
        <w:spacing w:lineRule="auto" w:line="288" w:before="0" w:after="80"/>
        <w:jc w:val="both"/>
        <w:rPr/>
      </w:pPr>
      <w:r>
        <w:rPr/>
        <w:t>15.4.1 A shipping line registers its fleet once through the Standing Register of Annex D, after which individual Notices auto-populate from the registration record. Registration simplifies data; it confers no status and creates no category of preferred vessels.</w:t>
      </w:r>
    </w:p>
    <w:p>
      <w:pPr>
        <w:pStyle w:val="Heading2"/>
        <w:keepNext w:val="true"/>
        <w:keepLines/>
        <w:bidi w:val="0"/>
        <w:spacing w:before="280" w:after="120"/>
        <w:rPr/>
      </w:pPr>
      <w:bookmarkStart w:id="71" w:name="__RefHeading___Toc3589_4199434714"/>
      <w:bookmarkEnd w:id="71"/>
      <w:r>
        <w:rPr/>
        <w:t>Article 16: Vessel Classification and Differentiated Treatment</w:t>
      </w:r>
    </w:p>
    <w:p>
      <w:pPr>
        <w:pStyle w:val="Heading3"/>
        <w:keepNext w:val="true"/>
        <w:keepLines/>
        <w:bidi w:val="0"/>
        <w:spacing w:before="220" w:after="100"/>
        <w:rPr/>
      </w:pPr>
      <w:bookmarkStart w:id="72" w:name="__RefHeading___Toc3591_4199434714"/>
      <w:bookmarkEnd w:id="72"/>
      <w:r>
        <w:rPr/>
        <w:t>16.1 Classification</w:t>
      </w:r>
    </w:p>
    <w:p>
      <w:pPr>
        <w:pStyle w:val="Normal"/>
        <w:bidi w:val="0"/>
        <w:spacing w:lineRule="auto" w:line="288" w:before="0" w:after="80"/>
        <w:jc w:val="both"/>
        <w:rPr/>
      </w:pPr>
      <w:r>
        <w:rPr/>
        <w:t>16.1.1 The corridor system classifies vessels for safety and sequencing purposes only, into the classes of Annex D: deep-draft tankers and gas carriers; bulk carriers and general cargo; container vessels; humanitarian vessels; small craft and coastal traffic; fishing vessels; and state vessels on non-commercial service.</w:t>
      </w:r>
    </w:p>
    <w:p>
      <w:pPr>
        <w:pStyle w:val="Normal"/>
        <w:bidi w:val="0"/>
        <w:spacing w:lineRule="auto" w:line="288" w:before="0" w:after="80"/>
        <w:jc w:val="both"/>
        <w:rPr/>
      </w:pPr>
      <w:r>
        <w:rPr/>
        <w:t>16.1.2 Classification affects lane assignment, speed regime, gate windows, and available services. Classification never affects the right of transit, the price of passage, or the standard of protection, all of which remain identical for every vessel.</w:t>
      </w:r>
    </w:p>
    <w:p>
      <w:pPr>
        <w:pStyle w:val="Heading3"/>
        <w:keepNext w:val="true"/>
        <w:keepLines/>
        <w:bidi w:val="0"/>
        <w:spacing w:before="220" w:after="100"/>
        <w:rPr/>
      </w:pPr>
      <w:bookmarkStart w:id="73" w:name="__RefHeading___Toc3593_4199434714"/>
      <w:bookmarkEnd w:id="73"/>
      <w:r>
        <w:rPr/>
        <w:t>16.2 Humanitarian Vessels</w:t>
      </w:r>
    </w:p>
    <w:p>
      <w:pPr>
        <w:pStyle w:val="Normal"/>
        <w:bidi w:val="0"/>
        <w:spacing w:lineRule="auto" w:line="288" w:before="0" w:after="80"/>
        <w:jc w:val="both"/>
        <w:rPr/>
      </w:pPr>
      <w:r>
        <w:rPr/>
        <w:t>16.2.1 Vessels carrying food, medicine, medical equipment, fertilizer, or other relief cargo declared under the humanitarian manifest rules of Annex D receive absolute priority in every flow state and every convoy window, per Article 37. Humanitarian classification attaches to cargo and manifests, never to flag or owner.</w:t>
      </w:r>
    </w:p>
    <w:p>
      <w:pPr>
        <w:pStyle w:val="Heading3"/>
        <w:keepNext w:val="true"/>
        <w:keepLines/>
        <w:bidi w:val="0"/>
        <w:spacing w:before="220" w:after="100"/>
        <w:rPr/>
      </w:pPr>
      <w:bookmarkStart w:id="74" w:name="__RefHeading___Toc3595_4199434714"/>
      <w:bookmarkEnd w:id="74"/>
      <w:r>
        <w:rPr/>
        <w:t>16.3 Flag Neutrality</w:t>
      </w:r>
    </w:p>
    <w:p>
      <w:pPr>
        <w:pStyle w:val="Normal"/>
        <w:bidi w:val="0"/>
        <w:spacing w:lineRule="auto" w:line="288" w:before="0" w:after="80"/>
        <w:jc w:val="both"/>
        <w:rPr/>
      </w:pPr>
      <w:r>
        <w:rPr/>
        <w:t>16.3.1 The corridor system treats flags neutrally. No flag, ownership link, prior port call, payment history, or political relationship alters any vessel's rights or treatment. The False-Flag Forensic Protocol of Article 34 protects this neutrality against deception by ensuring that identity questions resolve forensically rather than politically.</w:t>
      </w:r>
    </w:p>
    <w:p>
      <w:pPr>
        <w:pStyle w:val="Heading2"/>
        <w:keepNext w:val="true"/>
        <w:keepLines/>
        <w:bidi w:val="0"/>
        <w:spacing w:before="280" w:after="120"/>
        <w:rPr/>
      </w:pPr>
      <w:bookmarkStart w:id="75" w:name="__RefHeading___Toc3597_4199434714"/>
      <w:bookmarkEnd w:id="75"/>
      <w:r>
        <w:rPr/>
        <w:t>Article 17: The Absolute Non-Interdiction Protocol</w:t>
      </w:r>
    </w:p>
    <w:p>
      <w:pPr>
        <w:pStyle w:val="Heading3"/>
        <w:keepNext w:val="true"/>
        <w:keepLines/>
        <w:bidi w:val="0"/>
        <w:spacing w:before="220" w:after="100"/>
        <w:rPr/>
      </w:pPr>
      <w:bookmarkStart w:id="76" w:name="__RefHeading___Toc3599_4199434714"/>
      <w:bookmarkEnd w:id="76"/>
      <w:r>
        <w:rPr/>
        <w:t>17.1 The Protocol</w:t>
      </w:r>
    </w:p>
    <w:p>
      <w:pPr>
        <w:pStyle w:val="Normal"/>
        <w:bidi w:val="0"/>
        <w:spacing w:lineRule="auto" w:line="288" w:before="0" w:after="80"/>
        <w:jc w:val="both"/>
        <w:rPr/>
      </w:pPr>
      <w:r>
        <w:rPr/>
        <w:t>17.1.1 Commercial transit operates under an absolute non-interdiction protocol within the Governance Area. The framework architecture excludes boarding, detention, diversion, seizure, harassment, coercive hailing, or any interference with the continuous and expeditious transit of a vessel exercising transit passage.</w:t>
      </w:r>
    </w:p>
    <w:p>
      <w:pPr>
        <w:pStyle w:val="Normal"/>
        <w:bidi w:val="0"/>
        <w:spacing w:lineRule="auto" w:line="288" w:before="0" w:after="80"/>
        <w:jc w:val="both"/>
        <w:rPr/>
      </w:pPr>
      <w:r>
        <w:rPr/>
        <w:t>17.1.2 The protocol binds every Party, every organ, and every vessel of war or state service operating within or adjacent to the Governance Area. No exception exists for nationality, cargo, or destination.</w:t>
      </w:r>
    </w:p>
    <w:p>
      <w:pPr>
        <w:pStyle w:val="Heading3"/>
        <w:keepNext w:val="true"/>
        <w:keepLines/>
        <w:bidi w:val="0"/>
        <w:spacing w:before="220" w:after="100"/>
        <w:rPr/>
      </w:pPr>
      <w:bookmarkStart w:id="77" w:name="__RefHeading___Toc3601_4199434714"/>
      <w:bookmarkEnd w:id="77"/>
      <w:r>
        <w:rPr/>
        <w:t>17.2 The Safety Exception</w:t>
      </w:r>
    </w:p>
    <w:p>
      <w:pPr>
        <w:pStyle w:val="Normal"/>
        <w:bidi w:val="0"/>
        <w:spacing w:lineRule="auto" w:line="288" w:before="0" w:after="80"/>
        <w:jc w:val="both"/>
        <w:rPr/>
      </w:pPr>
      <w:r>
        <w:rPr/>
        <w:t>17.2.1 The only lawful interruption of transit occurs where a vessel presents an imminent, observable danger to life, navigation, or the environment: a vessel adrift, afire, holed, or navigating in manifest danger of collision or grounding. Intervention in such cases serves the vessel, proceeds under the safety rules of Annex C, and ends when the danger ends. Every such intervention publishes in the Bulletin within 24 hours with full particulars.</w:t>
      </w:r>
    </w:p>
    <w:p>
      <w:pPr>
        <w:pStyle w:val="Normal"/>
        <w:bidi w:val="0"/>
        <w:spacing w:lineRule="auto" w:line="288" w:before="0" w:after="80"/>
        <w:jc w:val="both"/>
        <w:rPr/>
      </w:pPr>
      <w:r>
        <w:rPr/>
        <w:t>17.2.2 The safety exception excludes any cargo-related, sanctions-related, or political rationale. Enforcement of sanctions, blockades, or trade measures finds no place within the Governance Area under this Charter; such measures, where they exist between states, operate outside the water this Charter governs.</w:t>
      </w:r>
    </w:p>
    <w:p>
      <w:pPr>
        <w:pStyle w:val="Heading3"/>
        <w:keepNext w:val="true"/>
        <w:keepLines/>
        <w:bidi w:val="0"/>
        <w:spacing w:before="220" w:after="100"/>
        <w:rPr/>
      </w:pPr>
      <w:bookmarkStart w:id="78" w:name="__RefHeading___Toc3603_4199434714"/>
      <w:bookmarkEnd w:id="78"/>
      <w:r>
        <w:rPr/>
        <w:t>17.3 Consequences of Violation</w:t>
      </w:r>
    </w:p>
    <w:p>
      <w:pPr>
        <w:pStyle w:val="Normal"/>
        <w:bidi w:val="0"/>
        <w:spacing w:lineRule="auto" w:line="288" w:before="0" w:after="80"/>
        <w:jc w:val="both"/>
        <w:rPr/>
      </w:pPr>
      <w:r>
        <w:rPr/>
        <w:t>17.3.1 An act of interdiction in breach of this Article triggers: immediate publication; the incident procedures of Article 32; activation of the hotline obligations of Article 31 at the highest level; and the compliance consequences of Article 51. The affected vessel receives priority assistance, and the Stakeholder Panel receives full documentation.</w:t>
      </w:r>
    </w:p>
    <w:p>
      <w:pPr>
        <w:pStyle w:val="Heading2"/>
        <w:keepNext w:val="true"/>
        <w:keepLines/>
        <w:bidi w:val="0"/>
        <w:spacing w:before="280" w:after="120"/>
        <w:rPr/>
      </w:pPr>
      <w:bookmarkStart w:id="79" w:name="__RefHeading___Toc3605_4199434714"/>
      <w:bookmarkEnd w:id="79"/>
      <w:r>
        <w:rPr/>
        <w:t>Article 18: Traffic Management, Flow States, and the Open Water Bulletin</w:t>
      </w:r>
    </w:p>
    <w:p>
      <w:pPr>
        <w:pStyle w:val="Heading3"/>
        <w:keepNext w:val="true"/>
        <w:keepLines/>
        <w:bidi w:val="0"/>
        <w:spacing w:before="220" w:after="100"/>
        <w:rPr/>
      </w:pPr>
      <w:bookmarkStart w:id="80" w:name="__RefHeading___Toc3607_4199434714"/>
      <w:bookmarkEnd w:id="80"/>
      <w:r>
        <w:rPr/>
        <w:t>18.1 The Coordination Center's Traffic Function</w:t>
      </w:r>
    </w:p>
    <w:p>
      <w:pPr>
        <w:pStyle w:val="Normal"/>
        <w:bidi w:val="0"/>
        <w:spacing w:lineRule="auto" w:line="288" w:before="0" w:after="80"/>
        <w:jc w:val="both"/>
        <w:rPr/>
      </w:pPr>
      <w:r>
        <w:rPr/>
        <w:t>18.1.1 The Coordination Center manages traffic through the corridor system: gate sequencing, lane discipline advisories, convoy windows, congestion management, and coordination with the coastal states' pilotage, tug, and rescue services.</w:t>
      </w:r>
    </w:p>
    <w:p>
      <w:pPr>
        <w:pStyle w:val="Normal"/>
        <w:bidi w:val="0"/>
        <w:spacing w:lineRule="auto" w:line="288" w:before="0" w:after="80"/>
        <w:jc w:val="both"/>
        <w:rPr/>
      </w:pPr>
      <w:r>
        <w:rPr/>
        <w:t>18.1.2 Traffic management operates on published algorithms and published rules. Discretion exists only inside published margins, and every discretionary call records in the operational log that Article 53 publishes.</w:t>
      </w:r>
    </w:p>
    <w:p>
      <w:pPr>
        <w:pStyle w:val="Heading3"/>
        <w:keepNext w:val="true"/>
        <w:keepLines/>
        <w:bidi w:val="0"/>
        <w:spacing w:before="220" w:after="100"/>
        <w:rPr/>
      </w:pPr>
      <w:bookmarkStart w:id="81" w:name="__RefHeading___Toc3609_4199434714"/>
      <w:bookmarkEnd w:id="81"/>
      <w:r>
        <w:rPr/>
        <w:t>18.2 Flow States</w:t>
      </w:r>
    </w:p>
    <w:p>
      <w:pPr>
        <w:pStyle w:val="Normal"/>
        <w:bidi w:val="0"/>
        <w:spacing w:lineRule="auto" w:line="288" w:before="0" w:after="80"/>
        <w:jc w:val="both"/>
        <w:rPr/>
      </w:pPr>
      <w:r>
        <w:rPr/>
        <w:t>18.2.1 The corridor system operates in four declared flow states:</w:t>
      </w:r>
    </w:p>
    <w:p>
      <w:pPr>
        <w:pStyle w:val="Normal"/>
        <w:bidi w:val="0"/>
        <w:spacing w:lineRule="auto" w:line="288" w:before="0" w:after="80"/>
        <w:jc w:val="both"/>
        <w:rPr/>
      </w:pPr>
      <w:r>
        <w:rPr/>
        <w:t>(a) Green: normal operation, both corridors open, standard sequencing;</w:t>
      </w:r>
    </w:p>
    <w:p>
      <w:pPr>
        <w:pStyle w:val="Normal"/>
        <w:bidi w:val="0"/>
        <w:spacing w:lineRule="auto" w:line="288" w:before="0" w:after="80"/>
        <w:jc w:val="both"/>
        <w:rPr/>
      </w:pPr>
      <w:r>
        <w:rPr/>
        <w:t>(b) Amber: elevated caution, enhanced reporting intervals, convoy windows available on request, advisory speed regimes in affected segments;</w:t>
      </w:r>
    </w:p>
    <w:p>
      <w:pPr>
        <w:pStyle w:val="Normal"/>
        <w:bidi w:val="0"/>
        <w:spacing w:lineRule="auto" w:line="288" w:before="0" w:after="80"/>
        <w:jc w:val="both"/>
        <w:rPr/>
      </w:pPr>
      <w:r>
        <w:rPr/>
        <w:t>(c) Red: restricted operation of an affected segment following an incident, hazard report, or crisis declaration under Article 33, with unaffected segments continuing operation and humanitarian priority absolute;</w:t>
      </w:r>
    </w:p>
    <w:p>
      <w:pPr>
        <w:pStyle w:val="Normal"/>
        <w:bidi w:val="0"/>
        <w:spacing w:lineRule="auto" w:line="288" w:before="0" w:after="80"/>
        <w:jc w:val="both"/>
        <w:rPr/>
      </w:pPr>
      <w:r>
        <w:rPr/>
        <w:t>(d) Black: suspension of the affected segment only, declared under Article 33 alone, with automatic reversion procedures and a published restoration checklist.</w:t>
      </w:r>
    </w:p>
    <w:p>
      <w:pPr>
        <w:pStyle w:val="Normal"/>
        <w:bidi w:val="0"/>
        <w:spacing w:lineRule="auto" w:line="288" w:before="0" w:after="80"/>
        <w:jc w:val="both"/>
        <w:rPr/>
      </w:pPr>
      <w:r>
        <w:rPr/>
        <w:t>18.2.2 Only the Coordination Center, acting on the published criteria of Annex C, declares and lifts flow states. A declaration states its cause, its geographic scope, its expected duration, and its restoration criteria at the moment of issue. A flow state never applies to the whole Governance Area unless the criteria genuinely so indicate.</w:t>
      </w:r>
    </w:p>
    <w:p>
      <w:pPr>
        <w:pStyle w:val="Heading3"/>
        <w:keepNext w:val="true"/>
        <w:keepLines/>
        <w:bidi w:val="0"/>
        <w:spacing w:before="220" w:after="100"/>
        <w:rPr/>
      </w:pPr>
      <w:bookmarkStart w:id="82" w:name="__RefHeading___Toc3611_4199434714"/>
      <w:bookmarkEnd w:id="82"/>
      <w:r>
        <w:rPr/>
        <w:t>18.3 Convoy Windows</w:t>
      </w:r>
    </w:p>
    <w:p>
      <w:pPr>
        <w:pStyle w:val="Normal"/>
        <w:bidi w:val="0"/>
        <w:spacing w:lineRule="auto" w:line="288" w:before="0" w:after="80"/>
        <w:jc w:val="both"/>
        <w:rPr/>
      </w:pPr>
      <w:r>
        <w:rPr/>
        <w:t>18.3.1 During Amber and Red states, and at any time on request, the Coordination Center schedules convoy windows: grouped transits under enhanced monitoring, with optional escort services from the Verified Services Catalog. Convoy participation remains voluntary; standard transit continues alongside convoy windows.</w:t>
      </w:r>
    </w:p>
    <w:p>
      <w:pPr>
        <w:pStyle w:val="Heading3"/>
        <w:keepNext w:val="true"/>
        <w:keepLines/>
        <w:bidi w:val="0"/>
        <w:spacing w:before="220" w:after="100"/>
        <w:rPr/>
      </w:pPr>
      <w:bookmarkStart w:id="83" w:name="__RefHeading___Toc3613_4199434714"/>
      <w:bookmarkEnd w:id="83"/>
      <w:r>
        <w:rPr/>
        <w:t>18.4 The Open Water Bulletin</w:t>
      </w:r>
    </w:p>
    <w:p>
      <w:pPr>
        <w:pStyle w:val="Normal"/>
        <w:bidi w:val="0"/>
        <w:spacing w:lineRule="auto" w:line="288" w:before="0" w:after="80"/>
        <w:jc w:val="both"/>
        <w:rPr/>
      </w:pPr>
      <w:r>
        <w:rPr/>
        <w:t>18.4.1 The Secretariat publishes the Open Water Bulletin continuously, in English, Arabic, and Persian. The Bulletin carries: flow states and gate congestion; corridor certifications; hazard reports and clearances; Notices to Mariners; incident summaries; Transition Ledger entries; fund transparency data; and the standing assurance statement of the Joint Council.</w:t>
      </w:r>
    </w:p>
    <w:p>
      <w:pPr>
        <w:pStyle w:val="Normal"/>
        <w:bidi w:val="0"/>
        <w:spacing w:lineRule="auto" w:line="288" w:before="0" w:after="80"/>
        <w:jc w:val="both"/>
        <w:rPr/>
      </w:pPr>
      <w:r>
        <w:rPr/>
        <w:t>18.4.2 The Bulletin publishes through open web access, satellite broadcast channels for vessels without connectivity, and direct feed to the International Maritime Organization, UKMTO-equivalent reporting centers, flag states, and the Stakeholder Panel. Bulletin data feeds the insurance and market transparency functions of Article 26.</w:t>
      </w:r>
    </w:p>
    <w:p>
      <w:pPr>
        <w:pStyle w:val="Heading2"/>
        <w:keepNext w:val="true"/>
        <w:keepLines/>
        <w:bidi w:val="0"/>
        <w:spacing w:before="280" w:after="120"/>
        <w:rPr/>
      </w:pPr>
      <w:bookmarkStart w:id="84" w:name="__RefHeading___Toc3615_4199434714"/>
      <w:bookmarkEnd w:id="84"/>
      <w:r>
        <w:rPr/>
        <w:t>Article 19: Anchorages and Waiting Discipline</w:t>
      </w:r>
    </w:p>
    <w:p>
      <w:pPr>
        <w:pStyle w:val="Heading3"/>
        <w:keepNext w:val="true"/>
        <w:keepLines/>
        <w:bidi w:val="0"/>
        <w:spacing w:before="220" w:after="100"/>
        <w:rPr/>
      </w:pPr>
      <w:bookmarkStart w:id="85" w:name="__RefHeading___Toc3617_4199434714"/>
      <w:bookmarkEnd w:id="85"/>
      <w:r>
        <w:rPr/>
        <w:t>19.1 Designated Anchorages</w:t>
      </w:r>
    </w:p>
    <w:p>
      <w:pPr>
        <w:pStyle w:val="Normal"/>
        <w:bidi w:val="0"/>
        <w:spacing w:lineRule="auto" w:line="288" w:before="0" w:after="80"/>
        <w:jc w:val="both"/>
        <w:rPr/>
      </w:pPr>
      <w:r>
        <w:rPr/>
        <w:t>19.1.1 The Registry records designated anchorage and waiting areas at the approaches to both corridors, in the positions of Annex A. The southern waiting area off Oman serves as the primary staging area; the northern waiting area serves overflow and Gulf-side staging.</w:t>
      </w:r>
    </w:p>
    <w:p>
      <w:pPr>
        <w:pStyle w:val="Normal"/>
        <w:bidi w:val="0"/>
        <w:spacing w:lineRule="auto" w:line="288" w:before="0" w:after="80"/>
        <w:jc w:val="both"/>
        <w:rPr/>
      </w:pPr>
      <w:r>
        <w:rPr/>
        <w:t>19.1.2 Anchorage allocation operates through the Coordination Center on transparent rules. Anchorages operate at published capacity with published separation standards to manage collision and anchor-drag risk in congested or electronically degraded conditions.</w:t>
      </w:r>
    </w:p>
    <w:p>
      <w:pPr>
        <w:pStyle w:val="Heading3"/>
        <w:keepNext w:val="true"/>
        <w:keepLines/>
        <w:bidi w:val="0"/>
        <w:spacing w:before="220" w:after="100"/>
        <w:rPr/>
      </w:pPr>
      <w:bookmarkStart w:id="86" w:name="__RefHeading___Toc3619_4199434714"/>
      <w:bookmarkEnd w:id="86"/>
      <w:r>
        <w:rPr/>
        <w:t>19.2 Waiting Discipline</w:t>
      </w:r>
    </w:p>
    <w:p>
      <w:pPr>
        <w:pStyle w:val="Normal"/>
        <w:bidi w:val="0"/>
        <w:spacing w:lineRule="auto" w:line="288" w:before="0" w:after="80"/>
        <w:jc w:val="both"/>
        <w:rPr/>
      </w:pPr>
      <w:r>
        <w:rPr/>
        <w:t>19.2.1 Vessels awaiting gate windows hold in designated areas, maintain watch on the published channels, and observe the standoff distances of Annex C from naval units and exclusion areas. The Coordination Center publishes expected waiting times and updates them at intervals not exceeding six hours.</w:t>
      </w:r>
    </w:p>
    <w:p>
      <w:pPr>
        <w:pStyle w:val="Heading3"/>
        <w:keepNext w:val="true"/>
        <w:keepLines/>
        <w:bidi w:val="0"/>
        <w:spacing w:before="220" w:after="100"/>
        <w:rPr/>
      </w:pPr>
      <w:bookmarkStart w:id="87" w:name="__RefHeading___Toc3621_4199434714"/>
      <w:bookmarkEnd w:id="87"/>
      <w:r>
        <w:rPr/>
        <w:t>19.3 Anchorage Services</w:t>
      </w:r>
    </w:p>
    <w:p>
      <w:pPr>
        <w:pStyle w:val="Normal"/>
        <w:bidi w:val="0"/>
        <w:spacing w:lineRule="auto" w:line="288" w:before="0" w:after="80"/>
        <w:jc w:val="both"/>
        <w:rPr/>
      </w:pPr>
      <w:r>
        <w:rPr/>
        <w:t>19.3.1 Vessels at anchor access the verified services of Annex B: provisioning, fresh water, medical support, bunkering where permitted, waste reception, and crew welfare services, delivered through the coastal states' port service networks at catalog rates.</w:t>
      </w:r>
    </w:p>
    <w:p>
      <w:pPr>
        <w:pStyle w:val="Heading2"/>
        <w:keepNext w:val="true"/>
        <w:keepLines/>
        <w:bidi w:val="0"/>
        <w:spacing w:before="280" w:after="120"/>
        <w:rPr/>
      </w:pPr>
      <w:bookmarkStart w:id="88" w:name="__RefHeading___Toc3623_4199434714"/>
      <w:bookmarkEnd w:id="88"/>
      <w:r>
        <w:rPr/>
        <w:t>Article 20: Naval and Military Transit</w:t>
      </w:r>
    </w:p>
    <w:p>
      <w:pPr>
        <w:pStyle w:val="Heading3"/>
        <w:keepNext w:val="true"/>
        <w:keepLines/>
        <w:bidi w:val="0"/>
        <w:spacing w:before="220" w:after="100"/>
        <w:rPr/>
      </w:pPr>
      <w:bookmarkStart w:id="89" w:name="__RefHeading___Toc3625_4199434714"/>
      <w:bookmarkEnd w:id="89"/>
      <w:r>
        <w:rPr/>
        <w:t>20.1 The Standing Rule</w:t>
      </w:r>
    </w:p>
    <w:p>
      <w:pPr>
        <w:pStyle w:val="Normal"/>
        <w:bidi w:val="0"/>
        <w:spacing w:lineRule="auto" w:line="288" w:before="0" w:after="80"/>
        <w:jc w:val="both"/>
        <w:rPr/>
      </w:pPr>
      <w:r>
        <w:rPr/>
        <w:t>20.1.1 Warships and state vessels exercise transit passage through the Strait like all vessels, under the same non-interdiction protocol. In addition, naval forces of the Parties operating within or adjacent to the Governance Area observe the standoff geometry, notification rules, and deconfliction procedures of Part V.</w:t>
      </w:r>
    </w:p>
    <w:p>
      <w:pPr>
        <w:pStyle w:val="Heading3"/>
        <w:keepNext w:val="true"/>
        <w:keepLines/>
        <w:bidi w:val="0"/>
        <w:spacing w:before="220" w:after="100"/>
        <w:rPr/>
      </w:pPr>
      <w:bookmarkStart w:id="90" w:name="__RefHeading___Toc3627_4199434714"/>
      <w:bookmarkEnd w:id="90"/>
      <w:r>
        <w:rPr/>
        <w:t>20.2 Naval Notification</w:t>
      </w:r>
    </w:p>
    <w:p>
      <w:pPr>
        <w:pStyle w:val="Normal"/>
        <w:bidi w:val="0"/>
        <w:spacing w:lineRule="auto" w:line="288" w:before="0" w:after="80"/>
        <w:jc w:val="both"/>
        <w:rPr/>
      </w:pPr>
      <w:r>
        <w:rPr/>
        <w:t>20.2.1 Naval units of the Parties file movement notifications with the Coordination Center on the encrypted military channel of Article 31, stating unit type, track, speed, and duration of presence. Notification content remains within the protected confidentiality class of Article 21 and publishes only as aggregated presence statistics, never as unit-level tracks.</w:t>
      </w:r>
    </w:p>
    <w:p>
      <w:pPr>
        <w:pStyle w:val="Heading3"/>
        <w:keepNext w:val="true"/>
        <w:keepLines/>
        <w:bidi w:val="0"/>
        <w:spacing w:before="220" w:after="100"/>
        <w:rPr/>
      </w:pPr>
      <w:bookmarkStart w:id="91" w:name="__RefHeading___Toc3629_4199434714"/>
      <w:bookmarkEnd w:id="91"/>
      <w:r>
        <w:rPr/>
        <w:t>20.3 Conduct at Sea</w:t>
      </w:r>
    </w:p>
    <w:p>
      <w:pPr>
        <w:pStyle w:val="Normal"/>
        <w:bidi w:val="0"/>
        <w:spacing w:lineRule="auto" w:line="288" w:before="0" w:after="80"/>
        <w:jc w:val="both"/>
        <w:rPr/>
      </w:pPr>
      <w:r>
        <w:rPr/>
        <w:t>20.3.1 Naval units maintain the published separation distances from merchant traffic, avoid maneuvers that a reasonable mariner reads as threatening, and refrain from coercive hailing of merchant vessels. Approaches for safety information occur only through the standard channels and phraseology of Annex C.</w:t>
      </w:r>
    </w:p>
    <w:p>
      <w:pPr>
        <w:pStyle w:val="Normal"/>
        <w:bidi w:val="0"/>
        <w:spacing w:lineRule="auto" w:line="288" w:before="0" w:after="80"/>
        <w:jc w:val="both"/>
        <w:rPr/>
      </w:pPr>
      <w:r>
        <w:rPr/>
        <w:t>20.3.2 Exercises within 50 nautical miles of the Strait's centerline occur only under the notification regime of Article 35 and never inside an active corridor lane or the Central Buffer.</w:t>
      </w:r>
    </w:p>
    <w:p>
      <w:pPr>
        <w:pStyle w:val="Heading2"/>
        <w:keepNext w:val="true"/>
        <w:keepLines/>
        <w:bidi w:val="0"/>
        <w:spacing w:before="280" w:after="120"/>
        <w:rPr/>
      </w:pPr>
      <w:bookmarkStart w:id="92" w:name="__RefHeading___Toc3631_4199434714"/>
      <w:bookmarkEnd w:id="92"/>
      <w:r>
        <w:rPr/>
        <w:t>Article 21: Data Custody and Confidentiality</w:t>
      </w:r>
    </w:p>
    <w:p>
      <w:pPr>
        <w:pStyle w:val="Heading3"/>
        <w:keepNext w:val="true"/>
        <w:keepLines/>
        <w:bidi w:val="0"/>
        <w:spacing w:before="220" w:after="100"/>
        <w:rPr/>
      </w:pPr>
      <w:bookmarkStart w:id="93" w:name="__RefHeading___Toc3633_4199434714"/>
      <w:bookmarkEnd w:id="93"/>
      <w:r>
        <w:rPr/>
        <w:t>21.1 The Data Rule</w:t>
      </w:r>
    </w:p>
    <w:p>
      <w:pPr>
        <w:pStyle w:val="Normal"/>
        <w:bidi w:val="0"/>
        <w:spacing w:lineRule="auto" w:line="288" w:before="0" w:after="80"/>
        <w:jc w:val="both"/>
        <w:rPr/>
      </w:pPr>
      <w:r>
        <w:rPr/>
        <w:t>21.1.1 Data collected under this Charter serves safety, verification, and accountability, and nothing else. The Secretariat holds custody of operational data under the data-custody rules of Annex G.</w:t>
      </w:r>
    </w:p>
    <w:p>
      <w:pPr>
        <w:pStyle w:val="Normal"/>
        <w:bidi w:val="0"/>
        <w:spacing w:lineRule="auto" w:line="288" w:before="0" w:after="80"/>
        <w:jc w:val="both"/>
        <w:rPr/>
      </w:pPr>
      <w:r>
        <w:rPr/>
        <w:t>21.1.2 Vessel commercial data beyond the Notice fields of Annex D never enters the system. Data in the system never transfers to any Party for sanctions enforcement, commercial intelligence, or targeting, and every access to the system records in an immutable access log that the Directorate audits quarterly.</w:t>
      </w:r>
    </w:p>
    <w:p>
      <w:pPr>
        <w:pStyle w:val="Heading3"/>
        <w:keepNext w:val="true"/>
        <w:keepLines/>
        <w:bidi w:val="0"/>
        <w:spacing w:before="220" w:after="100"/>
        <w:rPr/>
      </w:pPr>
      <w:bookmarkStart w:id="94" w:name="__RefHeading___Toc3635_4199434714"/>
      <w:bookmarkEnd w:id="94"/>
      <w:r>
        <w:rPr/>
        <w:t>21.2 Confidentiality Classes</w:t>
      </w:r>
    </w:p>
    <w:p>
      <w:pPr>
        <w:pStyle w:val="Normal"/>
        <w:bidi w:val="0"/>
        <w:spacing w:lineRule="auto" w:line="288" w:before="0" w:after="80"/>
        <w:jc w:val="both"/>
        <w:rPr/>
      </w:pPr>
      <w:r>
        <w:rPr/>
        <w:t>21.2.1 The system recognizes three confidentiality classes:</w:t>
      </w:r>
    </w:p>
    <w:p>
      <w:pPr>
        <w:pStyle w:val="Normal"/>
        <w:bidi w:val="0"/>
        <w:spacing w:lineRule="auto" w:line="288" w:before="0" w:after="80"/>
        <w:jc w:val="both"/>
        <w:rPr/>
      </w:pPr>
      <w:r>
        <w:rPr/>
        <w:t>(a) Open: everything the Bulletin publishes, all fund accounts, all compliance determinations, all incident records, all corridor certifications;</w:t>
      </w:r>
    </w:p>
    <w:p>
      <w:pPr>
        <w:pStyle w:val="Normal"/>
        <w:bidi w:val="0"/>
        <w:spacing w:lineRule="auto" w:line="288" w:before="0" w:after="80"/>
        <w:jc w:val="both"/>
        <w:rPr/>
      </w:pPr>
      <w:r>
        <w:rPr/>
        <w:t>(b) Restricted: unit-level naval notifications, personal data of seafarers, and the security details of the hotline network, retained under the retention schedules of Annex G;</w:t>
      </w:r>
    </w:p>
    <w:p>
      <w:pPr>
        <w:pStyle w:val="Normal"/>
        <w:bidi w:val="0"/>
        <w:spacing w:lineRule="auto" w:line="288" w:before="0" w:after="80"/>
        <w:jc w:val="both"/>
        <w:rPr/>
      </w:pPr>
      <w:r>
        <w:rPr/>
        <w:t>(c) Sealed: material sealed by the Tribunal under Article 57 for the duration of a proceeding, opening by operation of law when the proceeding closes.</w:t>
      </w:r>
    </w:p>
    <w:p>
      <w:pPr>
        <w:pStyle w:val="Normal"/>
        <w:bidi w:val="0"/>
        <w:spacing w:lineRule="auto" w:line="288" w:before="0" w:after="80"/>
        <w:jc w:val="both"/>
        <w:rPr/>
      </w:pPr>
      <w:r>
        <w:rPr/>
        <w:t>21.2.2 No other confidentiality class exists. In particular, no class shields safety-of-navigation information, financial flows, or verification findings from publication.</w:t>
      </w:r>
    </w:p>
    <w:p>
      <w:pPr>
        <w:pStyle w:val="Heading3"/>
        <w:keepNext w:val="true"/>
        <w:keepLines/>
        <w:bidi w:val="0"/>
        <w:spacing w:before="220" w:after="100"/>
        <w:rPr/>
      </w:pPr>
      <w:bookmarkStart w:id="95" w:name="__RefHeading___Toc3637_4199434714"/>
      <w:bookmarkEnd w:id="95"/>
      <w:r>
        <w:rPr/>
        <w:t>21.3 Cybersecurity and Integrity</w:t>
      </w:r>
    </w:p>
    <w:p>
      <w:pPr>
        <w:pStyle w:val="Normal"/>
        <w:bidi w:val="0"/>
        <w:spacing w:lineRule="auto" w:line="288" w:before="0" w:after="80"/>
        <w:jc w:val="both"/>
        <w:rPr/>
      </w:pPr>
      <w:r>
        <w:rPr/>
        <w:t>21.3.1 The Secretariat maintains the corridor system's digital infrastructure to the security standards of Annex G: segregated networks, redundant hosting in both founding states and one neutral state, cryptographic chain-of-custody logging, and annual penetration testing by an independent provider selected by the Joint Council. Security incidents affecting the system publish in the Bulletin within 48 hours.</w:t>
      </w:r>
    </w:p>
    <w:p>
      <w:pPr>
        <w:pStyle w:val="Heading1"/>
        <w:keepNext w:val="true"/>
        <w:keepLines/>
        <w:pBdr>
          <w:bottom w:val="single" w:sz="12" w:space="6" w:color="B8860B"/>
        </w:pBdr>
        <w:bidi w:val="0"/>
        <w:spacing w:before="0" w:after="360"/>
        <w:rPr/>
      </w:pPr>
      <w:bookmarkStart w:id="96" w:name="__RefHeading___Toc3639_4199434714"/>
      <w:bookmarkEnd w:id="96"/>
      <w:r>
        <w:rPr/>
        <w:t>PART IV: THE FEE RESOLUTION AND THE ECONOMIC ARCHITECTURE</w:t>
      </w:r>
    </w:p>
    <w:p>
      <w:pPr>
        <w:pStyle w:val="Heading2"/>
        <w:keepNext w:val="true"/>
        <w:keepLines/>
        <w:bidi w:val="0"/>
        <w:spacing w:before="280" w:after="120"/>
        <w:rPr/>
      </w:pPr>
      <w:bookmarkStart w:id="97" w:name="__RefHeading___Toc3641_4199434714"/>
      <w:bookmarkEnd w:id="97"/>
      <w:r>
        <w:rPr/>
        <w:t>Article 22: The Zero-Toll Covenant</w:t>
      </w:r>
    </w:p>
    <w:p>
      <w:pPr>
        <w:pStyle w:val="Heading3"/>
        <w:keepNext w:val="true"/>
        <w:keepLines/>
        <w:bidi w:val="0"/>
        <w:spacing w:before="220" w:after="100"/>
        <w:rPr/>
      </w:pPr>
      <w:bookmarkStart w:id="98" w:name="__RefHeading___Toc3643_4199434714"/>
      <w:bookmarkEnd w:id="98"/>
      <w:r>
        <w:rPr/>
        <w:t>22.1 The Covenant</w:t>
      </w:r>
    </w:p>
    <w:p>
      <w:pPr>
        <w:pStyle w:val="Normal"/>
        <w:bidi w:val="0"/>
        <w:spacing w:lineRule="auto" w:line="288" w:before="0" w:after="80"/>
        <w:jc w:val="both"/>
        <w:rPr/>
      </w:pPr>
      <w:r>
        <w:rPr/>
        <w:t>22.1.1 Passage through the Strait of Hormuz remains free of any charge that functions as a condition of passage. The framework architecture excludes every transit toll, passage fee, per-transit levy, and payment for the right to pass, by whatever name, at whatever collection point, in whatever currency, and in whatever form, monetary or in kind.</w:t>
      </w:r>
    </w:p>
    <w:p>
      <w:pPr>
        <w:pStyle w:val="Normal"/>
        <w:bidi w:val="0"/>
        <w:spacing w:lineRule="auto" w:line="288" w:before="0" w:after="80"/>
        <w:jc w:val="both"/>
        <w:rPr/>
      </w:pPr>
      <w:r>
        <w:rPr/>
        <w:t>22.1.2 The Zero-Toll Covenant binds every Party and every organ. It binds regardless of where collection occurs: no Party collects a transit toll in the Strait, at its ports, at ports of origin or destination abroad, through insurers, through agents, or through any intermediary.</w:t>
      </w:r>
    </w:p>
    <w:p>
      <w:pPr>
        <w:pStyle w:val="Heading3"/>
        <w:keepNext w:val="true"/>
        <w:keepLines/>
        <w:bidi w:val="0"/>
        <w:spacing w:before="220" w:after="100"/>
        <w:rPr/>
      </w:pPr>
      <w:bookmarkStart w:id="99" w:name="__RefHeading___Toc3645_4199434714"/>
      <w:bookmarkEnd w:id="99"/>
      <w:r>
        <w:rPr/>
        <w:t>22.2 The Substance Anchor</w:t>
      </w:r>
    </w:p>
    <w:p>
      <w:pPr>
        <w:pStyle w:val="Normal"/>
        <w:bidi w:val="0"/>
        <w:spacing w:lineRule="auto" w:line="288" w:before="0" w:after="80"/>
        <w:jc w:val="both"/>
        <w:rPr/>
      </w:pPr>
      <w:r>
        <w:rPr/>
        <w:t>22.2.1 The Covenant applies to substance over form. A payment whose amount, timing, or collection point tracks the act of transit, and whose payment a vessel cannot practically decline without losing passage, counts as a transit toll even if labeled a service fee, contribution, subscription, or donation. Article 27 supplies the full substance test.</w:t>
      </w:r>
    </w:p>
    <w:p>
      <w:pPr>
        <w:pStyle w:val="Heading3"/>
        <w:keepNext w:val="true"/>
        <w:keepLines/>
        <w:bidi w:val="0"/>
        <w:spacing w:before="220" w:after="100"/>
        <w:rPr/>
      </w:pPr>
      <w:bookmarkStart w:id="100" w:name="__RefHeading___Toc3647_4199434714"/>
      <w:bookmarkEnd w:id="100"/>
      <w:r>
        <w:rPr/>
        <w:t>22.3 The Record of the Compromise</w:t>
      </w:r>
    </w:p>
    <w:p>
      <w:pPr>
        <w:pStyle w:val="Normal"/>
        <w:bidi w:val="0"/>
        <w:spacing w:lineRule="auto" w:line="288" w:before="0" w:after="80"/>
        <w:jc w:val="both"/>
        <w:rPr/>
      </w:pPr>
      <w:r>
        <w:rPr/>
        <w:t>22.3.1 The Parties record in this Charter the political settlement that the Covenant embodies: the founding parties forgo any mandatory fee regime for the Strait, and the Charter answers the legitimate revenue and recognition interests behind that demand through the service architecture of Article 23, the Fund of Article 24, the development windows of Article 29, and the institutional recognition of Part VII. This settlement stands as a package; its elements hold together or not at all.</w:t>
      </w:r>
    </w:p>
    <w:p>
      <w:pPr>
        <w:pStyle w:val="Heading2"/>
        <w:keepNext w:val="true"/>
        <w:keepLines/>
        <w:bidi w:val="0"/>
        <w:spacing w:before="280" w:after="120"/>
        <w:rPr/>
      </w:pPr>
      <w:bookmarkStart w:id="101" w:name="__RefHeading___Toc3649_4199434714"/>
      <w:bookmarkEnd w:id="101"/>
      <w:r>
        <w:rPr/>
        <w:t>Article 23: The Service Distinction and the Verified Services Catalog</w:t>
      </w:r>
    </w:p>
    <w:p>
      <w:pPr>
        <w:pStyle w:val="Heading3"/>
        <w:keepNext w:val="true"/>
        <w:keepLines/>
        <w:bidi w:val="0"/>
        <w:spacing w:before="220" w:after="100"/>
        <w:rPr/>
      </w:pPr>
      <w:bookmarkStart w:id="102" w:name="__RefHeading___Toc3651_4199434714"/>
      <w:bookmarkEnd w:id="102"/>
      <w:r>
        <w:rPr/>
        <w:t>23.1 The Distinction</w:t>
      </w:r>
    </w:p>
    <w:p>
      <w:pPr>
        <w:pStyle w:val="Normal"/>
        <w:bidi w:val="0"/>
        <w:spacing w:lineRule="auto" w:line="288" w:before="0" w:after="80"/>
        <w:jc w:val="both"/>
        <w:rPr/>
      </w:pPr>
      <w:r>
        <w:rPr/>
        <w:t>23.1.1 International law distinguishes a charge on passage, which this Charter prohibits, from a charge for specific services actually rendered, which this Charter permits within strict limits. The Charter's financial architecture rests entirely on the second category and builds four walls around it: a closed catalog, a documented-delivery rule, a request-or-benefit rule, and a rate-discipline rule.</w:t>
      </w:r>
    </w:p>
    <w:p>
      <w:pPr>
        <w:pStyle w:val="Heading3"/>
        <w:keepNext w:val="true"/>
        <w:keepLines/>
        <w:bidi w:val="0"/>
        <w:spacing w:before="220" w:after="100"/>
        <w:rPr/>
      </w:pPr>
      <w:bookmarkStart w:id="103" w:name="__RefHeading___Toc3653_4199434714"/>
      <w:bookmarkEnd w:id="103"/>
      <w:r>
        <w:rPr/>
        <w:t>23.2 The Verified Services Catalog</w:t>
      </w:r>
    </w:p>
    <w:p>
      <w:pPr>
        <w:pStyle w:val="Normal"/>
        <w:bidi w:val="0"/>
        <w:spacing w:lineRule="auto" w:line="288" w:before="0" w:after="80"/>
        <w:jc w:val="both"/>
        <w:rPr/>
      </w:pPr>
      <w:r>
        <w:rPr/>
        <w:t>23.2.1 Annex B contains the Verified Services Catalog, the closed list of services from which charges issue. The Catalog comprises:</w:t>
      </w:r>
    </w:p>
    <w:p>
      <w:pPr>
        <w:pStyle w:val="Normal"/>
        <w:bidi w:val="0"/>
        <w:spacing w:lineRule="auto" w:line="288" w:before="0" w:after="80"/>
        <w:jc w:val="both"/>
        <w:rPr/>
      </w:pPr>
      <w:r>
        <w:rPr/>
        <w:t>(a) Pilotage, on request;</w:t>
      </w:r>
    </w:p>
    <w:p>
      <w:pPr>
        <w:pStyle w:val="Normal"/>
        <w:bidi w:val="0"/>
        <w:spacing w:lineRule="auto" w:line="288" w:before="0" w:after="80"/>
        <w:jc w:val="both"/>
        <w:rPr/>
      </w:pPr>
      <w:r>
        <w:rPr/>
        <w:t>(b) Tug assistance and escort, on request;</w:t>
      </w:r>
    </w:p>
    <w:p>
      <w:pPr>
        <w:pStyle w:val="Normal"/>
        <w:bidi w:val="0"/>
        <w:spacing w:lineRule="auto" w:line="288" w:before="0" w:after="80"/>
        <w:jc w:val="both"/>
        <w:rPr/>
      </w:pPr>
      <w:r>
        <w:rPr/>
        <w:t>(c) Vessel traffic service beyond the baseline, where a vessel requests enhanced tracking or routing support;</w:t>
      </w:r>
    </w:p>
    <w:p>
      <w:pPr>
        <w:pStyle w:val="Normal"/>
        <w:bidi w:val="0"/>
        <w:spacing w:lineRule="auto" w:line="288" w:before="0" w:after="80"/>
        <w:jc w:val="both"/>
        <w:rPr/>
      </w:pPr>
      <w:r>
        <w:rPr/>
        <w:t>(d) Convoy escort during elevated flow states, on request;</w:t>
      </w:r>
    </w:p>
    <w:p>
      <w:pPr>
        <w:pStyle w:val="Normal"/>
        <w:bidi w:val="0"/>
        <w:spacing w:lineRule="auto" w:line="288" w:before="0" w:after="80"/>
        <w:jc w:val="both"/>
        <w:rPr/>
      </w:pPr>
      <w:r>
        <w:rPr/>
        <w:t>(e) Search and rescue cost recovery in cases of owner negligence, as limited by Annex B;</w:t>
      </w:r>
    </w:p>
    <w:p>
      <w:pPr>
        <w:pStyle w:val="Normal"/>
        <w:bidi w:val="0"/>
        <w:spacing w:lineRule="auto" w:line="288" w:before="0" w:after="80"/>
        <w:jc w:val="both"/>
        <w:rPr/>
      </w:pPr>
      <w:r>
        <w:rPr/>
        <w:t>(f) Environmental services: waste reception, ballast management, and spill-response call-out;</w:t>
      </w:r>
    </w:p>
    <w:p>
      <w:pPr>
        <w:pStyle w:val="Normal"/>
        <w:bidi w:val="0"/>
        <w:spacing w:lineRule="auto" w:line="288" w:before="0" w:after="80"/>
        <w:jc w:val="both"/>
        <w:rPr/>
      </w:pPr>
      <w:r>
        <w:rPr/>
        <w:t>(g) Route Assurance Data Service: subscription access to the enhanced verified tracking, hazard, and assurance data products of Article 53;</w:t>
      </w:r>
    </w:p>
    <w:p>
      <w:pPr>
        <w:pStyle w:val="Normal"/>
        <w:bidi w:val="0"/>
        <w:spacing w:lineRule="auto" w:line="288" w:before="0" w:after="80"/>
        <w:jc w:val="both"/>
        <w:rPr/>
      </w:pPr>
      <w:r>
        <w:rPr/>
        <w:t>(h) Bunkering, provisioning, and port services at coastal-state ports;</w:t>
      </w:r>
    </w:p>
    <w:p>
      <w:pPr>
        <w:pStyle w:val="Normal"/>
        <w:bidi w:val="0"/>
        <w:spacing w:lineRule="auto" w:line="288" w:before="0" w:after="80"/>
        <w:jc w:val="both"/>
        <w:rPr/>
      </w:pPr>
      <w:r>
        <w:rPr/>
        <w:t>(i) Navigational aid maintenance, funded through the common system charge described in Article 25;</w:t>
      </w:r>
    </w:p>
    <w:p>
      <w:pPr>
        <w:pStyle w:val="Normal"/>
        <w:bidi w:val="0"/>
        <w:spacing w:lineRule="auto" w:line="288" w:before="0" w:after="80"/>
        <w:jc w:val="both"/>
        <w:rPr/>
      </w:pPr>
      <w:r>
        <w:rPr/>
        <w:t>(j) Charting and survey products.</w:t>
      </w:r>
    </w:p>
    <w:p>
      <w:pPr>
        <w:pStyle w:val="Normal"/>
        <w:bidi w:val="0"/>
        <w:spacing w:lineRule="auto" w:line="288" w:before="0" w:after="80"/>
        <w:jc w:val="both"/>
        <w:rPr/>
      </w:pPr>
      <w:r>
        <w:rPr/>
        <w:t>23.2.2 The Catalog admits no other charge. Amendment of the Catalog follows Article 66 and requires the additional protection of a supermajority including both founding parties and a two-thirds majority of regional members.</w:t>
      </w:r>
    </w:p>
    <w:p>
      <w:pPr>
        <w:pStyle w:val="Heading3"/>
        <w:keepNext w:val="true"/>
        <w:keepLines/>
        <w:bidi w:val="0"/>
        <w:spacing w:before="220" w:after="100"/>
        <w:rPr/>
      </w:pPr>
      <w:bookmarkStart w:id="104" w:name="__RefHeading___Toc3655_4199434714"/>
      <w:bookmarkEnd w:id="104"/>
      <w:r>
        <w:rPr/>
        <w:t>23.3 The Documented-Delivery Rule</w:t>
      </w:r>
    </w:p>
    <w:p>
      <w:pPr>
        <w:pStyle w:val="Normal"/>
        <w:bidi w:val="0"/>
        <w:spacing w:lineRule="auto" w:line="288" w:before="0" w:after="80"/>
        <w:jc w:val="both"/>
        <w:rPr/>
      </w:pPr>
      <w:r>
        <w:rPr/>
        <w:t>23.3.1 Every charge under the Catalog requires documented delivery: a service record identifying the service, the vessel, the time, the provider, and the delivery evidence, filed with the Secretariat within 48 hours and open to audit by the Fund auditors of Article 54. A charge without a service record is void, and its collection constitutes a breach of the Red Lines Register.</w:t>
      </w:r>
    </w:p>
    <w:p>
      <w:pPr>
        <w:pStyle w:val="Heading3"/>
        <w:keepNext w:val="true"/>
        <w:keepLines/>
        <w:bidi w:val="0"/>
        <w:spacing w:before="220" w:after="100"/>
        <w:rPr/>
      </w:pPr>
      <w:bookmarkStart w:id="105" w:name="__RefHeading___Toc3657_4199434714"/>
      <w:bookmarkEnd w:id="105"/>
      <w:r>
        <w:rPr/>
        <w:t>23.4 The Request-or-Benefit Rule</w:t>
      </w:r>
    </w:p>
    <w:p>
      <w:pPr>
        <w:pStyle w:val="Normal"/>
        <w:bidi w:val="0"/>
        <w:spacing w:lineRule="auto" w:line="288" w:before="0" w:after="80"/>
        <w:jc w:val="both"/>
        <w:rPr/>
      </w:pPr>
      <w:r>
        <w:rPr/>
        <w:t>23.4.1 Vessel-specific charges issue only for services the vessel requests. System-wide charges, namely the navigational-aid and common-system components of Article 25, issue only against documented common benefit delivered uniformly to all users. No charge attaches to the act of transit itself.</w:t>
      </w:r>
    </w:p>
    <w:p>
      <w:pPr>
        <w:pStyle w:val="Heading2"/>
        <w:keepNext w:val="true"/>
        <w:keepLines/>
        <w:bidi w:val="0"/>
        <w:spacing w:before="280" w:after="120"/>
        <w:rPr/>
      </w:pPr>
      <w:bookmarkStart w:id="106" w:name="__RefHeading___Toc3659_4199434714"/>
      <w:bookmarkEnd w:id="106"/>
      <w:r>
        <w:rPr/>
        <w:t>Article 24: The Hormuz Stewardship Fund</w:t>
      </w:r>
    </w:p>
    <w:p>
      <w:pPr>
        <w:pStyle w:val="Heading3"/>
        <w:keepNext w:val="true"/>
        <w:keepLines/>
        <w:bidi w:val="0"/>
        <w:spacing w:before="220" w:after="100"/>
        <w:rPr/>
      </w:pPr>
      <w:bookmarkStart w:id="107" w:name="__RefHeading___Toc3661_4199434714"/>
      <w:bookmarkEnd w:id="107"/>
      <w:r>
        <w:rPr/>
        <w:t>24.1 Establishment</w:t>
      </w:r>
    </w:p>
    <w:p>
      <w:pPr>
        <w:pStyle w:val="Normal"/>
        <w:bidi w:val="0"/>
        <w:spacing w:lineRule="auto" w:line="288" w:before="0" w:after="80"/>
        <w:jc w:val="both"/>
        <w:rPr/>
      </w:pPr>
      <w:r>
        <w:rPr/>
        <w:t>24.1.1 The Parties establish the Hormuz Stewardship Fund as the financial heart of the Charter. The Fund finances navigation safety, environmental protection, search and rescue, hazard surveillance, the institutions of Part VII, and the corridor services of Annex B.</w:t>
      </w:r>
    </w:p>
    <w:p>
      <w:pPr>
        <w:pStyle w:val="Normal"/>
        <w:bidi w:val="0"/>
        <w:spacing w:lineRule="auto" w:line="288" w:before="0" w:after="80"/>
        <w:jc w:val="both"/>
        <w:rPr/>
      </w:pPr>
      <w:r>
        <w:rPr/>
        <w:t>24.1.2 The Fund holds legal personality under the law of its seat, maintains its principal account at the neutral escrow institution of Article 28, and operates under the governance of the Fund Board: two governors appointed by each founding party, one by each regional member, and two independent financial experts selected by the Board, with the chair rotating annually between an Iranian and an Omani appointee.</w:t>
      </w:r>
    </w:p>
    <w:p>
      <w:pPr>
        <w:pStyle w:val="Heading3"/>
        <w:keepNext w:val="true"/>
        <w:keepLines/>
        <w:bidi w:val="0"/>
        <w:spacing w:before="220" w:after="100"/>
        <w:rPr/>
      </w:pPr>
      <w:bookmarkStart w:id="108" w:name="__RefHeading___Toc3663_4199434714"/>
      <w:bookmarkEnd w:id="108"/>
      <w:r>
        <w:rPr/>
        <w:t>24.2 Revenue Sources</w:t>
      </w:r>
    </w:p>
    <w:p>
      <w:pPr>
        <w:pStyle w:val="Normal"/>
        <w:bidi w:val="0"/>
        <w:spacing w:lineRule="auto" w:line="288" w:before="0" w:after="80"/>
        <w:jc w:val="both"/>
        <w:rPr/>
      </w:pPr>
      <w:r>
        <w:rPr/>
        <w:t>24.2.1 The Fund draws revenue from the three channels of Article 25: service charges under the Catalog, voluntary contributions under the Malacca-model facility, and member contributions under the capacity formula. The Fund accepts no revenue from any source that Article 27's substance test identifies as a disguised transit toll.</w:t>
      </w:r>
    </w:p>
    <w:p>
      <w:pPr>
        <w:pStyle w:val="Heading3"/>
        <w:keepNext w:val="true"/>
        <w:keepLines/>
        <w:bidi w:val="0"/>
        <w:spacing w:before="220" w:after="100"/>
        <w:rPr/>
      </w:pPr>
      <w:bookmarkStart w:id="109" w:name="__RefHeading___Toc3665_4199434714"/>
      <w:bookmarkEnd w:id="109"/>
      <w:r>
        <w:rPr/>
        <w:t>24.3 Distribution</w:t>
      </w:r>
    </w:p>
    <w:p>
      <w:pPr>
        <w:pStyle w:val="Normal"/>
        <w:bidi w:val="0"/>
        <w:spacing w:lineRule="auto" w:line="288" w:before="0" w:after="80"/>
        <w:jc w:val="both"/>
        <w:rPr/>
      </w:pPr>
      <w:r>
        <w:rPr/>
        <w:t>24.3.1 The Fund distributes net revenue according to the formula of Annex E: first, operating costs of the corridor system and the institutions; second, a reserve equal to eighteen months of operating costs; third, the stewardship shares of the founding parties, divided equally between them in recognition of their coastal-state functions; fourth, the development windows of Article 29.</w:t>
      </w:r>
    </w:p>
    <w:p>
      <w:pPr>
        <w:pStyle w:val="Normal"/>
        <w:bidi w:val="0"/>
        <w:spacing w:lineRule="auto" w:line="288" w:before="0" w:after="80"/>
        <w:jc w:val="both"/>
        <w:rPr/>
      </w:pPr>
      <w:r>
        <w:rPr/>
        <w:t>24.3.2 The equal division of stewardship shares between the founding parties records the parity at the heart of the Charter: different lanes, same water; different functions, same dignity.</w:t>
      </w:r>
    </w:p>
    <w:p>
      <w:pPr>
        <w:pStyle w:val="Heading3"/>
        <w:keepNext w:val="true"/>
        <w:keepLines/>
        <w:bidi w:val="0"/>
        <w:spacing w:before="220" w:after="100"/>
        <w:rPr/>
      </w:pPr>
      <w:bookmarkStart w:id="110" w:name="__RefHeading___Toc3667_4199434714"/>
      <w:bookmarkEnd w:id="110"/>
      <w:r>
        <w:rPr/>
        <w:t>24.4 Transparency</w:t>
      </w:r>
    </w:p>
    <w:p>
      <w:pPr>
        <w:pStyle w:val="Normal"/>
        <w:bidi w:val="0"/>
        <w:spacing w:lineRule="auto" w:line="288" w:before="0" w:after="80"/>
        <w:jc w:val="both"/>
        <w:rPr/>
      </w:pPr>
      <w:r>
        <w:rPr/>
        <w:t>24.4.1 The Fund publishes quarterly accounts and an annual independently audited statement, through the Transparency Portal of Article 53. Every disbursement above the threshold of Annex E publishes with payee, purpose, and authorizing decision. The Fund's auditors hold unrestricted access to service records, escrow records, and portal data.</w:t>
      </w:r>
    </w:p>
    <w:p>
      <w:pPr>
        <w:pStyle w:val="Heading2"/>
        <w:keepNext w:val="true"/>
        <w:keepLines/>
        <w:bidi w:val="0"/>
        <w:spacing w:before="280" w:after="120"/>
        <w:rPr/>
      </w:pPr>
      <w:bookmarkStart w:id="111" w:name="__RefHeading___Toc3669_4199434714"/>
      <w:bookmarkEnd w:id="111"/>
      <w:r>
        <w:rPr/>
        <w:t>Article 25: The Tri-Channel Funding Architecture</w:t>
      </w:r>
    </w:p>
    <w:p>
      <w:pPr>
        <w:pStyle w:val="Heading3"/>
        <w:keepNext w:val="true"/>
        <w:keepLines/>
        <w:bidi w:val="0"/>
        <w:spacing w:before="220" w:after="100"/>
        <w:rPr/>
      </w:pPr>
      <w:bookmarkStart w:id="112" w:name="__RefHeading___Toc3671_4199434714"/>
      <w:bookmarkEnd w:id="112"/>
      <w:r>
        <w:rPr/>
        <w:t>25.1 Channel One: Service Charges</w:t>
      </w:r>
    </w:p>
    <w:p>
      <w:pPr>
        <w:pStyle w:val="Normal"/>
        <w:bidi w:val="0"/>
        <w:spacing w:lineRule="auto" w:line="288" w:before="0" w:after="80"/>
        <w:jc w:val="both"/>
        <w:rPr/>
      </w:pPr>
      <w:r>
        <w:rPr/>
        <w:t>25.1.1 Channel One comprises charges for services under the Verified Services Catalog, levied at the rates of the Rate Card in Annex B, invoiced by the service provider, and settled through the escrow system of Article 28.</w:t>
      </w:r>
    </w:p>
    <w:p>
      <w:pPr>
        <w:pStyle w:val="Heading3"/>
        <w:keepNext w:val="true"/>
        <w:keepLines/>
        <w:bidi w:val="0"/>
        <w:spacing w:before="220" w:after="100"/>
        <w:rPr/>
      </w:pPr>
      <w:bookmarkStart w:id="113" w:name="__RefHeading___Toc3673_4199434714"/>
      <w:bookmarkEnd w:id="113"/>
      <w:r>
        <w:rPr/>
        <w:t>25.2 Channel Two: The Voluntary Contribution Facility</w:t>
      </w:r>
    </w:p>
    <w:p>
      <w:pPr>
        <w:pStyle w:val="Normal"/>
        <w:bidi w:val="0"/>
        <w:spacing w:lineRule="auto" w:line="288" w:before="0" w:after="80"/>
        <w:jc w:val="both"/>
        <w:rPr/>
      </w:pPr>
      <w:r>
        <w:rPr/>
        <w:t>25.2.1 Channel Two operates the voluntary contribution facility modeled on the Strait of Malacca cooperative mechanism. Shipping companies, cargo interests, user states, and other contributors contribute voluntarily to the Fund, with the contribution instruments of Annex B: an opt-in contribution at the point of bunker purchase, port call, or insurance renewal; an annual line contribution; or a user-state grant.</w:t>
      </w:r>
    </w:p>
    <w:p>
      <w:pPr>
        <w:pStyle w:val="Normal"/>
        <w:bidi w:val="0"/>
        <w:spacing w:lineRule="auto" w:line="288" w:before="0" w:after="80"/>
        <w:jc w:val="both"/>
        <w:rPr/>
      </w:pPr>
      <w:r>
        <w:rPr/>
        <w:t>25.2.2 Voluntary means voluntary in fact, and Article 27's substance test polices this: no organ, Party, insurer, or port conditions passage, clearance, insurance availability, or service quality on a Channel Two contribution. Contributors receive recognition on the public Stewards Register and the service benefits of Annex B; non-contributors lose nothing.</w:t>
      </w:r>
    </w:p>
    <w:p>
      <w:pPr>
        <w:pStyle w:val="Normal"/>
        <w:bidi w:val="0"/>
        <w:spacing w:lineRule="auto" w:line="288" w:before="0" w:after="80"/>
        <w:jc w:val="both"/>
        <w:rPr/>
      </w:pPr>
      <w:r>
        <w:rPr/>
        <w:t>25.2.3 The Parties acknowledge the realism of scale: voluntary mechanisms of the Malacca type raise sums in the tens of millions annually, not the tens of billions. The Charter therefore pairs Channel Two with the development windows of Article 29 rather than pretending voluntary contributions carry the whole weight of the settlement.</w:t>
      </w:r>
    </w:p>
    <w:p>
      <w:pPr>
        <w:pStyle w:val="Heading3"/>
        <w:keepNext w:val="true"/>
        <w:keepLines/>
        <w:bidi w:val="0"/>
        <w:spacing w:before="220" w:after="100"/>
        <w:rPr/>
      </w:pPr>
      <w:bookmarkStart w:id="114" w:name="__RefHeading___Toc3675_4199434714"/>
      <w:bookmarkEnd w:id="114"/>
      <w:r>
        <w:rPr/>
        <w:t>25.3 Channel Three: Member Contributions</w:t>
      </w:r>
    </w:p>
    <w:p>
      <w:pPr>
        <w:pStyle w:val="Normal"/>
        <w:bidi w:val="0"/>
        <w:spacing w:lineRule="auto" w:line="288" w:before="0" w:after="80"/>
        <w:jc w:val="both"/>
        <w:rPr/>
      </w:pPr>
      <w:r>
        <w:rPr/>
        <w:t>25.3.1 Channel Three comprises assessed contributions of the Parties under the capacity formula of Annex E, calibrated to gross national income and to traffic dependence, with a floor for the least wealthy Party and a ceiling protecting every Party from disproportionate burden.</w:t>
      </w:r>
    </w:p>
    <w:p>
      <w:pPr>
        <w:pStyle w:val="Heading3"/>
        <w:keepNext w:val="true"/>
        <w:keepLines/>
        <w:bidi w:val="0"/>
        <w:spacing w:before="220" w:after="100"/>
        <w:rPr/>
      </w:pPr>
      <w:bookmarkStart w:id="115" w:name="__RefHeading___Toc3677_4199434714"/>
      <w:bookmarkEnd w:id="115"/>
      <w:r>
        <w:rPr/>
        <w:t>25.4 The Performance Bond Facility</w:t>
      </w:r>
    </w:p>
    <w:p>
      <w:pPr>
        <w:pStyle w:val="Normal"/>
        <w:bidi w:val="0"/>
        <w:spacing w:lineRule="auto" w:line="288" w:before="0" w:after="80"/>
        <w:jc w:val="both"/>
        <w:rPr/>
      </w:pPr>
      <w:r>
        <w:rPr/>
        <w:t>25.4.1 A shipping line posts, at its election, a refundable performance bond with the Fund in place of per-service invoicing. The bond draws down against documented service usage and returns in full on request, less documented usage. The bond operates as payment surety, never as a passage charge, and its posting or non-posting affects no passage right.</w:t>
      </w:r>
    </w:p>
    <w:p>
      <w:pPr>
        <w:pStyle w:val="Heading2"/>
        <w:keepNext w:val="true"/>
        <w:keepLines/>
        <w:bidi w:val="0"/>
        <w:spacing w:before="280" w:after="120"/>
        <w:rPr/>
      </w:pPr>
      <w:bookmarkStart w:id="116" w:name="__RefHeading___Toc3679_4199434714"/>
      <w:bookmarkEnd w:id="116"/>
      <w:r>
        <w:rPr/>
        <w:t>Article 26: Rate Discipline, the Heavy-User Cap, the Green Discount, and the Confidence Trigger</w:t>
      </w:r>
    </w:p>
    <w:p>
      <w:pPr>
        <w:pStyle w:val="Heading3"/>
        <w:keepNext w:val="true"/>
        <w:keepLines/>
        <w:bidi w:val="0"/>
        <w:spacing w:before="220" w:after="100"/>
        <w:rPr/>
      </w:pPr>
      <w:bookmarkStart w:id="117" w:name="__RefHeading___Toc3681_4199434714"/>
      <w:bookmarkEnd w:id="117"/>
      <w:r>
        <w:rPr/>
        <w:t>26.1 The Rate Card</w:t>
      </w:r>
    </w:p>
    <w:p>
      <w:pPr>
        <w:pStyle w:val="Normal"/>
        <w:bidi w:val="0"/>
        <w:spacing w:lineRule="auto" w:line="288" w:before="0" w:after="80"/>
        <w:jc w:val="both"/>
        <w:rPr/>
      </w:pPr>
      <w:r>
        <w:rPr/>
        <w:t>26.1.1 Annex B publishes the Rate Card: the maximum charge for every Catalog service, set by the Joint Council on the recommendation of the Fund Board and the advice of the Stakeholder Panel, benchmarked against comparable services in other international straits and regional ports. Rates revise at most annually, on 90 days of published notice, and never during a declared crisis state.</w:t>
      </w:r>
    </w:p>
    <w:p>
      <w:pPr>
        <w:pStyle w:val="Heading3"/>
        <w:keepNext w:val="true"/>
        <w:keepLines/>
        <w:bidi w:val="0"/>
        <w:spacing w:before="220" w:after="100"/>
        <w:rPr/>
      </w:pPr>
      <w:bookmarkStart w:id="118" w:name="__RefHeading___Toc3683_4199434714"/>
      <w:bookmarkEnd w:id="118"/>
      <w:r>
        <w:rPr/>
        <w:t>26.2 The Heavy-User Cap</w:t>
      </w:r>
    </w:p>
    <w:p>
      <w:pPr>
        <w:pStyle w:val="Normal"/>
        <w:bidi w:val="0"/>
        <w:spacing w:lineRule="auto" w:line="288" w:before="0" w:after="80"/>
        <w:jc w:val="both"/>
        <w:rPr/>
      </w:pPr>
      <w:r>
        <w:rPr/>
        <w:t>26.2.1 No operator's aggregate annual service charges under Channel One exceed the Heavy-User Cap of Annex B. The Cap guarantees predictability for the largest tanker and gas fleets and prevents the accumulation of service charges into a de facto toll on habitual users.</w:t>
      </w:r>
    </w:p>
    <w:p>
      <w:pPr>
        <w:pStyle w:val="Heading3"/>
        <w:keepNext w:val="true"/>
        <w:keepLines/>
        <w:bidi w:val="0"/>
        <w:spacing w:before="220" w:after="100"/>
        <w:rPr/>
      </w:pPr>
      <w:bookmarkStart w:id="119" w:name="__RefHeading___Toc3685_4199434714"/>
      <w:bookmarkEnd w:id="119"/>
      <w:r>
        <w:rPr/>
        <w:t>26.3 The Green Discount</w:t>
      </w:r>
    </w:p>
    <w:p>
      <w:pPr>
        <w:pStyle w:val="Normal"/>
        <w:bidi w:val="0"/>
        <w:spacing w:lineRule="auto" w:line="288" w:before="0" w:after="80"/>
        <w:jc w:val="both"/>
        <w:rPr/>
      </w:pPr>
      <w:r>
        <w:rPr/>
        <w:t>26.3.1 The Rate Card applies the Green Discount: a published sliding reduction of service charges and a matching reduction of suggested voluntary contributions for vessels meeting the environmental performance tiers of Annex B, covering emissions profile, ballast management, and hull efficiency. The Green Discount aligns the financial architecture with the environmental framework of Part VI.</w:t>
      </w:r>
    </w:p>
    <w:p>
      <w:pPr>
        <w:pStyle w:val="Heading3"/>
        <w:keepNext w:val="true"/>
        <w:keepLines/>
        <w:bidi w:val="0"/>
        <w:spacing w:before="220" w:after="100"/>
        <w:rPr/>
      </w:pPr>
      <w:bookmarkStart w:id="120" w:name="__RefHeading___Toc3687_4199434714"/>
      <w:bookmarkEnd w:id="120"/>
      <w:r>
        <w:rPr/>
        <w:t>26.4 The First-Mover Discount</w:t>
      </w:r>
    </w:p>
    <w:p>
      <w:pPr>
        <w:pStyle w:val="Normal"/>
        <w:bidi w:val="0"/>
        <w:spacing w:lineRule="auto" w:line="288" w:before="0" w:after="80"/>
        <w:jc w:val="both"/>
        <w:rPr/>
      </w:pPr>
      <w:r>
        <w:rPr/>
        <w:t>26.4.1 During the first 180 days of full operation, the Rate Card applies the First-Mover Discount to early adopters of the registration, data-subscription, and bond facilities, building momentum for the new system and rewarding the lines that rebuild traffic first.</w:t>
      </w:r>
    </w:p>
    <w:p>
      <w:pPr>
        <w:pStyle w:val="Heading3"/>
        <w:keepNext w:val="true"/>
        <w:keepLines/>
        <w:bidi w:val="0"/>
        <w:spacing w:before="220" w:after="100"/>
        <w:rPr/>
      </w:pPr>
      <w:bookmarkStart w:id="121" w:name="__RefHeading___Toc3689_4199434714"/>
      <w:bookmarkEnd w:id="121"/>
      <w:r>
        <w:rPr/>
        <w:t>26.5 The Private Sector Confidence Trigger</w:t>
      </w:r>
    </w:p>
    <w:p>
      <w:pPr>
        <w:pStyle w:val="Normal"/>
        <w:bidi w:val="0"/>
        <w:spacing w:lineRule="auto" w:line="288" w:before="0" w:after="80"/>
        <w:jc w:val="both"/>
        <w:rPr/>
      </w:pPr>
      <w:r>
        <w:rPr/>
        <w:t>26.5.1 The Stakeholder Panel issues a Confidence Trigger when, in its judgment, the Stability Audit and the incident record demonstrate sustained stable operation for 180 consecutive days. The Confidence Trigger constitutes a formal recommendation to the Council that it certify corridor operations as normalized for insurance purposes.</w:t>
      </w:r>
    </w:p>
    <w:p>
      <w:pPr>
        <w:pStyle w:val="Normal"/>
        <w:bidi w:val="0"/>
        <w:spacing w:lineRule="auto" w:line="288" w:before="0" w:after="80"/>
        <w:jc w:val="both"/>
        <w:rPr/>
      </w:pPr>
      <w:r>
        <w:rPr/>
        <w:t>26.5.2 The Council responds to a Confidence Trigger within 30 days. Silence constitutes acceptance. Upon acceptance, the Council issues the Certificate of Normalized Operation, which the Bulletin publishes and the insurance market receives as the Charter's formal signal that war-risk premia for the Governance Area return toward baseline.</w:t>
      </w:r>
    </w:p>
    <w:p>
      <w:pPr>
        <w:pStyle w:val="Heading2"/>
        <w:keepNext w:val="true"/>
        <w:keepLines/>
        <w:bidi w:val="0"/>
        <w:spacing w:before="280" w:after="120"/>
        <w:rPr/>
      </w:pPr>
      <w:bookmarkStart w:id="122" w:name="__RefHeading___Toc3691_4199434714"/>
      <w:bookmarkEnd w:id="122"/>
      <w:r>
        <w:rPr/>
        <w:t>Article 27: Anti-Circumvention and the Substance Test</w:t>
      </w:r>
    </w:p>
    <w:p>
      <w:pPr>
        <w:pStyle w:val="Heading3"/>
        <w:keepNext w:val="true"/>
        <w:keepLines/>
        <w:bidi w:val="0"/>
        <w:spacing w:before="220" w:after="100"/>
        <w:rPr/>
      </w:pPr>
      <w:bookmarkStart w:id="123" w:name="__RefHeading___Toc3693_4199434714"/>
      <w:bookmarkEnd w:id="123"/>
      <w:r>
        <w:rPr/>
        <w:t>27.1 The Substance Test</w:t>
      </w:r>
    </w:p>
    <w:p>
      <w:pPr>
        <w:pStyle w:val="Normal"/>
        <w:bidi w:val="0"/>
        <w:spacing w:lineRule="auto" w:line="288" w:before="0" w:after="80"/>
        <w:jc w:val="both"/>
        <w:rPr/>
      </w:pPr>
      <w:r>
        <w:rPr/>
        <w:t>27.1.1 Any payment, discount condition, access condition, insurance condition, or administrative practice connected to passage through the Strait faces the substance test: a measure functions as a transit toll if (a) its amount or incidence tracks transits; (b) a vessel cannot practically decline it without losing passage or materially worse passage; or (c) its collection point, agent, or label disguises an exaction on transit. A measure failing any limb constitutes a transit toll under Article 22, regardless of its name.</w:t>
      </w:r>
    </w:p>
    <w:p>
      <w:pPr>
        <w:pStyle w:val="Heading3"/>
        <w:keepNext w:val="true"/>
        <w:keepLines/>
        <w:bidi w:val="0"/>
        <w:spacing w:before="220" w:after="100"/>
        <w:rPr/>
      </w:pPr>
      <w:bookmarkStart w:id="124" w:name="__RefHeading___Toc3695_4199434714"/>
      <w:bookmarkEnd w:id="124"/>
      <w:r>
        <w:rPr/>
        <w:t>27.2 Standing Scrutiny</w:t>
      </w:r>
    </w:p>
    <w:p>
      <w:pPr>
        <w:pStyle w:val="Normal"/>
        <w:bidi w:val="0"/>
        <w:spacing w:lineRule="auto" w:line="288" w:before="0" w:after="80"/>
        <w:jc w:val="both"/>
        <w:rPr/>
      </w:pPr>
      <w:r>
        <w:rPr/>
        <w:t>27.2.1 The Fund auditors and the Directorate run standing anti-circumvention scrutiny: quarterly reviews of payment flows, spot audits of service records, and a reporting channel through which any seafarer, agent, or company reports a suspected disguised toll confidentially and without retaliation.</w:t>
      </w:r>
    </w:p>
    <w:p>
      <w:pPr>
        <w:pStyle w:val="Normal"/>
        <w:bidi w:val="0"/>
        <w:spacing w:lineRule="auto" w:line="288" w:before="0" w:after="80"/>
        <w:jc w:val="both"/>
        <w:rPr/>
      </w:pPr>
      <w:r>
        <w:rPr/>
        <w:t>27.2.2 A finding of disguised toll triggers: restitution of the amounts exacted; publication; and the compliance ladder of Article 51 for the responsible Party. Repeated findings trigger the Tribunal's jurisdiction under Article 57 without further procedural step.</w:t>
      </w:r>
    </w:p>
    <w:p>
      <w:pPr>
        <w:pStyle w:val="Heading3"/>
        <w:keepNext w:val="true"/>
        <w:keepLines/>
        <w:bidi w:val="0"/>
        <w:spacing w:before="220" w:after="100"/>
        <w:rPr/>
      </w:pPr>
      <w:bookmarkStart w:id="125" w:name="__RefHeading___Toc3697_4199434714"/>
      <w:bookmarkEnd w:id="125"/>
      <w:r>
        <w:rPr/>
        <w:t>27.3 The Precedent Safeguard</w:t>
      </w:r>
    </w:p>
    <w:p>
      <w:pPr>
        <w:pStyle w:val="Normal"/>
        <w:bidi w:val="0"/>
        <w:spacing w:lineRule="auto" w:line="288" w:before="0" w:after="80"/>
        <w:jc w:val="both"/>
        <w:rPr/>
      </w:pPr>
      <w:r>
        <w:rPr/>
        <w:t>27.3.1 The Parties record their common interest in the precedent this Charter sets for straits worldwide: a settlement that holds the line against tolls on international passage strengthens every strait regime, including those on which the Parties themselves depend elsewhere. The Council states this safeguard in its annual report.</w:t>
      </w:r>
    </w:p>
    <w:p>
      <w:pPr>
        <w:pStyle w:val="Heading2"/>
        <w:keepNext w:val="true"/>
        <w:keepLines/>
        <w:bidi w:val="0"/>
        <w:spacing w:before="280" w:after="120"/>
        <w:rPr/>
      </w:pPr>
      <w:bookmarkStart w:id="126" w:name="__RefHeading___Toc3699_4199434714"/>
      <w:bookmarkEnd w:id="126"/>
      <w:r>
        <w:rPr/>
        <w:t>Article 28: The Neutral Escrow and the Sanctions-Compliance Firewall</w:t>
      </w:r>
    </w:p>
    <w:p>
      <w:pPr>
        <w:pStyle w:val="Heading3"/>
        <w:keepNext w:val="true"/>
        <w:keepLines/>
        <w:bidi w:val="0"/>
        <w:spacing w:before="220" w:after="100"/>
        <w:rPr/>
      </w:pPr>
      <w:bookmarkStart w:id="127" w:name="__RefHeading___Toc3701_4199434714"/>
      <w:bookmarkEnd w:id="127"/>
      <w:r>
        <w:rPr/>
        <w:t>28.1 The Neutral Escrow Institution</w:t>
      </w:r>
    </w:p>
    <w:p>
      <w:pPr>
        <w:pStyle w:val="Normal"/>
        <w:bidi w:val="0"/>
        <w:spacing w:lineRule="auto" w:line="288" w:before="0" w:after="80"/>
        <w:jc w:val="both"/>
        <w:rPr/>
      </w:pPr>
      <w:r>
        <w:rPr/>
        <w:t>28.1.1 All Fund flows run through a neutral escrow institution, a financial entity seated in a neutral state and selected by the Joint Council from a shortlist maintained by the Secretariat. The escrow institution holds the Hormuz Account, receives all payments, and disburses only against documented service records, Board decisions, or this Charter's automatic distribution rules.</w:t>
      </w:r>
    </w:p>
    <w:p>
      <w:pPr>
        <w:pStyle w:val="Normal"/>
        <w:bidi w:val="0"/>
        <w:spacing w:lineRule="auto" w:line="288" w:before="0" w:after="80"/>
        <w:jc w:val="both"/>
        <w:rPr/>
      </w:pPr>
      <w:r>
        <w:rPr/>
        <w:t>28.1.2 The escrow structure separates payment from passage twice over: shippers pay a neutral fund for documented services; the founding parties receive stewardship shares from the fund by rule. No payer pays any Party; no Party collects from any vessel.</w:t>
      </w:r>
    </w:p>
    <w:p>
      <w:pPr>
        <w:pStyle w:val="Heading3"/>
        <w:keepNext w:val="true"/>
        <w:keepLines/>
        <w:bidi w:val="0"/>
        <w:spacing w:before="220" w:after="100"/>
        <w:rPr/>
      </w:pPr>
      <w:bookmarkStart w:id="128" w:name="__RefHeading___Toc3703_4199434714"/>
      <w:bookmarkEnd w:id="128"/>
      <w:r>
        <w:rPr/>
        <w:t>28.2 The Sanctions-Compliance Firewall</w:t>
      </w:r>
    </w:p>
    <w:p>
      <w:pPr>
        <w:pStyle w:val="Normal"/>
        <w:bidi w:val="0"/>
        <w:spacing w:lineRule="auto" w:line="288" w:before="0" w:after="80"/>
        <w:jc w:val="both"/>
        <w:rPr/>
      </w:pPr>
      <w:r>
        <w:rPr/>
        <w:t>28.2.1 The Fund and the escrow institution maintain a sanctions-compliance firewall: legal opinions on file for every payment channel, screening of counterparties against applicable sanctions lists, and a compliance office within the Fund that clears each channel annually. The firewall exists so that a shipping company participating honestly in the corridor system faces no sanctions exposure from that participation.</w:t>
      </w:r>
    </w:p>
    <w:p>
      <w:pPr>
        <w:pStyle w:val="Normal"/>
        <w:bidi w:val="0"/>
        <w:spacing w:lineRule="auto" w:line="288" w:before="0" w:after="80"/>
        <w:jc w:val="both"/>
        <w:rPr/>
      </w:pPr>
      <w:r>
        <w:rPr/>
        <w:t>28.2.2 Where a sanctions regime of a non-Party state affects a payment channel, the escrow institution operates the alternative settlement mechanisms of Annex E, including settlement in multiple currencies and in-kind contribution accounting, so that no external measure strangles the Fund without the whole region seeing it happen.</w:t>
      </w:r>
    </w:p>
    <w:p>
      <w:pPr>
        <w:pStyle w:val="Heading3"/>
        <w:keepNext w:val="true"/>
        <w:keepLines/>
        <w:bidi w:val="0"/>
        <w:spacing w:before="220" w:after="100"/>
        <w:rPr/>
      </w:pPr>
      <w:bookmarkStart w:id="129" w:name="__RefHeading___Toc3705_4199434714"/>
      <w:bookmarkEnd w:id="129"/>
      <w:r>
        <w:rPr/>
        <w:t>28.3 Prohibition on Diversion</w:t>
      </w:r>
    </w:p>
    <w:p>
      <w:pPr>
        <w:pStyle w:val="Normal"/>
        <w:bidi w:val="0"/>
        <w:spacing w:lineRule="auto" w:line="288" w:before="0" w:after="80"/>
        <w:jc w:val="both"/>
        <w:rPr/>
      </w:pPr>
      <w:r>
        <w:rPr/>
        <w:t>28.3.1 Fund assets serve the purposes of this Charter alone. No Party attaches, freezes, taxes, or diverts Fund assets, and the escrow institution answers to the Fund Board and its auditors, not to any single state.</w:t>
      </w:r>
    </w:p>
    <w:p>
      <w:pPr>
        <w:pStyle w:val="Heading2"/>
        <w:keepNext w:val="true"/>
        <w:keepLines/>
        <w:bidi w:val="0"/>
        <w:spacing w:before="280" w:after="120"/>
        <w:rPr/>
      </w:pPr>
      <w:bookmarkStart w:id="130" w:name="__RefHeading___Toc3707_4199434714"/>
      <w:bookmarkEnd w:id="130"/>
      <w:r>
        <w:rPr/>
        <w:t>Article 29: The Economic Normalization Track</w:t>
      </w:r>
    </w:p>
    <w:p>
      <w:pPr>
        <w:pStyle w:val="Heading3"/>
        <w:keepNext w:val="true"/>
        <w:keepLines/>
        <w:bidi w:val="0"/>
        <w:spacing w:before="220" w:after="100"/>
        <w:rPr/>
      </w:pPr>
      <w:bookmarkStart w:id="131" w:name="__RefHeading___Toc3709_4199434714"/>
      <w:bookmarkEnd w:id="131"/>
      <w:r>
        <w:rPr/>
        <w:t>29.1 The Development Windows</w:t>
      </w:r>
    </w:p>
    <w:p>
      <w:pPr>
        <w:pStyle w:val="Normal"/>
        <w:bidi w:val="0"/>
        <w:spacing w:lineRule="auto" w:line="288" w:before="0" w:after="80"/>
        <w:jc w:val="both"/>
        <w:rPr/>
      </w:pPr>
      <w:r>
        <w:rPr/>
        <w:t>29.1.1 The Charter opens three development windows through which the region's economic settlement with the founding parties flows, keeping the water itself free of price:</w:t>
      </w:r>
    </w:p>
    <w:p>
      <w:pPr>
        <w:pStyle w:val="Normal"/>
        <w:bidi w:val="0"/>
        <w:spacing w:lineRule="auto" w:line="288" w:before="0" w:after="80"/>
        <w:jc w:val="both"/>
        <w:rPr/>
      </w:pPr>
      <w:r>
        <w:rPr/>
        <w:t>(a) The Hormuz Coastal Development Facility: a dedicated facility within the Fund, financed from the distribution formula and from grants of regional members and partners, investing in the coastal provinces of the founding states: ports, desalination, maritime safety infrastructure, and fisheries protection;</w:t>
      </w:r>
    </w:p>
    <w:p>
      <w:pPr>
        <w:pStyle w:val="Normal"/>
        <w:bidi w:val="0"/>
        <w:spacing w:lineRule="auto" w:line="288" w:before="0" w:after="80"/>
        <w:jc w:val="both"/>
        <w:rPr/>
      </w:pPr>
      <w:r>
        <w:rPr/>
        <w:t>(b) The Reconstruction Interface: the Charter's institutions cooperate with any reconstruction arrangement concluded in the strategic track, including any large-scale reconstruction fund, providing the maritime safety and corridor context in which reconstruction shipping moves;</w:t>
      </w:r>
    </w:p>
    <w:p>
      <w:pPr>
        <w:pStyle w:val="Normal"/>
        <w:bidi w:val="0"/>
        <w:spacing w:lineRule="auto" w:line="288" w:before="0" w:after="80"/>
        <w:jc w:val="both"/>
        <w:rPr/>
      </w:pPr>
      <w:r>
        <w:rPr/>
        <w:t>(c) The Regional Integration Window: joint chambers of commerce, port twinning, training exchanges, and technical assistance programs that the Secretariat administers with the regional members.</w:t>
      </w:r>
    </w:p>
    <w:p>
      <w:pPr>
        <w:pStyle w:val="Heading3"/>
        <w:keepNext w:val="true"/>
        <w:keepLines/>
        <w:bidi w:val="0"/>
        <w:spacing w:before="220" w:after="100"/>
        <w:rPr/>
      </w:pPr>
      <w:bookmarkStart w:id="132" w:name="__RefHeading___Toc3711_4199434714"/>
      <w:bookmarkEnd w:id="132"/>
      <w:r>
        <w:rPr/>
        <w:t>29.2 The Economic Logic of the Settlement</w:t>
      </w:r>
    </w:p>
    <w:p>
      <w:pPr>
        <w:pStyle w:val="Normal"/>
        <w:bidi w:val="0"/>
        <w:spacing w:lineRule="auto" w:line="288" w:before="0" w:after="80"/>
        <w:jc w:val="both"/>
        <w:rPr/>
      </w:pPr>
      <w:r>
        <w:rPr/>
        <w:t>29.2.1 The Parties record the economic logic on which this Part rests: the value to the region of an open, insured, predictable Strait exceeds by orders of magnitude any revenue a toll regime could extract, and the value to the founding parties of full reintegration into regional commerce exceeds any fee stream. The Charter monetizes stability rather than passage.</w:t>
      </w:r>
    </w:p>
    <w:p>
      <w:pPr>
        <w:pStyle w:val="Heading3"/>
        <w:keepNext w:val="true"/>
        <w:keepLines/>
        <w:bidi w:val="0"/>
        <w:spacing w:before="220" w:after="100"/>
        <w:rPr/>
      </w:pPr>
      <w:bookmarkStart w:id="133" w:name="__RefHeading___Toc3713_4199434714"/>
      <w:bookmarkEnd w:id="133"/>
      <w:r>
        <w:rPr/>
        <w:t>29.3 Review</w:t>
      </w:r>
    </w:p>
    <w:p>
      <w:pPr>
        <w:pStyle w:val="Normal"/>
        <w:bidi w:val="0"/>
        <w:spacing w:lineRule="auto" w:line="288" w:before="0" w:after="80"/>
        <w:jc w:val="both"/>
        <w:rPr/>
      </w:pPr>
      <w:r>
        <w:rPr/>
        <w:t>29.3.1 The Council reviews the economic architecture annually against the metrics of Annex E: traffic recovery against pre-crisis baselines, insurance premium trends, Fund revenue and distribution, and development facility delivery. The review publishes in full.</w:t>
      </w:r>
    </w:p>
    <w:p>
      <w:pPr>
        <w:pStyle w:val="Heading1"/>
        <w:keepNext w:val="true"/>
        <w:keepLines/>
        <w:pBdr>
          <w:bottom w:val="single" w:sz="12" w:space="6" w:color="B8860B"/>
        </w:pBdr>
        <w:bidi w:val="0"/>
        <w:spacing w:before="0" w:after="360"/>
        <w:rPr/>
      </w:pPr>
      <w:bookmarkStart w:id="134" w:name="__RefHeading___Toc3715_4199434714"/>
      <w:bookmarkEnd w:id="134"/>
      <w:r>
        <w:rPr/>
        <w:t>PART V: SECURITY AND DE-ESCALATION</w:t>
      </w:r>
    </w:p>
    <w:p>
      <w:pPr>
        <w:pStyle w:val="Heading2"/>
        <w:keepNext w:val="true"/>
        <w:keepLines/>
        <w:bidi w:val="0"/>
        <w:spacing w:before="280" w:after="120"/>
        <w:rPr/>
      </w:pPr>
      <w:bookmarkStart w:id="135" w:name="__RefHeading___Toc3717_4199434714"/>
      <w:bookmarkEnd w:id="135"/>
      <w:r>
        <w:rPr/>
        <w:t>Article 30: Standoff Geometry and Military Deconfliction</w:t>
      </w:r>
    </w:p>
    <w:p>
      <w:pPr>
        <w:pStyle w:val="Heading3"/>
        <w:keepNext w:val="true"/>
        <w:keepLines/>
        <w:bidi w:val="0"/>
        <w:spacing w:before="220" w:after="100"/>
        <w:rPr/>
      </w:pPr>
      <w:bookmarkStart w:id="136" w:name="__RefHeading___Toc3719_4199434714"/>
      <w:bookmarkEnd w:id="136"/>
      <w:r>
        <w:rPr/>
        <w:t>30.1 The Standoff Geometry</w:t>
      </w:r>
    </w:p>
    <w:p>
      <w:pPr>
        <w:pStyle w:val="Normal"/>
        <w:bidi w:val="0"/>
        <w:spacing w:lineRule="auto" w:line="288" w:before="0" w:after="80"/>
        <w:jc w:val="both"/>
        <w:rPr/>
      </w:pPr>
      <w:r>
        <w:rPr/>
        <w:t>30.1.1 Annex A records the standoff geometry of the Governance Area: minimum separation distances between naval units and merchant lanes, between naval units of different Parties, between live-weapon envelopes and the corridors, and between exercise areas and the Central Buffer. The geometry applies at all times and tightens automatically in elevated flow states.</w:t>
      </w:r>
    </w:p>
    <w:p>
      <w:pPr>
        <w:pStyle w:val="Normal"/>
        <w:bidi w:val="0"/>
        <w:spacing w:lineRule="auto" w:line="288" w:before="0" w:after="80"/>
        <w:jc w:val="both"/>
        <w:rPr/>
      </w:pPr>
      <w:r>
        <w:rPr/>
        <w:t>30.1.2 Naval and coast-guard units of the Parties maintain the published separations. A unit approaching a merchant vessel for safety purposes uses the standard phraseology and channels of Annex C and never positions between a merchant vessel and its safe water.</w:t>
      </w:r>
    </w:p>
    <w:p>
      <w:pPr>
        <w:pStyle w:val="Heading3"/>
        <w:keepNext w:val="true"/>
        <w:keepLines/>
        <w:bidi w:val="0"/>
        <w:spacing w:before="220" w:after="100"/>
        <w:rPr/>
      </w:pPr>
      <w:bookmarkStart w:id="137" w:name="__RefHeading___Toc3721_4199434714"/>
      <w:bookmarkEnd w:id="137"/>
      <w:r>
        <w:rPr/>
        <w:t>30.2 The Multinational Patrol Rotation</w:t>
      </w:r>
    </w:p>
    <w:p>
      <w:pPr>
        <w:pStyle w:val="Normal"/>
        <w:bidi w:val="0"/>
        <w:spacing w:lineRule="auto" w:line="288" w:before="0" w:after="80"/>
        <w:jc w:val="both"/>
        <w:rPr/>
      </w:pPr>
      <w:r>
        <w:rPr/>
        <w:t>30.2.1 A multinational patrol rotation operates in the corridor approaches, composed of contributions from the founding parties and regional members on a published rotation, with technical-participant observers embarked. The rotation's mandate covers safety of navigation, hazard response, and presence; its mandate excludes interdiction, inspection, and enforcement against merchant traffic.</w:t>
      </w:r>
    </w:p>
    <w:p>
      <w:pPr>
        <w:pStyle w:val="Normal"/>
        <w:bidi w:val="0"/>
        <w:spacing w:lineRule="auto" w:line="288" w:before="0" w:after="80"/>
        <w:jc w:val="both"/>
        <w:rPr/>
      </w:pPr>
      <w:r>
        <w:rPr/>
        <w:t>30.2.2 Patrol taskings flow from the Coordination Center through the Twin Key: one founding party proposes a tasking, the other concurs, the tasking publishes in the Bulletin. Patrol units carry the corridor system's transponder and identification fit and appear on the fused picture like any other contact.</w:t>
      </w:r>
    </w:p>
    <w:p>
      <w:pPr>
        <w:pStyle w:val="Heading3"/>
        <w:keepNext w:val="true"/>
        <w:keepLines/>
        <w:bidi w:val="0"/>
        <w:spacing w:before="220" w:after="100"/>
        <w:rPr/>
      </w:pPr>
      <w:bookmarkStart w:id="138" w:name="__RefHeading___Toc3723_4199434714"/>
      <w:bookmarkEnd w:id="138"/>
      <w:r>
        <w:rPr/>
        <w:t>30.3 The Red Lines Register</w:t>
      </w:r>
    </w:p>
    <w:p>
      <w:pPr>
        <w:pStyle w:val="Normal"/>
        <w:bidi w:val="0"/>
        <w:spacing w:lineRule="auto" w:line="288" w:before="0" w:after="80"/>
        <w:jc w:val="both"/>
        <w:rPr/>
      </w:pPr>
      <w:r>
        <w:rPr/>
        <w:t>30.3.1 The Red Lines Register of Annex A records the closed list of actions prohibited absolutely within the Governance Area: mining or emplacement of explosive devices; attacks on or seizure of merchant vessels; coercive interference with transit; live-fire inside corridor lanes or the Buffer; and interference with the corridor system's sensors, data, or communications.</w:t>
      </w:r>
    </w:p>
    <w:p>
      <w:pPr>
        <w:pStyle w:val="Normal"/>
        <w:bidi w:val="0"/>
        <w:spacing w:lineRule="auto" w:line="288" w:before="0" w:after="80"/>
        <w:jc w:val="both"/>
        <w:rPr/>
      </w:pPr>
      <w:r>
        <w:rPr/>
        <w:t>30.3.2 A red-line act by any actor triggers the crisis protocol of Article 33 at Level Four and the compliance consequences of Article 51, and publishes immediately in the Bulletin. The Register admits no additions except by amendment under Article 66.</w:t>
      </w:r>
    </w:p>
    <w:p>
      <w:pPr>
        <w:pStyle w:val="Heading2"/>
        <w:keepNext w:val="true"/>
        <w:keepLines/>
        <w:bidi w:val="0"/>
        <w:spacing w:before="280" w:after="120"/>
        <w:rPr/>
      </w:pPr>
      <w:bookmarkStart w:id="139" w:name="__RefHeading___Toc3725_4199434714"/>
      <w:bookmarkEnd w:id="139"/>
      <w:r>
        <w:rPr/>
        <w:t>Article 31: The Crisis Hotline Network</w:t>
      </w:r>
    </w:p>
    <w:p>
      <w:pPr>
        <w:pStyle w:val="Heading3"/>
        <w:keepNext w:val="true"/>
        <w:keepLines/>
        <w:bidi w:val="0"/>
        <w:spacing w:before="220" w:after="100"/>
        <w:rPr/>
      </w:pPr>
      <w:bookmarkStart w:id="140" w:name="__RefHeading___Toc3727_4199434714"/>
      <w:bookmarkEnd w:id="140"/>
      <w:r>
        <w:rPr/>
        <w:t>31.1 The Network</w:t>
      </w:r>
    </w:p>
    <w:p>
      <w:pPr>
        <w:pStyle w:val="Normal"/>
        <w:bidi w:val="0"/>
        <w:spacing w:lineRule="auto" w:line="288" w:before="0" w:after="80"/>
        <w:jc w:val="both"/>
        <w:rPr/>
      </w:pPr>
      <w:r>
        <w:rPr/>
        <w:t>31.1.1 The Charter operates a standing hotline network connecting: the corridor desks of the Coordination Center; the national operations centers of the founding parties; the operations centers of the regional members; the multinational patrol rotation; and the liaison channels of external naval forces present in the approaches, including the channel to the United States naval component, maintained through the intermediary bridge of Article 48.</w:t>
      </w:r>
    </w:p>
    <w:p>
      <w:pPr>
        <w:pStyle w:val="Normal"/>
        <w:bidi w:val="0"/>
        <w:spacing w:lineRule="auto" w:line="288" w:before="0" w:after="80"/>
        <w:jc w:val="both"/>
        <w:rPr/>
      </w:pPr>
      <w:r>
        <w:rPr/>
        <w:t>31.1.2 The network operates on three circuits: the operational circuit for traffic and safety matters, open around the clock with a 15-minute answer standard; the military circuit for deconfliction between armed forces, encrypted, with a 15-minute answer standard and satellite fallback; and the crisis circuit at political level, tested weekly, for the incidents that Article 32 grades at Level Three and above.</w:t>
      </w:r>
    </w:p>
    <w:p>
      <w:pPr>
        <w:pStyle w:val="Heading3"/>
        <w:keepNext w:val="true"/>
        <w:keepLines/>
        <w:bidi w:val="0"/>
        <w:spacing w:before="220" w:after="100"/>
        <w:rPr/>
      </w:pPr>
      <w:bookmarkStart w:id="141" w:name="__RefHeading___Toc3729_4199434714"/>
      <w:bookmarkEnd w:id="141"/>
      <w:r>
        <w:rPr/>
        <w:t>31.2 The Answer Standard</w:t>
      </w:r>
    </w:p>
    <w:p>
      <w:pPr>
        <w:pStyle w:val="Normal"/>
        <w:bidi w:val="0"/>
        <w:spacing w:lineRule="auto" w:line="288" w:before="0" w:after="80"/>
        <w:jc w:val="both"/>
        <w:rPr/>
      </w:pPr>
      <w:r>
        <w:rPr/>
        <w:t>31.2.1 Every hotline node answers within 15 minutes, day and night. The Directorate tests the network daily on a rotating schedule and publishes the monthly availability record. A node missing the standard twice in a month reports its remediation to the Council.</w:t>
      </w:r>
    </w:p>
    <w:p>
      <w:pPr>
        <w:pStyle w:val="Heading3"/>
        <w:keepNext w:val="true"/>
        <w:keepLines/>
        <w:bidi w:val="0"/>
        <w:spacing w:before="220" w:after="100"/>
        <w:rPr/>
      </w:pPr>
      <w:bookmarkStart w:id="142" w:name="__RefHeading___Toc3731_4199434714"/>
      <w:bookmarkEnd w:id="142"/>
      <w:r>
        <w:rPr/>
        <w:t>31.3 The Language and Recording Rules</w:t>
      </w:r>
    </w:p>
    <w:p>
      <w:pPr>
        <w:pStyle w:val="Normal"/>
        <w:bidi w:val="0"/>
        <w:spacing w:lineRule="auto" w:line="288" w:before="0" w:after="80"/>
        <w:jc w:val="both"/>
        <w:rPr/>
      </w:pPr>
      <w:r>
        <w:rPr/>
        <w:t>31.3.1 Hotline traffic uses English as the operational language with immediate interpretation support for Arabic and Persian. Every exchange records on tamper-evident media at both ends, and recordings enter the incident file whenever an exchange concerns an incident.</w:t>
      </w:r>
    </w:p>
    <w:p>
      <w:pPr>
        <w:pStyle w:val="Heading2"/>
        <w:keepNext w:val="true"/>
        <w:keepLines/>
        <w:bidi w:val="0"/>
        <w:spacing w:before="280" w:after="120"/>
        <w:rPr/>
      </w:pPr>
      <w:bookmarkStart w:id="143" w:name="__RefHeading___Toc3733_4199434714"/>
      <w:bookmarkEnd w:id="143"/>
      <w:r>
        <w:rPr/>
        <w:t>Article 32: The Incident Ladder</w:t>
      </w:r>
    </w:p>
    <w:p>
      <w:pPr>
        <w:pStyle w:val="Heading3"/>
        <w:keepNext w:val="true"/>
        <w:keepLines/>
        <w:bidi w:val="0"/>
        <w:spacing w:before="220" w:after="100"/>
        <w:rPr/>
      </w:pPr>
      <w:bookmarkStart w:id="144" w:name="__RefHeading___Toc3735_4199434714"/>
      <w:bookmarkEnd w:id="144"/>
      <w:r>
        <w:rPr/>
        <w:t>32.1 Grading</w:t>
      </w:r>
    </w:p>
    <w:p>
      <w:pPr>
        <w:pStyle w:val="Normal"/>
        <w:bidi w:val="0"/>
        <w:spacing w:lineRule="auto" w:line="288" w:before="0" w:after="80"/>
        <w:jc w:val="both"/>
        <w:rPr/>
      </w:pPr>
      <w:r>
        <w:rPr/>
        <w:t>32.1.1 The corridor system grades every incident on the five-step Incident Ladder:</w:t>
      </w:r>
    </w:p>
    <w:p>
      <w:pPr>
        <w:pStyle w:val="Normal"/>
        <w:bidi w:val="0"/>
        <w:spacing w:lineRule="auto" w:line="288" w:before="0" w:after="80"/>
        <w:jc w:val="both"/>
        <w:rPr/>
      </w:pPr>
      <w:r>
        <w:rPr/>
        <w:t>(a) Level One: navigational occurrences without injury or damage: near-misses, lane deviations, communication failures;</w:t>
      </w:r>
    </w:p>
    <w:p>
      <w:pPr>
        <w:pStyle w:val="Normal"/>
        <w:bidi w:val="0"/>
        <w:spacing w:lineRule="auto" w:line="288" w:before="0" w:after="80"/>
        <w:jc w:val="both"/>
        <w:rPr/>
      </w:pPr>
      <w:r>
        <w:rPr/>
        <w:t>(b) Level Two: incidents with minor damage, pollution below the Annex C threshold, or brief corridor disruption;</w:t>
      </w:r>
    </w:p>
    <w:p>
      <w:pPr>
        <w:pStyle w:val="Normal"/>
        <w:bidi w:val="0"/>
        <w:spacing w:lineRule="auto" w:line="288" w:before="0" w:after="80"/>
        <w:jc w:val="both"/>
        <w:rPr/>
      </w:pPr>
      <w:r>
        <w:rPr/>
        <w:t>(c) Level Three: incidents with significant damage, injuries, pollution above threshold, or any hostile act against a vessel not attributable to a Party;</w:t>
      </w:r>
    </w:p>
    <w:p>
      <w:pPr>
        <w:pStyle w:val="Normal"/>
        <w:bidi w:val="0"/>
        <w:spacing w:lineRule="auto" w:line="288" w:before="0" w:after="80"/>
        <w:jc w:val="both"/>
        <w:rPr/>
      </w:pPr>
      <w:r>
        <w:rPr/>
        <w:t>(d) Level Four: red-line acts, attacks attributable to a Party, mining reports, or seizure of a vessel;</w:t>
      </w:r>
    </w:p>
    <w:p>
      <w:pPr>
        <w:pStyle w:val="Normal"/>
        <w:bidi w:val="0"/>
        <w:spacing w:lineRule="auto" w:line="288" w:before="0" w:after="80"/>
        <w:jc w:val="both"/>
        <w:rPr/>
      </w:pPr>
      <w:r>
        <w:rPr/>
        <w:t>(e) Level Five: acts producing deaths, sinking, major pollution, or multi-vessel effects.</w:t>
      </w:r>
    </w:p>
    <w:p>
      <w:pPr>
        <w:pStyle w:val="Heading3"/>
        <w:keepNext w:val="true"/>
        <w:keepLines/>
        <w:bidi w:val="0"/>
        <w:spacing w:before="220" w:after="100"/>
        <w:rPr/>
      </w:pPr>
      <w:bookmarkStart w:id="145" w:name="__RefHeading___Toc3737_4199434714"/>
      <w:bookmarkEnd w:id="145"/>
      <w:r>
        <w:rPr/>
        <w:t>32.2 Responses</w:t>
      </w:r>
    </w:p>
    <w:p>
      <w:pPr>
        <w:pStyle w:val="Normal"/>
        <w:bidi w:val="0"/>
        <w:spacing w:lineRule="auto" w:line="288" w:before="0" w:after="80"/>
        <w:jc w:val="both"/>
        <w:rPr/>
      </w:pPr>
      <w:r>
        <w:rPr/>
        <w:t>32.2.1 Each level carries a defined response package of Annex C: Level One resolves through the operational log and lessons bulletin; Level Two triggers a joint inquiry within 72 hours; Level Three activates the crisis circuit and the False-Flag Forensic Protocol; Level Four activates the corridor emergency state for affected segments and convenes the Council within 24 hours; Level Five convenes the Council in emergency session within 12 hours and notifies the Depositary, the IMO, and the United Nations Secretary-General.</w:t>
      </w:r>
    </w:p>
    <w:p>
      <w:pPr>
        <w:pStyle w:val="Heading3"/>
        <w:keepNext w:val="true"/>
        <w:keepLines/>
        <w:bidi w:val="0"/>
        <w:spacing w:before="220" w:after="100"/>
        <w:rPr/>
      </w:pPr>
      <w:bookmarkStart w:id="146" w:name="__RefHeading___Toc3739_4199434714"/>
      <w:bookmarkEnd w:id="146"/>
      <w:r>
        <w:rPr/>
        <w:t>32.3 No Ambiguity Advantage</w:t>
      </w:r>
    </w:p>
    <w:p>
      <w:pPr>
        <w:pStyle w:val="Normal"/>
        <w:bidi w:val="0"/>
        <w:spacing w:lineRule="auto" w:line="288" w:before="0" w:after="80"/>
        <w:jc w:val="both"/>
        <w:rPr/>
      </w:pPr>
      <w:r>
        <w:rPr/>
        <w:t>32.3.1 The ladder exists to deny any actor the advantage of ambiguity. An incident receives its grade from observable facts against published criteria, not from political negotiation. Grading disagreements resolve through the verification architecture of Article 49, provisionally at the higher grade pending resolution.</w:t>
      </w:r>
    </w:p>
    <w:p>
      <w:pPr>
        <w:pStyle w:val="Heading2"/>
        <w:keepNext w:val="true"/>
        <w:keepLines/>
        <w:bidi w:val="0"/>
        <w:spacing w:before="280" w:after="120"/>
        <w:rPr/>
      </w:pPr>
      <w:bookmarkStart w:id="147" w:name="__RefHeading___Toc3741_4199434714"/>
      <w:bookmarkEnd w:id="147"/>
      <w:r>
        <w:rPr/>
        <w:t>Article 33: The Five-Level Crisis Protocol and the Corridor Emergency State</w:t>
      </w:r>
    </w:p>
    <w:p>
      <w:pPr>
        <w:pStyle w:val="Heading3"/>
        <w:keepNext w:val="true"/>
        <w:keepLines/>
        <w:bidi w:val="0"/>
        <w:spacing w:before="220" w:after="100"/>
        <w:rPr/>
      </w:pPr>
      <w:bookmarkStart w:id="148" w:name="__RefHeading___Toc3743_4199434714"/>
      <w:bookmarkEnd w:id="148"/>
      <w:r>
        <w:rPr/>
        <w:t>33.1 The Protocol</w:t>
      </w:r>
    </w:p>
    <w:p>
      <w:pPr>
        <w:pStyle w:val="Normal"/>
        <w:bidi w:val="0"/>
        <w:spacing w:lineRule="auto" w:line="288" w:before="0" w:after="80"/>
        <w:jc w:val="both"/>
        <w:rPr/>
      </w:pPr>
      <w:r>
        <w:rPr/>
        <w:t>33.1.1 The crisis protocol scales the system's posture across five levels, mapped to the Incident Ladder: from enhanced monitoring at Level One to the corridor emergency state at Levels Four and Five. Each level specifies hotline tempo, patrol posture, flow state, and publication duties.</w:t>
      </w:r>
    </w:p>
    <w:p>
      <w:pPr>
        <w:pStyle w:val="Heading3"/>
        <w:keepNext w:val="true"/>
        <w:keepLines/>
        <w:bidi w:val="0"/>
        <w:spacing w:before="220" w:after="100"/>
        <w:rPr/>
      </w:pPr>
      <w:bookmarkStart w:id="149" w:name="__RefHeading___Toc3745_4199434714"/>
      <w:bookmarkEnd w:id="149"/>
      <w:r>
        <w:rPr/>
        <w:t>33.2 The Corridor Emergency State</w:t>
      </w:r>
    </w:p>
    <w:p>
      <w:pPr>
        <w:pStyle w:val="Normal"/>
        <w:bidi w:val="0"/>
        <w:spacing w:lineRule="auto" w:line="288" w:before="0" w:after="80"/>
        <w:jc w:val="both"/>
        <w:rPr/>
      </w:pPr>
      <w:r>
        <w:rPr/>
        <w:t>33.2.1 The corridor emergency state applies to affected segments, never automatically to the whole Governance Area. Its declaration states cause, geography, and restoration checklist. During the emergency state: humanitarian transit continues under absolute priority; convoy windows intensify; the Buffer hosts diversion traffic; and the Bulletin publishes at hourly intervals.</w:t>
      </w:r>
    </w:p>
    <w:p>
      <w:pPr>
        <w:pStyle w:val="Normal"/>
        <w:bidi w:val="0"/>
        <w:spacing w:lineRule="auto" w:line="288" w:before="0" w:after="80"/>
        <w:jc w:val="both"/>
        <w:rPr/>
      </w:pPr>
      <w:r>
        <w:rPr/>
        <w:t>33.2.2 The emergency state lifts when its published checklist completes, certified by the Directorate. An emergency state running beyond 30 days without certification converts into a Council question under Article 47.</w:t>
      </w:r>
    </w:p>
    <w:p>
      <w:pPr>
        <w:pStyle w:val="Heading3"/>
        <w:keepNext w:val="true"/>
        <w:keepLines/>
        <w:bidi w:val="0"/>
        <w:spacing w:before="220" w:after="100"/>
        <w:rPr/>
      </w:pPr>
      <w:bookmarkStart w:id="150" w:name="__RefHeading___Toc3747_4199434714"/>
      <w:bookmarkEnd w:id="150"/>
      <w:r>
        <w:rPr/>
        <w:t>33.3 De-Escalation Duty</w:t>
      </w:r>
    </w:p>
    <w:p>
      <w:pPr>
        <w:pStyle w:val="Normal"/>
        <w:bidi w:val="0"/>
        <w:spacing w:lineRule="auto" w:line="288" w:before="0" w:after="80"/>
        <w:jc w:val="both"/>
        <w:rPr/>
      </w:pPr>
      <w:r>
        <w:rPr/>
        <w:t>33.3.1 During any crisis level, every Party's forces in and around the Governance Area observe heightened restraint geometry per Annex A, and every Party answers the crisis circuit within its answer standard. The architecture of this Article treats de-escalation as an operational procedure, not a diplomatic favor.</w:t>
      </w:r>
    </w:p>
    <w:p>
      <w:pPr>
        <w:pStyle w:val="Heading2"/>
        <w:keepNext w:val="true"/>
        <w:keepLines/>
        <w:bidi w:val="0"/>
        <w:spacing w:before="280" w:after="120"/>
        <w:rPr/>
      </w:pPr>
      <w:bookmarkStart w:id="151" w:name="__RefHeading___Toc3749_4199434714"/>
      <w:bookmarkEnd w:id="151"/>
      <w:r>
        <w:rPr/>
        <w:t>Article 34: The False-Flag Forensic Protocol</w:t>
      </w:r>
    </w:p>
    <w:p>
      <w:pPr>
        <w:pStyle w:val="Heading3"/>
        <w:keepNext w:val="true"/>
        <w:keepLines/>
        <w:bidi w:val="0"/>
        <w:spacing w:before="220" w:after="100"/>
        <w:rPr/>
      </w:pPr>
      <w:bookmarkStart w:id="152" w:name="__RefHeading___Toc3751_4199434714"/>
      <w:bookmarkEnd w:id="152"/>
      <w:r>
        <w:rPr/>
        <w:t>34.1 Standing Procedure</w:t>
      </w:r>
    </w:p>
    <w:p>
      <w:pPr>
        <w:pStyle w:val="Normal"/>
        <w:bidi w:val="0"/>
        <w:spacing w:lineRule="auto" w:line="288" w:before="0" w:after="80"/>
        <w:jc w:val="both"/>
        <w:rPr/>
      </w:pPr>
      <w:r>
        <w:rPr/>
        <w:t>34.1.1 Upon any incident graded Level Three or above, the Directorate conducts a false-flag forensic analysis as standing procedure, independent of national investigations. The analysis examines weapons residue and fragments, communications intercepts where lawfully available, vessel track anomalies, sensor-fusion records, and any evidence of third-party staging.</w:t>
      </w:r>
    </w:p>
    <w:p>
      <w:pPr>
        <w:pStyle w:val="Heading3"/>
        <w:keepNext w:val="true"/>
        <w:keepLines/>
        <w:bidi w:val="0"/>
        <w:spacing w:before="220" w:after="100"/>
        <w:rPr/>
      </w:pPr>
      <w:bookmarkStart w:id="153" w:name="__RefHeading___Toc3753_4199434714"/>
      <w:bookmarkEnd w:id="153"/>
      <w:r>
        <w:rPr/>
        <w:t>34.2 Publication and Classification</w:t>
      </w:r>
    </w:p>
    <w:p>
      <w:pPr>
        <w:pStyle w:val="Normal"/>
        <w:bidi w:val="0"/>
        <w:spacing w:lineRule="auto" w:line="288" w:before="0" w:after="80"/>
        <w:jc w:val="both"/>
        <w:rPr/>
      </w:pPr>
      <w:r>
        <w:rPr/>
        <w:t>34.2.1 The analysis publishes within 14 days of the incident, with a classification of: confirmed state actor; confirmed non-state actor; inconclusive; or confirmed false flag. An inconclusive classification states what evidence would resolve it and who holds that evidence.</w:t>
      </w:r>
    </w:p>
    <w:p>
      <w:pPr>
        <w:pStyle w:val="Heading3"/>
        <w:keepNext w:val="true"/>
        <w:keepLines/>
        <w:bidi w:val="0"/>
        <w:spacing w:before="220" w:after="100"/>
        <w:rPr/>
      </w:pPr>
      <w:bookmarkStart w:id="154" w:name="__RefHeading___Toc3755_4199434714"/>
      <w:bookmarkEnd w:id="154"/>
      <w:r>
        <w:rPr/>
        <w:t>34.3 Restoration</w:t>
      </w:r>
    </w:p>
    <w:p>
      <w:pPr>
        <w:pStyle w:val="Normal"/>
        <w:bidi w:val="0"/>
        <w:spacing w:lineRule="auto" w:line="288" w:before="0" w:after="80"/>
        <w:jc w:val="both"/>
        <w:rPr/>
      </w:pPr>
      <w:r>
        <w:rPr/>
        <w:t>34.3.1 A confirmed false-flag finding triggers automatic restoration of standing for any Party targeted by the staged incident, reversal of any compliance step taken against that Party on account of the incident, and publication of the restoration in the Bulletin. The protocol exists so that provocation by third parties fails of its purpose.</w:t>
      </w:r>
    </w:p>
    <w:p>
      <w:pPr>
        <w:pStyle w:val="Heading3"/>
        <w:keepNext w:val="true"/>
        <w:keepLines/>
        <w:bidi w:val="0"/>
        <w:spacing w:before="220" w:after="100"/>
        <w:rPr/>
      </w:pPr>
      <w:bookmarkStart w:id="155" w:name="__RefHeading___Toc3757_4199434714"/>
      <w:bookmarkEnd w:id="155"/>
      <w:r>
        <w:rPr/>
        <w:t>34.4 Evidence Custody</w:t>
      </w:r>
    </w:p>
    <w:p>
      <w:pPr>
        <w:pStyle w:val="Normal"/>
        <w:bidi w:val="0"/>
        <w:spacing w:lineRule="auto" w:line="288" w:before="0" w:after="80"/>
        <w:jc w:val="both"/>
        <w:rPr/>
      </w:pPr>
      <w:r>
        <w:rPr/>
        <w:t>34.4.1 Incident evidence enters the chain-of-custody system of Annex G at the moment of collection, with cryptographic sealing and dual custody between the Directorate and the Secretariat. No Party handles incident evidence alone.</w:t>
      </w:r>
    </w:p>
    <w:p>
      <w:pPr>
        <w:pStyle w:val="Heading2"/>
        <w:keepNext w:val="true"/>
        <w:keepLines/>
        <w:bidi w:val="0"/>
        <w:spacing w:before="280" w:after="120"/>
        <w:rPr/>
      </w:pPr>
      <w:bookmarkStart w:id="156" w:name="__RefHeading___Toc3759_4199434714"/>
      <w:bookmarkEnd w:id="156"/>
      <w:r>
        <w:rPr/>
        <w:t>Article 35: Missile and Exercise Notification Rules</w:t>
      </w:r>
    </w:p>
    <w:p>
      <w:pPr>
        <w:pStyle w:val="Heading3"/>
        <w:keepNext w:val="true"/>
        <w:keepLines/>
        <w:bidi w:val="0"/>
        <w:spacing w:before="220" w:after="100"/>
        <w:rPr/>
      </w:pPr>
      <w:bookmarkStart w:id="157" w:name="__RefHeading___Toc3761_4199434714"/>
      <w:bookmarkEnd w:id="157"/>
      <w:r>
        <w:rPr/>
        <w:t>35.1 Notification</w:t>
      </w:r>
    </w:p>
    <w:p>
      <w:pPr>
        <w:pStyle w:val="Normal"/>
        <w:bidi w:val="0"/>
        <w:spacing w:lineRule="auto" w:line="288" w:before="0" w:after="80"/>
        <w:jc w:val="both"/>
        <w:rPr/>
      </w:pPr>
      <w:r>
        <w:rPr/>
        <w:t>35.1.1 A Party conducting a missile test, drone exercise, naval live-fire exercise, or major air exercise within 50 nautical miles of the Strait centerline, or with trajectories crossing the Governance Area, notifies the Coordination Center not fewer than 72 hours in advance, stating window, area, and safety measures. The Coordination Center issues the corresponding navigational warning.</w:t>
      </w:r>
    </w:p>
    <w:p>
      <w:pPr>
        <w:pStyle w:val="Normal"/>
        <w:bidi w:val="0"/>
        <w:spacing w:lineRule="auto" w:line="288" w:before="0" w:after="80"/>
        <w:jc w:val="both"/>
        <w:rPr/>
      </w:pPr>
      <w:r>
        <w:rPr/>
        <w:t>35.1.2 Notification never converts into a request for consent. Its purpose is the safety of traffic and the prevention of miscalculation, and it operates alongside, never inside, the red lines of Article 30.</w:t>
      </w:r>
    </w:p>
    <w:p>
      <w:pPr>
        <w:pStyle w:val="Heading3"/>
        <w:keepNext w:val="true"/>
        <w:keepLines/>
        <w:bidi w:val="0"/>
        <w:spacing w:before="220" w:after="100"/>
        <w:rPr/>
      </w:pPr>
      <w:bookmarkStart w:id="158" w:name="__RefHeading___Toc3763_4199434714"/>
      <w:bookmarkEnd w:id="158"/>
      <w:r>
        <w:rPr/>
        <w:t>35.2 Prohibited Windows and Areas</w:t>
      </w:r>
    </w:p>
    <w:p>
      <w:pPr>
        <w:pStyle w:val="Normal"/>
        <w:bidi w:val="0"/>
        <w:spacing w:lineRule="auto" w:line="288" w:before="0" w:after="80"/>
        <w:jc w:val="both"/>
        <w:rPr/>
      </w:pPr>
      <w:r>
        <w:rPr/>
        <w:t>35.2.1 No test or exercise occurs inside a corridor lane, the Central Buffer, or within the standoff distances of Annex A, at any time, notified or not. During Amber, Red, or Black flow states, no new test window opens within the notification zone.</w:t>
      </w:r>
    </w:p>
    <w:p>
      <w:pPr>
        <w:pStyle w:val="Heading2"/>
        <w:keepNext w:val="true"/>
        <w:keepLines/>
        <w:bidi w:val="0"/>
        <w:spacing w:before="280" w:after="120"/>
        <w:rPr/>
      </w:pPr>
      <w:bookmarkStart w:id="159" w:name="__RefHeading___Toc3765_4199434714"/>
      <w:bookmarkEnd w:id="159"/>
      <w:r>
        <w:rPr/>
        <w:t>Article 36: Airspace Deconfliction</w:t>
      </w:r>
    </w:p>
    <w:p>
      <w:pPr>
        <w:pStyle w:val="Heading3"/>
        <w:keepNext w:val="true"/>
        <w:keepLines/>
        <w:bidi w:val="0"/>
        <w:spacing w:before="220" w:after="100"/>
        <w:rPr/>
      </w:pPr>
      <w:bookmarkStart w:id="160" w:name="__RefHeading___Toc3767_4199434714"/>
      <w:bookmarkEnd w:id="160"/>
      <w:r>
        <w:rPr/>
        <w:t>36.1 The Air-Maritime Interface</w:t>
      </w:r>
    </w:p>
    <w:p>
      <w:pPr>
        <w:pStyle w:val="Normal"/>
        <w:bidi w:val="0"/>
        <w:spacing w:lineRule="auto" w:line="288" w:before="0" w:after="80"/>
        <w:jc w:val="both"/>
        <w:rPr/>
      </w:pPr>
      <w:r>
        <w:rPr/>
        <w:t>36.1.1 The corridor system extends its deconfliction discipline upward: military air operations over the Governance Area observe the notification rules of Article 35, and the Coordination Center maintains the air-maritime fused picture described in Article 46.</w:t>
      </w:r>
    </w:p>
    <w:p>
      <w:pPr>
        <w:pStyle w:val="Normal"/>
        <w:bidi w:val="0"/>
        <w:spacing w:lineRule="auto" w:line="288" w:before="0" w:after="80"/>
        <w:jc w:val="both"/>
        <w:rPr/>
      </w:pPr>
      <w:r>
        <w:rPr/>
        <w:t>36.1.2 Uncrewed aerial systems operating over the corridors carry identification fit and operate on published corridors of their own where their operation is routine; non-routine unmanned operations notify under Article 35.</w:t>
      </w:r>
    </w:p>
    <w:p>
      <w:pPr>
        <w:pStyle w:val="Heading3"/>
        <w:keepNext w:val="true"/>
        <w:keepLines/>
        <w:bidi w:val="0"/>
        <w:spacing w:before="220" w:after="100"/>
        <w:rPr/>
      </w:pPr>
      <w:bookmarkStart w:id="161" w:name="__RefHeading___Toc3769_4199434714"/>
      <w:bookmarkEnd w:id="161"/>
      <w:r>
        <w:rPr/>
        <w:t>36.2 Civil Aviation Protection</w:t>
      </w:r>
    </w:p>
    <w:p>
      <w:pPr>
        <w:pStyle w:val="Normal"/>
        <w:bidi w:val="0"/>
        <w:spacing w:lineRule="auto" w:line="288" w:before="0" w:after="80"/>
        <w:jc w:val="both"/>
        <w:rPr/>
      </w:pPr>
      <w:r>
        <w:rPr/>
        <w:t>36.2.1 The Parties coordinate with the International Civil Aviation Organization on the publication of airspace warnings for the Governance Area, so that civil aviation over the Strait receives the same quality of hazard information as merchant shipping beneath it.</w:t>
      </w:r>
    </w:p>
    <w:p>
      <w:pPr>
        <w:pStyle w:val="Heading1"/>
        <w:keepNext w:val="true"/>
        <w:keepLines/>
        <w:pBdr>
          <w:bottom w:val="single" w:sz="12" w:space="6" w:color="B8860B"/>
        </w:pBdr>
        <w:bidi w:val="0"/>
        <w:spacing w:before="0" w:after="360"/>
        <w:rPr/>
      </w:pPr>
      <w:bookmarkStart w:id="162" w:name="__RefHeading___Toc3771_4199434714"/>
      <w:bookmarkEnd w:id="162"/>
      <w:r>
        <w:rPr/>
        <w:t>PART VI: THE HUMANITARIAN AND ENVIRONMENTAL FRAMEWORK</w:t>
      </w:r>
    </w:p>
    <w:p>
      <w:pPr>
        <w:pStyle w:val="Heading2"/>
        <w:keepNext w:val="true"/>
        <w:keepLines/>
        <w:bidi w:val="0"/>
        <w:spacing w:before="280" w:after="120"/>
        <w:rPr/>
      </w:pPr>
      <w:bookmarkStart w:id="163" w:name="__RefHeading___Toc3773_4199434714"/>
      <w:bookmarkEnd w:id="163"/>
      <w:r>
        <w:rPr/>
        <w:t>Article 37: The Humanitarian Bridge</w:t>
      </w:r>
    </w:p>
    <w:p>
      <w:pPr>
        <w:pStyle w:val="Heading3"/>
        <w:keepNext w:val="true"/>
        <w:keepLines/>
        <w:bidi w:val="0"/>
        <w:spacing w:before="220" w:after="100"/>
        <w:rPr/>
      </w:pPr>
      <w:bookmarkStart w:id="164" w:name="__RefHeading___Toc3775_4199434714"/>
      <w:bookmarkEnd w:id="164"/>
      <w:r>
        <w:rPr/>
        <w:t>37.1 The Absolute Priority Rule</w:t>
      </w:r>
    </w:p>
    <w:p>
      <w:pPr>
        <w:pStyle w:val="Normal"/>
        <w:bidi w:val="0"/>
        <w:spacing w:lineRule="auto" w:line="288" w:before="0" w:after="80"/>
        <w:jc w:val="both"/>
        <w:rPr/>
      </w:pPr>
      <w:r>
        <w:rPr/>
        <w:t>37.1.1 Food, medicine, medical equipment, fertilizer, and relief cargo move first, under every condition, in every flow state, without exception. Humanitarian traffic enjoys absolute priority in gate sequencing, convoy windows, and emergency states, and it stands exempt from every tier consequence, compliance measure, and dispute outcome under this Charter.</w:t>
      </w:r>
    </w:p>
    <w:p>
      <w:pPr>
        <w:pStyle w:val="Normal"/>
        <w:bidi w:val="0"/>
        <w:spacing w:lineRule="auto" w:line="288" w:before="0" w:after="80"/>
        <w:jc w:val="both"/>
        <w:rPr/>
      </w:pPr>
      <w:r>
        <w:rPr/>
        <w:t>37.1.2 No Party delays, conditions, inspects beyond the manifest rules of Annex D, or exacts any payment from humanitarian transit. The humanitarian bridge operates even in dormancy under Article 7, and even between Parties in a state of conflict.</w:t>
      </w:r>
    </w:p>
    <w:p>
      <w:pPr>
        <w:pStyle w:val="Heading3"/>
        <w:keepNext w:val="true"/>
        <w:keepLines/>
        <w:bidi w:val="0"/>
        <w:spacing w:before="220" w:after="100"/>
        <w:rPr/>
      </w:pPr>
      <w:bookmarkStart w:id="165" w:name="__RefHeading___Toc3777_4199434714"/>
      <w:bookmarkEnd w:id="165"/>
      <w:r>
        <w:rPr/>
        <w:t>37.2 The Humanitarian Desk</w:t>
      </w:r>
    </w:p>
    <w:p>
      <w:pPr>
        <w:pStyle w:val="Normal"/>
        <w:bidi w:val="0"/>
        <w:spacing w:lineRule="auto" w:line="288" w:before="0" w:after="80"/>
        <w:jc w:val="both"/>
        <w:rPr/>
      </w:pPr>
      <w:r>
        <w:rPr/>
        <w:t>37.2.1 The Secretariat operates a standing Humanitarian Desk as the single point of contact for humanitarian shipments, coordinating with the United Nations task force machinery, the International Maritime Organization's humanitarian functions, and the relief agencies. The Desk streamlines manifests, pre-clears documentation, and tracks every humanitarian movement to completion.</w:t>
      </w:r>
    </w:p>
    <w:p>
      <w:pPr>
        <w:pStyle w:val="Heading3"/>
        <w:keepNext w:val="true"/>
        <w:keepLines/>
        <w:bidi w:val="0"/>
        <w:spacing w:before="220" w:after="100"/>
        <w:rPr/>
      </w:pPr>
      <w:bookmarkStart w:id="166" w:name="__RefHeading___Toc3779_4199434714"/>
      <w:bookmarkEnd w:id="166"/>
      <w:r>
        <w:rPr/>
        <w:t>37.3 Verification of Humanitarian Cargo</w:t>
      </w:r>
    </w:p>
    <w:p>
      <w:pPr>
        <w:pStyle w:val="Normal"/>
        <w:bidi w:val="0"/>
        <w:spacing w:lineRule="auto" w:line="288" w:before="0" w:after="80"/>
        <w:jc w:val="both"/>
        <w:rPr/>
      </w:pPr>
      <w:r>
        <w:rPr/>
        <w:t>37.3.1 Humanitarian cargo verifies by manifest under the UNVIM-style inspection arrangements of Annex D: declaration at origin, neutral inspection where a Party requests it at designated ports outside the corridors, and sealed transit thereafter. Inspection serves assurance; it never serves delay, and a vessel cleared at origin transits without further inspection in the Governance Area.</w:t>
      </w:r>
    </w:p>
    <w:p>
      <w:pPr>
        <w:pStyle w:val="Heading2"/>
        <w:keepNext w:val="true"/>
        <w:keepLines/>
        <w:bidi w:val="0"/>
        <w:spacing w:before="280" w:after="120"/>
        <w:rPr/>
      </w:pPr>
      <w:bookmarkStart w:id="167" w:name="__RefHeading___Toc3781_4199434714"/>
      <w:bookmarkEnd w:id="167"/>
      <w:r>
        <w:rPr/>
        <w:t>Article 38: Seafarer Protection and Welfare</w:t>
      </w:r>
    </w:p>
    <w:p>
      <w:pPr>
        <w:pStyle w:val="Heading3"/>
        <w:keepNext w:val="true"/>
        <w:keepLines/>
        <w:bidi w:val="0"/>
        <w:spacing w:before="220" w:after="100"/>
        <w:rPr/>
      </w:pPr>
      <w:bookmarkStart w:id="168" w:name="__RefHeading___Toc3783_4199434714"/>
      <w:bookmarkEnd w:id="168"/>
      <w:r>
        <w:rPr/>
        <w:t>38.1 The Seafarer Protections</w:t>
      </w:r>
    </w:p>
    <w:p>
      <w:pPr>
        <w:pStyle w:val="Normal"/>
        <w:bidi w:val="0"/>
        <w:spacing w:lineRule="auto" w:line="288" w:before="0" w:after="80"/>
        <w:jc w:val="both"/>
        <w:rPr/>
      </w:pPr>
      <w:r>
        <w:rPr/>
        <w:t>38.1.1 The Charter adopts the standing protections of the Maritime Labour Convention and SOLAS for all seafarers in the Governance Area, and adds the Charter protections of this Article.</w:t>
      </w:r>
    </w:p>
    <w:p>
      <w:pPr>
        <w:pStyle w:val="Normal"/>
        <w:bidi w:val="0"/>
        <w:spacing w:lineRule="auto" w:line="288" w:before="0" w:after="80"/>
        <w:jc w:val="both"/>
        <w:rPr/>
      </w:pPr>
      <w:r>
        <w:rPr/>
        <w:t>38.1.2 No seafarer faces detention, interrogation, or prosecution by any Party solely for transiting the Strait, serving aboard a vessel that transits, or being aboard a vessel caught in an incident. Consular access for any seafarer held in connection with a corridor incident operates within 24 hours.</w:t>
      </w:r>
    </w:p>
    <w:p>
      <w:pPr>
        <w:pStyle w:val="Heading3"/>
        <w:keepNext w:val="true"/>
        <w:keepLines/>
        <w:bidi w:val="0"/>
        <w:spacing w:before="220" w:after="100"/>
        <w:rPr/>
      </w:pPr>
      <w:bookmarkStart w:id="169" w:name="__RefHeading___Toc3785_4199434714"/>
      <w:bookmarkEnd w:id="169"/>
      <w:r>
        <w:rPr/>
        <w:t>38.2 Welfare Services</w:t>
      </w:r>
    </w:p>
    <w:p>
      <w:pPr>
        <w:pStyle w:val="Normal"/>
        <w:bidi w:val="0"/>
        <w:spacing w:lineRule="auto" w:line="288" w:before="0" w:after="80"/>
        <w:jc w:val="both"/>
        <w:rPr/>
      </w:pPr>
      <w:r>
        <w:rPr/>
        <w:t>38.2.1 The corridor system maintains: a 24-hour medical emergency line connecting vessels to coastal-state medical services; mental-health support access for crews affected by prolonged confinement, crisis exposure, or incident trauma, delivered through the seafarer welfare organizations and funded by the Fund; facilitated crew changes at the designated regional hub ports of Annex A; and emergency provisioning for vessels in extended waiting.</w:t>
      </w:r>
    </w:p>
    <w:p>
      <w:pPr>
        <w:pStyle w:val="Heading3"/>
        <w:keepNext w:val="true"/>
        <w:keepLines/>
        <w:bidi w:val="0"/>
        <w:spacing w:before="220" w:after="100"/>
        <w:rPr/>
      </w:pPr>
      <w:bookmarkStart w:id="170" w:name="__RefHeading___Toc3787_4199434714"/>
      <w:bookmarkEnd w:id="170"/>
      <w:r>
        <w:rPr/>
        <w:t>38.3 Evacuation Standing Capability</w:t>
      </w:r>
    </w:p>
    <w:p>
      <w:pPr>
        <w:pStyle w:val="Normal"/>
        <w:bidi w:val="0"/>
        <w:spacing w:lineRule="auto" w:line="288" w:before="0" w:after="80"/>
        <w:jc w:val="both"/>
        <w:rPr/>
      </w:pPr>
      <w:r>
        <w:rPr/>
        <w:t>38.3.1 The crisis of 2026 demonstrated the need for a standing evacuation capability. The Coordination Center maintains, with the IMO and the coastal states, a standing seafarer evacuation framework: pre-surveyed evacuation routes through both corridors, pre-agreed reception arrangements at regional hub ports, and a rehearsed activation procedure exercisable within 72 hours. The framework activates automatically in a Level Five incident and on Council decision otherwise.</w:t>
      </w:r>
    </w:p>
    <w:p>
      <w:pPr>
        <w:pStyle w:val="Heading3"/>
        <w:keepNext w:val="true"/>
        <w:keepLines/>
        <w:bidi w:val="0"/>
        <w:spacing w:before="220" w:after="100"/>
        <w:rPr/>
      </w:pPr>
      <w:bookmarkStart w:id="171" w:name="__RefHeading___Toc3789_4199434714"/>
      <w:bookmarkEnd w:id="171"/>
      <w:r>
        <w:rPr/>
        <w:t>38.4 Repatriation Support</w:t>
      </w:r>
    </w:p>
    <w:p>
      <w:pPr>
        <w:pStyle w:val="Normal"/>
        <w:bidi w:val="0"/>
        <w:spacing w:lineRule="auto" w:line="288" w:before="0" w:after="80"/>
        <w:jc w:val="both"/>
        <w:rPr/>
      </w:pPr>
      <w:r>
        <w:rPr/>
        <w:t>38.4.1 Repatriation of crews in crisis conditions coordinates through the regional hubs, with the Fund bearing shared logistics costs under the formula of Annex E where flag states face demonstrated inability. No seafarer remains stranded for want of money.</w:t>
      </w:r>
    </w:p>
    <w:p>
      <w:pPr>
        <w:pStyle w:val="Heading2"/>
        <w:keepNext w:val="true"/>
        <w:keepLines/>
        <w:bidi w:val="0"/>
        <w:spacing w:before="280" w:after="120"/>
        <w:rPr/>
      </w:pPr>
      <w:bookmarkStart w:id="172" w:name="__RefHeading___Toc3791_4199434714"/>
      <w:bookmarkEnd w:id="172"/>
      <w:r>
        <w:rPr/>
        <w:t>Article 39: Environmental Monitoring and Protection</w:t>
      </w:r>
    </w:p>
    <w:p>
      <w:pPr>
        <w:pStyle w:val="Heading3"/>
        <w:keepNext w:val="true"/>
        <w:keepLines/>
        <w:bidi w:val="0"/>
        <w:spacing w:before="220" w:after="100"/>
        <w:rPr/>
      </w:pPr>
      <w:bookmarkStart w:id="173" w:name="__RefHeading___Toc3793_4199434714"/>
      <w:bookmarkEnd w:id="173"/>
      <w:r>
        <w:rPr/>
        <w:t>39.1 The Standing Program</w:t>
      </w:r>
    </w:p>
    <w:p>
      <w:pPr>
        <w:pStyle w:val="Normal"/>
        <w:bidi w:val="0"/>
        <w:spacing w:lineRule="auto" w:line="288" w:before="0" w:after="80"/>
        <w:jc w:val="both"/>
        <w:rPr/>
      </w:pPr>
      <w:r>
        <w:rPr/>
        <w:t>39.1.1 The Directorate operates a standing environmental monitoring program across both corridors, the Buffer, and the approaches: water quality sampling, oil-sheen surveillance by satellite and patrol, acoustic monitoring for marine mammal protection, and ballast and discharge compliance observation.</w:t>
      </w:r>
    </w:p>
    <w:p>
      <w:pPr>
        <w:pStyle w:val="Normal"/>
        <w:bidi w:val="0"/>
        <w:spacing w:lineRule="auto" w:line="288" w:before="0" w:after="80"/>
        <w:jc w:val="both"/>
        <w:rPr/>
      </w:pPr>
      <w:r>
        <w:rPr/>
        <w:t>39.1.2 The program publishes its data openly on the environmental dashboard of the Transparency Portal. Environmental data, like safety data, admits no confidentiality.</w:t>
      </w:r>
    </w:p>
    <w:p>
      <w:pPr>
        <w:pStyle w:val="Heading3"/>
        <w:keepNext w:val="true"/>
        <w:keepLines/>
        <w:bidi w:val="0"/>
        <w:spacing w:before="220" w:after="100"/>
        <w:rPr/>
      </w:pPr>
      <w:bookmarkStart w:id="174" w:name="__RefHeading___Toc3795_4199434714"/>
      <w:bookmarkEnd w:id="174"/>
      <w:r>
        <w:rPr/>
        <w:t>39.2 Sensitive Areas</w:t>
      </w:r>
    </w:p>
    <w:p>
      <w:pPr>
        <w:pStyle w:val="Normal"/>
        <w:bidi w:val="0"/>
        <w:spacing w:lineRule="auto" w:line="288" w:before="0" w:after="80"/>
        <w:jc w:val="both"/>
        <w:rPr/>
      </w:pPr>
      <w:r>
        <w:rPr/>
        <w:t>39.2.1 Annex A records the Particularly Sensitive Sea Area components within the Governance Area: coral systems, turtle habitat, spawning grounds, and desalination intake protection zones, with their associated protective measures: speed advisories, anchoring restrictions, and discharge controls within the limits of international law for transit passage.</w:t>
      </w:r>
    </w:p>
    <w:p>
      <w:pPr>
        <w:pStyle w:val="Heading3"/>
        <w:keepNext w:val="true"/>
        <w:keepLines/>
        <w:bidi w:val="0"/>
        <w:spacing w:before="220" w:after="100"/>
        <w:rPr/>
      </w:pPr>
      <w:bookmarkStart w:id="175" w:name="__RefHeading___Toc3797_4199434714"/>
      <w:bookmarkEnd w:id="175"/>
      <w:r>
        <w:rPr/>
        <w:t>39.3 Environmental Standards for Services</w:t>
      </w:r>
    </w:p>
    <w:p>
      <w:pPr>
        <w:pStyle w:val="Normal"/>
        <w:bidi w:val="0"/>
        <w:spacing w:lineRule="auto" w:line="288" w:before="0" w:after="80"/>
        <w:jc w:val="both"/>
        <w:rPr/>
      </w:pPr>
      <w:r>
        <w:rPr/>
        <w:t>39.3.1 Corridor services operate to environmental standards: waste reception at coastal-state ports at catalog rates, low-emission pilot and patrol craft as fleets renew, and the Green Discount incentives of Article 26.</w:t>
      </w:r>
    </w:p>
    <w:p>
      <w:pPr>
        <w:pStyle w:val="Heading2"/>
        <w:keepNext w:val="true"/>
        <w:keepLines/>
        <w:bidi w:val="0"/>
        <w:spacing w:before="280" w:after="120"/>
        <w:rPr/>
      </w:pPr>
      <w:bookmarkStart w:id="176" w:name="__RefHeading___Toc3799_4199434714"/>
      <w:bookmarkEnd w:id="176"/>
      <w:r>
        <w:rPr/>
        <w:t>Article 40: Spill Response and the Joint Roster</w:t>
      </w:r>
    </w:p>
    <w:p>
      <w:pPr>
        <w:pStyle w:val="Heading3"/>
        <w:keepNext w:val="true"/>
        <w:keepLines/>
        <w:bidi w:val="0"/>
        <w:spacing w:before="220" w:after="100"/>
        <w:rPr/>
      </w:pPr>
      <w:bookmarkStart w:id="177" w:name="__RefHeading___Toc3801_4199434714"/>
      <w:bookmarkEnd w:id="177"/>
      <w:r>
        <w:rPr/>
        <w:t>40.1 The Joint Spill-Response Roster</w:t>
      </w:r>
    </w:p>
    <w:p>
      <w:pPr>
        <w:pStyle w:val="Normal"/>
        <w:bidi w:val="0"/>
        <w:spacing w:lineRule="auto" w:line="288" w:before="0" w:after="80"/>
        <w:jc w:val="both"/>
        <w:rPr/>
      </w:pPr>
      <w:r>
        <w:rPr/>
        <w:t>40.1.1 The Parties maintain a joint spill-response roster: dedicated response vessels, dispersant stockpiles, boom and skimming equipment, and trained teams, stationed at the roster ports of Annex A on a shared-cost basis through the Fund. The roster responds anywhere in the Governance Area under Coordination Center tasking without regard to which state's waters the casualty occupies.</w:t>
      </w:r>
    </w:p>
    <w:p>
      <w:pPr>
        <w:pStyle w:val="Heading3"/>
        <w:keepNext w:val="true"/>
        <w:keepLines/>
        <w:bidi w:val="0"/>
        <w:spacing w:before="220" w:after="100"/>
        <w:rPr/>
      </w:pPr>
      <w:bookmarkStart w:id="178" w:name="__RefHeading___Toc3803_4199434714"/>
      <w:bookmarkEnd w:id="178"/>
      <w:r>
        <w:rPr/>
        <w:t>40.2 Response Timelines</w:t>
      </w:r>
    </w:p>
    <w:p>
      <w:pPr>
        <w:pStyle w:val="Normal"/>
        <w:bidi w:val="0"/>
        <w:spacing w:lineRule="auto" w:line="288" w:before="0" w:after="80"/>
        <w:jc w:val="both"/>
        <w:rPr/>
      </w:pPr>
      <w:r>
        <w:rPr/>
        <w:t>40.2.1 The roster meets the response standards of Annex C: first assets on scene within 6 hours inside the Strait and 12 hours in the outer approaches, around the clock. Exercises run quarterly, alternating between tanker, chemical, and bunker scenarios, and exercise results publish.</w:t>
      </w:r>
    </w:p>
    <w:p>
      <w:pPr>
        <w:pStyle w:val="Heading3"/>
        <w:keepNext w:val="true"/>
        <w:keepLines/>
        <w:bidi w:val="0"/>
        <w:spacing w:before="220" w:after="100"/>
        <w:rPr/>
      </w:pPr>
      <w:bookmarkStart w:id="179" w:name="__RefHeading___Toc3805_4199434714"/>
      <w:bookmarkEnd w:id="179"/>
      <w:r>
        <w:rPr/>
        <w:t>40.3 Liability Interface</w:t>
      </w:r>
    </w:p>
    <w:p>
      <w:pPr>
        <w:pStyle w:val="Normal"/>
        <w:bidi w:val="0"/>
        <w:spacing w:lineRule="auto" w:line="288" w:before="0" w:after="80"/>
        <w:jc w:val="both"/>
        <w:rPr/>
      </w:pPr>
      <w:r>
        <w:rPr/>
        <w:t>40.3.1 Response under this Article operates without prejudice to liability under the international liability and compensation conventions. Response cost recovery follows the Catalog rules where owner negligence features; in all other cases the Fund absorbs response costs as a common expense, because clean water is a common good.</w:t>
      </w:r>
    </w:p>
    <w:p>
      <w:pPr>
        <w:pStyle w:val="Heading2"/>
        <w:keepNext w:val="true"/>
        <w:keepLines/>
        <w:bidi w:val="0"/>
        <w:spacing w:before="280" w:after="120"/>
        <w:rPr/>
      </w:pPr>
      <w:bookmarkStart w:id="180" w:name="__RefHeading___Toc3807_4199434714"/>
      <w:bookmarkEnd w:id="180"/>
      <w:r>
        <w:rPr/>
        <w:t>Article 41: Green Incentives and the Decarbonization Interface</w:t>
      </w:r>
    </w:p>
    <w:p>
      <w:pPr>
        <w:pStyle w:val="Heading3"/>
        <w:keepNext w:val="true"/>
        <w:keepLines/>
        <w:bidi w:val="0"/>
        <w:spacing w:before="220" w:after="100"/>
        <w:rPr/>
      </w:pPr>
      <w:bookmarkStart w:id="181" w:name="__RefHeading___Toc3809_4199434714"/>
      <w:bookmarkEnd w:id="181"/>
      <w:r>
        <w:rPr/>
        <w:t>41.1 The Green Discount Link</w:t>
      </w:r>
    </w:p>
    <w:p>
      <w:pPr>
        <w:pStyle w:val="Normal"/>
        <w:bidi w:val="0"/>
        <w:spacing w:lineRule="auto" w:line="288" w:before="0" w:after="80"/>
        <w:jc w:val="both"/>
        <w:rPr/>
      </w:pPr>
      <w:r>
        <w:rPr/>
        <w:t>41.1.1 The Green Discount of Article 26 forms the financial edge of the environmental framework. The environmental tiers of Annex B align with the IMO greenhouse-gas framework so that a vessel's global compliance investment earns recognition in the Strait without duplicative regional requirements.</w:t>
      </w:r>
    </w:p>
    <w:p>
      <w:pPr>
        <w:pStyle w:val="Heading3"/>
        <w:keepNext w:val="true"/>
        <w:keepLines/>
        <w:bidi w:val="0"/>
        <w:spacing w:before="220" w:after="100"/>
        <w:rPr/>
      </w:pPr>
      <w:bookmarkStart w:id="182" w:name="__RefHeading___Toc3811_4199434714"/>
      <w:bookmarkEnd w:id="182"/>
      <w:r>
        <w:rPr/>
        <w:t>41.2 The Alternative Fuels Interface</w:t>
      </w:r>
    </w:p>
    <w:p>
      <w:pPr>
        <w:pStyle w:val="Normal"/>
        <w:bidi w:val="0"/>
        <w:spacing w:lineRule="auto" w:line="288" w:before="0" w:after="80"/>
        <w:jc w:val="both"/>
        <w:rPr/>
      </w:pPr>
      <w:r>
        <w:rPr/>
        <w:t>41.2.1 The Secretariat coordinates with coastal-state ports on the progressive availability of alternative-fuel bunkering and shore power at the hub ports of Annex A, and reports annually on the decarbonization readiness of the corridor system.</w:t>
      </w:r>
    </w:p>
    <w:p>
      <w:pPr>
        <w:pStyle w:val="Heading3"/>
        <w:keepNext w:val="true"/>
        <w:keepLines/>
        <w:bidi w:val="0"/>
        <w:spacing w:before="220" w:after="100"/>
        <w:rPr/>
      </w:pPr>
      <w:bookmarkStart w:id="183" w:name="__RefHeading___Toc3813_4199434714"/>
      <w:bookmarkEnd w:id="183"/>
      <w:r>
        <w:rPr/>
        <w:t>41.3 The Stewardship Pledge</w:t>
      </w:r>
    </w:p>
    <w:p>
      <w:pPr>
        <w:pStyle w:val="Normal"/>
        <w:bidi w:val="0"/>
        <w:spacing w:lineRule="auto" w:line="288" w:before="0" w:after="80"/>
        <w:jc w:val="both"/>
        <w:rPr/>
      </w:pPr>
      <w:r>
        <w:rPr/>
        <w:t>41.3.1 The Charter establishes the voluntary Environmental and Navigation Stewardship Pledge: a public commitment instrument through which shipping lines, ports, and cargo owners commit to the environmental standards of Annex C and appear on the Stewards Register. The Pledge carries reputational recognition and the service benefits of Annex B, and nothing else; non-signatories lose nothing.</w:t>
      </w:r>
    </w:p>
    <w:p>
      <w:pPr>
        <w:pStyle w:val="Heading1"/>
        <w:keepNext w:val="true"/>
        <w:keepLines/>
        <w:pBdr>
          <w:bottom w:val="single" w:sz="12" w:space="6" w:color="B8860B"/>
        </w:pBdr>
        <w:bidi w:val="0"/>
        <w:spacing w:before="0" w:after="360"/>
        <w:rPr/>
      </w:pPr>
      <w:bookmarkStart w:id="184" w:name="__RefHeading___Toc3815_4199434714"/>
      <w:bookmarkEnd w:id="184"/>
      <w:r>
        <w:rPr/>
        <w:t>PART VII: THE INSTITUTIONAL ARCHITECTURE</w:t>
      </w:r>
    </w:p>
    <w:p>
      <w:pPr>
        <w:pStyle w:val="Heading2"/>
        <w:keepNext w:val="true"/>
        <w:keepLines/>
        <w:bidi w:val="0"/>
        <w:spacing w:before="280" w:after="120"/>
        <w:rPr/>
      </w:pPr>
      <w:bookmarkStart w:id="185" w:name="__RefHeading___Toc3817_4199434714"/>
      <w:bookmarkEnd w:id="185"/>
      <w:r>
        <w:rPr/>
        <w:t>Article 42: The Hormuz Regional Stewardship Council</w:t>
      </w:r>
    </w:p>
    <w:p>
      <w:pPr>
        <w:pStyle w:val="Heading3"/>
        <w:keepNext w:val="true"/>
        <w:keepLines/>
        <w:bidi w:val="0"/>
        <w:spacing w:before="220" w:after="100"/>
        <w:rPr/>
      </w:pPr>
      <w:bookmarkStart w:id="186" w:name="__RefHeading___Toc3819_4199434714"/>
      <w:bookmarkEnd w:id="186"/>
      <w:r>
        <w:rPr/>
        <w:t>42.1 Composition</w:t>
      </w:r>
    </w:p>
    <w:p>
      <w:pPr>
        <w:pStyle w:val="Normal"/>
        <w:bidi w:val="0"/>
        <w:spacing w:lineRule="auto" w:line="288" w:before="0" w:after="80"/>
        <w:jc w:val="both"/>
        <w:rPr/>
      </w:pPr>
      <w:r>
        <w:rPr/>
        <w:t>42.1.1 The Hormuz Regional Stewardship Council is the governing body of the Charter. It seats the founding parties and the regional members, one delegation each, with the standing observers of Article 5 in attendance. The chair rotates annually in the order recorded in Annex E, beginning with the Sultanate of Oman in recognition of its mediating role in the Charter's genesis.</w:t>
      </w:r>
    </w:p>
    <w:p>
      <w:pPr>
        <w:pStyle w:val="Normal"/>
        <w:bidi w:val="0"/>
        <w:spacing w:lineRule="auto" w:line="288" w:before="0" w:after="80"/>
        <w:jc w:val="both"/>
        <w:rPr/>
      </w:pPr>
      <w:r>
        <w:rPr/>
        <w:t>42.1.2 The Council meets in ordinary session quarterly, alternating between Tehran, Muscat, and the seats of regional members by rotation, and in extraordinary session at the call of any two members or upon a Level Four or Level Five incident.</w:t>
      </w:r>
    </w:p>
    <w:p>
      <w:pPr>
        <w:pStyle w:val="Heading3"/>
        <w:keepNext w:val="true"/>
        <w:keepLines/>
        <w:bidi w:val="0"/>
        <w:spacing w:before="220" w:after="100"/>
        <w:rPr/>
      </w:pPr>
      <w:bookmarkStart w:id="187" w:name="__RefHeading___Toc3821_4199434714"/>
      <w:bookmarkEnd w:id="187"/>
      <w:r>
        <w:rPr/>
        <w:t>42.2 Functions</w:t>
      </w:r>
    </w:p>
    <w:p>
      <w:pPr>
        <w:pStyle w:val="Normal"/>
        <w:bidi w:val="0"/>
        <w:spacing w:lineRule="auto" w:line="288" w:before="0" w:after="80"/>
        <w:jc w:val="both"/>
        <w:rPr/>
      </w:pPr>
      <w:r>
        <w:rPr/>
        <w:t>42.2.1 The Council: adopts the Rate Card, the budget, and the annex revisions within its competence; appoints the Secretary-General of the Secretariat and the Director of the Directorate; certifies gate completions under Article 60; decides Twin Key escalations under Article 43; receives the Stability Audit; and represents the Charter externally.</w:t>
      </w:r>
    </w:p>
    <w:p>
      <w:pPr>
        <w:pStyle w:val="Normal"/>
        <w:bidi w:val="0"/>
        <w:spacing w:lineRule="auto" w:line="288" w:before="0" w:after="80"/>
        <w:jc w:val="both"/>
        <w:rPr/>
      </w:pPr>
      <w:r>
        <w:rPr/>
        <w:t>42.2.2 The Council's powers are the enumerated powers of this Charter and no others. The Council does not legislate for the Parties, does not touch sovereignty, and does not amend the Charter except through Article 66.</w:t>
      </w:r>
    </w:p>
    <w:p>
      <w:pPr>
        <w:pStyle w:val="Heading2"/>
        <w:keepNext w:val="true"/>
        <w:keepLines/>
        <w:bidi w:val="0"/>
        <w:spacing w:before="280" w:after="120"/>
        <w:rPr/>
      </w:pPr>
      <w:bookmarkStart w:id="188" w:name="__RefHeading___Toc3823_4199434714"/>
      <w:bookmarkEnd w:id="188"/>
      <w:r>
        <w:rPr/>
        <w:t>Article 43: The Twin Key Rule</w:t>
      </w:r>
    </w:p>
    <w:p>
      <w:pPr>
        <w:pStyle w:val="Heading3"/>
        <w:keepNext w:val="true"/>
        <w:keepLines/>
        <w:bidi w:val="0"/>
        <w:spacing w:before="220" w:after="100"/>
        <w:rPr/>
      </w:pPr>
      <w:bookmarkStart w:id="189" w:name="__RefHeading___Toc3825_4199434714"/>
      <w:bookmarkEnd w:id="189"/>
      <w:r>
        <w:rPr/>
        <w:t>43.1 The Rule</w:t>
      </w:r>
    </w:p>
    <w:p>
      <w:pPr>
        <w:pStyle w:val="Normal"/>
        <w:bidi w:val="0"/>
        <w:spacing w:lineRule="auto" w:line="288" w:before="0" w:after="80"/>
        <w:jc w:val="both"/>
        <w:rPr/>
      </w:pPr>
      <w:r>
        <w:rPr/>
        <w:t>43.1.1 The Twin Key Rule governs every consequential act of the corridor system: no consequential act executes on the authority of one founding party alone. Consequential acts comprise: coordinate changes; corridor openings, closures, and reconfigurations; patrol taskings; flow-state declarations above Amber; Catalog and Rate Card adoption; emergency-state declarations and extensions; and the convergence steps of Article 13.</w:t>
      </w:r>
    </w:p>
    <w:p>
      <w:pPr>
        <w:pStyle w:val="Normal"/>
        <w:bidi w:val="0"/>
        <w:spacing w:lineRule="auto" w:line="288" w:before="0" w:after="80"/>
        <w:jc w:val="both"/>
        <w:rPr/>
      </w:pPr>
      <w:r>
        <w:rPr/>
        <w:t>43.1.2 The Twin Key procedure runs: proposal by one founding party's competent organ; concurrence or reasoned objection by the other founding party's competent organ within the published decision window of Annex E; upon concurrence, execution and publication. Silence within the decision window counts as concurrence, so that obstruction by absence fails by design.</w:t>
      </w:r>
    </w:p>
    <w:p>
      <w:pPr>
        <w:pStyle w:val="Heading3"/>
        <w:keepNext w:val="true"/>
        <w:keepLines/>
        <w:bidi w:val="0"/>
        <w:spacing w:before="220" w:after="100"/>
        <w:rPr/>
      </w:pPr>
      <w:bookmarkStart w:id="190" w:name="__RefHeading___Toc3827_4199434714"/>
      <w:bookmarkEnd w:id="190"/>
      <w:r>
        <w:rPr/>
        <w:t>43.3 Deadlock Resolution</w:t>
      </w:r>
    </w:p>
    <w:p>
      <w:pPr>
        <w:pStyle w:val="Normal"/>
        <w:bidi w:val="0"/>
        <w:spacing w:lineRule="auto" w:line="288" w:before="0" w:after="80"/>
        <w:jc w:val="both"/>
        <w:rPr/>
      </w:pPr>
      <w:r>
        <w:rPr/>
        <w:t>43.3.1 A reasoned objection enters the deadlock track: technical review by the Secretariat within 7 days; referral to the Council if unresolved within a further 14 days; and, for deadlocks persisting 30 days, referral to the mediation tier of Article 56. During deadlock, the status quo ante continues, and neither founding party acts unilaterally on the deadlocked matter.</w:t>
      </w:r>
    </w:p>
    <w:p>
      <w:pPr>
        <w:pStyle w:val="Normal"/>
        <w:bidi w:val="0"/>
        <w:spacing w:lineRule="auto" w:line="288" w:before="0" w:after="80"/>
        <w:jc w:val="both"/>
        <w:rPr/>
      </w:pPr>
      <w:r>
        <w:rPr/>
        <w:t>43.3.2 The Twin Key converts control into shared administration. It gives each founding party assurance that nothing consequential happens without it, and it gives every other participant assurance that no single hand commands the Strait.</w:t>
      </w:r>
    </w:p>
    <w:p>
      <w:pPr>
        <w:pStyle w:val="Heading2"/>
        <w:keepNext w:val="true"/>
        <w:keepLines/>
        <w:bidi w:val="0"/>
        <w:spacing w:before="280" w:after="120"/>
        <w:rPr/>
      </w:pPr>
      <w:bookmarkStart w:id="191" w:name="__RefHeading___Toc3829_4199434714"/>
      <w:bookmarkEnd w:id="191"/>
      <w:r>
        <w:rPr/>
        <w:t>Article 44: The Secretariat</w:t>
      </w:r>
    </w:p>
    <w:p>
      <w:pPr>
        <w:pStyle w:val="Heading3"/>
        <w:keepNext w:val="true"/>
        <w:keepLines/>
        <w:bidi w:val="0"/>
        <w:spacing w:before="220" w:after="100"/>
        <w:rPr/>
      </w:pPr>
      <w:bookmarkStart w:id="192" w:name="__RefHeading___Toc3831_4199434714"/>
      <w:bookmarkEnd w:id="192"/>
      <w:r>
        <w:rPr/>
        <w:t>44.1 Establishment and Seat</w:t>
      </w:r>
    </w:p>
    <w:p>
      <w:pPr>
        <w:pStyle w:val="Normal"/>
        <w:bidi w:val="0"/>
        <w:spacing w:lineRule="auto" w:line="288" w:before="0" w:after="80"/>
        <w:jc w:val="both"/>
        <w:rPr/>
      </w:pPr>
      <w:r>
        <w:rPr/>
        <w:t>44.1.1 The Secretariat is the permanent administrative organ of the Charter, seated in Muscat with a permanent liaison office in Bandar Abbas. The Secretary-General, appointed by the Council for a four-year term alternating between the founding parties' nominees and the regional members' nominees under the rotation of Annex E, directs the Secretariat.</w:t>
      </w:r>
    </w:p>
    <w:p>
      <w:pPr>
        <w:pStyle w:val="Heading3"/>
        <w:keepNext w:val="true"/>
        <w:keepLines/>
        <w:bidi w:val="0"/>
        <w:spacing w:before="220" w:after="100"/>
        <w:rPr/>
      </w:pPr>
      <w:bookmarkStart w:id="193" w:name="__RefHeading___Toc3833_4199434714"/>
      <w:bookmarkEnd w:id="193"/>
      <w:r>
        <w:rPr/>
        <w:t>44.2 Functions</w:t>
      </w:r>
    </w:p>
    <w:p>
      <w:pPr>
        <w:pStyle w:val="Normal"/>
        <w:bidi w:val="0"/>
        <w:spacing w:lineRule="auto" w:line="288" w:before="0" w:after="80"/>
        <w:jc w:val="both"/>
        <w:rPr/>
      </w:pPr>
      <w:r>
        <w:rPr/>
        <w:t>44.2.1 The Secretariat: maintains the Registry, the Bulletin, the Standing Register, the Transition Ledger, and the Transparency Portal; administers the Fund's secretariat functions; services the Council and its committees; maintains the depositary records of Article 68; and administers the accession and amendment processes.</w:t>
      </w:r>
    </w:p>
    <w:p>
      <w:pPr>
        <w:pStyle w:val="Heading3"/>
        <w:keepNext w:val="true"/>
        <w:keepLines/>
        <w:bidi w:val="0"/>
        <w:spacing w:before="220" w:after="100"/>
        <w:rPr/>
      </w:pPr>
      <w:bookmarkStart w:id="194" w:name="__RefHeading___Toc3835_4199434714"/>
      <w:bookmarkEnd w:id="194"/>
      <w:r>
        <w:rPr/>
        <w:t>44.3 Staffing</w:t>
      </w:r>
    </w:p>
    <w:p>
      <w:pPr>
        <w:pStyle w:val="Normal"/>
        <w:bidi w:val="0"/>
        <w:spacing w:lineRule="auto" w:line="288" w:before="0" w:after="80"/>
        <w:jc w:val="both"/>
        <w:rPr/>
      </w:pPr>
      <w:r>
        <w:rPr/>
        <w:t>44.3.2 The Secretariat staffs on the parity principle: Iranian and Omani nationals in equal numbers at every grade, with regional-member nationals in the proportions of Annex E, selected on merit through open competition. The Secretariat's staff owe their duty to the Charter alone, and the independence rule of Annex G protects them from national instruction.</w:t>
      </w:r>
    </w:p>
    <w:p>
      <w:pPr>
        <w:pStyle w:val="Heading2"/>
        <w:keepNext w:val="true"/>
        <w:keepLines/>
        <w:bidi w:val="0"/>
        <w:spacing w:before="280" w:after="120"/>
        <w:rPr/>
      </w:pPr>
      <w:bookmarkStart w:id="195" w:name="__RefHeading___Toc3837_4199434714"/>
      <w:bookmarkEnd w:id="195"/>
      <w:r>
        <w:rPr/>
        <w:t>Article 45: The Maritime Coordination Center</w:t>
      </w:r>
    </w:p>
    <w:p>
      <w:pPr>
        <w:pStyle w:val="Heading3"/>
        <w:keepNext w:val="true"/>
        <w:keepLines/>
        <w:bidi w:val="0"/>
        <w:spacing w:before="220" w:after="100"/>
        <w:rPr/>
      </w:pPr>
      <w:bookmarkStart w:id="196" w:name="__RefHeading___Toc3839_4199434714"/>
      <w:bookmarkEnd w:id="196"/>
      <w:r>
        <w:rPr/>
        <w:t>45.1 Establishment</w:t>
      </w:r>
    </w:p>
    <w:p>
      <w:pPr>
        <w:pStyle w:val="Normal"/>
        <w:bidi w:val="0"/>
        <w:spacing w:lineRule="auto" w:line="288" w:before="0" w:after="80"/>
        <w:jc w:val="both"/>
        <w:rPr/>
      </w:pPr>
      <w:r>
        <w:rPr/>
        <w:t>45.1.1 The Maritime Coordination Center is the operational heart of the corridor system: a joint watch floor staffed continuously by officers of the founding parties and regional members, with liaison positions for the technical participants and a standing industry liaison.</w:t>
      </w:r>
    </w:p>
    <w:p>
      <w:pPr>
        <w:pStyle w:val="Normal"/>
        <w:bidi w:val="0"/>
        <w:spacing w:lineRule="auto" w:line="288" w:before="0" w:after="80"/>
        <w:jc w:val="both"/>
        <w:rPr/>
      </w:pPr>
      <w:r>
        <w:rPr/>
        <w:t>45.1.2 The Center operates in mirrored facilities in Muscat and Bandar Abbas, each capable of running the full system alone, connected by redundant secure links, so that no single point of failure, physical or political, silences the corridor system.</w:t>
      </w:r>
    </w:p>
    <w:p>
      <w:pPr>
        <w:pStyle w:val="Heading3"/>
        <w:keepNext w:val="true"/>
        <w:keepLines/>
        <w:bidi w:val="0"/>
        <w:spacing w:before="220" w:after="100"/>
        <w:rPr/>
      </w:pPr>
      <w:bookmarkStart w:id="197" w:name="__RefHeading___Toc3841_4199434714"/>
      <w:bookmarkEnd w:id="197"/>
      <w:r>
        <w:rPr/>
        <w:t>45.2 Functions</w:t>
      </w:r>
    </w:p>
    <w:p>
      <w:pPr>
        <w:pStyle w:val="Normal"/>
        <w:bidi w:val="0"/>
        <w:spacing w:lineRule="auto" w:line="288" w:before="0" w:after="80"/>
        <w:jc w:val="both"/>
        <w:rPr/>
      </w:pPr>
      <w:r>
        <w:rPr/>
        <w:t>45.2.1 The Center: receives and acknowledges Notices of Transit; assigns gate windows; declares and lifts flow states under the criteria of Annex C; tasks the patrol rotation under the Twin Key; operates the hotline network; maintains the fused maritime and air picture; coordinates search and rescue and spill response; and issues navigational warnings.</w:t>
      </w:r>
    </w:p>
    <w:p>
      <w:pPr>
        <w:pStyle w:val="Normal"/>
        <w:bidi w:val="0"/>
        <w:spacing w:lineRule="auto" w:line="288" w:before="0" w:after="80"/>
        <w:jc w:val="both"/>
        <w:rPr/>
      </w:pPr>
      <w:r>
        <w:rPr/>
        <w:t>45.2.2 Every act of the Center records in the operational log with timestamp, officer, and basis. The log feeds the Bulletin in its open categories and the audit trail of Article 54 in full.</w:t>
      </w:r>
    </w:p>
    <w:p>
      <w:pPr>
        <w:pStyle w:val="Heading2"/>
        <w:keepNext w:val="true"/>
        <w:keepLines/>
        <w:bidi w:val="0"/>
        <w:spacing w:before="280" w:after="120"/>
        <w:rPr/>
      </w:pPr>
      <w:bookmarkStart w:id="198" w:name="__RefHeading___Toc3843_4199434714"/>
      <w:bookmarkEnd w:id="198"/>
      <w:r>
        <w:rPr/>
        <w:t>Article 46: The Verification and Surveillance Directorate</w:t>
      </w:r>
    </w:p>
    <w:p>
      <w:pPr>
        <w:pStyle w:val="Heading3"/>
        <w:keepNext w:val="true"/>
        <w:keepLines/>
        <w:bidi w:val="0"/>
        <w:spacing w:before="220" w:after="100"/>
        <w:rPr/>
      </w:pPr>
      <w:bookmarkStart w:id="199" w:name="__RefHeading___Toc3845_4199434714"/>
      <w:bookmarkEnd w:id="199"/>
      <w:r>
        <w:rPr/>
        <w:t>46.1 Establishment</w:t>
      </w:r>
    </w:p>
    <w:p>
      <w:pPr>
        <w:pStyle w:val="Normal"/>
        <w:bidi w:val="0"/>
        <w:spacing w:lineRule="auto" w:line="288" w:before="0" w:after="80"/>
        <w:jc w:val="both"/>
        <w:rPr/>
      </w:pPr>
      <w:r>
        <w:rPr/>
        <w:t>46.1.1 The Verification and Surveillance Directorate is the Charter's technical verification organ. The Council appoints its Director from the slate of the technical participants, and its staff combines Charter personnel with seconded experts from the technical participants and independent commercial providers under contract.</w:t>
      </w:r>
    </w:p>
    <w:p>
      <w:pPr>
        <w:pStyle w:val="Heading3"/>
        <w:keepNext w:val="true"/>
        <w:keepLines/>
        <w:bidi w:val="0"/>
        <w:spacing w:before="220" w:after="100"/>
        <w:rPr/>
      </w:pPr>
      <w:bookmarkStart w:id="200" w:name="__RefHeading___Toc3847_4199434714"/>
      <w:bookmarkEnd w:id="200"/>
      <w:r>
        <w:rPr/>
        <w:t>46.2 The Fused Picture</w:t>
      </w:r>
    </w:p>
    <w:p>
      <w:pPr>
        <w:pStyle w:val="Normal"/>
        <w:bidi w:val="0"/>
        <w:spacing w:lineRule="auto" w:line="288" w:before="0" w:after="80"/>
        <w:jc w:val="both"/>
        <w:rPr/>
      </w:pPr>
      <w:r>
        <w:rPr/>
        <w:t>46.2.1 The Directorate operates the fused picture: the integration of automatic identification system data, coastal radar, satellite surveillance, and the sensor network of Annex A into a single verified picture of the Governance Area, delivered simultaneously to all Parties with identical latency. No Party receives earlier, fuller, or preferential data.</w:t>
      </w:r>
    </w:p>
    <w:p>
      <w:pPr>
        <w:pStyle w:val="Normal"/>
        <w:bidi w:val="0"/>
        <w:spacing w:lineRule="auto" w:line="288" w:before="0" w:after="80"/>
        <w:jc w:val="both"/>
        <w:rPr/>
      </w:pPr>
      <w:r>
        <w:rPr/>
        <w:t>46.2.2 The Directorate contracts an independent commercial telemetry provider as standing tie-breaker. Where the feeds of two Parties conflict, the independent feed resolves the technical record, and the conflict itself records and publishes.</w:t>
      </w:r>
    </w:p>
    <w:p>
      <w:pPr>
        <w:pStyle w:val="Heading3"/>
        <w:keepNext w:val="true"/>
        <w:keepLines/>
        <w:bidi w:val="0"/>
        <w:spacing w:before="220" w:after="100"/>
        <w:rPr/>
      </w:pPr>
      <w:bookmarkStart w:id="201" w:name="__RefHeading___Toc3849_4199434714"/>
      <w:bookmarkEnd w:id="201"/>
      <w:r>
        <w:rPr/>
        <w:t>46.3 Functions</w:t>
      </w:r>
    </w:p>
    <w:p>
      <w:pPr>
        <w:pStyle w:val="Normal"/>
        <w:bidi w:val="0"/>
        <w:spacing w:lineRule="auto" w:line="288" w:before="0" w:after="80"/>
        <w:jc w:val="both"/>
        <w:rPr/>
      </w:pPr>
      <w:r>
        <w:rPr/>
        <w:t>46.3.1 The Directorate: conducts the Joint Hazard Survey and standing mine surveillance; certifies corridor segments; operates the environmental monitoring program; conducts false-flag forensic analyses; audits the data-custody rules; tests the hotline network; and produces the verification pillar of the Stability Audit.</w:t>
      </w:r>
    </w:p>
    <w:p>
      <w:pPr>
        <w:pStyle w:val="Heading2"/>
        <w:keepNext w:val="true"/>
        <w:keepLines/>
        <w:bidi w:val="0"/>
        <w:spacing w:before="280" w:after="120"/>
        <w:rPr/>
      </w:pPr>
      <w:bookmarkStart w:id="202" w:name="__RefHeading___Toc3851_4199434714"/>
      <w:bookmarkEnd w:id="202"/>
      <w:r>
        <w:rPr/>
        <w:t>Article 47: Decision Rules</w:t>
      </w:r>
    </w:p>
    <w:p>
      <w:pPr>
        <w:pStyle w:val="Heading3"/>
        <w:keepNext w:val="true"/>
        <w:keepLines/>
        <w:bidi w:val="0"/>
        <w:spacing w:before="220" w:after="100"/>
        <w:rPr/>
      </w:pPr>
      <w:bookmarkStart w:id="203" w:name="__RefHeading___Toc3853_4199434714"/>
      <w:bookmarkEnd w:id="203"/>
      <w:r>
        <w:rPr/>
        <w:t>47.1 The Three Chambers of Decision</w:t>
      </w:r>
    </w:p>
    <w:p>
      <w:pPr>
        <w:pStyle w:val="Normal"/>
        <w:bidi w:val="0"/>
        <w:spacing w:lineRule="auto" w:line="288" w:before="0" w:after="80"/>
        <w:jc w:val="both"/>
        <w:rPr/>
      </w:pPr>
      <w:r>
        <w:rPr/>
        <w:t>47.1.1 Council decisions sort into three chambers:</w:t>
      </w:r>
    </w:p>
    <w:p>
      <w:pPr>
        <w:pStyle w:val="Normal"/>
        <w:bidi w:val="0"/>
        <w:spacing w:lineRule="auto" w:line="288" w:before="0" w:after="80"/>
        <w:jc w:val="both"/>
        <w:rPr/>
      </w:pPr>
      <w:r>
        <w:rPr/>
        <w:t>(a) Operational decisions: taken by the Coordination Center under published rules, reviewable by the Council;</w:t>
      </w:r>
    </w:p>
    <w:p>
      <w:pPr>
        <w:pStyle w:val="Normal"/>
        <w:bidi w:val="0"/>
        <w:spacing w:lineRule="auto" w:line="288" w:before="0" w:after="80"/>
        <w:jc w:val="both"/>
        <w:rPr/>
      </w:pPr>
      <w:r>
        <w:rPr/>
        <w:t>(b) Administrative decisions: taken by the Council by consensus where possible and otherwise by a two-thirds majority including both founding parties;</w:t>
      </w:r>
    </w:p>
    <w:p>
      <w:pPr>
        <w:pStyle w:val="Normal"/>
        <w:bidi w:val="0"/>
        <w:spacing w:lineRule="auto" w:line="288" w:before="0" w:after="80"/>
        <w:jc w:val="both"/>
        <w:rPr/>
      </w:pPr>
      <w:r>
        <w:rPr/>
        <w:t>(c) Architectural decisions: amendment of the Charter, the Catalog, the Red Lines Register, and the participation tiers, taken only under Article 66 with the concurrence of every founding party and a two-thirds majority of regional members.</w:t>
      </w:r>
    </w:p>
    <w:p>
      <w:pPr>
        <w:pStyle w:val="Normal"/>
        <w:bidi w:val="0"/>
        <w:spacing w:lineRule="auto" w:line="288" w:before="0" w:after="80"/>
        <w:jc w:val="both"/>
        <w:rPr/>
      </w:pPr>
      <w:r>
        <w:rPr/>
        <w:t>47.1.2 Consensus means the absence of a stated objection by any member present; it never means unanimity of enthusiasm, and the record distinguishes assent from silence.</w:t>
      </w:r>
    </w:p>
    <w:p>
      <w:pPr>
        <w:pStyle w:val="Heading3"/>
        <w:keepNext w:val="true"/>
        <w:keepLines/>
        <w:bidi w:val="0"/>
        <w:spacing w:before="220" w:after="100"/>
        <w:rPr/>
      </w:pPr>
      <w:bookmarkStart w:id="204" w:name="__RefHeading___Toc3855_4199434714"/>
      <w:bookmarkEnd w:id="204"/>
      <w:r>
        <w:rPr/>
        <w:t>47.2 The Agenda Procedure</w:t>
      </w:r>
    </w:p>
    <w:p>
      <w:pPr>
        <w:pStyle w:val="Normal"/>
        <w:bidi w:val="0"/>
        <w:spacing w:lineRule="auto" w:line="288" w:before="0" w:after="80"/>
        <w:jc w:val="both"/>
        <w:rPr/>
      </w:pPr>
      <w:r>
        <w:rPr/>
        <w:t>47.2.1 Any member places an item on the Council agenda on 14 days of notice; any two members place an item on 72 hours of notice; observers and the Stakeholder Panel place items through the sponsoring member procedure of Annex E. An agenda item once placed stands unstruck except by its sponsor.</w:t>
      </w:r>
    </w:p>
    <w:p>
      <w:pPr>
        <w:pStyle w:val="Heading2"/>
        <w:keepNext w:val="true"/>
        <w:keepLines/>
        <w:bidi w:val="0"/>
        <w:spacing w:before="280" w:after="120"/>
        <w:rPr/>
      </w:pPr>
      <w:bookmarkStart w:id="205" w:name="__RefHeading___Toc3857_4199434714"/>
      <w:bookmarkEnd w:id="205"/>
      <w:r>
        <w:rPr/>
        <w:t>Article 48: The Intermediary Bridge and Observer Tiers</w:t>
      </w:r>
    </w:p>
    <w:p>
      <w:pPr>
        <w:pStyle w:val="Heading3"/>
        <w:keepNext w:val="true"/>
        <w:keepLines/>
        <w:bidi w:val="0"/>
        <w:spacing w:before="220" w:after="100"/>
        <w:rPr/>
      </w:pPr>
      <w:bookmarkStart w:id="206" w:name="__RefHeading___Toc3859_4199434714"/>
      <w:bookmarkEnd w:id="206"/>
      <w:r>
        <w:rPr/>
        <w:t>48.1 The Intermediary Bridge</w:t>
      </w:r>
    </w:p>
    <w:p>
      <w:pPr>
        <w:pStyle w:val="Normal"/>
        <w:bidi w:val="0"/>
        <w:spacing w:lineRule="auto" w:line="288" w:before="0" w:after="80"/>
        <w:jc w:val="both"/>
        <w:rPr/>
      </w:pPr>
      <w:r>
        <w:rPr/>
        <w:t>48.1.1 The Charter recognizes that certain external powers, above all the United States of America, hold operational stakes in the Governance Area while standing outside the Charter's membership. The Intermediary Bridge institutionalizes their interface: a standing liaison channel, maintained by the Secretary-General, through which external naval forces receive the Bulletin, the navigational warnings, and the deconfliction geometry, and through which their movements in the approaches coordinate with the corridor system on a reciprocal-information basis.</w:t>
      </w:r>
    </w:p>
    <w:p>
      <w:pPr>
        <w:pStyle w:val="Normal"/>
        <w:bidi w:val="0"/>
        <w:spacing w:lineRule="auto" w:line="288" w:before="0" w:after="80"/>
        <w:jc w:val="both"/>
        <w:rPr/>
      </w:pPr>
      <w:r>
        <w:rPr/>
        <w:t>48.1.2 The Bridge operates without prejudice to the political status of any external power's presence, and use of the Bridge by an external power constitutes no recognition in either direction.</w:t>
      </w:r>
    </w:p>
    <w:p>
      <w:pPr>
        <w:pStyle w:val="Heading3"/>
        <w:keepNext w:val="true"/>
        <w:keepLines/>
        <w:bidi w:val="0"/>
        <w:spacing w:before="220" w:after="100"/>
        <w:rPr/>
      </w:pPr>
      <w:bookmarkStart w:id="207" w:name="__RefHeading___Toc3861_4199434714"/>
      <w:bookmarkEnd w:id="207"/>
      <w:r>
        <w:rPr/>
        <w:t>48.2 Observer Tiers</w:t>
      </w:r>
    </w:p>
    <w:p>
      <w:pPr>
        <w:pStyle w:val="Normal"/>
        <w:bidi w:val="0"/>
        <w:spacing w:lineRule="auto" w:line="288" w:before="0" w:after="80"/>
        <w:jc w:val="both"/>
        <w:rPr/>
      </w:pPr>
      <w:r>
        <w:rPr/>
        <w:t>48.2.1 Beyond the standing observers of Article 5, the Council grants observer status to states and organizations on application under the rules of Annex E. Observers receive the Bulletin and open data, attend Council sessions without vote, and contribute to the technical working groups.</w:t>
      </w:r>
    </w:p>
    <w:p>
      <w:pPr>
        <w:pStyle w:val="Normal"/>
        <w:bidi w:val="0"/>
        <w:spacing w:lineRule="auto" w:line="288" w:before="0" w:after="80"/>
        <w:jc w:val="both"/>
        <w:rPr/>
      </w:pPr>
      <w:r>
        <w:rPr/>
        <w:t>48.2.3 Observer status carries the observer duty: an observer's conduct toward the corridor system conforms to the non-interdiction protocol and the red lines, and breach of the observer duty terminates the status by Council decision.</w:t>
      </w:r>
    </w:p>
    <w:p>
      <w:pPr>
        <w:pStyle w:val="Heading1"/>
        <w:keepNext w:val="true"/>
        <w:keepLines/>
        <w:pBdr>
          <w:bottom w:val="single" w:sz="12" w:space="6" w:color="B8860B"/>
        </w:pBdr>
        <w:bidi w:val="0"/>
        <w:spacing w:before="0" w:after="360"/>
        <w:rPr/>
      </w:pPr>
      <w:bookmarkStart w:id="208" w:name="__RefHeading___Toc3863_4199434714"/>
      <w:bookmarkEnd w:id="208"/>
      <w:r>
        <w:rPr/>
        <w:t>PART VIII: VERIFICATION, TRANSPARENCY, AND COMPLIANCE</w:t>
      </w:r>
    </w:p>
    <w:p>
      <w:pPr>
        <w:pStyle w:val="Heading2"/>
        <w:keepNext w:val="true"/>
        <w:keepLines/>
        <w:bidi w:val="0"/>
        <w:spacing w:before="280" w:after="120"/>
        <w:rPr/>
      </w:pPr>
      <w:bookmarkStart w:id="209" w:name="__RefHeading___Toc3865_4199434714"/>
      <w:bookmarkEnd w:id="209"/>
      <w:r>
        <w:rPr/>
        <w:t>Article 49: The Three-Pillar Verification Architecture</w:t>
      </w:r>
    </w:p>
    <w:p>
      <w:pPr>
        <w:pStyle w:val="Heading3"/>
        <w:keepNext w:val="true"/>
        <w:keepLines/>
        <w:bidi w:val="0"/>
        <w:spacing w:before="220" w:after="100"/>
        <w:rPr/>
      </w:pPr>
      <w:bookmarkStart w:id="210" w:name="__RefHeading___Toc3867_4199434714"/>
      <w:bookmarkEnd w:id="210"/>
      <w:r>
        <w:rPr/>
        <w:t>49.1 The Pillars</w:t>
      </w:r>
    </w:p>
    <w:p>
      <w:pPr>
        <w:pStyle w:val="Normal"/>
        <w:bidi w:val="0"/>
        <w:spacing w:lineRule="auto" w:line="288" w:before="0" w:after="80"/>
        <w:jc w:val="both"/>
        <w:rPr/>
      </w:pPr>
      <w:r>
        <w:rPr/>
        <w:t>49.1.1 Verification under this Charter stands on three pillars, each independent, each checking the others:</w:t>
      </w:r>
    </w:p>
    <w:p>
      <w:pPr>
        <w:pStyle w:val="Normal"/>
        <w:bidi w:val="0"/>
        <w:spacing w:lineRule="auto" w:line="288" w:before="0" w:after="80"/>
        <w:jc w:val="both"/>
        <w:rPr/>
      </w:pPr>
      <w:r>
        <w:rPr/>
        <w:t>(a) The technical pillar: the Directorate's fused picture, surveys, forensics, and telemetry tie-breaker;</w:t>
      </w:r>
    </w:p>
    <w:p>
      <w:pPr>
        <w:pStyle w:val="Normal"/>
        <w:bidi w:val="0"/>
        <w:spacing w:lineRule="auto" w:line="288" w:before="0" w:after="80"/>
        <w:jc w:val="both"/>
        <w:rPr/>
      </w:pPr>
      <w:r>
        <w:rPr/>
        <w:t>(b) The reciprocal pillar: the Parties' own monitoring, shared through the simultaneous data rule, so that every Party verifies every other Party with identical tools and identical access;</w:t>
      </w:r>
    </w:p>
    <w:p>
      <w:pPr>
        <w:pStyle w:val="Normal"/>
        <w:bidi w:val="0"/>
        <w:spacing w:lineRule="auto" w:line="288" w:before="0" w:after="80"/>
        <w:jc w:val="both"/>
        <w:rPr/>
      </w:pPr>
      <w:r>
        <w:rPr/>
        <w:t>(c) The third-party pillar: the technical participants and contracted independent providers, including the IMO observer's certifications, the UNMAS survey support, and the commercial telemetry tie-breaker.</w:t>
      </w:r>
    </w:p>
    <w:p>
      <w:pPr>
        <w:pStyle w:val="Heading3"/>
        <w:keepNext w:val="true"/>
        <w:keepLines/>
        <w:bidi w:val="0"/>
        <w:spacing w:before="220" w:after="100"/>
        <w:rPr/>
      </w:pPr>
      <w:bookmarkStart w:id="211" w:name="__RefHeading___Toc3869_4199434714"/>
      <w:bookmarkEnd w:id="211"/>
      <w:r>
        <w:rPr/>
        <w:t>49.2 Verification Principles</w:t>
      </w:r>
    </w:p>
    <w:p>
      <w:pPr>
        <w:pStyle w:val="Normal"/>
        <w:bidi w:val="0"/>
        <w:spacing w:lineRule="auto" w:line="288" w:before="0" w:after="80"/>
        <w:jc w:val="both"/>
        <w:rPr/>
      </w:pPr>
      <w:r>
        <w:rPr/>
        <w:t>49.2.1 Verification under this Charter operates as a reciprocal architecture in which every Party both invests and verifies. Data flows simultaneously to all; records resist alteration through cryptographic chain-of-custody; and findings publish by default. Verification serves assurance between equals, never surveillance of one by another.</w:t>
      </w:r>
    </w:p>
    <w:p>
      <w:pPr>
        <w:pStyle w:val="Normal"/>
        <w:bidi w:val="0"/>
        <w:spacing w:lineRule="auto" w:line="288" w:before="0" w:after="80"/>
        <w:jc w:val="both"/>
        <w:rPr/>
      </w:pPr>
      <w:r>
        <w:rPr/>
        <w:t>49.2.2 Verification access activates automatically upon the event to be verified: an incident triggers forensic access; a certification triggers survey access; a payment triggers audit access. No verification access awaits negotiation at the moment it matters.</w:t>
      </w:r>
    </w:p>
    <w:p>
      <w:pPr>
        <w:pStyle w:val="Heading2"/>
        <w:keepNext w:val="true"/>
        <w:keepLines/>
        <w:bidi w:val="0"/>
        <w:spacing w:before="280" w:after="120"/>
        <w:rPr/>
      </w:pPr>
      <w:bookmarkStart w:id="212" w:name="__RefHeading___Toc3871_4199434714"/>
      <w:bookmarkEnd w:id="212"/>
      <w:r>
        <w:rPr/>
        <w:t>Article 50: The Balanced Compliance Engine</w:t>
      </w:r>
    </w:p>
    <w:p>
      <w:pPr>
        <w:pStyle w:val="Heading3"/>
        <w:keepNext w:val="true"/>
        <w:keepLines/>
        <w:bidi w:val="0"/>
        <w:spacing w:before="220" w:after="100"/>
        <w:rPr/>
      </w:pPr>
      <w:bookmarkStart w:id="213" w:name="__RefHeading___Toc3873_4199434714"/>
      <w:bookmarkEnd w:id="213"/>
      <w:r>
        <w:rPr/>
        <w:t>50.1 The Breathing Framework</w:t>
      </w:r>
    </w:p>
    <w:p>
      <w:pPr>
        <w:pStyle w:val="Normal"/>
        <w:bidi w:val="0"/>
        <w:spacing w:lineRule="auto" w:line="288" w:before="0" w:after="80"/>
        <w:jc w:val="both"/>
        <w:rPr/>
      </w:pPr>
      <w:r>
        <w:rPr/>
        <w:t>50.1.1 The Charter rejects snapback. Binary collapse dynamics produce binary collapse outcomes: a framework that converts every infraction into existential crisis incentivizes escalation over remediation. This Charter's compliance engine breathes instead: graduated, reversible, proportionate, and transparent.</w:t>
      </w:r>
    </w:p>
    <w:p>
      <w:pPr>
        <w:pStyle w:val="Normal"/>
        <w:bidi w:val="0"/>
        <w:spacing w:lineRule="auto" w:line="288" w:before="0" w:after="80"/>
        <w:jc w:val="both"/>
        <w:rPr/>
      </w:pPr>
      <w:r>
        <w:rPr/>
        <w:t>50.1.2 The engine's standing rules:</w:t>
      </w:r>
    </w:p>
    <w:p>
      <w:pPr>
        <w:pStyle w:val="Normal"/>
        <w:bidi w:val="0"/>
        <w:spacing w:lineRule="auto" w:line="288" w:before="0" w:after="80"/>
        <w:jc w:val="both"/>
        <w:rPr/>
      </w:pPr>
      <w:r>
        <w:rPr/>
        <w:t>(a) Discretionary benefits pause first; core constraints survive longest; humanitarian protections never pause;</w:t>
      </w:r>
    </w:p>
    <w:p>
      <w:pPr>
        <w:pStyle w:val="Normal"/>
        <w:bidi w:val="0"/>
        <w:spacing w:lineRule="auto" w:line="288" w:before="0" w:after="80"/>
        <w:jc w:val="both"/>
        <w:rPr/>
      </w:pPr>
      <w:r>
        <w:rPr/>
        <w:t>(b) Every consequence arrives with its earn-back pathway attached;</w:t>
      </w:r>
    </w:p>
    <w:p>
      <w:pPr>
        <w:pStyle w:val="Normal"/>
        <w:bidi w:val="0"/>
        <w:spacing w:lineRule="auto" w:line="288" w:before="0" w:after="80"/>
        <w:jc w:val="both"/>
        <w:rPr/>
      </w:pPr>
      <w:r>
        <w:rPr/>
        <w:t>(c) Every step publishes, with evidence;</w:t>
      </w:r>
    </w:p>
    <w:p>
      <w:pPr>
        <w:pStyle w:val="Normal"/>
        <w:bidi w:val="0"/>
        <w:spacing w:lineRule="auto" w:line="288" w:before="0" w:after="80"/>
        <w:jc w:val="both"/>
        <w:rPr/>
      </w:pPr>
      <w:r>
        <w:rPr/>
        <w:t>(d) No violation produces permanent exclusion;</w:t>
      </w:r>
    </w:p>
    <w:p>
      <w:pPr>
        <w:pStyle w:val="Normal"/>
        <w:bidi w:val="0"/>
        <w:spacing w:lineRule="auto" w:line="288" w:before="0" w:after="80"/>
        <w:jc w:val="both"/>
        <w:rPr/>
      </w:pPr>
      <w:r>
        <w:rPr/>
        <w:t>(e) The engine applies identically to every Party, founding or regional, large or small.</w:t>
      </w:r>
    </w:p>
    <w:p>
      <w:pPr>
        <w:pStyle w:val="Heading3"/>
        <w:keepNext w:val="true"/>
        <w:keepLines/>
        <w:bidi w:val="0"/>
        <w:spacing w:before="220" w:after="100"/>
        <w:rPr/>
      </w:pPr>
      <w:bookmarkStart w:id="214" w:name="__RefHeading___Toc3875_4199434714"/>
      <w:bookmarkEnd w:id="214"/>
      <w:r>
        <w:rPr/>
        <w:t>50.2 The Compliance Dashboard</w:t>
      </w:r>
    </w:p>
    <w:p>
      <w:pPr>
        <w:pStyle w:val="Normal"/>
        <w:bidi w:val="0"/>
        <w:spacing w:lineRule="auto" w:line="288" w:before="0" w:after="80"/>
        <w:jc w:val="both"/>
        <w:rPr/>
      </w:pPr>
      <w:r>
        <w:rPr/>
        <w:t>50.2.1 The Secretariat maintains the Compliance Dashboard: a public, real-time record of each Party's standing across the compliance metrics of Annex E, covering notification discipline, hotline performance, survey cooperation, financial obligations, red-line status, and audit outcomes. The Dashboard turns compliance from an accusation into a measurement.</w:t>
      </w:r>
    </w:p>
    <w:p>
      <w:pPr>
        <w:pStyle w:val="Heading2"/>
        <w:keepNext w:val="true"/>
        <w:keepLines/>
        <w:bidi w:val="0"/>
        <w:spacing w:before="280" w:after="120"/>
        <w:rPr/>
      </w:pPr>
      <w:bookmarkStart w:id="215" w:name="__RefHeading___Toc3877_4199434714"/>
      <w:bookmarkEnd w:id="215"/>
      <w:r>
        <w:rPr/>
        <w:t>Article 51: The Step-Back and Earn-Back Ladder</w:t>
      </w:r>
    </w:p>
    <w:p>
      <w:pPr>
        <w:pStyle w:val="Heading3"/>
        <w:keepNext w:val="true"/>
        <w:keepLines/>
        <w:bidi w:val="0"/>
        <w:spacing w:before="220" w:after="100"/>
        <w:rPr/>
      </w:pPr>
      <w:bookmarkStart w:id="216" w:name="__RefHeading___Toc3879_4199434714"/>
      <w:bookmarkEnd w:id="216"/>
      <w:r>
        <w:rPr/>
        <w:t>51.1 The Ladder</w:t>
      </w:r>
    </w:p>
    <w:p>
      <w:pPr>
        <w:pStyle w:val="Normal"/>
        <w:bidi w:val="0"/>
        <w:spacing w:lineRule="auto" w:line="288" w:before="0" w:after="80"/>
        <w:jc w:val="both"/>
        <w:rPr/>
      </w:pPr>
      <w:r>
        <w:rPr/>
        <w:t>51.1.1 Non-compliance moves through the graduated ladder:</w:t>
      </w:r>
    </w:p>
    <w:p>
      <w:pPr>
        <w:pStyle w:val="Normal"/>
        <w:bidi w:val="0"/>
        <w:spacing w:lineRule="auto" w:line="288" w:before="0" w:after="80"/>
        <w:jc w:val="both"/>
        <w:rPr/>
      </w:pPr>
      <w:r>
        <w:rPr/>
        <w:t>(a) Step One, Notice: the Secretariat issues a documented notice of non-compliance, stating the provision, the evidence, and the remediation window of 14 days;</w:t>
      </w:r>
    </w:p>
    <w:p>
      <w:pPr>
        <w:pStyle w:val="Normal"/>
        <w:bidi w:val="0"/>
        <w:spacing w:lineRule="auto" w:line="288" w:before="0" w:after="80"/>
        <w:jc w:val="both"/>
        <w:rPr/>
      </w:pPr>
      <w:r>
        <w:rPr/>
        <w:t>(b) Step Two, Pause: upon expiry without remediation, the discretionary benefits of the non-compliant Party pause: its access to development windows, its committee chairing turns, and its data-subscription privileges;</w:t>
      </w:r>
    </w:p>
    <w:p>
      <w:pPr>
        <w:pStyle w:val="Normal"/>
        <w:bidi w:val="0"/>
        <w:spacing w:lineRule="auto" w:line="288" w:before="0" w:after="80"/>
        <w:jc w:val="both"/>
        <w:rPr/>
      </w:pPr>
      <w:r>
        <w:rPr/>
        <w:t>(c) Step Three, Escrow: upon a further 14 days without remediation, the Party's stewardship share distributions route into escrow, releasing automatically upon remediation;</w:t>
      </w:r>
    </w:p>
    <w:p>
      <w:pPr>
        <w:pStyle w:val="Normal"/>
        <w:bidi w:val="0"/>
        <w:spacing w:lineRule="auto" w:line="288" w:before="0" w:after="80"/>
        <w:jc w:val="both"/>
        <w:rPr/>
      </w:pPr>
      <w:r>
        <w:rPr/>
        <w:t>(d) Step Four, Referral: persistent non-compliance of 45 days refers to the Council and, at the Council's determination, to the Tribunal of Article 57;</w:t>
      </w:r>
    </w:p>
    <w:p>
      <w:pPr>
        <w:pStyle w:val="Normal"/>
        <w:bidi w:val="0"/>
        <w:spacing w:lineRule="auto" w:line="288" w:before="0" w:after="80"/>
        <w:jc w:val="both"/>
        <w:rPr/>
      </w:pPr>
      <w:r>
        <w:rPr/>
        <w:t>(e) Step Five, Suspension: only upon Tribunal finding of a material breach of a core constraint, participation rights suspend to the degree the Tribunal orders, never touching humanitarian obligations and never expelling the Party.</w:t>
      </w:r>
    </w:p>
    <w:p>
      <w:pPr>
        <w:pStyle w:val="Heading3"/>
        <w:keepNext w:val="true"/>
        <w:keepLines/>
        <w:bidi w:val="0"/>
        <w:spacing w:before="220" w:after="100"/>
        <w:rPr/>
      </w:pPr>
      <w:bookmarkStart w:id="217" w:name="__RefHeading___Toc3881_4199434714"/>
      <w:bookmarkEnd w:id="217"/>
      <w:r>
        <w:rPr/>
        <w:t>51.2 Earn-Back</w:t>
      </w:r>
    </w:p>
    <w:p>
      <w:pPr>
        <w:pStyle w:val="Normal"/>
        <w:bidi w:val="0"/>
        <w:spacing w:lineRule="auto" w:line="288" w:before="0" w:after="80"/>
        <w:jc w:val="both"/>
        <w:rPr/>
      </w:pPr>
      <w:r>
        <w:rPr/>
        <w:t>51.2.1 Every step reverses automatically upon certified remediation: benefits restore, escrow releases, and the record notes the remediation. A Party that remediates within the Step One window suffers no consequence at all and receives a goodwill credit on the Dashboard. The engine rewards return, not merely compliance.</w:t>
      </w:r>
    </w:p>
    <w:p>
      <w:pPr>
        <w:pStyle w:val="Normal"/>
        <w:bidi w:val="0"/>
        <w:spacing w:lineRule="auto" w:line="288" w:before="0" w:after="80"/>
        <w:jc w:val="both"/>
        <w:rPr/>
      </w:pPr>
      <w:r>
        <w:rPr/>
        <w:t>51.2.2 Red-line breaches enter the ladder at Step Four directly, with the crisis protocol running in parallel, because some acts admit no grace period; even here, remediation restores full standing upon Tribunal certification.</w:t>
      </w:r>
    </w:p>
    <w:p>
      <w:pPr>
        <w:pStyle w:val="Heading3"/>
        <w:keepNext w:val="true"/>
        <w:keepLines/>
        <w:bidi w:val="0"/>
        <w:spacing w:before="220" w:after="100"/>
        <w:rPr/>
      </w:pPr>
      <w:bookmarkStart w:id="218" w:name="__RefHeading___Toc3883_4199434714"/>
      <w:bookmarkEnd w:id="218"/>
      <w:r>
        <w:rPr/>
        <w:t>51.3 Symmetry</w:t>
      </w:r>
    </w:p>
    <w:p>
      <w:pPr>
        <w:pStyle w:val="Normal"/>
        <w:bidi w:val="0"/>
        <w:spacing w:lineRule="auto" w:line="288" w:before="0" w:after="80"/>
        <w:jc w:val="both"/>
        <w:rPr/>
      </w:pPr>
      <w:r>
        <w:rPr/>
        <w:t>51.3.1 The ladder runs against every Party with the same metrics, the same windows, and the same restoration rules. The founding parties stand on it exactly as the smallest regional member. The Charter knows no protected parties.</w:t>
      </w:r>
    </w:p>
    <w:p>
      <w:pPr>
        <w:pStyle w:val="Heading2"/>
        <w:keepNext w:val="true"/>
        <w:keepLines/>
        <w:bidi w:val="0"/>
        <w:spacing w:before="280" w:after="120"/>
        <w:rPr/>
      </w:pPr>
      <w:bookmarkStart w:id="219" w:name="__RefHeading___Toc3885_4199434714"/>
      <w:bookmarkEnd w:id="219"/>
      <w:r>
        <w:rPr/>
        <w:t>Article 52: The Stability Audit</w:t>
      </w:r>
    </w:p>
    <w:p>
      <w:pPr>
        <w:pStyle w:val="Heading3"/>
        <w:keepNext w:val="true"/>
        <w:keepLines/>
        <w:bidi w:val="0"/>
        <w:spacing w:before="220" w:after="100"/>
        <w:rPr/>
      </w:pPr>
      <w:bookmarkStart w:id="220" w:name="__RefHeading___Toc3887_4199434714"/>
      <w:bookmarkEnd w:id="220"/>
      <w:r>
        <w:rPr/>
        <w:t>52.1 The Annual Audit</w:t>
      </w:r>
    </w:p>
    <w:p>
      <w:pPr>
        <w:pStyle w:val="Normal"/>
        <w:bidi w:val="0"/>
        <w:spacing w:lineRule="auto" w:line="288" w:before="0" w:after="80"/>
        <w:jc w:val="both"/>
        <w:rPr/>
      </w:pPr>
      <w:r>
        <w:rPr/>
        <w:t>52.1.1 The Directorate, with the technical participants and the Fund auditors, conducts the annual Stability Audit: a comprehensive examination of the corridor system against the metrics of Annex E, covering safety performance against the incident baselines, traffic recovery, financial integrity, verification integrity, institutional function, and the boring-water index: the composite measure of routine, insurable, unremarkable operation.</w:t>
      </w:r>
    </w:p>
    <w:p>
      <w:pPr>
        <w:pStyle w:val="Normal"/>
        <w:bidi w:val="0"/>
        <w:spacing w:lineRule="auto" w:line="288" w:before="0" w:after="80"/>
        <w:jc w:val="both"/>
        <w:rPr/>
      </w:pPr>
      <w:r>
        <w:rPr/>
        <w:t>52.1.2 The Audit publishes in full. The Council considers it in ordinary session, and its findings feed the gate certifications of Article 60 and the convergence decisions of Article 13.</w:t>
      </w:r>
    </w:p>
    <w:p>
      <w:pPr>
        <w:pStyle w:val="Heading3"/>
        <w:keepNext w:val="true"/>
        <w:keepLines/>
        <w:bidi w:val="0"/>
        <w:spacing w:before="220" w:after="100"/>
        <w:rPr/>
      </w:pPr>
      <w:bookmarkStart w:id="221" w:name="__RefHeading___Toc3889_4199434714"/>
      <w:bookmarkEnd w:id="221"/>
      <w:r>
        <w:rPr/>
        <w:t>52.2 The Interim Audits</w:t>
      </w:r>
    </w:p>
    <w:p>
      <w:pPr>
        <w:pStyle w:val="Normal"/>
        <w:bidi w:val="0"/>
        <w:spacing w:lineRule="auto" w:line="288" w:before="0" w:after="80"/>
        <w:jc w:val="both"/>
        <w:rPr/>
      </w:pPr>
      <w:r>
        <w:rPr/>
        <w:t>52.2.1 During the phased activation of Article 59, gate-linked interim audits replace the annual cycle, so that each expansion of the system rests on a fresh, published examination of the last.</w:t>
      </w:r>
    </w:p>
    <w:p>
      <w:pPr>
        <w:pStyle w:val="Heading2"/>
        <w:keepNext w:val="true"/>
        <w:keepLines/>
        <w:bidi w:val="0"/>
        <w:spacing w:before="280" w:after="120"/>
        <w:rPr/>
      </w:pPr>
      <w:bookmarkStart w:id="222" w:name="__RefHeading___Toc3891_4199434714"/>
      <w:bookmarkEnd w:id="222"/>
      <w:r>
        <w:rPr/>
        <w:t>Article 53: The Incident Database and the Transparency Portals</w:t>
      </w:r>
    </w:p>
    <w:p>
      <w:pPr>
        <w:pStyle w:val="Heading3"/>
        <w:keepNext w:val="true"/>
        <w:keepLines/>
        <w:bidi w:val="0"/>
        <w:spacing w:before="220" w:after="100"/>
        <w:rPr/>
      </w:pPr>
      <w:bookmarkStart w:id="223" w:name="__RefHeading___Toc3893_4199434714"/>
      <w:bookmarkEnd w:id="223"/>
      <w:r>
        <w:rPr/>
        <w:t>53.1 The Incident Database</w:t>
      </w:r>
    </w:p>
    <w:p>
      <w:pPr>
        <w:pStyle w:val="Normal"/>
        <w:bidi w:val="0"/>
        <w:spacing w:lineRule="auto" w:line="288" w:before="0" w:after="80"/>
        <w:jc w:val="both"/>
        <w:rPr/>
      </w:pPr>
      <w:r>
        <w:rPr/>
        <w:t>53.1.1 The Secretariat maintains the public Incident Database: every incident report, its ladder grade, its inquiry record, its forensic classification where applicable, and its closure. Entries publish within 24 hours of an incident report and update as inquiries conclude.</w:t>
      </w:r>
    </w:p>
    <w:p>
      <w:pPr>
        <w:pStyle w:val="Normal"/>
        <w:bidi w:val="0"/>
        <w:spacing w:lineRule="auto" w:line="288" w:before="0" w:after="80"/>
        <w:jc w:val="both"/>
        <w:rPr/>
      </w:pPr>
      <w:r>
        <w:rPr/>
        <w:t>53.1.2 Parties report every incident affecting shipping in the Governance Area to the Database within 24 hours, stating vessel identity, position, nature, and response actions. A Party's failure to report an incident that other sources reveal constitutes itself a reportable compliance event.</w:t>
      </w:r>
    </w:p>
    <w:p>
      <w:pPr>
        <w:pStyle w:val="Heading3"/>
        <w:keepNext w:val="true"/>
        <w:keepLines/>
        <w:bidi w:val="0"/>
        <w:spacing w:before="220" w:after="100"/>
        <w:rPr/>
      </w:pPr>
      <w:bookmarkStart w:id="224" w:name="__RefHeading___Toc3895_4199434714"/>
      <w:bookmarkEnd w:id="224"/>
      <w:r>
        <w:rPr/>
        <w:t>53.2 The Transparency Portal</w:t>
      </w:r>
    </w:p>
    <w:p>
      <w:pPr>
        <w:pStyle w:val="Normal"/>
        <w:bidi w:val="0"/>
        <w:spacing w:lineRule="auto" w:line="288" w:before="0" w:after="80"/>
        <w:jc w:val="both"/>
        <w:rPr/>
      </w:pPr>
      <w:r>
        <w:rPr/>
        <w:t>53.2.1 The Transparency Portal consolidates the Bulletin, the Database, the Fund accounts, the Compliance Dashboard, the environmental dashboard, the corridor certifications, and the audit library into one public access point, in English, Arabic, and Persian, with open data interfaces for industry, insurers, and researchers.</w:t>
      </w:r>
    </w:p>
    <w:p>
      <w:pPr>
        <w:pStyle w:val="Heading3"/>
        <w:keepNext w:val="true"/>
        <w:keepLines/>
        <w:bidi w:val="0"/>
        <w:spacing w:before="220" w:after="100"/>
        <w:rPr/>
      </w:pPr>
      <w:bookmarkStart w:id="225" w:name="__RefHeading___Toc3897_4199434714"/>
      <w:bookmarkEnd w:id="225"/>
      <w:r>
        <w:rPr/>
        <w:t>53.3 The Counter-Misinformation Function</w:t>
      </w:r>
    </w:p>
    <w:p>
      <w:pPr>
        <w:pStyle w:val="Normal"/>
        <w:bidi w:val="0"/>
        <w:spacing w:lineRule="auto" w:line="288" w:before="0" w:after="80"/>
        <w:jc w:val="both"/>
        <w:rPr/>
      </w:pPr>
      <w:r>
        <w:rPr/>
        <w:t>53.3.1 The Secretariat operates the counter-misinformation protocol: where public information about corridor operations diverges from the record, the Secretariat publishes a correction within 72 hours, citing the Portal record. The correction states facts and citations only; it argues with no one.</w:t>
      </w:r>
    </w:p>
    <w:p>
      <w:pPr>
        <w:pStyle w:val="Heading2"/>
        <w:keepNext w:val="true"/>
        <w:keepLines/>
        <w:bidi w:val="0"/>
        <w:spacing w:before="280" w:after="120"/>
        <w:rPr/>
      </w:pPr>
      <w:bookmarkStart w:id="226" w:name="__RefHeading___Toc3899_4199434714"/>
      <w:bookmarkEnd w:id="226"/>
      <w:r>
        <w:rPr/>
        <w:t>Article 54: Audit and Financial Transparency</w:t>
      </w:r>
    </w:p>
    <w:p>
      <w:pPr>
        <w:pStyle w:val="Heading3"/>
        <w:keepNext w:val="true"/>
        <w:keepLines/>
        <w:bidi w:val="0"/>
        <w:spacing w:before="220" w:after="100"/>
        <w:rPr/>
      </w:pPr>
      <w:bookmarkStart w:id="227" w:name="__RefHeading___Toc3901_4199434714"/>
      <w:bookmarkEnd w:id="227"/>
      <w:r>
        <w:rPr/>
        <w:t>54.1 The Auditors</w:t>
      </w:r>
    </w:p>
    <w:p>
      <w:pPr>
        <w:pStyle w:val="Normal"/>
        <w:bidi w:val="0"/>
        <w:spacing w:lineRule="auto" w:line="288" w:before="0" w:after="80"/>
        <w:jc w:val="both"/>
        <w:rPr/>
      </w:pPr>
      <w:r>
        <w:rPr/>
        <w:t>54.1.1 An independent international audit firm, selected by the Fund Board on a five-year non-renewable mandate, audits the Fund annually, with unrestricted access to accounts, service records, escrow records, and portal data. The audit publishes in full.</w:t>
      </w:r>
    </w:p>
    <w:p>
      <w:pPr>
        <w:pStyle w:val="Heading3"/>
        <w:keepNext w:val="true"/>
        <w:keepLines/>
        <w:bidi w:val="0"/>
        <w:spacing w:before="220" w:after="100"/>
        <w:rPr/>
      </w:pPr>
      <w:bookmarkStart w:id="228" w:name="__RefHeading___Toc3903_4199434714"/>
      <w:bookmarkEnd w:id="228"/>
      <w:r>
        <w:rPr/>
        <w:t>54.2 The Operational Audit Trail</w:t>
      </w:r>
    </w:p>
    <w:p>
      <w:pPr>
        <w:pStyle w:val="Normal"/>
        <w:bidi w:val="0"/>
        <w:spacing w:lineRule="auto" w:line="288" w:before="0" w:after="80"/>
        <w:jc w:val="both"/>
        <w:rPr/>
      </w:pPr>
      <w:r>
        <w:rPr/>
        <w:t>54.2.1 The operational log of the Coordination Center, the access log of the data system, and the Twin Key record form the operational audit trail, retained for the retention periods of Annex G and open to the auditors, the Directorate, and, in their open categories, the public.</w:t>
      </w:r>
    </w:p>
    <w:p>
      <w:pPr>
        <w:pStyle w:val="Heading3"/>
        <w:keepNext w:val="true"/>
        <w:keepLines/>
        <w:bidi w:val="0"/>
        <w:spacing w:before="220" w:after="100"/>
        <w:rPr/>
      </w:pPr>
      <w:bookmarkStart w:id="229" w:name="__RefHeading___Toc3905_4199434714"/>
      <w:bookmarkEnd w:id="229"/>
      <w:r>
        <w:rPr/>
        <w:t>54.3 The Anti-Corruption Rule</w:t>
      </w:r>
    </w:p>
    <w:p>
      <w:pPr>
        <w:pStyle w:val="Normal"/>
        <w:bidi w:val="0"/>
        <w:spacing w:lineRule="auto" w:line="288" w:before="0" w:after="80"/>
        <w:jc w:val="both"/>
        <w:rPr/>
      </w:pPr>
      <w:r>
        <w:rPr/>
        <w:t>54.3.1 Officers and staff of the Charter's organs conform to the ethics code of Annex G: disclosure of interests, prohibition of gifts above nominal value, cooling-off periods before industry employment, and an independent ombudsman receiving confidential reports. Violations publish. The institutions of the Strait hold the region's trust or they hold nothing.</w:t>
      </w:r>
    </w:p>
    <w:p>
      <w:pPr>
        <w:pStyle w:val="Heading1"/>
        <w:keepNext w:val="true"/>
        <w:keepLines/>
        <w:pBdr>
          <w:bottom w:val="single" w:sz="12" w:space="6" w:color="B8860B"/>
        </w:pBdr>
        <w:bidi w:val="0"/>
        <w:spacing w:before="0" w:after="360"/>
        <w:rPr/>
      </w:pPr>
      <w:bookmarkStart w:id="230" w:name="__RefHeading___Toc3907_4199434714"/>
      <w:bookmarkEnd w:id="230"/>
      <w:r>
        <w:rPr/>
        <w:t>PART IX: DISPUTE RESOLUTION</w:t>
      </w:r>
    </w:p>
    <w:p>
      <w:pPr>
        <w:pStyle w:val="Heading2"/>
        <w:keepNext w:val="true"/>
        <w:keepLines/>
        <w:bidi w:val="0"/>
        <w:spacing w:before="280" w:after="120"/>
        <w:rPr/>
      </w:pPr>
      <w:bookmarkStart w:id="231" w:name="__RefHeading___Toc3909_4199434714"/>
      <w:bookmarkEnd w:id="231"/>
      <w:r>
        <w:rPr/>
        <w:t>Article 55: Operational Consultation</w:t>
      </w:r>
    </w:p>
    <w:p>
      <w:pPr>
        <w:pStyle w:val="Heading3"/>
        <w:keepNext w:val="true"/>
        <w:keepLines/>
        <w:bidi w:val="0"/>
        <w:spacing w:before="220" w:after="100"/>
        <w:rPr/>
      </w:pPr>
      <w:bookmarkStart w:id="232" w:name="__RefHeading___Toc3911_4199434714"/>
      <w:bookmarkEnd w:id="232"/>
      <w:r>
        <w:rPr/>
        <w:t>55.1 The First Tier</w:t>
      </w:r>
    </w:p>
    <w:p>
      <w:pPr>
        <w:pStyle w:val="Normal"/>
        <w:bidi w:val="0"/>
        <w:spacing w:lineRule="auto" w:line="288" w:before="0" w:after="80"/>
        <w:jc w:val="both"/>
        <w:rPr/>
      </w:pPr>
      <w:r>
        <w:rPr/>
        <w:t>55.1.1 Disputes arising under this Charter enter first the operational consultation tier: the Secretariat convenes the concerned Parties' competent officers within 7 days of a request, produces a technical record of the disagreement, and facilitates resolution on the operational merits. Most disputes under this Charter resolve here, because most disputes here are technical.</w:t>
      </w:r>
    </w:p>
    <w:p>
      <w:pPr>
        <w:pStyle w:val="Heading3"/>
        <w:keepNext w:val="true"/>
        <w:keepLines/>
        <w:bidi w:val="0"/>
        <w:spacing w:before="220" w:after="100"/>
        <w:rPr/>
      </w:pPr>
      <w:bookmarkStart w:id="233" w:name="__RefHeading___Toc3913_4199434714"/>
      <w:bookmarkEnd w:id="233"/>
      <w:r>
        <w:rPr/>
        <w:t>55.2 Standing Characteristics</w:t>
      </w:r>
    </w:p>
    <w:p>
      <w:pPr>
        <w:pStyle w:val="Normal"/>
        <w:bidi w:val="0"/>
        <w:spacing w:lineRule="auto" w:line="288" w:before="0" w:after="80"/>
        <w:jc w:val="both"/>
        <w:rPr/>
      </w:pPr>
      <w:r>
        <w:rPr/>
        <w:t>55.2.1 Operational consultation proceeds without prejudice statements, without publicity, and without time penalty to ongoing operations. Its resolutions record in the operational log and create no precedent beyond their facts.</w:t>
      </w:r>
    </w:p>
    <w:p>
      <w:pPr>
        <w:pStyle w:val="Heading2"/>
        <w:keepNext w:val="true"/>
        <w:keepLines/>
        <w:bidi w:val="0"/>
        <w:spacing w:before="280" w:after="120"/>
        <w:rPr/>
      </w:pPr>
      <w:bookmarkStart w:id="234" w:name="__RefHeading___Toc3915_4199434714"/>
      <w:bookmarkEnd w:id="234"/>
      <w:r>
        <w:rPr/>
        <w:t>Article 56: Mediation</w:t>
      </w:r>
    </w:p>
    <w:p>
      <w:pPr>
        <w:pStyle w:val="Heading3"/>
        <w:keepNext w:val="true"/>
        <w:keepLines/>
        <w:bidi w:val="0"/>
        <w:spacing w:before="220" w:after="100"/>
        <w:rPr/>
      </w:pPr>
      <w:bookmarkStart w:id="235" w:name="__RefHeading___Toc3917_4199434714"/>
      <w:bookmarkEnd w:id="235"/>
      <w:r>
        <w:rPr/>
        <w:t>56.1 The Second Tier</w:t>
      </w:r>
    </w:p>
    <w:p>
      <w:pPr>
        <w:pStyle w:val="Normal"/>
        <w:bidi w:val="0"/>
        <w:spacing w:lineRule="auto" w:line="288" w:before="0" w:after="80"/>
        <w:jc w:val="both"/>
        <w:rPr/>
      </w:pPr>
      <w:r>
        <w:rPr/>
        <w:t>56.1.1 A dispute unresolved at 30 days escalates to mediation: each disputant appoints a mediator, the two appoint a third from the roster of Annex E, and the panel facilitates settlement within 60 days. The Sultanate of Oman, in recognition of its standing mediating vocation, maintains the roster and hosts the default venue.</w:t>
      </w:r>
    </w:p>
    <w:p>
      <w:pPr>
        <w:pStyle w:val="Normal"/>
        <w:bidi w:val="0"/>
        <w:spacing w:lineRule="auto" w:line="288" w:before="0" w:after="80"/>
        <w:jc w:val="both"/>
        <w:rPr/>
      </w:pPr>
      <w:r>
        <w:rPr/>
        <w:t>56.1.2 Mediation operates confidentially. Its settlements, once executed, publish in summary where they affect third parties or the public record.</w:t>
      </w:r>
    </w:p>
    <w:p>
      <w:pPr>
        <w:pStyle w:val="Heading2"/>
        <w:keepNext w:val="true"/>
        <w:keepLines/>
        <w:bidi w:val="0"/>
        <w:spacing w:before="280" w:after="120"/>
        <w:rPr/>
      </w:pPr>
      <w:bookmarkStart w:id="236" w:name="__RefHeading___Toc3919_4199434714"/>
      <w:bookmarkEnd w:id="236"/>
      <w:r>
        <w:rPr/>
        <w:t>Article 57: The Standing Tribunal</w:t>
      </w:r>
    </w:p>
    <w:p>
      <w:pPr>
        <w:pStyle w:val="Heading3"/>
        <w:keepNext w:val="true"/>
        <w:keepLines/>
        <w:bidi w:val="0"/>
        <w:spacing w:before="220" w:after="100"/>
        <w:rPr/>
      </w:pPr>
      <w:bookmarkStart w:id="237" w:name="__RefHeading___Toc3921_4199434714"/>
      <w:bookmarkEnd w:id="237"/>
      <w:r>
        <w:rPr/>
        <w:t>57.1 Establishment</w:t>
      </w:r>
    </w:p>
    <w:p>
      <w:pPr>
        <w:pStyle w:val="Normal"/>
        <w:bidi w:val="0"/>
        <w:spacing w:lineRule="auto" w:line="288" w:before="0" w:after="80"/>
        <w:jc w:val="both"/>
        <w:rPr/>
      </w:pPr>
      <w:r>
        <w:rPr/>
        <w:t>57.1.1 The Parties establish the Hormuz Stewardship Tribunal, a standing body of seven jurists: two nominated by the founding parties jointly, two by the regional members jointly, and three independent members selected by the four from the roster of Annex E, serving staggered six-year terms. The Tribunal seats in Muscat.</w:t>
      </w:r>
    </w:p>
    <w:p>
      <w:pPr>
        <w:pStyle w:val="Normal"/>
        <w:bidi w:val="0"/>
        <w:spacing w:lineRule="auto" w:line="288" w:before="0" w:after="80"/>
        <w:jc w:val="both"/>
        <w:rPr/>
      </w:pPr>
      <w:r>
        <w:rPr/>
        <w:t>57.1.2 The Tribunal holds jurisdiction over: disputes unresolved through the lower tiers; alleged material breaches, including disguised transit tolls and red-line violations; interpretation questions referred by the Council; and compensation questions arising from corridor incidents between Parties.</w:t>
      </w:r>
    </w:p>
    <w:p>
      <w:pPr>
        <w:pStyle w:val="Heading3"/>
        <w:keepNext w:val="true"/>
        <w:keepLines/>
        <w:bidi w:val="0"/>
        <w:spacing w:before="220" w:after="100"/>
        <w:rPr/>
      </w:pPr>
      <w:bookmarkStart w:id="238" w:name="__RefHeading___Toc3923_4199434714"/>
      <w:bookmarkEnd w:id="238"/>
      <w:r>
        <w:rPr/>
        <w:t>57.2 Procedure</w:t>
      </w:r>
    </w:p>
    <w:p>
      <w:pPr>
        <w:pStyle w:val="Normal"/>
        <w:bidi w:val="0"/>
        <w:spacing w:lineRule="auto" w:line="288" w:before="0" w:after="80"/>
        <w:jc w:val="both"/>
        <w:rPr/>
      </w:pPr>
      <w:r>
        <w:rPr/>
        <w:t>57.2.1 The Tribunal proceeds on written and oral phases under its rules of Annex G, decides within published timelines, and reasons every decision in full. Decisions bind the Parties. The Tribunal orders specific performance, declaratory relief, compensation, and compliance measures within the ladder of Article 51, and nothing beyond them.</w:t>
      </w:r>
    </w:p>
    <w:p>
      <w:pPr>
        <w:pStyle w:val="Normal"/>
        <w:bidi w:val="0"/>
        <w:spacing w:lineRule="auto" w:line="288" w:before="0" w:after="80"/>
        <w:jc w:val="both"/>
        <w:rPr/>
      </w:pPr>
      <w:r>
        <w:rPr/>
        <w:t>57.2.3 Tribunal proceedings publish by default; only the sealed class of Article 21 closes, and only for the proceeding's duration.</w:t>
      </w:r>
    </w:p>
    <w:p>
      <w:pPr>
        <w:pStyle w:val="Heading2"/>
        <w:keepNext w:val="true"/>
        <w:keepLines/>
        <w:bidi w:val="0"/>
        <w:spacing w:before="280" w:after="120"/>
        <w:rPr/>
      </w:pPr>
      <w:bookmarkStart w:id="239" w:name="__RefHeading___Toc3925_4199434714"/>
      <w:bookmarkEnd w:id="239"/>
      <w:r>
        <w:rPr/>
        <w:t>Article 58: Compliance Measures and Non-Compliance Response</w:t>
      </w:r>
    </w:p>
    <w:p>
      <w:pPr>
        <w:pStyle w:val="Heading3"/>
        <w:keepNext w:val="true"/>
        <w:keepLines/>
        <w:bidi w:val="0"/>
        <w:spacing w:before="220" w:after="100"/>
        <w:rPr/>
      </w:pPr>
      <w:bookmarkStart w:id="240" w:name="__RefHeading___Toc3927_4199434714"/>
      <w:bookmarkEnd w:id="240"/>
      <w:r>
        <w:rPr/>
        <w:t>58.1 The Integrated Response</w:t>
      </w:r>
    </w:p>
    <w:p>
      <w:pPr>
        <w:pStyle w:val="Normal"/>
        <w:bidi w:val="0"/>
        <w:spacing w:lineRule="auto" w:line="288" w:before="0" w:after="80"/>
        <w:jc w:val="both"/>
        <w:rPr/>
      </w:pPr>
      <w:r>
        <w:rPr/>
        <w:t>58.1.1 Compliance response integrates the ladder of Article 51, the Tribunal of Article 57, and the crisis protocol of Article 33 into one system: the ladder handles performance, the Tribunal handles law, and the crisis protocol handles danger, each in its lane, all on the public record.</w:t>
      </w:r>
    </w:p>
    <w:p>
      <w:pPr>
        <w:pStyle w:val="Heading3"/>
        <w:keepNext w:val="true"/>
        <w:keepLines/>
        <w:bidi w:val="0"/>
        <w:spacing w:before="220" w:after="100"/>
        <w:rPr/>
      </w:pPr>
      <w:bookmarkStart w:id="241" w:name="__RefHeading___Toc3929_4199434714"/>
      <w:bookmarkEnd w:id="241"/>
      <w:r>
        <w:rPr/>
        <w:t>58.2 The Final Guarantee</w:t>
      </w:r>
    </w:p>
    <w:p>
      <w:pPr>
        <w:pStyle w:val="Normal"/>
        <w:bidi w:val="0"/>
        <w:spacing w:lineRule="auto" w:line="288" w:before="0" w:after="80"/>
        <w:jc w:val="both"/>
        <w:rPr/>
      </w:pPr>
      <w:r>
        <w:rPr/>
        <w:t>58.2.1 Behind every mechanism of this Part stands the Charter's final guarantee: continuity. A dispute, however bitter, suspends nothing of the Permanent Floor of Article 7. The water stays safe while the lawyers work.</w:t>
      </w:r>
    </w:p>
    <w:p>
      <w:pPr>
        <w:pStyle w:val="Heading1"/>
        <w:keepNext w:val="true"/>
        <w:keepLines/>
        <w:pBdr>
          <w:bottom w:val="single" w:sz="12" w:space="6" w:color="B8860B"/>
        </w:pBdr>
        <w:bidi w:val="0"/>
        <w:spacing w:before="0" w:after="360"/>
        <w:rPr/>
      </w:pPr>
      <w:bookmarkStart w:id="242" w:name="__RefHeading___Toc3931_4199434714"/>
      <w:bookmarkEnd w:id="242"/>
      <w:r>
        <w:rPr/>
        <w:t>PART X: IMPLEMENTATION AND TRANSITION</w:t>
      </w:r>
    </w:p>
    <w:p>
      <w:pPr>
        <w:pStyle w:val="Heading2"/>
        <w:keepNext w:val="true"/>
        <w:keepLines/>
        <w:bidi w:val="0"/>
        <w:spacing w:before="280" w:after="120"/>
        <w:rPr/>
      </w:pPr>
      <w:bookmarkStart w:id="243" w:name="__RefHeading___Toc3933_4199434714"/>
      <w:bookmarkEnd w:id="243"/>
      <w:r>
        <w:rPr/>
        <w:t>Article 59: The Phased Activation Schedule</w:t>
      </w:r>
    </w:p>
    <w:p>
      <w:pPr>
        <w:pStyle w:val="Heading3"/>
        <w:keepNext w:val="true"/>
        <w:keepLines/>
        <w:bidi w:val="0"/>
        <w:spacing w:before="220" w:after="100"/>
        <w:rPr/>
      </w:pPr>
      <w:bookmarkStart w:id="244" w:name="__RefHeading___Toc3935_4199434714"/>
      <w:bookmarkEnd w:id="244"/>
      <w:r>
        <w:rPr/>
        <w:t>59.1 The Phases</w:t>
      </w:r>
    </w:p>
    <w:p>
      <w:pPr>
        <w:pStyle w:val="Normal"/>
        <w:bidi w:val="0"/>
        <w:spacing w:lineRule="auto" w:line="288" w:before="0" w:after="80"/>
        <w:jc w:val="both"/>
        <w:rPr/>
      </w:pPr>
      <w:r>
        <w:rPr/>
        <w:t>59.1.1 The Charter activates in phases, each gated by the certification system of Article 60, on the accelerated schedule:</w:t>
      </w:r>
    </w:p>
    <w:p>
      <w:pPr>
        <w:pStyle w:val="Normal"/>
        <w:bidi w:val="0"/>
        <w:spacing w:lineRule="auto" w:line="288" w:before="0" w:after="80"/>
        <w:jc w:val="both"/>
        <w:rPr/>
      </w:pPr>
      <w:r>
        <w:rPr/>
        <w:t>(a) Phase Zero, Days 0 to 30: institutions stand up, hotlines activate, the Bulletin begins, the Joint Hazard Survey deploys, and the humanitarian bridge operates at full tempo from Day 0;</w:t>
      </w:r>
    </w:p>
    <w:p>
      <w:pPr>
        <w:pStyle w:val="Normal"/>
        <w:bidi w:val="0"/>
        <w:spacing w:lineRule="auto" w:line="288" w:before="0" w:after="80"/>
        <w:jc w:val="both"/>
        <w:rPr/>
      </w:pPr>
      <w:r>
        <w:rPr/>
        <w:t>(b) Phase One, Day 30: Gate One certification; Corridor Two opens as the Fast-Track assurance lane, toll-free, under file-and-acknowledge notification; the Early Fee Simulation of Article 25 begins on actual traffic data;</w:t>
      </w:r>
    </w:p>
    <w:p>
      <w:pPr>
        <w:pStyle w:val="Normal"/>
        <w:bidi w:val="0"/>
        <w:spacing w:lineRule="auto" w:line="288" w:before="0" w:after="80"/>
        <w:jc w:val="both"/>
        <w:rPr/>
      </w:pPr>
      <w:r>
        <w:rPr/>
        <w:t>(c) Phase Two, Days 30 to 60: Corridor One completes survey and certification; the Buffer activates; the patrol rotation begins; the Fund and escrow commence operations;</w:t>
      </w:r>
    </w:p>
    <w:p>
      <w:pPr>
        <w:pStyle w:val="Normal"/>
        <w:bidi w:val="0"/>
        <w:spacing w:lineRule="auto" w:line="288" w:before="0" w:after="80"/>
        <w:jc w:val="both"/>
        <w:rPr/>
      </w:pPr>
      <w:r>
        <w:rPr/>
        <w:t>(d) Phase Three, Day 60: Gate Two certification; the full two-corridor system operates; wartime lanes sunset under Article 12;</w:t>
      </w:r>
    </w:p>
    <w:p>
      <w:pPr>
        <w:pStyle w:val="Normal"/>
        <w:bidi w:val="0"/>
        <w:spacing w:lineRule="auto" w:line="288" w:before="0" w:after="80"/>
        <w:jc w:val="both"/>
        <w:rPr/>
      </w:pPr>
      <w:r>
        <w:rPr/>
        <w:t>(e) Phase Four, Days 60 to 90: institutional integration completes; the fee architecture finalizes on the simulation record; the Stability Audit's first interim edition publishes;</w:t>
      </w:r>
    </w:p>
    <w:p>
      <w:pPr>
        <w:pStyle w:val="Normal"/>
        <w:bidi w:val="0"/>
        <w:spacing w:lineRule="auto" w:line="288" w:before="0" w:after="80"/>
        <w:jc w:val="both"/>
        <w:rPr/>
      </w:pPr>
      <w:r>
        <w:rPr/>
        <w:t>(f) Phase Five, Day 90 and after: steady state, annual audit cycle, and the convergence pathway of Article 13 opens for performance-based advancement.</w:t>
      </w:r>
    </w:p>
    <w:p>
      <w:pPr>
        <w:pStyle w:val="Heading3"/>
        <w:keepNext w:val="true"/>
        <w:keepLines/>
        <w:bidi w:val="0"/>
        <w:spacing w:before="220" w:after="100"/>
        <w:rPr/>
      </w:pPr>
      <w:bookmarkStart w:id="245" w:name="__RefHeading___Toc3937_4199434714"/>
      <w:bookmarkEnd w:id="245"/>
      <w:r>
        <w:rPr/>
        <w:t>59.2 The Early Fee Simulation</w:t>
      </w:r>
    </w:p>
    <w:p>
      <w:pPr>
        <w:pStyle w:val="Normal"/>
        <w:bidi w:val="0"/>
        <w:spacing w:lineRule="auto" w:line="288" w:before="0" w:after="80"/>
        <w:jc w:val="both"/>
        <w:rPr/>
      </w:pPr>
      <w:r>
        <w:rPr/>
        <w:t>59.2.1 From Day 30 to Day 75, the Secretariat runs the Early Fee Simulation on actual Fast-Track traffic data: modeling the service-charge, voluntary-facility, and member-contribution channels against real volumes, publishing an interim report at Day 45 and a final report at Day 75. No money moves in the simulation. The simulation informs the Rate Card; it commits no one.</w:t>
      </w:r>
    </w:p>
    <w:p>
      <w:pPr>
        <w:pStyle w:val="Heading3"/>
        <w:keepNext w:val="true"/>
        <w:keepLines/>
        <w:bidi w:val="0"/>
        <w:spacing w:before="220" w:after="100"/>
        <w:rPr/>
      </w:pPr>
      <w:bookmarkStart w:id="246" w:name="__RefHeading___Toc3939_4199434714"/>
      <w:bookmarkEnd w:id="246"/>
      <w:r>
        <w:rPr/>
        <w:t>59.3 The Concurrency Doctrine</w:t>
      </w:r>
    </w:p>
    <w:p>
      <w:pPr>
        <w:pStyle w:val="Normal"/>
        <w:bidi w:val="0"/>
        <w:spacing w:lineRule="auto" w:line="288" w:before="0" w:after="80"/>
        <w:jc w:val="both"/>
        <w:rPr/>
      </w:pPr>
      <w:r>
        <w:rPr/>
        <w:t>59.3.1 Phases run concurrently wherever their dependencies permit: institutions build while surveys run; surveys run while the Fast-Track lane operates; the fee simulation runs while the Fund incorporates. Concurrency never skips verification; it parallelizes it. Each gate still certifies on its published metrics.</w:t>
      </w:r>
    </w:p>
    <w:p>
      <w:pPr>
        <w:pStyle w:val="Heading2"/>
        <w:keepNext w:val="true"/>
        <w:keepLines/>
        <w:bidi w:val="0"/>
        <w:spacing w:before="280" w:after="120"/>
        <w:rPr/>
      </w:pPr>
      <w:bookmarkStart w:id="247" w:name="__RefHeading___Toc3941_4199434714"/>
      <w:bookmarkEnd w:id="247"/>
      <w:r>
        <w:rPr/>
        <w:t>Article 60: The Gate Certification System</w:t>
      </w:r>
    </w:p>
    <w:p>
      <w:pPr>
        <w:pStyle w:val="Heading3"/>
        <w:keepNext w:val="true"/>
        <w:keepLines/>
        <w:bidi w:val="0"/>
        <w:spacing w:before="220" w:after="100"/>
        <w:rPr/>
      </w:pPr>
      <w:bookmarkStart w:id="248" w:name="__RefHeading___Toc3943_4199434714"/>
      <w:bookmarkEnd w:id="248"/>
      <w:r>
        <w:rPr/>
        <w:t>60.1 The Gates</w:t>
      </w:r>
    </w:p>
    <w:p>
      <w:pPr>
        <w:pStyle w:val="Normal"/>
        <w:bidi w:val="0"/>
        <w:spacing w:lineRule="auto" w:line="288" w:before="0" w:after="80"/>
        <w:jc w:val="both"/>
        <w:rPr/>
      </w:pPr>
      <w:r>
        <w:rPr/>
        <w:t>60.1.1 The Charter's activation proceeds through certified gates:</w:t>
      </w:r>
    </w:p>
    <w:tbl>
      <w:tblPr>
        <w:tblW w:w="5000" w:type="pct"/>
        <w:jc w:val="left"/>
        <w:tblInd w:w="-8" w:type="dxa"/>
        <w:tblLayout w:type="fixed"/>
        <w:tblCellMar>
          <w:top w:w="60" w:type="dxa"/>
          <w:left w:w="100" w:type="dxa"/>
          <w:bottom w:w="60" w:type="dxa"/>
          <w:right w:w="100" w:type="dxa"/>
        </w:tblCellMar>
      </w:tblPr>
      <w:tblGrid>
        <w:gridCol w:w="3008"/>
        <w:gridCol w:w="3009"/>
        <w:gridCol w:w="3009"/>
      </w:tblGrid>
      <w:tr>
        <w:trPr>
          <w:tblHeader w:val="true"/>
        </w:trPr>
        <w:tc>
          <w:tcPr>
            <w:tcW w:w="3008" w:type="dxa"/>
            <w:tcBorders>
              <w:top w:val="single" w:sz="12" w:space="0" w:color="2F4858"/>
              <w:bottom w:val="single" w:sz="6" w:space="0" w:color="2F4858"/>
            </w:tcBorders>
            <w:shd w:fill="EDF1F3" w:val="clear"/>
          </w:tcPr>
          <w:p>
            <w:pPr>
              <w:pStyle w:val="Normal"/>
              <w:widowControl w:val="false"/>
              <w:bidi w:val="0"/>
              <w:spacing w:lineRule="auto" w:line="276" w:before="0" w:after="0"/>
              <w:rPr/>
            </w:pPr>
            <w:r>
              <w:rPr>
                <w:b/>
                <w:color w:val="26333B"/>
                <w:sz w:val="19"/>
              </w:rPr>
              <w:t>Gate</w:t>
            </w:r>
          </w:p>
        </w:tc>
        <w:tc>
          <w:tcPr>
            <w:tcW w:w="3009" w:type="dxa"/>
            <w:tcBorders>
              <w:top w:val="single" w:sz="12" w:space="0" w:color="2F4858"/>
              <w:bottom w:val="single" w:sz="6" w:space="0" w:color="2F4858"/>
            </w:tcBorders>
            <w:shd w:fill="EDF1F3" w:val="clear"/>
          </w:tcPr>
          <w:p>
            <w:pPr>
              <w:pStyle w:val="Normal"/>
              <w:widowControl w:val="false"/>
              <w:bidi w:val="0"/>
              <w:spacing w:lineRule="auto" w:line="276" w:before="0" w:after="0"/>
              <w:rPr/>
            </w:pPr>
            <w:r>
              <w:rPr>
                <w:b/>
                <w:color w:val="26333B"/>
                <w:sz w:val="19"/>
              </w:rPr>
              <w:t>Target Day</w:t>
            </w:r>
          </w:p>
        </w:tc>
        <w:tc>
          <w:tcPr>
            <w:tcW w:w="3009" w:type="dxa"/>
            <w:tcBorders>
              <w:top w:val="single" w:sz="12" w:space="0" w:color="2F4858"/>
              <w:bottom w:val="single" w:sz="6" w:space="0" w:color="2F4858"/>
            </w:tcBorders>
            <w:shd w:fill="EDF1F3" w:val="clear"/>
          </w:tcPr>
          <w:p>
            <w:pPr>
              <w:pStyle w:val="Normal"/>
              <w:widowControl w:val="false"/>
              <w:bidi w:val="0"/>
              <w:spacing w:lineRule="auto" w:line="276" w:before="0" w:after="0"/>
              <w:rPr/>
            </w:pPr>
            <w:r>
              <w:rPr>
                <w:b/>
                <w:color w:val="26333B"/>
                <w:sz w:val="19"/>
              </w:rPr>
              <w:t>Certification Criteria</w:t>
            </w:r>
          </w:p>
        </w:tc>
      </w:tr>
      <w:tr>
        <w:trPr/>
        <w:tc>
          <w:tcPr>
            <w:tcW w:w="3008"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Gate Zero</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Day 0</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Signature; institutions activated; humanitarian bridge operating</w:t>
            </w:r>
          </w:p>
        </w:tc>
      </w:tr>
      <w:tr>
        <w:trPr/>
        <w:tc>
          <w:tcPr>
            <w:tcW w:w="3008"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Gate One</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Day 30</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Hotline network at answer standard; Bulletin live; Corridor Two surveyed, certified, and open</w:t>
            </w:r>
          </w:p>
        </w:tc>
      </w:tr>
      <w:tr>
        <w:trPr/>
        <w:tc>
          <w:tcPr>
            <w:tcW w:w="3008"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Gate Two</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Day 60</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Corridor One surveyed, certified, and open; Buffer active; patrol rotation operating; Fund operating</w:t>
            </w:r>
          </w:p>
        </w:tc>
      </w:tr>
      <w:tr>
        <w:trPr/>
        <w:tc>
          <w:tcPr>
            <w:tcW w:w="3008"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Gate Three</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Day 75</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Fee simulation final report published; Rate Card adopted</w:t>
            </w:r>
          </w:p>
        </w:tc>
      </w:tr>
      <w:tr>
        <w:trPr/>
        <w:tc>
          <w:tcPr>
            <w:tcW w:w="3008"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Gate Four</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Day 90</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Full institutional integration; interim Stability Audit passed</w:t>
            </w:r>
          </w:p>
        </w:tc>
      </w:tr>
      <w:tr>
        <w:trPr/>
        <w:tc>
          <w:tcPr>
            <w:tcW w:w="3008" w:type="dxa"/>
            <w:tcBorders>
              <w:top w:val="single" w:sz="4" w:space="0" w:color="C9CFD4"/>
              <w:bottom w:val="single" w:sz="12" w:space="0" w:color="2F4858"/>
            </w:tcBorders>
          </w:tcPr>
          <w:p>
            <w:pPr>
              <w:pStyle w:val="Normal"/>
              <w:widowControl w:val="false"/>
              <w:bidi w:val="0"/>
              <w:spacing w:lineRule="auto" w:line="276" w:before="0" w:after="0"/>
              <w:rPr/>
            </w:pPr>
            <w:r>
              <w:rPr>
                <w:color w:val="26333B"/>
                <w:sz w:val="19"/>
              </w:rPr>
              <w:t>Gate Five</w:t>
            </w:r>
          </w:p>
        </w:tc>
        <w:tc>
          <w:tcPr>
            <w:tcW w:w="3009" w:type="dxa"/>
            <w:tcBorders>
              <w:top w:val="single" w:sz="4" w:space="0" w:color="C9CFD4"/>
              <w:bottom w:val="single" w:sz="12" w:space="0" w:color="2F4858"/>
            </w:tcBorders>
          </w:tcPr>
          <w:p>
            <w:pPr>
              <w:pStyle w:val="Normal"/>
              <w:widowControl w:val="false"/>
              <w:bidi w:val="0"/>
              <w:spacing w:lineRule="auto" w:line="276" w:before="0" w:after="0"/>
              <w:rPr/>
            </w:pPr>
            <w:r>
              <w:rPr>
                <w:color w:val="26333B"/>
                <w:sz w:val="19"/>
              </w:rPr>
              <w:t>Day 180</w:t>
            </w:r>
          </w:p>
        </w:tc>
        <w:tc>
          <w:tcPr>
            <w:tcW w:w="3009" w:type="dxa"/>
            <w:tcBorders>
              <w:top w:val="single" w:sz="4" w:space="0" w:color="C9CFD4"/>
              <w:bottom w:val="single" w:sz="12" w:space="0" w:color="2F4858"/>
            </w:tcBorders>
          </w:tcPr>
          <w:p>
            <w:pPr>
              <w:pStyle w:val="Normal"/>
              <w:widowControl w:val="false"/>
              <w:bidi w:val="0"/>
              <w:spacing w:lineRule="auto" w:line="276" w:before="0" w:after="0"/>
              <w:rPr/>
            </w:pPr>
            <w:r>
              <w:rPr>
                <w:color w:val="26333B"/>
                <w:sz w:val="19"/>
              </w:rPr>
              <w:t>Sustained stable operation; Confidence Trigger eligible</w:t>
            </w:r>
          </w:p>
        </w:tc>
      </w:tr>
    </w:tbl>
    <w:p>
      <w:pPr>
        <w:pStyle w:val="Normal"/>
        <w:bidi w:val="0"/>
        <w:spacing w:before="0" w:after="160"/>
        <w:rPr/>
      </w:pPr>
      <w:r>
        <w:rPr/>
      </w:r>
    </w:p>
    <w:p>
      <w:pPr>
        <w:pStyle w:val="Normal"/>
        <w:bidi w:val="0"/>
        <w:spacing w:lineRule="auto" w:line="288" w:before="0" w:after="80"/>
        <w:jc w:val="both"/>
        <w:rPr/>
      </w:pPr>
      <w:r>
        <w:rPr/>
        <w:t>60.1.2 The Directorate certifies each gate against its published metrics; the Council confirms; the Bulletin announces. A gate that misses its metrics waits for them; the calendar never overrides certification.</w:t>
      </w:r>
    </w:p>
    <w:p>
      <w:pPr>
        <w:pStyle w:val="Heading3"/>
        <w:keepNext w:val="true"/>
        <w:keepLines/>
        <w:bidi w:val="0"/>
        <w:spacing w:before="220" w:after="100"/>
        <w:rPr/>
      </w:pPr>
      <w:bookmarkStart w:id="249" w:name="__RefHeading___Toc3945_4199434714"/>
      <w:bookmarkEnd w:id="249"/>
      <w:r>
        <w:rPr/>
        <w:t>60.2 The Emergency Acceleration Clause</w:t>
      </w:r>
    </w:p>
    <w:p>
      <w:pPr>
        <w:pStyle w:val="Normal"/>
        <w:bidi w:val="0"/>
        <w:spacing w:lineRule="auto" w:line="288" w:before="0" w:after="80"/>
        <w:jc w:val="both"/>
        <w:rPr/>
      </w:pPr>
      <w:r>
        <w:rPr/>
        <w:t>60.2.1 Where both founding parties jointly certify that a regional crisis, the expiry of a diplomatic window, or a humanitarian emergency requires acceleration, the Council compresses the timeline of any phase by up to fifty percent. Compression applies to timelines only, never to gate conditions. The Directorate certifies that acceleration compromises neither safety nor verification integrity. The clause executes upon joint certification and Directorate confirmation; no further vote or signature intervenes.</w:t>
      </w:r>
    </w:p>
    <w:p>
      <w:pPr>
        <w:pStyle w:val="Heading2"/>
        <w:keepNext w:val="true"/>
        <w:keepLines/>
        <w:bidi w:val="0"/>
        <w:spacing w:before="280" w:after="120"/>
        <w:rPr/>
      </w:pPr>
      <w:bookmarkStart w:id="250" w:name="__RefHeading___Toc3947_4199434714"/>
      <w:bookmarkEnd w:id="250"/>
      <w:r>
        <w:rPr/>
        <w:t>Article 61: The Synchronized Relief Track</w:t>
      </w:r>
    </w:p>
    <w:p>
      <w:pPr>
        <w:pStyle w:val="Heading3"/>
        <w:keepNext w:val="true"/>
        <w:keepLines/>
        <w:bidi w:val="0"/>
        <w:spacing w:before="220" w:after="100"/>
        <w:rPr/>
      </w:pPr>
      <w:bookmarkStart w:id="251" w:name="__RefHeading___Toc3949_4199434714"/>
      <w:bookmarkEnd w:id="251"/>
      <w:r>
        <w:rPr/>
        <w:t>61.1 The Track</w:t>
      </w:r>
    </w:p>
    <w:p>
      <w:pPr>
        <w:pStyle w:val="Normal"/>
        <w:bidi w:val="0"/>
        <w:spacing w:lineRule="auto" w:line="288" w:before="0" w:after="80"/>
        <w:jc w:val="both"/>
        <w:rPr/>
      </w:pPr>
      <w:r>
        <w:rPr/>
        <w:t>61.1.1 The Charter operates a synchronized relief track on the same gate clock as the maritime architecture, through which the economic and sanctions dimensions of the regional settlement advance in step with corridor progress, each step recorded in the Reciprocity Ledger of Annex E:</w:t>
      </w:r>
    </w:p>
    <w:p>
      <w:pPr>
        <w:pStyle w:val="Normal"/>
        <w:bidi w:val="0"/>
        <w:spacing w:lineRule="auto" w:line="288" w:before="0" w:after="80"/>
        <w:jc w:val="both"/>
        <w:rPr/>
      </w:pPr>
      <w:r>
        <w:rPr/>
        <w:t>(a) Tranche One, paired with Gate One: humanitarian and maritime-sector relief measures, including insurance facilitation and port-service normalization;</w:t>
      </w:r>
    </w:p>
    <w:p>
      <w:pPr>
        <w:pStyle w:val="Normal"/>
        <w:bidi w:val="0"/>
        <w:spacing w:lineRule="auto" w:line="288" w:before="0" w:after="80"/>
        <w:jc w:val="both"/>
        <w:rPr/>
      </w:pPr>
      <w:r>
        <w:rPr/>
        <w:t>(b) Tranche Two, paired with Gate Two: interim financial authorizations for the escrow and Fund channels under Article 28;</w:t>
      </w:r>
    </w:p>
    <w:p>
      <w:pPr>
        <w:pStyle w:val="Normal"/>
        <w:bidi w:val="0"/>
        <w:spacing w:lineRule="auto" w:line="288" w:before="0" w:after="80"/>
        <w:jc w:val="both"/>
        <w:rPr/>
      </w:pPr>
      <w:r>
        <w:rPr/>
        <w:t>(c) Tranche Three, paired with Gate Three: standing financial authorizations and the first drawdown steps of any blockade or interdiction measures in the approaches;</w:t>
      </w:r>
    </w:p>
    <w:p>
      <w:pPr>
        <w:pStyle w:val="Normal"/>
        <w:bidi w:val="0"/>
        <w:spacing w:lineRule="auto" w:line="288" w:before="0" w:after="80"/>
        <w:jc w:val="both"/>
        <w:rPr/>
      </w:pPr>
      <w:r>
        <w:rPr/>
        <w:t>(d) Tranche Four, paired with Gate Five: comprehensive relief per the instruments of the strategic track, including any frozen-asset release schedule and reconstruction-fund activation.</w:t>
      </w:r>
    </w:p>
    <w:p>
      <w:pPr>
        <w:pStyle w:val="Normal"/>
        <w:bidi w:val="0"/>
        <w:spacing w:lineRule="auto" w:line="288" w:before="0" w:after="80"/>
        <w:jc w:val="both"/>
        <w:rPr/>
      </w:pPr>
      <w:r>
        <w:rPr/>
        <w:t>61.1.2 No step executes alone. The Ledger records each paired step, and the record publishes. Where a relief step belongs to an instrument outside this Charter, the Charter's role confines itself to certifying the maritime gate to which the step pairs; the relief itself executes under its own instrument.</w:t>
      </w:r>
    </w:p>
    <w:p>
      <w:pPr>
        <w:pStyle w:val="Heading3"/>
        <w:keepNext w:val="true"/>
        <w:keepLines/>
        <w:bidi w:val="0"/>
        <w:spacing w:before="220" w:after="100"/>
        <w:rPr/>
      </w:pPr>
      <w:bookmarkStart w:id="252" w:name="__RefHeading___Toc3951_4199434714"/>
      <w:bookmarkEnd w:id="252"/>
      <w:r>
        <w:rPr/>
        <w:t>61.2 The Fast-Track Option</w:t>
      </w:r>
    </w:p>
    <w:p>
      <w:pPr>
        <w:pStyle w:val="Normal"/>
        <w:bidi w:val="0"/>
        <w:spacing w:lineRule="auto" w:line="288" w:before="0" w:after="80"/>
        <w:jc w:val="both"/>
        <w:rPr/>
      </w:pPr>
      <w:r>
        <w:rPr/>
        <w:t>61.2.1 Where the Parties jointly certify that a diplomatic window requires accelerated relief, the synchronized track advances by up to two tranches at once, provided the corresponding maritime gate stands certified and the Directorate confirms the corridor system absorbs the accelerated movement without destabilization.</w:t>
      </w:r>
    </w:p>
    <w:p>
      <w:pPr>
        <w:pStyle w:val="Heading2"/>
        <w:keepNext w:val="true"/>
        <w:keepLines/>
        <w:bidi w:val="0"/>
        <w:spacing w:before="280" w:after="120"/>
        <w:rPr/>
      </w:pPr>
      <w:bookmarkStart w:id="253" w:name="__RefHeading___Toc3953_4199434714"/>
      <w:bookmarkEnd w:id="253"/>
      <w:r>
        <w:rPr/>
        <w:t>Article 62: Relationship to Other Instruments</w:t>
      </w:r>
    </w:p>
    <w:p>
      <w:pPr>
        <w:pStyle w:val="Heading3"/>
        <w:keepNext w:val="true"/>
        <w:keepLines/>
        <w:bidi w:val="0"/>
        <w:spacing w:before="220" w:after="100"/>
        <w:rPr/>
      </w:pPr>
      <w:bookmarkStart w:id="254" w:name="__RefHeading___Toc3955_4199434714"/>
      <w:bookmarkEnd w:id="254"/>
      <w:r>
        <w:rPr/>
        <w:t>62.1 The Complementarity Rule</w:t>
      </w:r>
    </w:p>
    <w:p>
      <w:pPr>
        <w:pStyle w:val="Normal"/>
        <w:bidi w:val="0"/>
        <w:spacing w:lineRule="auto" w:line="288" w:before="0" w:after="80"/>
        <w:jc w:val="both"/>
        <w:rPr/>
      </w:pPr>
      <w:r>
        <w:rPr/>
        <w:t>62.1.1 This Charter operates as the multilateral roof over the bilateral corridor arrangements between the coastal states and as the maritime complement to any strategic framework between the United States and Iran. It complements; it does not absorb, replace, or condition those instruments, and they neither absorb, replace, nor condition it.</w:t>
      </w:r>
    </w:p>
    <w:p>
      <w:pPr>
        <w:pStyle w:val="Heading3"/>
        <w:keepNext w:val="true"/>
        <w:keepLines/>
        <w:bidi w:val="0"/>
        <w:spacing w:before="220" w:after="100"/>
        <w:rPr/>
      </w:pPr>
      <w:bookmarkStart w:id="255" w:name="__RefHeading___Toc3957_4199434714"/>
      <w:bookmarkEnd w:id="255"/>
      <w:r>
        <w:rPr/>
        <w:t>62.2 The Non-Conditionality Rule</w:t>
      </w:r>
    </w:p>
    <w:p>
      <w:pPr>
        <w:pStyle w:val="Normal"/>
        <w:bidi w:val="0"/>
        <w:spacing w:lineRule="auto" w:line="288" w:before="0" w:after="80"/>
        <w:jc w:val="both"/>
        <w:rPr/>
      </w:pPr>
      <w:r>
        <w:rPr/>
        <w:t>62.2.1 No Party conditions performance of this Charter on progress in any other negotiation track. The corridor system operates because safe water serves everyone, and it continues to operate while other tracks advance, stall, or fail. The Strait's safety holds no hostages.</w:t>
      </w:r>
    </w:p>
    <w:p>
      <w:pPr>
        <w:pStyle w:val="Heading3"/>
        <w:keepNext w:val="true"/>
        <w:keepLines/>
        <w:bidi w:val="0"/>
        <w:spacing w:before="220" w:after="100"/>
        <w:rPr/>
      </w:pPr>
      <w:bookmarkStart w:id="256" w:name="__RefHeading___Toc3959_4199434714"/>
      <w:bookmarkEnd w:id="256"/>
      <w:r>
        <w:rPr/>
        <w:t>62.3 The Registration Rule</w:t>
      </w:r>
    </w:p>
    <w:p>
      <w:pPr>
        <w:pStyle w:val="Normal"/>
        <w:bidi w:val="0"/>
        <w:spacing w:lineRule="auto" w:line="288" w:before="0" w:after="80"/>
        <w:jc w:val="both"/>
        <w:rPr/>
      </w:pPr>
      <w:r>
        <w:rPr/>
        <w:t>62.3.1 The Depositary registers this Charter with the Secretariat of the United Nations pursuant to Article 102 of the Charter of the United Nations, and transmits it to the International Maritime Organization for registration of its corridor definitions, traffic separation adjustments, and safety standards.</w:t>
      </w:r>
    </w:p>
    <w:p>
      <w:pPr>
        <w:pStyle w:val="Heading2"/>
        <w:keepNext w:val="true"/>
        <w:keepLines/>
        <w:bidi w:val="0"/>
        <w:spacing w:before="280" w:after="120"/>
        <w:rPr/>
      </w:pPr>
      <w:bookmarkStart w:id="257" w:name="__RefHeading___Toc3961_4199434714"/>
      <w:bookmarkEnd w:id="257"/>
      <w:r>
        <w:rPr/>
        <w:t>Article 63: The Nuclear Firewall</w:t>
      </w:r>
    </w:p>
    <w:p>
      <w:pPr>
        <w:pStyle w:val="Heading3"/>
        <w:keepNext w:val="true"/>
        <w:keepLines/>
        <w:bidi w:val="0"/>
        <w:spacing w:before="220" w:after="100"/>
        <w:rPr/>
      </w:pPr>
      <w:bookmarkStart w:id="258" w:name="__RefHeading___Toc3963_4199434714"/>
      <w:bookmarkEnd w:id="258"/>
      <w:r>
        <w:rPr/>
        <w:t>63.1 The Firewall Principle</w:t>
      </w:r>
    </w:p>
    <w:p>
      <w:pPr>
        <w:pStyle w:val="Normal"/>
        <w:bidi w:val="0"/>
        <w:spacing w:lineRule="auto" w:line="288" w:before="0" w:after="80"/>
        <w:jc w:val="both"/>
        <w:rPr/>
      </w:pPr>
      <w:r>
        <w:rPr/>
        <w:t>63.1.1 The nuclear file lies outside this Charter. The Charter's organs hold no nuclear competence; the corridor system conditions nothing on nuclear progress; and nuclear difficulties, however grave, suspend nothing of the corridor system.</w:t>
      </w:r>
    </w:p>
    <w:p>
      <w:pPr>
        <w:pStyle w:val="Normal"/>
        <w:bidi w:val="0"/>
        <w:spacing w:lineRule="auto" w:line="288" w:before="0" w:after="80"/>
        <w:jc w:val="both"/>
        <w:rPr/>
      </w:pPr>
      <w:r>
        <w:rPr/>
        <w:t>63.1.2 The firewall protects both tracks: the maritime track escapes the nuclear track's volatility, and the nuclear track escapes the temptation to hold shipping hostage. The Parties record their shared judgment that the mixing of these files served no one in the crisis period and serves no one now.</w:t>
      </w:r>
    </w:p>
    <w:p>
      <w:pPr>
        <w:pStyle w:val="Heading3"/>
        <w:keepNext w:val="true"/>
        <w:keepLines/>
        <w:bidi w:val="0"/>
        <w:spacing w:before="220" w:after="100"/>
        <w:rPr/>
      </w:pPr>
      <w:bookmarkStart w:id="259" w:name="__RefHeading___Toc3965_4199434714"/>
      <w:bookmarkEnd w:id="259"/>
      <w:r>
        <w:rPr/>
        <w:t>63.2 The Interface</w:t>
      </w:r>
    </w:p>
    <w:p>
      <w:pPr>
        <w:pStyle w:val="Normal"/>
        <w:bidi w:val="0"/>
        <w:spacing w:lineRule="auto" w:line="288" w:before="0" w:after="80"/>
        <w:jc w:val="both"/>
        <w:rPr/>
      </w:pPr>
      <w:r>
        <w:rPr/>
        <w:t>63.2.1 The single interface between the Charter and the nuclear file is informational: the Bulletin carries the assurance statements that the strategic track's instruments expressly address to maritime audiences, and nothing more.</w:t>
      </w:r>
    </w:p>
    <w:p>
      <w:pPr>
        <w:pStyle w:val="Heading2"/>
        <w:keepNext w:val="true"/>
        <w:keepLines/>
        <w:bidi w:val="0"/>
        <w:spacing w:before="280" w:after="120"/>
        <w:rPr/>
      </w:pPr>
      <w:bookmarkStart w:id="260" w:name="__RefHeading___Toc3967_4199434714"/>
      <w:bookmarkEnd w:id="260"/>
      <w:r>
        <w:rPr/>
        <w:t>Article 64: Scope Exclusions</w:t>
      </w:r>
    </w:p>
    <w:p>
      <w:pPr>
        <w:pStyle w:val="Heading3"/>
        <w:keepNext w:val="true"/>
        <w:keepLines/>
        <w:bidi w:val="0"/>
        <w:spacing w:before="220" w:after="100"/>
        <w:rPr/>
      </w:pPr>
      <w:bookmarkStart w:id="261" w:name="__RefHeading___Toc3969_4199434714"/>
      <w:bookmarkEnd w:id="261"/>
      <w:r>
        <w:rPr/>
        <w:t>64.1 The Exclusions</w:t>
      </w:r>
    </w:p>
    <w:p>
      <w:pPr>
        <w:pStyle w:val="Normal"/>
        <w:bidi w:val="0"/>
        <w:spacing w:lineRule="auto" w:line="288" w:before="0" w:after="80"/>
        <w:jc w:val="both"/>
        <w:rPr/>
      </w:pPr>
      <w:r>
        <w:rPr/>
        <w:t>64.1.1 This Charter does not govern: nuclear matters; sanctions relations among non-parties except as Article 28's firewall touches Fund channels; territorial or maritime boundary delimitation; bilateral defense arrangements; or the internal affairs of any Party.</w:t>
      </w:r>
    </w:p>
    <w:p>
      <w:pPr>
        <w:pStyle w:val="Heading3"/>
        <w:keepNext w:val="true"/>
        <w:keepLines/>
        <w:bidi w:val="0"/>
        <w:spacing w:before="220" w:after="100"/>
        <w:rPr/>
      </w:pPr>
      <w:bookmarkStart w:id="262" w:name="__RefHeading___Toc3971_4199434714"/>
      <w:bookmarkEnd w:id="262"/>
      <w:r>
        <w:rPr/>
        <w:t>64.2 The Perimeter Test</w:t>
      </w:r>
    </w:p>
    <w:p>
      <w:pPr>
        <w:pStyle w:val="Normal"/>
        <w:bidi w:val="0"/>
        <w:spacing w:lineRule="auto" w:line="288" w:before="0" w:after="80"/>
        <w:jc w:val="both"/>
        <w:rPr/>
      </w:pPr>
      <w:r>
        <w:rPr/>
        <w:t>64.2.1 Where a question straddles the Charter's perimeter, the perimeter test applies: the Charter governs the question to the extent, and only to the extent, that it affects the safety, freedom, or administration of transit through the Governance Area. The Council applies the test in the first instance; the Tribunal resolves disputes about its application.</w:t>
      </w:r>
    </w:p>
    <w:p>
      <w:pPr>
        <w:pStyle w:val="Heading2"/>
        <w:keepNext w:val="true"/>
        <w:keepLines/>
        <w:bidi w:val="0"/>
        <w:spacing w:before="280" w:after="120"/>
        <w:rPr/>
      </w:pPr>
      <w:bookmarkStart w:id="263" w:name="__RefHeading___Toc3973_4199434714"/>
      <w:bookmarkEnd w:id="263"/>
      <w:r>
        <w:rPr/>
        <w:t>Article 65: Accession</w:t>
      </w:r>
    </w:p>
    <w:p>
      <w:pPr>
        <w:pStyle w:val="Heading3"/>
        <w:keepNext w:val="true"/>
        <w:keepLines/>
        <w:bidi w:val="0"/>
        <w:spacing w:before="220" w:after="100"/>
        <w:rPr/>
      </w:pPr>
      <w:bookmarkStart w:id="264" w:name="__RefHeading___Toc3975_4199434714"/>
      <w:bookmarkEnd w:id="264"/>
      <w:r>
        <w:rPr/>
        <w:t>65.1 Accession of States</w:t>
      </w:r>
    </w:p>
    <w:p>
      <w:pPr>
        <w:pStyle w:val="Normal"/>
        <w:bidi w:val="0"/>
        <w:spacing w:lineRule="auto" w:line="288" w:before="0" w:after="80"/>
        <w:jc w:val="both"/>
        <w:rPr/>
      </w:pPr>
      <w:r>
        <w:rPr/>
        <w:t>65.1.1 Any state with a demonstrated interest in the Governance Area accedes to this Charter by depositing an instrument of accession with the Depositary. GCC member states and Iraq accede as regional members; other states accede in the tier that the accession protocol of Annex E assigns.</w:t>
      </w:r>
    </w:p>
    <w:p>
      <w:pPr>
        <w:pStyle w:val="Normal"/>
        <w:bidi w:val="0"/>
        <w:spacing w:lineRule="auto" w:line="288" w:before="0" w:after="80"/>
        <w:jc w:val="both"/>
        <w:rPr/>
      </w:pPr>
      <w:r>
        <w:rPr/>
        <w:t>65.1.2 For the regional states named in this Charter, accession operates on the fast track: execution by the Minister of Foreign Affairs, with full rights effective upon deposit and no waiting period.</w:t>
      </w:r>
    </w:p>
    <w:p>
      <w:pPr>
        <w:pStyle w:val="Heading3"/>
        <w:keepNext w:val="true"/>
        <w:keepLines/>
        <w:bidi w:val="0"/>
        <w:spacing w:before="220" w:after="100"/>
        <w:rPr/>
      </w:pPr>
      <w:bookmarkStart w:id="265" w:name="__RefHeading___Toc3977_4199434714"/>
      <w:bookmarkEnd w:id="265"/>
      <w:r>
        <w:rPr/>
        <w:t>65.2 Accession Duties</w:t>
      </w:r>
    </w:p>
    <w:p>
      <w:pPr>
        <w:pStyle w:val="Normal"/>
        <w:bidi w:val="0"/>
        <w:spacing w:lineRule="auto" w:line="288" w:before="0" w:after="80"/>
        <w:jc w:val="both"/>
        <w:rPr/>
      </w:pPr>
      <w:r>
        <w:rPr/>
        <w:t>65.2.1 An acceding state accepts the Charter as it stands, including the Red Lines Register, the Zero-Toll Covenant, and the compliance engine, and joins the Contribution formula of Annex E. Accession admits no reservations except as Annex E expressly permits.</w:t>
      </w:r>
    </w:p>
    <w:p>
      <w:pPr>
        <w:pStyle w:val="Heading2"/>
        <w:keepNext w:val="true"/>
        <w:keepLines/>
        <w:bidi w:val="0"/>
        <w:spacing w:before="280" w:after="120"/>
        <w:rPr/>
      </w:pPr>
      <w:bookmarkStart w:id="266" w:name="__RefHeading___Toc3979_4199434714"/>
      <w:bookmarkEnd w:id="266"/>
      <w:r>
        <w:rPr/>
        <w:t>Article 66: Amendment</w:t>
      </w:r>
    </w:p>
    <w:p>
      <w:pPr>
        <w:pStyle w:val="Heading3"/>
        <w:keepNext w:val="true"/>
        <w:keepLines/>
        <w:bidi w:val="0"/>
        <w:spacing w:before="220" w:after="100"/>
        <w:rPr/>
      </w:pPr>
      <w:bookmarkStart w:id="267" w:name="__RefHeading___Toc3981_4199434714"/>
      <w:bookmarkEnd w:id="267"/>
      <w:r>
        <w:rPr/>
        <w:t>66.1 The Amendment Rule</w:t>
      </w:r>
    </w:p>
    <w:p>
      <w:pPr>
        <w:pStyle w:val="Normal"/>
        <w:bidi w:val="0"/>
        <w:spacing w:lineRule="auto" w:line="288" w:before="0" w:after="80"/>
        <w:jc w:val="both"/>
        <w:rPr/>
      </w:pPr>
      <w:r>
        <w:rPr/>
        <w:t>66.1.1 This Charter amends by decision of the Council with the concurrence of every founding party and a two-thirds majority of regional members, followed by deposit of instruments of acceptance. An amendment enters into force for accepting Parties 30 days after the last required instrument deposits.</w:t>
      </w:r>
    </w:p>
    <w:p>
      <w:pPr>
        <w:pStyle w:val="Normal"/>
        <w:bidi w:val="0"/>
        <w:spacing w:lineRule="auto" w:line="288" w:before="0" w:after="80"/>
        <w:jc w:val="both"/>
        <w:rPr/>
      </w:pPr>
      <w:r>
        <w:rPr/>
        <w:t>66.1.2 The Verified Services Catalog, the Rate Card, and the operational annexes amend through the technical amendment procedure of Annex E, with the Stakeholder Panel's consultation right, and without the full treaty procedure, except that any amendment touching the Zero-Toll Covenant, the Red Lines Register, the Twin Key, or this Article follows the full procedure without exception.</w:t>
      </w:r>
    </w:p>
    <w:p>
      <w:pPr>
        <w:pStyle w:val="Heading2"/>
        <w:keepNext w:val="true"/>
        <w:keepLines/>
        <w:bidi w:val="0"/>
        <w:spacing w:before="280" w:after="120"/>
        <w:rPr/>
      </w:pPr>
      <w:bookmarkStart w:id="268" w:name="__RefHeading___Toc3983_4199434714"/>
      <w:bookmarkEnd w:id="268"/>
      <w:r>
        <w:rPr/>
        <w:t>Article 67: Entry into Force</w:t>
      </w:r>
    </w:p>
    <w:p>
      <w:pPr>
        <w:pStyle w:val="Heading3"/>
        <w:keepNext w:val="true"/>
        <w:keepLines/>
        <w:bidi w:val="0"/>
        <w:spacing w:before="220" w:after="100"/>
        <w:rPr/>
      </w:pPr>
      <w:bookmarkStart w:id="269" w:name="__RefHeading___Toc3985_4199434714"/>
      <w:bookmarkEnd w:id="269"/>
      <w:r>
        <w:rPr/>
        <w:t>67.1 Entry into Force</w:t>
      </w:r>
    </w:p>
    <w:p>
      <w:pPr>
        <w:pStyle w:val="Normal"/>
        <w:bidi w:val="0"/>
        <w:spacing w:lineRule="auto" w:line="288" w:before="0" w:after="80"/>
        <w:jc w:val="both"/>
        <w:rPr/>
      </w:pPr>
      <w:r>
        <w:rPr/>
        <w:t>67.1.1 This Charter enters into force upon signature by both founding parties and the deposit of instruments of ratification or acceptance by them, together with at least three regional members.</w:t>
      </w:r>
    </w:p>
    <w:p>
      <w:pPr>
        <w:pStyle w:val="Normal"/>
        <w:bidi w:val="0"/>
        <w:spacing w:lineRule="auto" w:line="288" w:before="0" w:after="80"/>
        <w:jc w:val="both"/>
        <w:rPr/>
      </w:pPr>
      <w:r>
        <w:rPr/>
        <w:t>67.1.2 Pending entry into force, the signatory Parties apply the Charter provisionally to the fullest extent their constitutions and laws permit, because the water does not wait for paperwork.</w:t>
      </w:r>
    </w:p>
    <w:p>
      <w:pPr>
        <w:pStyle w:val="Heading3"/>
        <w:keepNext w:val="true"/>
        <w:keepLines/>
        <w:bidi w:val="0"/>
        <w:spacing w:before="220" w:after="100"/>
        <w:rPr/>
      </w:pPr>
      <w:bookmarkStart w:id="270" w:name="__RefHeading___Toc3987_4199434714"/>
      <w:bookmarkEnd w:id="270"/>
      <w:r>
        <w:rPr/>
        <w:t>67.2 Parliamentary Notification</w:t>
      </w:r>
    </w:p>
    <w:p>
      <w:pPr>
        <w:pStyle w:val="Normal"/>
        <w:bidi w:val="0"/>
        <w:spacing w:lineRule="auto" w:line="288" w:before="0" w:after="80"/>
        <w:jc w:val="both"/>
        <w:rPr/>
      </w:pPr>
      <w:r>
        <w:rPr/>
        <w:t>67.2.1 Each Party submits this Charter to its relevant parliamentary or legislative body for notification within 90 days of signature. Notification informs; it does not condition the Charter's operation, and a failure to file the notification record does not suspend the Charter's operation.</w:t>
      </w:r>
    </w:p>
    <w:p>
      <w:pPr>
        <w:pStyle w:val="Heading2"/>
        <w:keepNext w:val="true"/>
        <w:keepLines/>
        <w:bidi w:val="0"/>
        <w:spacing w:before="280" w:after="120"/>
        <w:rPr/>
      </w:pPr>
      <w:bookmarkStart w:id="271" w:name="__RefHeading___Toc3989_4199434714"/>
      <w:bookmarkEnd w:id="271"/>
      <w:r>
        <w:rPr/>
        <w:t>Article 68: Depositary, Languages, and Final Provisions</w:t>
      </w:r>
    </w:p>
    <w:p>
      <w:pPr>
        <w:pStyle w:val="Heading3"/>
        <w:keepNext w:val="true"/>
        <w:keepLines/>
        <w:bidi w:val="0"/>
        <w:spacing w:before="220" w:after="100"/>
        <w:rPr/>
      </w:pPr>
      <w:bookmarkStart w:id="272" w:name="__RefHeading___Toc3991_4199434714"/>
      <w:bookmarkEnd w:id="272"/>
      <w:r>
        <w:rPr/>
        <w:t>68.1 The Depositary</w:t>
      </w:r>
    </w:p>
    <w:p>
      <w:pPr>
        <w:pStyle w:val="Normal"/>
        <w:bidi w:val="0"/>
        <w:spacing w:lineRule="auto" w:line="288" w:before="0" w:after="80"/>
        <w:jc w:val="both"/>
        <w:rPr/>
      </w:pPr>
      <w:r>
        <w:rPr/>
        <w:t>68.1.1 The Sultanate of Oman serves as Depositary of this Charter: receiving instruments, maintaining the authentic texts, registering amendments and accessions, and performing the notification functions of this Charter. The Depositary's functions are ministerial and carry no substantive authority.</w:t>
      </w:r>
    </w:p>
    <w:p>
      <w:pPr>
        <w:pStyle w:val="Heading3"/>
        <w:keepNext w:val="true"/>
        <w:keepLines/>
        <w:bidi w:val="0"/>
        <w:spacing w:before="220" w:after="100"/>
        <w:rPr/>
      </w:pPr>
      <w:bookmarkStart w:id="273" w:name="__RefHeading___Toc3993_4199434714"/>
      <w:bookmarkEnd w:id="273"/>
      <w:r>
        <w:rPr/>
        <w:t>68.2 Languages</w:t>
      </w:r>
    </w:p>
    <w:p>
      <w:pPr>
        <w:pStyle w:val="Normal"/>
        <w:bidi w:val="0"/>
        <w:spacing w:lineRule="auto" w:line="288" w:before="0" w:after="80"/>
        <w:jc w:val="both"/>
        <w:rPr/>
      </w:pPr>
      <w:r>
        <w:rPr/>
        <w:t>68.2.1 This Charter executes in English, Arabic, and Persian, each text equally authoritative. Divergence among texts resolves through the interpretation notes of Annex F; persistent divergence resolves in favor of the reading that best preserves the corridor system, the Zero-Toll Covenant, and the Red Lines Register; where the Register does not resolve the divergence, the English text prevails for the technical annexes, and the Tribunal determines the prevailing reading for the substantive articles.</w:t>
      </w:r>
    </w:p>
    <w:p>
      <w:pPr>
        <w:pStyle w:val="Heading3"/>
        <w:keepNext w:val="true"/>
        <w:keepLines/>
        <w:bidi w:val="0"/>
        <w:spacing w:before="220" w:after="100"/>
        <w:rPr/>
      </w:pPr>
      <w:bookmarkStart w:id="274" w:name="__RefHeading___Toc3995_4199434714"/>
      <w:bookmarkEnd w:id="274"/>
      <w:r>
        <w:rPr/>
        <w:t>68.3 The Standing Reservation</w:t>
      </w:r>
    </w:p>
    <w:p>
      <w:pPr>
        <w:pStyle w:val="Normal"/>
        <w:bidi w:val="0"/>
        <w:spacing w:lineRule="auto" w:line="288" w:before="0" w:after="80"/>
        <w:jc w:val="both"/>
        <w:rPr/>
      </w:pPr>
      <w:r>
        <w:rPr/>
        <w:t>68.3.1 Every instrument, certificate, decision, and publication under this Charter carries the standing reservation of Article 4.2 by operation of law, whether or not it prints the words.</w:t>
      </w:r>
    </w:p>
    <w:p>
      <w:pPr>
        <w:pStyle w:val="Heading3"/>
        <w:keepNext w:val="true"/>
        <w:keepLines/>
        <w:bidi w:val="0"/>
        <w:spacing w:before="220" w:after="100"/>
        <w:rPr/>
      </w:pPr>
      <w:bookmarkStart w:id="275" w:name="__RefHeading___Toc3997_4199434714"/>
      <w:bookmarkEnd w:id="275"/>
      <w:r>
        <w:rPr/>
        <w:t>68.4 In Witness Whereof</w:t>
      </w:r>
    </w:p>
    <w:p>
      <w:pPr>
        <w:pStyle w:val="Normal"/>
        <w:bidi w:val="0"/>
        <w:spacing w:lineRule="auto" w:line="288" w:before="0" w:after="80"/>
        <w:jc w:val="both"/>
        <w:rPr/>
      </w:pPr>
      <w:r>
        <w:rPr/>
        <w:t>68.4.1 In witness whereof, the undersigned, duly authorized by their respective governments, sign this Charter at Muscat.</w:t>
      </w:r>
    </w:p>
    <w:p>
      <w:pPr>
        <w:pStyle w:val="Heading1"/>
        <w:keepNext w:val="true"/>
        <w:keepLines/>
        <w:pBdr>
          <w:bottom w:val="single" w:sz="12" w:space="6" w:color="B8860B"/>
        </w:pBdr>
        <w:bidi w:val="0"/>
        <w:spacing w:before="0" w:after="360"/>
        <w:rPr/>
      </w:pPr>
      <w:bookmarkStart w:id="276" w:name="__RefHeading___Toc3999_4199434714"/>
      <w:bookmarkEnd w:id="276"/>
      <w:r>
        <w:rPr/>
        <w:t>PART XI: OPERATIONAL PROTOCOLS</w:t>
      </w:r>
    </w:p>
    <w:p>
      <w:pPr>
        <w:pStyle w:val="Heading2"/>
        <w:keepNext w:val="true"/>
        <w:keepLines/>
        <w:bidi w:val="0"/>
        <w:spacing w:before="280" w:after="120"/>
        <w:rPr/>
      </w:pPr>
      <w:bookmarkStart w:id="277" w:name="__RefHeading___Toc4001_4199434714"/>
      <w:bookmarkEnd w:id="277"/>
      <w:r>
        <w:rPr/>
        <w:t>Article 69: Communications and Reporting Procedures</w:t>
      </w:r>
    </w:p>
    <w:p>
      <w:pPr>
        <w:pStyle w:val="Heading3"/>
        <w:keepNext w:val="true"/>
        <w:keepLines/>
        <w:bidi w:val="0"/>
        <w:spacing w:before="220" w:after="100"/>
        <w:rPr/>
      </w:pPr>
      <w:bookmarkStart w:id="278" w:name="__RefHeading___Toc4003_4199434714"/>
      <w:bookmarkEnd w:id="278"/>
      <w:r>
        <w:rPr/>
        <w:t>69.1 The Common Channel</w:t>
      </w:r>
    </w:p>
    <w:p>
      <w:pPr>
        <w:pStyle w:val="Normal"/>
        <w:bidi w:val="0"/>
        <w:spacing w:lineRule="auto" w:line="288" w:before="0" w:after="80"/>
        <w:jc w:val="both"/>
        <w:rPr/>
      </w:pPr>
      <w:r>
        <w:rPr/>
        <w:t>69.1.1 The corridor system operates the Common Channel: a single, published VHF and digital channel architecture through which all corridor communications flow. The Common Channel replaces the fragmented and contested hailing practices of the crisis period with one recognized, monitored, recorded medium.</w:t>
      </w:r>
    </w:p>
    <w:p>
      <w:pPr>
        <w:pStyle w:val="Normal"/>
        <w:bidi w:val="0"/>
        <w:spacing w:lineRule="auto" w:line="288" w:before="0" w:after="80"/>
        <w:jc w:val="both"/>
        <w:rPr/>
      </w:pPr>
      <w:r>
        <w:rPr/>
        <w:t>69.1.2 Every transiting vessel maintains watch on the Common Channel from gate to gate. Every corridor instruction issues on the Common Channel in the standard phraseology of Annex C, identifies its issuing desk, and records in the operational log.</w:t>
      </w:r>
    </w:p>
    <w:p>
      <w:pPr>
        <w:pStyle w:val="Heading3"/>
        <w:keepNext w:val="true"/>
        <w:keepLines/>
        <w:bidi w:val="0"/>
        <w:spacing w:before="220" w:after="100"/>
        <w:rPr/>
      </w:pPr>
      <w:bookmarkStart w:id="279" w:name="__RefHeading___Toc4005_4199434714"/>
      <w:bookmarkEnd w:id="279"/>
      <w:r>
        <w:rPr/>
        <w:t>69.2 Reporting Points</w:t>
      </w:r>
    </w:p>
    <w:p>
      <w:pPr>
        <w:pStyle w:val="Normal"/>
        <w:bidi w:val="0"/>
        <w:spacing w:lineRule="auto" w:line="288" w:before="0" w:after="80"/>
        <w:jc w:val="both"/>
        <w:rPr/>
      </w:pPr>
      <w:r>
        <w:rPr/>
        <w:t>69.2.1 Vessels report at the reporting points of Annex A: gate entry, mid-lane points, and gate exit. A report consists of identity, position, speed, and status. The desk acknowledges each report. A vessel's failure to report triggers welfare follow-up by the desk, never enforcement.</w:t>
      </w:r>
    </w:p>
    <w:p>
      <w:pPr>
        <w:pStyle w:val="Heading3"/>
        <w:keepNext w:val="true"/>
        <w:keepLines/>
        <w:bidi w:val="0"/>
        <w:spacing w:before="220" w:after="100"/>
        <w:rPr/>
      </w:pPr>
      <w:bookmarkStart w:id="280" w:name="__RefHeading___Toc4007_4199434714"/>
      <w:bookmarkEnd w:id="280"/>
      <w:r>
        <w:rPr/>
        <w:t>69.3 The Anti-Coercion Rule for Communications</w:t>
      </w:r>
    </w:p>
    <w:p>
      <w:pPr>
        <w:pStyle w:val="Normal"/>
        <w:bidi w:val="0"/>
        <w:spacing w:lineRule="auto" w:line="288" w:before="0" w:after="80"/>
        <w:jc w:val="both"/>
        <w:rPr/>
      </w:pPr>
      <w:r>
        <w:rPr/>
        <w:t>69.3.1 No instruction affecting a vessel's passage issues from any source other than the corridor desks, and no corridor desk instruction exceeds the competence of traffic management and safety. A vessel receiving over-the-horizon or unidentifiable instructions continues safely on track, logs the contact, and reports it to the desk. The desk publishes every such report in the Bulletin.</w:t>
      </w:r>
    </w:p>
    <w:p>
      <w:pPr>
        <w:pStyle w:val="Normal"/>
        <w:bidi w:val="0"/>
        <w:spacing w:lineRule="auto" w:line="288" w:before="0" w:after="80"/>
        <w:jc w:val="both"/>
        <w:rPr/>
      </w:pPr>
      <w:r>
        <w:rPr/>
        <w:t>69.3.2 The rule protects mariners from the coercive hailing that characterized the crisis period, and it protects the Parties from the miscalculation that ambiguous hailing invites.</w:t>
      </w:r>
    </w:p>
    <w:p>
      <w:pPr>
        <w:pStyle w:val="Heading3"/>
        <w:keepNext w:val="true"/>
        <w:keepLines/>
        <w:bidi w:val="0"/>
        <w:spacing w:before="220" w:after="100"/>
        <w:rPr/>
      </w:pPr>
      <w:bookmarkStart w:id="281" w:name="__RefHeading___Toc4009_4199434714"/>
      <w:bookmarkEnd w:id="281"/>
      <w:r>
        <w:rPr/>
        <w:t>69.4 Language</w:t>
      </w:r>
    </w:p>
    <w:p>
      <w:pPr>
        <w:pStyle w:val="Normal"/>
        <w:bidi w:val="0"/>
        <w:spacing w:lineRule="auto" w:line="288" w:before="0" w:after="80"/>
        <w:jc w:val="both"/>
        <w:rPr/>
      </w:pPr>
      <w:r>
        <w:rPr/>
        <w:t>69.4.1 Operational communications use the Standard Marine Communication Phrases. Interpretation support in Arabic and Persian stands available on the Common Channel at all times.</w:t>
      </w:r>
    </w:p>
    <w:p>
      <w:pPr>
        <w:pStyle w:val="Heading2"/>
        <w:keepNext w:val="true"/>
        <w:keepLines/>
        <w:bidi w:val="0"/>
        <w:spacing w:before="280" w:after="120"/>
        <w:rPr/>
      </w:pPr>
      <w:bookmarkStart w:id="282" w:name="__RefHeading___Toc4011_4199434714"/>
      <w:bookmarkEnd w:id="282"/>
      <w:r>
        <w:rPr/>
        <w:t>Article 70: Small Craft and Coastal Traffic</w:t>
      </w:r>
    </w:p>
    <w:p>
      <w:pPr>
        <w:pStyle w:val="Heading3"/>
        <w:keepNext w:val="true"/>
        <w:keepLines/>
        <w:bidi w:val="0"/>
        <w:spacing w:before="220" w:after="100"/>
        <w:rPr/>
      </w:pPr>
      <w:bookmarkStart w:id="283" w:name="__RefHeading___Toc4013_4199434714"/>
      <w:bookmarkEnd w:id="283"/>
      <w:r>
        <w:rPr/>
        <w:t>70.1 The Coastal Regime</w:t>
      </w:r>
    </w:p>
    <w:p>
      <w:pPr>
        <w:pStyle w:val="Normal"/>
        <w:bidi w:val="0"/>
        <w:spacing w:lineRule="auto" w:line="288" w:before="0" w:after="80"/>
        <w:jc w:val="both"/>
        <w:rPr/>
      </w:pPr>
      <w:r>
        <w:rPr/>
        <w:t>70.1.1 The corridor system accommodates the small craft of the coastal communities: fishing vessels, dhows, coastal traders, and service craft. Small craft operate under the coastal routing measures of Annex A, which keep small craft clear of the deep-draft lanes while preserving traditional routes and livelihoods.</w:t>
      </w:r>
    </w:p>
    <w:p>
      <w:pPr>
        <w:pStyle w:val="Normal"/>
        <w:bidi w:val="0"/>
        <w:spacing w:lineRule="auto" w:line="288" w:before="0" w:after="80"/>
        <w:jc w:val="both"/>
        <w:rPr/>
      </w:pPr>
      <w:r>
        <w:rPr/>
        <w:t>70.1.2 The Parties maintain small-craft safety programs through the Fund: identification transponders for traditional vessels on a funded, voluntary basis, safety training delivered in coastal communities, and a dedicated small-craft desk function at the Coordination Center.</w:t>
      </w:r>
    </w:p>
    <w:p>
      <w:pPr>
        <w:pStyle w:val="Heading3"/>
        <w:keepNext w:val="true"/>
        <w:keepLines/>
        <w:bidi w:val="0"/>
        <w:spacing w:before="220" w:after="100"/>
        <w:rPr/>
      </w:pPr>
      <w:bookmarkStart w:id="284" w:name="__RefHeading___Toc4015_4199434714"/>
      <w:bookmarkEnd w:id="284"/>
      <w:r>
        <w:rPr/>
        <w:t>70.2 Fishing Protection</w:t>
      </w:r>
    </w:p>
    <w:p>
      <w:pPr>
        <w:pStyle w:val="Normal"/>
        <w:bidi w:val="0"/>
        <w:spacing w:lineRule="auto" w:line="288" w:before="0" w:after="80"/>
        <w:jc w:val="both"/>
        <w:rPr/>
      </w:pPr>
      <w:r>
        <w:rPr/>
        <w:t>70.2.1 Fishing activity continues in the designated fishing areas of Annex A, including during elevated flow states. Military operations and exercises respect the fishing areas, and any incident involving a fishing vessel grades one level higher on the Incident Ladder than its facts alone indicate, in recognition of the vulnerability of these crews.</w:t>
      </w:r>
    </w:p>
    <w:p>
      <w:pPr>
        <w:pStyle w:val="Heading2"/>
        <w:keepNext w:val="true"/>
        <w:keepLines/>
        <w:bidi w:val="0"/>
        <w:spacing w:before="280" w:after="120"/>
        <w:rPr/>
      </w:pPr>
      <w:bookmarkStart w:id="285" w:name="__RefHeading___Toc4017_4199434714"/>
      <w:bookmarkEnd w:id="285"/>
      <w:r>
        <w:rPr/>
        <w:t>Article 71: Emergency Diversion and Casualty Procedures</w:t>
      </w:r>
    </w:p>
    <w:p>
      <w:pPr>
        <w:pStyle w:val="Heading3"/>
        <w:keepNext w:val="true"/>
        <w:keepLines/>
        <w:bidi w:val="0"/>
        <w:spacing w:before="220" w:after="100"/>
        <w:rPr/>
      </w:pPr>
      <w:bookmarkStart w:id="286" w:name="__RefHeading___Toc4019_4199434714"/>
      <w:bookmarkEnd w:id="286"/>
      <w:r>
        <w:rPr/>
        <w:t>71.1 The Diversion Geometry</w:t>
      </w:r>
    </w:p>
    <w:p>
      <w:pPr>
        <w:pStyle w:val="Normal"/>
        <w:bidi w:val="0"/>
        <w:spacing w:lineRule="auto" w:line="288" w:before="0" w:after="80"/>
        <w:jc w:val="both"/>
        <w:rPr/>
      </w:pPr>
      <w:r>
        <w:rPr/>
        <w:t>71.1.1 A vessel in difficulty diverts into the Central Buffer holding positions or the designated anchorages under the desk's direction. Diversion serves the vessel and the system: it clears the lane, protects traffic, and positions the casualty for response.</w:t>
      </w:r>
    </w:p>
    <w:p>
      <w:pPr>
        <w:pStyle w:val="Normal"/>
        <w:bidi w:val="0"/>
        <w:spacing w:lineRule="auto" w:line="288" w:before="0" w:after="80"/>
        <w:jc w:val="both"/>
        <w:rPr/>
      </w:pPr>
      <w:r>
        <w:rPr/>
        <w:t>71.1.2 The desk's diversion direction binds for safety purposes, and every diversion publishes in the Bulletin with cause and outcome.</w:t>
      </w:r>
    </w:p>
    <w:p>
      <w:pPr>
        <w:pStyle w:val="Heading3"/>
        <w:keepNext w:val="true"/>
        <w:keepLines/>
        <w:bidi w:val="0"/>
        <w:spacing w:before="220" w:after="100"/>
        <w:rPr/>
      </w:pPr>
      <w:bookmarkStart w:id="287" w:name="__RefHeading___Toc4021_4199434714"/>
      <w:bookmarkEnd w:id="287"/>
      <w:r>
        <w:rPr/>
        <w:t>71.2 Casualty Response</w:t>
      </w:r>
    </w:p>
    <w:p>
      <w:pPr>
        <w:pStyle w:val="Normal"/>
        <w:bidi w:val="0"/>
        <w:spacing w:lineRule="auto" w:line="288" w:before="0" w:after="80"/>
        <w:jc w:val="both"/>
        <w:rPr/>
      </w:pPr>
      <w:r>
        <w:rPr/>
        <w:t>71.2.1 Casualty response integrates the search-and-rescue framework, the spill roster, and the salvage interface of Article 72 under a single tasking authority: the Coordination Center. The nearest capable asset responds first, regardless of flag; sorting of costs follows after the rescue, per the Catalog rules.</w:t>
      </w:r>
    </w:p>
    <w:p>
      <w:pPr>
        <w:pStyle w:val="Normal"/>
        <w:bidi w:val="0"/>
        <w:spacing w:lineRule="auto" w:line="288" w:before="0" w:after="80"/>
        <w:jc w:val="both"/>
        <w:rPr/>
      </w:pPr>
      <w:r>
        <w:rPr/>
        <w:t>71.2.2 The Parties pre-authorize cross-border response: response assets enter each other's waters within the Governance Area on the desk's tasking, without further clearance, because casualties do not respect boundaries and neither does rescue.</w:t>
      </w:r>
    </w:p>
    <w:p>
      <w:pPr>
        <w:pStyle w:val="Heading3"/>
        <w:keepNext w:val="true"/>
        <w:keepLines/>
        <w:bidi w:val="0"/>
        <w:spacing w:before="220" w:after="100"/>
        <w:rPr/>
      </w:pPr>
      <w:bookmarkStart w:id="288" w:name="__RefHeading___Toc4023_4199434714"/>
      <w:bookmarkEnd w:id="288"/>
      <w:r>
        <w:rPr/>
        <w:t>71.3 Places of Refuge</w:t>
      </w:r>
    </w:p>
    <w:p>
      <w:pPr>
        <w:pStyle w:val="Normal"/>
        <w:bidi w:val="0"/>
        <w:spacing w:lineRule="auto" w:line="288" w:before="0" w:after="80"/>
        <w:jc w:val="both"/>
        <w:rPr/>
      </w:pPr>
      <w:r>
        <w:rPr/>
        <w:t>71.3.1 Annex A tables designated places of refuge for damaged vessels, with their access procedures and environmental safeguards. A damaged vessel receives refuge on safety and environmental assessment, promptly, and a refuge decision never waits on politics, insurance, or payment.</w:t>
      </w:r>
    </w:p>
    <w:p>
      <w:pPr>
        <w:pStyle w:val="Heading2"/>
        <w:keepNext w:val="true"/>
        <w:keepLines/>
        <w:bidi w:val="0"/>
        <w:spacing w:before="280" w:after="120"/>
        <w:rPr/>
      </w:pPr>
      <w:bookmarkStart w:id="289" w:name="__RefHeading___Toc4025_4199434714"/>
      <w:bookmarkEnd w:id="289"/>
      <w:r>
        <w:rPr/>
        <w:t>Article 72: Salvage, Wreck Removal, and Navigation Restoration</w:t>
      </w:r>
    </w:p>
    <w:p>
      <w:pPr>
        <w:pStyle w:val="Heading3"/>
        <w:keepNext w:val="true"/>
        <w:keepLines/>
        <w:bidi w:val="0"/>
        <w:spacing w:before="220" w:after="100"/>
        <w:rPr/>
      </w:pPr>
      <w:bookmarkStart w:id="290" w:name="__RefHeading___Toc4027_4199434714"/>
      <w:bookmarkEnd w:id="290"/>
      <w:r>
        <w:rPr/>
        <w:t>72.1 The Salvage Interface</w:t>
      </w:r>
    </w:p>
    <w:p>
      <w:pPr>
        <w:pStyle w:val="Normal"/>
        <w:bidi w:val="0"/>
        <w:spacing w:lineRule="auto" w:line="288" w:before="0" w:after="80"/>
        <w:jc w:val="both"/>
        <w:rPr/>
      </w:pPr>
      <w:r>
        <w:rPr/>
        <w:t>72.1.1 Salvage operates under commercial and international law, with the corridor system's role confined to safety coordination, lane protection, and environmental oversight. The desk facilitates salvor access to casualties, including across the corridor geometry, on the pre-authorized response basis of Article 71.</w:t>
      </w:r>
    </w:p>
    <w:p>
      <w:pPr>
        <w:pStyle w:val="Heading3"/>
        <w:keepNext w:val="true"/>
        <w:keepLines/>
        <w:bidi w:val="0"/>
        <w:spacing w:before="220" w:after="100"/>
        <w:rPr/>
      </w:pPr>
      <w:bookmarkStart w:id="291" w:name="__RefHeading___Toc4029_4199434714"/>
      <w:bookmarkEnd w:id="291"/>
      <w:r>
        <w:rPr/>
        <w:t>72.2 Wreck Removal</w:t>
      </w:r>
    </w:p>
    <w:p>
      <w:pPr>
        <w:pStyle w:val="Normal"/>
        <w:bidi w:val="0"/>
        <w:spacing w:lineRule="auto" w:line="288" w:before="0" w:after="80"/>
        <w:jc w:val="both"/>
        <w:rPr/>
      </w:pPr>
      <w:r>
        <w:rPr/>
        <w:t>72.2.1 A wreck or obstruction in a corridor lane triggers the restoration procedure: immediate marking and publication; desk-managed rerouting within the lane's reserve geometry or the Buffer; and removal tasking under the coastal state's direction with Fund support where the owner cannot act. The Bulletin tracks restoration to completion.</w:t>
      </w:r>
    </w:p>
    <w:p>
      <w:pPr>
        <w:pStyle w:val="Heading3"/>
        <w:keepNext w:val="true"/>
        <w:keepLines/>
        <w:bidi w:val="0"/>
        <w:spacing w:before="220" w:after="100"/>
        <w:rPr/>
      </w:pPr>
      <w:bookmarkStart w:id="292" w:name="__RefHeading___Toc4031_4199434714"/>
      <w:bookmarkEnd w:id="292"/>
      <w:r>
        <w:rPr/>
        <w:t>72.3 The Restoration Standard</w:t>
      </w:r>
    </w:p>
    <w:p>
      <w:pPr>
        <w:pStyle w:val="Normal"/>
        <w:bidi w:val="0"/>
        <w:spacing w:lineRule="auto" w:line="288" w:before="0" w:after="80"/>
        <w:jc w:val="both"/>
        <w:rPr/>
      </w:pPr>
      <w:r>
        <w:rPr/>
        <w:t>72.3.1 The system restores full corridor operation after any obstruction within the restoration timelines of Annex C, and the Stability Audit scores every restoration against those timelines.</w:t>
      </w:r>
    </w:p>
    <w:p>
      <w:pPr>
        <w:pStyle w:val="Heading2"/>
        <w:keepNext w:val="true"/>
        <w:keepLines/>
        <w:bidi w:val="0"/>
        <w:spacing w:before="280" w:after="120"/>
        <w:rPr/>
      </w:pPr>
      <w:bookmarkStart w:id="293" w:name="__RefHeading___Toc4033_4199434714"/>
      <w:bookmarkEnd w:id="293"/>
      <w:r>
        <w:rPr/>
        <w:t>Article 73: Electronic Interference and Navigation Integrity</w:t>
      </w:r>
    </w:p>
    <w:p>
      <w:pPr>
        <w:pStyle w:val="Heading3"/>
        <w:keepNext w:val="true"/>
        <w:keepLines/>
        <w:bidi w:val="0"/>
        <w:spacing w:before="220" w:after="100"/>
        <w:rPr/>
      </w:pPr>
      <w:bookmarkStart w:id="294" w:name="__RefHeading___Toc4035_4199434714"/>
      <w:bookmarkEnd w:id="294"/>
      <w:r>
        <w:rPr/>
        <w:t>73.1 The Standing Condition</w:t>
      </w:r>
    </w:p>
    <w:p>
      <w:pPr>
        <w:pStyle w:val="Normal"/>
        <w:bidi w:val="0"/>
        <w:spacing w:lineRule="auto" w:line="288" w:before="0" w:after="80"/>
        <w:jc w:val="both"/>
        <w:rPr/>
      </w:pPr>
      <w:r>
        <w:rPr/>
        <w:t>73.1.1 The corridor system treats electronic interference with satellite navigation as a standing operating condition of the region and organizes resilience accordingly: terrestrial augmentation at the positions of Annex A, radar and visual fix standards, the interference advisories of Annex C, and continuous interference monitoring by the Directorate.</w:t>
      </w:r>
    </w:p>
    <w:p>
      <w:pPr>
        <w:pStyle w:val="Heading3"/>
        <w:keepNext w:val="true"/>
        <w:keepLines/>
        <w:bidi w:val="0"/>
        <w:spacing w:before="220" w:after="100"/>
        <w:rPr/>
      </w:pPr>
      <w:bookmarkStart w:id="295" w:name="__RefHeading___Toc4037_4199434714"/>
      <w:bookmarkEnd w:id="295"/>
      <w:r>
        <w:rPr/>
        <w:t>73.2 The Attribution and Response Rule</w:t>
      </w:r>
    </w:p>
    <w:p>
      <w:pPr>
        <w:pStyle w:val="Normal"/>
        <w:bidi w:val="0"/>
        <w:spacing w:lineRule="auto" w:line="288" w:before="0" w:after="80"/>
        <w:jc w:val="both"/>
        <w:rPr/>
      </w:pPr>
      <w:r>
        <w:rPr/>
        <w:t>73.2.1 Interference events log with location, duration, and characterization. Where the Directorate attributes interference to a Party's action within the Governance Area, the event enters the Compliance Dashboard; deliberate interference targeting merchant navigation stands on the Red Lines Register.</w:t>
      </w:r>
    </w:p>
    <w:p>
      <w:pPr>
        <w:pStyle w:val="Normal"/>
        <w:bidi w:val="0"/>
        <w:spacing w:lineRule="auto" w:line="288" w:before="0" w:after="80"/>
        <w:jc w:val="both"/>
        <w:rPr/>
      </w:pPr>
      <w:r>
        <w:rPr/>
        <w:t>73.2.2 The Parties cooperate to identify and extinguish interference sources within the Governance Area, including sources attributable to non-state actors, and the Directorate's interference map publishes on the Transparency Portal.</w:t>
      </w:r>
    </w:p>
    <w:p>
      <w:pPr>
        <w:pStyle w:val="Heading1"/>
        <w:keepNext w:val="true"/>
        <w:keepLines/>
        <w:pBdr>
          <w:bottom w:val="single" w:sz="12" w:space="6" w:color="B8860B"/>
        </w:pBdr>
        <w:bidi w:val="0"/>
        <w:spacing w:before="0" w:after="360"/>
        <w:rPr/>
      </w:pPr>
      <w:bookmarkStart w:id="296" w:name="__RefHeading___Toc4039_4199434714"/>
      <w:bookmarkEnd w:id="296"/>
      <w:r>
        <w:rPr/>
        <w:t>PART XII: INSTITUTIONAL OPERATIONS</w:t>
      </w:r>
    </w:p>
    <w:p>
      <w:pPr>
        <w:pStyle w:val="Heading2"/>
        <w:keepNext w:val="true"/>
        <w:keepLines/>
        <w:bidi w:val="0"/>
        <w:spacing w:before="280" w:after="120"/>
        <w:rPr/>
      </w:pPr>
      <w:bookmarkStart w:id="297" w:name="__RefHeading___Toc4041_4199434714"/>
      <w:bookmarkEnd w:id="297"/>
      <w:r>
        <w:rPr/>
        <w:t>Article 74: Committees and Working Groups</w:t>
      </w:r>
    </w:p>
    <w:p>
      <w:pPr>
        <w:pStyle w:val="Heading3"/>
        <w:keepNext w:val="true"/>
        <w:keepLines/>
        <w:bidi w:val="0"/>
        <w:spacing w:before="220" w:after="100"/>
        <w:rPr/>
      </w:pPr>
      <w:bookmarkStart w:id="298" w:name="__RefHeading___Toc4043_4199434714"/>
      <w:bookmarkEnd w:id="298"/>
      <w:r>
        <w:rPr/>
        <w:t>74.1 The Standing Committees</w:t>
      </w:r>
    </w:p>
    <w:p>
      <w:pPr>
        <w:pStyle w:val="Normal"/>
        <w:bidi w:val="0"/>
        <w:spacing w:lineRule="auto" w:line="288" w:before="0" w:after="80"/>
        <w:jc w:val="both"/>
        <w:rPr/>
      </w:pPr>
      <w:r>
        <w:rPr/>
        <w:t>74.1.1 The Council maintains four standing committees, each chaired in rotation and each open to all members:</w:t>
      </w:r>
    </w:p>
    <w:p>
      <w:pPr>
        <w:pStyle w:val="Normal"/>
        <w:bidi w:val="0"/>
        <w:spacing w:lineRule="auto" w:line="288" w:before="0" w:after="80"/>
        <w:jc w:val="both"/>
        <w:rPr/>
      </w:pPr>
      <w:r>
        <w:rPr/>
        <w:t>(a) The Navigation and Safety Committee: corridor geometry, traffic management, standards, and the Catalog's technical content;</w:t>
      </w:r>
    </w:p>
    <w:p>
      <w:pPr>
        <w:pStyle w:val="Normal"/>
        <w:bidi w:val="0"/>
        <w:spacing w:lineRule="auto" w:line="288" w:before="0" w:after="80"/>
        <w:jc w:val="both"/>
        <w:rPr/>
      </w:pPr>
      <w:r>
        <w:rPr/>
        <w:t>(b) The Finance Committee: the budget, the Fund's oversight interface, the Rate Card's preparation, and audit liaison;</w:t>
      </w:r>
    </w:p>
    <w:p>
      <w:pPr>
        <w:pStyle w:val="Normal"/>
        <w:bidi w:val="0"/>
        <w:spacing w:lineRule="auto" w:line="288" w:before="0" w:after="80"/>
        <w:jc w:val="both"/>
        <w:rPr/>
      </w:pPr>
      <w:r>
        <w:rPr/>
        <w:t>(c) The Security and Deconfliction Committee: standoff geometry, patrol planning, hotline performance, and crisis protocol review;</w:t>
      </w:r>
    </w:p>
    <w:p>
      <w:pPr>
        <w:pStyle w:val="Normal"/>
        <w:bidi w:val="0"/>
        <w:spacing w:lineRule="auto" w:line="288" w:before="0" w:after="80"/>
        <w:jc w:val="both"/>
        <w:rPr/>
      </w:pPr>
      <w:r>
        <w:rPr/>
        <w:t>(d) The Environment and Humanitarian Committee: the monitoring program, the spill roster, seafarer welfare, and the humanitarian bridge.</w:t>
      </w:r>
    </w:p>
    <w:p>
      <w:pPr>
        <w:pStyle w:val="Normal"/>
        <w:bidi w:val="0"/>
        <w:spacing w:lineRule="auto" w:line="288" w:before="0" w:after="80"/>
        <w:jc w:val="both"/>
        <w:rPr/>
      </w:pPr>
      <w:r>
        <w:rPr/>
        <w:t>74.1.2 Committees meet monthly or on call, report to every ordinary Council session, and publish their minutes in the open class after a 30-day embargo for operational sensitivity review.</w:t>
      </w:r>
    </w:p>
    <w:p>
      <w:pPr>
        <w:pStyle w:val="Heading3"/>
        <w:keepNext w:val="true"/>
        <w:keepLines/>
        <w:bidi w:val="0"/>
        <w:spacing w:before="220" w:after="100"/>
        <w:rPr/>
      </w:pPr>
      <w:bookmarkStart w:id="299" w:name="__RefHeading___Toc4045_4199434714"/>
      <w:bookmarkEnd w:id="299"/>
      <w:r>
        <w:rPr/>
        <w:t>74.2 Working Groups</w:t>
      </w:r>
    </w:p>
    <w:p>
      <w:pPr>
        <w:pStyle w:val="Normal"/>
        <w:bidi w:val="0"/>
        <w:spacing w:lineRule="auto" w:line="288" w:before="0" w:after="80"/>
        <w:jc w:val="both"/>
        <w:rPr/>
      </w:pPr>
      <w:r>
        <w:rPr/>
        <w:t>74.2.1 The Council commissions time-limited working groups for defined technical tasks, drawing on member experts, the technical participants, and Stakeholder Panel nominees. Working group reports publish in full.</w:t>
      </w:r>
    </w:p>
    <w:p>
      <w:pPr>
        <w:pStyle w:val="Heading3"/>
        <w:keepNext w:val="true"/>
        <w:keepLines/>
        <w:bidi w:val="0"/>
        <w:spacing w:before="220" w:after="100"/>
        <w:rPr/>
      </w:pPr>
      <w:bookmarkStart w:id="300" w:name="__RefHeading___Toc4047_4199434714"/>
      <w:bookmarkEnd w:id="300"/>
      <w:r>
        <w:rPr/>
        <w:t>74.3 The Industry Interface</w:t>
      </w:r>
    </w:p>
    <w:p>
      <w:pPr>
        <w:pStyle w:val="Normal"/>
        <w:bidi w:val="0"/>
        <w:spacing w:lineRule="auto" w:line="288" w:before="0" w:after="80"/>
        <w:jc w:val="both"/>
        <w:rPr/>
      </w:pPr>
      <w:r>
        <w:rPr/>
        <w:t>74.3.1 The Stakeholder Panel meets with the Navigation and Safety Committee quarterly and receives a standing briefing from the Coordination Center. The Panel's Confidence Trigger, consultation rights, and data access operate as the formal voice of the users whose confidence the system exists to earn.</w:t>
      </w:r>
    </w:p>
    <w:p>
      <w:pPr>
        <w:pStyle w:val="Heading2"/>
        <w:keepNext w:val="true"/>
        <w:keepLines/>
        <w:bidi w:val="0"/>
        <w:spacing w:before="280" w:after="120"/>
        <w:rPr/>
      </w:pPr>
      <w:bookmarkStart w:id="301" w:name="__RefHeading___Toc4049_4199434714"/>
      <w:bookmarkEnd w:id="301"/>
      <w:r>
        <w:rPr/>
        <w:t>Article 75: Budget and Finance of the Institutions</w:t>
      </w:r>
    </w:p>
    <w:p>
      <w:pPr>
        <w:pStyle w:val="Heading3"/>
        <w:keepNext w:val="true"/>
        <w:keepLines/>
        <w:bidi w:val="0"/>
        <w:spacing w:before="220" w:after="100"/>
        <w:rPr/>
      </w:pPr>
      <w:bookmarkStart w:id="302" w:name="__RefHeading___Toc4051_4199434714"/>
      <w:bookmarkEnd w:id="302"/>
      <w:r>
        <w:rPr/>
        <w:t>75.1 The Budget Cycle</w:t>
      </w:r>
    </w:p>
    <w:p>
      <w:pPr>
        <w:pStyle w:val="Normal"/>
        <w:bidi w:val="0"/>
        <w:spacing w:lineRule="auto" w:line="288" w:before="0" w:after="80"/>
        <w:jc w:val="both"/>
        <w:rPr/>
      </w:pPr>
      <w:r>
        <w:rPr/>
        <w:t>75.1.1 The Secretary-General prepares the annual budget of the institutions; the Finance Committee examines it; the Council adopts it. The budget allocates across the Secretariat, the Coordination Center, the Directorate, the Tribunal, and the common programs, and it publishes in full.</w:t>
      </w:r>
    </w:p>
    <w:p>
      <w:pPr>
        <w:pStyle w:val="Heading3"/>
        <w:keepNext w:val="true"/>
        <w:keepLines/>
        <w:bidi w:val="0"/>
        <w:spacing w:before="220" w:after="100"/>
        <w:rPr/>
      </w:pPr>
      <w:bookmarkStart w:id="303" w:name="__RefHeading___Toc4053_4199434714"/>
      <w:bookmarkEnd w:id="303"/>
      <w:r>
        <w:rPr/>
        <w:t>75.2 Financial Rules</w:t>
      </w:r>
    </w:p>
    <w:p>
      <w:pPr>
        <w:pStyle w:val="Normal"/>
        <w:bidi w:val="0"/>
        <w:spacing w:lineRule="auto" w:line="288" w:before="0" w:after="80"/>
        <w:jc w:val="both"/>
        <w:rPr/>
      </w:pPr>
      <w:r>
        <w:rPr/>
        <w:t>75.2.1 The financial rules of Annex G govern procurement, contracting, and asset management: open competition above published thresholds, conflict-of-interest screening, and audit access to every contract.</w:t>
      </w:r>
    </w:p>
    <w:p>
      <w:pPr>
        <w:pStyle w:val="Heading3"/>
        <w:keepNext w:val="true"/>
        <w:keepLines/>
        <w:bidi w:val="0"/>
        <w:spacing w:before="220" w:after="100"/>
        <w:rPr/>
      </w:pPr>
      <w:bookmarkStart w:id="304" w:name="__RefHeading___Toc4055_4199434714"/>
      <w:bookmarkEnd w:id="304"/>
      <w:r>
        <w:rPr/>
        <w:t>75.3 Arrears</w:t>
      </w:r>
    </w:p>
    <w:p>
      <w:pPr>
        <w:pStyle w:val="Normal"/>
        <w:bidi w:val="0"/>
        <w:spacing w:lineRule="auto" w:line="288" w:before="0" w:after="80"/>
        <w:jc w:val="both"/>
        <w:rPr/>
      </w:pPr>
      <w:r>
        <w:rPr/>
        <w:t>75.3.1 A Party in arrears on Channel Three contributions beyond 180 days enters the compliance ladder of Article 51 at Step One. Arrears never suspend the Party's vessels' passage rights, because ships are not their governments.</w:t>
      </w:r>
    </w:p>
    <w:p>
      <w:pPr>
        <w:pStyle w:val="Heading2"/>
        <w:keepNext w:val="true"/>
        <w:keepLines/>
        <w:bidi w:val="0"/>
        <w:spacing w:before="280" w:after="120"/>
        <w:rPr/>
      </w:pPr>
      <w:bookmarkStart w:id="305" w:name="__RefHeading___Toc4057_4199434714"/>
      <w:bookmarkEnd w:id="305"/>
      <w:r>
        <w:rPr/>
        <w:t>Article 76: Personnel and the Independence Rule</w:t>
      </w:r>
    </w:p>
    <w:p>
      <w:pPr>
        <w:pStyle w:val="Heading3"/>
        <w:keepNext w:val="true"/>
        <w:keepLines/>
        <w:bidi w:val="0"/>
        <w:spacing w:before="220" w:after="100"/>
        <w:rPr/>
      </w:pPr>
      <w:bookmarkStart w:id="306" w:name="__RefHeading___Toc4059_4199434714"/>
      <w:bookmarkEnd w:id="306"/>
      <w:r>
        <w:rPr/>
        <w:t>76.1 The Service</w:t>
      </w:r>
    </w:p>
    <w:p>
      <w:pPr>
        <w:pStyle w:val="Normal"/>
        <w:bidi w:val="0"/>
        <w:spacing w:lineRule="auto" w:line="288" w:before="0" w:after="80"/>
        <w:jc w:val="both"/>
        <w:rPr/>
      </w:pPr>
      <w:r>
        <w:rPr/>
        <w:t>76.1.1 The staff of the Charter's organs constitute an international service: recruited on merit, protected by the independence rule, subject to the ethics code, and owing duty to the Charter alone. No Party instructs its nationals within the service, and the service's personnel security rests on the hosting protections of Annex G.</w:t>
      </w:r>
    </w:p>
    <w:p>
      <w:pPr>
        <w:pStyle w:val="Heading3"/>
        <w:keepNext w:val="true"/>
        <w:keepLines/>
        <w:bidi w:val="0"/>
        <w:spacing w:before="220" w:after="100"/>
        <w:rPr/>
      </w:pPr>
      <w:bookmarkStart w:id="307" w:name="__RefHeading___Toc4061_4199434714"/>
      <w:bookmarkEnd w:id="307"/>
      <w:r>
        <w:rPr/>
        <w:t>76.2 The Parity Practice</w:t>
      </w:r>
    </w:p>
    <w:p>
      <w:pPr>
        <w:pStyle w:val="Normal"/>
        <w:bidi w:val="0"/>
        <w:spacing w:lineRule="auto" w:line="288" w:before="0" w:after="80"/>
        <w:jc w:val="both"/>
        <w:rPr/>
      </w:pPr>
      <w:r>
        <w:rPr/>
        <w:t>76.2.1 The parity principle of Article 44 operates as daily practice, not decoration: mixed-nationality watch teams at the Coordination Center, paired appointments at senior grades, and the alternating chairmanships of Annex E. The architecture engineers daily cooperation between the nationals of states whose political relations fluctuate, so that the institution holds when politics shakes.</w:t>
      </w:r>
    </w:p>
    <w:p>
      <w:pPr>
        <w:pStyle w:val="Heading3"/>
        <w:keepNext w:val="true"/>
        <w:keepLines/>
        <w:bidi w:val="0"/>
        <w:spacing w:before="220" w:after="100"/>
        <w:rPr/>
      </w:pPr>
      <w:bookmarkStart w:id="308" w:name="__RefHeading___Toc4063_4199434714"/>
      <w:bookmarkEnd w:id="308"/>
      <w:r>
        <w:rPr/>
        <w:t>76.3 Training and Doctrine</w:t>
      </w:r>
    </w:p>
    <w:p>
      <w:pPr>
        <w:pStyle w:val="Normal"/>
        <w:bidi w:val="0"/>
        <w:spacing w:lineRule="auto" w:line="288" w:before="0" w:after="80"/>
        <w:jc w:val="both"/>
        <w:rPr/>
      </w:pPr>
      <w:r>
        <w:rPr/>
        <w:t>76.3.1 The Secretariat operates the Charter's training program: a common curriculum for corridor officers, patrol crews, and desk staff, delivered at the training facility of Annex A, so that every actor in the system works from the same doctrine, the same phraseology, and the same rules.</w:t>
      </w:r>
    </w:p>
    <w:p>
      <w:pPr>
        <w:pStyle w:val="Heading1"/>
        <w:keepNext w:val="true"/>
        <w:keepLines/>
        <w:pBdr>
          <w:bottom w:val="single" w:sz="12" w:space="6" w:color="B8860B"/>
        </w:pBdr>
        <w:bidi w:val="0"/>
        <w:spacing w:before="0" w:after="360"/>
        <w:rPr/>
      </w:pPr>
      <w:bookmarkStart w:id="309" w:name="__RefHeading___Toc4065_4199434714"/>
      <w:bookmarkEnd w:id="309"/>
      <w:r>
        <w:rPr/>
        <w:t>PART XIII: DETAILED VERIFICATION PROCEDURES</w:t>
      </w:r>
    </w:p>
    <w:p>
      <w:pPr>
        <w:pStyle w:val="Heading2"/>
        <w:keepNext w:val="true"/>
        <w:keepLines/>
        <w:bidi w:val="0"/>
        <w:spacing w:before="280" w:after="120"/>
        <w:rPr/>
      </w:pPr>
      <w:bookmarkStart w:id="310" w:name="__RefHeading___Toc4067_4199434714"/>
      <w:bookmarkEnd w:id="310"/>
      <w:r>
        <w:rPr/>
        <w:t>Article 77: The Claim and Verification Cycle</w:t>
      </w:r>
    </w:p>
    <w:p>
      <w:pPr>
        <w:pStyle w:val="Heading3"/>
        <w:keepNext w:val="true"/>
        <w:keepLines/>
        <w:bidi w:val="0"/>
        <w:spacing w:before="220" w:after="100"/>
        <w:rPr/>
      </w:pPr>
      <w:bookmarkStart w:id="311" w:name="__RefHeading___Toc4069_4199434714"/>
      <w:bookmarkEnd w:id="311"/>
      <w:r>
        <w:rPr/>
        <w:t>77.1 The Cycle</w:t>
      </w:r>
    </w:p>
    <w:p>
      <w:pPr>
        <w:pStyle w:val="Normal"/>
        <w:bidi w:val="0"/>
        <w:spacing w:lineRule="auto" w:line="288" w:before="0" w:after="80"/>
        <w:jc w:val="both"/>
        <w:rPr/>
      </w:pPr>
      <w:r>
        <w:rPr/>
        <w:t>77.1.1 Verification of formal claims proceeds through the structured cycle: a Claimant Party submits a claim package to the Directorate with its supporting evidence; the Directorate registers and timestamps the claim; the Verifier Party receives the full package simultaneously; and the Directorate conducts its technical examination against the published standards.</w:t>
      </w:r>
    </w:p>
    <w:p>
      <w:pPr>
        <w:pStyle w:val="Normal"/>
        <w:bidi w:val="0"/>
        <w:spacing w:lineRule="auto" w:line="288" w:before="0" w:after="80"/>
        <w:jc w:val="both"/>
        <w:rPr/>
      </w:pPr>
      <w:r>
        <w:rPr/>
        <w:t>77.1.2 The cycle disciplines both sides: a Claimant Party stakes a forfeit bond of Dashboard standing on the accuracy of its claim, and a Verifier Party raising an objection without technical basis incurs the escalating objection penalties of Annex E. The cycle rewards accuracy and penalizes noise, in both directions.</w:t>
      </w:r>
    </w:p>
    <w:p>
      <w:pPr>
        <w:pStyle w:val="Heading3"/>
        <w:keepNext w:val="true"/>
        <w:keepLines/>
        <w:bidi w:val="0"/>
        <w:spacing w:before="220" w:after="100"/>
        <w:rPr/>
      </w:pPr>
      <w:bookmarkStart w:id="312" w:name="__RefHeading___Toc4071_4199434714"/>
      <w:bookmarkEnd w:id="312"/>
      <w:r>
        <w:rPr/>
        <w:t>77.2 The Verification Score</w:t>
      </w:r>
    </w:p>
    <w:p>
      <w:pPr>
        <w:pStyle w:val="Normal"/>
        <w:bidi w:val="0"/>
        <w:spacing w:lineRule="auto" w:line="288" w:before="0" w:after="80"/>
        <w:jc w:val="both"/>
        <w:rPr/>
      </w:pPr>
      <w:r>
        <w:rPr/>
        <w:t>77.2.1 Every completed cycle produces a published verification score: the Directorate's objective, auditable rating of the claim against the evidence. Scores accumulate into the Compliance Dashboard's verification pillar.</w:t>
      </w:r>
    </w:p>
    <w:p>
      <w:pPr>
        <w:pStyle w:val="Heading3"/>
        <w:keepNext w:val="true"/>
        <w:keepLines/>
        <w:bidi w:val="0"/>
        <w:spacing w:before="220" w:after="100"/>
        <w:rPr/>
      </w:pPr>
      <w:bookmarkStart w:id="313" w:name="__RefHeading___Toc4073_4199434714"/>
      <w:bookmarkEnd w:id="313"/>
      <w:r>
        <w:rPr/>
        <w:t>77.3 Neutral Expert Oversight</w:t>
      </w:r>
    </w:p>
    <w:p>
      <w:pPr>
        <w:pStyle w:val="Normal"/>
        <w:bidi w:val="0"/>
        <w:spacing w:lineRule="auto" w:line="288" w:before="0" w:after="80"/>
        <w:jc w:val="both"/>
        <w:rPr/>
      </w:pPr>
      <w:r>
        <w:rPr/>
        <w:t>77.3.1 A standing panel of neutral technical experts, appointed by the technical participants, reviews Directorate methodology annually and on request from any Party, and publishes its review.</w:t>
      </w:r>
    </w:p>
    <w:p>
      <w:pPr>
        <w:pStyle w:val="Heading2"/>
        <w:keepNext w:val="true"/>
        <w:keepLines/>
        <w:bidi w:val="0"/>
        <w:spacing w:before="280" w:after="120"/>
        <w:rPr/>
      </w:pPr>
      <w:bookmarkStart w:id="314" w:name="__RefHeading___Toc4075_4199434714"/>
      <w:bookmarkEnd w:id="314"/>
      <w:r>
        <w:rPr/>
        <w:t>Article 78: The Goodwill Credits and the Forward Drift Archive</w:t>
      </w:r>
    </w:p>
    <w:p>
      <w:pPr>
        <w:pStyle w:val="Heading3"/>
        <w:keepNext w:val="true"/>
        <w:keepLines/>
        <w:bidi w:val="0"/>
        <w:spacing w:before="220" w:after="100"/>
        <w:rPr/>
      </w:pPr>
      <w:bookmarkStart w:id="315" w:name="__RefHeading___Toc4077_4199434714"/>
      <w:bookmarkEnd w:id="315"/>
      <w:r>
        <w:rPr/>
        <w:t>78.1 Goodwill Credits</w:t>
      </w:r>
    </w:p>
    <w:p>
      <w:pPr>
        <w:pStyle w:val="Normal"/>
        <w:bidi w:val="0"/>
        <w:spacing w:lineRule="auto" w:line="288" w:before="0" w:after="80"/>
        <w:jc w:val="both"/>
        <w:rPr/>
      </w:pPr>
      <w:r>
        <w:rPr/>
        <w:t>78.1.1 The Dashboard records goodwill credits: voluntary acts beyond obligation, early remediations, assistance rendered to other Parties' vessels, and verified contributions to system resilience. Credits offset future Step One notices and weigh in the Council's annual stewardship assessment. The architecture remembers generosity as carefully as it remembers breach.</w:t>
      </w:r>
    </w:p>
    <w:p>
      <w:pPr>
        <w:pStyle w:val="Heading3"/>
        <w:keepNext w:val="true"/>
        <w:keepLines/>
        <w:bidi w:val="0"/>
        <w:spacing w:before="220" w:after="100"/>
        <w:rPr/>
      </w:pPr>
      <w:bookmarkStart w:id="316" w:name="__RefHeading___Toc4079_4199434714"/>
      <w:bookmarkEnd w:id="316"/>
      <w:r>
        <w:rPr/>
        <w:t>78.2 The Forward Drift Archive</w:t>
      </w:r>
    </w:p>
    <w:p>
      <w:pPr>
        <w:pStyle w:val="Normal"/>
        <w:bidi w:val="0"/>
        <w:spacing w:lineRule="auto" w:line="288" w:before="0" w:after="80"/>
        <w:jc w:val="both"/>
        <w:rPr/>
      </w:pPr>
      <w:r>
        <w:rPr/>
        <w:t>78.2.1 The Secretariat maintains the Forward Drift Archive: the cumulative record of certified achievements, banked performance, and restored standings, which survives dormancy under Article 7 and anchors reconstitution. Progress, once certified, never resets to zero.</w:t>
      </w:r>
    </w:p>
    <w:p>
      <w:pPr>
        <w:pStyle w:val="Heading2"/>
        <w:keepNext w:val="true"/>
        <w:keepLines/>
        <w:bidi w:val="0"/>
        <w:spacing w:before="280" w:after="120"/>
        <w:rPr/>
      </w:pPr>
      <w:bookmarkStart w:id="317" w:name="__RefHeading___Toc4081_4199434714"/>
      <w:bookmarkEnd w:id="317"/>
      <w:r>
        <w:rPr/>
        <w:t>Article 79: Verification of the Financial Architecture</w:t>
      </w:r>
    </w:p>
    <w:p>
      <w:pPr>
        <w:pStyle w:val="Heading3"/>
        <w:keepNext w:val="true"/>
        <w:keepLines/>
        <w:bidi w:val="0"/>
        <w:spacing w:before="220" w:after="100"/>
        <w:rPr/>
      </w:pPr>
      <w:bookmarkStart w:id="318" w:name="__RefHeading___Toc4083_4199434714"/>
      <w:bookmarkEnd w:id="318"/>
      <w:r>
        <w:rPr/>
        <w:t>79.1 Financial Verification</w:t>
      </w:r>
    </w:p>
    <w:p>
      <w:pPr>
        <w:pStyle w:val="Normal"/>
        <w:bidi w:val="0"/>
        <w:spacing w:lineRule="auto" w:line="288" w:before="0" w:after="80"/>
        <w:jc w:val="both"/>
        <w:rPr/>
      </w:pPr>
      <w:r>
        <w:rPr/>
        <w:t>79.1.1 The financial architecture verifies through the audit chain of Article 54 plus the Directorate's payment-flow analysis: matching of service records to charges, escrow reconciliation, and the substance-test screening of Article 27. The chain produces the quarterly financial integrity statement, which publishes on the Portal.</w:t>
      </w:r>
    </w:p>
    <w:p>
      <w:pPr>
        <w:pStyle w:val="Heading3"/>
        <w:keepNext w:val="true"/>
        <w:keepLines/>
        <w:bidi w:val="0"/>
        <w:spacing w:before="220" w:after="100"/>
        <w:rPr/>
      </w:pPr>
      <w:bookmarkStart w:id="319" w:name="__RefHeading___Toc4085_4199434714"/>
      <w:bookmarkEnd w:id="319"/>
      <w:r>
        <w:rPr/>
        <w:t>79.2 The Anomaly Protocol</w:t>
      </w:r>
    </w:p>
    <w:p>
      <w:pPr>
        <w:pStyle w:val="Normal"/>
        <w:bidi w:val="0"/>
        <w:spacing w:lineRule="auto" w:line="288" w:before="0" w:after="80"/>
        <w:jc w:val="both"/>
        <w:rPr/>
      </w:pPr>
      <w:r>
        <w:rPr/>
        <w:t>79.2.1 Detected anomalies trigger the anomaly protocol: notification to the Fund Board, a 14-day explanation window, and publication of the anomaly and its resolution. Unresolved anomalies refer to the auditors and, where they indicate circumvention, to the Tribunal track.</w:t>
      </w:r>
    </w:p>
    <w:p>
      <w:pPr>
        <w:pStyle w:val="Heading1"/>
        <w:keepNext w:val="true"/>
        <w:keepLines/>
        <w:pBdr>
          <w:bottom w:val="single" w:sz="12" w:space="6" w:color="B8860B"/>
        </w:pBdr>
        <w:bidi w:val="0"/>
        <w:spacing w:before="0" w:after="360"/>
        <w:rPr/>
      </w:pPr>
      <w:bookmarkStart w:id="320" w:name="__RefHeading___Toc4087_4199434714"/>
      <w:bookmarkEnd w:id="320"/>
      <w:r>
        <w:rPr/>
        <w:t>PART XIV: THE CLAIMS AND COMPENSATION FACILITY</w:t>
      </w:r>
    </w:p>
    <w:p>
      <w:pPr>
        <w:pStyle w:val="Heading2"/>
        <w:keepNext w:val="true"/>
        <w:keepLines/>
        <w:bidi w:val="0"/>
        <w:spacing w:before="280" w:after="120"/>
        <w:rPr/>
      </w:pPr>
      <w:bookmarkStart w:id="321" w:name="__RefHeading___Toc4089_4199434714"/>
      <w:bookmarkEnd w:id="321"/>
      <w:r>
        <w:rPr/>
        <w:t>Article 80: The Corridor Claims Facility</w:t>
      </w:r>
    </w:p>
    <w:p>
      <w:pPr>
        <w:pStyle w:val="Heading3"/>
        <w:keepNext w:val="true"/>
        <w:keepLines/>
        <w:bidi w:val="0"/>
        <w:spacing w:before="220" w:after="100"/>
        <w:rPr/>
      </w:pPr>
      <w:bookmarkStart w:id="322" w:name="__RefHeading___Toc4091_4199434714"/>
      <w:bookmarkEnd w:id="322"/>
      <w:r>
        <w:rPr/>
        <w:t>80.1 Establishment</w:t>
      </w:r>
    </w:p>
    <w:p>
      <w:pPr>
        <w:pStyle w:val="Normal"/>
        <w:bidi w:val="0"/>
        <w:spacing w:lineRule="auto" w:line="288" w:before="0" w:after="80"/>
        <w:jc w:val="both"/>
        <w:rPr/>
      </w:pPr>
      <w:r>
        <w:rPr/>
        <w:t>80.1.1 The Charter establishes the Corridor Claims Facility: a standing, streamlined mechanism through which shipowners, cargo interests, and seafarers claim compensation for losses arising from corridor incidents within the Governance Area, without prejudice to their rights under other law.</w:t>
      </w:r>
    </w:p>
    <w:p>
      <w:pPr>
        <w:pStyle w:val="Normal"/>
        <w:bidi w:val="0"/>
        <w:spacing w:lineRule="auto" w:line="288" w:before="0" w:after="80"/>
        <w:jc w:val="both"/>
        <w:rPr/>
      </w:pPr>
      <w:r>
        <w:rPr/>
        <w:t>80.1.2 The Facility administers through the Secretariat under the rules of Annex G, with claims examiners drawn from the Tribunal roster and industry nominees.</w:t>
      </w:r>
    </w:p>
    <w:p>
      <w:pPr>
        <w:pStyle w:val="Heading3"/>
        <w:keepNext w:val="true"/>
        <w:keepLines/>
        <w:bidi w:val="0"/>
        <w:spacing w:before="220" w:after="100"/>
        <w:rPr/>
      </w:pPr>
      <w:bookmarkStart w:id="323" w:name="__RefHeading___Toc4093_4199434714"/>
      <w:bookmarkEnd w:id="323"/>
      <w:r>
        <w:rPr/>
        <w:t>80.2 The Claims Process</w:t>
      </w:r>
    </w:p>
    <w:p>
      <w:pPr>
        <w:pStyle w:val="Normal"/>
        <w:bidi w:val="0"/>
        <w:spacing w:lineRule="auto" w:line="288" w:before="0" w:after="80"/>
        <w:jc w:val="both"/>
        <w:rPr/>
      </w:pPr>
      <w:r>
        <w:rPr/>
        <w:t>80.2.1 A claimant files with the Facility within two years of the incident. The Facility examines against the incident record and the forensic findings, and issues a determination within 120 days. Determinations against a Party execute from the Facility's security fund, which the Parties capitalize under the formula of Annex E, with recovery from the responsible Party through the compliance ladder where attribution establishes responsibility.</w:t>
      </w:r>
    </w:p>
    <w:p>
      <w:pPr>
        <w:pStyle w:val="Heading3"/>
        <w:keepNext w:val="true"/>
        <w:keepLines/>
        <w:bidi w:val="0"/>
        <w:spacing w:before="220" w:after="100"/>
        <w:rPr/>
      </w:pPr>
      <w:bookmarkStart w:id="324" w:name="__RefHeading___Toc4095_4199434714"/>
      <w:bookmarkEnd w:id="324"/>
      <w:r>
        <w:rPr/>
        <w:t>80.3 The Humanitarian Fast Lane</w:t>
      </w:r>
    </w:p>
    <w:p>
      <w:pPr>
        <w:pStyle w:val="Normal"/>
        <w:bidi w:val="0"/>
        <w:spacing w:lineRule="auto" w:line="288" w:before="0" w:after="80"/>
        <w:jc w:val="both"/>
        <w:rPr/>
      </w:pPr>
      <w:r>
        <w:rPr/>
        <w:t>80.3.1 Claims by seafarers for injury, detention, or wage loss arising from corridor incidents process in a fast lane with a 45-day determination standard and interim payment capability, because the people of the sea wait last nowhere in this Charter.</w:t>
      </w:r>
    </w:p>
    <w:p>
      <w:pPr>
        <w:pStyle w:val="Heading3"/>
        <w:keepNext w:val="true"/>
        <w:keepLines/>
        <w:bidi w:val="0"/>
        <w:spacing w:before="220" w:after="100"/>
        <w:rPr/>
      </w:pPr>
      <w:bookmarkStart w:id="325" w:name="__RefHeading___Toc4097_4199434714"/>
      <w:bookmarkEnd w:id="325"/>
      <w:r>
        <w:rPr/>
        <w:t>80.4 No Double Recovery, No Waiver</w:t>
      </w:r>
    </w:p>
    <w:p>
      <w:pPr>
        <w:pStyle w:val="Normal"/>
        <w:bidi w:val="0"/>
        <w:spacing w:lineRule="auto" w:line="288" w:before="0" w:after="80"/>
        <w:jc w:val="both"/>
        <w:rPr/>
      </w:pPr>
      <w:r>
        <w:rPr/>
        <w:t>80.4.1 The Facility credits recoveries under other regimes and demands no waiver of rights as the price of access. It exists to make claimants whole faster than litigation manages, not to cap their rights.</w:t>
      </w:r>
    </w:p>
    <w:p>
      <w:pPr>
        <w:pStyle w:val="Heading1"/>
        <w:keepNext w:val="true"/>
        <w:keepLines/>
        <w:pBdr>
          <w:bottom w:val="single" w:sz="12" w:space="6" w:color="B8860B"/>
        </w:pBdr>
        <w:bidi w:val="0"/>
        <w:spacing w:before="0" w:after="360"/>
        <w:rPr/>
      </w:pPr>
      <w:bookmarkStart w:id="326" w:name="__RefHeading___Toc4099_4199434714"/>
      <w:bookmarkEnd w:id="326"/>
      <w:r>
        <w:rPr/>
        <w:t>PART XV: THE FIRST ONE HUNDRED EIGHTY DAYS</w:t>
      </w:r>
    </w:p>
    <w:p>
      <w:pPr>
        <w:pStyle w:val="Heading2"/>
        <w:keepNext w:val="true"/>
        <w:keepLines/>
        <w:bidi w:val="0"/>
        <w:spacing w:before="280" w:after="120"/>
        <w:rPr/>
      </w:pPr>
      <w:bookmarkStart w:id="327" w:name="__RefHeading___Toc4101_4199434714"/>
      <w:bookmarkEnd w:id="327"/>
      <w:r>
        <w:rPr/>
        <w:t>Article 81: The Operational Calendar</w:t>
      </w:r>
    </w:p>
    <w:p>
      <w:pPr>
        <w:pStyle w:val="Heading3"/>
        <w:keepNext w:val="true"/>
        <w:keepLines/>
        <w:bidi w:val="0"/>
        <w:spacing w:before="220" w:after="100"/>
        <w:rPr/>
      </w:pPr>
      <w:bookmarkStart w:id="328" w:name="__RefHeading___Toc4103_4199434714"/>
      <w:bookmarkEnd w:id="328"/>
      <w:r>
        <w:rPr/>
        <w:t>81.1 Day 0 to Day 7</w:t>
      </w:r>
    </w:p>
    <w:p>
      <w:pPr>
        <w:pStyle w:val="Normal"/>
        <w:bidi w:val="0"/>
        <w:spacing w:lineRule="auto" w:line="288" w:before="0" w:after="80"/>
        <w:jc w:val="both"/>
        <w:rPr/>
      </w:pPr>
      <w:r>
        <w:rPr/>
        <w:t>81.1.1 Upon signature: the Depositary circulates certified copies within 24 hours; the hotline network activates on the military and operational circuits within 48 hours; the Bulletin publishes its first edition within 72 hours; the Humanitarian Desk opens on Day 0; and the standing seafarer evacuation framework enters ready status within 72 hours.</w:t>
      </w:r>
    </w:p>
    <w:p>
      <w:pPr>
        <w:pStyle w:val="Normal"/>
        <w:bidi w:val="0"/>
        <w:spacing w:lineRule="auto" w:line="288" w:before="0" w:after="80"/>
        <w:jc w:val="both"/>
        <w:rPr/>
      </w:pPr>
      <w:r>
        <w:rPr/>
        <w:t>81.1.2 The Joint Hazard Survey deploys its first teams within 7 days, beginning with the Corridor Two geometry. The Secretariat's advance team occupies the Muscat seat and activates the Registry.</w:t>
      </w:r>
    </w:p>
    <w:p>
      <w:pPr>
        <w:pStyle w:val="Heading3"/>
        <w:keepNext w:val="true"/>
        <w:keepLines/>
        <w:bidi w:val="0"/>
        <w:spacing w:before="220" w:after="100"/>
        <w:rPr/>
      </w:pPr>
      <w:bookmarkStart w:id="329" w:name="__RefHeading___Toc4105_4199434714"/>
      <w:bookmarkEnd w:id="329"/>
      <w:r>
        <w:rPr/>
        <w:t>81.2 Day 7 to Day 30</w:t>
      </w:r>
    </w:p>
    <w:p>
      <w:pPr>
        <w:pStyle w:val="Normal"/>
        <w:bidi w:val="0"/>
        <w:spacing w:lineRule="auto" w:line="288" w:before="0" w:after="80"/>
        <w:jc w:val="both"/>
        <w:rPr/>
      </w:pPr>
      <w:r>
        <w:rPr/>
        <w:t>81.2.1 The interim Council convenes by Day 10 and adopts the first rules of procedure. The escrow institution selection completes by Day 14. The patrol rotation publishes its first schedule by Day 21. The Coordination Center's mirrored watch floors reach initial operating capability by Day 28.</w:t>
      </w:r>
    </w:p>
    <w:p>
      <w:pPr>
        <w:pStyle w:val="Normal"/>
        <w:bidi w:val="0"/>
        <w:spacing w:lineRule="auto" w:line="288" w:before="0" w:after="80"/>
        <w:jc w:val="both"/>
        <w:rPr/>
      </w:pPr>
      <w:r>
        <w:rPr/>
        <w:t>81.2.2 The Corridor Two survey, certification, and Fast-Track opening target Day 30, gated by certification rather than by date.</w:t>
      </w:r>
    </w:p>
    <w:p>
      <w:pPr>
        <w:pStyle w:val="Heading3"/>
        <w:keepNext w:val="true"/>
        <w:keepLines/>
        <w:bidi w:val="0"/>
        <w:spacing w:before="220" w:after="100"/>
        <w:rPr/>
      </w:pPr>
      <w:bookmarkStart w:id="330" w:name="__RefHeading___Toc4107_4199434714"/>
      <w:bookmarkEnd w:id="330"/>
      <w:r>
        <w:rPr/>
        <w:t>81.3 Day 30 to Day 60</w:t>
      </w:r>
    </w:p>
    <w:p>
      <w:pPr>
        <w:pStyle w:val="Normal"/>
        <w:bidi w:val="0"/>
        <w:spacing w:lineRule="auto" w:line="288" w:before="0" w:after="80"/>
        <w:jc w:val="both"/>
        <w:rPr/>
      </w:pPr>
      <w:r>
        <w:rPr/>
        <w:t>81.3.1 The Early Fee Simulation runs on Fast-Track traffic. The Corridor One survey completes. The Buffer activates. The Fund incorporates, its Board convenes, and the escrow channels open under the interim financial authorizations of Tranche Two.</w:t>
      </w:r>
    </w:p>
    <w:p>
      <w:pPr>
        <w:pStyle w:val="Normal"/>
        <w:bidi w:val="0"/>
        <w:spacing w:lineRule="auto" w:line="288" w:before="0" w:after="80"/>
        <w:jc w:val="both"/>
        <w:rPr/>
      </w:pPr>
      <w:r>
        <w:rPr/>
        <w:t>81.3.2 The first interim Stability Audit conducts at Day 45 and publishes at Day 50.</w:t>
      </w:r>
    </w:p>
    <w:p>
      <w:pPr>
        <w:pStyle w:val="Heading3"/>
        <w:keepNext w:val="true"/>
        <w:keepLines/>
        <w:bidi w:val="0"/>
        <w:spacing w:before="220" w:after="100"/>
        <w:rPr/>
      </w:pPr>
      <w:bookmarkStart w:id="331" w:name="__RefHeading___Toc4109_4199434714"/>
      <w:bookmarkEnd w:id="331"/>
      <w:r>
        <w:rPr/>
        <w:t>81.4 Day 60 to Day 90</w:t>
      </w:r>
    </w:p>
    <w:p>
      <w:pPr>
        <w:pStyle w:val="Normal"/>
        <w:bidi w:val="0"/>
        <w:spacing w:lineRule="auto" w:line="288" w:before="0" w:after="80"/>
        <w:jc w:val="both"/>
        <w:rPr/>
      </w:pPr>
      <w:r>
        <w:rPr/>
        <w:t>81.4.1 Gate Two certifies the full two-corridor system. Wartime lanes sunset. The fee simulation's final report publishes at Day 75; the Council adopts the first Rate Card on its basis. Institutional integration completes toward Gate Four at Day 90.</w:t>
      </w:r>
    </w:p>
    <w:p>
      <w:pPr>
        <w:pStyle w:val="Heading3"/>
        <w:keepNext w:val="true"/>
        <w:keepLines/>
        <w:bidi w:val="0"/>
        <w:spacing w:before="220" w:after="100"/>
        <w:rPr/>
      </w:pPr>
      <w:bookmarkStart w:id="332" w:name="__RefHeading___Toc4111_4199434714"/>
      <w:bookmarkEnd w:id="332"/>
      <w:r>
        <w:rPr/>
        <w:t>81.5 Day 90 to Day 180</w:t>
      </w:r>
    </w:p>
    <w:p>
      <w:pPr>
        <w:pStyle w:val="Normal"/>
        <w:bidi w:val="0"/>
        <w:spacing w:lineRule="auto" w:line="288" w:before="0" w:after="80"/>
        <w:jc w:val="both"/>
        <w:rPr/>
      </w:pPr>
      <w:r>
        <w:rPr/>
        <w:t>81.5.1 The system enters steady state: the quarterly cycle of committees and Council sessions begins; the Claims Facility opens by Day 100; the environmental dashboard reaches full coverage by Day 120; and the Confidence Trigger's 180-day clock completes eligibility at Day 180 against a clean stability record.</w:t>
      </w:r>
    </w:p>
    <w:p>
      <w:pPr>
        <w:pStyle w:val="Heading2"/>
        <w:keepNext w:val="true"/>
        <w:keepLines/>
        <w:bidi w:val="0"/>
        <w:spacing w:before="280" w:after="120"/>
        <w:rPr/>
      </w:pPr>
      <w:bookmarkStart w:id="333" w:name="__RefHeading___Toc4113_4199434714"/>
      <w:bookmarkEnd w:id="333"/>
      <w:r>
        <w:rPr/>
        <w:t>Article 82: Review, Evolution, and the Living Charter</w:t>
      </w:r>
    </w:p>
    <w:p>
      <w:pPr>
        <w:pStyle w:val="Heading3"/>
        <w:keepNext w:val="true"/>
        <w:keepLines/>
        <w:bidi w:val="0"/>
        <w:spacing w:before="220" w:after="100"/>
        <w:rPr/>
      </w:pPr>
      <w:bookmarkStart w:id="334" w:name="__RefHeading___Toc4115_4199434714"/>
      <w:bookmarkEnd w:id="334"/>
      <w:r>
        <w:rPr/>
        <w:t>82.1 The Periodic Review</w:t>
      </w:r>
    </w:p>
    <w:p>
      <w:pPr>
        <w:pStyle w:val="Normal"/>
        <w:bidi w:val="0"/>
        <w:spacing w:lineRule="auto" w:line="288" w:before="0" w:after="80"/>
        <w:jc w:val="both"/>
        <w:rPr/>
      </w:pPr>
      <w:r>
        <w:rPr/>
        <w:t>82.1.1 The Council reviews the Charter's operation annually against the Stability Audit, the industry confidence record, and the region's evolving needs, and publishes a review report with its findings and its program of technical amendments.</w:t>
      </w:r>
    </w:p>
    <w:p>
      <w:pPr>
        <w:pStyle w:val="Heading3"/>
        <w:keepNext w:val="true"/>
        <w:keepLines/>
        <w:bidi w:val="0"/>
        <w:spacing w:before="220" w:after="100"/>
        <w:rPr/>
      </w:pPr>
      <w:bookmarkStart w:id="335" w:name="__RefHeading___Toc4117_4199434714"/>
      <w:bookmarkEnd w:id="335"/>
      <w:r>
        <w:rPr/>
        <w:t>82.2 The Quinquennial Conference</w:t>
      </w:r>
    </w:p>
    <w:p>
      <w:pPr>
        <w:pStyle w:val="Normal"/>
        <w:bidi w:val="0"/>
        <w:spacing w:lineRule="auto" w:line="288" w:before="0" w:after="80"/>
        <w:jc w:val="both"/>
        <w:rPr/>
      </w:pPr>
      <w:r>
        <w:rPr/>
        <w:t>82.2.1 Every five years the Parties convene a review conference to consider the Charter as a whole: its geometry, its institutions, its financial architecture, and its convergence pathway. The conference proposes; Article 66 disposes.</w:t>
      </w:r>
    </w:p>
    <w:p>
      <w:pPr>
        <w:pStyle w:val="Heading3"/>
        <w:keepNext w:val="true"/>
        <w:keepLines/>
        <w:bidi w:val="0"/>
        <w:spacing w:before="220" w:after="100"/>
        <w:rPr/>
      </w:pPr>
      <w:bookmarkStart w:id="336" w:name="__RefHeading___Toc4119_4199434714"/>
      <w:bookmarkEnd w:id="336"/>
      <w:r>
        <w:rPr/>
        <w:t>82.3 The Living Character of the Charter</w:t>
      </w:r>
    </w:p>
    <w:p>
      <w:pPr>
        <w:pStyle w:val="Normal"/>
        <w:bidi w:val="0"/>
        <w:spacing w:lineRule="auto" w:line="288" w:before="0" w:after="80"/>
        <w:jc w:val="both"/>
        <w:rPr/>
      </w:pPr>
      <w:r>
        <w:rPr/>
        <w:t>82.3.1 The Parties intend this Charter as a living instrument: stable in its principles, adaptive in its procedures, and honest in its record. Its measure is not the elegance of its text but the boredom of its water.</w:t>
      </w:r>
    </w:p>
    <w:p>
      <w:pPr>
        <w:pStyle w:val="Heading1"/>
        <w:keepNext w:val="true"/>
        <w:keepLines/>
        <w:pBdr>
          <w:bottom w:val="single" w:sz="12" w:space="6" w:color="B8860B"/>
        </w:pBdr>
        <w:bidi w:val="0"/>
        <w:spacing w:before="0" w:after="360"/>
        <w:rPr/>
      </w:pPr>
      <w:bookmarkStart w:id="337" w:name="__RefHeading___Toc4121_4199434714"/>
      <w:bookmarkEnd w:id="337"/>
      <w:r>
        <w:rPr/>
        <w:t>PART XVI: TRANSITIONAL PROVISIONS AND THE CONTINUITY BRIDGE</w:t>
      </w:r>
    </w:p>
    <w:p>
      <w:pPr>
        <w:pStyle w:val="Heading2"/>
        <w:keepNext w:val="true"/>
        <w:keepLines/>
        <w:bidi w:val="0"/>
        <w:spacing w:before="280" w:after="120"/>
        <w:rPr/>
      </w:pPr>
      <w:bookmarkStart w:id="338" w:name="__RefHeading___Toc4123_4199434714"/>
      <w:bookmarkEnd w:id="338"/>
      <w:r>
        <w:rPr/>
        <w:t>Article 83: The Continuity Bridge</w:t>
      </w:r>
    </w:p>
    <w:p>
      <w:pPr>
        <w:pStyle w:val="Heading3"/>
        <w:keepNext w:val="true"/>
        <w:keepLines/>
        <w:bidi w:val="0"/>
        <w:spacing w:before="220" w:after="100"/>
        <w:rPr/>
      </w:pPr>
      <w:bookmarkStart w:id="339" w:name="__RefHeading___Toc4125_4199434714"/>
      <w:bookmarkEnd w:id="339"/>
      <w:r>
        <w:rPr/>
        <w:t>83.1 Bridging the Present Moment</w:t>
      </w:r>
    </w:p>
    <w:p>
      <w:pPr>
        <w:pStyle w:val="Normal"/>
        <w:bidi w:val="0"/>
        <w:spacing w:lineRule="auto" w:line="288" w:before="0" w:after="80"/>
        <w:jc w:val="both"/>
        <w:rPr/>
      </w:pPr>
      <w:r>
        <w:rPr/>
        <w:t>83.1.1 The Charter acknowledges the moment of its birth: a Strait emerging from crisis, with traffic suppressed, trust damaged, seafarers scarred, and negotiations proceeding on several tracks at once. The Charter bridges from that reality through the transitional provisions of this Part, so that the Charter's first days meet the water as it is, not as the text wishes it.</w:t>
      </w:r>
    </w:p>
    <w:p>
      <w:pPr>
        <w:pStyle w:val="Heading3"/>
        <w:keepNext w:val="true"/>
        <w:keepLines/>
        <w:bidi w:val="0"/>
        <w:spacing w:before="220" w:after="100"/>
        <w:rPr/>
      </w:pPr>
      <w:bookmarkStart w:id="340" w:name="__RefHeading___Toc4127_4199434714"/>
      <w:bookmarkEnd w:id="340"/>
      <w:r>
        <w:rPr/>
        <w:t>83.2 Transitional Traffic Arrangements</w:t>
      </w:r>
    </w:p>
    <w:p>
      <w:pPr>
        <w:pStyle w:val="Normal"/>
        <w:bidi w:val="0"/>
        <w:spacing w:lineRule="auto" w:line="288" w:before="0" w:after="80"/>
        <w:jc w:val="both"/>
        <w:rPr/>
      </w:pPr>
      <w:r>
        <w:rPr/>
        <w:t>83.2.1 Until Gate Two certification, traffic uses the arrangements of Article 59's phases and the residual wartime measures that Article 12 carries in declining force. The Transition Ledger records every such measure and its sunset. No transitional arrangement outlives Day 120.</w:t>
      </w:r>
    </w:p>
    <w:p>
      <w:pPr>
        <w:pStyle w:val="Heading3"/>
        <w:keepNext w:val="true"/>
        <w:keepLines/>
        <w:bidi w:val="0"/>
        <w:spacing w:before="220" w:after="100"/>
        <w:rPr/>
      </w:pPr>
      <w:bookmarkStart w:id="341" w:name="__RefHeading___Toc4129_4199434714"/>
      <w:bookmarkEnd w:id="341"/>
      <w:r>
        <w:rPr/>
        <w:t>83.3 Transitional Personnel</w:t>
      </w:r>
    </w:p>
    <w:p>
      <w:pPr>
        <w:pStyle w:val="Normal"/>
        <w:bidi w:val="0"/>
        <w:spacing w:lineRule="auto" w:line="288" w:before="0" w:after="80"/>
        <w:jc w:val="both"/>
        <w:rPr/>
      </w:pPr>
      <w:r>
        <w:rPr/>
        <w:t>83.3.1 The institutions staff initially by secondment from the Parties' existing maritime administrations and from the technical participants, converting to the international service of Article 76 over the first year. The personnel of any crisis-period national authority whose functions this Charter absorbs receive priority consideration for the corresponding Charter functions, preserving expertise while converting its allegiance to the common framework.</w:t>
      </w:r>
    </w:p>
    <w:p>
      <w:pPr>
        <w:pStyle w:val="Heading3"/>
        <w:keepNext w:val="true"/>
        <w:keepLines/>
        <w:bidi w:val="0"/>
        <w:spacing w:before="220" w:after="100"/>
        <w:rPr/>
      </w:pPr>
      <w:bookmarkStart w:id="342" w:name="__RefHeading___Toc4131_4199434714"/>
      <w:bookmarkEnd w:id="342"/>
      <w:r>
        <w:rPr/>
        <w:t>83.4 The Authority Transition</w:t>
      </w:r>
    </w:p>
    <w:p>
      <w:pPr>
        <w:pStyle w:val="Normal"/>
        <w:bidi w:val="0"/>
        <w:spacing w:lineRule="auto" w:line="288" w:before="0" w:after="80"/>
        <w:jc w:val="both"/>
        <w:rPr/>
      </w:pPr>
      <w:r>
        <w:rPr/>
        <w:t>83.4.1 Any national entity established by a Party during the crisis period for the administration of Strait traffic transitions into the Charter's architecture upon Gate Two certification: its permit-issuing functions terminate and convert to the notification protocol; its traffic-coordination, hazard-bulletin, and monitoring functions continue inside the joint, civilian structure of the Coordination Center. The transition gives each founding party the recognized administrative role it requires, within the shared frame the region requires.</w:t>
      </w:r>
    </w:p>
    <w:p>
      <w:pPr>
        <w:pStyle w:val="Heading3"/>
        <w:keepNext w:val="true"/>
        <w:keepLines/>
        <w:bidi w:val="0"/>
        <w:spacing w:before="220" w:after="100"/>
        <w:rPr/>
      </w:pPr>
      <w:bookmarkStart w:id="343" w:name="__RefHeading___Toc4133_4199434714"/>
      <w:bookmarkEnd w:id="343"/>
      <w:r>
        <w:rPr/>
        <w:t>83.5 Legacy Instruments</w:t>
      </w:r>
    </w:p>
    <w:p>
      <w:pPr>
        <w:pStyle w:val="Normal"/>
        <w:bidi w:val="0"/>
        <w:spacing w:lineRule="auto" w:line="288" w:before="0" w:after="80"/>
        <w:jc w:val="both"/>
        <w:rPr/>
      </w:pPr>
      <w:r>
        <w:rPr/>
        <w:t>83.5.1 Notices, warnings, permits, and instructions issued under crisis-period authorities remain effective for their stated duration or until superseded by Charter instruments, whichever occurs first. The Secretariat publishes the conversion table of legacy instruments in the Bulletin.</w:t>
      </w:r>
    </w:p>
    <w:p>
      <w:pPr>
        <w:pStyle w:val="Heading2"/>
        <w:keepNext w:val="true"/>
        <w:keepLines/>
        <w:bidi w:val="0"/>
        <w:spacing w:before="280" w:after="120"/>
        <w:rPr/>
      </w:pPr>
      <w:bookmarkStart w:id="344" w:name="__RefHeading___Toc4135_4199434714"/>
      <w:bookmarkEnd w:id="344"/>
      <w:r>
        <w:rPr/>
        <w:t>Article 84: The Accession Fast-Track and the Regional Circle</w:t>
      </w:r>
    </w:p>
    <w:p>
      <w:pPr>
        <w:pStyle w:val="Heading3"/>
        <w:keepNext w:val="true"/>
        <w:keepLines/>
        <w:bidi w:val="0"/>
        <w:spacing w:before="220" w:after="100"/>
        <w:rPr/>
      </w:pPr>
      <w:bookmarkStart w:id="345" w:name="__RefHeading___Toc4137_4199434714"/>
      <w:bookmarkEnd w:id="345"/>
      <w:r>
        <w:rPr/>
        <w:t>84.1 The Fast-Track</w:t>
      </w:r>
    </w:p>
    <w:p>
      <w:pPr>
        <w:pStyle w:val="Normal"/>
        <w:bidi w:val="0"/>
        <w:spacing w:lineRule="auto" w:line="288" w:before="0" w:after="80"/>
        <w:jc w:val="both"/>
        <w:rPr/>
      </w:pPr>
      <w:r>
        <w:rPr/>
        <w:t>84.1.1 The regional states named in this Charter accede on the fast track of Article 65. The Depositary circulates accession instruments at signature, and the Secretariat stands ready to seat new members at the next Council session following deposit.</w:t>
      </w:r>
    </w:p>
    <w:p>
      <w:pPr>
        <w:pStyle w:val="Heading3"/>
        <w:keepNext w:val="true"/>
        <w:keepLines/>
        <w:bidi w:val="0"/>
        <w:spacing w:before="220" w:after="100"/>
        <w:rPr/>
      </w:pPr>
      <w:bookmarkStart w:id="346" w:name="__RefHeading___Toc4139_4199434714"/>
      <w:bookmarkEnd w:id="346"/>
      <w:r>
        <w:rPr/>
        <w:t>84.2 The Wider Circle</w:t>
      </w:r>
    </w:p>
    <w:p>
      <w:pPr>
        <w:pStyle w:val="Normal"/>
        <w:bidi w:val="0"/>
        <w:spacing w:lineRule="auto" w:line="288" w:before="0" w:after="80"/>
        <w:jc w:val="both"/>
        <w:rPr/>
      </w:pPr>
      <w:r>
        <w:rPr/>
        <w:t>84.2.1 The Council invites user states whose trade depends on the Strait, including the major importing states of Asia and Europe, into user-state observer status at the earliest opportunity, and invites the external naval powers present in the approaches into the Intermediary Bridge. The Charter's legitimacy grows with its circle, and its circle stands open.</w:t>
      </w:r>
    </w:p>
    <w:p>
      <w:pPr>
        <w:pStyle w:val="Heading2"/>
        <w:keepNext w:val="true"/>
        <w:keepLines/>
        <w:bidi w:val="0"/>
        <w:spacing w:before="280" w:after="120"/>
        <w:rPr/>
      </w:pPr>
      <w:bookmarkStart w:id="347" w:name="__RefHeading___Toc4141_4199434714"/>
      <w:bookmarkEnd w:id="347"/>
      <w:r>
        <w:rPr/>
        <w:t>Article 85: The Final Word</w:t>
      </w:r>
    </w:p>
    <w:p>
      <w:pPr>
        <w:pStyle w:val="Heading3"/>
        <w:keepNext w:val="true"/>
        <w:keepLines/>
        <w:bidi w:val="0"/>
        <w:spacing w:before="220" w:after="100"/>
        <w:rPr/>
      </w:pPr>
      <w:bookmarkStart w:id="348" w:name="__RefHeading___Toc4143_4199434714"/>
      <w:bookmarkEnd w:id="348"/>
      <w:r>
        <w:rPr/>
        <w:t>85.1 The Parties' Declaration</w:t>
      </w:r>
    </w:p>
    <w:p>
      <w:pPr>
        <w:pStyle w:val="Normal"/>
        <w:bidi w:val="0"/>
        <w:spacing w:lineRule="auto" w:line="288" w:before="0" w:after="80"/>
        <w:jc w:val="both"/>
        <w:rPr/>
      </w:pPr>
      <w:r>
        <w:rPr/>
        <w:t>85.1.1 The Parties declare their common resolve: that the Strait of Hormuz, having carried the wealth and the danger of the region for generations, henceforth carries them under rules written together; that the water belongs to no one and serves everyone; that the mariner crossing tonight crosses under the protection of a whole region standing watch; and that this Charter endures beyond the disputes of any season, dormant at worst, never dead, because the sea outlasts every quarrel conducted upon it.</w:t>
      </w:r>
    </w:p>
    <w:p>
      <w:pPr>
        <w:pStyle w:val="Heading2"/>
        <w:keepNext w:val="true"/>
        <w:keepLines/>
        <w:bidi w:val="0"/>
        <w:spacing w:before="280" w:after="120"/>
        <w:rPr/>
      </w:pPr>
      <w:bookmarkStart w:id="349" w:name="__RefHeading___Toc4145_4199434714"/>
      <w:bookmarkEnd w:id="349"/>
      <w:r>
        <w:rPr/>
        <w:t>Signature Blocks</w:t>
      </w:r>
    </w:p>
    <w:tbl>
      <w:tblPr>
        <w:tblW w:w="5000" w:type="pct"/>
        <w:jc w:val="left"/>
        <w:tblInd w:w="-8" w:type="dxa"/>
        <w:tblLayout w:type="fixed"/>
        <w:tblCellMar>
          <w:top w:w="60" w:type="dxa"/>
          <w:left w:w="100" w:type="dxa"/>
          <w:bottom w:w="60" w:type="dxa"/>
          <w:right w:w="100" w:type="dxa"/>
        </w:tblCellMar>
      </w:tblPr>
      <w:tblGrid>
        <w:gridCol w:w="3008"/>
        <w:gridCol w:w="3009"/>
        <w:gridCol w:w="3009"/>
      </w:tblGrid>
      <w:tr>
        <w:trPr>
          <w:tblHeader w:val="true"/>
        </w:trPr>
        <w:tc>
          <w:tcPr>
            <w:tcW w:w="3008" w:type="dxa"/>
            <w:tcBorders>
              <w:top w:val="single" w:sz="12" w:space="0" w:color="2F4858"/>
              <w:bottom w:val="single" w:sz="6" w:space="0" w:color="2F4858"/>
            </w:tcBorders>
            <w:shd w:fill="EDF1F3" w:val="clear"/>
          </w:tcPr>
          <w:p>
            <w:pPr>
              <w:pStyle w:val="Normal"/>
              <w:widowControl w:val="false"/>
              <w:bidi w:val="0"/>
              <w:spacing w:lineRule="auto" w:line="276" w:before="0" w:after="0"/>
              <w:rPr/>
            </w:pPr>
            <w:r>
              <w:rPr>
                <w:b/>
                <w:color w:val="26333B"/>
                <w:sz w:val="19"/>
              </w:rPr>
              <w:t>Party</w:t>
            </w:r>
          </w:p>
        </w:tc>
        <w:tc>
          <w:tcPr>
            <w:tcW w:w="3009" w:type="dxa"/>
            <w:tcBorders>
              <w:top w:val="single" w:sz="12" w:space="0" w:color="2F4858"/>
              <w:bottom w:val="single" w:sz="6" w:space="0" w:color="2F4858"/>
            </w:tcBorders>
            <w:shd w:fill="EDF1F3" w:val="clear"/>
          </w:tcPr>
          <w:p>
            <w:pPr>
              <w:pStyle w:val="Normal"/>
              <w:widowControl w:val="false"/>
              <w:bidi w:val="0"/>
              <w:spacing w:lineRule="auto" w:line="276" w:before="0" w:after="0"/>
              <w:rPr/>
            </w:pPr>
            <w:r>
              <w:rPr>
                <w:b/>
                <w:color w:val="26333B"/>
                <w:sz w:val="19"/>
              </w:rPr>
              <w:t>Representative</w:t>
            </w:r>
          </w:p>
        </w:tc>
        <w:tc>
          <w:tcPr>
            <w:tcW w:w="3009" w:type="dxa"/>
            <w:tcBorders>
              <w:top w:val="single" w:sz="12" w:space="0" w:color="2F4858"/>
              <w:bottom w:val="single" w:sz="6" w:space="0" w:color="2F4858"/>
            </w:tcBorders>
            <w:shd w:fill="EDF1F3" w:val="clear"/>
          </w:tcPr>
          <w:p>
            <w:pPr>
              <w:pStyle w:val="Normal"/>
              <w:widowControl w:val="false"/>
              <w:bidi w:val="0"/>
              <w:spacing w:lineRule="auto" w:line="276" w:before="0" w:after="0"/>
              <w:rPr/>
            </w:pPr>
            <w:r>
              <w:rPr>
                <w:b/>
                <w:color w:val="26333B"/>
                <w:sz w:val="19"/>
              </w:rPr>
              <w:t>Date</w:t>
            </w:r>
          </w:p>
        </w:tc>
      </w:tr>
      <w:tr>
        <w:trPr/>
        <w:tc>
          <w:tcPr>
            <w:tcW w:w="3008"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Islamic Republic of Iran</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r>
      <w:tr>
        <w:trPr/>
        <w:tc>
          <w:tcPr>
            <w:tcW w:w="3008"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Sultanate of Oman</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r>
      <w:tr>
        <w:trPr/>
        <w:tc>
          <w:tcPr>
            <w:tcW w:w="3008"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Kingdom of Saudi Arabia</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r>
      <w:tr>
        <w:trPr/>
        <w:tc>
          <w:tcPr>
            <w:tcW w:w="3008"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United Arab Emirates</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r>
      <w:tr>
        <w:trPr/>
        <w:tc>
          <w:tcPr>
            <w:tcW w:w="3008"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State of Qatar</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r>
      <w:tr>
        <w:trPr/>
        <w:tc>
          <w:tcPr>
            <w:tcW w:w="3008"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State of Kuwait</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r>
      <w:tr>
        <w:trPr/>
        <w:tc>
          <w:tcPr>
            <w:tcW w:w="3008"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Kingdom of Bahrain</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r>
      <w:tr>
        <w:trPr/>
        <w:tc>
          <w:tcPr>
            <w:tcW w:w="3008" w:type="dxa"/>
            <w:tcBorders>
              <w:top w:val="single" w:sz="4" w:space="0" w:color="C9CFD4"/>
              <w:bottom w:val="single" w:sz="12" w:space="0" w:color="2F4858"/>
            </w:tcBorders>
          </w:tcPr>
          <w:p>
            <w:pPr>
              <w:pStyle w:val="Normal"/>
              <w:widowControl w:val="false"/>
              <w:bidi w:val="0"/>
              <w:spacing w:lineRule="auto" w:line="276" w:before="0" w:after="0"/>
              <w:rPr/>
            </w:pPr>
            <w:r>
              <w:rPr>
                <w:color w:val="26333B"/>
                <w:sz w:val="19"/>
              </w:rPr>
              <w:t>Republic of Iraq</w:t>
            </w:r>
          </w:p>
        </w:tc>
        <w:tc>
          <w:tcPr>
            <w:tcW w:w="3009" w:type="dxa"/>
            <w:tcBorders>
              <w:top w:val="single" w:sz="4" w:space="0" w:color="C9CFD4"/>
              <w:bottom w:val="single" w:sz="12" w:space="0" w:color="2F4858"/>
            </w:tcBorders>
          </w:tcPr>
          <w:p>
            <w:pPr>
              <w:pStyle w:val="Normal"/>
              <w:widowControl w:val="false"/>
              <w:bidi w:val="0"/>
              <w:spacing w:lineRule="auto" w:line="276" w:before="0" w:after="0"/>
              <w:rPr/>
            </w:pPr>
            <w:r>
              <w:rPr/>
            </w:r>
          </w:p>
        </w:tc>
        <w:tc>
          <w:tcPr>
            <w:tcW w:w="3009" w:type="dxa"/>
            <w:tcBorders>
              <w:top w:val="single" w:sz="4" w:space="0" w:color="C9CFD4"/>
              <w:bottom w:val="single" w:sz="12" w:space="0" w:color="2F4858"/>
            </w:tcBorders>
          </w:tcPr>
          <w:p>
            <w:pPr>
              <w:pStyle w:val="Normal"/>
              <w:widowControl w:val="false"/>
              <w:bidi w:val="0"/>
              <w:spacing w:lineRule="auto" w:line="276" w:before="0" w:after="0"/>
              <w:rPr/>
            </w:pPr>
            <w:r>
              <w:rPr/>
            </w:r>
          </w:p>
        </w:tc>
      </w:tr>
    </w:tbl>
    <w:p>
      <w:pPr>
        <w:pStyle w:val="Normal"/>
        <w:bidi w:val="0"/>
        <w:spacing w:before="0" w:after="160"/>
        <w:rPr/>
      </w:pPr>
      <w:r>
        <w:rPr/>
      </w:r>
    </w:p>
    <w:p>
      <w:pPr>
        <w:pStyle w:val="Heading2"/>
        <w:keepNext w:val="true"/>
        <w:keepLines/>
        <w:bidi w:val="0"/>
        <w:spacing w:before="280" w:after="120"/>
        <w:rPr/>
      </w:pPr>
      <w:bookmarkStart w:id="350" w:name="__RefHeading___Toc4147_4199434714"/>
      <w:bookmarkEnd w:id="350"/>
      <w:r>
        <w:rPr/>
        <w:t>Witnesses and Standing Observers</w:t>
      </w:r>
    </w:p>
    <w:tbl>
      <w:tblPr>
        <w:tblW w:w="5000" w:type="pct"/>
        <w:jc w:val="left"/>
        <w:tblInd w:w="-8" w:type="dxa"/>
        <w:tblLayout w:type="fixed"/>
        <w:tblCellMar>
          <w:top w:w="60" w:type="dxa"/>
          <w:left w:w="100" w:type="dxa"/>
          <w:bottom w:w="60" w:type="dxa"/>
          <w:right w:w="100" w:type="dxa"/>
        </w:tblCellMar>
      </w:tblPr>
      <w:tblGrid>
        <w:gridCol w:w="3008"/>
        <w:gridCol w:w="3009"/>
        <w:gridCol w:w="3009"/>
      </w:tblGrid>
      <w:tr>
        <w:trPr>
          <w:tblHeader w:val="true"/>
        </w:trPr>
        <w:tc>
          <w:tcPr>
            <w:tcW w:w="3008" w:type="dxa"/>
            <w:tcBorders>
              <w:top w:val="single" w:sz="12" w:space="0" w:color="2F4858"/>
              <w:bottom w:val="single" w:sz="6" w:space="0" w:color="2F4858"/>
            </w:tcBorders>
            <w:shd w:fill="EDF1F3" w:val="clear"/>
          </w:tcPr>
          <w:p>
            <w:pPr>
              <w:pStyle w:val="Normal"/>
              <w:widowControl w:val="false"/>
              <w:bidi w:val="0"/>
              <w:spacing w:lineRule="auto" w:line="276" w:before="0" w:after="0"/>
              <w:rPr/>
            </w:pPr>
            <w:r>
              <w:rPr>
                <w:b/>
                <w:color w:val="26333B"/>
                <w:sz w:val="19"/>
              </w:rPr>
              <w:t>Participant</w:t>
            </w:r>
          </w:p>
        </w:tc>
        <w:tc>
          <w:tcPr>
            <w:tcW w:w="3009" w:type="dxa"/>
            <w:tcBorders>
              <w:top w:val="single" w:sz="12" w:space="0" w:color="2F4858"/>
              <w:bottom w:val="single" w:sz="6" w:space="0" w:color="2F4858"/>
            </w:tcBorders>
            <w:shd w:fill="EDF1F3" w:val="clear"/>
          </w:tcPr>
          <w:p>
            <w:pPr>
              <w:pStyle w:val="Normal"/>
              <w:widowControl w:val="false"/>
              <w:bidi w:val="0"/>
              <w:spacing w:lineRule="auto" w:line="276" w:before="0" w:after="0"/>
              <w:rPr/>
            </w:pPr>
            <w:r>
              <w:rPr>
                <w:b/>
                <w:color w:val="26333B"/>
                <w:sz w:val="19"/>
              </w:rPr>
              <w:t>Representative</w:t>
            </w:r>
          </w:p>
        </w:tc>
        <w:tc>
          <w:tcPr>
            <w:tcW w:w="3009" w:type="dxa"/>
            <w:tcBorders>
              <w:top w:val="single" w:sz="12" w:space="0" w:color="2F4858"/>
              <w:bottom w:val="single" w:sz="6" w:space="0" w:color="2F4858"/>
            </w:tcBorders>
            <w:shd w:fill="EDF1F3" w:val="clear"/>
          </w:tcPr>
          <w:p>
            <w:pPr>
              <w:pStyle w:val="Normal"/>
              <w:widowControl w:val="false"/>
              <w:bidi w:val="0"/>
              <w:spacing w:lineRule="auto" w:line="276" w:before="0" w:after="0"/>
              <w:rPr/>
            </w:pPr>
            <w:r>
              <w:rPr>
                <w:b/>
                <w:color w:val="26333B"/>
                <w:sz w:val="19"/>
              </w:rPr>
              <w:t>Date</w:t>
            </w:r>
          </w:p>
        </w:tc>
      </w:tr>
      <w:tr>
        <w:trPr/>
        <w:tc>
          <w:tcPr>
            <w:tcW w:w="3008"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International Maritime Organization (Standing Observer)</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r>
      <w:tr>
        <w:trPr/>
        <w:tc>
          <w:tcPr>
            <w:tcW w:w="3008" w:type="dxa"/>
            <w:tcBorders>
              <w:top w:val="single" w:sz="4" w:space="0" w:color="C9CFD4"/>
              <w:bottom w:val="single" w:sz="4" w:space="0" w:color="C9CFD4"/>
            </w:tcBorders>
          </w:tcPr>
          <w:p>
            <w:pPr>
              <w:pStyle w:val="Normal"/>
              <w:widowControl w:val="false"/>
              <w:bidi w:val="0"/>
              <w:spacing w:lineRule="auto" w:line="276" w:before="0" w:after="0"/>
              <w:rPr/>
            </w:pPr>
            <w:r>
              <w:rPr>
                <w:color w:val="26333B"/>
                <w:sz w:val="19"/>
              </w:rPr>
              <w:t>United Nations (Observer and Humanitarian Coordinator)</w:t>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c>
          <w:tcPr>
            <w:tcW w:w="3009" w:type="dxa"/>
            <w:tcBorders>
              <w:top w:val="single" w:sz="4" w:space="0" w:color="C9CFD4"/>
              <w:bottom w:val="single" w:sz="4" w:space="0" w:color="C9CFD4"/>
            </w:tcBorders>
          </w:tcPr>
          <w:p>
            <w:pPr>
              <w:pStyle w:val="Normal"/>
              <w:widowControl w:val="false"/>
              <w:bidi w:val="0"/>
              <w:spacing w:lineRule="auto" w:line="276" w:before="0" w:after="0"/>
              <w:rPr/>
            </w:pPr>
            <w:r>
              <w:rPr/>
            </w:r>
          </w:p>
        </w:tc>
      </w:tr>
      <w:tr>
        <w:trPr/>
        <w:tc>
          <w:tcPr>
            <w:tcW w:w="3008" w:type="dxa"/>
            <w:tcBorders>
              <w:top w:val="single" w:sz="4" w:space="0" w:color="C9CFD4"/>
              <w:bottom w:val="single" w:sz="12" w:space="0" w:color="2F4858"/>
            </w:tcBorders>
          </w:tcPr>
          <w:p>
            <w:pPr>
              <w:pStyle w:val="Normal"/>
              <w:widowControl w:val="false"/>
              <w:bidi w:val="0"/>
              <w:spacing w:lineRule="auto" w:line="276" w:before="0" w:after="0"/>
              <w:rPr/>
            </w:pPr>
            <w:r>
              <w:rPr>
                <w:color w:val="26333B"/>
                <w:sz w:val="19"/>
              </w:rPr>
              <w:t>Depositary: Sultanate of Oman</w:t>
            </w:r>
          </w:p>
        </w:tc>
        <w:tc>
          <w:tcPr>
            <w:tcW w:w="3009" w:type="dxa"/>
            <w:tcBorders>
              <w:top w:val="single" w:sz="4" w:space="0" w:color="C9CFD4"/>
              <w:bottom w:val="single" w:sz="12" w:space="0" w:color="2F4858"/>
            </w:tcBorders>
          </w:tcPr>
          <w:p>
            <w:pPr>
              <w:pStyle w:val="Normal"/>
              <w:widowControl w:val="false"/>
              <w:bidi w:val="0"/>
              <w:spacing w:lineRule="auto" w:line="276" w:before="0" w:after="0"/>
              <w:rPr/>
            </w:pPr>
            <w:r>
              <w:rPr/>
            </w:r>
          </w:p>
        </w:tc>
        <w:tc>
          <w:tcPr>
            <w:tcW w:w="3009" w:type="dxa"/>
            <w:tcBorders>
              <w:top w:val="single" w:sz="4" w:space="0" w:color="C9CFD4"/>
              <w:bottom w:val="single" w:sz="12" w:space="0" w:color="2F4858"/>
            </w:tcBorders>
          </w:tcPr>
          <w:p>
            <w:pPr>
              <w:pStyle w:val="Normal"/>
              <w:widowControl w:val="false"/>
              <w:bidi w:val="0"/>
              <w:spacing w:lineRule="auto" w:line="276" w:before="0" w:after="0"/>
              <w:rPr/>
            </w:pPr>
            <w:r>
              <w:rPr/>
            </w:r>
          </w:p>
        </w:tc>
      </w:tr>
    </w:tbl>
    <w:p>
      <w:pPr>
        <w:pStyle w:val="Normal"/>
        <w:bidi w:val="0"/>
        <w:spacing w:before="0" w:after="160"/>
        <w:rPr/>
      </w:pPr>
      <w:r>
        <w:rPr/>
      </w:r>
    </w:p>
    <w:p>
      <w:pPr>
        <w:pStyle w:val="Heading1"/>
        <w:keepNext w:val="true"/>
        <w:keepLines/>
        <w:pBdr>
          <w:bottom w:val="single" w:sz="12" w:space="6" w:color="B8860B"/>
        </w:pBdr>
        <w:bidi w:val="0"/>
        <w:spacing w:before="0" w:after="360"/>
        <w:rPr/>
      </w:pPr>
      <w:bookmarkStart w:id="351" w:name="__RefHeading___Toc4149_4199434714"/>
      <w:bookmarkEnd w:id="351"/>
      <w:r>
        <w:rPr/>
        <w:t>ANNEXES</w:t>
      </w:r>
    </w:p>
    <w:p>
      <w:pPr>
        <w:pStyle w:val="Heading2"/>
        <w:keepNext w:val="true"/>
        <w:keepLines/>
        <w:bidi w:val="0"/>
        <w:spacing w:before="280" w:after="120"/>
        <w:rPr/>
      </w:pPr>
      <w:bookmarkStart w:id="352" w:name="__RefHeading___Toc4151_4199434714"/>
      <w:bookmarkEnd w:id="352"/>
      <w:r>
        <w:rPr/>
        <w:t>Annex A: The Neutral Coordinate Registry</w:t>
      </w:r>
    </w:p>
    <w:p>
      <w:pPr>
        <w:pStyle w:val="Heading3"/>
        <w:keepNext w:val="true"/>
        <w:keepLines/>
        <w:bidi w:val="0"/>
        <w:spacing w:before="220" w:after="100"/>
        <w:rPr/>
      </w:pPr>
      <w:bookmarkStart w:id="353" w:name="__RefHeading___Toc4153_4199434714"/>
      <w:bookmarkEnd w:id="353"/>
      <w:r>
        <w:rPr/>
        <w:t>A.1 Standing Rules</w:t>
      </w:r>
    </w:p>
    <w:p>
      <w:pPr>
        <w:pStyle w:val="Normal"/>
        <w:bidi w:val="0"/>
        <w:spacing w:lineRule="auto" w:line="288" w:before="0" w:after="80"/>
        <w:jc w:val="both"/>
        <w:rPr/>
      </w:pPr>
      <w:r>
        <w:rPr/>
        <w:t>A.1.1 This Annex holds the narrative frame of the Registry. The Registry's live coordinate tables reside in the Secretariat's Registry system and publish through the Bulletin; the printed coordinates below mark the reference geometry as of signature, and the Registry record controls in any divergence.</w:t>
      </w:r>
    </w:p>
    <w:p>
      <w:pPr>
        <w:pStyle w:val="Normal"/>
        <w:bidi w:val="0"/>
        <w:spacing w:lineRule="auto" w:line="288" w:before="0" w:after="80"/>
        <w:jc w:val="both"/>
        <w:rPr/>
      </w:pPr>
      <w:r>
        <w:rPr/>
        <w:t>A.1.2 All coordinates use WGS-84. All distances use nautical miles. Bearings are true.</w:t>
      </w:r>
    </w:p>
    <w:p>
      <w:pPr>
        <w:pStyle w:val="Heading3"/>
        <w:keepNext w:val="true"/>
        <w:keepLines/>
        <w:bidi w:val="0"/>
        <w:spacing w:before="220" w:after="100"/>
        <w:rPr/>
      </w:pPr>
      <w:bookmarkStart w:id="354" w:name="__RefHeading___Toc4155_4199434714"/>
      <w:bookmarkEnd w:id="354"/>
      <w:r>
        <w:rPr/>
        <w:t>A.2 The Governance Area Boundary</w:t>
      </w:r>
    </w:p>
    <w:p>
      <w:pPr>
        <w:pStyle w:val="Normal"/>
        <w:bidi w:val="0"/>
        <w:spacing w:lineRule="auto" w:line="288" w:before="0" w:after="80"/>
        <w:jc w:val="both"/>
        <w:rPr/>
      </w:pPr>
      <w:r>
        <w:rPr/>
        <w:t>A.2.1 Western boundary: the line joining the reference points W-1 through W-4 across the inner approaches, as tabled in Registry Section R-1.</w:t>
      </w:r>
    </w:p>
    <w:p>
      <w:pPr>
        <w:pStyle w:val="Normal"/>
        <w:bidi w:val="0"/>
        <w:spacing w:lineRule="auto" w:line="288" w:before="0" w:after="80"/>
        <w:jc w:val="both"/>
        <w:rPr/>
      </w:pPr>
      <w:r>
        <w:rPr/>
        <w:t>A.2.2 Eastern boundary: the line joining reference points E-1 through E-5 across the Gulf of Oman approaches, as tabled in Registry Section R-1.</w:t>
      </w:r>
    </w:p>
    <w:p>
      <w:pPr>
        <w:pStyle w:val="Normal"/>
        <w:bidi w:val="0"/>
        <w:spacing w:lineRule="auto" w:line="288" w:before="0" w:after="80"/>
        <w:jc w:val="both"/>
        <w:rPr/>
      </w:pPr>
      <w:r>
        <w:rPr/>
        <w:t>A.2.3 The Governance Area includes the corridor lanes, the Central Buffer, the designated anchorages, the survey tracks, and the standoff zones, and excludes the internal waters and port approaches of the Parties beyond the lines tabled in Registry Section R-2.</w:t>
      </w:r>
    </w:p>
    <w:p>
      <w:pPr>
        <w:pStyle w:val="Heading3"/>
        <w:keepNext w:val="true"/>
        <w:keepLines/>
        <w:bidi w:val="0"/>
        <w:spacing w:before="220" w:after="100"/>
        <w:rPr/>
      </w:pPr>
      <w:bookmarkStart w:id="355" w:name="__RefHeading___Toc4157_4199434714"/>
      <w:bookmarkEnd w:id="355"/>
      <w:r>
        <w:rPr/>
        <w:t>A.3 Corridor One, Reference Geometry</w:t>
      </w:r>
    </w:p>
    <w:p>
      <w:pPr>
        <w:pStyle w:val="Normal"/>
        <w:bidi w:val="0"/>
        <w:spacing w:lineRule="auto" w:line="288" w:before="0" w:after="80"/>
        <w:jc w:val="both"/>
        <w:rPr/>
      </w:pPr>
      <w:r>
        <w:rPr/>
        <w:t>A.3.1 Corridor One runs from Eastern Entry Gate N-IN at the position tabled in Registry Section R-3, along the northern lane adjacent to the Iranian coast, lane width as tabled, to Western Exit Gate N-OUT, with reporting points at the intervals tabled in Registry Section R-3.</w:t>
      </w:r>
    </w:p>
    <w:p>
      <w:pPr>
        <w:pStyle w:val="Normal"/>
        <w:bidi w:val="0"/>
        <w:spacing w:lineRule="auto" w:line="288" w:before="0" w:after="80"/>
        <w:jc w:val="both"/>
        <w:rPr/>
      </w:pPr>
      <w:r>
        <w:rPr/>
        <w:t>A.3.2 The lane accommodates two-way-capable geometry for emergency reversal but operates one-way inbound in normal states.</w:t>
      </w:r>
    </w:p>
    <w:p>
      <w:pPr>
        <w:pStyle w:val="Heading3"/>
        <w:keepNext w:val="true"/>
        <w:keepLines/>
        <w:bidi w:val="0"/>
        <w:spacing w:before="220" w:after="100"/>
        <w:rPr/>
      </w:pPr>
      <w:bookmarkStart w:id="356" w:name="__RefHeading___Toc4159_4199434714"/>
      <w:bookmarkEnd w:id="356"/>
      <w:r>
        <w:rPr/>
        <w:t>A.4 Corridor Two, Reference Geometry</w:t>
      </w:r>
    </w:p>
    <w:p>
      <w:pPr>
        <w:pStyle w:val="Normal"/>
        <w:bidi w:val="0"/>
        <w:spacing w:lineRule="auto" w:line="288" w:before="0" w:after="80"/>
        <w:jc w:val="both"/>
        <w:rPr/>
      </w:pPr>
      <w:r>
        <w:rPr/>
        <w:t>A.4.1 Corridor Two runs from Western Entry Gate S-IN at the position tabled in Registry Section R-4, along the southern lane adjacent to the Omani coast, to Eastern Exit Gate S-OUT, with reporting points as tabled in Registry Section R-4.</w:t>
      </w:r>
    </w:p>
    <w:p>
      <w:pPr>
        <w:pStyle w:val="Normal"/>
        <w:bidi w:val="0"/>
        <w:spacing w:lineRule="auto" w:line="288" w:before="0" w:after="80"/>
        <w:jc w:val="both"/>
        <w:rPr/>
      </w:pPr>
      <w:r>
        <w:rPr/>
        <w:t>A.4.2 Corridor Two carries the Fast-Track function of Article 59 and hosts the primary waiting area at Anchorage S-WAIT.</w:t>
      </w:r>
    </w:p>
    <w:p>
      <w:pPr>
        <w:pStyle w:val="Heading3"/>
        <w:keepNext w:val="true"/>
        <w:keepLines/>
        <w:bidi w:val="0"/>
        <w:spacing w:before="220" w:after="100"/>
        <w:rPr/>
      </w:pPr>
      <w:bookmarkStart w:id="357" w:name="__RefHeading___Toc4161_4199434714"/>
      <w:bookmarkEnd w:id="357"/>
      <w:r>
        <w:rPr/>
        <w:t>A.5 The Central Buffer</w:t>
      </w:r>
    </w:p>
    <w:p>
      <w:pPr>
        <w:pStyle w:val="Normal"/>
        <w:bidi w:val="0"/>
        <w:spacing w:lineRule="auto" w:line="288" w:before="0" w:after="80"/>
        <w:jc w:val="both"/>
        <w:rPr/>
      </w:pPr>
      <w:r>
        <w:rPr/>
        <w:t>A.5.1 The Central Buffer occupies the separation geometry between the corridor lanes as tabled in Registry Section R-5, including the emergency holding positions, the convoy staging geometry, and the survey tracks.</w:t>
      </w:r>
    </w:p>
    <w:p>
      <w:pPr>
        <w:pStyle w:val="Heading3"/>
        <w:keepNext w:val="true"/>
        <w:keepLines/>
        <w:bidi w:val="0"/>
        <w:spacing w:before="220" w:after="100"/>
        <w:rPr/>
      </w:pPr>
      <w:bookmarkStart w:id="358" w:name="__RefHeading___Toc4163_4199434714"/>
      <w:bookmarkEnd w:id="358"/>
      <w:r>
        <w:rPr/>
        <w:t>A.6 The Red Lines Register</w:t>
      </w:r>
    </w:p>
    <w:p>
      <w:pPr>
        <w:pStyle w:val="Normal"/>
        <w:bidi w:val="0"/>
        <w:spacing w:lineRule="auto" w:line="288" w:before="0" w:after="80"/>
        <w:jc w:val="both"/>
        <w:rPr/>
      </w:pPr>
      <w:r>
        <w:rPr/>
        <w:t>A.6.1 The Register records the closed list of absolutely prohibited acts within the Governance Area:</w:t>
      </w:r>
    </w:p>
    <w:p>
      <w:pPr>
        <w:pStyle w:val="Normal"/>
        <w:bidi w:val="0"/>
        <w:spacing w:lineRule="auto" w:line="288" w:before="0" w:after="80"/>
        <w:jc w:val="both"/>
        <w:rPr/>
      </w:pPr>
      <w:r>
        <w:rPr/>
        <w:t>(a) The emplacement, deployment, or toleration of naval mines or equivalent explosive sea denial devices;</w:t>
      </w:r>
    </w:p>
    <w:p>
      <w:pPr>
        <w:pStyle w:val="Normal"/>
        <w:bidi w:val="0"/>
        <w:spacing w:lineRule="auto" w:line="288" w:before="0" w:after="80"/>
        <w:jc w:val="both"/>
        <w:rPr/>
      </w:pPr>
      <w:r>
        <w:rPr/>
        <w:t>(b) Attack upon, seizure of, or coercive boarding of any merchant vessel in transit passage;</w:t>
      </w:r>
    </w:p>
    <w:p>
      <w:pPr>
        <w:pStyle w:val="Normal"/>
        <w:bidi w:val="0"/>
        <w:spacing w:lineRule="auto" w:line="288" w:before="0" w:after="80"/>
        <w:jc w:val="both"/>
        <w:rPr/>
      </w:pPr>
      <w:r>
        <w:rPr/>
        <w:t>(c) Coercive interference with transit, including coercive hailing, enforced diversion, and denial-of-navigation electronic attack directed at merchant vessels;</w:t>
      </w:r>
    </w:p>
    <w:p>
      <w:pPr>
        <w:pStyle w:val="Normal"/>
        <w:bidi w:val="0"/>
        <w:spacing w:lineRule="auto" w:line="288" w:before="0" w:after="80"/>
        <w:jc w:val="both"/>
        <w:rPr/>
      </w:pPr>
      <w:r>
        <w:rPr/>
        <w:t>(d) Live-fire, missile, or uncrewed-weapon employment inside corridor lanes or the Central Buffer;</w:t>
      </w:r>
    </w:p>
    <w:p>
      <w:pPr>
        <w:pStyle w:val="Normal"/>
        <w:bidi w:val="0"/>
        <w:spacing w:lineRule="auto" w:line="288" w:before="0" w:after="80"/>
        <w:jc w:val="both"/>
        <w:rPr/>
      </w:pPr>
      <w:r>
        <w:rPr/>
        <w:t>(e) Interference with, spoofing of, or attack upon the corridor system's sensors, communications, data systems, or publications;</w:t>
      </w:r>
    </w:p>
    <w:p>
      <w:pPr>
        <w:pStyle w:val="Normal"/>
        <w:bidi w:val="0"/>
        <w:spacing w:lineRule="auto" w:line="288" w:before="0" w:after="80"/>
        <w:jc w:val="both"/>
        <w:rPr/>
      </w:pPr>
      <w:r>
        <w:rPr/>
        <w:t>(f) Any exaction that fails the substance test of Article 27.</w:t>
      </w:r>
    </w:p>
    <w:p>
      <w:pPr>
        <w:pStyle w:val="Normal"/>
        <w:bidi w:val="0"/>
        <w:spacing w:lineRule="auto" w:line="288" w:before="0" w:after="80"/>
        <w:jc w:val="both"/>
        <w:rPr/>
      </w:pPr>
      <w:r>
        <w:rPr/>
        <w:t>A.6.2 The Register amends only under Article 66's full procedure.</w:t>
      </w:r>
    </w:p>
    <w:p>
      <w:pPr>
        <w:pStyle w:val="Heading3"/>
        <w:keepNext w:val="true"/>
        <w:keepLines/>
        <w:bidi w:val="0"/>
        <w:spacing w:before="220" w:after="100"/>
        <w:rPr/>
      </w:pPr>
      <w:bookmarkStart w:id="359" w:name="__RefHeading___Toc4165_4199434714"/>
      <w:bookmarkEnd w:id="359"/>
      <w:r>
        <w:rPr/>
        <w:t>A.7 Standoff Geometry Tables</w:t>
      </w:r>
    </w:p>
    <w:p>
      <w:pPr>
        <w:pStyle w:val="Normal"/>
        <w:bidi w:val="0"/>
        <w:spacing w:lineRule="auto" w:line="288" w:before="0" w:after="80"/>
        <w:jc w:val="both"/>
        <w:rPr/>
      </w:pPr>
      <w:r>
        <w:rPr/>
        <w:t>A.7.1 Registry Section R-6 tables the minimum separation distances: naval unit to merchant lane; naval unit to opposing naval unit; exercise area to corridor; weapon envelope to corridor. The tables tighten automatically by the factors of Annex C in Amber, Red, and Black states.</w:t>
      </w:r>
    </w:p>
    <w:p>
      <w:pPr>
        <w:pStyle w:val="Heading3"/>
        <w:keepNext w:val="true"/>
        <w:keepLines/>
        <w:bidi w:val="0"/>
        <w:spacing w:before="220" w:after="100"/>
        <w:rPr/>
      </w:pPr>
      <w:bookmarkStart w:id="360" w:name="__RefHeading___Toc4167_4199434714"/>
      <w:bookmarkEnd w:id="360"/>
      <w:r>
        <w:rPr/>
        <w:t>A.8 Anchorages and Hub Ports</w:t>
      </w:r>
    </w:p>
    <w:p>
      <w:pPr>
        <w:pStyle w:val="Normal"/>
        <w:bidi w:val="0"/>
        <w:spacing w:lineRule="auto" w:line="288" w:before="0" w:after="80"/>
        <w:jc w:val="both"/>
        <w:rPr/>
      </w:pPr>
      <w:r>
        <w:rPr/>
        <w:t>A.8.1 Registry Section R-7 tables the designated anchorages, the regional hub ports for crew change and repatriation, the roster ports for spill response, and the humanitarian staging positions.</w:t>
      </w:r>
    </w:p>
    <w:p>
      <w:pPr>
        <w:pStyle w:val="Heading2"/>
        <w:keepNext w:val="true"/>
        <w:keepLines/>
        <w:bidi w:val="0"/>
        <w:spacing w:before="280" w:after="120"/>
        <w:rPr/>
      </w:pPr>
      <w:bookmarkStart w:id="361" w:name="__RefHeading___Toc4169_4199434714"/>
      <w:bookmarkEnd w:id="361"/>
      <w:r>
        <w:rPr/>
        <w:t>Annex B: The Verified Services Catalog and the Rate Card</w:t>
      </w:r>
    </w:p>
    <w:p>
      <w:pPr>
        <w:pStyle w:val="Heading3"/>
        <w:keepNext w:val="true"/>
        <w:keepLines/>
        <w:bidi w:val="0"/>
        <w:spacing w:before="220" w:after="100"/>
        <w:rPr/>
      </w:pPr>
      <w:bookmarkStart w:id="362" w:name="__RefHeading___Toc4171_4199434714"/>
      <w:bookmarkEnd w:id="362"/>
      <w:r>
        <w:rPr/>
        <w:t>B.1 Catalog Structure</w:t>
      </w:r>
    </w:p>
    <w:p>
      <w:pPr>
        <w:pStyle w:val="Normal"/>
        <w:bidi w:val="0"/>
        <w:spacing w:lineRule="auto" w:line="288" w:before="0" w:after="80"/>
        <w:jc w:val="both"/>
        <w:rPr/>
      </w:pPr>
      <w:r>
        <w:rPr/>
        <w:t>B.1.1 Each Catalog entry states: the service; the provider class; the request-or-benefit basis; the documentation standard for delivery; and the rate cap.</w:t>
      </w:r>
    </w:p>
    <w:p>
      <w:pPr>
        <w:pStyle w:val="Heading3"/>
        <w:keepNext w:val="true"/>
        <w:keepLines/>
        <w:bidi w:val="0"/>
        <w:spacing w:before="220" w:after="100"/>
        <w:rPr/>
      </w:pPr>
      <w:bookmarkStart w:id="363" w:name="__RefHeading___Toc4173_4199434714"/>
      <w:bookmarkEnd w:id="363"/>
      <w:r>
        <w:rPr/>
        <w:t>B.2 The Catalog</w:t>
      </w:r>
    </w:p>
    <w:p>
      <w:pPr>
        <w:pStyle w:val="Normal"/>
        <w:bidi w:val="0"/>
        <w:spacing w:lineRule="auto" w:line="288" w:before="0" w:after="80"/>
        <w:jc w:val="both"/>
        <w:rPr/>
      </w:pPr>
      <w:r>
        <w:rPr/>
        <w:t>B.2.1 Service S-1, Pilotage: on request; delivered by licensed coastal-state pilots; rate cap per transit as tabled in the Rate Card.</w:t>
      </w:r>
    </w:p>
    <w:p>
      <w:pPr>
        <w:pStyle w:val="Normal"/>
        <w:bidi w:val="0"/>
        <w:spacing w:lineRule="auto" w:line="288" w:before="0" w:after="80"/>
        <w:jc w:val="both"/>
        <w:rPr/>
      </w:pPr>
      <w:r>
        <w:rPr/>
        <w:t>B.2.2 Service S-2, Tug and Escort Assistance: on request; delivered by certified providers; rate cap per operation as tabled.</w:t>
      </w:r>
    </w:p>
    <w:p>
      <w:pPr>
        <w:pStyle w:val="Normal"/>
        <w:bidi w:val="0"/>
        <w:spacing w:lineRule="auto" w:line="288" w:before="0" w:after="80"/>
        <w:jc w:val="both"/>
        <w:rPr/>
      </w:pPr>
      <w:r>
        <w:rPr/>
        <w:t>B.2.3 Service S-3, Enhanced Vessel Traffic Support: on request; delivered by the Coordination Center corridor desks; rate cap per transit as tabled.</w:t>
      </w:r>
    </w:p>
    <w:p>
      <w:pPr>
        <w:pStyle w:val="Normal"/>
        <w:bidi w:val="0"/>
        <w:spacing w:lineRule="auto" w:line="288" w:before="0" w:after="80"/>
        <w:jc w:val="both"/>
        <w:rPr/>
      </w:pPr>
      <w:r>
        <w:rPr/>
        <w:t>B.2.4 Service S-4, Convoy Escort in Elevated States: on request; delivered by the patrol rotation; cost-recovery cap as tabled.</w:t>
      </w:r>
    </w:p>
    <w:p>
      <w:pPr>
        <w:pStyle w:val="Normal"/>
        <w:bidi w:val="0"/>
        <w:spacing w:lineRule="auto" w:line="288" w:before="0" w:after="80"/>
        <w:jc w:val="both"/>
        <w:rPr/>
      </w:pPr>
      <w:r>
        <w:rPr/>
        <w:t>B.2.5 Service S-5, Search and Rescue Cost Recovery: limited to cases of owner negligence as defined in the Catalog rules; cap as tabled; humanitarian cases exempt without exception.</w:t>
      </w:r>
    </w:p>
    <w:p>
      <w:pPr>
        <w:pStyle w:val="Normal"/>
        <w:bidi w:val="0"/>
        <w:spacing w:lineRule="auto" w:line="288" w:before="0" w:after="80"/>
        <w:jc w:val="both"/>
        <w:rPr/>
      </w:pPr>
      <w:r>
        <w:rPr/>
        <w:t>B.2.6 Service S-6, Environmental Services: waste reception, ballast management support, spill call-out; rates as tabled.</w:t>
      </w:r>
    </w:p>
    <w:p>
      <w:pPr>
        <w:pStyle w:val="Normal"/>
        <w:bidi w:val="0"/>
        <w:spacing w:lineRule="auto" w:line="288" w:before="0" w:after="80"/>
        <w:jc w:val="both"/>
        <w:rPr/>
      </w:pPr>
      <w:r>
        <w:rPr/>
        <w:t>B.2.7 Service S-7, Route Assurance Data Subscription: subscription access to enhanced assurance data products; annual and per-vessel subscription caps as tabled.</w:t>
      </w:r>
    </w:p>
    <w:p>
      <w:pPr>
        <w:pStyle w:val="Normal"/>
        <w:bidi w:val="0"/>
        <w:spacing w:lineRule="auto" w:line="288" w:before="0" w:after="80"/>
        <w:jc w:val="both"/>
        <w:rPr/>
      </w:pPr>
      <w:r>
        <w:rPr/>
        <w:t>B.2.8 Service S-8, Port and Bunkering Services: at coastal-state ports; port-published tariffs within the benchmark bands of the Rate Card.</w:t>
      </w:r>
    </w:p>
    <w:p>
      <w:pPr>
        <w:pStyle w:val="Normal"/>
        <w:bidi w:val="0"/>
        <w:spacing w:lineRule="auto" w:line="288" w:before="0" w:after="80"/>
        <w:jc w:val="both"/>
        <w:rPr/>
      </w:pPr>
      <w:r>
        <w:rPr/>
        <w:t>B.2.9 Service S-9, Common System Charge: the uniform system-benefit charge funding navigational aids, the Bulletin, and the fused picture, levied under the benefit rule of Article 23.4 on a documented common-benefit basis; cap as tabled; the charge stands suspended until Gate Two certification and thereafter applies only as the Council confirms against the documented-benefit record.</w:t>
      </w:r>
    </w:p>
    <w:p>
      <w:pPr>
        <w:pStyle w:val="Normal"/>
        <w:bidi w:val="0"/>
        <w:spacing w:lineRule="auto" w:line="288" w:before="0" w:after="80"/>
        <w:jc w:val="both"/>
        <w:rPr/>
      </w:pPr>
      <w:r>
        <w:rPr/>
        <w:t>B.2.10 Service S-10, Charting and Survey Products: at the prices tabled.</w:t>
      </w:r>
    </w:p>
    <w:p>
      <w:pPr>
        <w:pStyle w:val="Heading3"/>
        <w:keepNext w:val="true"/>
        <w:keepLines/>
        <w:bidi w:val="0"/>
        <w:spacing w:before="220" w:after="100"/>
        <w:rPr/>
      </w:pPr>
      <w:bookmarkStart w:id="364" w:name="__RefHeading___Toc4175_4199434714"/>
      <w:bookmarkEnd w:id="364"/>
      <w:r>
        <w:rPr/>
        <w:t>B.3 The Rate Card Rules</w:t>
      </w:r>
    </w:p>
    <w:p>
      <w:pPr>
        <w:pStyle w:val="Normal"/>
        <w:bidi w:val="0"/>
        <w:spacing w:lineRule="auto" w:line="288" w:before="0" w:after="80"/>
        <w:jc w:val="both"/>
        <w:rPr/>
      </w:pPr>
      <w:r>
        <w:rPr/>
        <w:t>B.3.1 The Rate Card tables the caps for every Catalog service. Rates revise at most annually, on 90 days of published notice, never during a declared crisis state. The Heavy-User Cap of Article 26.2 and the Green Discount tiers table in the Rate Card's Schedules 1 and 2.</w:t>
      </w:r>
    </w:p>
    <w:p>
      <w:pPr>
        <w:pStyle w:val="Heading3"/>
        <w:keepNext w:val="true"/>
        <w:keepLines/>
        <w:bidi w:val="0"/>
        <w:spacing w:before="220" w:after="100"/>
        <w:rPr/>
      </w:pPr>
      <w:bookmarkStart w:id="365" w:name="__RefHeading___Toc4177_4199434714"/>
      <w:bookmarkEnd w:id="365"/>
      <w:r>
        <w:rPr/>
        <w:t>B.4 The Voluntary Facility Instruments</w:t>
      </w:r>
    </w:p>
    <w:p>
      <w:pPr>
        <w:pStyle w:val="Normal"/>
        <w:bidi w:val="0"/>
        <w:spacing w:lineRule="auto" w:line="288" w:before="0" w:after="80"/>
        <w:jc w:val="both"/>
        <w:rPr/>
      </w:pPr>
      <w:r>
        <w:rPr/>
        <w:t>B.4.1 Channel Two operates through the instruments tabled in Schedule 3: the opt-in contribution at bunker, port, or insurance touchpoints; the annual line contribution; and the user-state grant, each with its recognition and benefit record.</w:t>
      </w:r>
    </w:p>
    <w:p>
      <w:pPr>
        <w:pStyle w:val="Heading2"/>
        <w:keepNext w:val="true"/>
        <w:keepLines/>
        <w:bidi w:val="0"/>
        <w:spacing w:before="280" w:after="120"/>
        <w:rPr/>
      </w:pPr>
      <w:bookmarkStart w:id="366" w:name="__RefHeading___Toc4179_4199434714"/>
      <w:bookmarkEnd w:id="366"/>
      <w:r>
        <w:rPr/>
        <w:t>Annex C: Technical and Safety Standards</w:t>
      </w:r>
    </w:p>
    <w:p>
      <w:pPr>
        <w:pStyle w:val="Heading3"/>
        <w:keepNext w:val="true"/>
        <w:keepLines/>
        <w:bidi w:val="0"/>
        <w:spacing w:before="220" w:after="100"/>
        <w:rPr/>
      </w:pPr>
      <w:bookmarkStart w:id="367" w:name="__RefHeading___Toc4181_4199434714"/>
      <w:bookmarkEnd w:id="367"/>
      <w:r>
        <w:rPr/>
        <w:t>C.1 Navigational Standards</w:t>
      </w:r>
    </w:p>
    <w:p>
      <w:pPr>
        <w:pStyle w:val="Normal"/>
        <w:bidi w:val="0"/>
        <w:spacing w:lineRule="auto" w:line="288" w:before="0" w:after="80"/>
        <w:jc w:val="both"/>
        <w:rPr/>
      </w:pPr>
      <w:r>
        <w:rPr/>
        <w:t>C.1.1 Corridor operations conform to the standards this Annex tables: under-keel clearance margins by vessel class; lane width minima; speed regimes by flow state; reporting point procedures; standard phraseology; and the degraded-navigation rules for GNSS interference conditions, including the standing assumption that satellite navigation degrades and the compensating fix standards every transiting vessel maintains.</w:t>
      </w:r>
    </w:p>
    <w:p>
      <w:pPr>
        <w:pStyle w:val="Heading3"/>
        <w:keepNext w:val="true"/>
        <w:keepLines/>
        <w:bidi w:val="0"/>
        <w:spacing w:before="220" w:after="100"/>
        <w:rPr/>
      </w:pPr>
      <w:bookmarkStart w:id="368" w:name="__RefHeading___Toc4183_4199434714"/>
      <w:bookmarkEnd w:id="368"/>
      <w:r>
        <w:rPr/>
        <w:t>C.2 Interference Resilience</w:t>
      </w:r>
    </w:p>
    <w:p>
      <w:pPr>
        <w:pStyle w:val="Normal"/>
        <w:bidi w:val="0"/>
        <w:spacing w:lineRule="auto" w:line="288" w:before="0" w:after="80"/>
        <w:jc w:val="both"/>
        <w:rPr/>
      </w:pPr>
      <w:r>
        <w:rPr/>
        <w:t>C.2.1 The corridor system publishes interference status in the Bulletin and maintains terrestrial and radar-based backup fixing. Vessels receive interference advisories at gate assignment. The system treats GNSS interference as a standing condition, not an exception, and plans accordingly.</w:t>
      </w:r>
    </w:p>
    <w:p>
      <w:pPr>
        <w:pStyle w:val="Heading3"/>
        <w:keepNext w:val="true"/>
        <w:keepLines/>
        <w:bidi w:val="0"/>
        <w:spacing w:before="220" w:after="100"/>
        <w:rPr/>
      </w:pPr>
      <w:bookmarkStart w:id="369" w:name="__RefHeading___Toc4185_4199434714"/>
      <w:bookmarkEnd w:id="369"/>
      <w:r>
        <w:rPr/>
        <w:t>C.3 Emergency Procedures</w:t>
      </w:r>
    </w:p>
    <w:p>
      <w:pPr>
        <w:pStyle w:val="Normal"/>
        <w:bidi w:val="0"/>
        <w:spacing w:lineRule="auto" w:line="288" w:before="0" w:after="80"/>
        <w:jc w:val="both"/>
        <w:rPr/>
      </w:pPr>
      <w:r>
        <w:rPr/>
        <w:t>C.3.1 This Annex tables the incident response packages for each Incident Ladder level: timelines, taskings, publication duties, and the restoration checklists for emergency states.</w:t>
      </w:r>
    </w:p>
    <w:p>
      <w:pPr>
        <w:pStyle w:val="Heading3"/>
        <w:keepNext w:val="true"/>
        <w:keepLines/>
        <w:bidi w:val="0"/>
        <w:spacing w:before="220" w:after="100"/>
        <w:rPr/>
      </w:pPr>
      <w:bookmarkStart w:id="370" w:name="__RefHeading___Toc4187_4199434714"/>
      <w:bookmarkEnd w:id="370"/>
      <w:r>
        <w:rPr/>
        <w:t>C.4 Response Standards</w:t>
      </w:r>
    </w:p>
    <w:p>
      <w:pPr>
        <w:pStyle w:val="Normal"/>
        <w:bidi w:val="0"/>
        <w:spacing w:lineRule="auto" w:line="288" w:before="0" w:after="80"/>
        <w:jc w:val="both"/>
        <w:rPr/>
      </w:pPr>
      <w:r>
        <w:rPr/>
        <w:t>C.4.1 Spill and rescue response timelines, roster compositions, and exercise requirements table in this Annex's Schedules, per Articles 40 and 38.</w:t>
      </w:r>
    </w:p>
    <w:p>
      <w:pPr>
        <w:pStyle w:val="Heading2"/>
        <w:keepNext w:val="true"/>
        <w:keepLines/>
        <w:bidi w:val="0"/>
        <w:spacing w:before="280" w:after="120"/>
        <w:rPr/>
      </w:pPr>
      <w:bookmarkStart w:id="371" w:name="__RefHeading___Toc4189_4199434714"/>
      <w:bookmarkEnd w:id="371"/>
      <w:r>
        <w:rPr/>
        <w:t>Annex D: The Notification Protocol and Manifest Rules</w:t>
      </w:r>
    </w:p>
    <w:p>
      <w:pPr>
        <w:pStyle w:val="Heading3"/>
        <w:keepNext w:val="true"/>
        <w:keepLines/>
        <w:bidi w:val="0"/>
        <w:spacing w:before="220" w:after="100"/>
        <w:rPr/>
      </w:pPr>
      <w:bookmarkStart w:id="372" w:name="__RefHeading___Toc4191_4199434714"/>
      <w:bookmarkEnd w:id="372"/>
      <w:r>
        <w:rPr/>
        <w:t>D.1 The Notice of Transit</w:t>
      </w:r>
    </w:p>
    <w:p>
      <w:pPr>
        <w:pStyle w:val="Normal"/>
        <w:bidi w:val="0"/>
        <w:spacing w:lineRule="auto" w:line="288" w:before="0" w:after="80"/>
        <w:jc w:val="both"/>
        <w:rPr/>
      </w:pPr>
      <w:r>
        <w:rPr/>
        <w:t>D.1.1 The Notice of Transit comprises exactly the fields tabled in Schedule D-1: vessel identity; flag; position and intended gate; dimensions and draft; dangerous-goods declaration; destination port; master contact. No other field exists. No organ requests, and no vessel supplies, information beyond Schedule D-1 for transit purposes.</w:t>
      </w:r>
    </w:p>
    <w:p>
      <w:pPr>
        <w:pStyle w:val="Heading3"/>
        <w:keepNext w:val="true"/>
        <w:keepLines/>
        <w:bidi w:val="0"/>
        <w:spacing w:before="220" w:after="100"/>
        <w:rPr/>
      </w:pPr>
      <w:bookmarkStart w:id="373" w:name="__RefHeading___Toc4193_4199434714"/>
      <w:bookmarkEnd w:id="373"/>
      <w:r>
        <w:rPr/>
        <w:t>D.2 The Standing Register</w:t>
      </w:r>
    </w:p>
    <w:p>
      <w:pPr>
        <w:pStyle w:val="Normal"/>
        <w:bidi w:val="0"/>
        <w:spacing w:lineRule="auto" w:line="288" w:before="0" w:after="80"/>
        <w:jc w:val="both"/>
        <w:rPr/>
      </w:pPr>
      <w:r>
        <w:rPr/>
        <w:t>D.2.1 Schedule D-2 tables the fleet registration fields and the auto-population rules of Article 15.4.</w:t>
      </w:r>
    </w:p>
    <w:p>
      <w:pPr>
        <w:pStyle w:val="Heading3"/>
        <w:keepNext w:val="true"/>
        <w:keepLines/>
        <w:bidi w:val="0"/>
        <w:spacing w:before="220" w:after="100"/>
        <w:rPr/>
      </w:pPr>
      <w:bookmarkStart w:id="374" w:name="__RefHeading___Toc4195_4199434714"/>
      <w:bookmarkEnd w:id="374"/>
      <w:r>
        <w:rPr/>
        <w:t>D.3 Humanitarian Manifests</w:t>
      </w:r>
    </w:p>
    <w:p>
      <w:pPr>
        <w:pStyle w:val="Normal"/>
        <w:bidi w:val="0"/>
        <w:spacing w:lineRule="auto" w:line="288" w:before="0" w:after="80"/>
        <w:jc w:val="both"/>
        <w:rPr/>
      </w:pPr>
      <w:r>
        <w:rPr/>
        <w:t>D.3.1 Schedule D-3 tables the humanitarian manifest rules: declaration categories, origin inspection arrangements, sealing, and the absolute-priority handling rules.</w:t>
      </w:r>
    </w:p>
    <w:p>
      <w:pPr>
        <w:pStyle w:val="Heading3"/>
        <w:keepNext w:val="true"/>
        <w:keepLines/>
        <w:bidi w:val="0"/>
        <w:spacing w:before="220" w:after="100"/>
        <w:rPr/>
      </w:pPr>
      <w:bookmarkStart w:id="375" w:name="__RefHeading___Toc4197_4199434714"/>
      <w:bookmarkEnd w:id="375"/>
      <w:r>
        <w:rPr/>
        <w:t>D.4 Classification Tables</w:t>
      </w:r>
    </w:p>
    <w:p>
      <w:pPr>
        <w:pStyle w:val="Normal"/>
        <w:bidi w:val="0"/>
        <w:spacing w:lineRule="auto" w:line="288" w:before="0" w:after="80"/>
        <w:jc w:val="both"/>
        <w:rPr/>
      </w:pPr>
      <w:r>
        <w:rPr/>
        <w:t>D.4.1 Schedule D-4 tables the vessel classes of Article 16 and their lane, speed, and window assignments.</w:t>
      </w:r>
    </w:p>
    <w:p>
      <w:pPr>
        <w:pStyle w:val="Heading2"/>
        <w:keepNext w:val="true"/>
        <w:keepLines/>
        <w:bidi w:val="0"/>
        <w:spacing w:before="280" w:after="120"/>
        <w:rPr/>
      </w:pPr>
      <w:bookmarkStart w:id="376" w:name="__RefHeading___Toc4199_4199434714"/>
      <w:bookmarkEnd w:id="376"/>
      <w:r>
        <w:rPr/>
        <w:t>Annex E: Formulas, Rosters, and Schedules</w:t>
      </w:r>
    </w:p>
    <w:p>
      <w:pPr>
        <w:pStyle w:val="Heading3"/>
        <w:keepNext w:val="true"/>
        <w:keepLines/>
        <w:bidi w:val="0"/>
        <w:spacing w:before="220" w:after="100"/>
        <w:rPr/>
      </w:pPr>
      <w:bookmarkStart w:id="377" w:name="__RefHeading___Toc4201_4199434714"/>
      <w:bookmarkEnd w:id="377"/>
      <w:r>
        <w:rPr/>
        <w:t>E.1 The Contribution Formula</w:t>
      </w:r>
    </w:p>
    <w:p>
      <w:pPr>
        <w:pStyle w:val="Normal"/>
        <w:bidi w:val="0"/>
        <w:spacing w:lineRule="auto" w:line="288" w:before="0" w:after="80"/>
        <w:jc w:val="both"/>
        <w:rPr/>
      </w:pPr>
      <w:r>
        <w:rPr/>
        <w:t>E.1.1 Schedule E-1 tables the Channel Three capacity formula: the weighted blend of gross national income and traffic dependence, the floor, the ceiling, and the five-year review rule.</w:t>
      </w:r>
    </w:p>
    <w:p>
      <w:pPr>
        <w:pStyle w:val="Heading3"/>
        <w:keepNext w:val="true"/>
        <w:keepLines/>
        <w:bidi w:val="0"/>
        <w:spacing w:before="220" w:after="100"/>
        <w:rPr/>
      </w:pPr>
      <w:bookmarkStart w:id="378" w:name="__RefHeading___Toc4203_4199434714"/>
      <w:bookmarkEnd w:id="378"/>
      <w:r>
        <w:rPr/>
        <w:t>E.2 The Distribution Formula</w:t>
      </w:r>
    </w:p>
    <w:p>
      <w:pPr>
        <w:pStyle w:val="Normal"/>
        <w:bidi w:val="0"/>
        <w:spacing w:lineRule="auto" w:line="288" w:before="0" w:after="80"/>
        <w:jc w:val="both"/>
        <w:rPr/>
      </w:pPr>
      <w:r>
        <w:rPr/>
        <w:t>E.2.1 Schedule E-2 tables the Fund distribution order of Article 24.3 with its percentages, the reserve target, and the development-window allocations.</w:t>
      </w:r>
    </w:p>
    <w:p>
      <w:pPr>
        <w:pStyle w:val="Heading3"/>
        <w:keepNext w:val="true"/>
        <w:keepLines/>
        <w:bidi w:val="0"/>
        <w:spacing w:before="220" w:after="100"/>
        <w:rPr/>
      </w:pPr>
      <w:bookmarkStart w:id="379" w:name="__RefHeading___Toc4205_4199434714"/>
      <w:bookmarkEnd w:id="379"/>
      <w:r>
        <w:rPr/>
        <w:t>E.3 The Reciprocity Ledger</w:t>
      </w:r>
    </w:p>
    <w:p>
      <w:pPr>
        <w:pStyle w:val="Normal"/>
        <w:bidi w:val="0"/>
        <w:spacing w:lineRule="auto" w:line="288" w:before="0" w:after="80"/>
        <w:jc w:val="both"/>
        <w:rPr/>
      </w:pPr>
      <w:r>
        <w:rPr/>
        <w:t>E.3.1 Schedule E-3 tables the paired steps of the synchronized relief track and the ledger format in which every paired step records and publishes.</w:t>
      </w:r>
    </w:p>
    <w:p>
      <w:pPr>
        <w:pStyle w:val="Heading3"/>
        <w:keepNext w:val="true"/>
        <w:keepLines/>
        <w:bidi w:val="0"/>
        <w:spacing w:before="220" w:after="100"/>
        <w:rPr/>
      </w:pPr>
      <w:bookmarkStart w:id="380" w:name="__RefHeading___Toc4207_4199434714"/>
      <w:bookmarkEnd w:id="380"/>
      <w:r>
        <w:rPr/>
        <w:t>E.4 Rosters</w:t>
      </w:r>
    </w:p>
    <w:p>
      <w:pPr>
        <w:pStyle w:val="Normal"/>
        <w:bidi w:val="0"/>
        <w:spacing w:lineRule="auto" w:line="288" w:before="0" w:after="80"/>
        <w:jc w:val="both"/>
        <w:rPr/>
      </w:pPr>
      <w:r>
        <w:rPr/>
        <w:t>E.4.1 Schedules E-4 through E-6 table: the Council chair rotation; the Secretary-General rotation; the mediator roster; and the Tribunal selection roster.</w:t>
      </w:r>
    </w:p>
    <w:p>
      <w:pPr>
        <w:pStyle w:val="Heading3"/>
        <w:keepNext w:val="true"/>
        <w:keepLines/>
        <w:bidi w:val="0"/>
        <w:spacing w:before="220" w:after="100"/>
        <w:rPr/>
      </w:pPr>
      <w:bookmarkStart w:id="381" w:name="__RefHeading___Toc4209_4199434714"/>
      <w:bookmarkEnd w:id="381"/>
      <w:r>
        <w:rPr/>
        <w:t>E.5 Stability Metrics</w:t>
      </w:r>
    </w:p>
    <w:p>
      <w:pPr>
        <w:pStyle w:val="Normal"/>
        <w:bidi w:val="0"/>
        <w:spacing w:lineRule="auto" w:line="288" w:before="0" w:after="80"/>
        <w:jc w:val="both"/>
        <w:rPr/>
      </w:pPr>
      <w:r>
        <w:rPr/>
        <w:t>E.5.1 Schedule E-7 tables the Stability Audit metrics: incident baselines, traffic recovery thresholds, insurance normalization indicators, hotline availability, audit integrity, and the convergence thresholds of Article 13.</w:t>
      </w:r>
    </w:p>
    <w:p>
      <w:pPr>
        <w:pStyle w:val="Heading3"/>
        <w:keepNext w:val="true"/>
        <w:keepLines/>
        <w:bidi w:val="0"/>
        <w:spacing w:before="220" w:after="100"/>
        <w:rPr/>
      </w:pPr>
      <w:bookmarkStart w:id="382" w:name="__RefHeading___Toc4211_4199434714"/>
      <w:bookmarkEnd w:id="382"/>
      <w:r>
        <w:rPr/>
        <w:t>E.6 The Technical Amendment Procedure</w:t>
      </w:r>
    </w:p>
    <w:p>
      <w:pPr>
        <w:pStyle w:val="Normal"/>
        <w:bidi w:val="0"/>
        <w:spacing w:lineRule="auto" w:line="288" w:before="0" w:after="80"/>
        <w:jc w:val="both"/>
        <w:rPr/>
      </w:pPr>
      <w:r>
        <w:rPr/>
        <w:t>E.6.1 Schedule E-8 tables the technical amendment procedure of Article 66.2: proposal, Stakeholder Panel consultation of not fewer than 30 days, Fund Board or Directorate technical review, Council adoption, and publication with 60 days of notice.</w:t>
      </w:r>
    </w:p>
    <w:p>
      <w:pPr>
        <w:pStyle w:val="Heading2"/>
        <w:keepNext w:val="true"/>
        <w:keepLines/>
        <w:bidi w:val="0"/>
        <w:spacing w:before="280" w:after="120"/>
        <w:rPr/>
      </w:pPr>
      <w:bookmarkStart w:id="383" w:name="__RefHeading___Toc4213_4199434714"/>
      <w:bookmarkEnd w:id="383"/>
      <w:r>
        <w:rPr/>
        <w:t>Annex F: Interpretation Notes</w:t>
      </w:r>
    </w:p>
    <w:p>
      <w:pPr>
        <w:pStyle w:val="Heading3"/>
        <w:keepNext w:val="true"/>
        <w:keepLines/>
        <w:bidi w:val="0"/>
        <w:spacing w:before="220" w:after="100"/>
        <w:rPr/>
      </w:pPr>
      <w:bookmarkStart w:id="384" w:name="__RefHeading___Toc4215_4199434714"/>
      <w:bookmarkEnd w:id="384"/>
      <w:r>
        <w:rPr/>
        <w:t>F.1 Method</w:t>
      </w:r>
    </w:p>
    <w:p>
      <w:pPr>
        <w:pStyle w:val="Normal"/>
        <w:bidi w:val="0"/>
        <w:spacing w:lineRule="auto" w:line="288" w:before="0" w:after="80"/>
        <w:jc w:val="both"/>
        <w:rPr/>
      </w:pPr>
      <w:r>
        <w:rPr/>
        <w:t>F.1.1 These notes record the Parties' common interpretive understandings at signature. They guide interpretation; they do not amend.</w:t>
      </w:r>
    </w:p>
    <w:p>
      <w:pPr>
        <w:pStyle w:val="Heading3"/>
        <w:keepNext w:val="true"/>
        <w:keepLines/>
        <w:bidi w:val="0"/>
        <w:spacing w:before="220" w:after="100"/>
        <w:rPr/>
      </w:pPr>
      <w:bookmarkStart w:id="385" w:name="__RefHeading___Toc4217_4199434714"/>
      <w:bookmarkEnd w:id="385"/>
      <w:r>
        <w:rPr/>
        <w:t>F.2 The Core Notes</w:t>
      </w:r>
    </w:p>
    <w:p>
      <w:pPr>
        <w:pStyle w:val="Normal"/>
        <w:bidi w:val="0"/>
        <w:spacing w:lineRule="auto" w:line="288" w:before="0" w:after="80"/>
        <w:jc w:val="both"/>
        <w:rPr/>
      </w:pPr>
      <w:r>
        <w:rPr/>
        <w:t>F.2.1 Note One: "Consequential act" in Article 43 means an act altering the physical geometry, the financial architecture, the security posture, or the operational state of the corridor system; routine traffic management acts are operational, not consequential.</w:t>
      </w:r>
    </w:p>
    <w:p>
      <w:pPr>
        <w:pStyle w:val="Normal"/>
        <w:bidi w:val="0"/>
        <w:spacing w:lineRule="auto" w:line="288" w:before="0" w:after="80"/>
        <w:jc w:val="both"/>
        <w:rPr/>
      </w:pPr>
      <w:r>
        <w:rPr/>
        <w:t>F.2.2 Note Two: The Common System Charge of Catalog entry S-9 rests on the documented-benefit rule and never on transit incidence; the charge's design, collection, and audit follow the substance test, and its suspension until Gate Two reflects the Parties' intent that the benefit record precede the charge.</w:t>
      </w:r>
    </w:p>
    <w:p>
      <w:pPr>
        <w:pStyle w:val="Normal"/>
        <w:bidi w:val="0"/>
        <w:spacing w:lineRule="auto" w:line="288" w:before="0" w:after="80"/>
        <w:jc w:val="both"/>
        <w:rPr/>
      </w:pPr>
      <w:r>
        <w:rPr/>
        <w:t>F.2.3 Note Three: "Affected segment" in Articles 18 and 33 means the smallest geographic unit that safety requires, and any broader application requires the Council's recorded determination of necessity.</w:t>
      </w:r>
    </w:p>
    <w:p>
      <w:pPr>
        <w:pStyle w:val="Normal"/>
        <w:bidi w:val="0"/>
        <w:spacing w:lineRule="auto" w:line="288" w:before="0" w:after="80"/>
        <w:jc w:val="both"/>
        <w:rPr/>
      </w:pPr>
      <w:r>
        <w:rPr/>
        <w:t>F.2.4 Note Four: The non-interdiction protocol binds in its terms in all states of relations between the Parties, including states of armed conflict, because the protocol protects the vessels of the world, not the policy of any Party.</w:t>
      </w:r>
    </w:p>
    <w:p>
      <w:pPr>
        <w:pStyle w:val="Normal"/>
        <w:bidi w:val="0"/>
        <w:spacing w:lineRule="auto" w:line="288" w:before="0" w:after="80"/>
        <w:jc w:val="both"/>
        <w:rPr/>
      </w:pPr>
      <w:r>
        <w:rPr/>
        <w:t>F.2.5 Note Five: Nothing in the development windows of Article 29 prices passage. The windows monetize stability and reconstruction; the water stays free.</w:t>
      </w:r>
    </w:p>
    <w:p>
      <w:pPr>
        <w:pStyle w:val="Normal"/>
        <w:bidi w:val="0"/>
        <w:spacing w:lineRule="auto" w:line="288" w:before="0" w:after="80"/>
        <w:jc w:val="both"/>
        <w:rPr/>
      </w:pPr>
      <w:r>
        <w:rPr/>
        <w:t>F.2.6 Note Six: The two-corridor system records the mature bilateral compromise of the coastal states, and the convergence pathway of Article 13 records their declared direction of travel. The Charter frames convergence as performance-earned, and no convergence step diminishes any vessel's rights.</w:t>
      </w:r>
    </w:p>
    <w:p>
      <w:pPr>
        <w:pStyle w:val="Heading2"/>
        <w:keepNext w:val="true"/>
        <w:keepLines/>
        <w:bidi w:val="0"/>
        <w:spacing w:before="280" w:after="120"/>
        <w:rPr/>
      </w:pPr>
      <w:bookmarkStart w:id="386" w:name="__RefHeading___Toc4219_4199434714"/>
      <w:bookmarkEnd w:id="386"/>
      <w:r>
        <w:rPr/>
        <w:t>Annex G: Data Custody, Ethics, and Tribunal Rules</w:t>
      </w:r>
    </w:p>
    <w:p>
      <w:pPr>
        <w:pStyle w:val="Heading3"/>
        <w:keepNext w:val="true"/>
        <w:keepLines/>
        <w:bidi w:val="0"/>
        <w:spacing w:before="220" w:after="100"/>
        <w:rPr/>
      </w:pPr>
      <w:bookmarkStart w:id="387" w:name="__RefHeading___Toc4221_4199434714"/>
      <w:bookmarkEnd w:id="387"/>
      <w:r>
        <w:rPr/>
        <w:t>G.1 Data Custody</w:t>
      </w:r>
    </w:p>
    <w:p>
      <w:pPr>
        <w:pStyle w:val="Normal"/>
        <w:bidi w:val="0"/>
        <w:spacing w:lineRule="auto" w:line="288" w:before="0" w:after="80"/>
        <w:jc w:val="both"/>
        <w:rPr/>
      </w:pPr>
      <w:r>
        <w:rPr/>
        <w:t>G.1.1 The custody rules table the retention schedules, access tiers, chain-of-custody cryptography, breach reporting, and the destruction schedule for data past retention. Restricted-class data retains for five years and then destroys on certificate; open-class data persists permanently.</w:t>
      </w:r>
    </w:p>
    <w:p>
      <w:pPr>
        <w:pStyle w:val="Heading3"/>
        <w:keepNext w:val="true"/>
        <w:keepLines/>
        <w:bidi w:val="0"/>
        <w:spacing w:before="220" w:after="100"/>
        <w:rPr/>
      </w:pPr>
      <w:bookmarkStart w:id="388" w:name="__RefHeading___Toc4223_4199434714"/>
      <w:bookmarkEnd w:id="388"/>
      <w:r>
        <w:rPr/>
        <w:t>G.2 Independence and Ethics</w:t>
      </w:r>
    </w:p>
    <w:p>
      <w:pPr>
        <w:pStyle w:val="Normal"/>
        <w:bidi w:val="0"/>
        <w:spacing w:lineRule="auto" w:line="288" w:before="0" w:after="80"/>
        <w:jc w:val="both"/>
        <w:rPr/>
      </w:pPr>
      <w:r>
        <w:rPr/>
        <w:t>G.2.1 The independence rule protects staff of the Charter's organs from national instruction; the ethics code tables disclosure, gifts, cooling-off, and the ombudsman's mandate and powers.</w:t>
      </w:r>
    </w:p>
    <w:p>
      <w:pPr>
        <w:pStyle w:val="Heading3"/>
        <w:keepNext w:val="true"/>
        <w:keepLines/>
        <w:bidi w:val="0"/>
        <w:spacing w:before="220" w:after="100"/>
        <w:rPr/>
      </w:pPr>
      <w:bookmarkStart w:id="389" w:name="__RefHeading___Toc4225_4199434714"/>
      <w:bookmarkEnd w:id="389"/>
      <w:r>
        <w:rPr/>
        <w:t>G.3 Tribunal Rules</w:t>
      </w:r>
    </w:p>
    <w:p>
      <w:pPr>
        <w:pStyle w:val="Normal"/>
        <w:bidi w:val="0"/>
        <w:spacing w:lineRule="auto" w:line="288" w:before="0" w:after="80"/>
        <w:jc w:val="both"/>
        <w:rPr/>
      </w:pPr>
      <w:r>
        <w:rPr/>
        <w:t>G.3.1 The Tribunal rules table jurisdiction procedure, evidence standards including the treatment of Directorate forensic findings, interim measures, timelines, and the publication rule of Article 57.</w:t>
      </w:r>
    </w:p>
    <w:p>
      <w:pPr>
        <w:pStyle w:val="Heading3"/>
        <w:keepNext w:val="true"/>
        <w:keepLines/>
        <w:bidi w:val="0"/>
        <w:spacing w:before="220" w:after="100"/>
        <w:rPr/>
      </w:pPr>
      <w:bookmarkStart w:id="390" w:name="__RefHeading___Toc4227_4199434714"/>
      <w:bookmarkEnd w:id="390"/>
      <w:r>
        <w:rPr/>
        <w:t>G.4 The Standing Assurance Statement</w:t>
      </w:r>
    </w:p>
    <w:p>
      <w:pPr>
        <w:pStyle w:val="Normal"/>
        <w:bidi w:val="0"/>
        <w:spacing w:lineRule="auto" w:line="288" w:before="0" w:after="80"/>
        <w:jc w:val="both"/>
        <w:rPr/>
      </w:pPr>
      <w:r>
        <w:rPr/>
        <w:t>G.4.1 The Joint Council issues, and the Bulletin carries daily, the Standing Assurance Statement in the following form: "The corridor system operates. Transit passage through the Strait of Hormuz is free, continuous, and expeditious for all vessels. No toll attaches to passage. The institutions of the Charter stand watch."</w:t>
      </w:r>
    </w:p>
    <w:p>
      <w:pPr>
        <w:pStyle w:val="Heading1"/>
        <w:keepNext w:val="true"/>
        <w:keepLines/>
        <w:pBdr>
          <w:bottom w:val="single" w:sz="12" w:space="6" w:color="B8860B"/>
        </w:pBdr>
        <w:bidi w:val="0"/>
        <w:spacing w:before="0" w:after="360"/>
        <w:rPr/>
      </w:pPr>
      <w:bookmarkStart w:id="391" w:name="__RefHeading___Toc4229_4199434714"/>
      <w:bookmarkEnd w:id="391"/>
      <w:r>
        <w:rPr/>
        <w:t>CLOSING NOTE OF THE DRAFTING FACILITATORS</w:t>
      </w:r>
    </w:p>
    <w:p>
      <w:pPr>
        <w:pStyle w:val="Normal"/>
        <w:bidi w:val="0"/>
        <w:spacing w:lineRule="auto" w:line="288" w:before="0" w:after="80"/>
        <w:jc w:val="both"/>
        <w:rPr/>
      </w:pPr>
      <w:r>
        <w:rPr/>
        <w:t>This Charter converts a region's hardest lesson into its most durable institution. It answers the demand for recognition with shared stewardship; the demand for revenue with services, funds, and development; the demand for security with geometry, hotlines, and verification; and the demand for dignity with parity in every institution it builds. Its authors intend its success to be measured in uneventful passages, ordinary insurance certificates, and a Bulletin no one needs to read in alarm. The Strait of Hormuz has carried the world's energy for generations. Under this Charter, it carries it under rules the region wrote together, institutions the region staffs together, and a calm the region keeps together.</w:t>
      </w:r>
    </w:p>
    <w:sectPr>
      <w:headerReference w:type="default" r:id="rId4"/>
      <w:footerReference w:type="default" r:id="rId5"/>
      <w:type w:val="nextPage"/>
      <w:pgSz w:w="11906" w:h="16838"/>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eorgia">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2" w:space="4" w:color="B0BEC5"/>
      </w:pBdr>
      <w:bidi w:val="0"/>
      <w:spacing w:before="0" w:after="80"/>
      <w:jc w:val="center"/>
      <w:rPr/>
    </w:pPr>
    <w:r>
      <w:rPr>
        <w:rFonts w:eastAsia="Microsoft YaHei" w:cs="Calibri" w:ascii="Calibri" w:hAnsi="Calibri"/>
        <w:color w:val="78909C"/>
        <w:sz w:val="18"/>
      </w:rPr>
      <w:t xml:space="preserve">Page </w:t>
    </w:r>
    <w:r>
      <w:rPr>
        <w:rFonts w:eastAsia="Microsoft YaHei" w:cs="Calibri" w:ascii="Calibri" w:hAnsi="Calibri"/>
        <w:color w:val="78909C"/>
        <w:sz w:val="18"/>
      </w:rPr>
      <w:fldChar w:fldCharType="begin"/>
    </w:r>
    <w:r>
      <w:rPr>
        <w:sz w:val="18"/>
        <w:rFonts w:eastAsia="Microsoft YaHei" w:cs="Calibri" w:ascii="Calibri" w:hAnsi="Calibri"/>
        <w:color w:val="78909C"/>
      </w:rPr>
      <w:instrText xml:space="preserve"> PAGE </w:instrText>
    </w:r>
    <w:r>
      <w:rPr>
        <w:sz w:val="18"/>
        <w:rFonts w:eastAsia="Microsoft YaHei" w:cs="Calibri" w:ascii="Calibri" w:hAnsi="Calibri"/>
        <w:color w:val="78909C"/>
      </w:rPr>
      <w:fldChar w:fldCharType="separate"/>
    </w:r>
    <w:r>
      <w:rPr>
        <w:sz w:val="18"/>
        <w:rFonts w:eastAsia="Microsoft YaHei" w:cs="Calibri" w:ascii="Calibri" w:hAnsi="Calibri"/>
        <w:color w:val="78909C"/>
      </w:rPr>
      <w:t>8</w:t>
    </w:r>
    <w:r>
      <w:rPr>
        <w:sz w:val="18"/>
        <w:rFonts w:eastAsia="Microsoft YaHei" w:cs="Calibri" w:ascii="Calibri" w:hAnsi="Calibri"/>
        <w:color w:val="78909C"/>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B0BEC5"/>
      </w:pBdr>
      <w:bidi w:val="0"/>
      <w:spacing w:before="0" w:after="80"/>
      <w:jc w:val="center"/>
      <w:rPr/>
    </w:pPr>
    <w:r>
      <w:rPr>
        <w:rFonts w:eastAsia="Microsoft YaHei" w:cs="Calibri" w:ascii="Calibri" w:hAnsi="Calibri"/>
        <w:color w:val="78909C"/>
        <w:sz w:val="18"/>
      </w:rPr>
      <w:t xml:space="preserve">Page </w:t>
    </w:r>
    <w:r>
      <w:rPr>
        <w:rFonts w:eastAsia="Microsoft YaHei" w:cs="Calibri" w:ascii="Calibri" w:hAnsi="Calibri"/>
        <w:color w:val="78909C"/>
        <w:sz w:val="18"/>
      </w:rPr>
      <w:fldChar w:fldCharType="begin"/>
    </w:r>
    <w:r>
      <w:rPr>
        <w:sz w:val="18"/>
        <w:rFonts w:eastAsia="Microsoft YaHei" w:cs="Calibri" w:ascii="Calibri" w:hAnsi="Calibri"/>
        <w:color w:val="78909C"/>
      </w:rPr>
      <w:instrText xml:space="preserve"> PAGE </w:instrText>
    </w:r>
    <w:r>
      <w:rPr>
        <w:sz w:val="18"/>
        <w:rFonts w:eastAsia="Microsoft YaHei" w:cs="Calibri" w:ascii="Calibri" w:hAnsi="Calibri"/>
        <w:color w:val="78909C"/>
      </w:rPr>
      <w:fldChar w:fldCharType="separate"/>
    </w:r>
    <w:r>
      <w:rPr>
        <w:sz w:val="18"/>
        <w:rFonts w:eastAsia="Microsoft YaHei" w:cs="Calibri" w:ascii="Calibri" w:hAnsi="Calibri"/>
        <w:color w:val="78909C"/>
      </w:rPr>
      <w:t>82</w:t>
    </w:r>
    <w:r>
      <w:rPr>
        <w:sz w:val="18"/>
        <w:rFonts w:eastAsia="Microsoft YaHei" w:cs="Calibri" w:ascii="Calibri" w:hAnsi="Calibri"/>
        <w:color w:val="78909C"/>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4" w:color="B0BEC5"/>
      </w:pBdr>
      <w:bidi w:val="0"/>
      <w:spacing w:before="0" w:after="80"/>
      <w:jc w:val="right"/>
      <w:rPr/>
    </w:pPr>
    <w:r>
      <w:rPr>
        <w:rFonts w:eastAsia="Microsoft YaHei" w:cs="Calibri" w:ascii="Calibri" w:hAnsi="Calibri"/>
        <w:color w:val="78909C"/>
        <w:sz w:val="16"/>
      </w:rPr>
      <w:t>The Hormuz Regional Stewardship Charter  ·  Multilateral Governance of the Strait of Hormuz</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B0BEC5"/>
      </w:pBdr>
      <w:bidi w:val="0"/>
      <w:spacing w:before="0" w:after="80"/>
      <w:jc w:val="right"/>
      <w:rPr/>
    </w:pPr>
    <w:r>
      <w:rPr>
        <w:rFonts w:eastAsia="Microsoft YaHei" w:cs="Calibri" w:ascii="Calibri" w:hAnsi="Calibri"/>
        <w:color w:val="78909C"/>
        <w:sz w:val="16"/>
      </w:rPr>
      <w:t>The Hormuz Regional Stewardship Charter  ·  Multilateral Governance of the Strait of Hormuz</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FreeSans"/>
        <w:kern w:val="2"/>
        <w:sz w:val="22"/>
        <w:szCs w:val="24"/>
        <w:lang w:val="en-US" w:eastAsia="zh-CN" w:bidi="hi-IN"/>
      </w:rPr>
    </w:rPrDefault>
    <w:pPrDefault>
      <w:pPr>
        <w:suppressAutoHyphens w:val="true"/>
      </w:pPr>
    </w:pPrDefault>
  </w:docDefaults>
  <w:style w:type="paragraph" w:styleId="Normal" w:default="1">
    <w:name w:val="Normal"/>
    <w:qFormat/>
    <w:pPr>
      <w:widowControl w:val="false"/>
      <w:bidi w:val="0"/>
      <w:spacing w:lineRule="auto" w:line="288" w:before="0" w:after="80"/>
      <w:jc w:val="both"/>
    </w:pPr>
    <w:rPr>
      <w:rFonts w:ascii="Georgia" w:hAnsi="Georgia" w:eastAsia="Microsoft YaHei" w:cs="FreeSans"/>
      <w:color w:val="26333B"/>
      <w:kern w:val="2"/>
      <w:sz w:val="21"/>
      <w:szCs w:val="24"/>
      <w:lang w:val="en-US" w:eastAsia="zh-CN" w:bidi="hi-IN"/>
    </w:rPr>
  </w:style>
  <w:style w:type="paragraph" w:styleId="Heading1">
    <w:name w:val="Heading 1"/>
    <w:basedOn w:val="Normal"/>
    <w:next w:val="Normal"/>
    <w:qFormat/>
    <w:pPr>
      <w:keepNext w:val="true"/>
      <w:keepLines/>
      <w:pageBreakBefore/>
      <w:pBdr>
        <w:bottom w:val="single" w:sz="12" w:space="6" w:color="B8860B"/>
      </w:pBdr>
      <w:spacing w:before="0" w:after="360"/>
      <w:outlineLvl w:val="0"/>
    </w:pPr>
    <w:rPr>
      <w:rFonts w:ascii="Calibri" w:hAnsi="Calibri" w:eastAsia="Microsoft YaHei"/>
      <w:b/>
      <w:color w:val="2F4858"/>
      <w:spacing w:val="10"/>
      <w:sz w:val="34"/>
    </w:rPr>
  </w:style>
  <w:style w:type="paragraph" w:styleId="Heading2">
    <w:name w:val="Heading 2"/>
    <w:basedOn w:val="Normal"/>
    <w:next w:val="Normal"/>
    <w:qFormat/>
    <w:pPr>
      <w:keepNext w:val="true"/>
      <w:keepLines/>
      <w:spacing w:before="280" w:after="120"/>
      <w:outlineLvl w:val="1"/>
    </w:pPr>
    <w:rPr>
      <w:rFonts w:ascii="Calibri" w:hAnsi="Calibri" w:eastAsia="Microsoft YaHei"/>
      <w:b/>
      <w:color w:val="2F4858"/>
      <w:sz w:val="27"/>
    </w:rPr>
  </w:style>
  <w:style w:type="paragraph" w:styleId="Heading3">
    <w:name w:val="Heading 3"/>
    <w:basedOn w:val="Normal"/>
    <w:next w:val="Normal"/>
    <w:qFormat/>
    <w:pPr>
      <w:keepNext w:val="true"/>
      <w:keepLines/>
      <w:spacing w:before="220" w:after="100"/>
      <w:outlineLvl w:val="2"/>
    </w:pPr>
    <w:rPr>
      <w:rFonts w:ascii="Calibri" w:hAnsi="Calibri" w:eastAsia="Microsoft YaHei"/>
      <w:b/>
      <w:i/>
      <w:color w:val="4A6070"/>
      <w:sz w:val="23"/>
    </w:rPr>
  </w:style>
  <w:style w:type="character" w:styleId="IndexLink">
    <w:name w:val="Index Link"/>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IndexHeading">
    <w:name w:val="Index Heading"/>
    <w:basedOn w:val="Heading"/>
    <w:pPr/>
    <w:rPr/>
  </w:style>
  <w:style w:type="paragraph" w:styleId="ContentsHeading">
    <w:name w:val="TOC Heading"/>
    <w:basedOn w:val="Heading1"/>
    <w:pPr>
      <w:spacing w:before="0" w:after="240"/>
    </w:pPr>
    <w:rPr>
      <w:rFonts w:ascii="Calibri" w:hAnsi="Calibri" w:eastAsia="Microsoft YaHei"/>
      <w:b/>
      <w:color w:val="2F4858"/>
      <w:sz w:val="34"/>
    </w:rPr>
  </w:style>
  <w:style w:type="paragraph" w:styleId="Contents1">
    <w:name w:val="TOC 1"/>
    <w:basedOn w:val="Normal"/>
    <w:pPr>
      <w:spacing w:lineRule="auto" w:line="240" w:before="0" w:after="40"/>
      <w:ind w:left="0" w:hanging="0"/>
      <w:jc w:val="left"/>
    </w:pPr>
    <w:rPr>
      <w:rFonts w:ascii="Calibri" w:hAnsi="Calibri" w:eastAsia="Microsoft YaHei" w:cs="Calibri"/>
      <w:b/>
      <w:caps/>
      <w:color w:val="37474F"/>
      <w:sz w:val="21"/>
    </w:rPr>
  </w:style>
  <w:style w:type="paragraph" w:styleId="Contents2">
    <w:name w:val="TOC 2"/>
    <w:basedOn w:val="Normal"/>
    <w:pPr>
      <w:spacing w:lineRule="auto" w:line="240" w:before="0" w:after="20"/>
      <w:ind w:left="360" w:hanging="0"/>
      <w:jc w:val="left"/>
    </w:pPr>
    <w:rPr>
      <w:rFonts w:ascii="Calibri" w:hAnsi="Calibri" w:eastAsia="Microsoft YaHei" w:cs="Calibri"/>
      <w:b w:val="false"/>
      <w:caps w:val="false"/>
      <w:smallCaps w:val="false"/>
      <w:color w:val="212121"/>
      <w:sz w:val="20"/>
    </w:rPr>
  </w:style>
  <w:style w:type="paragraph" w:styleId="Contents3">
    <w:name w:val="TOC 3"/>
    <w:basedOn w:val="Normal"/>
    <w:pPr>
      <w:spacing w:lineRule="auto" w:line="240" w:before="0" w:after="20"/>
      <w:ind w:left="720" w:hanging="0"/>
      <w:jc w:val="left"/>
    </w:pPr>
    <w:rPr>
      <w:rFonts w:ascii="Calibri" w:hAnsi="Calibri" w:eastAsia="Microsoft YaHei" w:cs="Calibri"/>
      <w:b w:val="false"/>
      <w:caps w:val="false"/>
      <w:smallCaps w:val="false"/>
      <w:color w:val="26333B"/>
      <w:sz w:val="19"/>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ages>84</Pages>
  <Words>23497</Words>
  <Characters>137036</Characters>
  <CharactersWithSpaces>159192</CharactersWithSpaces>
  <Paragraphs>1355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2026-08-14T09:26:57Z</dcterms:modified>
  <cp:revision>1</cp:revision>
  <dc:subject/>
  <dc:title/>
</cp:coreProperties>
</file>