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300" w:before="1450" w:after="0"/>
        <w:jc w:val="center"/>
        <w:rPr/>
      </w:pPr>
      <w:r>
        <w:rPr>
          <w:rFonts w:eastAsia="Calibri" w:cs="Calibri" w:ascii="Calibri" w:hAnsi="Calibri"/>
          <w:caps/>
          <w:color w:val="78909C"/>
          <w:spacing w:val="28"/>
          <w:sz w:val="18"/>
          <w:szCs w:val="24"/>
        </w:rPr>
        <w:t>Muscat  ·  Bandar Abbas  ·  Geneva</w:t>
      </w:r>
    </w:p>
    <w:p>
      <w:pPr>
        <w:pStyle w:val="Normal"/>
        <w:bidi w:val="0"/>
        <w:spacing w:lineRule="auto" w:line="300" w:before="320" w:after="0"/>
        <w:jc w:val="center"/>
        <w:rPr/>
      </w:pPr>
      <w:r>
        <w:rPr>
          <w:rFonts w:eastAsia="Calibri" w:cs="Calibri" w:ascii="Calibri" w:hAnsi="Calibri"/>
          <w:b/>
          <w:color w:val="37474F"/>
          <w:spacing w:val="32"/>
          <w:sz w:val="54"/>
          <w:szCs w:val="24"/>
        </w:rPr>
        <w:t>THE HORMUZ</w:t>
      </w:r>
    </w:p>
    <w:p>
      <w:pPr>
        <w:pStyle w:val="Normal"/>
        <w:bidi w:val="0"/>
        <w:spacing w:lineRule="auto" w:line="300" w:before="0" w:after="0"/>
        <w:jc w:val="center"/>
        <w:rPr/>
      </w:pPr>
      <w:r>
        <w:rPr>
          <w:rFonts w:eastAsia="Calibri" w:cs="Calibri" w:ascii="Calibri" w:hAnsi="Calibri"/>
          <w:b/>
          <w:color w:val="37474F"/>
          <w:spacing w:val="32"/>
          <w:sz w:val="54"/>
          <w:szCs w:val="24"/>
        </w:rPr>
        <w:t>STEWARDSHIP PACT</w:t>
      </w:r>
    </w:p>
    <w:p>
      <w:pPr>
        <w:pStyle w:val="Normal"/>
        <w:bidi w:val="0"/>
        <w:spacing w:lineRule="auto" w:line="300" w:before="160" w:after="360"/>
        <w:ind w:left="900" w:right="900" w:hanging="0"/>
        <w:jc w:val="center"/>
        <w:rPr/>
      </w:pPr>
      <w:r>
        <w:rPr>
          <w:rFonts w:eastAsia="Calibri" w:cs="Calibri" w:ascii="Calibri" w:hAnsi="Calibri"/>
          <w:i/>
          <w:color w:val="546E7A"/>
          <w:sz w:val="24"/>
          <w:szCs w:val="24"/>
        </w:rPr>
        <w:t>A Cooperative Architecture for Safety, Transit, and Stewardship in the Strait of Hormuz</w:t>
      </w:r>
    </w:p>
    <w:p>
      <w:pPr>
        <w:pStyle w:val="Normal"/>
        <w:pBdr>
          <w:bottom w:val="single" w:sz="6" w:space="0" w:color="546E7A"/>
        </w:pBdr>
        <w:bidi w:val="0"/>
        <w:spacing w:lineRule="auto" w:line="300" w:before="0" w:after="340"/>
        <w:ind w:left="2400" w:right="2400" w:hanging="0"/>
        <w:jc w:val="both"/>
        <w:rPr/>
      </w:pPr>
      <w:r>
        <w:rPr/>
      </w:r>
    </w:p>
    <w:p>
      <w:pPr>
        <w:pStyle w:val="Normal"/>
        <w:bidi w:val="0"/>
        <w:spacing w:lineRule="auto" w:line="300" w:before="0" w:after="110"/>
        <w:jc w:val="center"/>
        <w:rPr/>
      </w:pPr>
      <w:r>
        <w:rPr>
          <w:rFonts w:eastAsia="Calibri" w:cs="Calibri" w:ascii="Calibri" w:hAnsi="Calibri"/>
          <w:color w:val="212121"/>
          <w:sz w:val="23"/>
          <w:szCs w:val="24"/>
        </w:rPr>
        <w:t>HSP  ·  Version 1.0  ·  August 2026</w:t>
      </w:r>
    </w:p>
    <w:p>
      <w:pPr>
        <w:pStyle w:val="Normal"/>
        <w:bidi w:val="0"/>
        <w:spacing w:lineRule="auto" w:line="300" w:before="0" w:after="850"/>
        <w:jc w:val="center"/>
        <w:rPr/>
      </w:pPr>
      <w:r>
        <w:rPr>
          <w:rFonts w:eastAsia="Calibri" w:cs="Calibri" w:ascii="Calibri" w:hAnsi="Calibri"/>
          <w:color w:val="546E7A"/>
          <w:sz w:val="21"/>
          <w:szCs w:val="24"/>
        </w:rPr>
        <w:t>Muscat, Sultanate of Oman</w:t>
      </w:r>
    </w:p>
    <w:p>
      <w:pPr>
        <w:pStyle w:val="Normal"/>
        <w:bidi w:val="0"/>
        <w:spacing w:lineRule="auto" w:line="300" w:before="0" w:after="500"/>
        <w:jc w:val="center"/>
        <w:rPr/>
      </w:pPr>
      <w:r>
        <w:rPr>
          <w:rFonts w:eastAsia="Calibri" w:cs="Calibri" w:ascii="Calibri" w:hAnsi="Calibri"/>
          <w:i/>
          <w:color w:val="78909C"/>
          <w:sz w:val="20"/>
          <w:szCs w:val="24"/>
        </w:rPr>
        <w:t>Safety. Transit. Shared Stewardship.</w:t>
      </w:r>
    </w:p>
    <w:p>
      <w:pPr>
        <w:pStyle w:val="Normal"/>
        <w:bidi w:val="0"/>
        <w:spacing w:lineRule="auto" w:line="300" w:before="0" w:after="90"/>
        <w:jc w:val="center"/>
        <w:rPr/>
      </w:pPr>
      <w:r>
        <w:rPr>
          <w:rFonts w:eastAsia="Calibri" w:cs="Calibri" w:ascii="Calibri" w:hAnsi="Calibri"/>
          <w:b/>
          <w:color w:val="37474F"/>
          <w:sz w:val="21"/>
          <w:szCs w:val="24"/>
        </w:rPr>
        <w:t>Coastal Stewards: The Islamic Republic of Iran  ·  The Sultanate of Oman</w:t>
      </w:r>
    </w:p>
    <w:p>
      <w:pPr>
        <w:pStyle w:val="Normal"/>
        <w:bidi w:val="0"/>
        <w:spacing w:lineRule="auto" w:line="300" w:before="0" w:after="90"/>
        <w:jc w:val="center"/>
        <w:rPr/>
      </w:pPr>
      <w:r>
        <w:rPr>
          <w:rFonts w:eastAsia="Calibri" w:cs="Calibri" w:ascii="Calibri" w:hAnsi="Calibri"/>
          <w:color w:val="546E7A"/>
          <w:sz w:val="20"/>
          <w:szCs w:val="24"/>
        </w:rPr>
        <w:t>Prepared for adoption by the Founding Parties and endorsement by participating states,</w:t>
      </w:r>
    </w:p>
    <w:p>
      <w:pPr>
        <w:pStyle w:val="Normal"/>
        <w:bidi w:val="0"/>
        <w:spacing w:lineRule="auto" w:line="300" w:before="0" w:after="120"/>
        <w:jc w:val="center"/>
        <w:rPr/>
      </w:pPr>
      <w:r>
        <w:rPr>
          <w:rFonts w:eastAsia="Calibri" w:cs="Calibri" w:ascii="Calibri" w:hAnsi="Calibri"/>
          <w:color w:val="546E7A"/>
          <w:sz w:val="20"/>
          <w:szCs w:val="24"/>
        </w:rPr>
        <w:t>institutions, and industry stakeholders named herein</w:t>
      </w:r>
    </w:p>
    <w:p>
      <w:pPr>
        <w:pStyle w:val="Normal"/>
        <w:bidi w:val="0"/>
        <w:spacing w:lineRule="auto" w:line="300" w:before="0" w:after="100"/>
        <w:jc w:val="center"/>
        <w:rPr/>
      </w:pPr>
      <w:r>
        <w:rPr>
          <w:rFonts w:eastAsia="Calibri" w:cs="Calibri" w:ascii="Calibri" w:hAnsi="Calibri"/>
          <w:color w:val="546E7A"/>
          <w:sz w:val="20"/>
          <w:szCs w:val="24"/>
        </w:rPr>
        <w:t>A graduated architecture on an accelerated timeline, opening the Strait within three days of activation</w:t>
      </w:r>
    </w:p>
    <w:p>
      <w:pPr>
        <w:sectPr>
          <w:headerReference w:type="default" r:id="rId2"/>
          <w:footerReference w:type="default" r:id="rId3"/>
          <w:type w:val="nextPage"/>
          <w:pgSz w:w="11906" w:h="16838"/>
          <w:pgMar w:left="1134" w:right="1134" w:gutter="0" w:header="0" w:top="1134" w:footer="0" w:bottom="1134"/>
          <w:pgNumType w:fmt="decimal"/>
          <w:formProt w:val="false"/>
          <w:textDirection w:val="lrTb"/>
          <w:docGrid w:type="default" w:linePitch="100" w:charSpace="0"/>
        </w:sectPr>
        <w:pStyle w:val="Normal"/>
        <w:bidi w:val="0"/>
        <w:spacing w:lineRule="auto" w:line="300" w:before="0" w:after="0"/>
        <w:jc w:val="center"/>
        <w:rPr/>
      </w:pPr>
      <w:r>
        <w:rPr>
          <w:rFonts w:eastAsia="Calibri" w:cs="Calibri" w:ascii="Calibri" w:hAnsi="Calibri"/>
          <w:i/>
          <w:color w:val="78909C"/>
          <w:sz w:val="18"/>
          <w:szCs w:val="24"/>
        </w:rPr>
        <w:t>Parts I–XIII  ·  Annexes A–T</w:t>
      </w:r>
    </w:p>
    <w:p>
      <w:pPr>
        <w:pStyle w:val="Normal"/>
        <w:keepNext w:val="true"/>
        <w:bidi w:val="0"/>
        <w:spacing w:lineRule="auto" w:line="300" w:before="0" w:after="360"/>
        <w:jc w:val="left"/>
        <w:rPr/>
      </w:pPr>
      <w:r>
        <w:rPr>
          <w:rFonts w:eastAsia="Calibri" w:cs="Calibri" w:ascii="Calibri" w:hAnsi="Calibri"/>
          <w:b/>
          <w:caps/>
          <w:color w:val="37474F"/>
          <w:sz w:val="32"/>
          <w:szCs w:val="24"/>
        </w:rPr>
        <w:t>Table of Contents</w:t>
      </w:r>
    </w:p>
    <w:sdt>
      <w:sdtPr>
        <w:docPartObj>
          <w:docPartGallery w:val="Table of Contents"/>
          <w:docPartUnique w:val="true"/>
        </w:docPartObj>
      </w:sdtPr>
      <w:sdtContent>
        <w:p>
          <w:pPr>
            <w:pStyle w:val="Contents1"/>
            <w:tabs>
              <w:tab w:val="clear" w:pos="8784"/>
              <w:tab w:val="right" w:pos="9026" w:leader="dot"/>
            </w:tabs>
            <w:rPr/>
          </w:pPr>
          <w:r>
            <w:fldChar w:fldCharType="begin"/>
          </w:r>
          <w:r>
            <w:rPr>
              <w:webHidden/>
              <w:rStyle w:val="IndexLink"/>
            </w:rPr>
            <w:instrText xml:space="preserve"> TOC \z \o "1-2" \u \h</w:instrText>
          </w:r>
          <w:r>
            <w:rPr>
              <w:webHidden/>
              <w:rStyle w:val="IndexLink"/>
            </w:rPr>
            <w:fldChar w:fldCharType="separate"/>
          </w:r>
          <w:hyperlink w:anchor="__RefHeading___Toc3197_2451594232">
            <w:r>
              <w:rPr>
                <w:webHidden/>
                <w:rStyle w:val="IndexLink"/>
              </w:rPr>
              <w:t>PREAMBLE</w:t>
              <w:tab/>
              <w:t>6</w:t>
            </w:r>
          </w:hyperlink>
        </w:p>
        <w:p>
          <w:pPr>
            <w:pStyle w:val="Contents1"/>
            <w:tabs>
              <w:tab w:val="clear" w:pos="8784"/>
              <w:tab w:val="right" w:pos="9026" w:leader="dot"/>
            </w:tabs>
            <w:rPr/>
          </w:pPr>
          <w:hyperlink w:anchor="__RefHeading___Toc3199_2451594232">
            <w:r>
              <w:rPr>
                <w:webHidden/>
                <w:rStyle w:val="IndexLink"/>
              </w:rPr>
              <w:t>PART I: FOUNDATIONS</w:t>
              <w:tab/>
              <w:t>6</w:t>
            </w:r>
          </w:hyperlink>
        </w:p>
        <w:p>
          <w:pPr>
            <w:pStyle w:val="Contents2"/>
            <w:tabs>
              <w:tab w:val="clear" w:pos="8784"/>
              <w:tab w:val="right" w:pos="9026" w:leader="dot"/>
            </w:tabs>
            <w:rPr/>
          </w:pPr>
          <w:hyperlink w:anchor="__RefHeading___Toc3201_2451594232">
            <w:r>
              <w:rPr>
                <w:webHidden/>
                <w:rStyle w:val="IndexLink"/>
              </w:rPr>
              <w:t>Article 1: Establishment, Purpose, and Scope</w:t>
              <w:tab/>
              <w:t>6</w:t>
            </w:r>
          </w:hyperlink>
        </w:p>
        <w:p>
          <w:pPr>
            <w:pStyle w:val="Contents2"/>
            <w:tabs>
              <w:tab w:val="clear" w:pos="8784"/>
              <w:tab w:val="right" w:pos="9026" w:leader="dot"/>
            </w:tabs>
            <w:rPr/>
          </w:pPr>
          <w:hyperlink w:anchor="__RefHeading___Toc3203_2451594232">
            <w:r>
              <w:rPr>
                <w:webHidden/>
                <w:rStyle w:val="IndexLink"/>
              </w:rPr>
              <w:t>Article 2: Legal Foundations and the Non-Prejudice Architecture</w:t>
              <w:tab/>
              <w:t>7</w:t>
            </w:r>
          </w:hyperlink>
        </w:p>
        <w:p>
          <w:pPr>
            <w:pStyle w:val="Contents2"/>
            <w:tabs>
              <w:tab w:val="clear" w:pos="8784"/>
              <w:tab w:val="right" w:pos="9026" w:leader="dot"/>
            </w:tabs>
            <w:rPr/>
          </w:pPr>
          <w:hyperlink w:anchor="__RefHeading___Toc3205_2451594232">
            <w:r>
              <w:rPr>
                <w:webHidden/>
                <w:rStyle w:val="IndexLink"/>
              </w:rPr>
              <w:t>Article 3: The Present-Moment Context and the Continuity Bridge</w:t>
              <w:tab/>
              <w:t>7</w:t>
            </w:r>
          </w:hyperlink>
        </w:p>
        <w:p>
          <w:pPr>
            <w:pStyle w:val="Contents2"/>
            <w:tabs>
              <w:tab w:val="clear" w:pos="8784"/>
              <w:tab w:val="right" w:pos="9026" w:leader="dot"/>
            </w:tabs>
            <w:rPr/>
          </w:pPr>
          <w:hyperlink w:anchor="__RefHeading___Toc3207_2451594232">
            <w:r>
              <w:rPr>
                <w:webHidden/>
                <w:rStyle w:val="IndexLink"/>
              </w:rPr>
              <w:t>Article 4: The Five Standing Rules</w:t>
              <w:tab/>
              <w:t>8</w:t>
            </w:r>
          </w:hyperlink>
        </w:p>
        <w:p>
          <w:pPr>
            <w:pStyle w:val="Contents2"/>
            <w:tabs>
              <w:tab w:val="clear" w:pos="8784"/>
              <w:tab w:val="right" w:pos="9026" w:leader="dot"/>
            </w:tabs>
            <w:rPr/>
          </w:pPr>
          <w:hyperlink w:anchor="__RefHeading___Toc3209_2451594232">
            <w:r>
              <w:rPr>
                <w:webHidden/>
                <w:rStyle w:val="IndexLink"/>
              </w:rPr>
              <w:t>Article 5: Definitions and Interpretation</w:t>
              <w:tab/>
              <w:t>9</w:t>
            </w:r>
          </w:hyperlink>
        </w:p>
        <w:p>
          <w:pPr>
            <w:pStyle w:val="Contents2"/>
            <w:tabs>
              <w:tab w:val="clear" w:pos="8784"/>
              <w:tab w:val="right" w:pos="9026" w:leader="dot"/>
            </w:tabs>
            <w:rPr/>
          </w:pPr>
          <w:hyperlink w:anchor="__RefHeading___Toc3211_2451594232">
            <w:r>
              <w:rPr>
                <w:webHidden/>
                <w:rStyle w:val="IndexLink"/>
              </w:rPr>
              <w:t>Article 6: The Red Lines Register and the Perimeter Test</w:t>
              <w:tab/>
              <w:t>9</w:t>
            </w:r>
          </w:hyperlink>
        </w:p>
        <w:p>
          <w:pPr>
            <w:pStyle w:val="Contents1"/>
            <w:tabs>
              <w:tab w:val="clear" w:pos="8784"/>
              <w:tab w:val="right" w:pos="9026" w:leader="dot"/>
            </w:tabs>
            <w:rPr/>
          </w:pPr>
          <w:hyperlink w:anchor="__RefHeading___Toc3213_2451594232">
            <w:r>
              <w:rPr>
                <w:webHidden/>
                <w:rStyle w:val="IndexLink"/>
              </w:rPr>
              <w:t>PART II: THE THREE-DAY OPENING</w:t>
              <w:tab/>
              <w:t>10</w:t>
            </w:r>
          </w:hyperlink>
        </w:p>
        <w:p>
          <w:pPr>
            <w:pStyle w:val="Contents2"/>
            <w:tabs>
              <w:tab w:val="clear" w:pos="8784"/>
              <w:tab w:val="right" w:pos="9026" w:leader="dot"/>
            </w:tabs>
            <w:rPr/>
          </w:pPr>
          <w:hyperlink w:anchor="__RefHeading___Toc3215_2451594232">
            <w:r>
              <w:rPr>
                <w:webHidden/>
                <w:rStyle w:val="IndexLink"/>
              </w:rPr>
              <w:t>Article 7: The Concurrent Activation Doctrine</w:t>
              <w:tab/>
              <w:t>10</w:t>
            </w:r>
          </w:hyperlink>
        </w:p>
        <w:p>
          <w:pPr>
            <w:pStyle w:val="Contents2"/>
            <w:tabs>
              <w:tab w:val="clear" w:pos="8784"/>
              <w:tab w:val="right" w:pos="9026" w:leader="dot"/>
            </w:tabs>
            <w:rPr/>
          </w:pPr>
          <w:hyperlink w:anchor="__RefHeading___Toc3217_2451594232">
            <w:r>
              <w:rPr>
                <w:webHidden/>
                <w:rStyle w:val="IndexLink"/>
              </w:rPr>
              <w:t>Article 8: The Seventy-Two-Hour Gate Schedule</w:t>
              <w:tab/>
              <w:t>10</w:t>
            </w:r>
          </w:hyperlink>
        </w:p>
        <w:p>
          <w:pPr>
            <w:pStyle w:val="Contents2"/>
            <w:tabs>
              <w:tab w:val="clear" w:pos="8784"/>
              <w:tab w:val="right" w:pos="9026" w:leader="dot"/>
            </w:tabs>
            <w:rPr/>
          </w:pPr>
          <w:hyperlink w:anchor="__RefHeading___Toc3219_2451594232">
            <w:r>
              <w:rPr>
                <w:webHidden/>
                <w:rStyle w:val="IndexLink"/>
              </w:rPr>
              <w:t>Article 9: The Minimal Viable Opening Package</w:t>
              <w:tab/>
              <w:t>12</w:t>
            </w:r>
          </w:hyperlink>
        </w:p>
        <w:p>
          <w:pPr>
            <w:pStyle w:val="Contents2"/>
            <w:tabs>
              <w:tab w:val="clear" w:pos="8784"/>
              <w:tab w:val="right" w:pos="9026" w:leader="dot"/>
            </w:tabs>
            <w:rPr/>
          </w:pPr>
          <w:hyperlink w:anchor="__RefHeading___Toc3221_2451594232">
            <w:r>
              <w:rPr>
                <w:webHidden/>
                <w:rStyle w:val="IndexLink"/>
              </w:rPr>
              <w:t>Article 10: The Humanitarian Bridge</w:t>
              <w:tab/>
              <w:t>12</w:t>
            </w:r>
          </w:hyperlink>
        </w:p>
        <w:p>
          <w:pPr>
            <w:pStyle w:val="Contents1"/>
            <w:tabs>
              <w:tab w:val="clear" w:pos="8784"/>
              <w:tab w:val="right" w:pos="9026" w:leader="dot"/>
            </w:tabs>
            <w:rPr/>
          </w:pPr>
          <w:hyperlink w:anchor="__RefHeading___Toc3223_2451594232">
            <w:r>
              <w:rPr>
                <w:webHidden/>
                <w:rStyle w:val="IndexLink"/>
              </w:rPr>
              <w:t>PART III: THE CORRIDOR SYSTEM</w:t>
              <w:tab/>
              <w:t>13</w:t>
            </w:r>
          </w:hyperlink>
        </w:p>
        <w:p>
          <w:pPr>
            <w:pStyle w:val="Contents2"/>
            <w:tabs>
              <w:tab w:val="clear" w:pos="8784"/>
              <w:tab w:val="right" w:pos="9026" w:leader="dot"/>
            </w:tabs>
            <w:rPr/>
          </w:pPr>
          <w:hyperlink w:anchor="__RefHeading___Toc3225_2451594232">
            <w:r>
              <w:rPr>
                <w:webHidden/>
                <w:rStyle w:val="IndexLink"/>
              </w:rPr>
              <w:t>Article 11: The Governance Area and the Neutral Coordinate Registry</w:t>
              <w:tab/>
              <w:t>13</w:t>
            </w:r>
          </w:hyperlink>
        </w:p>
        <w:p>
          <w:pPr>
            <w:pStyle w:val="Contents2"/>
            <w:tabs>
              <w:tab w:val="clear" w:pos="8784"/>
              <w:tab w:val="right" w:pos="9026" w:leader="dot"/>
            </w:tabs>
            <w:rPr/>
          </w:pPr>
          <w:hyperlink w:anchor="__RefHeading___Toc3227_2451594232">
            <w:r>
              <w:rPr>
                <w:webHidden/>
                <w:rStyle w:val="IndexLink"/>
              </w:rPr>
              <w:t>Article 12: Corridor One, the Northern Stewardship Corridor</w:t>
              <w:tab/>
              <w:t>13</w:t>
            </w:r>
          </w:hyperlink>
        </w:p>
        <w:p>
          <w:pPr>
            <w:pStyle w:val="Contents2"/>
            <w:tabs>
              <w:tab w:val="clear" w:pos="8784"/>
              <w:tab w:val="right" w:pos="9026" w:leader="dot"/>
            </w:tabs>
            <w:rPr/>
          </w:pPr>
          <w:hyperlink w:anchor="__RefHeading___Toc3229_2451594232">
            <w:r>
              <w:rPr>
                <w:webHidden/>
                <w:rStyle w:val="IndexLink"/>
              </w:rPr>
              <w:t>Article 13: Corridor Two, the Central Buffer Corridor</w:t>
              <w:tab/>
              <w:t>14</w:t>
            </w:r>
          </w:hyperlink>
        </w:p>
        <w:p>
          <w:pPr>
            <w:pStyle w:val="Contents2"/>
            <w:tabs>
              <w:tab w:val="clear" w:pos="8784"/>
              <w:tab w:val="right" w:pos="9026" w:leader="dot"/>
            </w:tabs>
            <w:rPr/>
          </w:pPr>
          <w:hyperlink w:anchor="__RefHeading___Toc3231_2451594232">
            <w:r>
              <w:rPr>
                <w:webHidden/>
                <w:rStyle w:val="IndexLink"/>
              </w:rPr>
              <w:t>Article 14: Corridor Three, the Southern Assurance Corridor</w:t>
              <w:tab/>
              <w:t>14</w:t>
            </w:r>
          </w:hyperlink>
        </w:p>
        <w:p>
          <w:pPr>
            <w:pStyle w:val="Contents2"/>
            <w:tabs>
              <w:tab w:val="clear" w:pos="8784"/>
              <w:tab w:val="right" w:pos="9026" w:leader="dot"/>
            </w:tabs>
            <w:rPr/>
          </w:pPr>
          <w:hyperlink w:anchor="__RefHeading___Toc3233_2451594232">
            <w:r>
              <w:rPr>
                <w:webHidden/>
                <w:rStyle w:val="IndexLink"/>
              </w:rPr>
              <w:t>Article 15: The Wartime Lane Sunset and the Transition Rule</w:t>
              <w:tab/>
              <w:t>15</w:t>
            </w:r>
          </w:hyperlink>
        </w:p>
        <w:p>
          <w:pPr>
            <w:pStyle w:val="Contents2"/>
            <w:tabs>
              <w:tab w:val="clear" w:pos="8784"/>
              <w:tab w:val="right" w:pos="9026" w:leader="dot"/>
            </w:tabs>
            <w:rPr/>
          </w:pPr>
          <w:hyperlink w:anchor="__RefHeading___Toc3235_2451594232">
            <w:r>
              <w:rPr>
                <w:webHidden/>
                <w:rStyle w:val="IndexLink"/>
              </w:rPr>
              <w:t>Article 16: Hazard Survey, Mine Exclusion, and Clearance</w:t>
              <w:tab/>
              <w:t>15</w:t>
            </w:r>
          </w:hyperlink>
        </w:p>
        <w:p>
          <w:pPr>
            <w:pStyle w:val="Contents1"/>
            <w:tabs>
              <w:tab w:val="clear" w:pos="8784"/>
              <w:tab w:val="right" w:pos="9026" w:leader="dot"/>
            </w:tabs>
            <w:rPr/>
          </w:pPr>
          <w:hyperlink w:anchor="__RefHeading___Toc3237_2451594232">
            <w:r>
              <w:rPr>
                <w:webHidden/>
                <w:rStyle w:val="IndexLink"/>
              </w:rPr>
              <w:t>PART IV: THE TRANSIT REGIME</w:t>
              <w:tab/>
              <w:t>16</w:t>
            </w:r>
          </w:hyperlink>
        </w:p>
        <w:p>
          <w:pPr>
            <w:pStyle w:val="Contents2"/>
            <w:tabs>
              <w:tab w:val="clear" w:pos="8784"/>
              <w:tab w:val="right" w:pos="9026" w:leader="dot"/>
            </w:tabs>
            <w:rPr/>
          </w:pPr>
          <w:hyperlink w:anchor="__RefHeading___Toc3239_2451594232">
            <w:r>
              <w:rPr>
                <w:webHidden/>
                <w:rStyle w:val="IndexLink"/>
              </w:rPr>
              <w:t>Article 17: Notification, Not Permission</w:t>
              <w:tab/>
              <w:t>16</w:t>
            </w:r>
          </w:hyperlink>
        </w:p>
        <w:p>
          <w:pPr>
            <w:pStyle w:val="Contents2"/>
            <w:tabs>
              <w:tab w:val="clear" w:pos="8784"/>
              <w:tab w:val="right" w:pos="9026" w:leader="dot"/>
            </w:tabs>
            <w:rPr/>
          </w:pPr>
          <w:hyperlink w:anchor="__RefHeading___Toc3241_2451594232">
            <w:r>
              <w:rPr>
                <w:webHidden/>
                <w:rStyle w:val="IndexLink"/>
              </w:rPr>
              <w:t>Article 18: Vessel Classification and Differentiated Treatment</w:t>
              <w:tab/>
              <w:t>16</w:t>
            </w:r>
          </w:hyperlink>
        </w:p>
        <w:p>
          <w:pPr>
            <w:pStyle w:val="Contents2"/>
            <w:tabs>
              <w:tab w:val="clear" w:pos="8784"/>
              <w:tab w:val="right" w:pos="9026" w:leader="dot"/>
            </w:tabs>
            <w:rPr/>
          </w:pPr>
          <w:hyperlink w:anchor="__RefHeading___Toc3243_2451594232">
            <w:r>
              <w:rPr>
                <w:webHidden/>
                <w:rStyle w:val="IndexLink"/>
              </w:rPr>
              <w:t>Article 19: The Absolute Non-Interdiction Protocol</w:t>
              <w:tab/>
              <w:t>17</w:t>
            </w:r>
          </w:hyperlink>
        </w:p>
        <w:p>
          <w:pPr>
            <w:pStyle w:val="Contents2"/>
            <w:tabs>
              <w:tab w:val="clear" w:pos="8784"/>
              <w:tab w:val="right" w:pos="9026" w:leader="dot"/>
            </w:tabs>
            <w:rPr/>
          </w:pPr>
          <w:hyperlink w:anchor="__RefHeading___Toc3245_2451594232">
            <w:r>
              <w:rPr>
                <w:webHidden/>
                <w:rStyle w:val="IndexLink"/>
              </w:rPr>
              <w:t>Article 20: Traffic Management, Flow States, and the Open Water Bulletin</w:t>
              <w:tab/>
              <w:t>17</w:t>
            </w:r>
          </w:hyperlink>
        </w:p>
        <w:p>
          <w:pPr>
            <w:pStyle w:val="Contents2"/>
            <w:tabs>
              <w:tab w:val="clear" w:pos="8784"/>
              <w:tab w:val="right" w:pos="9026" w:leader="dot"/>
            </w:tabs>
            <w:rPr/>
          </w:pPr>
          <w:hyperlink w:anchor="__RefHeading___Toc3247_2451594232">
            <w:r>
              <w:rPr>
                <w:webHidden/>
                <w:rStyle w:val="IndexLink"/>
              </w:rPr>
              <w:t>Article 21: Naval and Military Transit, and the United States Transit Assurance</w:t>
              <w:tab/>
              <w:t>18</w:t>
            </w:r>
          </w:hyperlink>
        </w:p>
        <w:p>
          <w:pPr>
            <w:pStyle w:val="Contents1"/>
            <w:tabs>
              <w:tab w:val="clear" w:pos="8784"/>
              <w:tab w:val="right" w:pos="9026" w:leader="dot"/>
            </w:tabs>
            <w:rPr/>
          </w:pPr>
          <w:hyperlink w:anchor="__RefHeading___Toc3249_2451594232">
            <w:r>
              <w:rPr>
                <w:webHidden/>
                <w:rStyle w:val="IndexLink"/>
              </w:rPr>
              <w:t>PART V: THE FEE RESOLUTION AND THE ECONOMIC ARCHITECTURE</w:t>
              <w:tab/>
              <w:t>19</w:t>
            </w:r>
          </w:hyperlink>
        </w:p>
        <w:p>
          <w:pPr>
            <w:pStyle w:val="Contents2"/>
            <w:tabs>
              <w:tab w:val="clear" w:pos="8784"/>
              <w:tab w:val="right" w:pos="9026" w:leader="dot"/>
            </w:tabs>
            <w:rPr/>
          </w:pPr>
          <w:hyperlink w:anchor="__RefHeading___Toc3251_2451594232">
            <w:r>
              <w:rPr>
                <w:webHidden/>
                <w:rStyle w:val="IndexLink"/>
              </w:rPr>
              <w:t>Article 22: The Zero-Toll Covenant</w:t>
              <w:tab/>
              <w:t>19</w:t>
            </w:r>
          </w:hyperlink>
        </w:p>
        <w:p>
          <w:pPr>
            <w:pStyle w:val="Contents2"/>
            <w:tabs>
              <w:tab w:val="clear" w:pos="8784"/>
              <w:tab w:val="right" w:pos="9026" w:leader="dot"/>
            </w:tabs>
            <w:rPr/>
          </w:pPr>
          <w:hyperlink w:anchor="__RefHeading___Toc3253_2451594232">
            <w:r>
              <w:rPr>
                <w:webHidden/>
                <w:rStyle w:val="IndexLink"/>
              </w:rPr>
              <w:t>Article 23: The Service Distinction and the Verified Services Catalog</w:t>
              <w:tab/>
              <w:t>19</w:t>
            </w:r>
          </w:hyperlink>
        </w:p>
        <w:p>
          <w:pPr>
            <w:pStyle w:val="Contents2"/>
            <w:tabs>
              <w:tab w:val="clear" w:pos="8784"/>
              <w:tab w:val="right" w:pos="9026" w:leader="dot"/>
            </w:tabs>
            <w:rPr/>
          </w:pPr>
          <w:hyperlink w:anchor="__RefHeading___Toc3255_2451594232">
            <w:r>
              <w:rPr>
                <w:webHidden/>
                <w:rStyle w:val="IndexLink"/>
              </w:rPr>
              <w:t>Article 24: The Hormuz Stewardship Fund</w:t>
              <w:tab/>
              <w:t>20</w:t>
            </w:r>
          </w:hyperlink>
        </w:p>
        <w:p>
          <w:pPr>
            <w:pStyle w:val="Contents2"/>
            <w:tabs>
              <w:tab w:val="clear" w:pos="8784"/>
              <w:tab w:val="right" w:pos="9026" w:leader="dot"/>
            </w:tabs>
            <w:rPr/>
          </w:pPr>
          <w:hyperlink w:anchor="__RefHeading___Toc3257_2451594232">
            <w:r>
              <w:rPr>
                <w:webHidden/>
                <w:rStyle w:val="IndexLink"/>
              </w:rPr>
              <w:t>Article 25: The Tri-Channel Funding Architecture</w:t>
              <w:tab/>
              <w:t>20</w:t>
            </w:r>
          </w:hyperlink>
        </w:p>
        <w:p>
          <w:pPr>
            <w:pStyle w:val="Contents2"/>
            <w:tabs>
              <w:tab w:val="clear" w:pos="8784"/>
              <w:tab w:val="right" w:pos="9026" w:leader="dot"/>
            </w:tabs>
            <w:rPr/>
          </w:pPr>
          <w:hyperlink w:anchor="__RefHeading___Toc3259_2451594232">
            <w:r>
              <w:rPr>
                <w:webHidden/>
                <w:rStyle w:val="IndexLink"/>
              </w:rPr>
              <w:t>Article 26: Rate Discipline, the Heavy-User Cap, the Green Discount, and Performance Bonds</w:t>
              <w:tab/>
              <w:t>21</w:t>
            </w:r>
          </w:hyperlink>
        </w:p>
        <w:p>
          <w:pPr>
            <w:pStyle w:val="Contents2"/>
            <w:tabs>
              <w:tab w:val="clear" w:pos="8784"/>
              <w:tab w:val="right" w:pos="9026" w:leader="dot"/>
            </w:tabs>
            <w:rPr/>
          </w:pPr>
          <w:hyperlink w:anchor="__RefHeading___Toc3261_2451594232">
            <w:r>
              <w:rPr>
                <w:webHidden/>
                <w:rStyle w:val="IndexLink"/>
              </w:rPr>
              <w:t>Article 27: Anti-Circumvention and the Substance Test</w:t>
              <w:tab/>
              <w:t>22</w:t>
            </w:r>
          </w:hyperlink>
        </w:p>
        <w:p>
          <w:pPr>
            <w:pStyle w:val="Contents2"/>
            <w:tabs>
              <w:tab w:val="clear" w:pos="8784"/>
              <w:tab w:val="right" w:pos="9026" w:leader="dot"/>
            </w:tabs>
            <w:rPr/>
          </w:pPr>
          <w:hyperlink w:anchor="__RefHeading___Toc3263_2451594232">
            <w:r>
              <w:rPr>
                <w:webHidden/>
                <w:rStyle w:val="IndexLink"/>
              </w:rPr>
              <w:t>Article 28: The Sanctions-Compliance Firewall</w:t>
              <w:tab/>
              <w:t>22</w:t>
            </w:r>
          </w:hyperlink>
        </w:p>
        <w:p>
          <w:pPr>
            <w:pStyle w:val="Contents2"/>
            <w:tabs>
              <w:tab w:val="clear" w:pos="8784"/>
              <w:tab w:val="right" w:pos="9026" w:leader="dot"/>
            </w:tabs>
            <w:rPr/>
          </w:pPr>
          <w:hyperlink w:anchor="__RefHeading___Toc3265_2451594232">
            <w:r>
              <w:rPr>
                <w:webHidden/>
                <w:rStyle w:val="IndexLink"/>
              </w:rPr>
              <w:t>Article 29: The Economic Normalization Track</w:t>
              <w:tab/>
              <w:t>22</w:t>
            </w:r>
          </w:hyperlink>
        </w:p>
        <w:p>
          <w:pPr>
            <w:pStyle w:val="Contents1"/>
            <w:tabs>
              <w:tab w:val="clear" w:pos="8784"/>
              <w:tab w:val="right" w:pos="9026" w:leader="dot"/>
            </w:tabs>
            <w:rPr/>
          </w:pPr>
          <w:hyperlink w:anchor="__RefHeading___Toc3267_2451594232">
            <w:r>
              <w:rPr>
                <w:webHidden/>
                <w:rStyle w:val="IndexLink"/>
              </w:rPr>
              <w:t>PART VI: SECURITY AND DE-ESCALATION</w:t>
              <w:tab/>
              <w:t>23</w:t>
            </w:r>
          </w:hyperlink>
        </w:p>
        <w:p>
          <w:pPr>
            <w:pStyle w:val="Contents2"/>
            <w:tabs>
              <w:tab w:val="clear" w:pos="8784"/>
              <w:tab w:val="right" w:pos="9026" w:leader="dot"/>
            </w:tabs>
            <w:rPr/>
          </w:pPr>
          <w:hyperlink w:anchor="__RefHeading___Toc3269_2451594232">
            <w:r>
              <w:rPr>
                <w:webHidden/>
                <w:rStyle w:val="IndexLink"/>
              </w:rPr>
              <w:t>Article 30: Standoff Geometry and Military Deconfliction</w:t>
              <w:tab/>
              <w:t>23</w:t>
            </w:r>
          </w:hyperlink>
        </w:p>
        <w:p>
          <w:pPr>
            <w:pStyle w:val="Contents2"/>
            <w:tabs>
              <w:tab w:val="clear" w:pos="8784"/>
              <w:tab w:val="right" w:pos="9026" w:leader="dot"/>
            </w:tabs>
            <w:rPr/>
          </w:pPr>
          <w:hyperlink w:anchor="__RefHeading___Toc3271_2451594232">
            <w:r>
              <w:rPr>
                <w:webHidden/>
                <w:rStyle w:val="IndexLink"/>
              </w:rPr>
              <w:t>Article 31: The Crisis Hotline Network</w:t>
              <w:tab/>
              <w:t>24</w:t>
            </w:r>
          </w:hyperlink>
        </w:p>
        <w:p>
          <w:pPr>
            <w:pStyle w:val="Contents2"/>
            <w:tabs>
              <w:tab w:val="clear" w:pos="8784"/>
              <w:tab w:val="right" w:pos="9026" w:leader="dot"/>
            </w:tabs>
            <w:rPr/>
          </w:pPr>
          <w:hyperlink w:anchor="__RefHeading___Toc3273_2451594232">
            <w:r>
              <w:rPr>
                <w:webHidden/>
                <w:rStyle w:val="IndexLink"/>
              </w:rPr>
              <w:t>Article 32: The Incident Ladder</w:t>
              <w:tab/>
              <w:t>24</w:t>
            </w:r>
          </w:hyperlink>
        </w:p>
        <w:p>
          <w:pPr>
            <w:pStyle w:val="Contents2"/>
            <w:tabs>
              <w:tab w:val="clear" w:pos="8784"/>
              <w:tab w:val="right" w:pos="9026" w:leader="dot"/>
            </w:tabs>
            <w:rPr/>
          </w:pPr>
          <w:hyperlink w:anchor="__RefHeading___Toc3275_2451594232">
            <w:r>
              <w:rPr>
                <w:webHidden/>
                <w:rStyle w:val="IndexLink"/>
              </w:rPr>
              <w:t>Article 33: The Five-Level Crisis Protocol and the Corridor Emergency Override</w:t>
              <w:tab/>
              <w:t>25</w:t>
            </w:r>
          </w:hyperlink>
        </w:p>
        <w:p>
          <w:pPr>
            <w:pStyle w:val="Contents2"/>
            <w:tabs>
              <w:tab w:val="clear" w:pos="8784"/>
              <w:tab w:val="right" w:pos="9026" w:leader="dot"/>
            </w:tabs>
            <w:rPr/>
          </w:pPr>
          <w:hyperlink w:anchor="__RefHeading___Toc3277_2451594232">
            <w:r>
              <w:rPr>
                <w:webHidden/>
                <w:rStyle w:val="IndexLink"/>
              </w:rPr>
              <w:t>Article 34: The False-Flag and Attribution Protocol</w:t>
              <w:tab/>
              <w:t>25</w:t>
            </w:r>
          </w:hyperlink>
        </w:p>
        <w:p>
          <w:pPr>
            <w:pStyle w:val="Contents2"/>
            <w:tabs>
              <w:tab w:val="clear" w:pos="8784"/>
              <w:tab w:val="right" w:pos="9026" w:leader="dot"/>
            </w:tabs>
            <w:rPr/>
          </w:pPr>
          <w:hyperlink w:anchor="__RefHeading___Toc3279_2451594232">
            <w:r>
              <w:rPr>
                <w:webHidden/>
                <w:rStyle w:val="IndexLink"/>
              </w:rPr>
              <w:t>Article 35: Missile and Exercise Notification Rules</w:t>
              <w:tab/>
              <w:t>26</w:t>
            </w:r>
          </w:hyperlink>
        </w:p>
        <w:p>
          <w:pPr>
            <w:pStyle w:val="Contents1"/>
            <w:tabs>
              <w:tab w:val="clear" w:pos="8784"/>
              <w:tab w:val="right" w:pos="9026" w:leader="dot"/>
            </w:tabs>
            <w:rPr/>
          </w:pPr>
          <w:hyperlink w:anchor="__RefHeading___Toc3281_2451594232">
            <w:r>
              <w:rPr>
                <w:webHidden/>
                <w:rStyle w:val="IndexLink"/>
              </w:rPr>
              <w:t>PART VII: THE NUCLEAR FIREWALL</w:t>
              <w:tab/>
              <w:t>26</w:t>
            </w:r>
          </w:hyperlink>
        </w:p>
        <w:p>
          <w:pPr>
            <w:pStyle w:val="Contents2"/>
            <w:tabs>
              <w:tab w:val="clear" w:pos="8784"/>
              <w:tab w:val="right" w:pos="9026" w:leader="dot"/>
            </w:tabs>
            <w:rPr/>
          </w:pPr>
          <w:hyperlink w:anchor="__RefHeading___Toc3283_2451594232">
            <w:r>
              <w:rPr>
                <w:webHidden/>
                <w:rStyle w:val="IndexLink"/>
              </w:rPr>
              <w:t>Article 36: The Firewall Principle</w:t>
              <w:tab/>
              <w:t>26</w:t>
            </w:r>
          </w:hyperlink>
        </w:p>
        <w:p>
          <w:pPr>
            <w:pStyle w:val="Contents1"/>
            <w:tabs>
              <w:tab w:val="clear" w:pos="8784"/>
              <w:tab w:val="right" w:pos="9026" w:leader="dot"/>
            </w:tabs>
            <w:rPr/>
          </w:pPr>
          <w:hyperlink w:anchor="__RefHeading___Toc3285_2451594232">
            <w:r>
              <w:rPr>
                <w:webHidden/>
                <w:rStyle w:val="IndexLink"/>
              </w:rPr>
              <w:t>PART VIII: THE INSTITUTIONAL ARCHITECTURE</w:t>
              <w:tab/>
              <w:t>27</w:t>
            </w:r>
          </w:hyperlink>
        </w:p>
        <w:p>
          <w:pPr>
            <w:pStyle w:val="Contents2"/>
            <w:tabs>
              <w:tab w:val="clear" w:pos="8784"/>
              <w:tab w:val="right" w:pos="9026" w:leader="dot"/>
            </w:tabs>
            <w:rPr/>
          </w:pPr>
          <w:hyperlink w:anchor="__RefHeading___Toc3287_2451594232">
            <w:r>
              <w:rPr>
                <w:webHidden/>
                <w:rStyle w:val="IndexLink"/>
              </w:rPr>
              <w:t>Article 37: The Hormuz Stewardship Council and the Twin Key</w:t>
              <w:tab/>
              <w:t>27</w:t>
            </w:r>
          </w:hyperlink>
        </w:p>
        <w:p>
          <w:pPr>
            <w:pStyle w:val="Contents2"/>
            <w:tabs>
              <w:tab w:val="clear" w:pos="8784"/>
              <w:tab w:val="right" w:pos="9026" w:leader="dot"/>
            </w:tabs>
            <w:rPr/>
          </w:pPr>
          <w:hyperlink w:anchor="__RefHeading___Toc3289_2451594232">
            <w:r>
              <w:rPr>
                <w:webHidden/>
                <w:rStyle w:val="IndexLink"/>
              </w:rPr>
              <w:t>Article 38: The Secretariat and the Maritime Coordination Center</w:t>
              <w:tab/>
              <w:t>27</w:t>
            </w:r>
          </w:hyperlink>
        </w:p>
        <w:p>
          <w:pPr>
            <w:pStyle w:val="Contents2"/>
            <w:tabs>
              <w:tab w:val="clear" w:pos="8784"/>
              <w:tab w:val="right" w:pos="9026" w:leader="dot"/>
            </w:tabs>
            <w:rPr/>
          </w:pPr>
          <w:hyperlink w:anchor="__RefHeading___Toc3291_2451594232">
            <w:r>
              <w:rPr>
                <w:webHidden/>
                <w:rStyle w:val="IndexLink"/>
              </w:rPr>
              <w:t>Article 39: The Verification and Surveillance Directorate</w:t>
              <w:tab/>
              <w:t>28</w:t>
            </w:r>
          </w:hyperlink>
        </w:p>
        <w:p>
          <w:pPr>
            <w:pStyle w:val="Contents2"/>
            <w:tabs>
              <w:tab w:val="clear" w:pos="8784"/>
              <w:tab w:val="right" w:pos="9026" w:leader="dot"/>
            </w:tabs>
            <w:rPr/>
          </w:pPr>
          <w:hyperlink w:anchor="__RefHeading___Toc3293_2451594232">
            <w:r>
              <w:rPr>
                <w:webHidden/>
                <w:rStyle w:val="IndexLink"/>
              </w:rPr>
              <w:t>Article 40: The Participation Tiers</w:t>
              <w:tab/>
              <w:t>28</w:t>
            </w:r>
          </w:hyperlink>
        </w:p>
        <w:p>
          <w:pPr>
            <w:pStyle w:val="Contents2"/>
            <w:tabs>
              <w:tab w:val="clear" w:pos="8784"/>
              <w:tab w:val="right" w:pos="9026" w:leader="dot"/>
            </w:tabs>
            <w:rPr/>
          </w:pPr>
          <w:hyperlink w:anchor="__RefHeading___Toc3295_2451594232">
            <w:r>
              <w:rPr>
                <w:webHidden/>
                <w:rStyle w:val="IndexLink"/>
              </w:rPr>
              <w:t>Article 41: Decision Rules</w:t>
              <w:tab/>
              <w:t>29</w:t>
            </w:r>
          </w:hyperlink>
        </w:p>
        <w:p>
          <w:pPr>
            <w:pStyle w:val="Contents2"/>
            <w:tabs>
              <w:tab w:val="clear" w:pos="8784"/>
              <w:tab w:val="right" w:pos="9026" w:leader="dot"/>
            </w:tabs>
            <w:rPr/>
          </w:pPr>
          <w:hyperlink w:anchor="__RefHeading___Toc3297_2451594232">
            <w:r>
              <w:rPr>
                <w:webHidden/>
                <w:rStyle w:val="IndexLink"/>
              </w:rPr>
              <w:t>Article 42: The Intermediary Bridge</w:t>
              <w:tab/>
              <w:t>30</w:t>
            </w:r>
          </w:hyperlink>
        </w:p>
        <w:p>
          <w:pPr>
            <w:pStyle w:val="Contents1"/>
            <w:tabs>
              <w:tab w:val="clear" w:pos="8784"/>
              <w:tab w:val="right" w:pos="9026" w:leader="dot"/>
            </w:tabs>
            <w:rPr/>
          </w:pPr>
          <w:hyperlink w:anchor="__RefHeading___Toc3299_2451594232">
            <w:r>
              <w:rPr>
                <w:webHidden/>
                <w:rStyle w:val="IndexLink"/>
              </w:rPr>
              <w:t>PART IX: VERIFICATION, COMPLIANCE, AND THE STABILITY AUDIT</w:t>
              <w:tab/>
              <w:t>30</w:t>
            </w:r>
          </w:hyperlink>
        </w:p>
        <w:p>
          <w:pPr>
            <w:pStyle w:val="Contents2"/>
            <w:tabs>
              <w:tab w:val="clear" w:pos="8784"/>
              <w:tab w:val="right" w:pos="9026" w:leader="dot"/>
            </w:tabs>
            <w:rPr/>
          </w:pPr>
          <w:hyperlink w:anchor="__RefHeading___Toc3301_2451594232">
            <w:r>
              <w:rPr>
                <w:webHidden/>
                <w:rStyle w:val="IndexLink"/>
              </w:rPr>
              <w:t>Article 43: The Three-Pillar Verification Architecture</w:t>
              <w:tab/>
              <w:t>30</w:t>
            </w:r>
          </w:hyperlink>
        </w:p>
        <w:p>
          <w:pPr>
            <w:pStyle w:val="Contents2"/>
            <w:tabs>
              <w:tab w:val="clear" w:pos="8784"/>
              <w:tab w:val="right" w:pos="9026" w:leader="dot"/>
            </w:tabs>
            <w:rPr/>
          </w:pPr>
          <w:hyperlink w:anchor="__RefHeading___Toc3303_2451594232">
            <w:r>
              <w:rPr>
                <w:webHidden/>
                <w:rStyle w:val="IndexLink"/>
              </w:rPr>
              <w:t>Article 44: The Stability Audit</w:t>
              <w:tab/>
              <w:t>31</w:t>
            </w:r>
          </w:hyperlink>
        </w:p>
        <w:p>
          <w:pPr>
            <w:pStyle w:val="Contents2"/>
            <w:tabs>
              <w:tab w:val="clear" w:pos="8784"/>
              <w:tab w:val="right" w:pos="9026" w:leader="dot"/>
            </w:tabs>
            <w:rPr/>
          </w:pPr>
          <w:hyperlink w:anchor="__RefHeading___Toc3305_2451594232">
            <w:r>
              <w:rPr>
                <w:webHidden/>
                <w:rStyle w:val="IndexLink"/>
              </w:rPr>
              <w:t>Article 45: The Compliance Engine</w:t>
              <w:tab/>
              <w:t>32</w:t>
            </w:r>
          </w:hyperlink>
        </w:p>
        <w:p>
          <w:pPr>
            <w:pStyle w:val="Contents2"/>
            <w:tabs>
              <w:tab w:val="clear" w:pos="8784"/>
              <w:tab w:val="right" w:pos="9026" w:leader="dot"/>
            </w:tabs>
            <w:rPr/>
          </w:pPr>
          <w:hyperlink w:anchor="__RefHeading___Toc3307_2451594232">
            <w:r>
              <w:rPr>
                <w:webHidden/>
                <w:rStyle w:val="IndexLink"/>
              </w:rPr>
              <w:t>Article 46: The Forward Drift Archive and Goodwill Credits</w:t>
              <w:tab/>
              <w:t>33</w:t>
            </w:r>
          </w:hyperlink>
        </w:p>
        <w:p>
          <w:pPr>
            <w:pStyle w:val="Contents1"/>
            <w:tabs>
              <w:tab w:val="clear" w:pos="8784"/>
              <w:tab w:val="right" w:pos="9026" w:leader="dot"/>
            </w:tabs>
            <w:rPr/>
          </w:pPr>
          <w:hyperlink w:anchor="__RefHeading___Toc3309_2451594232">
            <w:r>
              <w:rPr>
                <w:webHidden/>
                <w:rStyle w:val="IndexLink"/>
              </w:rPr>
              <w:t>PART X: GRADUATED LAYERS ON AN ACCELERATED TIMELINE</w:t>
              <w:tab/>
              <w:t>33</w:t>
            </w:r>
          </w:hyperlink>
        </w:p>
        <w:p>
          <w:pPr>
            <w:pStyle w:val="Contents2"/>
            <w:tabs>
              <w:tab w:val="clear" w:pos="8784"/>
              <w:tab w:val="right" w:pos="9026" w:leader="dot"/>
            </w:tabs>
            <w:rPr/>
          </w:pPr>
          <w:hyperlink w:anchor="__RefHeading___Toc3311_2451594232">
            <w:r>
              <w:rPr>
                <w:webHidden/>
                <w:rStyle w:val="IndexLink"/>
              </w:rPr>
              <w:t>Article 47: The Layered Rollout Doctrine</w:t>
              <w:tab/>
              <w:t>33</w:t>
            </w:r>
          </w:hyperlink>
        </w:p>
        <w:p>
          <w:pPr>
            <w:pStyle w:val="Contents2"/>
            <w:tabs>
              <w:tab w:val="clear" w:pos="8784"/>
              <w:tab w:val="right" w:pos="9026" w:leader="dot"/>
            </w:tabs>
            <w:rPr/>
          </w:pPr>
          <w:hyperlink w:anchor="__RefHeading___Toc3313_2451594232">
            <w:r>
              <w:rPr>
                <w:webHidden/>
                <w:rStyle w:val="IndexLink"/>
              </w:rPr>
              <w:t>Article 48: The Gate Schedule</w:t>
              <w:tab/>
              <w:t>34</w:t>
            </w:r>
          </w:hyperlink>
        </w:p>
        <w:p>
          <w:pPr>
            <w:pStyle w:val="Contents2"/>
            <w:tabs>
              <w:tab w:val="clear" w:pos="8784"/>
              <w:tab w:val="right" w:pos="9026" w:leader="dot"/>
            </w:tabs>
            <w:rPr/>
          </w:pPr>
          <w:hyperlink w:anchor="__RefHeading___Toc3315_2451594232">
            <w:r>
              <w:rPr>
                <w:webHidden/>
                <w:rStyle w:val="IndexLink"/>
              </w:rPr>
              <w:t>Article 49: The Synchronized Relief Track</w:t>
              <w:tab/>
              <w:t>35</w:t>
            </w:r>
          </w:hyperlink>
        </w:p>
        <w:p>
          <w:pPr>
            <w:pStyle w:val="Contents2"/>
            <w:tabs>
              <w:tab w:val="clear" w:pos="8784"/>
              <w:tab w:val="right" w:pos="9026" w:leader="dot"/>
            </w:tabs>
            <w:rPr/>
          </w:pPr>
          <w:hyperlink w:anchor="__RefHeading___Toc3317_2451594232">
            <w:r>
              <w:rPr>
                <w:webHidden/>
                <w:rStyle w:val="IndexLink"/>
              </w:rPr>
              <w:t>Article 50: The Emergency Acceleration Clause and the Continuity of the Clock</w:t>
              <w:tab/>
              <w:t>35</w:t>
            </w:r>
          </w:hyperlink>
        </w:p>
        <w:p>
          <w:pPr>
            <w:pStyle w:val="Contents1"/>
            <w:tabs>
              <w:tab w:val="clear" w:pos="8784"/>
              <w:tab w:val="right" w:pos="9026" w:leader="dot"/>
            </w:tabs>
            <w:rPr/>
          </w:pPr>
          <w:hyperlink w:anchor="__RefHeading___Toc3319_2451594232">
            <w:r>
              <w:rPr>
                <w:webHidden/>
                <w:rStyle w:val="IndexLink"/>
              </w:rPr>
              <w:t>PART XI: HUMANITARIAN AND ENVIRONMENTAL PROTECTION</w:t>
              <w:tab/>
              <w:t>36</w:t>
            </w:r>
          </w:hyperlink>
        </w:p>
        <w:p>
          <w:pPr>
            <w:pStyle w:val="Contents2"/>
            <w:tabs>
              <w:tab w:val="clear" w:pos="8784"/>
              <w:tab w:val="right" w:pos="9026" w:leader="dot"/>
            </w:tabs>
            <w:rPr/>
          </w:pPr>
          <w:hyperlink w:anchor="__RefHeading___Toc3321_2451594232">
            <w:r>
              <w:rPr>
                <w:webHidden/>
                <w:rStyle w:val="IndexLink"/>
              </w:rPr>
              <w:t>Article 51: The Humanitarian Firewall</w:t>
              <w:tab/>
              <w:t>36</w:t>
            </w:r>
          </w:hyperlink>
        </w:p>
        <w:p>
          <w:pPr>
            <w:pStyle w:val="Contents2"/>
            <w:tabs>
              <w:tab w:val="clear" w:pos="8784"/>
              <w:tab w:val="right" w:pos="9026" w:leader="dot"/>
            </w:tabs>
            <w:rPr/>
          </w:pPr>
          <w:hyperlink w:anchor="__RefHeading___Toc3323_2451594232">
            <w:r>
              <w:rPr>
                <w:webHidden/>
                <w:rStyle w:val="IndexLink"/>
              </w:rPr>
              <w:t>Article 52: Environmental Protection and Pollution Response</w:t>
              <w:tab/>
              <w:t>36</w:t>
            </w:r>
          </w:hyperlink>
        </w:p>
        <w:p>
          <w:pPr>
            <w:pStyle w:val="Contents2"/>
            <w:tabs>
              <w:tab w:val="clear" w:pos="8784"/>
              <w:tab w:val="right" w:pos="9026" w:leader="dot"/>
            </w:tabs>
            <w:rPr/>
          </w:pPr>
          <w:hyperlink w:anchor="__RefHeading___Toc3325_2451594232">
            <w:r>
              <w:rPr>
                <w:webHidden/>
                <w:rStyle w:val="IndexLink"/>
              </w:rPr>
              <w:t>Article 53: Search and Rescue, and Crew Protections</w:t>
              <w:tab/>
              <w:t>37</w:t>
            </w:r>
          </w:hyperlink>
        </w:p>
        <w:p>
          <w:pPr>
            <w:pStyle w:val="Contents1"/>
            <w:tabs>
              <w:tab w:val="clear" w:pos="8784"/>
              <w:tab w:val="right" w:pos="9026" w:leader="dot"/>
            </w:tabs>
            <w:rPr/>
          </w:pPr>
          <w:hyperlink w:anchor="__RefHeading___Toc3327_2451594232">
            <w:r>
              <w:rPr>
                <w:webHidden/>
                <w:rStyle w:val="IndexLink"/>
              </w:rPr>
              <w:t>PART XII: TRANSPARENCY, COMMUNICATION, AND LEGITIMACY</w:t>
              <w:tab/>
              <w:t>37</w:t>
            </w:r>
          </w:hyperlink>
        </w:p>
        <w:p>
          <w:pPr>
            <w:pStyle w:val="Contents2"/>
            <w:tabs>
              <w:tab w:val="clear" w:pos="8784"/>
              <w:tab w:val="right" w:pos="9026" w:leader="dot"/>
            </w:tabs>
            <w:rPr/>
          </w:pPr>
          <w:hyperlink w:anchor="__RefHeading___Toc3329_2451594232">
            <w:r>
              <w:rPr>
                <w:webHidden/>
                <w:rStyle w:val="IndexLink"/>
              </w:rPr>
              <w:t>Article 54: The Transparency Portals</w:t>
              <w:tab/>
              <w:t>37</w:t>
            </w:r>
          </w:hyperlink>
        </w:p>
        <w:p>
          <w:pPr>
            <w:pStyle w:val="Contents2"/>
            <w:tabs>
              <w:tab w:val="clear" w:pos="8784"/>
              <w:tab w:val="right" w:pos="9026" w:leader="dot"/>
            </w:tabs>
            <w:rPr/>
          </w:pPr>
          <w:hyperlink w:anchor="__RefHeading___Toc3331_2451594232">
            <w:r>
              <w:rPr>
                <w:webHidden/>
                <w:rStyle w:val="IndexLink"/>
              </w:rPr>
              <w:t>Article 55: Public Communication and the Counter-Misinformation Protocol</w:t>
              <w:tab/>
              <w:t>37</w:t>
            </w:r>
          </w:hyperlink>
        </w:p>
        <w:p>
          <w:pPr>
            <w:pStyle w:val="Contents2"/>
            <w:tabs>
              <w:tab w:val="clear" w:pos="8784"/>
              <w:tab w:val="right" w:pos="9026" w:leader="dot"/>
            </w:tabs>
            <w:rPr/>
          </w:pPr>
          <w:hyperlink w:anchor="__RefHeading___Toc3333_2451594232">
            <w:r>
              <w:rPr>
                <w:webHidden/>
                <w:rStyle w:val="IndexLink"/>
              </w:rPr>
              <w:t>Article 56: The Continuity Guarantee and Political Resilience</w:t>
              <w:tab/>
              <w:t>38</w:t>
            </w:r>
          </w:hyperlink>
        </w:p>
        <w:p>
          <w:pPr>
            <w:pStyle w:val="Contents1"/>
            <w:tabs>
              <w:tab w:val="clear" w:pos="8784"/>
              <w:tab w:val="right" w:pos="9026" w:leader="dot"/>
            </w:tabs>
            <w:rPr/>
          </w:pPr>
          <w:hyperlink w:anchor="__RefHeading___Toc3335_2451594232">
            <w:r>
              <w:rPr>
                <w:webHidden/>
                <w:rStyle w:val="IndexLink"/>
              </w:rPr>
              <w:t>PART XIII: FINAL CLAUSES</w:t>
              <w:tab/>
              <w:t>38</w:t>
            </w:r>
          </w:hyperlink>
        </w:p>
        <w:p>
          <w:pPr>
            <w:pStyle w:val="Contents2"/>
            <w:tabs>
              <w:tab w:val="clear" w:pos="8784"/>
              <w:tab w:val="right" w:pos="9026" w:leader="dot"/>
            </w:tabs>
            <w:rPr/>
          </w:pPr>
          <w:hyperlink w:anchor="__RefHeading___Toc3337_2451594232">
            <w:r>
              <w:rPr>
                <w:webHidden/>
                <w:rStyle w:val="IndexLink"/>
              </w:rPr>
              <w:t>Article 57: Entry into Force, Amendment, and Review</w:t>
              <w:tab/>
              <w:t>38</w:t>
            </w:r>
          </w:hyperlink>
        </w:p>
        <w:p>
          <w:pPr>
            <w:pStyle w:val="Contents2"/>
            <w:tabs>
              <w:tab w:val="clear" w:pos="8784"/>
              <w:tab w:val="right" w:pos="9026" w:leader="dot"/>
            </w:tabs>
            <w:rPr/>
          </w:pPr>
          <w:hyperlink w:anchor="__RefHeading___Toc3339_2451594232">
            <w:r>
              <w:rPr>
                <w:webHidden/>
                <w:rStyle w:val="IndexLink"/>
              </w:rPr>
              <w:t>Article 58: Withdrawal, Continuity, and the Depositary</w:t>
              <w:tab/>
              <w:t>38</w:t>
            </w:r>
          </w:hyperlink>
        </w:p>
        <w:p>
          <w:pPr>
            <w:pStyle w:val="Contents2"/>
            <w:tabs>
              <w:tab w:val="clear" w:pos="8784"/>
              <w:tab w:val="right" w:pos="9026" w:leader="dot"/>
            </w:tabs>
            <w:rPr/>
          </w:pPr>
          <w:hyperlink w:anchor="__RefHeading___Toc3341_2451594232">
            <w:r>
              <w:rPr>
                <w:webHidden/>
                <w:rStyle w:val="IndexLink"/>
              </w:rPr>
              <w:t>Article 59: Adoption and Signature</w:t>
              <w:tab/>
              <w:t>39</w:t>
            </w:r>
          </w:hyperlink>
        </w:p>
        <w:p>
          <w:pPr>
            <w:pStyle w:val="Contents1"/>
            <w:tabs>
              <w:tab w:val="clear" w:pos="8784"/>
              <w:tab w:val="right" w:pos="9026" w:leader="dot"/>
            </w:tabs>
            <w:rPr/>
          </w:pPr>
          <w:hyperlink w:anchor="__RefHeading___Toc3343_2451594232">
            <w:r>
              <w:rPr>
                <w:webHidden/>
                <w:rStyle w:val="IndexLink"/>
              </w:rPr>
              <w:t>ANNEX A: CORRIDOR GEOMETRY AND COORDINATE REGISTRY</w:t>
              <w:tab/>
              <w:t>39</w:t>
            </w:r>
          </w:hyperlink>
        </w:p>
        <w:p>
          <w:pPr>
            <w:pStyle w:val="Contents2"/>
            <w:tabs>
              <w:tab w:val="clear" w:pos="8784"/>
              <w:tab w:val="right" w:pos="9026" w:leader="dot"/>
            </w:tabs>
            <w:rPr/>
          </w:pPr>
          <w:hyperlink w:anchor="__RefHeading___Toc3345_2451594232">
            <w:r>
              <w:rPr>
                <w:webHidden/>
                <w:rStyle w:val="IndexLink"/>
              </w:rPr>
              <w:t>A.1 Registry Status and Datum</w:t>
              <w:tab/>
              <w:t>39</w:t>
            </w:r>
          </w:hyperlink>
        </w:p>
        <w:p>
          <w:pPr>
            <w:pStyle w:val="Contents2"/>
            <w:tabs>
              <w:tab w:val="clear" w:pos="8784"/>
              <w:tab w:val="right" w:pos="9026" w:leader="dot"/>
            </w:tabs>
            <w:rPr/>
          </w:pPr>
          <w:hyperlink w:anchor="__RefHeading___Toc3347_2451594232">
            <w:r>
              <w:rPr>
                <w:webHidden/>
                <w:rStyle w:val="IndexLink"/>
              </w:rPr>
              <w:t>A.2 Table A-1: Governance Area Boundary</w:t>
              <w:tab/>
              <w:t>39</w:t>
            </w:r>
          </w:hyperlink>
        </w:p>
        <w:p>
          <w:pPr>
            <w:pStyle w:val="Contents2"/>
            <w:tabs>
              <w:tab w:val="clear" w:pos="8784"/>
              <w:tab w:val="right" w:pos="9026" w:leader="dot"/>
            </w:tabs>
            <w:rPr/>
          </w:pPr>
          <w:hyperlink w:anchor="__RefHeading___Toc3349_2451594232">
            <w:r>
              <w:rPr>
                <w:webHidden/>
                <w:rStyle w:val="IndexLink"/>
              </w:rPr>
              <w:t>A.3 Table A-2: Corridor One, Northern Stewardship Corridor (Inbound)</w:t>
              <w:tab/>
              <w:t>40</w:t>
            </w:r>
          </w:hyperlink>
        </w:p>
        <w:p>
          <w:pPr>
            <w:pStyle w:val="Contents2"/>
            <w:tabs>
              <w:tab w:val="clear" w:pos="8784"/>
              <w:tab w:val="right" w:pos="9026" w:leader="dot"/>
            </w:tabs>
            <w:rPr/>
          </w:pPr>
          <w:hyperlink w:anchor="__RefHeading___Toc3351_2451594232">
            <w:r>
              <w:rPr>
                <w:webHidden/>
                <w:rStyle w:val="IndexLink"/>
              </w:rPr>
              <w:t>A.4 Table A-3: Corridor Three, Southern Assurance Corridor (Outbound)</w:t>
              <w:tab/>
              <w:t>40</w:t>
            </w:r>
          </w:hyperlink>
        </w:p>
        <w:p>
          <w:pPr>
            <w:pStyle w:val="Contents2"/>
            <w:tabs>
              <w:tab w:val="clear" w:pos="8784"/>
              <w:tab w:val="right" w:pos="9026" w:leader="dot"/>
            </w:tabs>
            <w:rPr/>
          </w:pPr>
          <w:hyperlink w:anchor="__RefHeading___Toc3353_2451594232">
            <w:r>
              <w:rPr>
                <w:webHidden/>
                <w:rStyle w:val="IndexLink"/>
              </w:rPr>
              <w:t>A.5 Table A-4: Corridor Two, Central Buffer Corridor</w:t>
              <w:tab/>
              <w:t>41</w:t>
            </w:r>
          </w:hyperlink>
        </w:p>
        <w:p>
          <w:pPr>
            <w:pStyle w:val="Contents2"/>
            <w:tabs>
              <w:tab w:val="clear" w:pos="8784"/>
              <w:tab w:val="right" w:pos="9026" w:leader="dot"/>
            </w:tabs>
            <w:rPr/>
          </w:pPr>
          <w:hyperlink w:anchor="__RefHeading___Toc3355_2451594232">
            <w:r>
              <w:rPr>
                <w:webHidden/>
                <w:rStyle w:val="IndexLink"/>
              </w:rPr>
              <w:t>A.6 Table A-5: Anchorages and Marshalling Areas</w:t>
              <w:tab/>
              <w:t>41</w:t>
            </w:r>
          </w:hyperlink>
        </w:p>
        <w:p>
          <w:pPr>
            <w:pStyle w:val="Contents2"/>
            <w:tabs>
              <w:tab w:val="clear" w:pos="8784"/>
              <w:tab w:val="right" w:pos="9026" w:leader="dot"/>
            </w:tabs>
            <w:rPr/>
          </w:pPr>
          <w:hyperlink w:anchor="__RefHeading___Toc3357_2451594232">
            <w:r>
              <w:rPr>
                <w:webHidden/>
                <w:rStyle w:val="IndexLink"/>
              </w:rPr>
              <w:t>A.7 Table A-6: Small-Craft and Fishing Lanes</w:t>
              <w:tab/>
              <w:t>42</w:t>
            </w:r>
          </w:hyperlink>
        </w:p>
        <w:p>
          <w:pPr>
            <w:pStyle w:val="Contents2"/>
            <w:tabs>
              <w:tab w:val="clear" w:pos="8784"/>
              <w:tab w:val="right" w:pos="9026" w:leader="dot"/>
            </w:tabs>
            <w:rPr/>
          </w:pPr>
          <w:hyperlink w:anchor="__RefHeading___Toc3359_2451594232">
            <w:r>
              <w:rPr>
                <w:webHidden/>
                <w:rStyle w:val="IndexLink"/>
              </w:rPr>
              <w:t>A.8 Environmental and Chart References</w:t>
              <w:tab/>
              <w:t>42</w:t>
            </w:r>
          </w:hyperlink>
        </w:p>
        <w:p>
          <w:pPr>
            <w:pStyle w:val="Contents1"/>
            <w:tabs>
              <w:tab w:val="clear" w:pos="8784"/>
              <w:tab w:val="right" w:pos="9026" w:leader="dot"/>
            </w:tabs>
            <w:rPr/>
          </w:pPr>
          <w:hyperlink w:anchor="__RefHeading___Toc3361_2451594232">
            <w:r>
              <w:rPr>
                <w:webHidden/>
                <w:rStyle w:val="IndexLink"/>
              </w:rPr>
              <w:t>ANNEX B: NAVIGATION PROCEDURES AND THE TRANSIT FILING</w:t>
              <w:tab/>
              <w:t>42</w:t>
            </w:r>
          </w:hyperlink>
        </w:p>
        <w:p>
          <w:pPr>
            <w:pStyle w:val="Contents2"/>
            <w:tabs>
              <w:tab w:val="clear" w:pos="8784"/>
              <w:tab w:val="right" w:pos="9026" w:leader="dot"/>
            </w:tabs>
            <w:rPr/>
          </w:pPr>
          <w:hyperlink w:anchor="__RefHeading___Toc3363_2451594232">
            <w:r>
              <w:rPr>
                <w:webHidden/>
                <w:rStyle w:val="IndexLink"/>
              </w:rPr>
              <w:t>B.1 The Transit Declaration Form</w:t>
              <w:tab/>
              <w:t>42</w:t>
            </w:r>
          </w:hyperlink>
        </w:p>
        <w:p>
          <w:pPr>
            <w:pStyle w:val="Contents2"/>
            <w:tabs>
              <w:tab w:val="clear" w:pos="8784"/>
              <w:tab w:val="right" w:pos="9026" w:leader="dot"/>
            </w:tabs>
            <w:rPr/>
          </w:pPr>
          <w:hyperlink w:anchor="__RefHeading___Toc3365_2451594232">
            <w:r>
              <w:rPr>
                <w:webHidden/>
                <w:rStyle w:val="IndexLink"/>
              </w:rPr>
              <w:t>B.2 Identification and Reporting Discipline</w:t>
              <w:tab/>
              <w:t>43</w:t>
            </w:r>
          </w:hyperlink>
        </w:p>
        <w:p>
          <w:pPr>
            <w:pStyle w:val="Contents2"/>
            <w:tabs>
              <w:tab w:val="clear" w:pos="8784"/>
              <w:tab w:val="right" w:pos="9026" w:leader="dot"/>
            </w:tabs>
            <w:rPr/>
          </w:pPr>
          <w:hyperlink w:anchor="__RefHeading___Toc3367_2451594232">
            <w:r>
              <w:rPr>
                <w:webHidden/>
                <w:rStyle w:val="IndexLink"/>
              </w:rPr>
              <w:t>B.3 Convoy Discipline</w:t>
              <w:tab/>
              <w:t>43</w:t>
            </w:r>
          </w:hyperlink>
        </w:p>
        <w:p>
          <w:pPr>
            <w:pStyle w:val="Contents2"/>
            <w:tabs>
              <w:tab w:val="clear" w:pos="8784"/>
              <w:tab w:val="right" w:pos="9026" w:leader="dot"/>
            </w:tabs>
            <w:rPr/>
          </w:pPr>
          <w:hyperlink w:anchor="__RefHeading___Toc3369_2451594232">
            <w:r>
              <w:rPr>
                <w:webHidden/>
                <w:rStyle w:val="IndexLink"/>
              </w:rPr>
              <w:t>B.4 Crossing and Small-Craft Discipline</w:t>
              <w:tab/>
              <w:t>43</w:t>
            </w:r>
          </w:hyperlink>
        </w:p>
        <w:p>
          <w:pPr>
            <w:pStyle w:val="Contents2"/>
            <w:tabs>
              <w:tab w:val="clear" w:pos="8784"/>
              <w:tab w:val="right" w:pos="9026" w:leader="dot"/>
            </w:tabs>
            <w:rPr/>
          </w:pPr>
          <w:hyperlink w:anchor="__RefHeading___Toc3371_2451594232">
            <w:r>
              <w:rPr>
                <w:webHidden/>
                <w:rStyle w:val="IndexLink"/>
              </w:rPr>
              <w:t>B.5 Incident Log Format</w:t>
              <w:tab/>
              <w:t>43</w:t>
            </w:r>
          </w:hyperlink>
        </w:p>
        <w:p>
          <w:pPr>
            <w:pStyle w:val="Contents2"/>
            <w:tabs>
              <w:tab w:val="clear" w:pos="8784"/>
              <w:tab w:val="right" w:pos="9026" w:leader="dot"/>
            </w:tabs>
            <w:rPr/>
          </w:pPr>
          <w:hyperlink w:anchor="__RefHeading___Toc3373_2451594232">
            <w:r>
              <w:rPr>
                <w:webHidden/>
                <w:rStyle w:val="IndexLink"/>
              </w:rPr>
              <w:t>B.6 Channel Substitution and the Fallback Ladder</w:t>
              <w:tab/>
              <w:t>43</w:t>
            </w:r>
          </w:hyperlink>
        </w:p>
        <w:p>
          <w:pPr>
            <w:pStyle w:val="Contents1"/>
            <w:tabs>
              <w:tab w:val="clear" w:pos="8784"/>
              <w:tab w:val="right" w:pos="9026" w:leader="dot"/>
            </w:tabs>
            <w:rPr/>
          </w:pPr>
          <w:hyperlink w:anchor="__RefHeading___Toc3375_2451594232">
            <w:r>
              <w:rPr>
                <w:webHidden/>
                <w:rStyle w:val="IndexLink"/>
              </w:rPr>
              <w:t>ANNEX C: THE HORMUZ STEWARDSHIP FUND CHARTER AND RATE CARD</w:t>
              <w:tab/>
              <w:t>44</w:t>
            </w:r>
          </w:hyperlink>
        </w:p>
        <w:p>
          <w:pPr>
            <w:pStyle w:val="Contents2"/>
            <w:tabs>
              <w:tab w:val="clear" w:pos="8784"/>
              <w:tab w:val="right" w:pos="9026" w:leader="dot"/>
            </w:tabs>
            <w:rPr/>
          </w:pPr>
          <w:hyperlink w:anchor="__RefHeading___Toc3377_2451594232">
            <w:r>
              <w:rPr>
                <w:webHidden/>
                <w:rStyle w:val="IndexLink"/>
              </w:rPr>
              <w:t>C.1 Charter of the Fund</w:t>
              <w:tab/>
              <w:t>44</w:t>
            </w:r>
          </w:hyperlink>
        </w:p>
        <w:p>
          <w:pPr>
            <w:pStyle w:val="Contents2"/>
            <w:tabs>
              <w:tab w:val="clear" w:pos="8784"/>
              <w:tab w:val="right" w:pos="9026" w:leader="dot"/>
            </w:tabs>
            <w:rPr/>
          </w:pPr>
          <w:hyperlink w:anchor="__RefHeading___Toc3379_2451594232">
            <w:r>
              <w:rPr>
                <w:webHidden/>
                <w:rStyle w:val="IndexLink"/>
              </w:rPr>
              <w:t>C.2 The Verified Services Catalog</w:t>
              <w:tab/>
              <w:t>44</w:t>
            </w:r>
          </w:hyperlink>
        </w:p>
        <w:p>
          <w:pPr>
            <w:pStyle w:val="Contents2"/>
            <w:tabs>
              <w:tab w:val="clear" w:pos="8784"/>
              <w:tab w:val="right" w:pos="9026" w:leader="dot"/>
            </w:tabs>
            <w:rPr/>
          </w:pPr>
          <w:hyperlink w:anchor="__RefHeading___Toc3381_2451594232">
            <w:r>
              <w:rPr>
                <w:webHidden/>
                <w:rStyle w:val="IndexLink"/>
              </w:rPr>
              <w:t>C.3 Table C-2: The Rate Card (Steady-State Rates, United States Dollars)</w:t>
              <w:tab/>
              <w:t>44</w:t>
            </w:r>
          </w:hyperlink>
        </w:p>
        <w:p>
          <w:pPr>
            <w:pStyle w:val="Contents2"/>
            <w:tabs>
              <w:tab w:val="clear" w:pos="8784"/>
              <w:tab w:val="right" w:pos="9026" w:leader="dot"/>
            </w:tabs>
            <w:rPr/>
          </w:pPr>
          <w:hyperlink w:anchor="__RefHeading___Toc3383_2451594232">
            <w:r>
              <w:rPr>
                <w:webHidden/>
                <w:rStyle w:val="IndexLink"/>
              </w:rPr>
              <w:t>C.4 Caps, Discounts, and Bonds</w:t>
              <w:tab/>
              <w:t>45</w:t>
            </w:r>
          </w:hyperlink>
        </w:p>
        <w:p>
          <w:pPr>
            <w:pStyle w:val="Contents2"/>
            <w:tabs>
              <w:tab w:val="clear" w:pos="8784"/>
              <w:tab w:val="right" w:pos="9026" w:leader="dot"/>
            </w:tabs>
            <w:rPr/>
          </w:pPr>
          <w:hyperlink w:anchor="__RefHeading___Toc3385_2451594232">
            <w:r>
              <w:rPr>
                <w:webHidden/>
                <w:rStyle w:val="IndexLink"/>
              </w:rPr>
              <w:t>C.5 Worked Examples</w:t>
              <w:tab/>
              <w:t>45</w:t>
            </w:r>
          </w:hyperlink>
        </w:p>
        <w:p>
          <w:pPr>
            <w:pStyle w:val="Contents2"/>
            <w:tabs>
              <w:tab w:val="clear" w:pos="8784"/>
              <w:tab w:val="right" w:pos="9026" w:leader="dot"/>
            </w:tabs>
            <w:rPr/>
          </w:pPr>
          <w:hyperlink w:anchor="__RefHeading___Toc3387_2451594232">
            <w:r>
              <w:rPr>
                <w:webHidden/>
                <w:rStyle w:val="IndexLink"/>
              </w:rPr>
              <w:t>C.6 Anti-Abuse Discipline</w:t>
              <w:tab/>
              <w:t>45</w:t>
            </w:r>
          </w:hyperlink>
        </w:p>
        <w:p>
          <w:pPr>
            <w:pStyle w:val="Contents1"/>
            <w:tabs>
              <w:tab w:val="clear" w:pos="8784"/>
              <w:tab w:val="right" w:pos="9026" w:leader="dot"/>
            </w:tabs>
            <w:rPr/>
          </w:pPr>
          <w:hyperlink w:anchor="__RefHeading___Toc3389_2451594232">
            <w:r>
              <w:rPr>
                <w:webHidden/>
                <w:rStyle w:val="IndexLink"/>
              </w:rPr>
              <w:t>ANNEX D: THE HORMUZ INSURANCE POOL CHARTER</w:t>
              <w:tab/>
              <w:t>46</w:t>
            </w:r>
          </w:hyperlink>
        </w:p>
        <w:p>
          <w:pPr>
            <w:pStyle w:val="Contents2"/>
            <w:tabs>
              <w:tab w:val="clear" w:pos="8784"/>
              <w:tab w:val="right" w:pos="9026" w:leader="dot"/>
            </w:tabs>
            <w:rPr/>
          </w:pPr>
          <w:hyperlink w:anchor="__RefHeading___Toc3391_2451594232">
            <w:r>
              <w:rPr>
                <w:webHidden/>
                <w:rStyle w:val="IndexLink"/>
              </w:rPr>
              <w:t>D.1 Purpose and Structure</w:t>
              <w:tab/>
              <w:t>46</w:t>
            </w:r>
          </w:hyperlink>
        </w:p>
        <w:p>
          <w:pPr>
            <w:pStyle w:val="Contents2"/>
            <w:tabs>
              <w:tab w:val="clear" w:pos="8784"/>
              <w:tab w:val="right" w:pos="9026" w:leader="dot"/>
            </w:tabs>
            <w:rPr/>
          </w:pPr>
          <w:hyperlink w:anchor="__RefHeading___Toc3393_2451594232">
            <w:r>
              <w:rPr>
                <w:webHidden/>
                <w:rStyle w:val="IndexLink"/>
              </w:rPr>
              <w:t>D.2 Membership and Administration</w:t>
              <w:tab/>
              <w:t>46</w:t>
            </w:r>
          </w:hyperlink>
        </w:p>
        <w:p>
          <w:pPr>
            <w:pStyle w:val="Contents2"/>
            <w:tabs>
              <w:tab w:val="clear" w:pos="8784"/>
              <w:tab w:val="right" w:pos="9026" w:leader="dot"/>
            </w:tabs>
            <w:rPr/>
          </w:pPr>
          <w:hyperlink w:anchor="__RefHeading___Toc3395_2451594232">
            <w:r>
              <w:rPr>
                <w:webHidden/>
                <w:rStyle w:val="IndexLink"/>
              </w:rPr>
              <w:t>D.3 Risk Tiers</w:t>
              <w:tab/>
              <w:t>46</w:t>
            </w:r>
          </w:hyperlink>
        </w:p>
        <w:p>
          <w:pPr>
            <w:pStyle w:val="Contents2"/>
            <w:tabs>
              <w:tab w:val="clear" w:pos="8784"/>
              <w:tab w:val="right" w:pos="9026" w:leader="dot"/>
            </w:tabs>
            <w:rPr/>
          </w:pPr>
          <w:hyperlink w:anchor="__RefHeading___Toc3397_2451594232">
            <w:r>
              <w:rPr>
                <w:webHidden/>
                <w:rStyle w:val="IndexLink"/>
              </w:rPr>
              <w:t>D.4 The Stewardship Fraction</w:t>
              <w:tab/>
              <w:t>46</w:t>
            </w:r>
          </w:hyperlink>
        </w:p>
        <w:p>
          <w:pPr>
            <w:pStyle w:val="Contents2"/>
            <w:tabs>
              <w:tab w:val="clear" w:pos="8784"/>
              <w:tab w:val="right" w:pos="9026" w:leader="dot"/>
            </w:tabs>
            <w:rPr/>
          </w:pPr>
          <w:hyperlink w:anchor="__RefHeading___Toc3399_2451594232">
            <w:r>
              <w:rPr>
                <w:webHidden/>
                <w:rStyle w:val="IndexLink"/>
              </w:rPr>
              <w:t>D.5 Claims and the Pollution Channel</w:t>
              <w:tab/>
              <w:t>47</w:t>
            </w:r>
          </w:hyperlink>
        </w:p>
        <w:p>
          <w:pPr>
            <w:pStyle w:val="Contents2"/>
            <w:tabs>
              <w:tab w:val="clear" w:pos="8784"/>
              <w:tab w:val="right" w:pos="9026" w:leader="dot"/>
            </w:tabs>
            <w:rPr/>
          </w:pPr>
          <w:hyperlink w:anchor="__RefHeading___Toc3401_2451594232">
            <w:r>
              <w:rPr>
                <w:webHidden/>
                <w:rStyle w:val="IndexLink"/>
              </w:rPr>
              <w:t>D.6 War-Risk Normalization</w:t>
              <w:tab/>
              <w:t>47</w:t>
            </w:r>
          </w:hyperlink>
        </w:p>
        <w:p>
          <w:pPr>
            <w:pStyle w:val="Contents1"/>
            <w:tabs>
              <w:tab w:val="clear" w:pos="8784"/>
              <w:tab w:val="right" w:pos="9026" w:leader="dot"/>
            </w:tabs>
            <w:rPr/>
          </w:pPr>
          <w:hyperlink w:anchor="__RefHeading___Toc3403_2451594232">
            <w:r>
              <w:rPr>
                <w:webHidden/>
                <w:rStyle w:val="IndexLink"/>
              </w:rPr>
              <w:t>ANNEX E: COMMUNICATIONS AND HOTLINE PROTOCOLS</w:t>
              <w:tab/>
              <w:t>47</w:t>
            </w:r>
          </w:hyperlink>
        </w:p>
        <w:p>
          <w:pPr>
            <w:pStyle w:val="Contents2"/>
            <w:tabs>
              <w:tab w:val="clear" w:pos="8784"/>
              <w:tab w:val="right" w:pos="9026" w:leader="dot"/>
            </w:tabs>
            <w:rPr/>
          </w:pPr>
          <w:hyperlink w:anchor="__RefHeading___Toc3405_2451594232">
            <w:r>
              <w:rPr>
                <w:webHidden/>
                <w:rStyle w:val="IndexLink"/>
              </w:rPr>
              <w:t>E.1 The Network Nodes and Answer Standards</w:t>
              <w:tab/>
              <w:t>47</w:t>
            </w:r>
          </w:hyperlink>
        </w:p>
        <w:p>
          <w:pPr>
            <w:pStyle w:val="Contents2"/>
            <w:tabs>
              <w:tab w:val="clear" w:pos="8784"/>
              <w:tab w:val="right" w:pos="9026" w:leader="dot"/>
            </w:tabs>
            <w:rPr/>
          </w:pPr>
          <w:hyperlink w:anchor="__RefHeading___Toc3407_2451594232">
            <w:r>
              <w:rPr>
                <w:webHidden/>
                <w:rStyle w:val="IndexLink"/>
              </w:rPr>
              <w:t>E.2 Message Classes and Forms</w:t>
              <w:tab/>
              <w:t>47</w:t>
            </w:r>
          </w:hyperlink>
        </w:p>
        <w:p>
          <w:pPr>
            <w:pStyle w:val="Contents2"/>
            <w:tabs>
              <w:tab w:val="clear" w:pos="8784"/>
              <w:tab w:val="right" w:pos="9026" w:leader="dot"/>
            </w:tabs>
            <w:rPr/>
          </w:pPr>
          <w:hyperlink w:anchor="__RefHeading___Toc3409_2451594232">
            <w:r>
              <w:rPr>
                <w:webHidden/>
                <w:rStyle w:val="IndexLink"/>
              </w:rPr>
              <w:t>E.3 The Common Channel and Bridge Discipline</w:t>
              <w:tab/>
              <w:t>48</w:t>
            </w:r>
          </w:hyperlink>
        </w:p>
        <w:p>
          <w:pPr>
            <w:pStyle w:val="Contents2"/>
            <w:tabs>
              <w:tab w:val="clear" w:pos="8784"/>
              <w:tab w:val="right" w:pos="9026" w:leader="dot"/>
            </w:tabs>
            <w:rPr/>
          </w:pPr>
          <w:hyperlink w:anchor="__RefHeading___Toc3411_2451594232">
            <w:r>
              <w:rPr>
                <w:webHidden/>
                <w:rStyle w:val="IndexLink"/>
              </w:rPr>
              <w:t>E.4 Recording and Custody</w:t>
              <w:tab/>
              <w:t>48</w:t>
            </w:r>
          </w:hyperlink>
        </w:p>
        <w:p>
          <w:pPr>
            <w:pStyle w:val="Contents1"/>
            <w:tabs>
              <w:tab w:val="clear" w:pos="8784"/>
              <w:tab w:val="right" w:pos="9026" w:leader="dot"/>
            </w:tabs>
            <w:rPr/>
          </w:pPr>
          <w:hyperlink w:anchor="__RefHeading___Toc3413_2451594232">
            <w:r>
              <w:rPr>
                <w:webHidden/>
                <w:rStyle w:val="IndexLink"/>
              </w:rPr>
              <w:t>ANNEX F: CRISIS PROTOCOL CHECKLISTS</w:t>
              <w:tab/>
              <w:t>48</w:t>
            </w:r>
          </w:hyperlink>
        </w:p>
        <w:p>
          <w:pPr>
            <w:pStyle w:val="Contents2"/>
            <w:tabs>
              <w:tab w:val="clear" w:pos="8784"/>
              <w:tab w:val="right" w:pos="9026" w:leader="dot"/>
            </w:tabs>
            <w:rPr/>
          </w:pPr>
          <w:hyperlink w:anchor="__RefHeading___Toc3415_2451594232">
            <w:r>
              <w:rPr>
                <w:webHidden/>
                <w:rStyle w:val="IndexLink"/>
              </w:rPr>
              <w:t>F.1 Level One, Watch</w:t>
              <w:tab/>
              <w:t>48</w:t>
            </w:r>
          </w:hyperlink>
        </w:p>
        <w:p>
          <w:pPr>
            <w:pStyle w:val="Contents2"/>
            <w:tabs>
              <w:tab w:val="clear" w:pos="8784"/>
              <w:tab w:val="right" w:pos="9026" w:leader="dot"/>
            </w:tabs>
            <w:rPr/>
          </w:pPr>
          <w:hyperlink w:anchor="__RefHeading___Toc3417_2451594232">
            <w:r>
              <w:rPr>
                <w:webHidden/>
                <w:rStyle w:val="IndexLink"/>
              </w:rPr>
              <w:t>F.2 Level Two, Alert</w:t>
              <w:tab/>
              <w:t>48</w:t>
            </w:r>
          </w:hyperlink>
        </w:p>
        <w:p>
          <w:pPr>
            <w:pStyle w:val="Contents2"/>
            <w:tabs>
              <w:tab w:val="clear" w:pos="8784"/>
              <w:tab w:val="right" w:pos="9026" w:leader="dot"/>
            </w:tabs>
            <w:rPr/>
          </w:pPr>
          <w:hyperlink w:anchor="__RefHeading___Toc3419_2451594232">
            <w:r>
              <w:rPr>
                <w:webHidden/>
                <w:rStyle w:val="IndexLink"/>
              </w:rPr>
              <w:t>F.3 Level Three, Crisis</w:t>
              <w:tab/>
              <w:t>48</w:t>
            </w:r>
          </w:hyperlink>
        </w:p>
        <w:p>
          <w:pPr>
            <w:pStyle w:val="Contents2"/>
            <w:tabs>
              <w:tab w:val="clear" w:pos="8784"/>
              <w:tab w:val="right" w:pos="9026" w:leader="dot"/>
            </w:tabs>
            <w:rPr/>
          </w:pPr>
          <w:hyperlink w:anchor="__RefHeading___Toc3421_2451594232">
            <w:r>
              <w:rPr>
                <w:webHidden/>
                <w:rStyle w:val="IndexLink"/>
              </w:rPr>
              <w:t>F.4 Level Four, Severe Crisis</w:t>
              <w:tab/>
              <w:t>49</w:t>
            </w:r>
          </w:hyperlink>
        </w:p>
        <w:p>
          <w:pPr>
            <w:pStyle w:val="Contents2"/>
            <w:tabs>
              <w:tab w:val="clear" w:pos="8784"/>
              <w:tab w:val="right" w:pos="9026" w:leader="dot"/>
            </w:tabs>
            <w:rPr/>
          </w:pPr>
          <w:hyperlink w:anchor="__RefHeading___Toc3423_2451594232">
            <w:r>
              <w:rPr>
                <w:webHidden/>
                <w:rStyle w:val="IndexLink"/>
              </w:rPr>
              <w:t>F.5 Level Five, Maximum</w:t>
              <w:tab/>
              <w:t>49</w:t>
            </w:r>
          </w:hyperlink>
        </w:p>
        <w:p>
          <w:pPr>
            <w:pStyle w:val="Contents2"/>
            <w:tabs>
              <w:tab w:val="clear" w:pos="8784"/>
              <w:tab w:val="right" w:pos="9026" w:leader="dot"/>
            </w:tabs>
            <w:rPr/>
          </w:pPr>
          <w:hyperlink w:anchor="__RefHeading___Toc3425_2451594232">
            <w:r>
              <w:rPr>
                <w:webHidden/>
                <w:rStyle w:val="IndexLink"/>
              </w:rPr>
              <w:t>F.6 The Mine-Risk Response Protocol</w:t>
              <w:tab/>
              <w:t>49</w:t>
            </w:r>
          </w:hyperlink>
        </w:p>
        <w:p>
          <w:pPr>
            <w:pStyle w:val="Contents2"/>
            <w:tabs>
              <w:tab w:val="clear" w:pos="8784"/>
              <w:tab w:val="right" w:pos="9026" w:leader="dot"/>
            </w:tabs>
            <w:rPr/>
          </w:pPr>
          <w:hyperlink w:anchor="__RefHeading___Toc3427_2451594232">
            <w:r>
              <w:rPr>
                <w:webHidden/>
                <w:rStyle w:val="IndexLink"/>
              </w:rPr>
              <w:t>F.7 Pre-Activation Readiness Checklist</w:t>
              <w:tab/>
              <w:t>49</w:t>
            </w:r>
          </w:hyperlink>
        </w:p>
        <w:p>
          <w:pPr>
            <w:pStyle w:val="Contents1"/>
            <w:tabs>
              <w:tab w:val="clear" w:pos="8784"/>
              <w:tab w:val="right" w:pos="9026" w:leader="dot"/>
            </w:tabs>
            <w:rPr/>
          </w:pPr>
          <w:hyperlink w:anchor="__RefHeading___Toc3429_2451594232">
            <w:r>
              <w:rPr>
                <w:webHidden/>
                <w:rStyle w:val="IndexLink"/>
              </w:rPr>
              <w:t>ANNEX G: THE RED LINES REGISTER (FULL OPERATIVE TEXT)</w:t>
              <w:tab/>
              <w:t>49</w:t>
            </w:r>
          </w:hyperlink>
        </w:p>
        <w:p>
          <w:pPr>
            <w:pStyle w:val="Contents2"/>
            <w:tabs>
              <w:tab w:val="clear" w:pos="8784"/>
              <w:tab w:val="right" w:pos="9026" w:leader="dot"/>
            </w:tabs>
            <w:rPr/>
          </w:pPr>
          <w:hyperlink w:anchor="__RefHeading___Toc3431_2451594232">
            <w:r>
              <w:rPr>
                <w:webHidden/>
                <w:rStyle w:val="IndexLink"/>
              </w:rPr>
              <w:t>G.1 The Register</w:t>
              <w:tab/>
              <w:t>49</w:t>
            </w:r>
          </w:hyperlink>
        </w:p>
        <w:p>
          <w:pPr>
            <w:pStyle w:val="Contents2"/>
            <w:tabs>
              <w:tab w:val="clear" w:pos="8784"/>
              <w:tab w:val="right" w:pos="9026" w:leader="dot"/>
            </w:tabs>
            <w:rPr/>
          </w:pPr>
          <w:hyperlink w:anchor="__RefHeading___Toc3433_2451594232">
            <w:r>
              <w:rPr>
                <w:webHidden/>
                <w:rStyle w:val="IndexLink"/>
              </w:rPr>
              <w:t>G.2 Registration and Amendment of Lines</w:t>
              <w:tab/>
              <w:t>51</w:t>
            </w:r>
          </w:hyperlink>
        </w:p>
        <w:p>
          <w:pPr>
            <w:pStyle w:val="Contents2"/>
            <w:tabs>
              <w:tab w:val="clear" w:pos="8784"/>
              <w:tab w:val="right" w:pos="9026" w:leader="dot"/>
            </w:tabs>
            <w:rPr/>
          </w:pPr>
          <w:hyperlink w:anchor="__RefHeading___Toc3435_2451594232">
            <w:r>
              <w:rPr>
                <w:webHidden/>
                <w:rStyle w:val="IndexLink"/>
              </w:rPr>
              <w:t>G.3 The Perimeter Test Procedure</w:t>
              <w:tab/>
              <w:t>51</w:t>
            </w:r>
          </w:hyperlink>
        </w:p>
        <w:p>
          <w:pPr>
            <w:pStyle w:val="Contents1"/>
            <w:tabs>
              <w:tab w:val="clear" w:pos="8784"/>
              <w:tab w:val="right" w:pos="9026" w:leader="dot"/>
            </w:tabs>
            <w:rPr/>
          </w:pPr>
          <w:hyperlink w:anchor="__RefHeading___Toc3437_2451594232">
            <w:r>
              <w:rPr>
                <w:webHidden/>
                <w:rStyle w:val="IndexLink"/>
              </w:rPr>
              <w:t>ANNEX H: MASTER TIMELINE AND GATE SCHEDULE</w:t>
              <w:tab/>
              <w:t>52</w:t>
            </w:r>
          </w:hyperlink>
        </w:p>
        <w:p>
          <w:pPr>
            <w:pStyle w:val="Contents2"/>
            <w:tabs>
              <w:tab w:val="clear" w:pos="8784"/>
              <w:tab w:val="right" w:pos="9026" w:leader="dot"/>
            </w:tabs>
            <w:rPr/>
          </w:pPr>
          <w:hyperlink w:anchor="__RefHeading___Toc3439_2451594232">
            <w:r>
              <w:rPr>
                <w:webHidden/>
                <w:rStyle w:val="IndexLink"/>
              </w:rPr>
              <w:t>H.1 The Consolidated Schedule</w:t>
              <w:tab/>
              <w:t>52</w:t>
            </w:r>
          </w:hyperlink>
        </w:p>
        <w:p>
          <w:pPr>
            <w:pStyle w:val="Contents2"/>
            <w:tabs>
              <w:tab w:val="clear" w:pos="8784"/>
              <w:tab w:val="right" w:pos="9026" w:leader="dot"/>
            </w:tabs>
            <w:rPr/>
          </w:pPr>
          <w:hyperlink w:anchor="__RefHeading___Toc3441_2451594232">
            <w:r>
              <w:rPr>
                <w:webHidden/>
                <w:rStyle w:val="IndexLink"/>
              </w:rPr>
              <w:t>H.2 The Four Relief Tranches</w:t>
              <w:tab/>
              <w:t>53</w:t>
            </w:r>
          </w:hyperlink>
        </w:p>
        <w:p>
          <w:pPr>
            <w:pStyle w:val="Contents2"/>
            <w:tabs>
              <w:tab w:val="clear" w:pos="8784"/>
              <w:tab w:val="right" w:pos="9026" w:leader="dot"/>
            </w:tabs>
            <w:rPr/>
          </w:pPr>
          <w:hyperlink w:anchor="__RefHeading___Toc3443_2451594232">
            <w:r>
              <w:rPr>
                <w:webHidden/>
                <w:rStyle w:val="IndexLink"/>
              </w:rPr>
              <w:t>H.3 Acceleration and Slippage</w:t>
              <w:tab/>
              <w:t>53</w:t>
            </w:r>
          </w:hyperlink>
        </w:p>
        <w:p>
          <w:pPr>
            <w:pStyle w:val="Contents1"/>
            <w:tabs>
              <w:tab w:val="clear" w:pos="8784"/>
              <w:tab w:val="right" w:pos="9026" w:leader="dot"/>
            </w:tabs>
            <w:rPr/>
          </w:pPr>
          <w:hyperlink w:anchor="__RefHeading___Toc3445_2451594232">
            <w:r>
              <w:rPr>
                <w:webHidden/>
                <w:rStyle w:val="IndexLink"/>
              </w:rPr>
              <w:t>ANNEX I: STANDARD FORMS AND CERTIFICATES</w:t>
              <w:tab/>
              <w:t>53</w:t>
            </w:r>
          </w:hyperlink>
        </w:p>
        <w:p>
          <w:pPr>
            <w:pStyle w:val="Contents2"/>
            <w:tabs>
              <w:tab w:val="clear" w:pos="8784"/>
              <w:tab w:val="right" w:pos="9026" w:leader="dot"/>
            </w:tabs>
            <w:rPr/>
          </w:pPr>
          <w:hyperlink w:anchor="__RefHeading___Toc3447_2451594232">
            <w:r>
              <w:rPr>
                <w:webHidden/>
                <w:rStyle w:val="IndexLink"/>
              </w:rPr>
              <w:t>I.1 The Form Set</w:t>
              <w:tab/>
              <w:t>53</w:t>
            </w:r>
          </w:hyperlink>
        </w:p>
        <w:p>
          <w:pPr>
            <w:pStyle w:val="Contents2"/>
            <w:tabs>
              <w:tab w:val="clear" w:pos="8784"/>
              <w:tab w:val="right" w:pos="9026" w:leader="dot"/>
            </w:tabs>
            <w:rPr/>
          </w:pPr>
          <w:hyperlink w:anchor="__RefHeading___Toc3449_2451594232">
            <w:r>
              <w:rPr>
                <w:webHidden/>
                <w:rStyle w:val="IndexLink"/>
              </w:rPr>
              <w:t>I.2 Completion Standards</w:t>
              <w:tab/>
              <w:t>54</w:t>
            </w:r>
          </w:hyperlink>
        </w:p>
        <w:p>
          <w:pPr>
            <w:pStyle w:val="Contents1"/>
            <w:tabs>
              <w:tab w:val="clear" w:pos="8784"/>
              <w:tab w:val="right" w:pos="9026" w:leader="dot"/>
            </w:tabs>
            <w:rPr/>
          </w:pPr>
          <w:hyperlink w:anchor="__RefHeading___Toc3451_2451594232">
            <w:r>
              <w:rPr>
                <w:webHidden/>
                <w:rStyle w:val="IndexLink"/>
              </w:rPr>
              <w:t>ANNEX J: OPERATIVE DEFINITIONS</w:t>
              <w:tab/>
              <w:t>54</w:t>
            </w:r>
          </w:hyperlink>
        </w:p>
        <w:p>
          <w:pPr>
            <w:pStyle w:val="Contents2"/>
            <w:tabs>
              <w:tab w:val="clear" w:pos="8784"/>
              <w:tab w:val="right" w:pos="9026" w:leader="dot"/>
            </w:tabs>
            <w:rPr/>
          </w:pPr>
          <w:hyperlink w:anchor="__RefHeading___Toc3453_2451594232">
            <w:r>
              <w:rPr>
                <w:webHidden/>
                <w:rStyle w:val="IndexLink"/>
              </w:rPr>
              <w:t>J.1 Definitions</w:t>
              <w:tab/>
              <w:t>54</w:t>
            </w:r>
          </w:hyperlink>
        </w:p>
        <w:p>
          <w:pPr>
            <w:pStyle w:val="Contents2"/>
            <w:tabs>
              <w:tab w:val="clear" w:pos="8784"/>
              <w:tab w:val="right" w:pos="9026" w:leader="dot"/>
            </w:tabs>
            <w:rPr/>
          </w:pPr>
          <w:hyperlink w:anchor="__RefHeading___Toc3455_2451594232">
            <w:r>
              <w:rPr>
                <w:webHidden/>
                <w:rStyle w:val="IndexLink"/>
              </w:rPr>
              <w:t>J.2 Table J-1: The Arbitration Panel Roster</w:t>
              <w:tab/>
              <w:t>56</w:t>
            </w:r>
          </w:hyperlink>
        </w:p>
        <w:p>
          <w:pPr>
            <w:pStyle w:val="Contents1"/>
            <w:tabs>
              <w:tab w:val="clear" w:pos="8784"/>
              <w:tab w:val="right" w:pos="9026" w:leader="dot"/>
            </w:tabs>
            <w:rPr/>
          </w:pPr>
          <w:hyperlink w:anchor="__RefHeading___Toc3457_2451594232">
            <w:r>
              <w:rPr>
                <w:webHidden/>
                <w:rStyle w:val="IndexLink"/>
              </w:rPr>
              <w:t>ANNEX K: EQUIPMENT AND INFRASTRUCTURE SCHEDULE</w:t>
              <w:tab/>
              <w:t>56</w:t>
            </w:r>
          </w:hyperlink>
        </w:p>
        <w:p>
          <w:pPr>
            <w:pStyle w:val="Contents2"/>
            <w:tabs>
              <w:tab w:val="clear" w:pos="8784"/>
              <w:tab w:val="right" w:pos="9026" w:leader="dot"/>
            </w:tabs>
            <w:rPr/>
          </w:pPr>
          <w:hyperlink w:anchor="__RefHeading___Toc3459_2451594232">
            <w:r>
              <w:rPr>
                <w:webHidden/>
                <w:rStyle w:val="IndexLink"/>
              </w:rPr>
              <w:t>K.1 The Maritime Coordination Center Fit-Out</w:t>
              <w:tab/>
              <w:t>56</w:t>
            </w:r>
          </w:hyperlink>
        </w:p>
        <w:p>
          <w:pPr>
            <w:pStyle w:val="Contents2"/>
            <w:tabs>
              <w:tab w:val="clear" w:pos="8784"/>
              <w:tab w:val="right" w:pos="9026" w:leader="dot"/>
            </w:tabs>
            <w:rPr/>
          </w:pPr>
          <w:hyperlink w:anchor="__RefHeading___Toc3461_2451594232">
            <w:r>
              <w:rPr>
                <w:webHidden/>
                <w:rStyle w:val="IndexLink"/>
              </w:rPr>
              <w:t>K.2 The Survey and Clearance Fleet</w:t>
              <w:tab/>
              <w:t>57</w:t>
            </w:r>
          </w:hyperlink>
        </w:p>
        <w:p>
          <w:pPr>
            <w:pStyle w:val="Contents2"/>
            <w:tabs>
              <w:tab w:val="clear" w:pos="8784"/>
              <w:tab w:val="right" w:pos="9026" w:leader="dot"/>
            </w:tabs>
            <w:rPr/>
          </w:pPr>
          <w:hyperlink w:anchor="__RefHeading___Toc3463_2451594232">
            <w:r>
              <w:rPr>
                <w:webHidden/>
                <w:rStyle w:val="IndexLink"/>
              </w:rPr>
              <w:t>K.3 The Response and Rescue Roster</w:t>
              <w:tab/>
              <w:t>57</w:t>
            </w:r>
          </w:hyperlink>
        </w:p>
        <w:p>
          <w:pPr>
            <w:pStyle w:val="Contents2"/>
            <w:tabs>
              <w:tab w:val="clear" w:pos="8784"/>
              <w:tab w:val="right" w:pos="9026" w:leader="dot"/>
            </w:tabs>
            <w:rPr/>
          </w:pPr>
          <w:hyperlink w:anchor="__RefHeading___Toc3465_2451594232">
            <w:r>
              <w:rPr>
                <w:webHidden/>
                <w:rStyle w:val="IndexLink"/>
              </w:rPr>
              <w:t>K.4 Table K-4: Referenced Technical Standards</w:t>
              <w:tab/>
              <w:t>57</w:t>
            </w:r>
          </w:hyperlink>
        </w:p>
        <w:p>
          <w:pPr>
            <w:pStyle w:val="Contents2"/>
            <w:tabs>
              <w:tab w:val="clear" w:pos="8784"/>
              <w:tab w:val="right" w:pos="9026" w:leader="dot"/>
            </w:tabs>
            <w:rPr/>
          </w:pPr>
          <w:hyperlink w:anchor="__RefHeading___Toc3467_2451594232">
            <w:r>
              <w:rPr>
                <w:webHidden/>
                <w:rStyle w:val="IndexLink"/>
              </w:rPr>
              <w:t>K.5 The Observer Corps Roster</w:t>
              <w:tab/>
              <w:t>57</w:t>
            </w:r>
          </w:hyperlink>
        </w:p>
        <w:p>
          <w:pPr>
            <w:pStyle w:val="Contents2"/>
            <w:tabs>
              <w:tab w:val="clear" w:pos="8784"/>
              <w:tab w:val="right" w:pos="9026" w:leader="dot"/>
            </w:tabs>
            <w:rPr/>
          </w:pPr>
          <w:hyperlink w:anchor="__RefHeading___Toc3469_2451594232">
            <w:r>
              <w:rPr>
                <w:webHidden/>
                <w:rStyle w:val="IndexLink"/>
              </w:rPr>
              <w:t>K.6 The Humanitarian Verification Corps Roster</w:t>
              <w:tab/>
              <w:t>57</w:t>
            </w:r>
          </w:hyperlink>
        </w:p>
        <w:p>
          <w:pPr>
            <w:pStyle w:val="Contents1"/>
            <w:tabs>
              <w:tab w:val="clear" w:pos="8784"/>
              <w:tab w:val="right" w:pos="9026" w:leader="dot"/>
            </w:tabs>
            <w:rPr/>
          </w:pPr>
          <w:hyperlink w:anchor="__RefHeading___Toc3471_2451594232">
            <w:r>
              <w:rPr>
                <w:webHidden/>
                <w:rStyle w:val="IndexLink"/>
              </w:rPr>
              <w:t>ANNEX L: TRANSPARENCY PORTALS DATA INFRASTRUCTURE</w:t>
              <w:tab/>
              <w:t>58</w:t>
            </w:r>
          </w:hyperlink>
        </w:p>
        <w:p>
          <w:pPr>
            <w:pStyle w:val="Contents2"/>
            <w:tabs>
              <w:tab w:val="clear" w:pos="8784"/>
              <w:tab w:val="right" w:pos="9026" w:leader="dot"/>
            </w:tabs>
            <w:rPr/>
          </w:pPr>
          <w:hyperlink w:anchor="__RefHeading___Toc3473_2451594232">
            <w:r>
              <w:rPr>
                <w:webHidden/>
                <w:rStyle w:val="IndexLink"/>
              </w:rPr>
              <w:t>L.1 Architecture</w:t>
              <w:tab/>
              <w:t>58</w:t>
            </w:r>
          </w:hyperlink>
        </w:p>
        <w:p>
          <w:pPr>
            <w:pStyle w:val="Contents2"/>
            <w:tabs>
              <w:tab w:val="clear" w:pos="8784"/>
              <w:tab w:val="right" w:pos="9026" w:leader="dot"/>
            </w:tabs>
            <w:rPr/>
          </w:pPr>
          <w:hyperlink w:anchor="__RefHeading___Toc3475_2451594232">
            <w:r>
              <w:rPr>
                <w:webHidden/>
                <w:rStyle w:val="IndexLink"/>
              </w:rPr>
              <w:t>L.2 Data Sets and Refresh Standards</w:t>
              <w:tab/>
              <w:t>58</w:t>
            </w:r>
          </w:hyperlink>
        </w:p>
        <w:p>
          <w:pPr>
            <w:pStyle w:val="Contents2"/>
            <w:tabs>
              <w:tab w:val="clear" w:pos="8784"/>
              <w:tab w:val="right" w:pos="9026" w:leader="dot"/>
            </w:tabs>
            <w:rPr/>
          </w:pPr>
          <w:hyperlink w:anchor="__RefHeading___Toc3477_2451594232">
            <w:r>
              <w:rPr>
                <w:webHidden/>
                <w:rStyle w:val="IndexLink"/>
              </w:rPr>
              <w:t>L.3 Integrity and Access</w:t>
              <w:tab/>
              <w:t>58</w:t>
            </w:r>
          </w:hyperlink>
        </w:p>
        <w:p>
          <w:pPr>
            <w:pStyle w:val="Contents1"/>
            <w:tabs>
              <w:tab w:val="clear" w:pos="8784"/>
              <w:tab w:val="right" w:pos="9026" w:leader="dot"/>
            </w:tabs>
            <w:rPr/>
          </w:pPr>
          <w:hyperlink w:anchor="__RefHeading___Toc3479_2451594232">
            <w:r>
              <w:rPr>
                <w:webHidden/>
                <w:rStyle w:val="IndexLink"/>
              </w:rPr>
              <w:t>ANNEX M: ACCESSION PROTOCOL</w:t>
              <w:tab/>
              <w:t>59</w:t>
            </w:r>
          </w:hyperlink>
        </w:p>
        <w:p>
          <w:pPr>
            <w:pStyle w:val="Contents2"/>
            <w:tabs>
              <w:tab w:val="clear" w:pos="8784"/>
              <w:tab w:val="right" w:pos="9026" w:leader="dot"/>
            </w:tabs>
            <w:rPr/>
          </w:pPr>
          <w:hyperlink w:anchor="__RefHeading___Toc3481_2451594232">
            <w:r>
              <w:rPr>
                <w:webHidden/>
                <w:rStyle w:val="IndexLink"/>
              </w:rPr>
              <w:t>M.1 Open Accession</w:t>
              <w:tab/>
              <w:t>59</w:t>
            </w:r>
          </w:hyperlink>
        </w:p>
        <w:p>
          <w:pPr>
            <w:pStyle w:val="Contents2"/>
            <w:tabs>
              <w:tab w:val="clear" w:pos="8784"/>
              <w:tab w:val="right" w:pos="9026" w:leader="dot"/>
            </w:tabs>
            <w:rPr/>
          </w:pPr>
          <w:hyperlink w:anchor="__RefHeading___Toc3483_2451594232">
            <w:r>
              <w:rPr>
                <w:webHidden/>
                <w:rStyle w:val="IndexLink"/>
              </w:rPr>
              <w:t>M.2 The Gulf Fast-Track</w:t>
              <w:tab/>
              <w:t>59</w:t>
            </w:r>
          </w:hyperlink>
        </w:p>
        <w:p>
          <w:pPr>
            <w:pStyle w:val="Contents2"/>
            <w:tabs>
              <w:tab w:val="clear" w:pos="8784"/>
              <w:tab w:val="right" w:pos="9026" w:leader="dot"/>
            </w:tabs>
            <w:rPr/>
          </w:pPr>
          <w:hyperlink w:anchor="__RefHeading___Toc3485_2451594232">
            <w:r>
              <w:rPr>
                <w:webHidden/>
                <w:rStyle w:val="IndexLink"/>
              </w:rPr>
              <w:t>M.3 The Standard Track</w:t>
              <w:tab/>
              <w:t>59</w:t>
            </w:r>
          </w:hyperlink>
        </w:p>
        <w:p>
          <w:pPr>
            <w:pStyle w:val="Contents2"/>
            <w:tabs>
              <w:tab w:val="clear" w:pos="8784"/>
              <w:tab w:val="right" w:pos="9026" w:leader="dot"/>
            </w:tabs>
            <w:rPr/>
          </w:pPr>
          <w:hyperlink w:anchor="__RefHeading___Toc3487_2451594232">
            <w:r>
              <w:rPr>
                <w:webHidden/>
                <w:rStyle w:val="IndexLink"/>
              </w:rPr>
              <w:t>M.4 Endorsement</w:t>
              <w:tab/>
              <w:t>59</w:t>
            </w:r>
          </w:hyperlink>
        </w:p>
        <w:p>
          <w:pPr>
            <w:pStyle w:val="Contents2"/>
            <w:tabs>
              <w:tab w:val="clear" w:pos="8784"/>
              <w:tab w:val="right" w:pos="9026" w:leader="dot"/>
            </w:tabs>
            <w:rPr/>
          </w:pPr>
          <w:hyperlink w:anchor="__RefHeading___Toc3489_2451594232">
            <w:r>
              <w:rPr>
                <w:webHidden/>
                <w:rStyle w:val="IndexLink"/>
              </w:rPr>
              <w:t>M.5 Guarantors</w:t>
              <w:tab/>
              <w:t>59</w:t>
            </w:r>
          </w:hyperlink>
        </w:p>
        <w:p>
          <w:pPr>
            <w:pStyle w:val="Contents1"/>
            <w:tabs>
              <w:tab w:val="clear" w:pos="8784"/>
              <w:tab w:val="right" w:pos="9026" w:leader="dot"/>
            </w:tabs>
            <w:rPr/>
          </w:pPr>
          <w:hyperlink w:anchor="__RefHeading___Toc3491_2451594232">
            <w:r>
              <w:rPr>
                <w:webHidden/>
                <w:rStyle w:val="IndexLink"/>
              </w:rPr>
              <w:t>ANNEX N: BUDGET, CONTRIBUTIONS, AND ESCROW SCHEDULES</w:t>
              <w:tab/>
              <w:t>59</w:t>
            </w:r>
          </w:hyperlink>
        </w:p>
        <w:p>
          <w:pPr>
            <w:pStyle w:val="Contents2"/>
            <w:tabs>
              <w:tab w:val="clear" w:pos="8784"/>
              <w:tab w:val="right" w:pos="9026" w:leader="dot"/>
            </w:tabs>
            <w:rPr/>
          </w:pPr>
          <w:hyperlink w:anchor="__RefHeading___Toc3493_2451594232">
            <w:r>
              <w:rPr>
                <w:webHidden/>
                <w:rStyle w:val="IndexLink"/>
              </w:rPr>
              <w:t>N.1 The Annual Operating Requirement</w:t>
              <w:tab/>
              <w:t>59</w:t>
            </w:r>
          </w:hyperlink>
        </w:p>
        <w:p>
          <w:pPr>
            <w:pStyle w:val="Contents2"/>
            <w:tabs>
              <w:tab w:val="clear" w:pos="8784"/>
              <w:tab w:val="right" w:pos="9026" w:leader="dot"/>
            </w:tabs>
            <w:rPr/>
          </w:pPr>
          <w:hyperlink w:anchor="__RefHeading___Toc3495_2451594232">
            <w:r>
              <w:rPr>
                <w:webHidden/>
                <w:rStyle w:val="IndexLink"/>
              </w:rPr>
              <w:t>N.2 The Channel Sizing</w:t>
              <w:tab/>
              <w:t>60</w:t>
            </w:r>
          </w:hyperlink>
        </w:p>
        <w:p>
          <w:pPr>
            <w:pStyle w:val="Contents2"/>
            <w:tabs>
              <w:tab w:val="clear" w:pos="8784"/>
              <w:tab w:val="right" w:pos="9026" w:leader="dot"/>
            </w:tabs>
            <w:rPr/>
          </w:pPr>
          <w:hyperlink w:anchor="__RefHeading___Toc3497_2451594232">
            <w:r>
              <w:rPr>
                <w:webHidden/>
                <w:rStyle w:val="IndexLink"/>
              </w:rPr>
              <w:t>N.3 Table N-3: The Firewall Instruments</w:t>
              <w:tab/>
              <w:t>60</w:t>
            </w:r>
          </w:hyperlink>
        </w:p>
        <w:p>
          <w:pPr>
            <w:pStyle w:val="Contents2"/>
            <w:tabs>
              <w:tab w:val="clear" w:pos="8784"/>
              <w:tab w:val="right" w:pos="9026" w:leader="dot"/>
            </w:tabs>
            <w:rPr/>
          </w:pPr>
          <w:hyperlink w:anchor="__RefHeading___Toc3499_2451594232">
            <w:r>
              <w:rPr>
                <w:webHidden/>
                <w:rStyle w:val="IndexLink"/>
              </w:rPr>
              <w:t>N.4 The Legislative Reconciliation Channel</w:t>
              <w:tab/>
              <w:t>60</w:t>
            </w:r>
          </w:hyperlink>
        </w:p>
        <w:p>
          <w:pPr>
            <w:pStyle w:val="Contents2"/>
            <w:tabs>
              <w:tab w:val="clear" w:pos="8784"/>
              <w:tab w:val="right" w:pos="9026" w:leader="dot"/>
            </w:tabs>
            <w:rPr/>
          </w:pPr>
          <w:hyperlink w:anchor="__RefHeading___Toc3501_2451594232">
            <w:r>
              <w:rPr>
                <w:webHidden/>
                <w:rStyle w:val="IndexLink"/>
              </w:rPr>
              <w:t>N.5 The Reconstruction Window Ledger</w:t>
              <w:tab/>
              <w:t>60</w:t>
            </w:r>
          </w:hyperlink>
        </w:p>
        <w:p>
          <w:pPr>
            <w:pStyle w:val="Contents1"/>
            <w:tabs>
              <w:tab w:val="clear" w:pos="8784"/>
              <w:tab w:val="right" w:pos="9026" w:leader="dot"/>
            </w:tabs>
            <w:rPr/>
          </w:pPr>
          <w:hyperlink w:anchor="__RefHeading___Toc3503_2451594232">
            <w:r>
              <w:rPr>
                <w:webHidden/>
                <w:rStyle w:val="IndexLink"/>
              </w:rPr>
              <w:t>ANNEX O: THE UNITED STATES TRANSIT ASSURANCE INTERFACE</w:t>
              <w:tab/>
              <w:t>61</w:t>
            </w:r>
          </w:hyperlink>
        </w:p>
        <w:p>
          <w:pPr>
            <w:pStyle w:val="Contents2"/>
            <w:tabs>
              <w:tab w:val="clear" w:pos="8784"/>
              <w:tab w:val="right" w:pos="9026" w:leader="dot"/>
            </w:tabs>
            <w:rPr/>
          </w:pPr>
          <w:hyperlink w:anchor="__RefHeading___Toc3505_2451594232">
            <w:r>
              <w:rPr>
                <w:webHidden/>
                <w:rStyle w:val="IndexLink"/>
              </w:rPr>
              <w:t>O.1 Purpose</w:t>
              <w:tab/>
              <w:t>61</w:t>
            </w:r>
          </w:hyperlink>
        </w:p>
        <w:p>
          <w:pPr>
            <w:pStyle w:val="Contents2"/>
            <w:tabs>
              <w:tab w:val="clear" w:pos="8784"/>
              <w:tab w:val="right" w:pos="9026" w:leader="dot"/>
            </w:tabs>
            <w:rPr/>
          </w:pPr>
          <w:hyperlink w:anchor="__RefHeading___Toc3507_2451594232">
            <w:r>
              <w:rPr>
                <w:webHidden/>
                <w:rStyle w:val="IndexLink"/>
              </w:rPr>
              <w:t>O.2 The Standing Elements</w:t>
              <w:tab/>
              <w:t>61</w:t>
            </w:r>
          </w:hyperlink>
        </w:p>
        <w:p>
          <w:pPr>
            <w:pStyle w:val="Contents2"/>
            <w:tabs>
              <w:tab w:val="clear" w:pos="8784"/>
              <w:tab w:val="right" w:pos="9026" w:leader="dot"/>
            </w:tabs>
            <w:rPr/>
          </w:pPr>
          <w:hyperlink w:anchor="__RefHeading___Toc3509_2451594232">
            <w:r>
              <w:rPr>
                <w:webHidden/>
                <w:rStyle w:val="IndexLink"/>
              </w:rPr>
              <w:t>O.3 Naval Transit Mechanics</w:t>
              <w:tab/>
              <w:t>61</w:t>
            </w:r>
          </w:hyperlink>
        </w:p>
        <w:p>
          <w:pPr>
            <w:pStyle w:val="Contents2"/>
            <w:tabs>
              <w:tab w:val="clear" w:pos="8784"/>
              <w:tab w:val="right" w:pos="9026" w:leader="dot"/>
            </w:tabs>
            <w:rPr/>
          </w:pPr>
          <w:hyperlink w:anchor="__RefHeading___Toc3511_2451594232">
            <w:r>
              <w:rPr>
                <w:webHidden/>
                <w:rStyle w:val="IndexLink"/>
              </w:rPr>
              <w:t>O.4 What the Interface Does Not Do</w:t>
              <w:tab/>
              <w:t>61</w:t>
            </w:r>
          </w:hyperlink>
        </w:p>
        <w:p>
          <w:pPr>
            <w:pStyle w:val="Contents2"/>
            <w:tabs>
              <w:tab w:val="clear" w:pos="8784"/>
              <w:tab w:val="right" w:pos="9026" w:leader="dot"/>
            </w:tabs>
            <w:rPr/>
          </w:pPr>
          <w:hyperlink w:anchor="__RefHeading___Toc3513_2451594232">
            <w:r>
              <w:rPr>
                <w:webHidden/>
                <w:rStyle w:val="IndexLink"/>
              </w:rPr>
              <w:t>O.5 The Assurance Value</w:t>
              <w:tab/>
              <w:t>61</w:t>
            </w:r>
          </w:hyperlink>
        </w:p>
        <w:p>
          <w:pPr>
            <w:pStyle w:val="Contents1"/>
            <w:tabs>
              <w:tab w:val="clear" w:pos="8784"/>
              <w:tab w:val="right" w:pos="9026" w:leader="dot"/>
            </w:tabs>
            <w:rPr/>
          </w:pPr>
          <w:hyperlink w:anchor="__RefHeading___Toc3515_2451594232">
            <w:r>
              <w:rPr>
                <w:webHidden/>
                <w:rStyle w:val="IndexLink"/>
              </w:rPr>
              <w:t>ANNEX P: THE NUCLEAR FIREWALL PROTOCOL</w:t>
              <w:tab/>
              <w:t>62</w:t>
            </w:r>
          </w:hyperlink>
        </w:p>
        <w:p>
          <w:pPr>
            <w:pStyle w:val="Contents2"/>
            <w:tabs>
              <w:tab w:val="clear" w:pos="8784"/>
              <w:tab w:val="right" w:pos="9026" w:leader="dot"/>
            </w:tabs>
            <w:rPr/>
          </w:pPr>
          <w:hyperlink w:anchor="__RefHeading___Toc3517_2451594232">
            <w:r>
              <w:rPr>
                <w:webHidden/>
                <w:rStyle w:val="IndexLink"/>
              </w:rPr>
              <w:t>P.1 Separation of Subject Matter</w:t>
              <w:tab/>
              <w:t>62</w:t>
            </w:r>
          </w:hyperlink>
        </w:p>
        <w:p>
          <w:pPr>
            <w:pStyle w:val="Contents2"/>
            <w:tabs>
              <w:tab w:val="clear" w:pos="8784"/>
              <w:tab w:val="right" w:pos="9026" w:leader="dot"/>
            </w:tabs>
            <w:rPr/>
          </w:pPr>
          <w:hyperlink w:anchor="__RefHeading___Toc3519_2451594232">
            <w:r>
              <w:rPr>
                <w:webHidden/>
                <w:rStyle w:val="IndexLink"/>
              </w:rPr>
              <w:t>P.2 Separation of Systems</w:t>
              <w:tab/>
              <w:t>62</w:t>
            </w:r>
          </w:hyperlink>
        </w:p>
        <w:p>
          <w:pPr>
            <w:pStyle w:val="Contents2"/>
            <w:tabs>
              <w:tab w:val="clear" w:pos="8784"/>
              <w:tab w:val="right" w:pos="9026" w:leader="dot"/>
            </w:tabs>
            <w:rPr/>
          </w:pPr>
          <w:hyperlink w:anchor="__RefHeading___Toc3521_2451594232">
            <w:r>
              <w:rPr>
                <w:webHidden/>
                <w:rStyle w:val="IndexLink"/>
              </w:rPr>
              <w:t>P.3 Separation of Personnel and Records</w:t>
              <w:tab/>
              <w:t>62</w:t>
            </w:r>
          </w:hyperlink>
        </w:p>
        <w:p>
          <w:pPr>
            <w:pStyle w:val="Contents2"/>
            <w:tabs>
              <w:tab w:val="clear" w:pos="8784"/>
              <w:tab w:val="right" w:pos="9026" w:leader="dot"/>
            </w:tabs>
            <w:rPr/>
          </w:pPr>
          <w:hyperlink w:anchor="__RefHeading___Toc3523_2451594232">
            <w:r>
              <w:rPr>
                <w:webHidden/>
                <w:rStyle w:val="IndexLink"/>
              </w:rPr>
              <w:t>P.4 The Anti-Linkage Rule</w:t>
              <w:tab/>
              <w:t>62</w:t>
            </w:r>
          </w:hyperlink>
        </w:p>
        <w:p>
          <w:pPr>
            <w:pStyle w:val="Contents2"/>
            <w:tabs>
              <w:tab w:val="clear" w:pos="8784"/>
              <w:tab w:val="right" w:pos="9026" w:leader="dot"/>
            </w:tabs>
            <w:rPr/>
          </w:pPr>
          <w:hyperlink w:anchor="__RefHeading___Toc3525_2451594232">
            <w:r>
              <w:rPr>
                <w:webHidden/>
                <w:rStyle w:val="IndexLink"/>
              </w:rPr>
              <w:t>P.5 What the Firewall Buys</w:t>
              <w:tab/>
              <w:t>62</w:t>
            </w:r>
          </w:hyperlink>
        </w:p>
        <w:p>
          <w:pPr>
            <w:pStyle w:val="Contents1"/>
            <w:tabs>
              <w:tab w:val="clear" w:pos="8784"/>
              <w:tab w:val="right" w:pos="9026" w:leader="dot"/>
            </w:tabs>
            <w:rPr/>
          </w:pPr>
          <w:hyperlink w:anchor="__RefHeading___Toc3527_2451594232">
            <w:r>
              <w:rPr>
                <w:webHidden/>
                <w:rStyle w:val="IndexLink"/>
              </w:rPr>
              <w:t>ANNEX Q: MISSILE AND EXERCISE NOTIFICATION FORMATS</w:t>
              <w:tab/>
              <w:t>62</w:t>
            </w:r>
          </w:hyperlink>
        </w:p>
        <w:p>
          <w:pPr>
            <w:pStyle w:val="Contents2"/>
            <w:tabs>
              <w:tab w:val="clear" w:pos="8784"/>
              <w:tab w:val="right" w:pos="9026" w:leader="dot"/>
            </w:tabs>
            <w:rPr/>
          </w:pPr>
          <w:hyperlink w:anchor="__RefHeading___Toc3529_2451594232">
            <w:r>
              <w:rPr>
                <w:webHidden/>
                <w:rStyle w:val="IndexLink"/>
              </w:rPr>
              <w:t>Q.1 The Notification Form</w:t>
              <w:tab/>
              <w:t>62</w:t>
            </w:r>
          </w:hyperlink>
        </w:p>
        <w:p>
          <w:pPr>
            <w:pStyle w:val="Contents2"/>
            <w:tabs>
              <w:tab w:val="clear" w:pos="8784"/>
              <w:tab w:val="right" w:pos="9026" w:leader="dot"/>
            </w:tabs>
            <w:rPr/>
          </w:pPr>
          <w:hyperlink w:anchor="__RefHeading___Toc3531_2451594232">
            <w:r>
              <w:rPr>
                <w:webHidden/>
                <w:rStyle w:val="IndexLink"/>
              </w:rPr>
              <w:t>Q.2 The Two-Hundred-Kilometer Radius</w:t>
              <w:tab/>
              <w:t>63</w:t>
            </w:r>
          </w:hyperlink>
        </w:p>
        <w:p>
          <w:pPr>
            <w:pStyle w:val="Contents2"/>
            <w:tabs>
              <w:tab w:val="clear" w:pos="8784"/>
              <w:tab w:val="right" w:pos="9026" w:leader="dot"/>
            </w:tabs>
            <w:rPr/>
          </w:pPr>
          <w:hyperlink w:anchor="__RefHeading___Toc3533_2451594232">
            <w:r>
              <w:rPr>
                <w:webHidden/>
                <w:rStyle w:val="IndexLink"/>
              </w:rPr>
              <w:t>Q.3 The Override Freeze</w:t>
              <w:tab/>
              <w:t>63</w:t>
            </w:r>
          </w:hyperlink>
        </w:p>
        <w:p>
          <w:pPr>
            <w:pStyle w:val="Contents2"/>
            <w:tabs>
              <w:tab w:val="clear" w:pos="8784"/>
              <w:tab w:val="right" w:pos="9026" w:leader="dot"/>
            </w:tabs>
            <w:rPr/>
          </w:pPr>
          <w:hyperlink w:anchor="__RefHeading___Toc3535_2451594232">
            <w:r>
              <w:rPr>
                <w:webHidden/>
                <w:rStyle w:val="IndexLink"/>
              </w:rPr>
              <w:t>Q.4 Scope Limit</w:t>
              <w:tab/>
              <w:t>63</w:t>
            </w:r>
          </w:hyperlink>
        </w:p>
        <w:p>
          <w:pPr>
            <w:pStyle w:val="Contents1"/>
            <w:tabs>
              <w:tab w:val="clear" w:pos="8784"/>
              <w:tab w:val="right" w:pos="9026" w:leader="dot"/>
            </w:tabs>
            <w:rPr/>
          </w:pPr>
          <w:hyperlink w:anchor="__RefHeading___Toc3537_2451594232">
            <w:r>
              <w:rPr>
                <w:webHidden/>
                <w:rStyle w:val="IndexLink"/>
              </w:rPr>
              <w:t>ANNEX R: THE MICROPILOT LADDER</w:t>
              <w:tab/>
              <w:t>63</w:t>
            </w:r>
          </w:hyperlink>
        </w:p>
        <w:p>
          <w:pPr>
            <w:pStyle w:val="Contents2"/>
            <w:tabs>
              <w:tab w:val="clear" w:pos="8784"/>
              <w:tab w:val="right" w:pos="9026" w:leader="dot"/>
            </w:tabs>
            <w:rPr/>
          </w:pPr>
          <w:hyperlink w:anchor="__RefHeading___Toc3539_2451594232">
            <w:r>
              <w:rPr>
                <w:webHidden/>
                <w:rStyle w:val="IndexLink"/>
              </w:rPr>
              <w:t>R.1 Purpose</w:t>
              <w:tab/>
              <w:t>63</w:t>
            </w:r>
          </w:hyperlink>
        </w:p>
        <w:p>
          <w:pPr>
            <w:pStyle w:val="Contents2"/>
            <w:tabs>
              <w:tab w:val="clear" w:pos="8784"/>
              <w:tab w:val="right" w:pos="9026" w:leader="dot"/>
            </w:tabs>
            <w:rPr/>
          </w:pPr>
          <w:hyperlink w:anchor="__RefHeading___Toc3541_2451594232">
            <w:r>
              <w:rPr>
                <w:webHidden/>
                <w:rStyle w:val="IndexLink"/>
              </w:rPr>
              <w:t>R.2 Cluster A: Visibility and Predictability</w:t>
              <w:tab/>
              <w:t>63</w:t>
            </w:r>
          </w:hyperlink>
        </w:p>
        <w:p>
          <w:pPr>
            <w:pStyle w:val="Contents2"/>
            <w:tabs>
              <w:tab w:val="clear" w:pos="8784"/>
              <w:tab w:val="right" w:pos="9026" w:leader="dot"/>
            </w:tabs>
            <w:rPr/>
          </w:pPr>
          <w:hyperlink w:anchor="__RefHeading___Toc3543_2451594232">
            <w:r>
              <w:rPr>
                <w:webHidden/>
                <w:rStyle w:val="IndexLink"/>
              </w:rPr>
              <w:t>R.3 Cluster B: Micro-Routing and Movement Safety</w:t>
              <w:tab/>
              <w:t>64</w:t>
            </w:r>
          </w:hyperlink>
        </w:p>
        <w:p>
          <w:pPr>
            <w:pStyle w:val="Contents2"/>
            <w:tabs>
              <w:tab w:val="clear" w:pos="8784"/>
              <w:tab w:val="right" w:pos="9026" w:leader="dot"/>
            </w:tabs>
            <w:rPr/>
          </w:pPr>
          <w:hyperlink w:anchor="__RefHeading___Toc3545_2451594232">
            <w:r>
              <w:rPr>
                <w:webHidden/>
                <w:rStyle w:val="IndexLink"/>
              </w:rPr>
              <w:t>R.4 Cluster C: Micro-Alerts and Incident Reduction</w:t>
              <w:tab/>
              <w:t>64</w:t>
            </w:r>
          </w:hyperlink>
        </w:p>
        <w:p>
          <w:pPr>
            <w:pStyle w:val="Contents2"/>
            <w:tabs>
              <w:tab w:val="clear" w:pos="8784"/>
              <w:tab w:val="right" w:pos="9026" w:leader="dot"/>
            </w:tabs>
            <w:rPr/>
          </w:pPr>
          <w:hyperlink w:anchor="__RefHeading___Toc3547_2451594232">
            <w:r>
              <w:rPr>
                <w:webHidden/>
                <w:rStyle w:val="IndexLink"/>
              </w:rPr>
              <w:t>R.5 Cluster D: Micro-Response and Repair Coordination</w:t>
              <w:tab/>
              <w:t>64</w:t>
            </w:r>
          </w:hyperlink>
        </w:p>
        <w:p>
          <w:pPr>
            <w:pStyle w:val="Contents2"/>
            <w:tabs>
              <w:tab w:val="clear" w:pos="8784"/>
              <w:tab w:val="right" w:pos="9026" w:leader="dot"/>
            </w:tabs>
            <w:rPr/>
          </w:pPr>
          <w:hyperlink w:anchor="__RefHeading___Toc3549_2451594232">
            <w:r>
              <w:rPr>
                <w:webHidden/>
                <w:rStyle w:val="IndexLink"/>
              </w:rPr>
              <w:t>R.6 Cluster E: Micro-Governance and Simulation</w:t>
              <w:tab/>
              <w:t>65</w:t>
            </w:r>
          </w:hyperlink>
        </w:p>
        <w:p>
          <w:pPr>
            <w:pStyle w:val="Contents2"/>
            <w:tabs>
              <w:tab w:val="clear" w:pos="8784"/>
              <w:tab w:val="right" w:pos="9026" w:leader="dot"/>
            </w:tabs>
            <w:rPr/>
          </w:pPr>
          <w:hyperlink w:anchor="__RefHeading___Toc3551_2451594232">
            <w:r>
              <w:rPr>
                <w:webHidden/>
                <w:rStyle w:val="IndexLink"/>
              </w:rPr>
              <w:t>R.7 Graduation Rule</w:t>
              <w:tab/>
              <w:t>65</w:t>
            </w:r>
          </w:hyperlink>
        </w:p>
        <w:p>
          <w:pPr>
            <w:pStyle w:val="Contents1"/>
            <w:tabs>
              <w:tab w:val="clear" w:pos="8784"/>
              <w:tab w:val="right" w:pos="9026" w:leader="dot"/>
            </w:tabs>
            <w:rPr/>
          </w:pPr>
          <w:hyperlink w:anchor="__RefHeading___Toc3553_2451594232">
            <w:r>
              <w:rPr>
                <w:webHidden/>
                <w:rStyle w:val="IndexLink"/>
              </w:rPr>
              <w:t>ANNEX S: THE STABILITY AUDIT, FULL METRICS AND SCORING</w:t>
              <w:tab/>
              <w:t>65</w:t>
            </w:r>
          </w:hyperlink>
        </w:p>
        <w:p>
          <w:pPr>
            <w:pStyle w:val="Contents2"/>
            <w:tabs>
              <w:tab w:val="clear" w:pos="8784"/>
              <w:tab w:val="right" w:pos="9026" w:leader="dot"/>
            </w:tabs>
            <w:rPr/>
          </w:pPr>
          <w:hyperlink w:anchor="__RefHeading___Toc3555_2451594232">
            <w:r>
              <w:rPr>
                <w:webHidden/>
                <w:rStyle w:val="IndexLink"/>
              </w:rPr>
              <w:t>S.1 Method</w:t>
              <w:tab/>
              <w:t>65</w:t>
            </w:r>
          </w:hyperlink>
        </w:p>
        <w:p>
          <w:pPr>
            <w:pStyle w:val="Contents2"/>
            <w:tabs>
              <w:tab w:val="clear" w:pos="8784"/>
              <w:tab w:val="right" w:pos="9026" w:leader="dot"/>
            </w:tabs>
            <w:rPr/>
          </w:pPr>
          <w:hyperlink w:anchor="__RefHeading___Toc3557_2451594232">
            <w:r>
              <w:rPr>
                <w:webHidden/>
                <w:rStyle w:val="IndexLink"/>
              </w:rPr>
              <w:t>S.2 Domain One: Navigation and Identification Compliance</w:t>
              <w:tab/>
              <w:t>65</w:t>
            </w:r>
          </w:hyperlink>
        </w:p>
        <w:p>
          <w:pPr>
            <w:pStyle w:val="Contents2"/>
            <w:tabs>
              <w:tab w:val="clear" w:pos="8784"/>
              <w:tab w:val="right" w:pos="9026" w:leader="dot"/>
            </w:tabs>
            <w:rPr/>
          </w:pPr>
          <w:hyperlink w:anchor="__RefHeading___Toc3559_2451594232">
            <w:r>
              <w:rPr>
                <w:webHidden/>
                <w:rStyle w:val="IndexLink"/>
              </w:rPr>
              <w:t>S.3 Domain Two: Security and Deconfliction</w:t>
              <w:tab/>
              <w:t>66</w:t>
            </w:r>
          </w:hyperlink>
        </w:p>
        <w:p>
          <w:pPr>
            <w:pStyle w:val="Contents2"/>
            <w:tabs>
              <w:tab w:val="clear" w:pos="8784"/>
              <w:tab w:val="right" w:pos="9026" w:leader="dot"/>
            </w:tabs>
            <w:rPr/>
          </w:pPr>
          <w:hyperlink w:anchor="__RefHeading___Toc3561_2451594232">
            <w:r>
              <w:rPr>
                <w:webHidden/>
                <w:rStyle w:val="IndexLink"/>
              </w:rPr>
              <w:t>S.4 Domain Three: Monitoring and Transparency</w:t>
              <w:tab/>
              <w:t>66</w:t>
            </w:r>
          </w:hyperlink>
        </w:p>
        <w:p>
          <w:pPr>
            <w:pStyle w:val="Contents2"/>
            <w:tabs>
              <w:tab w:val="clear" w:pos="8784"/>
              <w:tab w:val="right" w:pos="9026" w:leader="dot"/>
            </w:tabs>
            <w:rPr/>
          </w:pPr>
          <w:hyperlink w:anchor="__RefHeading___Toc3563_2451594232">
            <w:r>
              <w:rPr>
                <w:webHidden/>
                <w:rStyle w:val="IndexLink"/>
              </w:rPr>
              <w:t>S.5 Domain Four: Environmental and Safety</w:t>
              <w:tab/>
              <w:t>66</w:t>
            </w:r>
          </w:hyperlink>
        </w:p>
        <w:p>
          <w:pPr>
            <w:pStyle w:val="Contents2"/>
            <w:tabs>
              <w:tab w:val="clear" w:pos="8784"/>
              <w:tab w:val="right" w:pos="9026" w:leader="dot"/>
            </w:tabs>
            <w:rPr/>
          </w:pPr>
          <w:hyperlink w:anchor="__RefHeading___Toc3565_2451594232">
            <w:r>
              <w:rPr>
                <w:webHidden/>
                <w:rStyle w:val="IndexLink"/>
              </w:rPr>
              <w:t>S.6 Domain Five: Finance and Payments</w:t>
              <w:tab/>
              <w:t>67</w:t>
            </w:r>
          </w:hyperlink>
        </w:p>
        <w:p>
          <w:pPr>
            <w:pStyle w:val="Contents2"/>
            <w:tabs>
              <w:tab w:val="clear" w:pos="8784"/>
              <w:tab w:val="right" w:pos="9026" w:leader="dot"/>
            </w:tabs>
            <w:rPr/>
          </w:pPr>
          <w:hyperlink w:anchor="__RefHeading___Toc3567_2451594232">
            <w:r>
              <w:rPr>
                <w:webHidden/>
                <w:rStyle w:val="IndexLink"/>
              </w:rPr>
              <w:t>S.7 Outcomes and Consequences</w:t>
              <w:tab/>
              <w:t>67</w:t>
            </w:r>
          </w:hyperlink>
        </w:p>
        <w:p>
          <w:pPr>
            <w:pStyle w:val="Contents1"/>
            <w:tabs>
              <w:tab w:val="clear" w:pos="8784"/>
              <w:tab w:val="right" w:pos="9026" w:leader="dot"/>
            </w:tabs>
            <w:rPr/>
          </w:pPr>
          <w:hyperlink w:anchor="__RefHeading___Toc3569_2451594232">
            <w:r>
              <w:rPr>
                <w:webHidden/>
                <w:rStyle w:val="IndexLink"/>
              </w:rPr>
              <w:t>ANNEX T: THE FEE SOLUTIONS CATALOG AND DISPOSITION MAP</w:t>
              <w:tab/>
              <w:t>67</w:t>
            </w:r>
          </w:hyperlink>
        </w:p>
        <w:p>
          <w:pPr>
            <w:pStyle w:val="Contents2"/>
            <w:tabs>
              <w:tab w:val="clear" w:pos="8784"/>
              <w:tab w:val="right" w:pos="9026" w:leader="dot"/>
            </w:tabs>
            <w:rPr/>
          </w:pPr>
          <w:hyperlink w:anchor="__RefHeading___Toc3571_2451594232">
            <w:r>
              <w:rPr>
                <w:webHidden/>
                <w:rStyle w:val="IndexLink"/>
              </w:rPr>
              <w:t>T.1 Purpose</w:t>
              <w:tab/>
              <w:t>67</w:t>
            </w:r>
          </w:hyperlink>
        </w:p>
        <w:p>
          <w:pPr>
            <w:pStyle w:val="Contents2"/>
            <w:tabs>
              <w:tab w:val="clear" w:pos="8784"/>
              <w:tab w:val="right" w:pos="9026" w:leader="dot"/>
            </w:tabs>
            <w:rPr/>
          </w:pPr>
          <w:hyperlink w:anchor="__RefHeading___Toc3573_2451594232">
            <w:r>
              <w:rPr>
                <w:webHidden/>
                <w:rStyle w:val="IndexLink"/>
              </w:rPr>
              <w:t>T.2 Adopted Solutions</w:t>
              <w:tab/>
              <w:t>67</w:t>
            </w:r>
          </w:hyperlink>
        </w:p>
        <w:p>
          <w:pPr>
            <w:pStyle w:val="Contents2"/>
            <w:tabs>
              <w:tab w:val="clear" w:pos="8784"/>
              <w:tab w:val="right" w:pos="9026" w:leader="dot"/>
            </w:tabs>
            <w:rPr/>
          </w:pPr>
          <w:hyperlink w:anchor="__RefHeading___Toc3575_2451594232">
            <w:r>
              <w:rPr>
                <w:webHidden/>
                <w:rStyle w:val="IndexLink"/>
              </w:rPr>
              <w:t>T.3 Adapted Solutions</w:t>
              <w:tab/>
              <w:t>68</w:t>
            </w:r>
          </w:hyperlink>
        </w:p>
        <w:p>
          <w:pPr>
            <w:pStyle w:val="Contents2"/>
            <w:tabs>
              <w:tab w:val="clear" w:pos="8784"/>
              <w:tab w:val="right" w:pos="9026" w:leader="dot"/>
            </w:tabs>
            <w:rPr/>
          </w:pPr>
          <w:hyperlink w:anchor="__RefHeading___Toc3577_2451594232">
            <w:r>
              <w:rPr>
                <w:webHidden/>
                <w:rStyle w:val="IndexLink"/>
              </w:rPr>
              <w:t>T.4 Solutions Set Aside, With Reasons</w:t>
              <w:tab/>
              <w:t>69</w:t>
            </w:r>
          </w:hyperlink>
        </w:p>
        <w:p>
          <w:pPr>
            <w:pStyle w:val="Contents2"/>
            <w:tabs>
              <w:tab w:val="clear" w:pos="8784"/>
              <w:tab w:val="right" w:pos="9026" w:leader="dot"/>
            </w:tabs>
            <w:rPr/>
          </w:pPr>
          <w:hyperlink w:anchor="__RefHeading___Toc3579_2451594232">
            <w:r>
              <w:rPr>
                <w:webHidden/>
                <w:rStyle w:val="IndexLink"/>
              </w:rPr>
              <w:t>T.5 The Settlement in One Sentence</w:t>
              <w:tab/>
              <w:t>69</w:t>
            </w:r>
          </w:hyperlink>
        </w:p>
        <w:p>
          <w:pPr>
            <w:pStyle w:val="Contents1"/>
            <w:tabs>
              <w:tab w:val="clear" w:pos="8784"/>
              <w:tab w:val="right" w:pos="9026" w:leader="dot"/>
            </w:tabs>
            <w:rPr/>
          </w:pPr>
          <w:hyperlink w:anchor="__RefHeading___Toc3581_2451594232">
            <w:r>
              <w:rPr>
                <w:webHidden/>
                <w:rStyle w:val="IndexLink"/>
              </w:rPr>
              <w:t>CLOSING NOTE OF THE DRAFTING RECORD</w:t>
              <w:tab/>
              <w:t>69</w:t>
            </w:r>
          </w:hyperlink>
          <w:r>
            <w:rPr>
              <w:rStyle w:val="IndexLink"/>
            </w:rPr>
            <w:fldChar w:fldCharType="end"/>
          </w:r>
        </w:p>
        <w:p>
          <w:pPr>
            <w:sectPr>
              <w:headerReference w:type="default" r:id="rId4"/>
              <w:footerReference w:type="default" r:id="rId5"/>
              <w:type w:val="nextPage"/>
              <w:pgSz w:w="11906" w:h="16838"/>
              <w:pgMar w:left="1440" w:right="1440" w:gutter="0" w:header="720" w:top="1440" w:footer="720" w:bottom="1440"/>
              <w:pgNumType w:start="1" w:fmt="decimal"/>
              <w:formProt w:val="false"/>
              <w:textDirection w:val="lrTb"/>
              <w:docGrid w:type="default" w:linePitch="100" w:charSpace="0"/>
            </w:sectPr>
          </w:pPr>
        </w:p>
      </w:sdtContent>
    </w:sdt>
    <w:p>
      <w:pPr>
        <w:pStyle w:val="Heading1"/>
        <w:bidi w:val="0"/>
        <w:jc w:val="left"/>
        <w:rPr/>
      </w:pPr>
      <w:bookmarkStart w:id="0" w:name="__RefHeading___Toc3197_2451594232"/>
      <w:bookmarkEnd w:id="0"/>
      <w:r>
        <w:rPr>
          <w:rFonts w:eastAsia="Microsoft YaHei" w:cs="Calibri"/>
          <w:b/>
          <w:color w:val="1F3550"/>
          <w:sz w:val="34"/>
          <w:szCs w:val="34"/>
        </w:rPr>
        <w:t>PREAMBLE</w:t>
      </w:r>
    </w:p>
    <w:p>
      <w:pPr>
        <w:pStyle w:val="Normal"/>
        <w:bidi w:val="0"/>
        <w:spacing w:lineRule="auto" w:line="300" w:before="0" w:after="140"/>
        <w:jc w:val="both"/>
        <w:rPr/>
      </w:pPr>
      <w:r>
        <w:rPr>
          <w:rFonts w:eastAsia="Microsoft YaHei" w:cs="Cambria"/>
          <w:color w:val="2A2F36"/>
          <w:sz w:val="22"/>
          <w:szCs w:val="22"/>
        </w:rPr>
        <w:t>The Islamic Republic of Iran and the Sultanate of Oman, as the coastal states of the Strait of Hormuz, together with the endorsing, observing, and technical participants named in this Pact,</w:t>
      </w:r>
    </w:p>
    <w:p>
      <w:pPr>
        <w:pStyle w:val="Normal"/>
        <w:bidi w:val="0"/>
        <w:spacing w:lineRule="auto" w:line="300" w:before="0" w:after="140"/>
        <w:jc w:val="both"/>
        <w:rPr/>
      </w:pPr>
      <w:r>
        <w:rPr>
          <w:rFonts w:eastAsia="Microsoft YaHei" w:cs="Cambria"/>
          <w:color w:val="2A2F36"/>
          <w:sz w:val="22"/>
          <w:szCs w:val="22"/>
        </w:rPr>
        <w:t>Recalling that the Strait of Hormuz carries a fifth of the traded oil and natural gas of the world and constitutes an indispensable artery of global energy, food, and medicine supply,</w:t>
      </w:r>
    </w:p>
    <w:p>
      <w:pPr>
        <w:pStyle w:val="Normal"/>
        <w:bidi w:val="0"/>
        <w:spacing w:lineRule="auto" w:line="300" w:before="0" w:after="140"/>
        <w:jc w:val="both"/>
        <w:rPr/>
      </w:pPr>
      <w:r>
        <w:rPr>
          <w:rFonts w:eastAsia="Microsoft YaHei" w:cs="Cambria"/>
          <w:color w:val="2A2F36"/>
          <w:sz w:val="22"/>
          <w:szCs w:val="22"/>
        </w:rPr>
        <w:t>Recalling further that the crisis of 2026 demonstrated the fragility of unmanaged passage and imposed severe costs on every economy that depends on the Strait,</w:t>
      </w:r>
    </w:p>
    <w:p>
      <w:pPr>
        <w:pStyle w:val="Normal"/>
        <w:bidi w:val="0"/>
        <w:spacing w:lineRule="auto" w:line="300" w:before="0" w:after="140"/>
        <w:jc w:val="both"/>
        <w:rPr/>
      </w:pPr>
      <w:r>
        <w:rPr>
          <w:rFonts w:eastAsia="Microsoft YaHei" w:cs="Cambria"/>
          <w:color w:val="2A2F36"/>
          <w:sz w:val="22"/>
          <w:szCs w:val="22"/>
        </w:rPr>
        <w:t>Affirming the regime of transit passage through straits used for international navigation as reflected in customary international law and in the United Nations Convention on the Law of the Sea, and recalling United Nations Security Council Resolution 2817,</w:t>
      </w:r>
    </w:p>
    <w:p>
      <w:pPr>
        <w:pStyle w:val="Normal"/>
        <w:bidi w:val="0"/>
        <w:spacing w:lineRule="auto" w:line="300" w:before="0" w:after="140"/>
        <w:jc w:val="both"/>
        <w:rPr/>
      </w:pPr>
      <w:r>
        <w:rPr>
          <w:rFonts w:eastAsia="Microsoft YaHei" w:cs="Cambria"/>
          <w:color w:val="2A2F36"/>
          <w:sz w:val="22"/>
          <w:szCs w:val="22"/>
        </w:rPr>
        <w:t>Affirming that governance of the Strait operates as a cooperative function and never as a cession of sovereignty by any coastal state,</w:t>
      </w:r>
    </w:p>
    <w:p>
      <w:pPr>
        <w:pStyle w:val="Normal"/>
        <w:bidi w:val="0"/>
        <w:spacing w:lineRule="auto" w:line="300" w:before="0" w:after="140"/>
        <w:jc w:val="both"/>
        <w:rPr/>
      </w:pPr>
      <w:r>
        <w:rPr>
          <w:rFonts w:eastAsia="Microsoft YaHei" w:cs="Cambria"/>
          <w:color w:val="2A2F36"/>
          <w:sz w:val="22"/>
          <w:szCs w:val="22"/>
        </w:rPr>
        <w:t>Determined that the Strait stays open, that passage stays free of tolls, that governance stays shared, that verification stays multinational and human-anchored, and that the architecture endures without sunset,</w:t>
      </w:r>
    </w:p>
    <w:p>
      <w:pPr>
        <w:pStyle w:val="Normal"/>
        <w:bidi w:val="0"/>
        <w:spacing w:lineRule="auto" w:line="300" w:before="0" w:after="140"/>
        <w:jc w:val="both"/>
        <w:rPr/>
      </w:pPr>
      <w:r>
        <w:rPr>
          <w:rFonts w:eastAsia="Microsoft YaHei" w:cs="Cambria"/>
          <w:color w:val="2A2F36"/>
          <w:sz w:val="22"/>
          <w:szCs w:val="22"/>
        </w:rPr>
        <w:t>Building upon the interim understandings reached between the Islamic Republic of Iran and the Sultanate of Oman in August 2026, including the northern inbound lane, the southern outbound lane, and the clearance of the median lane,</w:t>
      </w:r>
    </w:p>
    <w:p>
      <w:pPr>
        <w:pStyle w:val="Normal"/>
        <w:bidi w:val="0"/>
        <w:spacing w:lineRule="auto" w:line="300" w:before="0" w:after="140"/>
        <w:jc w:val="both"/>
        <w:rPr/>
      </w:pPr>
      <w:r>
        <w:rPr>
          <w:rFonts w:eastAsia="Microsoft YaHei" w:cs="Cambria"/>
          <w:color w:val="2A2F36"/>
          <w:sz w:val="22"/>
          <w:szCs w:val="22"/>
        </w:rPr>
        <w:t>Agree upon the following Pact.</w:t>
      </w:r>
    </w:p>
    <w:p>
      <w:pPr>
        <w:pStyle w:val="Heading1"/>
        <w:keepNext w:val="true"/>
        <w:keepLines/>
        <w:pBdr>
          <w:bottom w:val="single" w:sz="8" w:space="6" w:color="9C7A2E"/>
        </w:pBdr>
        <w:bidi w:val="0"/>
        <w:spacing w:before="480" w:after="200"/>
        <w:jc w:val="left"/>
        <w:rPr/>
      </w:pPr>
      <w:bookmarkStart w:id="1" w:name="__RefHeading___Toc3199_2451594232"/>
      <w:bookmarkEnd w:id="1"/>
      <w:r>
        <w:rPr>
          <w:rFonts w:eastAsia="Microsoft YaHei" w:cs="Calibri"/>
          <w:b/>
          <w:color w:val="1F3550"/>
          <w:sz w:val="34"/>
          <w:szCs w:val="34"/>
        </w:rPr>
        <w:t>PART I: FOUNDATIONS</w:t>
      </w:r>
    </w:p>
    <w:p>
      <w:pPr>
        <w:pStyle w:val="Heading2"/>
        <w:keepNext w:val="true"/>
        <w:keepLines/>
        <w:bidi w:val="0"/>
        <w:spacing w:before="380" w:after="140"/>
        <w:jc w:val="left"/>
        <w:rPr/>
      </w:pPr>
      <w:bookmarkStart w:id="2" w:name="__RefHeading___Toc3201_2451594232"/>
      <w:bookmarkEnd w:id="2"/>
      <w:r>
        <w:rPr>
          <w:rFonts w:eastAsia="Microsoft YaHei" w:cs="Calibri"/>
          <w:b/>
          <w:color w:val="1F3550"/>
          <w:sz w:val="27"/>
          <w:szCs w:val="27"/>
        </w:rPr>
        <w:t>Article 1: Establishment, Purpose, and Scope</w:t>
      </w:r>
    </w:p>
    <w:p>
      <w:pPr>
        <w:pStyle w:val="Normal"/>
        <w:bidi w:val="0"/>
        <w:spacing w:lineRule="auto" w:line="300" w:before="0" w:after="140"/>
        <w:jc w:val="both"/>
        <w:rPr/>
      </w:pPr>
      <w:r>
        <w:rPr>
          <w:rFonts w:eastAsia="Microsoft YaHei" w:cs="Cambria"/>
          <w:b/>
          <w:color w:val="2A2F36"/>
          <w:sz w:val="22"/>
          <w:szCs w:val="22"/>
        </w:rPr>
        <w:t>1.1</w:t>
      </w:r>
      <w:r>
        <w:rPr>
          <w:rFonts w:eastAsia="Microsoft YaHei" w:cs="Cambria"/>
          <w:color w:val="2A2F36"/>
          <w:sz w:val="22"/>
          <w:szCs w:val="22"/>
        </w:rPr>
        <w:t xml:space="preserve"> The Parties establish the Hormuz Stewardship Pact as the standing governance architecture for the Strait of Hormuz. The Pact creates the institutions, corridors, procedures, financial channels, verification systems, and compliance mechanics that this instrument describes in full operative detail.</w:t>
      </w:r>
    </w:p>
    <w:p>
      <w:pPr>
        <w:pStyle w:val="Normal"/>
        <w:bidi w:val="0"/>
        <w:spacing w:lineRule="auto" w:line="300" w:before="0" w:after="140"/>
        <w:jc w:val="both"/>
        <w:rPr/>
      </w:pPr>
      <w:r>
        <w:rPr>
          <w:rFonts w:eastAsia="Microsoft YaHei" w:cs="Cambria"/>
          <w:b/>
          <w:color w:val="2A2F36"/>
          <w:sz w:val="22"/>
          <w:szCs w:val="22"/>
        </w:rPr>
        <w:t>1.2</w:t>
      </w:r>
      <w:r>
        <w:rPr>
          <w:rFonts w:eastAsia="Microsoft YaHei" w:cs="Cambria"/>
          <w:color w:val="2A2F36"/>
          <w:sz w:val="22"/>
          <w:szCs w:val="22"/>
        </w:rPr>
        <w:t xml:space="preserve"> The purpose of the Pact rests on four outcomes. First, the Strait opens for commercial traffic within three days of activation and remains open. Second, passage remains free of any toll, permit, or condition. Third, the coastal states perform defined stewardship functions under paired authority so that no state acts alone over the waterway. Fourth, every consequential fact passes through multinational human verification before it triggers any consequence.</w:t>
      </w:r>
    </w:p>
    <w:p>
      <w:pPr>
        <w:pStyle w:val="Normal"/>
        <w:bidi w:val="0"/>
        <w:spacing w:lineRule="auto" w:line="300" w:before="0" w:after="140"/>
        <w:jc w:val="both"/>
        <w:rPr/>
      </w:pPr>
      <w:r>
        <w:rPr>
          <w:rFonts w:eastAsia="Microsoft YaHei" w:cs="Cambria"/>
          <w:b/>
          <w:color w:val="2A2F36"/>
          <w:sz w:val="22"/>
          <w:szCs w:val="22"/>
        </w:rPr>
        <w:t>1.3</w:t>
      </w:r>
      <w:r>
        <w:rPr>
          <w:rFonts w:eastAsia="Microsoft YaHei" w:cs="Cambria"/>
          <w:color w:val="2A2F36"/>
          <w:sz w:val="22"/>
          <w:szCs w:val="22"/>
        </w:rPr>
        <w:t xml:space="preserve"> The Pact governs civilian maritime navigation, corridor management, traffic safety, environmental protection, search and rescue, service reimbursement, incident handling, and military deconfliction in the Governance Area. The Pact does not govern military alliances, sanctions policy, the nuclear file, or the domestic legislation of any Party except where a Party expressly connects a domestic instrument to this Pact.</w:t>
      </w:r>
    </w:p>
    <w:p>
      <w:pPr>
        <w:pStyle w:val="Normal"/>
        <w:bidi w:val="0"/>
        <w:spacing w:lineRule="auto" w:line="300" w:before="0" w:after="140"/>
        <w:jc w:val="both"/>
        <w:rPr/>
      </w:pPr>
      <w:r>
        <w:rPr>
          <w:rFonts w:eastAsia="Microsoft YaHei" w:cs="Cambria"/>
          <w:b/>
          <w:color w:val="2A2F36"/>
          <w:sz w:val="22"/>
          <w:szCs w:val="22"/>
        </w:rPr>
        <w:t>1.4</w:t>
      </w:r>
      <w:r>
        <w:rPr>
          <w:rFonts w:eastAsia="Microsoft YaHei" w:cs="Cambria"/>
          <w:color w:val="2A2F36"/>
          <w:sz w:val="22"/>
          <w:szCs w:val="22"/>
        </w:rPr>
        <w:t xml:space="preserve"> The Pact binds the Founding Parties on signature and binds each additional participant upon accession under Annex M. Endorsement by the United States and by regional and international stakeholders follows the participation tiers of Article 40.</w:t>
      </w:r>
    </w:p>
    <w:p>
      <w:pPr>
        <w:pStyle w:val="Normal"/>
        <w:bidi w:val="0"/>
        <w:spacing w:lineRule="auto" w:line="300" w:before="0" w:after="140"/>
        <w:jc w:val="both"/>
        <w:rPr/>
      </w:pPr>
      <w:r>
        <w:rPr>
          <w:rFonts w:eastAsia="Microsoft YaHei" w:cs="Cambria"/>
          <w:b/>
          <w:color w:val="2A2F36"/>
          <w:sz w:val="22"/>
          <w:szCs w:val="22"/>
        </w:rPr>
        <w:t>1.5</w:t>
      </w:r>
      <w:r>
        <w:rPr>
          <w:rFonts w:eastAsia="Microsoft YaHei" w:cs="Cambria"/>
          <w:color w:val="2A2F36"/>
          <w:sz w:val="22"/>
          <w:szCs w:val="22"/>
        </w:rPr>
        <w:t xml:space="preserve"> The Pact operates in graduated layers on an accelerated timeline. Layer Zero opens the Strait within three days. Layers One through Five build data, routing, financial, oversight, and charter permanence in sequence, each unlocking on verified stability rather than on political negotiation.</w:t>
      </w:r>
    </w:p>
    <w:p>
      <w:pPr>
        <w:pStyle w:val="Heading2"/>
        <w:keepNext w:val="true"/>
        <w:keepLines/>
        <w:bidi w:val="0"/>
        <w:spacing w:before="380" w:after="140"/>
        <w:jc w:val="left"/>
        <w:rPr/>
      </w:pPr>
      <w:bookmarkStart w:id="3" w:name="__RefHeading___Toc3203_2451594232"/>
      <w:bookmarkEnd w:id="3"/>
      <w:r>
        <w:rPr>
          <w:rFonts w:eastAsia="Microsoft YaHei" w:cs="Calibri"/>
          <w:b/>
          <w:color w:val="1F3550"/>
          <w:sz w:val="27"/>
          <w:szCs w:val="27"/>
        </w:rPr>
        <w:t>Article 2: Legal Foundations and the Non-Prejudice Architecture</w:t>
      </w:r>
    </w:p>
    <w:p>
      <w:pPr>
        <w:pStyle w:val="Normal"/>
        <w:bidi w:val="0"/>
        <w:spacing w:lineRule="auto" w:line="300" w:before="0" w:after="140"/>
        <w:jc w:val="both"/>
        <w:rPr/>
      </w:pPr>
      <w:r>
        <w:rPr>
          <w:rFonts w:eastAsia="Microsoft YaHei" w:cs="Cambria"/>
          <w:b/>
          <w:color w:val="2A2F36"/>
          <w:sz w:val="22"/>
          <w:szCs w:val="22"/>
        </w:rPr>
        <w:t>2.1</w:t>
      </w:r>
      <w:r>
        <w:rPr>
          <w:rFonts w:eastAsia="Microsoft YaHei" w:cs="Cambria"/>
          <w:color w:val="2A2F36"/>
          <w:sz w:val="22"/>
          <w:szCs w:val="22"/>
        </w:rPr>
        <w:t xml:space="preserve"> The Pact rests on the customary international law of transit passage through straits used for international navigation, as reflected in the United Nations Convention on the Law of the Sea. The Pact treats that regime as binding on every participant regardless of the ratification status of any participant. Transit passage through the Strait continues without suspension, and no participant imposes a toll on passage.</w:t>
      </w:r>
    </w:p>
    <w:p>
      <w:pPr>
        <w:pStyle w:val="Normal"/>
        <w:bidi w:val="0"/>
        <w:spacing w:lineRule="auto" w:line="300" w:before="0" w:after="140"/>
        <w:jc w:val="both"/>
        <w:rPr/>
      </w:pPr>
      <w:r>
        <w:rPr>
          <w:rFonts w:eastAsia="Microsoft YaHei" w:cs="Cambria"/>
          <w:b/>
          <w:color w:val="2A2F36"/>
          <w:sz w:val="22"/>
          <w:szCs w:val="22"/>
        </w:rPr>
        <w:t>2.2</w:t>
      </w:r>
      <w:r>
        <w:rPr>
          <w:rFonts w:eastAsia="Microsoft YaHei" w:cs="Cambria"/>
          <w:color w:val="2A2F36"/>
          <w:sz w:val="22"/>
          <w:szCs w:val="22"/>
        </w:rPr>
        <w:t xml:space="preserve"> The Pact incorporates United Nations Security Council Resolution 2817 and the calls of the international community for the immediate and unconditional cessation of attacks on commercial shipping. The Pact supplies the governance answer to that call: a permanent, verified, jointly administered architecture that removes the incentives and the pretexts for interference with navigation.</w:t>
      </w:r>
    </w:p>
    <w:p>
      <w:pPr>
        <w:pStyle w:val="Normal"/>
        <w:bidi w:val="0"/>
        <w:spacing w:lineRule="auto" w:line="300" w:before="0" w:after="140"/>
        <w:jc w:val="both"/>
        <w:rPr/>
      </w:pPr>
      <w:r>
        <w:rPr>
          <w:rFonts w:eastAsia="Microsoft YaHei" w:cs="Cambria"/>
          <w:b/>
          <w:color w:val="2A2F36"/>
          <w:sz w:val="22"/>
          <w:szCs w:val="22"/>
        </w:rPr>
        <w:t>2.3</w:t>
      </w:r>
      <w:r>
        <w:rPr>
          <w:rFonts w:eastAsia="Microsoft YaHei" w:cs="Cambria"/>
          <w:color w:val="2A2F36"/>
          <w:sz w:val="22"/>
          <w:szCs w:val="22"/>
        </w:rPr>
        <w:t xml:space="preserve"> Nothing in this Pact prejudices the position of any Party on sovereignty, sovereign rights, jurisdiction, boundaries, or maritime claims. Every coordinate, corridor, and zone in this Pact serves navigation and safety. No provision of this Pact constitutes recognition of, or derogation from, the legal position of any Party on the status of the waters of the Strait.</w:t>
      </w:r>
    </w:p>
    <w:p>
      <w:pPr>
        <w:pStyle w:val="Normal"/>
        <w:bidi w:val="0"/>
        <w:spacing w:lineRule="auto" w:line="300" w:before="0" w:after="140"/>
        <w:jc w:val="both"/>
        <w:rPr/>
      </w:pPr>
      <w:r>
        <w:rPr>
          <w:rFonts w:eastAsia="Microsoft YaHei" w:cs="Cambria"/>
          <w:b/>
          <w:color w:val="2A2F36"/>
          <w:sz w:val="22"/>
          <w:szCs w:val="22"/>
        </w:rPr>
        <w:t>2.4</w:t>
      </w:r>
      <w:r>
        <w:rPr>
          <w:rFonts w:eastAsia="Microsoft YaHei" w:cs="Cambria"/>
          <w:color w:val="2A2F36"/>
          <w:sz w:val="22"/>
          <w:szCs w:val="22"/>
        </w:rPr>
        <w:t xml:space="preserve"> The Pact acknowledges the interim understandings between the Islamic Republic of Iran and the Sultanate of Oman of August 2026 as the technical foundation of the corridor system. The Pact converts that bilateral foundation into a multilateral architecture and embeds it in the permanent institutions of Part VIII.</w:t>
      </w:r>
    </w:p>
    <w:p>
      <w:pPr>
        <w:pStyle w:val="Normal"/>
        <w:bidi w:val="0"/>
        <w:spacing w:lineRule="auto" w:line="300" w:before="0" w:after="140"/>
        <w:jc w:val="both"/>
        <w:rPr/>
      </w:pPr>
      <w:r>
        <w:rPr>
          <w:rFonts w:eastAsia="Microsoft YaHei" w:cs="Cambria"/>
          <w:b/>
          <w:color w:val="2A2F36"/>
          <w:sz w:val="22"/>
          <w:szCs w:val="22"/>
        </w:rPr>
        <w:t>2.5</w:t>
      </w:r>
      <w:r>
        <w:rPr>
          <w:rFonts w:eastAsia="Microsoft YaHei" w:cs="Cambria"/>
          <w:color w:val="2A2F36"/>
          <w:sz w:val="22"/>
          <w:szCs w:val="22"/>
        </w:rPr>
        <w:t xml:space="preserve"> In the event of conflict between a provision of this Pact and a provision of any prior arrangement between any Parties, this Pact prevails as between the Parties to this Pact. Prior arrangements continue in force for any matter that this Pact does not address.</w:t>
      </w:r>
    </w:p>
    <w:p>
      <w:pPr>
        <w:pStyle w:val="Normal"/>
        <w:bidi w:val="0"/>
        <w:spacing w:lineRule="auto" w:line="300" w:before="0" w:after="140"/>
        <w:jc w:val="both"/>
        <w:rPr/>
      </w:pPr>
      <w:r>
        <w:rPr>
          <w:rFonts w:eastAsia="Microsoft YaHei" w:cs="Cambria"/>
          <w:b/>
          <w:color w:val="2A2F36"/>
          <w:sz w:val="22"/>
          <w:szCs w:val="22"/>
        </w:rPr>
        <w:t>2.6</w:t>
      </w:r>
      <w:r>
        <w:rPr>
          <w:rFonts w:eastAsia="Microsoft YaHei" w:cs="Cambria"/>
          <w:color w:val="2A2F36"/>
          <w:sz w:val="22"/>
          <w:szCs w:val="22"/>
        </w:rPr>
        <w:t xml:space="preserve"> The Pact has no expiry date. It continues indefinitely. Withdrawal follows Article 58 and demands an affirmative act with twenty-four months of notice. Silence, inaction, political change, or lapse of time never terminates this Pact.</w:t>
      </w:r>
    </w:p>
    <w:p>
      <w:pPr>
        <w:pStyle w:val="Heading2"/>
        <w:keepNext w:val="true"/>
        <w:keepLines/>
        <w:bidi w:val="0"/>
        <w:spacing w:before="380" w:after="140"/>
        <w:jc w:val="left"/>
        <w:rPr/>
      </w:pPr>
      <w:bookmarkStart w:id="4" w:name="__RefHeading___Toc3205_2451594232"/>
      <w:bookmarkEnd w:id="4"/>
      <w:r>
        <w:rPr>
          <w:rFonts w:eastAsia="Microsoft YaHei" w:cs="Calibri"/>
          <w:b/>
          <w:color w:val="1F3550"/>
          <w:sz w:val="27"/>
          <w:szCs w:val="27"/>
        </w:rPr>
        <w:t>Article 3: The Present-Moment Context and the Continuity Bridge</w:t>
      </w:r>
    </w:p>
    <w:p>
      <w:pPr>
        <w:pStyle w:val="Normal"/>
        <w:bidi w:val="0"/>
        <w:spacing w:lineRule="auto" w:line="300" w:before="0" w:after="140"/>
        <w:jc w:val="both"/>
        <w:rPr/>
      </w:pPr>
      <w:r>
        <w:rPr>
          <w:rFonts w:eastAsia="Microsoft YaHei" w:cs="Cambria"/>
          <w:b/>
          <w:color w:val="2A2F36"/>
          <w:sz w:val="22"/>
          <w:szCs w:val="22"/>
        </w:rPr>
        <w:t>3.1</w:t>
      </w:r>
      <w:r>
        <w:rPr>
          <w:rFonts w:eastAsia="Microsoft YaHei" w:cs="Cambria"/>
          <w:color w:val="2A2F36"/>
          <w:sz w:val="22"/>
          <w:szCs w:val="22"/>
        </w:rPr>
        <w:t xml:space="preserve"> The Parties record the situation at adoption. The conflict of 2026 closed the Strait to normal commerce, drove energy prices sharply upward, stranded mariners and cargoes, and imposed a naval blockade on Iranian ports. A ceasefire memorandum of understanding of June 2026 established a sixty-day negotiation window. Interim understandings of August 2026 between Iran and Oman mapped a northern inbound lane through Iranian waters, a southern outbound lane through Omani waters in coordination with Iran, and a median lane reserved for clearance of naval mines within thirty days, with no tolls or fees during the interim period.</w:t>
      </w:r>
    </w:p>
    <w:p>
      <w:pPr>
        <w:pStyle w:val="Normal"/>
        <w:bidi w:val="0"/>
        <w:spacing w:lineRule="auto" w:line="300" w:before="0" w:after="140"/>
        <w:jc w:val="both"/>
        <w:rPr/>
      </w:pPr>
      <w:r>
        <w:rPr>
          <w:rFonts w:eastAsia="Microsoft YaHei" w:cs="Cambria"/>
          <w:b/>
          <w:color w:val="2A2F36"/>
          <w:sz w:val="22"/>
          <w:szCs w:val="22"/>
        </w:rPr>
        <w:t>3.2</w:t>
      </w:r>
      <w:r>
        <w:rPr>
          <w:rFonts w:eastAsia="Microsoft YaHei" w:cs="Cambria"/>
          <w:color w:val="2A2F36"/>
          <w:sz w:val="22"/>
          <w:szCs w:val="22"/>
        </w:rPr>
        <w:t xml:space="preserve"> The Parties record that the interim understandings left four components unfinished: the security authority for the corridors, the financial architecture for services, the activation mechanism for reopening, and multilateral acceptance. This Pact resolves all four. Article 30 through Article 35 settle security authority through paired functions. Articles 22 through 29 settle the financial architecture through the Zero-Toll Covenant and the Service Distinction. Part II settles activation through the Three-Day Opening. Articles 40 through 42 settle multilateral acceptance through defined participation tiers.</w:t>
      </w:r>
    </w:p>
    <w:p>
      <w:pPr>
        <w:pStyle w:val="Normal"/>
        <w:bidi w:val="0"/>
        <w:spacing w:lineRule="auto" w:line="300" w:before="0" w:after="140"/>
        <w:jc w:val="both"/>
        <w:rPr/>
      </w:pPr>
      <w:r>
        <w:rPr>
          <w:rFonts w:eastAsia="Microsoft YaHei" w:cs="Cambria"/>
          <w:b/>
          <w:color w:val="2A2F36"/>
          <w:sz w:val="22"/>
          <w:szCs w:val="22"/>
        </w:rPr>
        <w:t>3.3</w:t>
      </w:r>
      <w:r>
        <w:rPr>
          <w:rFonts w:eastAsia="Microsoft YaHei" w:cs="Cambria"/>
          <w:color w:val="2A2F36"/>
          <w:sz w:val="22"/>
          <w:szCs w:val="22"/>
        </w:rPr>
        <w:t xml:space="preserve"> The Pact operates as a continuity bridge. Every interim mechanism that functions at adoption continues without interruption and folds into the corresponding permanent mechanism of this Pact on the schedule of Part X. No vessel, crew, cargo, or coastal community experiences a governance gap at any point in the transition.</w:t>
      </w:r>
    </w:p>
    <w:p>
      <w:pPr>
        <w:pStyle w:val="Normal"/>
        <w:bidi w:val="0"/>
        <w:spacing w:lineRule="auto" w:line="300" w:before="0" w:after="140"/>
        <w:jc w:val="both"/>
        <w:rPr/>
      </w:pPr>
      <w:r>
        <w:rPr>
          <w:rFonts w:eastAsia="Microsoft YaHei" w:cs="Cambria"/>
          <w:b/>
          <w:color w:val="2A2F36"/>
          <w:sz w:val="22"/>
          <w:szCs w:val="22"/>
        </w:rPr>
        <w:t>3.4</w:t>
      </w:r>
      <w:r>
        <w:rPr>
          <w:rFonts w:eastAsia="Microsoft YaHei" w:cs="Cambria"/>
          <w:color w:val="2A2F36"/>
          <w:sz w:val="22"/>
          <w:szCs w:val="22"/>
        </w:rPr>
        <w:t xml:space="preserve"> The Pact separates itself from the nuclear file and from every other outstanding political question between the participants. Article 36 and Annex P state the firewall. The Pact neither conditions nor answers to any other negotiation track.</w:t>
      </w:r>
    </w:p>
    <w:p>
      <w:pPr>
        <w:pStyle w:val="Heading2"/>
        <w:keepNext w:val="true"/>
        <w:keepLines/>
        <w:bidi w:val="0"/>
        <w:spacing w:before="380" w:after="140"/>
        <w:jc w:val="left"/>
        <w:rPr/>
      </w:pPr>
      <w:bookmarkStart w:id="5" w:name="__RefHeading___Toc3207_2451594232"/>
      <w:bookmarkEnd w:id="5"/>
      <w:r>
        <w:rPr>
          <w:rFonts w:eastAsia="Microsoft YaHei" w:cs="Calibri"/>
          <w:b/>
          <w:color w:val="1F3550"/>
          <w:sz w:val="27"/>
          <w:szCs w:val="27"/>
        </w:rPr>
        <w:t>Article 4: The Five Standing Rules</w:t>
      </w:r>
    </w:p>
    <w:p>
      <w:pPr>
        <w:pStyle w:val="Normal"/>
        <w:bidi w:val="0"/>
        <w:spacing w:lineRule="auto" w:line="300" w:before="0" w:after="140"/>
        <w:jc w:val="both"/>
        <w:rPr/>
      </w:pPr>
      <w:r>
        <w:rPr>
          <w:rFonts w:eastAsia="Microsoft YaHei" w:cs="Cambria"/>
          <w:b/>
          <w:color w:val="2A2F36"/>
          <w:sz w:val="22"/>
          <w:szCs w:val="22"/>
        </w:rPr>
        <w:t>4.1</w:t>
      </w:r>
      <w:r>
        <w:rPr>
          <w:rFonts w:eastAsia="Microsoft YaHei" w:cs="Cambria"/>
          <w:color w:val="2A2F36"/>
          <w:sz w:val="22"/>
          <w:szCs w:val="22"/>
        </w:rPr>
        <w:t xml:space="preserve"> The architecture of this Pact rests on five standing rules. Every institution, procedure, annex, and decision under this Pact conforms to these rules, and the Perimeter Test of Article 6 enforces them continuously.</w:t>
      </w:r>
    </w:p>
    <w:p>
      <w:pPr>
        <w:pStyle w:val="Normal"/>
        <w:bidi w:val="0"/>
        <w:spacing w:lineRule="auto" w:line="300" w:before="0" w:after="140"/>
        <w:jc w:val="both"/>
        <w:rPr/>
      </w:pPr>
      <w:r>
        <w:rPr>
          <w:rFonts w:eastAsia="Microsoft YaHei" w:cs="Cambria"/>
          <w:b/>
          <w:color w:val="2A2F36"/>
          <w:sz w:val="22"/>
          <w:szCs w:val="22"/>
        </w:rPr>
        <w:t>4.2</w:t>
      </w:r>
      <w:r>
        <w:rPr>
          <w:rFonts w:eastAsia="Microsoft YaHei" w:cs="Cambria"/>
          <w:color w:val="2A2F36"/>
          <w:sz w:val="22"/>
          <w:szCs w:val="22"/>
        </w:rPr>
        <w:t xml:space="preserve"> Rule One: The Strait stays open. The architecture contains no suspension lever for political disputes. Commercial transit operates under an absolute non-interdiction protocol at all times and in all flow states.</w:t>
      </w:r>
    </w:p>
    <w:p>
      <w:pPr>
        <w:pStyle w:val="Normal"/>
        <w:bidi w:val="0"/>
        <w:spacing w:lineRule="auto" w:line="300" w:before="0" w:after="140"/>
        <w:jc w:val="both"/>
        <w:rPr/>
      </w:pPr>
      <w:r>
        <w:rPr>
          <w:rFonts w:eastAsia="Microsoft YaHei"/>
          <w:b/>
          <w:color w:val="2A2F36"/>
          <w:sz w:val="22"/>
        </w:rPr>
        <w:t>4.3</w:t>
      </w:r>
      <w:r>
        <w:rPr>
          <w:rFonts w:eastAsia="Microsoft YaHei"/>
          <w:color w:val="2A2F36"/>
          <w:sz w:val="22"/>
        </w:rPr>
        <w:t xml:space="preserve"> Rule Two: Passage is free. The Zero-Toll Covenant of Article 22 prohibits every charge, levy, fee, or payment that functions as a price or condition of passage, under any name and through any channel.</w:t>
      </w:r>
    </w:p>
    <w:p>
      <w:pPr>
        <w:pStyle w:val="Normal"/>
        <w:bidi w:val="0"/>
        <w:spacing w:lineRule="auto" w:line="300" w:before="0" w:after="140"/>
        <w:jc w:val="both"/>
        <w:rPr/>
      </w:pPr>
      <w:r>
        <w:rPr>
          <w:rFonts w:eastAsia="Microsoft YaHei"/>
          <w:b/>
          <w:color w:val="2A2F36"/>
          <w:sz w:val="22"/>
        </w:rPr>
        <w:t>4.4</w:t>
      </w:r>
      <w:r>
        <w:rPr>
          <w:rFonts w:eastAsia="Microsoft YaHei"/>
          <w:color w:val="2A2F36"/>
          <w:sz w:val="22"/>
        </w:rPr>
        <w:t xml:space="preserve"> Rule Three: Governance is shared. Every consequential action over the waterway executes under paired authority. The Twin Key of the Founding Parties and the concurrence rules of Article 41 convert control questions into task allocations.</w:t>
      </w:r>
    </w:p>
    <w:p>
      <w:pPr>
        <w:pStyle w:val="Normal"/>
        <w:bidi w:val="0"/>
        <w:spacing w:lineRule="auto" w:line="300" w:before="0" w:after="140"/>
        <w:jc w:val="both"/>
        <w:rPr/>
      </w:pPr>
      <w:r>
        <w:rPr>
          <w:rFonts w:eastAsia="Microsoft YaHei"/>
          <w:b/>
          <w:color w:val="2A2F36"/>
          <w:sz w:val="22"/>
        </w:rPr>
        <w:t>4.5</w:t>
      </w:r>
      <w:r>
        <w:rPr>
          <w:rFonts w:eastAsia="Microsoft YaHei"/>
          <w:color w:val="2A2F36"/>
          <w:sz w:val="22"/>
        </w:rPr>
        <w:t xml:space="preserve"> Rule Four: Verification is multinational and human-anchored. Named, trained, paired observers certify the facts that trigger gates, consequences, and relief. Instruments inform; people certify.</w:t>
      </w:r>
    </w:p>
    <w:p>
      <w:pPr>
        <w:pStyle w:val="Normal"/>
        <w:bidi w:val="0"/>
        <w:spacing w:lineRule="auto" w:line="300" w:before="0" w:after="140"/>
        <w:jc w:val="both"/>
        <w:rPr/>
      </w:pPr>
      <w:r>
        <w:rPr>
          <w:rFonts w:eastAsia="Microsoft YaHei"/>
          <w:b/>
          <w:color w:val="2A2F36"/>
          <w:sz w:val="22"/>
        </w:rPr>
        <w:t>4.6</w:t>
      </w:r>
      <w:r>
        <w:rPr>
          <w:rFonts w:eastAsia="Microsoft YaHei"/>
          <w:color w:val="2A2F36"/>
          <w:sz w:val="22"/>
        </w:rPr>
        <w:t xml:space="preserve"> Rule Five: The architecture endures. No sunset clause exists. Verified gains lock permanently under the Forward Drift Archive of Article 46. Setbacks affect tempo, never ground.</w:t>
      </w:r>
    </w:p>
    <w:p>
      <w:pPr>
        <w:pStyle w:val="Heading2"/>
        <w:keepNext w:val="true"/>
        <w:keepLines/>
        <w:bidi w:val="0"/>
        <w:spacing w:before="380" w:after="140"/>
        <w:jc w:val="left"/>
        <w:rPr/>
      </w:pPr>
      <w:bookmarkStart w:id="6" w:name="__RefHeading___Toc3209_2451594232"/>
      <w:bookmarkEnd w:id="6"/>
      <w:r>
        <w:rPr>
          <w:rFonts w:eastAsia="Microsoft YaHei"/>
          <w:b/>
          <w:color w:val="1F3550"/>
          <w:sz w:val="27"/>
        </w:rPr>
        <w:t>Article 5: Definitions and Interpretation</w:t>
      </w:r>
    </w:p>
    <w:p>
      <w:pPr>
        <w:pStyle w:val="Normal"/>
        <w:bidi w:val="0"/>
        <w:spacing w:lineRule="auto" w:line="300" w:before="0" w:after="140"/>
        <w:jc w:val="both"/>
        <w:rPr/>
      </w:pPr>
      <w:r>
        <w:rPr>
          <w:rFonts w:eastAsia="Microsoft YaHei"/>
          <w:b/>
          <w:color w:val="2A2F36"/>
          <w:sz w:val="22"/>
        </w:rPr>
        <w:t>5.1</w:t>
      </w:r>
      <w:r>
        <w:rPr>
          <w:rFonts w:eastAsia="Microsoft YaHei"/>
          <w:color w:val="2A2F36"/>
          <w:sz w:val="22"/>
        </w:rPr>
        <w:t xml:space="preserve"> Annex J states the operative definitions of this Pact. Each defined term carries the meaning that Annex J assigns, in every Part and every Annex, unless a provision expressly states a narrower local meaning.</w:t>
      </w:r>
    </w:p>
    <w:p>
      <w:pPr>
        <w:pStyle w:val="Normal"/>
        <w:bidi w:val="0"/>
        <w:spacing w:lineRule="auto" w:line="300" w:before="0" w:after="140"/>
        <w:jc w:val="both"/>
        <w:rPr/>
      </w:pPr>
      <w:r>
        <w:rPr>
          <w:rFonts w:eastAsia="Microsoft YaHei"/>
          <w:b/>
          <w:color w:val="2A2F36"/>
          <w:sz w:val="22"/>
        </w:rPr>
        <w:t>5.2</w:t>
      </w:r>
      <w:r>
        <w:rPr>
          <w:rFonts w:eastAsia="Microsoft YaHei"/>
          <w:color w:val="2A2F36"/>
          <w:sz w:val="22"/>
        </w:rPr>
        <w:t xml:space="preserve"> The headings of Parts, Articles, and Annexes serve navigation of the text and carry no interpretive weight.</w:t>
      </w:r>
    </w:p>
    <w:p>
      <w:pPr>
        <w:pStyle w:val="Normal"/>
        <w:bidi w:val="0"/>
        <w:spacing w:lineRule="auto" w:line="300" w:before="0" w:after="140"/>
        <w:jc w:val="both"/>
        <w:rPr/>
      </w:pPr>
      <w:r>
        <w:rPr>
          <w:rFonts w:eastAsia="Microsoft YaHei"/>
          <w:b/>
          <w:color w:val="2A2F36"/>
          <w:sz w:val="22"/>
        </w:rPr>
        <w:t>5.3</w:t>
      </w:r>
      <w:r>
        <w:rPr>
          <w:rFonts w:eastAsia="Microsoft YaHei"/>
          <w:color w:val="2A2F36"/>
          <w:sz w:val="22"/>
        </w:rPr>
        <w:t xml:space="preserve"> Where this Pact states a time, the time refers to Gulf Standard Time unless the provision names another reference. Where this Pact states a distance at sea, the distance refers to nautical miles. Where this Pact states coordinates, the coordinates refer to the World Geodetic System 1984 datum.</w:t>
      </w:r>
    </w:p>
    <w:p>
      <w:pPr>
        <w:pStyle w:val="Normal"/>
        <w:bidi w:val="0"/>
        <w:spacing w:lineRule="auto" w:line="300" w:before="0" w:after="140"/>
        <w:jc w:val="both"/>
        <w:rPr/>
      </w:pPr>
      <w:r>
        <w:rPr>
          <w:rFonts w:eastAsia="Microsoft YaHei"/>
          <w:b/>
          <w:color w:val="2A2F36"/>
          <w:sz w:val="22"/>
        </w:rPr>
        <w:t>5.4</w:t>
      </w:r>
      <w:r>
        <w:rPr>
          <w:rFonts w:eastAsia="Microsoft YaHei"/>
          <w:color w:val="2A2F36"/>
          <w:sz w:val="22"/>
        </w:rPr>
        <w:t xml:space="preserve"> Where any ambiguity arises, interpretation follows four canons in order: the Five Standing Rules of Article 4, the non-prejudice rule of Article 2.3, the Red Lines Register of Article 6, and the object and purpose stated in the Preamble.</w:t>
      </w:r>
    </w:p>
    <w:p>
      <w:pPr>
        <w:pStyle w:val="Normal"/>
        <w:bidi w:val="0"/>
        <w:spacing w:lineRule="auto" w:line="300" w:before="0" w:after="140"/>
        <w:jc w:val="both"/>
        <w:rPr/>
      </w:pPr>
      <w:r>
        <w:rPr>
          <w:rFonts w:eastAsia="Microsoft YaHei"/>
          <w:b/>
          <w:color w:val="2A2F36"/>
          <w:sz w:val="22"/>
        </w:rPr>
        <w:t>5.5</w:t>
      </w:r>
      <w:r>
        <w:rPr>
          <w:rFonts w:eastAsia="Microsoft YaHei"/>
          <w:color w:val="2A2F36"/>
          <w:sz w:val="22"/>
        </w:rPr>
        <w:t xml:space="preserve"> No interpretation of any provision creates a permission regime, a toll, a unilateral control right, or a suspension power over transit. Any reading that produces such a result fails the Perimeter Test and carries no effect.</w:t>
      </w:r>
    </w:p>
    <w:p>
      <w:pPr>
        <w:pStyle w:val="Heading2"/>
        <w:keepNext w:val="true"/>
        <w:keepLines/>
        <w:bidi w:val="0"/>
        <w:spacing w:before="380" w:after="140"/>
        <w:jc w:val="left"/>
        <w:rPr/>
      </w:pPr>
      <w:bookmarkStart w:id="7" w:name="__RefHeading___Toc3211_2451594232"/>
      <w:bookmarkEnd w:id="7"/>
      <w:r>
        <w:rPr>
          <w:rFonts w:eastAsia="Microsoft YaHei"/>
          <w:b/>
          <w:color w:val="1F3550"/>
          <w:sz w:val="27"/>
        </w:rPr>
        <w:t>Article 6: The Red Lines Register and the Perimeter Test</w:t>
      </w:r>
    </w:p>
    <w:p>
      <w:pPr>
        <w:pStyle w:val="Normal"/>
        <w:bidi w:val="0"/>
        <w:spacing w:lineRule="auto" w:line="300" w:before="0" w:after="140"/>
        <w:jc w:val="both"/>
        <w:rPr/>
      </w:pPr>
      <w:r>
        <w:rPr>
          <w:rFonts w:eastAsia="Microsoft YaHei"/>
          <w:b/>
          <w:color w:val="2A2F36"/>
          <w:sz w:val="22"/>
        </w:rPr>
        <w:t>6.1</w:t>
      </w:r>
      <w:r>
        <w:rPr>
          <w:rFonts w:eastAsia="Microsoft YaHei"/>
          <w:color w:val="2A2F36"/>
          <w:sz w:val="22"/>
        </w:rPr>
        <w:t xml:space="preserve"> Annex G states the Red Lines Register in full operative text. The Register names each participant's non-negotiable interests, the holder of each line, and the design consequence that protects the line.</w:t>
      </w:r>
    </w:p>
    <w:p>
      <w:pPr>
        <w:pStyle w:val="Normal"/>
        <w:bidi w:val="0"/>
        <w:spacing w:lineRule="auto" w:line="300" w:before="0" w:after="140"/>
        <w:jc w:val="both"/>
        <w:rPr/>
      </w:pPr>
      <w:r>
        <w:rPr>
          <w:rFonts w:eastAsia="Microsoft YaHei"/>
          <w:b/>
          <w:color w:val="2A2F36"/>
          <w:sz w:val="22"/>
        </w:rPr>
        <w:t>6.2</w:t>
      </w:r>
      <w:r>
        <w:rPr>
          <w:rFonts w:eastAsia="Microsoft YaHei"/>
          <w:color w:val="2A2F36"/>
          <w:sz w:val="22"/>
        </w:rPr>
        <w:t xml:space="preserve"> The Register binds the architecture itself. The Council, the Secretariat, every desk, and every participant screens every measure against the Register before adoption. This screening constitutes the Perimeter Test.</w:t>
      </w:r>
    </w:p>
    <w:p>
      <w:pPr>
        <w:pStyle w:val="Normal"/>
        <w:bidi w:val="0"/>
        <w:spacing w:lineRule="auto" w:line="300" w:before="0" w:after="140"/>
        <w:jc w:val="both"/>
        <w:rPr/>
      </w:pPr>
      <w:r>
        <w:rPr>
          <w:rFonts w:eastAsia="Microsoft YaHei"/>
          <w:b/>
          <w:color w:val="2A2F36"/>
          <w:sz w:val="22"/>
        </w:rPr>
        <w:t>6.3</w:t>
      </w:r>
      <w:r>
        <w:rPr>
          <w:rFonts w:eastAsia="Microsoft YaHei"/>
          <w:color w:val="2A2F36"/>
          <w:sz w:val="22"/>
        </w:rPr>
        <w:t xml:space="preserve"> The Perimeter Test asks three questions of every measure: Does the measure touch a registered line? Does the measure cross the line? If the measure touches a line, the drafter redesigns the measure until it clears the line. A measure that crosses a registered line carries no effect from the moment of its proposal.</w:t>
      </w:r>
    </w:p>
    <w:p>
      <w:pPr>
        <w:pStyle w:val="Normal"/>
        <w:bidi w:val="0"/>
        <w:spacing w:lineRule="auto" w:line="300" w:before="0" w:after="140"/>
        <w:jc w:val="both"/>
        <w:rPr/>
      </w:pPr>
      <w:r>
        <w:rPr>
          <w:rFonts w:eastAsia="Microsoft YaHei"/>
          <w:b/>
          <w:color w:val="2A2F36"/>
          <w:sz w:val="22"/>
        </w:rPr>
        <w:t>6.4</w:t>
      </w:r>
      <w:r>
        <w:rPr>
          <w:rFonts w:eastAsia="Microsoft YaHei"/>
          <w:color w:val="2A2F36"/>
          <w:sz w:val="22"/>
        </w:rPr>
        <w:t xml:space="preserve"> No participant trades a line. No package, bargain, or side agreement purchases a crossing of any registered line. The Register operates as a structural constraint on the framework, not as a negotiating currency.</w:t>
      </w:r>
    </w:p>
    <w:p>
      <w:pPr>
        <w:pStyle w:val="Normal"/>
        <w:bidi w:val="0"/>
        <w:spacing w:lineRule="auto" w:line="300" w:before="0" w:after="140"/>
        <w:jc w:val="both"/>
        <w:rPr/>
      </w:pPr>
      <w:r>
        <w:rPr>
          <w:rFonts w:eastAsia="Microsoft YaHei"/>
          <w:b/>
          <w:color w:val="2A2F36"/>
          <w:sz w:val="22"/>
        </w:rPr>
        <w:t>6.5</w:t>
      </w:r>
      <w:r>
        <w:rPr>
          <w:rFonts w:eastAsia="Microsoft YaHei"/>
          <w:color w:val="2A2F36"/>
          <w:sz w:val="22"/>
        </w:rPr>
        <w:t xml:space="preserve"> The Register evolves only by addition. A participant registers a new line through the Council, and the addition takes effect on the day of registration. No mechanism in this Pact deletes or dilutes a registered line without the written concurrence of its holder.</w:t>
      </w:r>
    </w:p>
    <w:p>
      <w:pPr>
        <w:pStyle w:val="Normal"/>
        <w:bidi w:val="0"/>
        <w:spacing w:lineRule="auto" w:line="300" w:before="0" w:after="140"/>
        <w:jc w:val="both"/>
        <w:rPr/>
      </w:pPr>
      <w:r>
        <w:rPr>
          <w:rFonts w:eastAsia="Microsoft YaHei"/>
          <w:b/>
          <w:color w:val="2A2F36"/>
          <w:sz w:val="22"/>
        </w:rPr>
        <w:t>6.6</w:t>
      </w:r>
      <w:r>
        <w:rPr>
          <w:rFonts w:eastAsia="Microsoft YaHei"/>
          <w:color w:val="2A2F36"/>
          <w:sz w:val="22"/>
        </w:rPr>
        <w:t xml:space="preserve"> The Register protects, among others, the following standing interests: no toll on passage; no permission regime; no unilateral control of the Strait; recognized coastal stewardship roles for Iran and Oman; no foreign command over the architecture; end of the blockade; end of strikes on Iranian territory; end of attacks on shipping; lawful compensation for real services; sanctions-compatible payment channels; sovereignty and boundaries untouched; no mines in the Strait; humanitarian cargo moves first; data never serves kinetic action; transparency and seats for Gulf states; verification acceptable to all; neutrality and quiet process for Oman; no precedent for tolls in other straits; cost certainty for operators; continuity regardless of politics; and guaranteed transit for the naval vessels of every participant, including the United States, under the deconfliction rules of Article 21.</w:t>
      </w:r>
    </w:p>
    <w:p>
      <w:pPr>
        <w:pStyle w:val="Heading1"/>
        <w:keepNext w:val="true"/>
        <w:keepLines/>
        <w:pBdr>
          <w:bottom w:val="single" w:sz="8" w:space="6" w:color="9C7A2E"/>
        </w:pBdr>
        <w:bidi w:val="0"/>
        <w:spacing w:before="480" w:after="200"/>
        <w:jc w:val="left"/>
        <w:rPr/>
      </w:pPr>
      <w:bookmarkStart w:id="8" w:name="__RefHeading___Toc3213_2451594232"/>
      <w:bookmarkEnd w:id="8"/>
      <w:r>
        <w:rPr>
          <w:rFonts w:eastAsia="Microsoft YaHei"/>
          <w:b/>
          <w:color w:val="1F3550"/>
          <w:sz w:val="34"/>
        </w:rPr>
        <w:t>PART II: THE THREE-DAY OPENING</w:t>
      </w:r>
    </w:p>
    <w:p>
      <w:pPr>
        <w:pStyle w:val="Heading2"/>
        <w:keepNext w:val="true"/>
        <w:keepLines/>
        <w:bidi w:val="0"/>
        <w:spacing w:before="380" w:after="140"/>
        <w:jc w:val="left"/>
        <w:rPr/>
      </w:pPr>
      <w:bookmarkStart w:id="9" w:name="__RefHeading___Toc3215_2451594232"/>
      <w:bookmarkEnd w:id="9"/>
      <w:r>
        <w:rPr>
          <w:rFonts w:eastAsia="Microsoft YaHei"/>
          <w:b/>
          <w:color w:val="1F3550"/>
          <w:sz w:val="27"/>
        </w:rPr>
        <w:t>Article 7: The Concurrent Activation Doctrine</w:t>
      </w:r>
    </w:p>
    <w:p>
      <w:pPr>
        <w:pStyle w:val="Normal"/>
        <w:bidi w:val="0"/>
        <w:spacing w:lineRule="auto" w:line="300" w:before="0" w:after="140"/>
        <w:jc w:val="both"/>
        <w:rPr/>
      </w:pPr>
      <w:r>
        <w:rPr>
          <w:rFonts w:eastAsia="Microsoft YaHei"/>
          <w:b/>
          <w:color w:val="2A2F36"/>
          <w:sz w:val="22"/>
        </w:rPr>
        <w:t>7.1</w:t>
      </w:r>
      <w:r>
        <w:rPr>
          <w:rFonts w:eastAsia="Microsoft YaHei"/>
          <w:color w:val="2A2F36"/>
          <w:sz w:val="22"/>
        </w:rPr>
        <w:t xml:space="preserve"> The Pact opens the Strait of Hormuz to commercial traffic within seventy-two hours of Activation Day. The opening executes as a single synchronized event built from concurrent layers, not as a negotiated sequence of concessions. No layer waits on another layer. Every layer moves from Hour Zero.</w:t>
      </w:r>
    </w:p>
    <w:p>
      <w:pPr>
        <w:pStyle w:val="Normal"/>
        <w:bidi w:val="0"/>
        <w:spacing w:lineRule="auto" w:line="300" w:before="0" w:after="140"/>
        <w:jc w:val="both"/>
        <w:rPr/>
      </w:pPr>
      <w:r>
        <w:rPr>
          <w:rFonts w:eastAsia="Microsoft YaHei"/>
          <w:b/>
          <w:color w:val="2A2F36"/>
          <w:sz w:val="22"/>
        </w:rPr>
        <w:t>7.2</w:t>
      </w:r>
      <w:r>
        <w:rPr>
          <w:rFonts w:eastAsia="Microsoft YaHei"/>
          <w:color w:val="2A2F36"/>
          <w:sz w:val="22"/>
        </w:rPr>
        <w:t xml:space="preserve"> Activation Day means the day on which the Founding Parties deposit their instruments of signature with the Depositary and the Endorsing Stakeholder deposits its instrument of endorsement. The Depositary declares Hour Zero by simultaneous notice to every participant, to the International Maritime Organization, and to the shipping industry through the Open Water Bulletin.</w:t>
      </w:r>
    </w:p>
    <w:p>
      <w:pPr>
        <w:pStyle w:val="Normal"/>
        <w:bidi w:val="0"/>
        <w:spacing w:lineRule="auto" w:line="300" w:before="0" w:after="140"/>
        <w:jc w:val="both"/>
        <w:rPr/>
      </w:pPr>
      <w:r>
        <w:rPr>
          <w:rFonts w:eastAsia="Microsoft YaHei"/>
          <w:b/>
          <w:color w:val="2A2F36"/>
          <w:sz w:val="22"/>
        </w:rPr>
        <w:t>7.3</w:t>
      </w:r>
      <w:r>
        <w:rPr>
          <w:rFonts w:eastAsia="Microsoft YaHei"/>
          <w:color w:val="2A2F36"/>
          <w:sz w:val="22"/>
        </w:rPr>
        <w:t xml:space="preserve"> The Concurrent Activation Doctrine rests on a simple premise: the technical work already exists. The corridor coordinates sit in the Neutral Coordinate Registry under Article 11. The rate card sits in Annex C. The hotline hardware sits in the Maritime Coordination Center. The opening therefore executes as an operational act, not as a negotiation.</w:t>
      </w:r>
    </w:p>
    <w:p>
      <w:pPr>
        <w:pStyle w:val="Normal"/>
        <w:bidi w:val="0"/>
        <w:spacing w:lineRule="auto" w:line="300" w:before="0" w:after="140"/>
        <w:jc w:val="both"/>
        <w:rPr/>
      </w:pPr>
      <w:r>
        <w:rPr>
          <w:rFonts w:eastAsia="Microsoft YaHei"/>
          <w:b/>
          <w:color w:val="2A2F36"/>
          <w:sz w:val="22"/>
        </w:rPr>
        <w:t>7.4</w:t>
      </w:r>
      <w:r>
        <w:rPr>
          <w:rFonts w:eastAsia="Microsoft YaHei"/>
          <w:color w:val="2A2F36"/>
          <w:sz w:val="22"/>
        </w:rPr>
        <w:t xml:space="preserve"> The opening proceeds in three synchronized movements across seventy-two hours. Movement One establishes the safety casing: the standstill, the hotline, the fused picture, and the humanitarian bridge. Movement Two establishes movement: the three corridors open in the order buffer, outbound, inbound. Movement Three establishes confidence: the first commercial convoys transit, the insurance pool posts its interim risk tier, and the Stability Audit begins its baseline count.</w:t>
      </w:r>
    </w:p>
    <w:p>
      <w:pPr>
        <w:pStyle w:val="Normal"/>
        <w:bidi w:val="0"/>
        <w:spacing w:lineRule="auto" w:line="300" w:before="0" w:after="140"/>
        <w:jc w:val="both"/>
        <w:rPr/>
      </w:pPr>
      <w:r>
        <w:rPr>
          <w:rFonts w:eastAsia="Microsoft YaHei"/>
          <w:b/>
          <w:color w:val="2A2F36"/>
          <w:sz w:val="22"/>
        </w:rPr>
        <w:t>7.5</w:t>
      </w:r>
      <w:r>
        <w:rPr>
          <w:rFonts w:eastAsia="Microsoft YaHei"/>
          <w:color w:val="2A2F36"/>
          <w:sz w:val="22"/>
        </w:rPr>
        <w:t xml:space="preserve"> The opening never trades proof for haste. Every gate of the seventy-two hours carries a named certifier, a named evidence package, and a named fallback. If a gate fails, the architecture executes the fallback and continues the clock; the Strait stays open while the fallback runs.</w:t>
      </w:r>
    </w:p>
    <w:p>
      <w:pPr>
        <w:pStyle w:val="Heading2"/>
        <w:keepNext w:val="true"/>
        <w:keepLines/>
        <w:bidi w:val="0"/>
        <w:spacing w:before="380" w:after="140"/>
        <w:jc w:val="left"/>
        <w:rPr/>
      </w:pPr>
      <w:bookmarkStart w:id="10" w:name="__RefHeading___Toc3217_2451594232"/>
      <w:bookmarkEnd w:id="10"/>
      <w:r>
        <w:rPr>
          <w:rFonts w:eastAsia="Microsoft YaHei"/>
          <w:b/>
          <w:color w:val="1F3550"/>
          <w:sz w:val="27"/>
        </w:rPr>
        <w:t>Article 8: The Seventy-Two-Hour Gate Schedule</w:t>
      </w:r>
    </w:p>
    <w:p>
      <w:pPr>
        <w:pStyle w:val="Normal"/>
        <w:bidi w:val="0"/>
        <w:spacing w:lineRule="auto" w:line="300" w:before="0" w:after="140"/>
        <w:jc w:val="both"/>
        <w:rPr/>
      </w:pPr>
      <w:r>
        <w:rPr>
          <w:rFonts w:eastAsia="Microsoft YaHei"/>
          <w:b/>
          <w:color w:val="2A2F36"/>
          <w:sz w:val="22"/>
        </w:rPr>
        <w:t>8.1</w:t>
      </w:r>
      <w:r>
        <w:rPr>
          <w:rFonts w:eastAsia="Microsoft YaHei"/>
          <w:color w:val="2A2F36"/>
          <w:sz w:val="22"/>
        </w:rPr>
        <w:t xml:space="preserve"> Table 8-A states the gate schedule of the Three-Day Opening. Each gate lists its action, its certifier, and its evidence. The certifiers sign the gate certificates on the standard forms of Annex I.</w:t>
      </w:r>
    </w:p>
    <w:tbl>
      <w:tblPr>
        <w:tblW w:w="5000" w:type="pct"/>
        <w:jc w:val="left"/>
        <w:tblInd w:w="-8" w:type="dxa"/>
        <w:tblLayout w:type="fixed"/>
        <w:tblCellMar>
          <w:top w:w="60" w:type="dxa"/>
          <w:left w:w="100" w:type="dxa"/>
          <w:bottom w:w="60" w:type="dxa"/>
          <w:right w:w="100" w:type="dxa"/>
        </w:tblCellMar>
      </w:tblPr>
      <w:tblGrid>
        <w:gridCol w:w="1388"/>
        <w:gridCol w:w="3670"/>
        <w:gridCol w:w="1984"/>
        <w:gridCol w:w="1983"/>
      </w:tblGrid>
      <w:tr>
        <w:trPr>
          <w:tblHeader w:val="true"/>
          <w:cantSplit w:val="true"/>
        </w:trPr>
        <w:tc>
          <w:tcPr>
            <w:tcW w:w="138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Gate</w:t>
            </w:r>
          </w:p>
        </w:tc>
        <w:tc>
          <w:tcPr>
            <w:tcW w:w="367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Action</w:t>
            </w:r>
          </w:p>
        </w:tc>
        <w:tc>
          <w:tcPr>
            <w:tcW w:w="1984"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Certifier</w:t>
            </w:r>
          </w:p>
        </w:tc>
        <w:tc>
          <w:tcPr>
            <w:tcW w:w="1983"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Evidence</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Hour 0</w:t>
            </w:r>
          </w:p>
        </w:tc>
        <w:tc>
          <w:tcPr>
            <w:tcW w:w="367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Standstill Declaration freezes every military and enforcement measure at its Hour Zero posture; the Crisis Hotline Network goes live; the Depositary declares Activation Day.</w:t>
            </w:r>
          </w:p>
        </w:tc>
        <w:tc>
          <w:tcPr>
            <w:tcW w:w="19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Depositary, with Twin Key concurrence</w:t>
            </w:r>
          </w:p>
        </w:tc>
        <w:tc>
          <w:tcPr>
            <w:tcW w:w="198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Signed standstill certificate; hotline continuity log</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Hour 0 to 6</w:t>
            </w:r>
          </w:p>
        </w:tc>
        <w:tc>
          <w:tcPr>
            <w:tcW w:w="367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Maritime Coordination Center in Muscat and the mirror desk in Bandar Abbas activate the fused radar and AIS picture; observer feeds open for the Gulf Cooperation Council, the European Union, and the United States.</w:t>
            </w:r>
          </w:p>
        </w:tc>
        <w:tc>
          <w:tcPr>
            <w:tcW w:w="19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Director of the Maritime Coordination Center</w:t>
            </w:r>
          </w:p>
        </w:tc>
        <w:tc>
          <w:tcPr>
            <w:tcW w:w="198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Feed uptime log; observer login registry</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Hour 6 to 12</w:t>
            </w:r>
          </w:p>
        </w:tc>
        <w:tc>
          <w:tcPr>
            <w:tcW w:w="367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Humanitarian Bridge opens. Food, medicine, and relief cargoes receive priority certification within one hour of filing. First humanitarian convoy forms at the eastern approach.</w:t>
            </w:r>
          </w:p>
        </w:tc>
        <w:tc>
          <w:tcPr>
            <w:tcW w:w="19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Humanitarian Coordinator</w:t>
            </w:r>
          </w:p>
        </w:tc>
        <w:tc>
          <w:tcPr>
            <w:tcW w:w="198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Priority certificates; convoy manifest</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Hour 12 to 24</w:t>
            </w:r>
          </w:p>
        </w:tc>
        <w:tc>
          <w:tcPr>
            <w:tcW w:w="367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Corridor Two, the Central Buffer Corridor, activates for emergency and separation traffic. Provisional corridor guidance publishes through the Open Water Bulletin and the International Maritime Organization.</w:t>
            </w:r>
          </w:p>
        </w:tc>
        <w:tc>
          <w:tcPr>
            <w:tcW w:w="19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Corridor Operations Board</w:t>
            </w:r>
          </w:p>
        </w:tc>
        <w:tc>
          <w:tcPr>
            <w:tcW w:w="198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Bulletin issue record; IMO filing receipt</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Hour 24 to 36</w:t>
            </w:r>
          </w:p>
        </w:tc>
        <w:tc>
          <w:tcPr>
            <w:tcW w:w="367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Corridor Three, the Southern Assurance Corridor, activates for outbound commercial traffic under Omani coordination. The first outbound convoy transits.</w:t>
            </w:r>
          </w:p>
        </w:tc>
        <w:tc>
          <w:tcPr>
            <w:tcW w:w="19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Outbound Corridor Coordinator</w:t>
            </w:r>
          </w:p>
        </w:tc>
        <w:tc>
          <w:tcPr>
            <w:tcW w:w="198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Transit log; convoy completion report</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Hour 36 to 48</w:t>
            </w:r>
          </w:p>
        </w:tc>
        <w:tc>
          <w:tcPr>
            <w:tcW w:w="367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interim hazard survey fleet enters the median lane and begins the thirty-day clearance program of Article 16. The Northern Stewardship Corridor publishes its provisional guidance.</w:t>
            </w:r>
          </w:p>
        </w:tc>
        <w:tc>
          <w:tcPr>
            <w:tcW w:w="19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Survey Director</w:t>
            </w:r>
          </w:p>
        </w:tc>
        <w:tc>
          <w:tcPr>
            <w:tcW w:w="198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Survey track log; published guidance</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Hour 48 to 60</w:t>
            </w:r>
          </w:p>
        </w:tc>
        <w:tc>
          <w:tcPr>
            <w:tcW w:w="367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Corridor One, the Northern Stewardship Corridor, activates for inbound commercial traffic under Iranian coordination with file-and-acknowledge notification. The first inbound convoy transits.</w:t>
            </w:r>
          </w:p>
        </w:tc>
        <w:tc>
          <w:tcPr>
            <w:tcW w:w="19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Inbound Corridor Coordinator</w:t>
            </w:r>
          </w:p>
        </w:tc>
        <w:tc>
          <w:tcPr>
            <w:tcW w:w="198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Filing log; acknowledgment log; transit log</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Hour 60 to 66</w:t>
            </w:r>
          </w:p>
        </w:tc>
        <w:tc>
          <w:tcPr>
            <w:tcW w:w="367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Hormuz Insurance Pool posts the interim risk tier for all three corridors and circulates the rate notice to protection and indemnity clubs.</w:t>
            </w:r>
          </w:p>
        </w:tc>
        <w:tc>
          <w:tcPr>
            <w:tcW w:w="19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Pool Administrator</w:t>
            </w:r>
          </w:p>
        </w:tc>
        <w:tc>
          <w:tcPr>
            <w:tcW w:w="198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Rate notice; club acknowledgments</w:t>
            </w:r>
          </w:p>
        </w:tc>
      </w:tr>
      <w:tr>
        <w:trPr/>
        <w:tc>
          <w:tcPr>
            <w:tcW w:w="138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Hour 66 to 72</w:t>
            </w:r>
          </w:p>
        </w:tc>
        <w:tc>
          <w:tcPr>
            <w:tcW w:w="367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The Stability Audit opens its baseline. The Council convenes its first session by secure link and confirms the opening. The Strait operates as open from Hour 72.</w:t>
            </w:r>
          </w:p>
        </w:tc>
        <w:tc>
          <w:tcPr>
            <w:tcW w:w="1984"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Neutral Watch Office</w:t>
            </w:r>
          </w:p>
        </w:tc>
        <w:tc>
          <w:tcPr>
            <w:tcW w:w="1983"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Baseline certificate; Council minute</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b/>
          <w:color w:val="2A2F36"/>
          <w:sz w:val="22"/>
        </w:rPr>
        <w:t>8.2</w:t>
      </w:r>
      <w:r>
        <w:rPr>
          <w:rFonts w:eastAsia="Microsoft YaHei"/>
          <w:color w:val="2A2F36"/>
          <w:sz w:val="22"/>
        </w:rPr>
        <w:t xml:space="preserve"> The order of corridor activation follows the escalation-minimizing sequence: buffer first, outbound second, inbound third. The buffer establishes separation before any commercial flow begins. The outbound corridor carries the politically lowest friction. The inbound corridor activates last, under full observation, with the file-and-acknowledge regime of Article 17 already proven on the outbound side.</w:t>
      </w:r>
    </w:p>
    <w:p>
      <w:pPr>
        <w:pStyle w:val="Normal"/>
        <w:bidi w:val="0"/>
        <w:spacing w:lineRule="auto" w:line="300" w:before="0" w:after="140"/>
        <w:jc w:val="both"/>
        <w:rPr/>
      </w:pPr>
      <w:r>
        <w:rPr>
          <w:rFonts w:eastAsia="Microsoft YaHei"/>
          <w:b/>
          <w:color w:val="2A2F36"/>
          <w:sz w:val="22"/>
        </w:rPr>
        <w:t>8.3</w:t>
      </w:r>
      <w:r>
        <w:rPr>
          <w:rFonts w:eastAsia="Microsoft YaHei"/>
          <w:color w:val="2A2F36"/>
          <w:sz w:val="22"/>
        </w:rPr>
        <w:t xml:space="preserve"> Each gate admits acceleration and never admits skipping. A certifier signs a gate early only when the evidence package stands complete. A gate never signs late without the fallback of Article 8.4.</w:t>
      </w:r>
    </w:p>
    <w:p>
      <w:pPr>
        <w:pStyle w:val="Normal"/>
        <w:bidi w:val="0"/>
        <w:spacing w:lineRule="auto" w:line="300" w:before="0" w:after="140"/>
        <w:jc w:val="both"/>
        <w:rPr/>
      </w:pPr>
      <w:r>
        <w:rPr>
          <w:rFonts w:eastAsia="Microsoft YaHei"/>
          <w:b/>
          <w:color w:val="2A2F36"/>
          <w:sz w:val="22"/>
        </w:rPr>
        <w:t>8.4</w:t>
      </w:r>
      <w:r>
        <w:rPr>
          <w:rFonts w:eastAsia="Microsoft YaHei"/>
          <w:color w:val="2A2F36"/>
          <w:sz w:val="22"/>
        </w:rPr>
        <w:t xml:space="preserve"> Fallback rule. If any gate fails at its hour, the following defaults execute automatically: the failed function operates from the mirror facility; the affected corridor traffic routes through the functioning corridor under convoy discipline; and the Stability Audit records the failure as a Tier One technical event under Article 45, never as a breach. The clock continues. The Strait stays open.</w:t>
      </w:r>
    </w:p>
    <w:p>
      <w:pPr>
        <w:pStyle w:val="Normal"/>
        <w:bidi w:val="0"/>
        <w:spacing w:lineRule="auto" w:line="300" w:before="0" w:after="140"/>
        <w:jc w:val="both"/>
        <w:rPr/>
      </w:pPr>
      <w:r>
        <w:rPr>
          <w:rFonts w:eastAsia="Microsoft YaHei"/>
          <w:b/>
          <w:color w:val="2A2F36"/>
          <w:sz w:val="22"/>
        </w:rPr>
        <w:t>8.5</w:t>
      </w:r>
      <w:r>
        <w:rPr>
          <w:rFonts w:eastAsia="Microsoft YaHei"/>
          <w:color w:val="2A2F36"/>
          <w:sz w:val="22"/>
        </w:rPr>
        <w:t xml:space="preserve"> The Seventy-Two-Hour Gate Schedule binds every participant with naval, coast guard, customs, or port functions in the Governance Area. Each participant pre-positions its certificates, crews, and liaison officers before Activation Day under the readiness checklist of Annex F.</w:t>
      </w:r>
    </w:p>
    <w:p>
      <w:pPr>
        <w:pStyle w:val="Heading2"/>
        <w:keepNext w:val="true"/>
        <w:keepLines/>
        <w:bidi w:val="0"/>
        <w:spacing w:before="380" w:after="140"/>
        <w:jc w:val="left"/>
        <w:rPr/>
      </w:pPr>
      <w:bookmarkStart w:id="11" w:name="__RefHeading___Toc3219_2451594232"/>
      <w:bookmarkEnd w:id="11"/>
      <w:r>
        <w:rPr>
          <w:rFonts w:eastAsia="Microsoft YaHei"/>
          <w:b/>
          <w:color w:val="1F3550"/>
          <w:sz w:val="27"/>
        </w:rPr>
        <w:t>Article 9: The Minimal Viable Opening Package</w:t>
      </w:r>
    </w:p>
    <w:p>
      <w:pPr>
        <w:pStyle w:val="Normal"/>
        <w:bidi w:val="0"/>
        <w:spacing w:lineRule="auto" w:line="300" w:before="0" w:after="140"/>
        <w:jc w:val="both"/>
        <w:rPr/>
      </w:pPr>
      <w:r>
        <w:rPr>
          <w:rFonts w:eastAsia="Microsoft YaHei"/>
          <w:b/>
          <w:color w:val="2A2F36"/>
          <w:sz w:val="22"/>
        </w:rPr>
        <w:t>9.1</w:t>
      </w:r>
      <w:r>
        <w:rPr>
          <w:rFonts w:eastAsia="Microsoft YaHei"/>
          <w:color w:val="2A2F36"/>
          <w:sz w:val="22"/>
        </w:rPr>
        <w:t xml:space="preserve"> The opening stands on five pre-committed elements, deposited in escrow with the Depositary before Activation Day. These elements constitute the Minimal Viable Opening Package.</w:t>
      </w:r>
    </w:p>
    <w:p>
      <w:pPr>
        <w:pStyle w:val="Normal"/>
        <w:bidi w:val="0"/>
        <w:spacing w:lineRule="auto" w:line="300" w:before="0" w:after="140"/>
        <w:jc w:val="both"/>
        <w:rPr/>
      </w:pPr>
      <w:r>
        <w:rPr>
          <w:rFonts w:eastAsia="Microsoft YaHei"/>
          <w:b/>
          <w:color w:val="2A2F36"/>
          <w:sz w:val="22"/>
        </w:rPr>
        <w:t>9.2</w:t>
      </w:r>
      <w:r>
        <w:rPr>
          <w:rFonts w:eastAsia="Microsoft YaHei"/>
          <w:color w:val="2A2F36"/>
          <w:sz w:val="22"/>
        </w:rPr>
        <w:t xml:space="preserve"> Element One: corridor geometry. The provisional coordinates of the three corridors sit in the Neutral Coordinate Registry under seal, releasable at Hour 12 by the Depositary's act alone.</w:t>
      </w:r>
    </w:p>
    <w:p>
      <w:pPr>
        <w:pStyle w:val="Normal"/>
        <w:bidi w:val="0"/>
        <w:spacing w:lineRule="auto" w:line="300" w:before="0" w:after="140"/>
        <w:jc w:val="both"/>
        <w:rPr/>
      </w:pPr>
      <w:r>
        <w:rPr>
          <w:rFonts w:eastAsia="Microsoft YaHei"/>
          <w:b/>
          <w:color w:val="2A2F36"/>
          <w:sz w:val="22"/>
        </w:rPr>
        <w:t>9.3</w:t>
      </w:r>
      <w:r>
        <w:rPr>
          <w:rFonts w:eastAsia="Microsoft YaHei"/>
          <w:color w:val="2A2F36"/>
          <w:sz w:val="22"/>
        </w:rPr>
        <w:t xml:space="preserve"> Element Two: functional security roles. The Founding Parties pre-sign the functional allocation of Annex E: who answers, who monitors, who responds, under paired authority, with no sovereignty vocabulary anywhere in the instrument.</w:t>
      </w:r>
    </w:p>
    <w:p>
      <w:pPr>
        <w:pStyle w:val="Normal"/>
        <w:bidi w:val="0"/>
        <w:spacing w:lineRule="auto" w:line="300" w:before="0" w:after="140"/>
        <w:jc w:val="both"/>
        <w:rPr/>
      </w:pPr>
      <w:r>
        <w:rPr>
          <w:rFonts w:eastAsia="Microsoft YaHei"/>
          <w:b/>
          <w:color w:val="2A2F36"/>
          <w:sz w:val="22"/>
        </w:rPr>
        <w:t>9.4</w:t>
      </w:r>
      <w:r>
        <w:rPr>
          <w:rFonts w:eastAsia="Microsoft YaHei"/>
          <w:color w:val="2A2F36"/>
          <w:sz w:val="22"/>
        </w:rPr>
        <w:t xml:space="preserve"> Element Three: the interim service schedule. The rate card of Annex C enters escrow at pilot rates, effective from Hour 72, with zero charges of any kind before that hour.</w:t>
      </w:r>
    </w:p>
    <w:p>
      <w:pPr>
        <w:pStyle w:val="Normal"/>
        <w:bidi w:val="0"/>
        <w:spacing w:lineRule="auto" w:line="300" w:before="0" w:after="140"/>
        <w:jc w:val="both"/>
        <w:rPr/>
      </w:pPr>
      <w:r>
        <w:rPr>
          <w:rFonts w:eastAsia="Microsoft YaHei"/>
          <w:b/>
          <w:color w:val="2A2F36"/>
          <w:sz w:val="22"/>
        </w:rPr>
        <w:t>9.5</w:t>
      </w:r>
      <w:r>
        <w:rPr>
          <w:rFonts w:eastAsia="Microsoft YaHei"/>
          <w:color w:val="2A2F36"/>
          <w:sz w:val="22"/>
        </w:rPr>
        <w:t xml:space="preserve"> Element Four: joint monitoring rules. The feed-sharing, logging, and incident-entry protocols of Annex B and Annex L enter escrow in executable form.</w:t>
      </w:r>
    </w:p>
    <w:p>
      <w:pPr>
        <w:pStyle w:val="Normal"/>
        <w:bidi w:val="0"/>
        <w:spacing w:lineRule="auto" w:line="300" w:before="0" w:after="140"/>
        <w:jc w:val="both"/>
        <w:rPr/>
      </w:pPr>
      <w:r>
        <w:rPr>
          <w:rFonts w:eastAsia="Microsoft YaHei"/>
          <w:b/>
          <w:color w:val="2A2F36"/>
          <w:sz w:val="22"/>
        </w:rPr>
        <w:t>9.6</w:t>
      </w:r>
      <w:r>
        <w:rPr>
          <w:rFonts w:eastAsia="Microsoft YaHei"/>
          <w:color w:val="2A2F36"/>
          <w:sz w:val="22"/>
        </w:rPr>
        <w:t xml:space="preserve"> Element Five: the insurance bridge. The Pool Administrator pre-clears the interim risk tier with the major protection and indemnity clubs so that commercial cover attaches at Hour 72 without a premium shock.</w:t>
      </w:r>
    </w:p>
    <w:p>
      <w:pPr>
        <w:pStyle w:val="Normal"/>
        <w:bidi w:val="0"/>
        <w:spacing w:lineRule="auto" w:line="300" w:before="0" w:after="140"/>
        <w:jc w:val="both"/>
        <w:rPr/>
      </w:pPr>
      <w:r>
        <w:rPr>
          <w:rFonts w:eastAsia="Microsoft YaHei"/>
          <w:b/>
          <w:color w:val="2A2F36"/>
          <w:sz w:val="22"/>
        </w:rPr>
        <w:t>9.7</w:t>
      </w:r>
      <w:r>
        <w:rPr>
          <w:rFonts w:eastAsia="Microsoft YaHei"/>
          <w:color w:val="2A2F36"/>
          <w:sz w:val="22"/>
        </w:rPr>
        <w:t xml:space="preserve"> No element of the package requires resolution of any political question. The package operates as engineering, and it opens the Strait as engineering.</w:t>
      </w:r>
    </w:p>
    <w:p>
      <w:pPr>
        <w:pStyle w:val="Heading2"/>
        <w:keepNext w:val="true"/>
        <w:keepLines/>
        <w:bidi w:val="0"/>
        <w:spacing w:before="380" w:after="140"/>
        <w:jc w:val="left"/>
        <w:rPr/>
      </w:pPr>
      <w:bookmarkStart w:id="12" w:name="__RefHeading___Toc3221_2451594232"/>
      <w:bookmarkEnd w:id="12"/>
      <w:r>
        <w:rPr>
          <w:rFonts w:eastAsia="Microsoft YaHei"/>
          <w:b/>
          <w:color w:val="1F3550"/>
          <w:sz w:val="27"/>
        </w:rPr>
        <w:t>Article 10: The Humanitarian Bridge</w:t>
      </w:r>
    </w:p>
    <w:p>
      <w:pPr>
        <w:pStyle w:val="Normal"/>
        <w:bidi w:val="0"/>
        <w:spacing w:lineRule="auto" w:line="300" w:before="0" w:after="140"/>
        <w:jc w:val="both"/>
        <w:rPr/>
      </w:pPr>
      <w:r>
        <w:rPr>
          <w:rFonts w:eastAsia="Microsoft YaHei"/>
          <w:b/>
          <w:color w:val="2A2F36"/>
          <w:sz w:val="22"/>
        </w:rPr>
        <w:t>10.1</w:t>
      </w:r>
      <w:r>
        <w:rPr>
          <w:rFonts w:eastAsia="Microsoft YaHei"/>
          <w:color w:val="2A2F36"/>
          <w:sz w:val="22"/>
        </w:rPr>
        <w:t xml:space="preserve"> The Humanitarian Bridge opens at Hour 6 and never closes. Food, medicine, medical equipment, and relief supplies move first, under every condition, in every flow state, at every crisis level.</w:t>
      </w:r>
    </w:p>
    <w:p>
      <w:pPr>
        <w:pStyle w:val="Normal"/>
        <w:bidi w:val="0"/>
        <w:spacing w:lineRule="auto" w:line="300" w:before="0" w:after="140"/>
        <w:jc w:val="both"/>
        <w:rPr/>
      </w:pPr>
      <w:r>
        <w:rPr>
          <w:rFonts w:eastAsia="Microsoft YaHei"/>
          <w:b/>
          <w:color w:val="2A2F36"/>
          <w:sz w:val="22"/>
        </w:rPr>
        <w:t>10.2</w:t>
      </w:r>
      <w:r>
        <w:rPr>
          <w:rFonts w:eastAsia="Microsoft YaHei"/>
          <w:color w:val="2A2F36"/>
          <w:sz w:val="22"/>
        </w:rPr>
        <w:t xml:space="preserve"> A vessel carrying certified humanitarian cargo files the short-form declaration of Annex I and receives priority certification within one hour. Certification attaches a Bridge escort slot and a green-route designation across all three corridors.</w:t>
      </w:r>
    </w:p>
    <w:p>
      <w:pPr>
        <w:pStyle w:val="Normal"/>
        <w:bidi w:val="0"/>
        <w:spacing w:lineRule="auto" w:line="300" w:before="0" w:after="140"/>
        <w:jc w:val="both"/>
        <w:rPr/>
      </w:pPr>
      <w:r>
        <w:rPr>
          <w:rFonts w:eastAsia="Microsoft YaHei"/>
          <w:b/>
          <w:color w:val="2A2F36"/>
          <w:sz w:val="22"/>
        </w:rPr>
        <w:t>10.3</w:t>
      </w:r>
      <w:r>
        <w:rPr>
          <w:rFonts w:eastAsia="Microsoft YaHei"/>
          <w:color w:val="2A2F36"/>
          <w:sz w:val="22"/>
        </w:rPr>
        <w:t xml:space="preserve"> The Humanitarian Firewall of Article 51 protects the Bridge absolutely. No tier consequence, no compliance step-back, no dispute, no sanction, and no crisis level touches humanitarian cargo or humanitarian certification.</w:t>
      </w:r>
    </w:p>
    <w:p>
      <w:pPr>
        <w:pStyle w:val="Normal"/>
        <w:bidi w:val="0"/>
        <w:spacing w:lineRule="auto" w:line="300" w:before="0" w:after="140"/>
        <w:jc w:val="both"/>
        <w:rPr/>
      </w:pPr>
      <w:r>
        <w:rPr>
          <w:rFonts w:eastAsia="Microsoft YaHei"/>
          <w:b/>
          <w:color w:val="2A2F36"/>
          <w:sz w:val="22"/>
        </w:rPr>
        <w:t>10.4</w:t>
      </w:r>
      <w:r>
        <w:rPr>
          <w:rFonts w:eastAsia="Microsoft YaHei"/>
          <w:color w:val="2A2F36"/>
          <w:sz w:val="22"/>
        </w:rPr>
        <w:t xml:space="preserve"> The Humanitarian Coordinator publishes a daily Bridge manifest to the Transparency Portal. The manifest lists cargoes, tonnage, destinations, and transit times, and it serves as the public proof that the architecture feeds people first.</w:t>
      </w:r>
    </w:p>
    <w:p>
      <w:pPr>
        <w:pStyle w:val="Heading1"/>
        <w:keepNext w:val="true"/>
        <w:keepLines/>
        <w:pBdr>
          <w:bottom w:val="single" w:sz="8" w:space="6" w:color="9C7A2E"/>
        </w:pBdr>
        <w:bidi w:val="0"/>
        <w:spacing w:before="480" w:after="200"/>
        <w:jc w:val="left"/>
        <w:rPr/>
      </w:pPr>
      <w:bookmarkStart w:id="13" w:name="__RefHeading___Toc3223_2451594232"/>
      <w:bookmarkEnd w:id="13"/>
      <w:r>
        <w:rPr>
          <w:rFonts w:eastAsia="Microsoft YaHei"/>
          <w:b/>
          <w:color w:val="1F3550"/>
          <w:sz w:val="34"/>
        </w:rPr>
        <w:t>PART III: THE CORRIDOR SYSTEM</w:t>
      </w:r>
    </w:p>
    <w:p>
      <w:pPr>
        <w:pStyle w:val="Heading2"/>
        <w:keepNext w:val="true"/>
        <w:keepLines/>
        <w:bidi w:val="0"/>
        <w:spacing w:before="380" w:after="140"/>
        <w:jc w:val="left"/>
        <w:rPr/>
      </w:pPr>
      <w:bookmarkStart w:id="14" w:name="__RefHeading___Toc3225_2451594232"/>
      <w:bookmarkEnd w:id="14"/>
      <w:r>
        <w:rPr>
          <w:rFonts w:eastAsia="Microsoft YaHei"/>
          <w:b/>
          <w:color w:val="1F3550"/>
          <w:sz w:val="27"/>
        </w:rPr>
        <w:t>Article 11: The Governance Area and the Neutral Coordinate Registry</w:t>
      </w:r>
    </w:p>
    <w:p>
      <w:pPr>
        <w:pStyle w:val="Normal"/>
        <w:bidi w:val="0"/>
        <w:spacing w:lineRule="auto" w:line="300" w:before="0" w:after="140"/>
        <w:jc w:val="both"/>
        <w:rPr/>
      </w:pPr>
      <w:r>
        <w:rPr>
          <w:rFonts w:eastAsia="Microsoft YaHei"/>
          <w:b/>
          <w:color w:val="2A2F36"/>
          <w:sz w:val="22"/>
        </w:rPr>
        <w:t>11.1</w:t>
      </w:r>
      <w:r>
        <w:rPr>
          <w:rFonts w:eastAsia="Microsoft YaHei"/>
          <w:color w:val="2A2F36"/>
          <w:sz w:val="22"/>
        </w:rPr>
        <w:t xml:space="preserve"> The Governance Area comprises the waters of the Strait of Hormuz and its approaches within the boundary coordinates of Annex A. The boundary follows the practical navigation envelope of the Strait: the western approach lines abeam Qeshm and Larak, the narrows between the Iranian coast and the Musandam Peninsula, and the eastern approach lines into the Gulf of Oman abeam Ra's al Kuh and Khasab.</w:t>
      </w:r>
    </w:p>
    <w:p>
      <w:pPr>
        <w:pStyle w:val="Normal"/>
        <w:bidi w:val="0"/>
        <w:spacing w:lineRule="auto" w:line="300" w:before="0" w:after="140"/>
        <w:jc w:val="both"/>
        <w:rPr/>
      </w:pPr>
      <w:r>
        <w:rPr>
          <w:rFonts w:eastAsia="Microsoft YaHei"/>
          <w:b/>
          <w:color w:val="2A2F36"/>
          <w:sz w:val="22"/>
        </w:rPr>
        <w:t>11.2</w:t>
      </w:r>
      <w:r>
        <w:rPr>
          <w:rFonts w:eastAsia="Microsoft YaHei"/>
          <w:color w:val="2A2F36"/>
          <w:sz w:val="22"/>
        </w:rPr>
        <w:t xml:space="preserve"> The Neutral Coordinate Registry holds every coordinate of this Pact. The Registry operates under the Depositary with a mirror at the Maritime Coordination Center. The Registry publishes corridor coordinates in two tiers: provisional guidance coordinates, which publish at the hours stated in Table 8-A, and surveyed registry coordinates, which publish upon multilateral certification under Gate Four of Part X.</w:t>
      </w:r>
    </w:p>
    <w:p>
      <w:pPr>
        <w:pStyle w:val="Normal"/>
        <w:bidi w:val="0"/>
        <w:spacing w:lineRule="auto" w:line="300" w:before="0" w:after="140"/>
        <w:jc w:val="both"/>
        <w:rPr/>
      </w:pPr>
      <w:r>
        <w:rPr>
          <w:rFonts w:eastAsia="Microsoft YaHei"/>
          <w:b/>
          <w:color w:val="2A2F36"/>
          <w:sz w:val="22"/>
        </w:rPr>
        <w:t>11.3</w:t>
      </w:r>
      <w:r>
        <w:rPr>
          <w:rFonts w:eastAsia="Microsoft YaHei"/>
          <w:color w:val="2A2F36"/>
          <w:sz w:val="22"/>
        </w:rPr>
        <w:t xml:space="preserve"> Every coordinate in the Registry serves navigation and safety alone. Article 2.3 applies to every coordinate, every line, and every zone: nothing in the Registry prejudices any claim, boundary, or sovereign position of any Party.</w:t>
      </w:r>
    </w:p>
    <w:p>
      <w:pPr>
        <w:pStyle w:val="Normal"/>
        <w:bidi w:val="0"/>
        <w:spacing w:lineRule="auto" w:line="300" w:before="0" w:after="140"/>
        <w:jc w:val="both"/>
        <w:rPr/>
      </w:pPr>
      <w:r>
        <w:rPr>
          <w:rFonts w:eastAsia="Microsoft YaHei"/>
          <w:b/>
          <w:color w:val="2A2F36"/>
          <w:sz w:val="22"/>
        </w:rPr>
        <w:t>11.4</w:t>
      </w:r>
      <w:r>
        <w:rPr>
          <w:rFonts w:eastAsia="Microsoft YaHei"/>
          <w:color w:val="2A2F36"/>
          <w:sz w:val="22"/>
        </w:rPr>
        <w:t xml:space="preserve"> The Registry files every published coordinate set with the International Maritime Organization and the International Hydrographic Organization within twenty-four hours of publication. The Registry maintains the public chartlet series of Annex A and updates it through the Open Water Bulletin.</w:t>
      </w:r>
    </w:p>
    <w:p>
      <w:pPr>
        <w:pStyle w:val="Normal"/>
        <w:bidi w:val="0"/>
        <w:spacing w:lineRule="auto" w:line="300" w:before="0" w:after="140"/>
        <w:jc w:val="both"/>
        <w:rPr/>
      </w:pPr>
      <w:r>
        <w:rPr>
          <w:rFonts w:eastAsia="Microsoft YaHei"/>
          <w:b/>
          <w:color w:val="2A2F36"/>
          <w:sz w:val="22"/>
        </w:rPr>
        <w:t>11.5</w:t>
      </w:r>
      <w:r>
        <w:rPr>
          <w:rFonts w:eastAsia="Microsoft YaHei"/>
          <w:color w:val="2A2F36"/>
          <w:sz w:val="22"/>
        </w:rPr>
        <w:t xml:space="preserve"> Corridor geometry changes only through the Registry, only on a proposal of the Corridor Operations Board, only with Twin Key concurrence, and only after thirty days of notice to the shipping industry through the Open Water Bulletin. Emergency geometric adjustments for hazard avoidance operate under Article 16.7 and expire after seventy-two hours unless the Board confirms them.</w:t>
      </w:r>
    </w:p>
    <w:p>
      <w:pPr>
        <w:pStyle w:val="Heading2"/>
        <w:keepNext w:val="true"/>
        <w:keepLines/>
        <w:bidi w:val="0"/>
        <w:spacing w:before="380" w:after="140"/>
        <w:jc w:val="left"/>
        <w:rPr/>
      </w:pPr>
      <w:bookmarkStart w:id="15" w:name="__RefHeading___Toc3227_2451594232"/>
      <w:bookmarkEnd w:id="15"/>
      <w:r>
        <w:rPr>
          <w:rFonts w:eastAsia="Microsoft YaHei"/>
          <w:b/>
          <w:color w:val="1F3550"/>
          <w:sz w:val="27"/>
        </w:rPr>
        <w:t>Article 12: Corridor One, the Northern Stewardship Corridor</w:t>
      </w:r>
    </w:p>
    <w:p>
      <w:pPr>
        <w:pStyle w:val="Normal"/>
        <w:bidi w:val="0"/>
        <w:spacing w:lineRule="auto" w:line="300" w:before="0" w:after="140"/>
        <w:jc w:val="both"/>
        <w:rPr/>
      </w:pPr>
      <w:r>
        <w:rPr>
          <w:rFonts w:eastAsia="Microsoft YaHei"/>
          <w:b/>
          <w:color w:val="2A2F36"/>
          <w:sz w:val="22"/>
        </w:rPr>
        <w:t>12.1</w:t>
      </w:r>
      <w:r>
        <w:rPr>
          <w:rFonts w:eastAsia="Microsoft YaHei"/>
          <w:color w:val="2A2F36"/>
          <w:sz w:val="22"/>
        </w:rPr>
        <w:t xml:space="preserve"> Corridor One carries inbound commercial traffic, meaning traffic proceeding from the Gulf of Oman into the Persian Gulf. Corridor One follows the northern track through waters adjacent to the Iranian coast, consistent with the interim understandings of August 2026.</w:t>
      </w:r>
    </w:p>
    <w:p>
      <w:pPr>
        <w:pStyle w:val="Normal"/>
        <w:bidi w:val="0"/>
        <w:spacing w:lineRule="auto" w:line="300" w:before="0" w:after="140"/>
        <w:jc w:val="both"/>
        <w:rPr/>
      </w:pPr>
      <w:r>
        <w:rPr>
          <w:rFonts w:eastAsia="Microsoft YaHei"/>
          <w:b/>
          <w:color w:val="2A2F36"/>
          <w:sz w:val="22"/>
        </w:rPr>
        <w:t>12.2</w:t>
      </w:r>
      <w:r>
        <w:rPr>
          <w:rFonts w:eastAsia="Microsoft YaHei"/>
          <w:color w:val="2A2F36"/>
          <w:sz w:val="22"/>
        </w:rPr>
        <w:t xml:space="preserve"> The Inbound Corridor Coordinator, an organ of the Islamic Republic of Iran embedded in the joint staffing of the Maritime Coordination Center, performs the inbound functions: traffic sequencing, aids to navigation, environmental watch, meteorological and hazard bulletins, and acknowledgment of transit filings under Article 17.</w:t>
      </w:r>
    </w:p>
    <w:p>
      <w:pPr>
        <w:pStyle w:val="Normal"/>
        <w:bidi w:val="0"/>
        <w:spacing w:lineRule="auto" w:line="300" w:before="0" w:after="140"/>
        <w:jc w:val="both"/>
        <w:rPr/>
      </w:pPr>
      <w:r>
        <w:rPr>
          <w:rFonts w:eastAsia="Microsoft YaHei"/>
          <w:b/>
          <w:color w:val="2A2F36"/>
          <w:sz w:val="22"/>
        </w:rPr>
        <w:t>12.3</w:t>
      </w:r>
      <w:r>
        <w:rPr>
          <w:rFonts w:eastAsia="Microsoft YaHei"/>
          <w:color w:val="2A2F36"/>
          <w:sz w:val="22"/>
        </w:rPr>
        <w:t xml:space="preserve"> Corridor One operates under the notification regime, not a permission regime. The Coordinator acknowledges filings; the Coordinator never approves, conditions, delays, or denies passage. Silence for sixty minutes after filing constitutes acknowledgment by operation of this Pact.</w:t>
      </w:r>
    </w:p>
    <w:p>
      <w:pPr>
        <w:pStyle w:val="Normal"/>
        <w:bidi w:val="0"/>
        <w:spacing w:lineRule="auto" w:line="300" w:before="0" w:after="140"/>
        <w:jc w:val="both"/>
        <w:rPr/>
      </w:pPr>
      <w:r>
        <w:rPr>
          <w:rFonts w:eastAsia="Microsoft YaHei"/>
          <w:b/>
          <w:color w:val="2A2F36"/>
          <w:sz w:val="22"/>
        </w:rPr>
        <w:t>12.4</w:t>
      </w:r>
      <w:r>
        <w:rPr>
          <w:rFonts w:eastAsia="Microsoft YaHei"/>
          <w:color w:val="2A2F36"/>
          <w:sz w:val="22"/>
        </w:rPr>
        <w:t xml:space="preserve"> Corridor One operates under the absolute non-interdiction protocol of Article 19. The architecture excludes boarding, diversion, seizure, inspection, or harassment of commercial vessels in the corridor by any actor, with the sole exceptions of distress response, rescue, and pollution emergency under the evidentiary rules of Article 19.4.</w:t>
      </w:r>
    </w:p>
    <w:p>
      <w:pPr>
        <w:pStyle w:val="Normal"/>
        <w:bidi w:val="0"/>
        <w:spacing w:lineRule="auto" w:line="300" w:before="0" w:after="140"/>
        <w:jc w:val="both"/>
        <w:rPr/>
      </w:pPr>
      <w:r>
        <w:rPr>
          <w:rFonts w:eastAsia="Microsoft YaHei"/>
          <w:b/>
          <w:color w:val="2A2F36"/>
          <w:sz w:val="22"/>
        </w:rPr>
        <w:t>12.5</w:t>
      </w:r>
      <w:r>
        <w:rPr>
          <w:rFonts w:eastAsia="Microsoft YaHei"/>
          <w:color w:val="2A2F36"/>
          <w:sz w:val="22"/>
        </w:rPr>
        <w:t xml:space="preserve"> Corridor One width, turning points, and speed bands appear in Table A-2 of Annex A. The nominal corridor width stands at two nautical miles with one nautical mile of separation from Corridor Two.</w:t>
      </w:r>
    </w:p>
    <w:p>
      <w:pPr>
        <w:pStyle w:val="Heading2"/>
        <w:keepNext w:val="true"/>
        <w:keepLines/>
        <w:bidi w:val="0"/>
        <w:spacing w:before="380" w:after="140"/>
        <w:jc w:val="left"/>
        <w:rPr/>
      </w:pPr>
      <w:bookmarkStart w:id="16" w:name="__RefHeading___Toc3229_2451594232"/>
      <w:bookmarkEnd w:id="16"/>
      <w:r>
        <w:rPr>
          <w:rFonts w:eastAsia="Microsoft YaHei"/>
          <w:b/>
          <w:color w:val="1F3550"/>
          <w:sz w:val="27"/>
        </w:rPr>
        <w:t>Article 13: Corridor Two, the Central Buffer Corridor</w:t>
      </w:r>
    </w:p>
    <w:p>
      <w:pPr>
        <w:pStyle w:val="Normal"/>
        <w:bidi w:val="0"/>
        <w:spacing w:lineRule="auto" w:line="300" w:before="0" w:after="140"/>
        <w:jc w:val="both"/>
        <w:rPr/>
      </w:pPr>
      <w:r>
        <w:rPr>
          <w:rFonts w:eastAsia="Microsoft YaHei"/>
          <w:b/>
          <w:color w:val="2A2F36"/>
          <w:sz w:val="22"/>
        </w:rPr>
        <w:t>13.1</w:t>
      </w:r>
      <w:r>
        <w:rPr>
          <w:rFonts w:eastAsia="Microsoft YaHei"/>
          <w:color w:val="2A2F36"/>
          <w:sz w:val="22"/>
        </w:rPr>
        <w:t xml:space="preserve"> Corridor Two occupies the median track of the Strait and serves four functions: separation between inbound and outbound flows, emergency diversion, mine-risk avoidance routing, and naval deconfliction routing under Article 21.</w:t>
      </w:r>
    </w:p>
    <w:p>
      <w:pPr>
        <w:pStyle w:val="Normal"/>
        <w:bidi w:val="0"/>
        <w:spacing w:lineRule="auto" w:line="300" w:before="0" w:after="140"/>
        <w:jc w:val="both"/>
        <w:rPr/>
      </w:pPr>
      <w:r>
        <w:rPr>
          <w:rFonts w:eastAsia="Microsoft YaHei"/>
          <w:b/>
          <w:color w:val="2A2F36"/>
          <w:sz w:val="22"/>
        </w:rPr>
        <w:t>13.2</w:t>
      </w:r>
      <w:r>
        <w:rPr>
          <w:rFonts w:eastAsia="Microsoft YaHei"/>
          <w:color w:val="2A2F36"/>
          <w:sz w:val="22"/>
        </w:rPr>
        <w:t xml:space="preserve"> The Founding Parties co-administer Corridor Two through the Corridor Operations Board, with the Neutral Watch Office holding observer access to every decision and every log.</w:t>
      </w:r>
    </w:p>
    <w:p>
      <w:pPr>
        <w:pStyle w:val="Normal"/>
        <w:bidi w:val="0"/>
        <w:spacing w:lineRule="auto" w:line="300" w:before="0" w:after="140"/>
        <w:jc w:val="both"/>
        <w:rPr/>
      </w:pPr>
      <w:r>
        <w:rPr>
          <w:rFonts w:eastAsia="Microsoft YaHei"/>
          <w:b/>
          <w:color w:val="2A2F36"/>
          <w:sz w:val="22"/>
        </w:rPr>
        <w:t>13.3</w:t>
      </w:r>
      <w:r>
        <w:rPr>
          <w:rFonts w:eastAsia="Microsoft YaHei"/>
          <w:color w:val="2A2F36"/>
          <w:sz w:val="22"/>
        </w:rPr>
        <w:t xml:space="preserve"> Corridor Two carries the hazard survey and clearance program of Article 16 during its first thirty days. Commercial traffic avoids Corridor Two during active clearance windows, and the Open Water Bulletin publishes those windows twelve hours in advance.</w:t>
      </w:r>
    </w:p>
    <w:p>
      <w:pPr>
        <w:pStyle w:val="Normal"/>
        <w:bidi w:val="0"/>
        <w:spacing w:lineRule="auto" w:line="300" w:before="0" w:after="140"/>
        <w:jc w:val="both"/>
        <w:rPr/>
      </w:pPr>
      <w:r>
        <w:rPr>
          <w:rFonts w:eastAsia="Microsoft YaHei"/>
          <w:b/>
          <w:color w:val="2A2F36"/>
          <w:sz w:val="22"/>
        </w:rPr>
        <w:t>13.4</w:t>
      </w:r>
      <w:r>
        <w:rPr>
          <w:rFonts w:eastAsia="Microsoft YaHei"/>
          <w:color w:val="2A2F36"/>
          <w:sz w:val="22"/>
        </w:rPr>
        <w:t xml:space="preserve"> Upon certification of clearance under Article 16.6, Corridor Two opens as a two-way transit lane under the terms of the permanent arrangement of this Pact, with preference for deep-draft traffic, convoy overflow, and emergency movements.</w:t>
      </w:r>
    </w:p>
    <w:p>
      <w:pPr>
        <w:pStyle w:val="Normal"/>
        <w:bidi w:val="0"/>
        <w:spacing w:lineRule="auto" w:line="300" w:before="0" w:after="140"/>
        <w:jc w:val="both"/>
        <w:rPr/>
      </w:pPr>
      <w:r>
        <w:rPr>
          <w:rFonts w:eastAsia="Microsoft YaHei"/>
          <w:b/>
          <w:color w:val="2A2F36"/>
          <w:sz w:val="22"/>
        </w:rPr>
        <w:t>13.5</w:t>
      </w:r>
      <w:r>
        <w:rPr>
          <w:rFonts w:eastAsia="Microsoft YaHei"/>
          <w:color w:val="2A2F36"/>
          <w:sz w:val="22"/>
        </w:rPr>
        <w:t xml:space="preserve"> Corridor Two serves as the primary routing for naval deconfliction transits under Article 21.4 whenever a military transit coincides with dense commercial flow.</w:t>
      </w:r>
    </w:p>
    <w:p>
      <w:pPr>
        <w:pStyle w:val="Heading2"/>
        <w:keepNext w:val="true"/>
        <w:keepLines/>
        <w:bidi w:val="0"/>
        <w:spacing w:before="380" w:after="140"/>
        <w:jc w:val="left"/>
        <w:rPr/>
      </w:pPr>
      <w:bookmarkStart w:id="17" w:name="__RefHeading___Toc3231_2451594232"/>
      <w:bookmarkEnd w:id="17"/>
      <w:r>
        <w:rPr>
          <w:rFonts w:eastAsia="Microsoft YaHei"/>
          <w:b/>
          <w:color w:val="1F3550"/>
          <w:sz w:val="27"/>
        </w:rPr>
        <w:t>Article 14: Corridor Three, the Southern Assurance Corridor</w:t>
      </w:r>
    </w:p>
    <w:p>
      <w:pPr>
        <w:pStyle w:val="Normal"/>
        <w:bidi w:val="0"/>
        <w:spacing w:lineRule="auto" w:line="300" w:before="0" w:after="140"/>
        <w:jc w:val="both"/>
        <w:rPr/>
      </w:pPr>
      <w:r>
        <w:rPr>
          <w:rFonts w:eastAsia="Microsoft YaHei"/>
          <w:b/>
          <w:color w:val="2A2F36"/>
          <w:sz w:val="22"/>
        </w:rPr>
        <w:t>14.1</w:t>
      </w:r>
      <w:r>
        <w:rPr>
          <w:rFonts w:eastAsia="Microsoft YaHei"/>
          <w:color w:val="2A2F36"/>
          <w:sz w:val="22"/>
        </w:rPr>
        <w:t xml:space="preserve"> Corridor Three carries outbound commercial traffic, meaning traffic proceeding from the Persian Gulf to the Gulf of Oman. Corridor Three follows the southern track through waters adjacent to the Omani coast, consistent with the interim understandings of August 2026.</w:t>
      </w:r>
    </w:p>
    <w:p>
      <w:pPr>
        <w:pStyle w:val="Normal"/>
        <w:bidi w:val="0"/>
        <w:spacing w:lineRule="auto" w:line="300" w:before="0" w:after="140"/>
        <w:jc w:val="both"/>
        <w:rPr/>
      </w:pPr>
      <w:r>
        <w:rPr>
          <w:rFonts w:eastAsia="Microsoft YaHei"/>
          <w:b/>
          <w:color w:val="2A2F36"/>
          <w:sz w:val="22"/>
        </w:rPr>
        <w:t>14.2</w:t>
      </w:r>
      <w:r>
        <w:rPr>
          <w:rFonts w:eastAsia="Microsoft YaHei"/>
          <w:color w:val="2A2F36"/>
          <w:sz w:val="22"/>
        </w:rPr>
        <w:t xml:space="preserve"> The Outbound Corridor Coordinator, an organ of the Sultanate of Oman embedded in the joint staffing of the Maritime Coordination Center, performs the outbound functions on the same terms as Article 12.2 performs the inbound functions.</w:t>
      </w:r>
    </w:p>
    <w:p>
      <w:pPr>
        <w:pStyle w:val="Normal"/>
        <w:bidi w:val="0"/>
        <w:spacing w:lineRule="auto" w:line="300" w:before="0" w:after="140"/>
        <w:jc w:val="both"/>
        <w:rPr/>
      </w:pPr>
      <w:r>
        <w:rPr>
          <w:rFonts w:eastAsia="Microsoft YaHei"/>
          <w:b/>
          <w:color w:val="2A2F36"/>
          <w:sz w:val="22"/>
        </w:rPr>
        <w:t>14.3</w:t>
      </w:r>
      <w:r>
        <w:rPr>
          <w:rFonts w:eastAsia="Microsoft YaHei"/>
          <w:color w:val="2A2F36"/>
          <w:sz w:val="22"/>
        </w:rPr>
        <w:t xml:space="preserve"> Corridor Three operates under the identical notification regime, the identical non-interdiction protocol, and the identical transparency obligations as Corridor One. The architecture treats the two commercial corridors as mirror images under one rulebook.</w:t>
      </w:r>
    </w:p>
    <w:p>
      <w:pPr>
        <w:pStyle w:val="Normal"/>
        <w:bidi w:val="0"/>
        <w:spacing w:lineRule="auto" w:line="300" w:before="0" w:after="140"/>
        <w:jc w:val="both"/>
        <w:rPr/>
      </w:pPr>
      <w:r>
        <w:rPr>
          <w:rFonts w:eastAsia="Microsoft YaHei"/>
          <w:b/>
          <w:color w:val="2A2F36"/>
          <w:sz w:val="22"/>
        </w:rPr>
        <w:t>14.4</w:t>
      </w:r>
      <w:r>
        <w:rPr>
          <w:rFonts w:eastAsia="Microsoft YaHei"/>
          <w:color w:val="2A2F36"/>
          <w:sz w:val="22"/>
        </w:rPr>
        <w:t xml:space="preserve"> Corridor Three hosts the principal anchorage and convoy marshalling areas of Annex A at the eastern approach, together with the humanitarian green-route of Article 10.</w:t>
      </w:r>
    </w:p>
    <w:p>
      <w:pPr>
        <w:pStyle w:val="Normal"/>
        <w:bidi w:val="0"/>
        <w:spacing w:lineRule="auto" w:line="300" w:before="0" w:after="140"/>
        <w:jc w:val="both"/>
        <w:rPr/>
      </w:pPr>
      <w:r>
        <w:rPr>
          <w:rFonts w:eastAsia="Microsoft YaHei"/>
          <w:b/>
          <w:color w:val="2A2F36"/>
          <w:sz w:val="22"/>
        </w:rPr>
        <w:t>14.5</w:t>
      </w:r>
      <w:r>
        <w:rPr>
          <w:rFonts w:eastAsia="Microsoft YaHei"/>
          <w:color w:val="2A2F36"/>
          <w:sz w:val="22"/>
        </w:rPr>
        <w:t xml:space="preserve"> Corridor Three width, turning points, and speed bands appear in Table A-3 of Annex A. The nominal corridor width stands at two nautical miles with one nautical mile of separation from Corridor Two.</w:t>
      </w:r>
    </w:p>
    <w:p>
      <w:pPr>
        <w:pStyle w:val="Heading2"/>
        <w:keepNext w:val="true"/>
        <w:keepLines/>
        <w:bidi w:val="0"/>
        <w:spacing w:before="380" w:after="140"/>
        <w:jc w:val="left"/>
        <w:rPr/>
      </w:pPr>
      <w:bookmarkStart w:id="18" w:name="__RefHeading___Toc3233_2451594232"/>
      <w:bookmarkEnd w:id="18"/>
      <w:r>
        <w:rPr>
          <w:rFonts w:eastAsia="Microsoft YaHei"/>
          <w:b/>
          <w:color w:val="1F3550"/>
          <w:sz w:val="27"/>
        </w:rPr>
        <w:t>Article 15: The Wartime Lane Sunset and the Transition Rule</w:t>
      </w:r>
    </w:p>
    <w:p>
      <w:pPr>
        <w:pStyle w:val="Normal"/>
        <w:bidi w:val="0"/>
        <w:spacing w:lineRule="auto" w:line="300" w:before="0" w:after="140"/>
        <w:jc w:val="both"/>
        <w:rPr/>
      </w:pPr>
      <w:r>
        <w:rPr>
          <w:rFonts w:eastAsia="Microsoft YaHei"/>
          <w:b/>
          <w:color w:val="2A2F36"/>
          <w:sz w:val="22"/>
        </w:rPr>
        <w:t>15.1</w:t>
      </w:r>
      <w:r>
        <w:rPr>
          <w:rFonts w:eastAsia="Microsoft YaHei"/>
          <w:color w:val="2A2F36"/>
          <w:sz w:val="22"/>
        </w:rPr>
        <w:t xml:space="preserve"> The wartime routing arrangements in force at adoption continue as transitional lanes from Hour Zero. The transitional lanes carry traffic only until the corresponding permanent corridor certifies open under Table 8-A, and in every case the transitional lanes sunset no later than Day 30.</w:t>
      </w:r>
    </w:p>
    <w:p>
      <w:pPr>
        <w:pStyle w:val="Normal"/>
        <w:bidi w:val="0"/>
        <w:spacing w:lineRule="auto" w:line="300" w:before="0" w:after="140"/>
        <w:jc w:val="both"/>
        <w:rPr/>
      </w:pPr>
      <w:r>
        <w:rPr>
          <w:rFonts w:eastAsia="Microsoft YaHei"/>
          <w:b/>
          <w:color w:val="2A2F36"/>
          <w:sz w:val="22"/>
        </w:rPr>
        <w:t>15.2</w:t>
      </w:r>
      <w:r>
        <w:rPr>
          <w:rFonts w:eastAsia="Microsoft YaHei"/>
          <w:color w:val="2A2F36"/>
          <w:sz w:val="22"/>
        </w:rPr>
        <w:t xml:space="preserve"> The Corridor Operations Board publishes a weekly sunset ledger: which transitional lane closed, which corridor absorbed its traffic, and which hazards remain. The ledger posts to the Transparency Portal without editing.</w:t>
      </w:r>
    </w:p>
    <w:p>
      <w:pPr>
        <w:pStyle w:val="Normal"/>
        <w:bidi w:val="0"/>
        <w:spacing w:lineRule="auto" w:line="300" w:before="0" w:after="140"/>
        <w:jc w:val="both"/>
        <w:rPr/>
      </w:pPr>
      <w:r>
        <w:rPr>
          <w:rFonts w:eastAsia="Microsoft YaHei"/>
          <w:b/>
          <w:color w:val="2A2F36"/>
          <w:sz w:val="22"/>
        </w:rPr>
        <w:t>15.3</w:t>
      </w:r>
      <w:r>
        <w:rPr>
          <w:rFonts w:eastAsia="Microsoft YaHei"/>
          <w:color w:val="2A2F36"/>
          <w:sz w:val="22"/>
        </w:rPr>
        <w:t xml:space="preserve"> No participant reopens a sunset transitional lane except under a declared Corridor Emergency Override of Article 33, and any such reopening expires with the Override.</w:t>
      </w:r>
    </w:p>
    <w:p>
      <w:pPr>
        <w:pStyle w:val="Heading2"/>
        <w:keepNext w:val="true"/>
        <w:keepLines/>
        <w:bidi w:val="0"/>
        <w:spacing w:before="380" w:after="140"/>
        <w:jc w:val="left"/>
        <w:rPr/>
      </w:pPr>
      <w:bookmarkStart w:id="19" w:name="__RefHeading___Toc3235_2451594232"/>
      <w:bookmarkEnd w:id="19"/>
      <w:r>
        <w:rPr>
          <w:rFonts w:eastAsia="Microsoft YaHei"/>
          <w:b/>
          <w:color w:val="1F3550"/>
          <w:sz w:val="27"/>
        </w:rPr>
        <w:t>Article 16: Hazard Survey, Mine Exclusion, and Clearance</w:t>
      </w:r>
    </w:p>
    <w:p>
      <w:pPr>
        <w:pStyle w:val="Normal"/>
        <w:bidi w:val="0"/>
        <w:spacing w:lineRule="auto" w:line="300" w:before="0" w:after="140"/>
        <w:jc w:val="both"/>
        <w:rPr/>
      </w:pPr>
      <w:r>
        <w:rPr>
          <w:rFonts w:eastAsia="Microsoft YaHei"/>
          <w:b/>
          <w:color w:val="2A2F36"/>
          <w:sz w:val="22"/>
        </w:rPr>
        <w:t>16.1</w:t>
      </w:r>
      <w:r>
        <w:rPr>
          <w:rFonts w:eastAsia="Microsoft YaHei"/>
          <w:color w:val="2A2F36"/>
          <w:sz w:val="22"/>
        </w:rPr>
        <w:t xml:space="preserve"> The architecture treats naval mines in the Governance Area as prohibited objects. The framework excludes the emplacement of mines in the Governance Area by any actor, in any circumstance, under any doctrine. This exclusion operates as a structural feature of the Pact and binds every participant equally.</w:t>
      </w:r>
    </w:p>
    <w:p>
      <w:pPr>
        <w:pStyle w:val="Normal"/>
        <w:bidi w:val="0"/>
        <w:spacing w:lineRule="auto" w:line="300" w:before="0" w:after="140"/>
        <w:jc w:val="both"/>
        <w:rPr/>
      </w:pPr>
      <w:r>
        <w:rPr>
          <w:rFonts w:eastAsia="Microsoft YaHei"/>
          <w:b/>
          <w:color w:val="2A2F36"/>
          <w:sz w:val="22"/>
        </w:rPr>
        <w:t>16.2</w:t>
      </w:r>
      <w:r>
        <w:rPr>
          <w:rFonts w:eastAsia="Microsoft YaHei"/>
          <w:color w:val="2A2F36"/>
          <w:sz w:val="22"/>
        </w:rPr>
        <w:t xml:space="preserve"> The Joint Hazard Survey and Clearance Group executes the survey and clearance of the Governance Area. The Group operates under the coordination of the Survey Director with technical liaison from the United Nations Mine Action Service and observer access for every participant tier.</w:t>
      </w:r>
    </w:p>
    <w:p>
      <w:pPr>
        <w:pStyle w:val="Normal"/>
        <w:bidi w:val="0"/>
        <w:spacing w:lineRule="auto" w:line="300" w:before="0" w:after="140"/>
        <w:jc w:val="both"/>
        <w:rPr/>
      </w:pPr>
      <w:r>
        <w:rPr>
          <w:rFonts w:eastAsia="Microsoft YaHei"/>
          <w:b/>
          <w:color w:val="2A2F36"/>
          <w:sz w:val="22"/>
        </w:rPr>
        <w:t>16.3</w:t>
      </w:r>
      <w:r>
        <w:rPr>
          <w:rFonts w:eastAsia="Microsoft YaHei"/>
          <w:color w:val="2A2F36"/>
          <w:sz w:val="22"/>
        </w:rPr>
        <w:t xml:space="preserve"> The Group comprises the mine countermeasure assets of the Founding Parties and the contributing participants, operating under a single tasking order from the Survey Director. Contributing participants provide vessels, remotely operated vehicles, divers, survey sonar, and logistics under the equipment schedule of Annex K.</w:t>
      </w:r>
    </w:p>
    <w:p>
      <w:pPr>
        <w:pStyle w:val="Normal"/>
        <w:bidi w:val="0"/>
        <w:spacing w:lineRule="auto" w:line="300" w:before="0" w:after="140"/>
        <w:jc w:val="both"/>
        <w:rPr/>
      </w:pPr>
      <w:r>
        <w:rPr>
          <w:rFonts w:eastAsia="Microsoft YaHei"/>
          <w:b/>
          <w:color w:val="2A2F36"/>
          <w:sz w:val="22"/>
        </w:rPr>
        <w:t>16.4</w:t>
      </w:r>
      <w:r>
        <w:rPr>
          <w:rFonts w:eastAsia="Microsoft YaHei"/>
          <w:color w:val="2A2F36"/>
          <w:sz w:val="22"/>
        </w:rPr>
        <w:t xml:space="preserve"> The clearance program proceeds in three tracks. Track One, beginning at Hour 36, sweeps Corridor Two, the median lane, within thirty days, consistent with the interim understandings. Track Two sweeps the anchorages, approaches, and turning basins within sixty days. Track Three sweeps the full Governance Area to surveyed-hazard-free certification within ninety days.</w:t>
      </w:r>
    </w:p>
    <w:p>
      <w:pPr>
        <w:pStyle w:val="Normal"/>
        <w:bidi w:val="0"/>
        <w:spacing w:lineRule="auto" w:line="300" w:before="0" w:after="140"/>
        <w:jc w:val="both"/>
        <w:rPr/>
      </w:pPr>
      <w:r>
        <w:rPr>
          <w:rFonts w:eastAsia="Microsoft YaHei"/>
          <w:b/>
          <w:color w:val="2A2F36"/>
          <w:sz w:val="22"/>
        </w:rPr>
        <w:t>16.5</w:t>
      </w:r>
      <w:r>
        <w:rPr>
          <w:rFonts w:eastAsia="Microsoft YaHei"/>
          <w:color w:val="2A2F36"/>
          <w:sz w:val="22"/>
        </w:rPr>
        <w:t xml:space="preserve"> The Group reports daily to the Stability Audit and publishes a public clearance map every seventy-two hours. The clearance map shows swept channels, suspected hazard contacts, classified contacts, and neutralized contacts, each with position, depth, and confidence grade.</w:t>
      </w:r>
    </w:p>
    <w:p>
      <w:pPr>
        <w:pStyle w:val="Normal"/>
        <w:bidi w:val="0"/>
        <w:spacing w:lineRule="auto" w:line="300" w:before="0" w:after="140"/>
        <w:jc w:val="both"/>
        <w:rPr/>
      </w:pPr>
      <w:r>
        <w:rPr>
          <w:rFonts w:eastAsia="Microsoft YaHei"/>
          <w:b/>
          <w:color w:val="2A2F36"/>
          <w:sz w:val="22"/>
        </w:rPr>
        <w:t>16.6</w:t>
      </w:r>
      <w:r>
        <w:rPr>
          <w:rFonts w:eastAsia="Microsoft YaHei"/>
          <w:color w:val="2A2F36"/>
          <w:sz w:val="22"/>
        </w:rPr>
        <w:t xml:space="preserve"> Certification of a lane as clear requires three convergent elements: completion of the survey track by the Group, independent confirmation by the technical liaison, and sign-off by paired human observers of the Verification and Surveillance Directorate under Article 39. The certification issues on the standard form of Annex I and takes immediate effect.</w:t>
      </w:r>
    </w:p>
    <w:p>
      <w:pPr>
        <w:pStyle w:val="Normal"/>
        <w:bidi w:val="0"/>
        <w:spacing w:lineRule="auto" w:line="300" w:before="0" w:after="140"/>
        <w:jc w:val="both"/>
        <w:rPr/>
      </w:pPr>
      <w:r>
        <w:rPr>
          <w:rFonts w:eastAsia="Microsoft YaHei"/>
          <w:b/>
          <w:color w:val="2A2F36"/>
          <w:sz w:val="22"/>
        </w:rPr>
        <w:t>16.7</w:t>
      </w:r>
      <w:r>
        <w:rPr>
          <w:rFonts w:eastAsia="Microsoft YaHei"/>
          <w:color w:val="2A2F36"/>
          <w:sz w:val="22"/>
        </w:rPr>
        <w:t xml:space="preserve"> During clearance, the Corridor Operations Board holds authority to shift a corridor edge by up to one nautical mile for hazard avoidance, for not more than seventy-two hours per adjustment, with immediate publication through the Open Water Bulletin. Such adjustments never narrow any corridor below one and one half nautical miles.</w:t>
      </w:r>
    </w:p>
    <w:p>
      <w:pPr>
        <w:pStyle w:val="Normal"/>
        <w:bidi w:val="0"/>
        <w:spacing w:lineRule="auto" w:line="300" w:before="0" w:after="140"/>
        <w:jc w:val="both"/>
        <w:rPr/>
      </w:pPr>
      <w:r>
        <w:rPr>
          <w:rFonts w:eastAsia="Microsoft YaHei"/>
          <w:b/>
          <w:color w:val="2A2F36"/>
          <w:sz w:val="22"/>
        </w:rPr>
        <w:t>16.8</w:t>
      </w:r>
      <w:r>
        <w:rPr>
          <w:rFonts w:eastAsia="Microsoft YaHei"/>
          <w:color w:val="2A2F36"/>
          <w:sz w:val="22"/>
        </w:rPr>
        <w:t xml:space="preserve"> Any discovery of a mine or mine-like object triggers the mine-risk response protocol of Annex F: immediate area warning, traffic hold in the affected cell, paired observation of the object, forensic recording, and neutralization under international supervision. The protocol assigns no blame; the False-Flag and Attribution Protocol of Article 34 governs any question of origin.</w:t>
      </w:r>
    </w:p>
    <w:p>
      <w:pPr>
        <w:pStyle w:val="Heading1"/>
        <w:keepNext w:val="true"/>
        <w:keepLines/>
        <w:pBdr>
          <w:bottom w:val="single" w:sz="8" w:space="6" w:color="9C7A2E"/>
        </w:pBdr>
        <w:bidi w:val="0"/>
        <w:spacing w:before="480" w:after="200"/>
        <w:jc w:val="left"/>
        <w:rPr/>
      </w:pPr>
      <w:bookmarkStart w:id="20" w:name="__RefHeading___Toc3237_2451594232"/>
      <w:bookmarkEnd w:id="20"/>
      <w:r>
        <w:rPr>
          <w:rFonts w:eastAsia="Microsoft YaHei"/>
          <w:b/>
          <w:color w:val="1F3550"/>
          <w:sz w:val="34"/>
        </w:rPr>
        <w:t>PART IV: THE TRANSIT REGIME</w:t>
      </w:r>
    </w:p>
    <w:p>
      <w:pPr>
        <w:pStyle w:val="Heading2"/>
        <w:keepNext w:val="true"/>
        <w:keepLines/>
        <w:bidi w:val="0"/>
        <w:spacing w:before="380" w:after="140"/>
        <w:jc w:val="left"/>
        <w:rPr/>
      </w:pPr>
      <w:bookmarkStart w:id="21" w:name="__RefHeading___Toc3239_2451594232"/>
      <w:bookmarkEnd w:id="21"/>
      <w:r>
        <w:rPr>
          <w:rFonts w:eastAsia="Microsoft YaHei"/>
          <w:b/>
          <w:color w:val="1F3550"/>
          <w:sz w:val="27"/>
        </w:rPr>
        <w:t>Article 17: Notification, Not Permission</w:t>
      </w:r>
    </w:p>
    <w:p>
      <w:pPr>
        <w:pStyle w:val="Normal"/>
        <w:bidi w:val="0"/>
        <w:spacing w:lineRule="auto" w:line="300" w:before="0" w:after="140"/>
        <w:jc w:val="both"/>
        <w:rPr/>
      </w:pPr>
      <w:r>
        <w:rPr>
          <w:rFonts w:eastAsia="Microsoft YaHei"/>
          <w:b/>
          <w:color w:val="2A2F36"/>
          <w:sz w:val="22"/>
        </w:rPr>
        <w:t>17.1</w:t>
      </w:r>
      <w:r>
        <w:rPr>
          <w:rFonts w:eastAsia="Microsoft YaHei"/>
          <w:color w:val="2A2F36"/>
          <w:sz w:val="22"/>
        </w:rPr>
        <w:t xml:space="preserve"> Transit through the Governance Area operates under a file-and-acknowledge regime. A vessel files a single transit declaration with the Maritime Coordination Center before entering the Governance Area, and the architecture acknowledges the filing. The regime contains no approval step, no discretion step, and no denial step.</w:t>
      </w:r>
    </w:p>
    <w:p>
      <w:pPr>
        <w:pStyle w:val="Normal"/>
        <w:bidi w:val="0"/>
        <w:spacing w:lineRule="auto" w:line="300" w:before="0" w:after="140"/>
        <w:jc w:val="both"/>
        <w:rPr/>
      </w:pPr>
      <w:r>
        <w:rPr>
          <w:rFonts w:eastAsia="Microsoft YaHei"/>
          <w:b/>
          <w:color w:val="2A2F36"/>
          <w:sz w:val="22"/>
        </w:rPr>
        <w:t>17.2</w:t>
      </w:r>
      <w:r>
        <w:rPr>
          <w:rFonts w:eastAsia="Microsoft YaHei"/>
          <w:color w:val="2A2F36"/>
          <w:sz w:val="22"/>
        </w:rPr>
        <w:t xml:space="preserve"> The transit declaration carries twelve fields and no more: vessel name; international maritime organization number; flag; call sign; vessel class under Article 18; last port; next port; cargo category; gross tonnage; draft; entry point and estimated time; and contact channel. Annex B states the form. The filing transmits by the digital portal, by satellite message, or by the standing radio channel of Annex E.</w:t>
      </w:r>
    </w:p>
    <w:p>
      <w:pPr>
        <w:pStyle w:val="Normal"/>
        <w:bidi w:val="0"/>
        <w:spacing w:lineRule="auto" w:line="300" w:before="0" w:after="140"/>
        <w:jc w:val="both"/>
        <w:rPr/>
      </w:pPr>
      <w:r>
        <w:rPr>
          <w:rFonts w:eastAsia="Microsoft YaHei"/>
          <w:b/>
          <w:color w:val="2A2F36"/>
          <w:sz w:val="22"/>
        </w:rPr>
        <w:t>17.3</w:t>
      </w:r>
      <w:r>
        <w:rPr>
          <w:rFonts w:eastAsia="Microsoft YaHei"/>
          <w:color w:val="2A2F36"/>
          <w:sz w:val="22"/>
        </w:rPr>
        <w:t xml:space="preserve"> Acknowledgment issues within sixty minutes of filing. Silence for sixty minutes constitutes acknowledgment by operation of this Pact. The acknowledgment carries a transit reference, the assigned corridor, the convoy window if any, and the current Open Water Bulletin number. The acknowledgment attaches no condition.</w:t>
      </w:r>
    </w:p>
    <w:p>
      <w:pPr>
        <w:pStyle w:val="Normal"/>
        <w:bidi w:val="0"/>
        <w:spacing w:lineRule="auto" w:line="300" w:before="0" w:after="140"/>
        <w:jc w:val="both"/>
        <w:rPr/>
      </w:pPr>
      <w:r>
        <w:rPr>
          <w:rFonts w:eastAsia="Microsoft YaHei"/>
          <w:b/>
          <w:color w:val="2A2F36"/>
          <w:sz w:val="22"/>
        </w:rPr>
        <w:t>17.4</w:t>
      </w:r>
      <w:r>
        <w:rPr>
          <w:rFonts w:eastAsia="Microsoft YaHei"/>
          <w:color w:val="2A2F36"/>
          <w:sz w:val="22"/>
        </w:rPr>
        <w:t xml:space="preserve"> No participant imposes any fee, charge, inspection, document demand, or delay as a condition of filing or acknowledgment. The filing itself carries no cost.</w:t>
      </w:r>
    </w:p>
    <w:p>
      <w:pPr>
        <w:pStyle w:val="Normal"/>
        <w:bidi w:val="0"/>
        <w:spacing w:lineRule="auto" w:line="300" w:before="0" w:after="140"/>
        <w:jc w:val="both"/>
        <w:rPr/>
      </w:pPr>
      <w:r>
        <w:rPr>
          <w:rFonts w:eastAsia="Microsoft YaHei"/>
          <w:b/>
          <w:color w:val="2A2F36"/>
          <w:sz w:val="22"/>
        </w:rPr>
        <w:t>17.5</w:t>
      </w:r>
      <w:r>
        <w:rPr>
          <w:rFonts w:eastAsia="Microsoft YaHei"/>
          <w:color w:val="2A2F36"/>
          <w:sz w:val="22"/>
        </w:rPr>
        <w:t xml:space="preserve"> A vessel in distress, a vessel on humanitarian certification, or a vessel making an emergency diversion enters the Governance Area without prior filing and reports as soon as practicable. Safety of life always precedes paperwork.</w:t>
      </w:r>
    </w:p>
    <w:p>
      <w:pPr>
        <w:pStyle w:val="Normal"/>
        <w:bidi w:val="0"/>
        <w:spacing w:lineRule="auto" w:line="300" w:before="0" w:after="140"/>
        <w:jc w:val="both"/>
        <w:rPr/>
      </w:pPr>
      <w:r>
        <w:rPr>
          <w:rFonts w:eastAsia="Microsoft YaHei"/>
          <w:b/>
          <w:color w:val="2A2F36"/>
          <w:sz w:val="22"/>
        </w:rPr>
        <w:t>17.6</w:t>
      </w:r>
      <w:r>
        <w:rPr>
          <w:rFonts w:eastAsia="Microsoft YaHei"/>
          <w:color w:val="2A2F36"/>
          <w:sz w:val="22"/>
        </w:rPr>
        <w:t xml:space="preserve"> The Maritime Coordination Center logs every filing and every acknowledgment, and the Transparency Portal publishes the daily aggregate: filings received, acknowledgments issued within sixty minutes, and average acknowledgment time. The aggregate never names cargo contents.</w:t>
      </w:r>
    </w:p>
    <w:p>
      <w:pPr>
        <w:pStyle w:val="Heading2"/>
        <w:keepNext w:val="true"/>
        <w:keepLines/>
        <w:bidi w:val="0"/>
        <w:spacing w:before="380" w:after="140"/>
        <w:jc w:val="left"/>
        <w:rPr/>
      </w:pPr>
      <w:bookmarkStart w:id="22" w:name="__RefHeading___Toc3241_2451594232"/>
      <w:bookmarkEnd w:id="22"/>
      <w:r>
        <w:rPr>
          <w:rFonts w:eastAsia="Microsoft YaHei"/>
          <w:b/>
          <w:color w:val="1F3550"/>
          <w:sz w:val="27"/>
        </w:rPr>
        <w:t>Article 18: Vessel Classification and Differentiated Treatment</w:t>
      </w:r>
    </w:p>
    <w:p>
      <w:pPr>
        <w:pStyle w:val="Normal"/>
        <w:bidi w:val="0"/>
        <w:spacing w:lineRule="auto" w:line="300" w:before="0" w:after="140"/>
        <w:jc w:val="both"/>
        <w:rPr/>
      </w:pPr>
      <w:r>
        <w:rPr>
          <w:rFonts w:eastAsia="Microsoft YaHei"/>
          <w:b/>
          <w:color w:val="2A2F36"/>
          <w:sz w:val="22"/>
        </w:rPr>
        <w:t>18.1</w:t>
      </w:r>
      <w:r>
        <w:rPr>
          <w:rFonts w:eastAsia="Microsoft YaHei"/>
          <w:color w:val="2A2F36"/>
          <w:sz w:val="22"/>
        </w:rPr>
        <w:t xml:space="preserve"> The architecture classifies vessels by function and risk, never by flag, ownership, cargo origin, or destination. Table 18-A states the classes and their treatment.</w:t>
      </w:r>
    </w:p>
    <w:tbl>
      <w:tblPr>
        <w:tblW w:w="5000" w:type="pct"/>
        <w:jc w:val="left"/>
        <w:tblInd w:w="-8" w:type="dxa"/>
        <w:tblLayout w:type="fixed"/>
        <w:tblCellMar>
          <w:top w:w="60" w:type="dxa"/>
          <w:left w:w="100" w:type="dxa"/>
          <w:bottom w:w="60" w:type="dxa"/>
          <w:right w:w="100" w:type="dxa"/>
        </w:tblCellMar>
      </w:tblPr>
      <w:tblGrid>
        <w:gridCol w:w="2181"/>
        <w:gridCol w:w="3372"/>
        <w:gridCol w:w="3473"/>
      </w:tblGrid>
      <w:tr>
        <w:trPr>
          <w:tblHeader w:val="true"/>
          <w:cantSplit w:val="true"/>
        </w:trPr>
        <w:tc>
          <w:tcPr>
            <w:tcW w:w="218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Class</w:t>
            </w:r>
          </w:p>
        </w:tc>
        <w:tc>
          <w:tcPr>
            <w:tcW w:w="337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Definition</w:t>
            </w:r>
          </w:p>
        </w:tc>
        <w:tc>
          <w:tcPr>
            <w:tcW w:w="3473"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Treatment</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Class A: Deep-draft tankers and gas carriers</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Crude, product, chemical, and liquefied gas carriers above 50,000 deadweight tons</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Convoy windows at peak hours; pilotage recommended; standard filing</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Class B: Bulk and general cargo</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Bulk carriers, container ships, roll-on vessels, general cargo</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Standard filing; free transit; optional convoy</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Class C: Passenger and humanitarian</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Passenger vessels and Bridge-certified relief cargoes</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Priority acknowledgment; green-route designation</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Class D: Small craft and fishing</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Vessels below 300 gross tons, fishing and local traffic</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Simplified filing; small-craft lanes of Annex A; advisory service</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Class E: State and naval vessels</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Warships and state vessels on non-commercial service</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Deconfliction transit under Article 21; notice through the hotline network</w:t>
            </w:r>
          </w:p>
        </w:tc>
      </w:tr>
      <w:tr>
        <w:trPr/>
        <w:tc>
          <w:tcPr>
            <w:tcW w:w="218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Class F: Hazard-signal vessels</w:t>
            </w:r>
          </w:p>
        </w:tc>
        <w:tc>
          <w:tcPr>
            <w:tcW w:w="337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Vessels carrying dangerous goods in bulk beyond Class A</w:t>
            </w:r>
          </w:p>
        </w:tc>
        <w:tc>
          <w:tcPr>
            <w:tcW w:w="3473"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Standard filing plus hazardous cargo data sheet of Annex B</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b/>
          <w:color w:val="2A2F36"/>
          <w:sz w:val="22"/>
        </w:rPr>
        <w:t>18.2</w:t>
      </w:r>
      <w:r>
        <w:rPr>
          <w:rFonts w:eastAsia="Microsoft YaHei"/>
          <w:color w:val="2A2F36"/>
          <w:sz w:val="22"/>
        </w:rPr>
        <w:t xml:space="preserve"> Differentiated treatment serves safety and flow efficiency alone. No class assignment attaches to the nationality, insurer, charterer, or beneficial owner of a vessel.</w:t>
      </w:r>
    </w:p>
    <w:p>
      <w:pPr>
        <w:pStyle w:val="Normal"/>
        <w:bidi w:val="0"/>
        <w:spacing w:lineRule="auto" w:line="300" w:before="0" w:after="140"/>
        <w:jc w:val="both"/>
        <w:rPr/>
      </w:pPr>
      <w:r>
        <w:rPr>
          <w:rFonts w:eastAsia="Microsoft YaHei"/>
          <w:b/>
          <w:color w:val="2A2F36"/>
          <w:sz w:val="22"/>
        </w:rPr>
        <w:t>18.3</w:t>
      </w:r>
      <w:r>
        <w:rPr>
          <w:rFonts w:eastAsia="Microsoft YaHei"/>
          <w:color w:val="2A2F36"/>
          <w:sz w:val="22"/>
        </w:rPr>
        <w:t xml:space="preserve"> A vessel moves between classes only by its own characteristics. Reclassification follows the vessel, never the politics of the day.</w:t>
      </w:r>
    </w:p>
    <w:p>
      <w:pPr>
        <w:pStyle w:val="Heading2"/>
        <w:keepNext w:val="true"/>
        <w:keepLines/>
        <w:bidi w:val="0"/>
        <w:spacing w:before="380" w:after="140"/>
        <w:jc w:val="left"/>
        <w:rPr/>
      </w:pPr>
      <w:bookmarkStart w:id="23" w:name="__RefHeading___Toc3243_2451594232"/>
      <w:bookmarkEnd w:id="23"/>
      <w:r>
        <w:rPr>
          <w:rFonts w:eastAsia="Microsoft YaHei"/>
          <w:b/>
          <w:color w:val="1F3550"/>
          <w:sz w:val="27"/>
        </w:rPr>
        <w:t>Article 19: The Absolute Non-Interdiction Protocol</w:t>
      </w:r>
    </w:p>
    <w:p>
      <w:pPr>
        <w:pStyle w:val="Normal"/>
        <w:bidi w:val="0"/>
        <w:spacing w:lineRule="auto" w:line="300" w:before="0" w:after="140"/>
        <w:jc w:val="both"/>
        <w:rPr/>
      </w:pPr>
      <w:r>
        <w:rPr>
          <w:rFonts w:eastAsia="Microsoft YaHei"/>
          <w:b/>
          <w:color w:val="2A2F36"/>
          <w:sz w:val="22"/>
        </w:rPr>
        <w:t>19.1</w:t>
      </w:r>
      <w:r>
        <w:rPr>
          <w:rFonts w:eastAsia="Microsoft YaHei"/>
          <w:color w:val="2A2F36"/>
          <w:sz w:val="22"/>
        </w:rPr>
        <w:t xml:space="preserve"> Commercial transit operates under an absolute non-interdiction protocol within the Governance Area. The framework architecture excludes boarding, diversion, seizure, inspection, detention, or harassment of commercial vessels in the corridors, by any actor, at any time, under any flow state.</w:t>
      </w:r>
    </w:p>
    <w:p>
      <w:pPr>
        <w:pStyle w:val="Normal"/>
        <w:bidi w:val="0"/>
        <w:spacing w:lineRule="auto" w:line="300" w:before="0" w:after="140"/>
        <w:jc w:val="both"/>
        <w:rPr/>
      </w:pPr>
      <w:r>
        <w:rPr>
          <w:rFonts w:eastAsia="Microsoft YaHei"/>
          <w:b/>
          <w:color w:val="2A2F36"/>
          <w:sz w:val="22"/>
        </w:rPr>
        <w:t>19.2</w:t>
      </w:r>
      <w:r>
        <w:rPr>
          <w:rFonts w:eastAsia="Microsoft YaHei"/>
          <w:color w:val="2A2F36"/>
          <w:sz w:val="22"/>
        </w:rPr>
        <w:t xml:space="preserve"> The protocol binds states, organs, forces, and private actors alike. A participant that learns of a planned interference by any actor reports the plan to the Crisis Hotline Network immediately, and the Council convenes under the incident ladder of Article 32.</w:t>
      </w:r>
    </w:p>
    <w:p>
      <w:pPr>
        <w:pStyle w:val="Normal"/>
        <w:bidi w:val="0"/>
        <w:spacing w:lineRule="auto" w:line="300" w:before="0" w:after="140"/>
        <w:jc w:val="both"/>
        <w:rPr/>
      </w:pPr>
      <w:r>
        <w:rPr>
          <w:rFonts w:eastAsia="Microsoft YaHei"/>
          <w:b/>
          <w:color w:val="2A2F36"/>
          <w:sz w:val="22"/>
        </w:rPr>
        <w:t>19.3</w:t>
      </w:r>
      <w:r>
        <w:rPr>
          <w:rFonts w:eastAsia="Microsoft YaHei"/>
          <w:color w:val="2A2F36"/>
          <w:sz w:val="22"/>
        </w:rPr>
        <w:t xml:space="preserve"> The protocol admits exactly three exceptions, each narrow and evidence-bound: first, rescue of persons in distress; second, response to a pollution emergency that threatens the marine environment; third, assistance to a vessel that requests it. Every exception operates under paired authorization: the nearest coastal coordinator plus the Maritime Coordination Center concur, and the Neutral Watch Office receives the evidence package within six hours.</w:t>
      </w:r>
    </w:p>
    <w:p>
      <w:pPr>
        <w:pStyle w:val="Normal"/>
        <w:bidi w:val="0"/>
        <w:spacing w:lineRule="auto" w:line="300" w:before="0" w:after="140"/>
        <w:jc w:val="both"/>
        <w:rPr/>
      </w:pPr>
      <w:r>
        <w:rPr>
          <w:rFonts w:eastAsia="Microsoft YaHei"/>
          <w:b/>
          <w:color w:val="2A2F36"/>
          <w:sz w:val="22"/>
        </w:rPr>
        <w:t>19.4</w:t>
      </w:r>
      <w:r>
        <w:rPr>
          <w:rFonts w:eastAsia="Microsoft YaHei"/>
          <w:color w:val="2A2F36"/>
          <w:sz w:val="22"/>
        </w:rPr>
        <w:t xml:space="preserve"> Every action under an exception generates an incident record: time, position, vessel, actor, evidence, and outcome. The record enters the public incident log of Annex B within twenty-four hours. An exception invoked without its evidence package constitutes a Tier Two event under the Compliance Engine of Article 45.</w:t>
      </w:r>
    </w:p>
    <w:p>
      <w:pPr>
        <w:pStyle w:val="Normal"/>
        <w:bidi w:val="0"/>
        <w:spacing w:lineRule="auto" w:line="300" w:before="0" w:after="140"/>
        <w:jc w:val="both"/>
        <w:rPr/>
      </w:pPr>
      <w:r>
        <w:rPr>
          <w:rFonts w:eastAsia="Microsoft YaHei"/>
          <w:b/>
          <w:color w:val="2A2F36"/>
          <w:sz w:val="22"/>
        </w:rPr>
        <w:t>19.5</w:t>
      </w:r>
      <w:r>
        <w:rPr>
          <w:rFonts w:eastAsia="Microsoft YaHei"/>
          <w:color w:val="2A2F36"/>
          <w:sz w:val="22"/>
        </w:rPr>
        <w:t xml:space="preserve"> The protocol protects the maritime exclusion of force as a shared architecture feature. The Pact contains no enforcement by force against commercial shipping, and no participant possesses a unilateral interdiction right under this Pact.</w:t>
      </w:r>
    </w:p>
    <w:p>
      <w:pPr>
        <w:pStyle w:val="Heading2"/>
        <w:keepNext w:val="true"/>
        <w:keepLines/>
        <w:bidi w:val="0"/>
        <w:spacing w:before="380" w:after="140"/>
        <w:jc w:val="left"/>
        <w:rPr/>
      </w:pPr>
      <w:bookmarkStart w:id="24" w:name="__RefHeading___Toc3245_2451594232"/>
      <w:bookmarkEnd w:id="24"/>
      <w:r>
        <w:rPr>
          <w:rFonts w:eastAsia="Microsoft YaHei"/>
          <w:b/>
          <w:color w:val="1F3550"/>
          <w:sz w:val="27"/>
        </w:rPr>
        <w:t>Article 20: Traffic Management, Flow States, and the Open Water Bulletin</w:t>
      </w:r>
    </w:p>
    <w:p>
      <w:pPr>
        <w:pStyle w:val="Normal"/>
        <w:bidi w:val="0"/>
        <w:spacing w:lineRule="auto" w:line="300" w:before="0" w:after="140"/>
        <w:jc w:val="both"/>
        <w:rPr/>
      </w:pPr>
      <w:r>
        <w:rPr>
          <w:rFonts w:eastAsia="Microsoft YaHei"/>
          <w:b/>
          <w:color w:val="2A2F36"/>
          <w:sz w:val="22"/>
        </w:rPr>
        <w:t>20.1</w:t>
      </w:r>
      <w:r>
        <w:rPr>
          <w:rFonts w:eastAsia="Microsoft YaHei"/>
          <w:color w:val="2A2F36"/>
          <w:sz w:val="22"/>
        </w:rPr>
        <w:t xml:space="preserve"> The Maritime Coordination Center manages flow through three published flow states. Flow State Normal governs ordinary operations. Flow State Dense governs peak traffic and introduces convoy windows and speed bands. Flow State Emergency governs hazard, weather, or incident response and activates the buffer corridor for diversion.</w:t>
      </w:r>
    </w:p>
    <w:p>
      <w:pPr>
        <w:pStyle w:val="Normal"/>
        <w:bidi w:val="0"/>
        <w:spacing w:lineRule="auto" w:line="300" w:before="0" w:after="140"/>
        <w:jc w:val="both"/>
        <w:rPr/>
      </w:pPr>
      <w:r>
        <w:rPr>
          <w:rFonts w:eastAsia="Microsoft YaHei"/>
          <w:b/>
          <w:color w:val="2A2F36"/>
          <w:sz w:val="22"/>
        </w:rPr>
        <w:t>20.2</w:t>
      </w:r>
      <w:r>
        <w:rPr>
          <w:rFonts w:eastAsia="Microsoft YaHei"/>
          <w:color w:val="2A2F36"/>
          <w:sz w:val="22"/>
        </w:rPr>
        <w:t xml:space="preserve"> The Center declares a flow state on objective triggers alone: traffic density thresholds, weather thresholds, hazard contacts, or incident levels. Each declaration names the trigger, the expected duration, and the operational effect. Politics never triggers a flow state.</w:t>
      </w:r>
    </w:p>
    <w:p>
      <w:pPr>
        <w:pStyle w:val="Normal"/>
        <w:bidi w:val="0"/>
        <w:spacing w:lineRule="auto" w:line="300" w:before="0" w:after="140"/>
        <w:jc w:val="both"/>
        <w:rPr/>
      </w:pPr>
      <w:r>
        <w:rPr>
          <w:rFonts w:eastAsia="Microsoft YaHei"/>
          <w:b/>
          <w:color w:val="2A2F36"/>
          <w:sz w:val="22"/>
        </w:rPr>
        <w:t>20.3</w:t>
      </w:r>
      <w:r>
        <w:rPr>
          <w:rFonts w:eastAsia="Microsoft YaHei"/>
          <w:color w:val="2A2F36"/>
          <w:sz w:val="22"/>
        </w:rPr>
        <w:t xml:space="preserve"> The Open Water Bulletin constitutes the single authoritative public voice of the corridor system. The Bulletin issues at fixed times daily and on event, and it carries: corridor status, flow state, hazard notices, clearance windows, convoy windows, weather and visibility, and the current Bulletin number. The Bulletin publishes simultaneously through the portal, the satellite safety service, and the coastal radio network.</w:t>
      </w:r>
    </w:p>
    <w:p>
      <w:pPr>
        <w:pStyle w:val="Normal"/>
        <w:bidi w:val="0"/>
        <w:spacing w:lineRule="auto" w:line="300" w:before="0" w:after="140"/>
        <w:jc w:val="both"/>
        <w:rPr/>
      </w:pPr>
      <w:r>
        <w:rPr>
          <w:rFonts w:eastAsia="Microsoft YaHei"/>
          <w:b/>
          <w:color w:val="2A2F36"/>
          <w:sz w:val="22"/>
        </w:rPr>
        <w:t>20.4</w:t>
      </w:r>
      <w:r>
        <w:rPr>
          <w:rFonts w:eastAsia="Microsoft YaHei"/>
          <w:color w:val="2A2F36"/>
          <w:sz w:val="22"/>
        </w:rPr>
        <w:t xml:space="preserve"> Convoy discipline under Flow State Dense operates as a service, not a condition. A vessel joins a convoy window for predictability and escort proximity; a vessel that declines a window transits in the next available slot with the same rights. No charge attaches to convoy participation.</w:t>
      </w:r>
    </w:p>
    <w:p>
      <w:pPr>
        <w:pStyle w:val="Normal"/>
        <w:bidi w:val="0"/>
        <w:spacing w:lineRule="auto" w:line="300" w:before="0" w:after="140"/>
        <w:jc w:val="both"/>
        <w:rPr/>
      </w:pPr>
      <w:r>
        <w:rPr>
          <w:rFonts w:eastAsia="Microsoft YaHei"/>
          <w:b/>
          <w:color w:val="2A2F36"/>
          <w:sz w:val="22"/>
        </w:rPr>
        <w:t>20.5</w:t>
      </w:r>
      <w:r>
        <w:rPr>
          <w:rFonts w:eastAsia="Microsoft YaHei"/>
          <w:color w:val="2A2F36"/>
          <w:sz w:val="22"/>
        </w:rPr>
        <w:t xml:space="preserve"> The Center applies the peak-hour rule: during the daily dense windows, Class A vessels transit in convoy order with a five nautical mile separation, and military vessels hold outside the commercial corridors under Article 21.</w:t>
      </w:r>
    </w:p>
    <w:p>
      <w:pPr>
        <w:pStyle w:val="Heading2"/>
        <w:keepNext w:val="true"/>
        <w:keepLines/>
        <w:bidi w:val="0"/>
        <w:spacing w:before="380" w:after="140"/>
        <w:jc w:val="left"/>
        <w:rPr/>
      </w:pPr>
      <w:bookmarkStart w:id="25" w:name="__RefHeading___Toc3247_2451594232"/>
      <w:bookmarkEnd w:id="25"/>
      <w:r>
        <w:rPr>
          <w:rFonts w:eastAsia="Microsoft YaHei"/>
          <w:b/>
          <w:color w:val="1F3550"/>
          <w:sz w:val="27"/>
        </w:rPr>
        <w:t>Article 21: Naval and Military Transit, and the United States Transit Assurance</w:t>
      </w:r>
    </w:p>
    <w:p>
      <w:pPr>
        <w:pStyle w:val="Normal"/>
        <w:bidi w:val="0"/>
        <w:spacing w:lineRule="auto" w:line="300" w:before="0" w:after="140"/>
        <w:jc w:val="both"/>
        <w:rPr/>
      </w:pPr>
      <w:r>
        <w:rPr>
          <w:rFonts w:eastAsia="Microsoft YaHei"/>
          <w:b/>
          <w:color w:val="2A2F36"/>
          <w:sz w:val="22"/>
        </w:rPr>
        <w:t>21.1</w:t>
      </w:r>
      <w:r>
        <w:rPr>
          <w:rFonts w:eastAsia="Microsoft YaHei"/>
          <w:color w:val="2A2F36"/>
          <w:sz w:val="22"/>
        </w:rPr>
        <w:t xml:space="preserve"> The Pact guarantees transit through the Strait for the naval and state vessels of every participant and every maritime state, including the United States, continuously and without condition. Military transit operates under the deconfliction rules of this Article and the standoff geometry of Article 30. The architecture contains no mechanism to bar, delay, or condition the passage of military vessels.</w:t>
      </w:r>
    </w:p>
    <w:p>
      <w:pPr>
        <w:pStyle w:val="Normal"/>
        <w:bidi w:val="0"/>
        <w:spacing w:lineRule="auto" w:line="300" w:before="0" w:after="140"/>
        <w:jc w:val="both"/>
        <w:rPr/>
      </w:pPr>
      <w:r>
        <w:rPr>
          <w:rFonts w:eastAsia="Microsoft YaHei"/>
          <w:b/>
          <w:color w:val="2A2F36"/>
          <w:sz w:val="22"/>
        </w:rPr>
        <w:t>21.2</w:t>
      </w:r>
      <w:r>
        <w:rPr>
          <w:rFonts w:eastAsia="Microsoft YaHei"/>
          <w:color w:val="2A2F36"/>
          <w:sz w:val="22"/>
        </w:rPr>
        <w:t xml:space="preserve"> A military transit proceeds on notice through the Crisis Hotline Network: the transiting force declares its movement window, its corridor, and its composition to the Maritime Coordination Center not less than twelve hours before entry. The Center acknowledges and circulates the notice to the deconfliction nodes. Notice serves deconfliction; notice never operates as a request for permission.</w:t>
      </w:r>
    </w:p>
    <w:p>
      <w:pPr>
        <w:pStyle w:val="Normal"/>
        <w:bidi w:val="0"/>
        <w:spacing w:lineRule="auto" w:line="300" w:before="0" w:after="140"/>
        <w:jc w:val="both"/>
        <w:rPr/>
      </w:pPr>
      <w:r>
        <w:rPr>
          <w:rFonts w:eastAsia="Microsoft YaHei"/>
          <w:b/>
          <w:color w:val="2A2F36"/>
          <w:sz w:val="22"/>
        </w:rPr>
        <w:t>21.3</w:t>
      </w:r>
      <w:r>
        <w:rPr>
          <w:rFonts w:eastAsia="Microsoft YaHei"/>
          <w:color w:val="2A2F36"/>
          <w:sz w:val="22"/>
        </w:rPr>
        <w:t xml:space="preserve"> During a military transit, the commercial corridors continue under their normal rules. When a military transit coincides with dense commercial flow, the transiting force routes through Corridor Two or holds outside the commercial corridors under the standoff geometry. The transiting force maintains continuous identification broadcast and bridge-to-bridge watch on the common channel.</w:t>
      </w:r>
    </w:p>
    <w:p>
      <w:pPr>
        <w:pStyle w:val="Normal"/>
        <w:bidi w:val="0"/>
        <w:spacing w:lineRule="auto" w:line="300" w:before="0" w:after="140"/>
        <w:jc w:val="both"/>
        <w:rPr/>
      </w:pPr>
      <w:r>
        <w:rPr>
          <w:rFonts w:eastAsia="Microsoft YaHei"/>
          <w:b/>
          <w:color w:val="2A2F36"/>
          <w:sz w:val="22"/>
        </w:rPr>
        <w:t>21.4</w:t>
      </w:r>
      <w:r>
        <w:rPr>
          <w:rFonts w:eastAsia="Microsoft YaHei"/>
          <w:color w:val="2A2F36"/>
          <w:sz w:val="22"/>
        </w:rPr>
        <w:t xml:space="preserve"> The United States Transit Assurance Interface of Annex O operationalizes this Article for United States forces: standing liaison at the Maritime Coordination Center, observer access to the fused picture, pre-agreed transit windows, and participation in the deconfliction ring. The Interface bounds the United States role to verification, monitoring, and deconfliction; the architecture contains no command right for any external power over the corridors.</w:t>
      </w:r>
    </w:p>
    <w:p>
      <w:pPr>
        <w:pStyle w:val="Normal"/>
        <w:bidi w:val="0"/>
        <w:spacing w:lineRule="auto" w:line="300" w:before="0" w:after="140"/>
        <w:jc w:val="both"/>
        <w:rPr/>
      </w:pPr>
      <w:r>
        <w:rPr>
          <w:rFonts w:eastAsia="Microsoft YaHei"/>
          <w:b/>
          <w:color w:val="2A2F36"/>
          <w:sz w:val="22"/>
        </w:rPr>
        <w:t>21.5</w:t>
      </w:r>
      <w:r>
        <w:rPr>
          <w:rFonts w:eastAsia="Microsoft YaHei"/>
          <w:color w:val="2A2F36"/>
          <w:sz w:val="22"/>
        </w:rPr>
        <w:t xml:space="preserve"> Naval vessels of the coastal states operate in their adjacent waters under the same standoff geometry and the same notice discipline as any other naval vessel. Symmetry of rules preserves the non-prejudice architecture of Article 2.3.</w:t>
      </w:r>
    </w:p>
    <w:p>
      <w:pPr>
        <w:pStyle w:val="Normal"/>
        <w:bidi w:val="0"/>
        <w:spacing w:lineRule="auto" w:line="300" w:before="0" w:after="140"/>
        <w:jc w:val="both"/>
        <w:rPr/>
      </w:pPr>
      <w:r>
        <w:rPr>
          <w:rFonts w:eastAsia="Microsoft YaHei"/>
          <w:b/>
          <w:color w:val="2A2F36"/>
          <w:sz w:val="22"/>
        </w:rPr>
        <w:t>21.6</w:t>
      </w:r>
      <w:r>
        <w:rPr>
          <w:rFonts w:eastAsia="Microsoft YaHei"/>
          <w:color w:val="2A2F36"/>
          <w:sz w:val="22"/>
        </w:rPr>
        <w:t xml:space="preserve"> No military vessel shadows, approaches within the standoff distance of, or interferes with a commercial vessel in the corridors. The architecture excludes the use of commercial traffic for concealment, screening, or leverage. Each participant embeds this rule in the standing orders of its forces and files the standing order reference with the Registry.</w:t>
      </w:r>
    </w:p>
    <w:p>
      <w:pPr>
        <w:pStyle w:val="Heading1"/>
        <w:keepNext w:val="true"/>
        <w:keepLines/>
        <w:pBdr>
          <w:bottom w:val="single" w:sz="8" w:space="6" w:color="9C7A2E"/>
        </w:pBdr>
        <w:bidi w:val="0"/>
        <w:spacing w:before="480" w:after="200"/>
        <w:jc w:val="left"/>
        <w:rPr/>
      </w:pPr>
      <w:bookmarkStart w:id="26" w:name="__RefHeading___Toc3249_2451594232"/>
      <w:bookmarkEnd w:id="26"/>
      <w:r>
        <w:rPr>
          <w:rFonts w:eastAsia="Microsoft YaHei"/>
          <w:b/>
          <w:color w:val="1F3550"/>
          <w:sz w:val="34"/>
        </w:rPr>
        <w:t>PART V: THE FEE RESOLUTION AND THE ECONOMIC ARCHITECTURE</w:t>
      </w:r>
    </w:p>
    <w:p>
      <w:pPr>
        <w:pStyle w:val="Heading2"/>
        <w:keepNext w:val="true"/>
        <w:keepLines/>
        <w:bidi w:val="0"/>
        <w:spacing w:before="380" w:after="140"/>
        <w:jc w:val="left"/>
        <w:rPr/>
      </w:pPr>
      <w:bookmarkStart w:id="27" w:name="__RefHeading___Toc3251_2451594232"/>
      <w:bookmarkEnd w:id="27"/>
      <w:r>
        <w:rPr>
          <w:rFonts w:eastAsia="Microsoft YaHei"/>
          <w:b/>
          <w:color w:val="1F3550"/>
          <w:sz w:val="27"/>
        </w:rPr>
        <w:t>Article 22: The Zero-Toll Covenant</w:t>
      </w:r>
    </w:p>
    <w:p>
      <w:pPr>
        <w:pStyle w:val="Normal"/>
        <w:bidi w:val="0"/>
        <w:spacing w:lineRule="auto" w:line="300" w:before="0" w:after="140"/>
        <w:jc w:val="both"/>
        <w:rPr/>
      </w:pPr>
      <w:r>
        <w:rPr>
          <w:rFonts w:eastAsia="Microsoft YaHei"/>
          <w:b/>
          <w:color w:val="2A2F36"/>
          <w:sz w:val="22"/>
        </w:rPr>
        <w:t>22.1</w:t>
      </w:r>
      <w:r>
        <w:rPr>
          <w:rFonts w:eastAsia="Microsoft YaHei"/>
          <w:color w:val="2A2F36"/>
          <w:sz w:val="22"/>
        </w:rPr>
        <w:t xml:space="preserve"> The Parties covenant: no charge, levy, fee, toll, duty, or payment of any kind operates as a price or condition of passage through the Strait, under any name, in any currency, through any channel, direct or indirect. This covenant binds every participant, every institution of this Pact, and every flow state.</w:t>
      </w:r>
    </w:p>
    <w:p>
      <w:pPr>
        <w:pStyle w:val="Normal"/>
        <w:bidi w:val="0"/>
        <w:spacing w:lineRule="auto" w:line="300" w:before="0" w:after="140"/>
        <w:jc w:val="both"/>
        <w:rPr/>
      </w:pPr>
      <w:r>
        <w:rPr>
          <w:rFonts w:eastAsia="Microsoft YaHei"/>
          <w:b/>
          <w:color w:val="2A2F36"/>
          <w:sz w:val="22"/>
        </w:rPr>
        <w:t>22.2</w:t>
      </w:r>
      <w:r>
        <w:rPr>
          <w:rFonts w:eastAsia="Microsoft YaHei"/>
          <w:color w:val="2A2F36"/>
          <w:sz w:val="22"/>
        </w:rPr>
        <w:t xml:space="preserve"> The covenant applies the substance test of Article 27: any payment that functions as a price of transit constitutes a toll, whatever its label. Names do not rescue tolls; structure defines them.</w:t>
      </w:r>
    </w:p>
    <w:p>
      <w:pPr>
        <w:pStyle w:val="Normal"/>
        <w:bidi w:val="0"/>
        <w:spacing w:lineRule="auto" w:line="300" w:before="0" w:after="140"/>
        <w:jc w:val="both"/>
        <w:rPr/>
      </w:pPr>
      <w:r>
        <w:rPr>
          <w:rFonts w:eastAsia="Microsoft YaHei"/>
          <w:b/>
          <w:color w:val="2A2F36"/>
          <w:sz w:val="22"/>
        </w:rPr>
        <w:t>22.3</w:t>
      </w:r>
      <w:r>
        <w:rPr>
          <w:rFonts w:eastAsia="Microsoft YaHei"/>
          <w:color w:val="2A2F36"/>
          <w:sz w:val="22"/>
        </w:rPr>
        <w:t xml:space="preserve"> The covenant protects the international rule that transit passage carries no charge, and it protects the position of every participant that rejects tolls as a matter of law or precedent. At the same time, the covenant protects the position of the coastal states that stewardship carries real costs. The Pact resolves both positions through the Service Distinction of Article 23.</w:t>
      </w:r>
    </w:p>
    <w:p>
      <w:pPr>
        <w:pStyle w:val="Normal"/>
        <w:bidi w:val="0"/>
        <w:spacing w:lineRule="auto" w:line="300" w:before="0" w:after="140"/>
        <w:jc w:val="both"/>
        <w:rPr/>
      </w:pPr>
      <w:r>
        <w:rPr>
          <w:rFonts w:eastAsia="Microsoft YaHei"/>
          <w:b/>
          <w:color w:val="2A2F36"/>
          <w:sz w:val="22"/>
        </w:rPr>
        <w:t>22.4</w:t>
      </w:r>
      <w:r>
        <w:rPr>
          <w:rFonts w:eastAsia="Microsoft YaHei"/>
          <w:color w:val="2A2F36"/>
          <w:sz w:val="22"/>
        </w:rPr>
        <w:t xml:space="preserve"> The covenant operates with immediate and permanent effect. No crisis level, no dispute, and no compliance event suspends it.</w:t>
      </w:r>
    </w:p>
    <w:p>
      <w:pPr>
        <w:pStyle w:val="Heading2"/>
        <w:keepNext w:val="true"/>
        <w:keepLines/>
        <w:bidi w:val="0"/>
        <w:spacing w:before="380" w:after="140"/>
        <w:jc w:val="left"/>
        <w:rPr/>
      </w:pPr>
      <w:bookmarkStart w:id="28" w:name="__RefHeading___Toc3253_2451594232"/>
      <w:bookmarkEnd w:id="28"/>
      <w:r>
        <w:rPr>
          <w:rFonts w:eastAsia="Microsoft YaHei"/>
          <w:b/>
          <w:color w:val="1F3550"/>
          <w:sz w:val="27"/>
        </w:rPr>
        <w:t>Article 23: The Service Distinction and the Verified Services Catalog</w:t>
      </w:r>
    </w:p>
    <w:p>
      <w:pPr>
        <w:pStyle w:val="Normal"/>
        <w:bidi w:val="0"/>
        <w:spacing w:lineRule="auto" w:line="300" w:before="0" w:after="140"/>
        <w:jc w:val="both"/>
        <w:rPr/>
      </w:pPr>
      <w:r>
        <w:rPr>
          <w:rFonts w:eastAsia="Microsoft YaHei"/>
          <w:b/>
          <w:color w:val="2A2F36"/>
          <w:sz w:val="22"/>
        </w:rPr>
        <w:t>23.1</w:t>
      </w:r>
      <w:r>
        <w:rPr>
          <w:rFonts w:eastAsia="Microsoft YaHei"/>
          <w:color w:val="2A2F36"/>
          <w:sz w:val="22"/>
        </w:rPr>
        <w:t xml:space="preserve"> Passage is free; services carry reimbursement. The architecture distinguishes absolutely between a prohibited toll and a permitted reimbursement for a specific, audited, and genuine service that a vessel or a user requests and the system renders.</w:t>
      </w:r>
    </w:p>
    <w:p>
      <w:pPr>
        <w:pStyle w:val="Normal"/>
        <w:bidi w:val="0"/>
        <w:spacing w:lineRule="auto" w:line="300" w:before="0" w:after="140"/>
        <w:jc w:val="both"/>
        <w:rPr/>
      </w:pPr>
      <w:r>
        <w:rPr>
          <w:rFonts w:eastAsia="Microsoft YaHei"/>
          <w:b/>
          <w:color w:val="2A2F36"/>
          <w:sz w:val="22"/>
        </w:rPr>
        <w:t>23.2</w:t>
      </w:r>
      <w:r>
        <w:rPr>
          <w:rFonts w:eastAsia="Microsoft YaHei"/>
          <w:color w:val="2A2F36"/>
          <w:sz w:val="22"/>
        </w:rPr>
        <w:t xml:space="preserve"> Annex C states the Verified Services Catalog. The catalog is closed: it lists every reimbursable service, its cost basis, its rate, and its certifier. Services on the catalog include: pilotage on request; tug assistance on request; traffic management and routing data subscription; environmental monitoring and reporting; search and rescue readiness; convoy marshalling in Flow State Dense; and the route assurance data service.</w:t>
      </w:r>
    </w:p>
    <w:p>
      <w:pPr>
        <w:pStyle w:val="Normal"/>
        <w:bidi w:val="0"/>
        <w:spacing w:lineRule="auto" w:line="300" w:before="0" w:after="140"/>
        <w:jc w:val="both"/>
        <w:rPr/>
      </w:pPr>
      <w:r>
        <w:rPr>
          <w:rFonts w:eastAsia="Microsoft YaHei"/>
          <w:b/>
          <w:color w:val="2A2F36"/>
          <w:sz w:val="22"/>
        </w:rPr>
        <w:t>23.3</w:t>
      </w:r>
      <w:r>
        <w:rPr>
          <w:rFonts w:eastAsia="Microsoft YaHei"/>
          <w:color w:val="2A2F36"/>
          <w:sz w:val="22"/>
        </w:rPr>
        <w:t xml:space="preserve"> A reimbursement attaches to a service only when four elements converge: the service appears on the catalog; the user requested the service or the service attaches to the vessel's class as a published standard; the system rendered the service; and the Verified Services Ledger records the delivery. Any payment lacking one of the four elements fails the substance test and constitutes a toll under Article 22.</w:t>
      </w:r>
    </w:p>
    <w:p>
      <w:pPr>
        <w:pStyle w:val="Normal"/>
        <w:bidi w:val="0"/>
        <w:spacing w:lineRule="auto" w:line="300" w:before="0" w:after="140"/>
        <w:jc w:val="both"/>
        <w:rPr/>
      </w:pPr>
      <w:r>
        <w:rPr>
          <w:rFonts w:eastAsia="Microsoft YaHei"/>
          <w:b/>
          <w:color w:val="2A2F36"/>
          <w:sz w:val="22"/>
        </w:rPr>
        <w:t>23.4</w:t>
      </w:r>
      <w:r>
        <w:rPr>
          <w:rFonts w:eastAsia="Microsoft YaHei"/>
          <w:color w:val="2A2F36"/>
          <w:sz w:val="22"/>
        </w:rPr>
        <w:t xml:space="preserve"> Reimbursement prices track cost, not leverage. The Rate Board of the Stewardship Fund sets each rate at audited cost plus a fixed maintenance margin of fifteen percent, publishes the rate card annually, and adjusts it only on cost evidence. Rates never vary by flag, cargo, ownership, or political relationship.</w:t>
      </w:r>
    </w:p>
    <w:p>
      <w:pPr>
        <w:pStyle w:val="Normal"/>
        <w:bidi w:val="0"/>
        <w:spacing w:lineRule="auto" w:line="300" w:before="0" w:after="140"/>
        <w:jc w:val="both"/>
        <w:rPr/>
      </w:pPr>
      <w:r>
        <w:rPr>
          <w:rFonts w:eastAsia="Microsoft YaHei"/>
          <w:b/>
          <w:color w:val="2A2F36"/>
          <w:sz w:val="22"/>
        </w:rPr>
        <w:t>23.5</w:t>
      </w:r>
      <w:r>
        <w:rPr>
          <w:rFonts w:eastAsia="Microsoft YaHei"/>
          <w:color w:val="2A2F36"/>
          <w:sz w:val="22"/>
        </w:rPr>
        <w:t xml:space="preserve"> The Service Distinction gives each coastal state lawful, recognized revenue for real work performed, and gives every user state and every operator cost certainty and legal safety. The distinction carries the entire financial weight of the Pact, and the audit machinery of Article 26 keeps it honest.</w:t>
      </w:r>
    </w:p>
    <w:p>
      <w:pPr>
        <w:pStyle w:val="Heading2"/>
        <w:keepNext w:val="true"/>
        <w:keepLines/>
        <w:bidi w:val="0"/>
        <w:spacing w:before="380" w:after="140"/>
        <w:jc w:val="left"/>
        <w:rPr/>
      </w:pPr>
      <w:bookmarkStart w:id="29" w:name="__RefHeading___Toc3255_2451594232"/>
      <w:bookmarkEnd w:id="29"/>
      <w:r>
        <w:rPr>
          <w:rFonts w:eastAsia="Microsoft YaHei"/>
          <w:b/>
          <w:color w:val="1F3550"/>
          <w:sz w:val="27"/>
        </w:rPr>
        <w:t>Article 24: The Hormuz Stewardship Fund</w:t>
      </w:r>
    </w:p>
    <w:p>
      <w:pPr>
        <w:pStyle w:val="Normal"/>
        <w:bidi w:val="0"/>
        <w:spacing w:lineRule="auto" w:line="300" w:before="0" w:after="140"/>
        <w:jc w:val="both"/>
        <w:rPr/>
      </w:pPr>
      <w:r>
        <w:rPr>
          <w:rFonts w:eastAsia="Microsoft YaHei"/>
          <w:b/>
          <w:color w:val="2A2F36"/>
          <w:sz w:val="22"/>
        </w:rPr>
        <w:t>24.1</w:t>
      </w:r>
      <w:r>
        <w:rPr>
          <w:rFonts w:eastAsia="Microsoft YaHei"/>
          <w:color w:val="2A2F36"/>
          <w:sz w:val="22"/>
        </w:rPr>
        <w:t xml:space="preserve"> The Parties establish the Hormuz Stewardship Fund as the sole financial vehicle of the Pact. The Fund receives every contribution, administers every reimbursement, finances every service, and publishes every account.</w:t>
      </w:r>
    </w:p>
    <w:p>
      <w:pPr>
        <w:pStyle w:val="Normal"/>
        <w:bidi w:val="0"/>
        <w:spacing w:lineRule="auto" w:line="300" w:before="0" w:after="140"/>
        <w:jc w:val="both"/>
        <w:rPr/>
      </w:pPr>
      <w:r>
        <w:rPr>
          <w:rFonts w:eastAsia="Microsoft YaHei"/>
          <w:b/>
          <w:color w:val="2A2F36"/>
          <w:sz w:val="22"/>
        </w:rPr>
        <w:t>24.2</w:t>
      </w:r>
      <w:r>
        <w:rPr>
          <w:rFonts w:eastAsia="Microsoft YaHei"/>
          <w:color w:val="2A2F36"/>
          <w:sz w:val="22"/>
        </w:rPr>
        <w:t xml:space="preserve"> The Fund operates through a neutral escrow administered by the Swiss Confederation as Financial Custodian. Shippers, ports, insurers, and states pay the Fund; the Fund pays the service providers. No user pays any coastal state directly for any matter connected with transit. This firewalls every payment from every political relationship.</w:t>
      </w:r>
    </w:p>
    <w:p>
      <w:pPr>
        <w:pStyle w:val="Normal"/>
        <w:bidi w:val="0"/>
        <w:spacing w:lineRule="auto" w:line="300" w:before="0" w:after="140"/>
        <w:jc w:val="both"/>
        <w:rPr/>
      </w:pPr>
      <w:r>
        <w:rPr>
          <w:rFonts w:eastAsia="Microsoft YaHei"/>
          <w:b/>
          <w:color w:val="2A2F36"/>
          <w:sz w:val="22"/>
        </w:rPr>
        <w:t>24.3</w:t>
      </w:r>
      <w:r>
        <w:rPr>
          <w:rFonts w:eastAsia="Microsoft YaHei"/>
          <w:color w:val="2A2F36"/>
          <w:sz w:val="22"/>
        </w:rPr>
        <w:t xml:space="preserve"> The Fund maintains the Hormuz Account in a neutral jurisdiction under a sanctions-compliance firewall designed with the participation of the competent sanctions authorities of the endorsing and contributing states. The firewall structure appears in Article 28 and Annex N.</w:t>
      </w:r>
    </w:p>
    <w:p>
      <w:pPr>
        <w:pStyle w:val="Normal"/>
        <w:bidi w:val="0"/>
        <w:spacing w:lineRule="auto" w:line="300" w:before="0" w:after="140"/>
        <w:jc w:val="both"/>
        <w:rPr/>
      </w:pPr>
      <w:r>
        <w:rPr>
          <w:rFonts w:eastAsia="Microsoft YaHei"/>
          <w:b/>
          <w:color w:val="2A2F36"/>
          <w:sz w:val="22"/>
        </w:rPr>
        <w:t>24.4</w:t>
      </w:r>
      <w:r>
        <w:rPr>
          <w:rFonts w:eastAsia="Microsoft YaHei"/>
          <w:color w:val="2A2F36"/>
          <w:sz w:val="22"/>
        </w:rPr>
        <w:t xml:space="preserve"> The Fund board carries balanced representation: two seats for the Founding Parties jointly, one seat for the Gulf Cooperation Council observer members, one seat for contributing user states, one seat for the insurance pool, one seat for the Financial Custodian, and a non-voting seat for the Neutral Watch Office. The board decides by consensus-minus-one, and the Custodian holds no veto over lawful disbursements against verified service delivery.</w:t>
      </w:r>
    </w:p>
    <w:p>
      <w:pPr>
        <w:pStyle w:val="Normal"/>
        <w:bidi w:val="0"/>
        <w:spacing w:lineRule="auto" w:line="300" w:before="0" w:after="140"/>
        <w:jc w:val="both"/>
        <w:rPr/>
      </w:pPr>
      <w:r>
        <w:rPr>
          <w:rFonts w:eastAsia="Microsoft YaHei"/>
          <w:b/>
          <w:color w:val="2A2F36"/>
          <w:sz w:val="22"/>
        </w:rPr>
        <w:t>24.5</w:t>
      </w:r>
      <w:r>
        <w:rPr>
          <w:rFonts w:eastAsia="Microsoft YaHei"/>
          <w:color w:val="2A2F36"/>
          <w:sz w:val="22"/>
        </w:rPr>
        <w:t xml:space="preserve"> The Fund reimburses against verified service delivery alone. The Verified Services Ledger, maintained jointly by the Maritime Coordination Center and the Neutral Watch Office, certifies delivery; the Custodian disburses on the certificate. The Fund publishes quarterly accounts and submits to an annual independent audit, both public in full.</w:t>
      </w:r>
    </w:p>
    <w:p>
      <w:pPr>
        <w:pStyle w:val="Heading2"/>
        <w:keepNext w:val="true"/>
        <w:keepLines/>
        <w:bidi w:val="0"/>
        <w:spacing w:before="380" w:after="140"/>
        <w:jc w:val="left"/>
        <w:rPr/>
      </w:pPr>
      <w:bookmarkStart w:id="30" w:name="__RefHeading___Toc3257_2451594232"/>
      <w:bookmarkEnd w:id="30"/>
      <w:r>
        <w:rPr>
          <w:rFonts w:eastAsia="Microsoft YaHei"/>
          <w:b/>
          <w:color w:val="1F3550"/>
          <w:sz w:val="27"/>
        </w:rPr>
        <w:t>Article 25: The Tri-Channel Funding Architecture</w:t>
      </w:r>
    </w:p>
    <w:p>
      <w:pPr>
        <w:pStyle w:val="Normal"/>
        <w:bidi w:val="0"/>
        <w:spacing w:lineRule="auto" w:line="300" w:before="0" w:after="140"/>
        <w:jc w:val="both"/>
        <w:rPr/>
      </w:pPr>
      <w:r>
        <w:rPr>
          <w:rFonts w:eastAsia="Microsoft YaHei"/>
          <w:b/>
          <w:color w:val="2A2F36"/>
          <w:sz w:val="22"/>
        </w:rPr>
        <w:t>25.1</w:t>
      </w:r>
      <w:r>
        <w:rPr>
          <w:rFonts w:eastAsia="Microsoft YaHei"/>
          <w:color w:val="2A2F36"/>
          <w:sz w:val="22"/>
        </w:rPr>
        <w:t xml:space="preserve"> The Fund draws from three channels, sized by the architecture at sixty, twenty-five, and fifteen percent of the annual operating requirement. Table 25-A states the channels.</w:t>
      </w:r>
    </w:p>
    <w:tbl>
      <w:tblPr>
        <w:tblW w:w="5000" w:type="pct"/>
        <w:jc w:val="left"/>
        <w:tblInd w:w="-8" w:type="dxa"/>
        <w:tblLayout w:type="fixed"/>
        <w:tblCellMar>
          <w:top w:w="60" w:type="dxa"/>
          <w:left w:w="100" w:type="dxa"/>
          <w:bottom w:w="60" w:type="dxa"/>
          <w:right w:w="100" w:type="dxa"/>
        </w:tblCellMar>
      </w:tblPr>
      <w:tblGrid>
        <w:gridCol w:w="1785"/>
        <w:gridCol w:w="2875"/>
        <w:gridCol w:w="4366"/>
      </w:tblGrid>
      <w:tr>
        <w:trPr>
          <w:tblHeader w:val="true"/>
          <w:cantSplit w:val="true"/>
        </w:trPr>
        <w:tc>
          <w:tcPr>
            <w:tcW w:w="178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Channel</w:t>
            </w:r>
          </w:p>
        </w:tc>
        <w:tc>
          <w:tcPr>
            <w:tcW w:w="287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Share</w:t>
            </w:r>
          </w:p>
        </w:tc>
        <w:tc>
          <w:tcPr>
            <w:tcW w:w="4366"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Mechanism</w:t>
            </w:r>
          </w:p>
        </w:tc>
      </w:tr>
      <w:tr>
        <w:trPr/>
        <w:tc>
          <w:tcPr>
            <w:tcW w:w="17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Insurance Channel</w:t>
            </w:r>
          </w:p>
        </w:tc>
        <w:tc>
          <w:tcPr>
            <w:tcW w:w="28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Sixty percent</w:t>
            </w:r>
          </w:p>
        </w:tc>
        <w:tc>
          <w:tcPr>
            <w:tcW w:w="436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Vessels carry corridor cover through the Hormuz Insurance Pool of Annex D; premiums price risk; the Pool remits a fixed stewardship fraction of each premium to the Fund. The payment prices risk, never passage.</w:t>
            </w:r>
          </w:p>
        </w:tc>
      </w:tr>
      <w:tr>
        <w:trPr/>
        <w:tc>
          <w:tcPr>
            <w:tcW w:w="17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Port and Commercial Channel</w:t>
            </w:r>
          </w:p>
        </w:tc>
        <w:tc>
          <w:tcPr>
            <w:tcW w:w="28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Twenty-five percent</w:t>
            </w:r>
          </w:p>
        </w:tc>
        <w:tc>
          <w:tcPr>
            <w:tcW w:w="436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Gulf and user ports contribute a published per-call stewardship contribution scaled to throughput, collected in port documentation at the port, outside the Strait, never at the point of transit.</w:t>
            </w:r>
          </w:p>
        </w:tc>
      </w:tr>
      <w:tr>
        <w:trPr/>
        <w:tc>
          <w:tcPr>
            <w:tcW w:w="178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Sovereign Channel</w:t>
            </w:r>
          </w:p>
        </w:tc>
        <w:tc>
          <w:tcPr>
            <w:tcW w:w="287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Fifteen percent</w:t>
            </w:r>
          </w:p>
        </w:tc>
        <w:tc>
          <w:tcPr>
            <w:tcW w:w="4366"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Participant and contributor states pay annual standing contributions under the scale of Annex N, as members funding a shared institution.</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b/>
          <w:color w:val="2A2F36"/>
          <w:sz w:val="22"/>
        </w:rPr>
        <w:t>25.2</w:t>
      </w:r>
      <w:r>
        <w:rPr>
          <w:rFonts w:eastAsia="Microsoft YaHei"/>
          <w:color w:val="2A2F36"/>
          <w:sz w:val="22"/>
        </w:rPr>
        <w:t xml:space="preserve"> The architecture sizes the channels so that no channel, no payer, and no state carries decisive leverage over the Fund. A failure of one channel reduces services proportionately under the continuity budget of Annex N; it never closes a corridor.</w:t>
      </w:r>
    </w:p>
    <w:p>
      <w:pPr>
        <w:pStyle w:val="Normal"/>
        <w:bidi w:val="0"/>
        <w:spacing w:lineRule="auto" w:line="300" w:before="0" w:after="140"/>
        <w:jc w:val="both"/>
        <w:rPr/>
      </w:pPr>
      <w:r>
        <w:rPr>
          <w:rFonts w:eastAsia="Microsoft YaHei"/>
          <w:b/>
          <w:color w:val="2A2F36"/>
          <w:sz w:val="22"/>
        </w:rPr>
        <w:t>25.3</w:t>
      </w:r>
      <w:r>
        <w:rPr>
          <w:rFonts w:eastAsia="Microsoft YaHei"/>
          <w:color w:val="2A2F36"/>
          <w:sz w:val="22"/>
        </w:rPr>
        <w:t xml:space="preserve"> Contributions-in-kind count toward any channel at audited value: patrol vessels, radar and sensor equipment, survey platforms, training, and environmental equipment all qualify. In-kind contribution gives participants a payment-free path to standing.</w:t>
      </w:r>
    </w:p>
    <w:p>
      <w:pPr>
        <w:pStyle w:val="Normal"/>
        <w:bidi w:val="0"/>
        <w:spacing w:lineRule="auto" w:line="300" w:before="0" w:after="140"/>
        <w:jc w:val="both"/>
        <w:rPr/>
      </w:pPr>
      <w:r>
        <w:rPr>
          <w:rFonts w:eastAsia="Microsoft YaHei"/>
          <w:b/>
          <w:color w:val="2A2F36"/>
          <w:sz w:val="22"/>
        </w:rPr>
        <w:t>25.4</w:t>
      </w:r>
      <w:r>
        <w:rPr>
          <w:rFonts w:eastAsia="Microsoft YaHei"/>
          <w:color w:val="2A2F36"/>
          <w:sz w:val="22"/>
        </w:rPr>
        <w:t xml:space="preserve"> The voluntary layer. Consistent with the cooperative mechanisms of other international straits, the Fund accepts voluntary contributions from any shipping company, user state, or institution, in any amount, at any time. Voluntary contributions earn recognition on the public ledger and standing in the contributors' forum, and never purchase influence over rates, routing, or decisions.</w:t>
      </w:r>
    </w:p>
    <w:p>
      <w:pPr>
        <w:pStyle w:val="Heading2"/>
        <w:keepNext w:val="true"/>
        <w:keepLines/>
        <w:bidi w:val="0"/>
        <w:spacing w:before="380" w:after="140"/>
        <w:jc w:val="left"/>
        <w:rPr/>
      </w:pPr>
      <w:bookmarkStart w:id="31" w:name="__RefHeading___Toc3259_2451594232"/>
      <w:bookmarkEnd w:id="31"/>
      <w:r>
        <w:rPr>
          <w:rFonts w:eastAsia="Microsoft YaHei"/>
          <w:b/>
          <w:color w:val="1F3550"/>
          <w:sz w:val="27"/>
        </w:rPr>
        <w:t>Article 26: Rate Discipline, the Heavy-User Cap, the Green Discount, and Performance Bonds</w:t>
      </w:r>
    </w:p>
    <w:p>
      <w:pPr>
        <w:pStyle w:val="Normal"/>
        <w:bidi w:val="0"/>
        <w:spacing w:lineRule="auto" w:line="300" w:before="0" w:after="140"/>
        <w:jc w:val="both"/>
        <w:rPr/>
      </w:pPr>
      <w:r>
        <w:rPr>
          <w:rFonts w:eastAsia="Microsoft YaHei"/>
          <w:b/>
          <w:color w:val="2A2F36"/>
          <w:sz w:val="22"/>
        </w:rPr>
        <w:t>26.1</w:t>
      </w:r>
      <w:r>
        <w:rPr>
          <w:rFonts w:eastAsia="Microsoft YaHei"/>
          <w:color w:val="2A2F36"/>
          <w:sz w:val="22"/>
        </w:rPr>
        <w:t xml:space="preserve"> The rate card of Annex C binds the Fund. Rates publish annually, hold for the year, and change only on audited cost evidence. The rate card never carries surcharges, political premia, or ad hoc adjustments.</w:t>
      </w:r>
    </w:p>
    <w:p>
      <w:pPr>
        <w:pStyle w:val="Normal"/>
        <w:bidi w:val="0"/>
        <w:spacing w:lineRule="auto" w:line="300" w:before="0" w:after="140"/>
        <w:jc w:val="both"/>
        <w:rPr/>
      </w:pPr>
      <w:r>
        <w:rPr>
          <w:rFonts w:eastAsia="Microsoft YaHei"/>
          <w:b/>
          <w:color w:val="2A2F36"/>
          <w:sz w:val="22"/>
        </w:rPr>
        <w:t>26.2</w:t>
      </w:r>
      <w:r>
        <w:rPr>
          <w:rFonts w:eastAsia="Microsoft YaHei"/>
          <w:color w:val="2A2F36"/>
          <w:sz w:val="22"/>
        </w:rPr>
        <w:t xml:space="preserve"> The Heavy-User Cap guarantees predictability for the largest fleets: no single operator's aggregate annual service reimbursements exceed the cap stated in Annex C, regardless of transit count. The cap converts variable exposure into budgetable cost, and it gives the energy majors a fixed planning number.</w:t>
      </w:r>
    </w:p>
    <w:p>
      <w:pPr>
        <w:pStyle w:val="Normal"/>
        <w:bidi w:val="0"/>
        <w:spacing w:lineRule="auto" w:line="300" w:before="0" w:after="140"/>
        <w:jc w:val="both"/>
        <w:rPr/>
      </w:pPr>
      <w:r>
        <w:rPr>
          <w:rFonts w:eastAsia="Microsoft YaHei"/>
          <w:b/>
          <w:color w:val="2A2F36"/>
          <w:sz w:val="22"/>
        </w:rPr>
        <w:t>26.3</w:t>
      </w:r>
      <w:r>
        <w:rPr>
          <w:rFonts w:eastAsia="Microsoft YaHei"/>
          <w:color w:val="2A2F36"/>
          <w:sz w:val="22"/>
        </w:rPr>
        <w:t xml:space="preserve"> The Green Discount rewards cleaner tonnage: vessels meeting the emissions standard of Annex C receive the published discount on catalog services. The discount advances the environmental objectives of Part XI and costs the Fund only what cleaner operations save.</w:t>
      </w:r>
    </w:p>
    <w:p>
      <w:pPr>
        <w:pStyle w:val="Normal"/>
        <w:bidi w:val="0"/>
        <w:spacing w:lineRule="auto" w:line="300" w:before="0" w:after="140"/>
        <w:jc w:val="both"/>
        <w:rPr/>
      </w:pPr>
      <w:r>
        <w:rPr>
          <w:rFonts w:eastAsia="Microsoft YaHei"/>
          <w:b/>
          <w:color w:val="2A2F36"/>
          <w:sz w:val="22"/>
        </w:rPr>
        <w:t>26.4</w:t>
      </w:r>
      <w:r>
        <w:rPr>
          <w:rFonts w:eastAsia="Microsoft YaHei"/>
          <w:color w:val="2A2F36"/>
          <w:sz w:val="22"/>
        </w:rPr>
        <w:t xml:space="preserve"> The Performance Bond option lets a shipping line post a refundable annual bond in place of per-service payments. The Fund draws on the bond against ledger-certified service use and returns the balance at year end. The bond operates as payment surety, removes per-transaction friction, and never functions as a charge on passage.</w:t>
      </w:r>
    </w:p>
    <w:p>
      <w:pPr>
        <w:pStyle w:val="Normal"/>
        <w:bidi w:val="0"/>
        <w:spacing w:lineRule="auto" w:line="300" w:before="0" w:after="140"/>
        <w:jc w:val="both"/>
        <w:rPr/>
      </w:pPr>
      <w:r>
        <w:rPr>
          <w:rFonts w:eastAsia="Microsoft YaHei"/>
          <w:b/>
          <w:color w:val="2A2F36"/>
          <w:sz w:val="22"/>
        </w:rPr>
        <w:t>26.5</w:t>
      </w:r>
      <w:r>
        <w:rPr>
          <w:rFonts w:eastAsia="Microsoft YaHei"/>
          <w:color w:val="2A2F36"/>
          <w:sz w:val="22"/>
        </w:rPr>
        <w:t xml:space="preserve"> The First-Mover and Early-Adopter discounts of Annex C reward the fleets that certify into the system during Layers One and Two, building commercial momentum behind the architecture at trivial cost.</w:t>
      </w:r>
    </w:p>
    <w:p>
      <w:pPr>
        <w:pStyle w:val="Heading2"/>
        <w:keepNext w:val="true"/>
        <w:keepLines/>
        <w:bidi w:val="0"/>
        <w:spacing w:before="380" w:after="140"/>
        <w:jc w:val="left"/>
        <w:rPr/>
      </w:pPr>
      <w:bookmarkStart w:id="32" w:name="__RefHeading___Toc3261_2451594232"/>
      <w:bookmarkEnd w:id="32"/>
      <w:r>
        <w:rPr>
          <w:rFonts w:eastAsia="Microsoft YaHei"/>
          <w:b/>
          <w:color w:val="1F3550"/>
          <w:sz w:val="27"/>
        </w:rPr>
        <w:t>Article 27: Anti-Circumvention and the Substance Test</w:t>
      </w:r>
    </w:p>
    <w:p>
      <w:pPr>
        <w:pStyle w:val="Normal"/>
        <w:bidi w:val="0"/>
        <w:spacing w:lineRule="auto" w:line="300" w:before="0" w:after="140"/>
        <w:jc w:val="both"/>
        <w:rPr/>
      </w:pPr>
      <w:r>
        <w:rPr>
          <w:rFonts w:eastAsia="Microsoft YaHei"/>
          <w:b/>
          <w:color w:val="2A2F36"/>
          <w:sz w:val="22"/>
        </w:rPr>
        <w:t>27.1</w:t>
      </w:r>
      <w:r>
        <w:rPr>
          <w:rFonts w:eastAsia="Microsoft YaHei"/>
          <w:color w:val="2A2F36"/>
          <w:sz w:val="22"/>
        </w:rPr>
        <w:t xml:space="preserve"> The substance test governs every payment connected in any way to the Strait: a payment that functions as a price of transit constitutes a toll, and the covenant of Article 22 strikes it, whatever its name, form, channel, or intermediary.</w:t>
      </w:r>
    </w:p>
    <w:p>
      <w:pPr>
        <w:pStyle w:val="Normal"/>
        <w:bidi w:val="0"/>
        <w:spacing w:lineRule="auto" w:line="300" w:before="0" w:after="140"/>
        <w:jc w:val="both"/>
        <w:rPr/>
      </w:pPr>
      <w:r>
        <w:rPr>
          <w:rFonts w:eastAsia="Microsoft YaHei"/>
          <w:b/>
          <w:color w:val="2A2F36"/>
          <w:sz w:val="22"/>
        </w:rPr>
        <w:t>27.2</w:t>
      </w:r>
      <w:r>
        <w:rPr>
          <w:rFonts w:eastAsia="Microsoft YaHei"/>
          <w:color w:val="2A2F36"/>
          <w:sz w:val="22"/>
        </w:rPr>
        <w:t xml:space="preserve"> The Neutral Watch Office applies the test continuously. The Office examines any payment flow on its own initiative, on referral from any participant, or on an insurer or industry complaint, and it rules within fourteen days. A failing payment ceases immediately, and any amount collected returns through the Fund.</w:t>
      </w:r>
    </w:p>
    <w:p>
      <w:pPr>
        <w:pStyle w:val="Normal"/>
        <w:bidi w:val="0"/>
        <w:spacing w:lineRule="auto" w:line="300" w:before="0" w:after="140"/>
        <w:jc w:val="both"/>
        <w:rPr/>
      </w:pPr>
      <w:r>
        <w:rPr>
          <w:rFonts w:eastAsia="Microsoft YaHei"/>
          <w:b/>
          <w:color w:val="2A2F36"/>
          <w:sz w:val="22"/>
        </w:rPr>
        <w:t>27.3</w:t>
      </w:r>
      <w:r>
        <w:rPr>
          <w:rFonts w:eastAsia="Microsoft YaHei"/>
          <w:color w:val="2A2F36"/>
          <w:sz w:val="22"/>
        </w:rPr>
        <w:t xml:space="preserve"> The test examines five indicia: whether the payment attaches to the act of passage; whether refusal to pay impedes passage; whether the payment lacks a corresponding rendered service; whether the payment varies with political conditions; and whether the payment bypasses the Fund. Any single indicium triggers full review.</w:t>
      </w:r>
    </w:p>
    <w:p>
      <w:pPr>
        <w:pStyle w:val="Normal"/>
        <w:bidi w:val="0"/>
        <w:spacing w:lineRule="auto" w:line="300" w:before="0" w:after="140"/>
        <w:jc w:val="both"/>
        <w:rPr/>
      </w:pPr>
      <w:r>
        <w:rPr>
          <w:rFonts w:eastAsia="Microsoft YaHei"/>
          <w:b/>
          <w:color w:val="2A2F36"/>
          <w:sz w:val="22"/>
        </w:rPr>
        <w:t>27.4</w:t>
      </w:r>
      <w:r>
        <w:rPr>
          <w:rFonts w:eastAsia="Microsoft YaHei"/>
          <w:color w:val="2A2F36"/>
          <w:sz w:val="22"/>
        </w:rPr>
        <w:t xml:space="preserve"> The test binds domestic legislation. A participant that maintains a domestic instrument touching transit charges connects the instrument to this Pact through the legislative reconciliation channel of Annex N, aligning the domestic text with the Zero-Toll Covenant within one hundred and twenty days of accession.</w:t>
      </w:r>
    </w:p>
    <w:p>
      <w:pPr>
        <w:pStyle w:val="Heading2"/>
        <w:keepNext w:val="true"/>
        <w:keepLines/>
        <w:bidi w:val="0"/>
        <w:spacing w:before="380" w:after="140"/>
        <w:jc w:val="left"/>
        <w:rPr/>
      </w:pPr>
      <w:bookmarkStart w:id="33" w:name="__RefHeading___Toc3263_2451594232"/>
      <w:bookmarkEnd w:id="33"/>
      <w:r>
        <w:rPr>
          <w:rFonts w:eastAsia="Microsoft YaHei"/>
          <w:b/>
          <w:color w:val="1F3550"/>
          <w:sz w:val="27"/>
        </w:rPr>
        <w:t>Article 28: The Sanctions-Compliance Firewall</w:t>
      </w:r>
    </w:p>
    <w:p>
      <w:pPr>
        <w:pStyle w:val="Normal"/>
        <w:bidi w:val="0"/>
        <w:spacing w:lineRule="auto" w:line="300" w:before="0" w:after="140"/>
        <w:jc w:val="both"/>
        <w:rPr/>
      </w:pPr>
      <w:r>
        <w:rPr>
          <w:rFonts w:eastAsia="Microsoft YaHei"/>
          <w:b/>
          <w:color w:val="2A2F36"/>
          <w:sz w:val="22"/>
        </w:rPr>
        <w:t>28.1</w:t>
      </w:r>
      <w:r>
        <w:rPr>
          <w:rFonts w:eastAsia="Microsoft YaHei"/>
          <w:color w:val="2A2F36"/>
          <w:sz w:val="22"/>
        </w:rPr>
        <w:t xml:space="preserve"> Every payment channel of this Pact operates in full compatibility with the sanctions law of the endorsing and contributing states. The architecture achieves compatibility by structure: users pay the neutral Fund; the Fund pays service providers against verified delivery; the Custodian administers the flows; and the competent sanctions authorities receive standing visibility into the audit trail.</w:t>
      </w:r>
    </w:p>
    <w:p>
      <w:pPr>
        <w:pStyle w:val="Normal"/>
        <w:bidi w:val="0"/>
        <w:spacing w:lineRule="auto" w:line="300" w:before="0" w:after="140"/>
        <w:jc w:val="both"/>
        <w:rPr/>
      </w:pPr>
      <w:r>
        <w:rPr>
          <w:rFonts w:eastAsia="Microsoft YaHei"/>
          <w:b/>
          <w:color w:val="2A2F36"/>
          <w:sz w:val="22"/>
        </w:rPr>
        <w:t>28.2</w:t>
      </w:r>
      <w:r>
        <w:rPr>
          <w:rFonts w:eastAsia="Microsoft YaHei"/>
          <w:color w:val="2A2F36"/>
          <w:sz w:val="22"/>
        </w:rPr>
        <w:t xml:space="preserve"> The firewall addresses the warnings issued to shipping companies during the 2026 crisis concerning payments connected with transit. Under this Pact no shipping company pays any sanctioned entity for transit, because no shipping company pays for transit at all. The service reimbursements that exist flow only through the Fund, only against the catalog, and only under the audit trail.</w:t>
      </w:r>
    </w:p>
    <w:p>
      <w:pPr>
        <w:pStyle w:val="Normal"/>
        <w:bidi w:val="0"/>
        <w:spacing w:lineRule="auto" w:line="300" w:before="0" w:after="140"/>
        <w:jc w:val="both"/>
        <w:rPr/>
      </w:pPr>
      <w:r>
        <w:rPr>
          <w:rFonts w:eastAsia="Microsoft YaHei"/>
          <w:b/>
          <w:color w:val="2A2F36"/>
          <w:sz w:val="22"/>
        </w:rPr>
        <w:t>28.3</w:t>
      </w:r>
      <w:r>
        <w:rPr>
          <w:rFonts w:eastAsia="Microsoft YaHei"/>
          <w:color w:val="2A2F36"/>
          <w:sz w:val="22"/>
        </w:rPr>
        <w:t xml:space="preserve"> The Fund maintains the Hormuz Account with the specific licenses, comfort letters, and compliance opinions listed in Annex N, obtained before Activation Day and renewed annually. The Custodian reports any compliance event to the Fund board and to the Neutral Watch Office within twenty-four hours.</w:t>
      </w:r>
    </w:p>
    <w:p>
      <w:pPr>
        <w:pStyle w:val="Normal"/>
        <w:bidi w:val="0"/>
        <w:spacing w:lineRule="auto" w:line="300" w:before="0" w:after="140"/>
        <w:jc w:val="both"/>
        <w:rPr/>
      </w:pPr>
      <w:r>
        <w:rPr>
          <w:rFonts w:eastAsia="Microsoft YaHei"/>
          <w:b/>
          <w:color w:val="2A2F36"/>
          <w:sz w:val="22"/>
        </w:rPr>
        <w:t>28.4</w:t>
      </w:r>
      <w:r>
        <w:rPr>
          <w:rFonts w:eastAsia="Microsoft YaHei"/>
          <w:color w:val="2A2F36"/>
          <w:sz w:val="22"/>
        </w:rPr>
        <w:t xml:space="preserve"> The firewall survives political deterioration. If relations between any participants degrade, the Fund continues lawful operation under its existing licenses and structures, and the continuity provisions of Part XII keep the corridors running while diplomats work.</w:t>
      </w:r>
    </w:p>
    <w:p>
      <w:pPr>
        <w:pStyle w:val="Heading2"/>
        <w:keepNext w:val="true"/>
        <w:keepLines/>
        <w:bidi w:val="0"/>
        <w:spacing w:before="380" w:after="140"/>
        <w:jc w:val="left"/>
        <w:rPr/>
      </w:pPr>
      <w:bookmarkStart w:id="34" w:name="__RefHeading___Toc3265_2451594232"/>
      <w:bookmarkEnd w:id="34"/>
      <w:r>
        <w:rPr>
          <w:rFonts w:eastAsia="Microsoft YaHei"/>
          <w:b/>
          <w:color w:val="1F3550"/>
          <w:sz w:val="27"/>
        </w:rPr>
        <w:t>Article 29: The Economic Normalization Track</w:t>
      </w:r>
    </w:p>
    <w:p>
      <w:pPr>
        <w:pStyle w:val="Normal"/>
        <w:bidi w:val="0"/>
        <w:spacing w:lineRule="auto" w:line="300" w:before="0" w:after="140"/>
        <w:jc w:val="both"/>
        <w:rPr/>
      </w:pPr>
      <w:r>
        <w:rPr>
          <w:rFonts w:eastAsia="Microsoft YaHei"/>
          <w:b/>
          <w:color w:val="2A2F36"/>
          <w:sz w:val="22"/>
        </w:rPr>
        <w:t>29.1</w:t>
      </w:r>
      <w:r>
        <w:rPr>
          <w:rFonts w:eastAsia="Microsoft YaHei"/>
          <w:color w:val="2A2F36"/>
          <w:sz w:val="22"/>
        </w:rPr>
        <w:t xml:space="preserve"> The Pact carries an economic normalization track that rewards stability with prosperity, structured so that no direct payment flows from the United States and no channel violates the sanctions architecture of any participant. The track operates through third states, multilateral institutions, and commercial markets.</w:t>
      </w:r>
    </w:p>
    <w:p>
      <w:pPr>
        <w:pStyle w:val="Normal"/>
        <w:bidi w:val="0"/>
        <w:spacing w:lineRule="auto" w:line="300" w:before="0" w:after="140"/>
        <w:jc w:val="both"/>
        <w:rPr/>
      </w:pPr>
      <w:r>
        <w:rPr>
          <w:rFonts w:eastAsia="Microsoft YaHei"/>
          <w:b/>
          <w:color w:val="2A2F36"/>
          <w:sz w:val="22"/>
        </w:rPr>
        <w:t>29.2</w:t>
      </w:r>
      <w:r>
        <w:rPr>
          <w:rFonts w:eastAsia="Microsoft YaHei"/>
          <w:color w:val="2A2F36"/>
          <w:sz w:val="22"/>
        </w:rPr>
        <w:t xml:space="preserve"> The track comprises six standing instruments. First, the Hormuz Development Facility: a multilateral facility, capitalized by regional states and international financial institutions, financing coastal infrastructure, port modernization, and desalination and power repair in the coastal provinces of the Gulf, including the Iranian coast. Second, the Peace Dividend for Ports: grants from the Facility to the ports of the Governance Area for safety and capacity upgrades. Third, insurance normalization: the Pool's declining risk tiers reduce war-risk premia toward pre-crisis levels as the Stability Audit records incident-free weeks, returning savings to operators and charterers. Fourth, technical assistance: European and regional programs in maritime safety, civil aviation, environmental protection, and vocational training. Fifth, trade reconnection: banking channel restoration for lawful trade through the firewall structures, and energy sales through existing exemption and waiver frameworks administered by third states. Sixth, the reconstruction window: the Facility administers pledges toward the regional reconstruction effort, sequenced by verified stability milestones under Part X.</w:t>
      </w:r>
    </w:p>
    <w:p>
      <w:pPr>
        <w:pStyle w:val="Normal"/>
        <w:bidi w:val="0"/>
        <w:spacing w:lineRule="auto" w:line="300" w:before="0" w:after="140"/>
        <w:jc w:val="both"/>
        <w:rPr/>
      </w:pPr>
      <w:r>
        <w:rPr>
          <w:rFonts w:eastAsia="Microsoft YaHei"/>
          <w:b/>
          <w:color w:val="2A2F36"/>
          <w:sz w:val="22"/>
        </w:rPr>
        <w:t>29.3</w:t>
      </w:r>
      <w:r>
        <w:rPr>
          <w:rFonts w:eastAsia="Microsoft YaHei"/>
          <w:color w:val="2A2F36"/>
          <w:sz w:val="22"/>
        </w:rPr>
        <w:t xml:space="preserve"> Every instrument of the track pairs to a verified milestone of the gate schedule. Prosperity follows proof. The Forward Drift Archive locks each delivered instrument, so political change in any capital does not strip a delivered benefit.</w:t>
      </w:r>
    </w:p>
    <w:p>
      <w:pPr>
        <w:pStyle w:val="Normal"/>
        <w:bidi w:val="0"/>
        <w:spacing w:lineRule="auto" w:line="300" w:before="0" w:after="140"/>
        <w:jc w:val="both"/>
        <w:rPr/>
      </w:pPr>
      <w:r>
        <w:rPr>
          <w:rFonts w:eastAsia="Microsoft YaHei"/>
          <w:b/>
          <w:color w:val="2A2F36"/>
          <w:sz w:val="22"/>
        </w:rPr>
        <w:t>29.4</w:t>
      </w:r>
      <w:r>
        <w:rPr>
          <w:rFonts w:eastAsia="Microsoft YaHei"/>
          <w:color w:val="2A2F36"/>
          <w:sz w:val="22"/>
        </w:rPr>
        <w:t xml:space="preserve"> The track excludes conditionality across firewalled domains. No instrument of this track references the nuclear file, and no nuclear negotiation references this track. Article 36 governs.</w:t>
      </w:r>
    </w:p>
    <w:p>
      <w:pPr>
        <w:pStyle w:val="Normal"/>
        <w:bidi w:val="0"/>
        <w:spacing w:lineRule="auto" w:line="300" w:before="0" w:after="140"/>
        <w:jc w:val="both"/>
        <w:rPr/>
      </w:pPr>
      <w:r>
        <w:rPr>
          <w:rFonts w:eastAsia="Microsoft YaHei"/>
          <w:b/>
          <w:color w:val="2A2F36"/>
          <w:sz w:val="22"/>
        </w:rPr>
        <w:t>29.5</w:t>
      </w:r>
      <w:r>
        <w:rPr>
          <w:rFonts w:eastAsia="Microsoft YaHei"/>
          <w:color w:val="2A2F36"/>
          <w:sz w:val="22"/>
        </w:rPr>
        <w:t xml:space="preserve"> The Facility publishes an annual economic report: funds raised, projects financed, jobs supported, premia saved, and trade reconnected. The report gives every capital a public, measurable answer to the question of what stability earns.</w:t>
      </w:r>
    </w:p>
    <w:p>
      <w:pPr>
        <w:pStyle w:val="Heading1"/>
        <w:keepNext w:val="true"/>
        <w:keepLines/>
        <w:pBdr>
          <w:bottom w:val="single" w:sz="8" w:space="6" w:color="9C7A2E"/>
        </w:pBdr>
        <w:bidi w:val="0"/>
        <w:spacing w:before="480" w:after="200"/>
        <w:jc w:val="left"/>
        <w:rPr/>
      </w:pPr>
      <w:bookmarkStart w:id="35" w:name="__RefHeading___Toc3267_2451594232"/>
      <w:bookmarkEnd w:id="35"/>
      <w:r>
        <w:rPr>
          <w:rFonts w:eastAsia="Microsoft YaHei"/>
          <w:b/>
          <w:color w:val="1F3550"/>
          <w:sz w:val="34"/>
        </w:rPr>
        <w:t>PART VI: SECURITY AND DE-ESCALATION</w:t>
      </w:r>
    </w:p>
    <w:p>
      <w:pPr>
        <w:pStyle w:val="Heading2"/>
        <w:keepNext w:val="true"/>
        <w:keepLines/>
        <w:bidi w:val="0"/>
        <w:spacing w:before="380" w:after="140"/>
        <w:jc w:val="left"/>
        <w:rPr/>
      </w:pPr>
      <w:bookmarkStart w:id="36" w:name="__RefHeading___Toc3269_2451594232"/>
      <w:bookmarkEnd w:id="36"/>
      <w:r>
        <w:rPr>
          <w:rFonts w:eastAsia="Microsoft YaHei"/>
          <w:b/>
          <w:color w:val="1F3550"/>
          <w:sz w:val="27"/>
        </w:rPr>
        <w:t>Article 30: Standoff Geometry and Military Deconfliction</w:t>
      </w:r>
    </w:p>
    <w:p>
      <w:pPr>
        <w:pStyle w:val="Normal"/>
        <w:bidi w:val="0"/>
        <w:spacing w:lineRule="auto" w:line="300" w:before="0" w:after="140"/>
        <w:jc w:val="both"/>
        <w:rPr/>
      </w:pPr>
      <w:r>
        <w:rPr>
          <w:rFonts w:eastAsia="Microsoft YaHei"/>
          <w:b/>
          <w:color w:val="2A2F36"/>
          <w:sz w:val="22"/>
        </w:rPr>
        <w:t>30.1</w:t>
      </w:r>
      <w:r>
        <w:rPr>
          <w:rFonts w:eastAsia="Microsoft YaHei"/>
          <w:color w:val="2A2F36"/>
          <w:sz w:val="22"/>
        </w:rPr>
        <w:t xml:space="preserve"> The Governance Area operates under published standoff geometry. Table 30-A states the minimum distances that apply at all times.</w:t>
      </w:r>
    </w:p>
    <w:tbl>
      <w:tblPr>
        <w:tblW w:w="5000" w:type="pct"/>
        <w:jc w:val="left"/>
        <w:tblInd w:w="-8" w:type="dxa"/>
        <w:tblLayout w:type="fixed"/>
        <w:tblCellMar>
          <w:top w:w="60" w:type="dxa"/>
          <w:left w:w="100" w:type="dxa"/>
          <w:bottom w:w="60" w:type="dxa"/>
          <w:right w:w="100" w:type="dxa"/>
        </w:tblCellMar>
      </w:tblPr>
      <w:tblGrid>
        <w:gridCol w:w="3371"/>
        <w:gridCol w:w="2182"/>
        <w:gridCol w:w="3473"/>
      </w:tblGrid>
      <w:tr>
        <w:trPr>
          <w:tblHeader w:val="true"/>
          <w:cantSplit w:val="true"/>
        </w:trPr>
        <w:tc>
          <w:tcPr>
            <w:tcW w:w="337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Relationship</w:t>
            </w:r>
          </w:p>
        </w:tc>
        <w:tc>
          <w:tcPr>
            <w:tcW w:w="218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Minimum Distance</w:t>
            </w:r>
          </w:p>
        </w:tc>
        <w:tc>
          <w:tcPr>
            <w:tcW w:w="3473"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Rule</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Military vessel to commercial vessel in a corridor</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Three nautical miles</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military vessel adjusts; commercial traffic holds course and speed</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Military vessels of different states inside the Governance Area</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Five nautical miles</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Both adjust symmetrically; the earlier-noticed movement holds priority</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Military vessel to anchored commercial vessel</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Two nautical miles</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military vessel adjusts</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Aircraft to commercial vessel</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Three nautical miles horizontal, three thousand feet vertical</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aircraft adjusts</w:t>
            </w:r>
          </w:p>
        </w:tc>
      </w:tr>
      <w:tr>
        <w:trPr/>
        <w:tc>
          <w:tcPr>
            <w:tcW w:w="337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Any unit to a vessel in distress</w:t>
            </w:r>
          </w:p>
        </w:tc>
        <w:tc>
          <w:tcPr>
            <w:tcW w:w="218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Closest safe approach</w:t>
            </w:r>
          </w:p>
        </w:tc>
        <w:tc>
          <w:tcPr>
            <w:tcW w:w="3473"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Rescue duty overrides geometry</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b/>
          <w:color w:val="2A2F36"/>
          <w:sz w:val="22"/>
        </w:rPr>
        <w:t>30.2</w:t>
      </w:r>
      <w:r>
        <w:rPr>
          <w:rFonts w:eastAsia="Microsoft YaHei"/>
          <w:color w:val="2A2F36"/>
          <w:sz w:val="22"/>
        </w:rPr>
        <w:t xml:space="preserve"> During Flow State Dense, military vessels hold outside the commercial corridors entirely, except for transits under Article 21 and rescue operations.</w:t>
      </w:r>
    </w:p>
    <w:p>
      <w:pPr>
        <w:pStyle w:val="Normal"/>
        <w:bidi w:val="0"/>
        <w:spacing w:lineRule="auto" w:line="300" w:before="0" w:after="140"/>
        <w:jc w:val="both"/>
        <w:rPr/>
      </w:pPr>
      <w:r>
        <w:rPr>
          <w:rFonts w:eastAsia="Microsoft YaHei"/>
          <w:b/>
          <w:color w:val="2A2F36"/>
          <w:sz w:val="22"/>
        </w:rPr>
        <w:t>30.3</w:t>
      </w:r>
      <w:r>
        <w:rPr>
          <w:rFonts w:eastAsia="Microsoft YaHei"/>
          <w:color w:val="2A2F36"/>
          <w:sz w:val="22"/>
        </w:rPr>
        <w:t xml:space="preserve"> Every participant with forces in or near the Governance Area designates a standing deconfliction officer at the Maritime Coordination Center, reachable around the clock through the hotline network. The officer roster publishes in Annex E and updates within twenty-four hours of any change.</w:t>
      </w:r>
    </w:p>
    <w:p>
      <w:pPr>
        <w:pStyle w:val="Normal"/>
        <w:bidi w:val="0"/>
        <w:spacing w:lineRule="auto" w:line="300" w:before="0" w:after="140"/>
        <w:jc w:val="both"/>
        <w:rPr/>
      </w:pPr>
      <w:r>
        <w:rPr>
          <w:rFonts w:eastAsia="Microsoft YaHei"/>
          <w:b/>
          <w:color w:val="2A2F36"/>
          <w:sz w:val="22"/>
        </w:rPr>
        <w:t>30.4</w:t>
      </w:r>
      <w:r>
        <w:rPr>
          <w:rFonts w:eastAsia="Microsoft YaHei"/>
          <w:color w:val="2A2F36"/>
          <w:sz w:val="22"/>
        </w:rPr>
        <w:t xml:space="preserve"> Large-scale exercises within two hundred nautical miles of the Governance Area carry seventy-two hours advance notice through the hotline network, with the exercise area, duration, and participating unit count. The notice serves transparency; it never requests clearance.</w:t>
      </w:r>
    </w:p>
    <w:p>
      <w:pPr>
        <w:pStyle w:val="Heading2"/>
        <w:keepNext w:val="true"/>
        <w:keepLines/>
        <w:bidi w:val="0"/>
        <w:spacing w:before="380" w:after="140"/>
        <w:jc w:val="left"/>
        <w:rPr/>
      </w:pPr>
      <w:bookmarkStart w:id="37" w:name="__RefHeading___Toc3271_2451594232"/>
      <w:bookmarkEnd w:id="37"/>
      <w:r>
        <w:rPr>
          <w:rFonts w:eastAsia="Microsoft YaHei"/>
          <w:b/>
          <w:color w:val="1F3550"/>
          <w:sz w:val="27"/>
        </w:rPr>
        <w:t>Article 31: The Crisis Hotline Network</w:t>
      </w:r>
    </w:p>
    <w:p>
      <w:pPr>
        <w:pStyle w:val="Normal"/>
        <w:bidi w:val="0"/>
        <w:spacing w:lineRule="auto" w:line="300" w:before="0" w:after="140"/>
        <w:jc w:val="both"/>
        <w:rPr/>
      </w:pPr>
      <w:r>
        <w:rPr>
          <w:rFonts w:eastAsia="Microsoft YaHei"/>
          <w:b/>
          <w:color w:val="2A2F36"/>
          <w:sz w:val="22"/>
        </w:rPr>
        <w:t>31.1</w:t>
      </w:r>
      <w:r>
        <w:rPr>
          <w:rFonts w:eastAsia="Microsoft YaHei"/>
          <w:color w:val="2A2F36"/>
          <w:sz w:val="22"/>
        </w:rPr>
        <w:t xml:space="preserve"> The Crisis Hotline Network connects the following nodes: the Maritime Coordination Center in Muscat; the mirror desk in Bandar Abbas; the Gulf Cooperation Council liaison node in Riyadh; the United States naval liaison node; the European maritime awareness liaison node; and the Neutral Watch Office. The network carries dedicated voice circuits, a data channel, and a satellite fallback, and it answers within fifteen minutes at every node, at every hour, tested daily.</w:t>
      </w:r>
    </w:p>
    <w:p>
      <w:pPr>
        <w:pStyle w:val="Normal"/>
        <w:bidi w:val="0"/>
        <w:spacing w:lineRule="auto" w:line="300" w:before="0" w:after="140"/>
        <w:jc w:val="both"/>
        <w:rPr/>
      </w:pPr>
      <w:r>
        <w:rPr>
          <w:rFonts w:eastAsia="Microsoft YaHei"/>
          <w:b/>
          <w:color w:val="2A2F36"/>
          <w:sz w:val="22"/>
        </w:rPr>
        <w:t>31.2</w:t>
      </w:r>
      <w:r>
        <w:rPr>
          <w:rFonts w:eastAsia="Microsoft YaHei"/>
          <w:color w:val="2A2F36"/>
          <w:sz w:val="22"/>
        </w:rPr>
        <w:t xml:space="preserve"> The network carries four message classes, in ascending urgency: routine notice; operational query; incident alert; and crisis call. An incident alert convenes the relevant corridor coordinator and the Neutral Watch observer within thirty minutes. A crisis call convenes the director-level ring within two hours.</w:t>
      </w:r>
    </w:p>
    <w:p>
      <w:pPr>
        <w:pStyle w:val="Normal"/>
        <w:bidi w:val="0"/>
        <w:spacing w:lineRule="auto" w:line="300" w:before="0" w:after="140"/>
        <w:jc w:val="both"/>
        <w:rPr/>
      </w:pPr>
      <w:r>
        <w:rPr>
          <w:rFonts w:eastAsia="Microsoft YaHei"/>
          <w:b/>
          <w:color w:val="2A2F36"/>
          <w:sz w:val="22"/>
        </w:rPr>
        <w:t>31.3</w:t>
      </w:r>
      <w:r>
        <w:rPr>
          <w:rFonts w:eastAsia="Microsoft YaHei"/>
          <w:color w:val="2A2F36"/>
          <w:sz w:val="22"/>
        </w:rPr>
        <w:t xml:space="preserve"> Every hotline exchange logs to the shared record within one hour: parties, time, substance, and agreed action. The logs feed the Stability Audit and, in redacted operational form, the monthly transparency summary.</w:t>
      </w:r>
    </w:p>
    <w:p>
      <w:pPr>
        <w:pStyle w:val="Normal"/>
        <w:bidi w:val="0"/>
        <w:spacing w:lineRule="auto" w:line="300" w:before="0" w:after="140"/>
        <w:jc w:val="both"/>
        <w:rPr/>
      </w:pPr>
      <w:r>
        <w:rPr>
          <w:rFonts w:eastAsia="Microsoft YaHei"/>
          <w:b/>
          <w:color w:val="2A2F36"/>
          <w:sz w:val="22"/>
        </w:rPr>
        <w:t>31.4</w:t>
      </w:r>
      <w:r>
        <w:rPr>
          <w:rFonts w:eastAsia="Microsoft YaHei"/>
          <w:color w:val="2A2F36"/>
          <w:sz w:val="22"/>
        </w:rPr>
        <w:t xml:space="preserve"> The network operates through the intermediary bridge of Article 42 wherever direct contact between any two participants presents political difficulty. The bridge carries the same message classes with the same clocks, and the intermediary reads and records without editing.</w:t>
      </w:r>
    </w:p>
    <w:p>
      <w:pPr>
        <w:pStyle w:val="Heading2"/>
        <w:keepNext w:val="true"/>
        <w:keepLines/>
        <w:bidi w:val="0"/>
        <w:spacing w:before="380" w:after="140"/>
        <w:jc w:val="left"/>
        <w:rPr/>
      </w:pPr>
      <w:bookmarkStart w:id="38" w:name="__RefHeading___Toc3273_2451594232"/>
      <w:bookmarkEnd w:id="38"/>
      <w:r>
        <w:rPr>
          <w:rFonts w:eastAsia="Microsoft YaHei"/>
          <w:b/>
          <w:color w:val="1F3550"/>
          <w:sz w:val="27"/>
        </w:rPr>
        <w:t>Article 32: The Incident Ladder</w:t>
      </w:r>
    </w:p>
    <w:p>
      <w:pPr>
        <w:pStyle w:val="Normal"/>
        <w:bidi w:val="0"/>
        <w:spacing w:lineRule="auto" w:line="300" w:before="0" w:after="140"/>
        <w:jc w:val="both"/>
        <w:rPr/>
      </w:pPr>
      <w:r>
        <w:rPr>
          <w:rFonts w:eastAsia="Microsoft YaHei"/>
          <w:b/>
          <w:color w:val="2A2F36"/>
          <w:sz w:val="22"/>
        </w:rPr>
        <w:t>32.1</w:t>
      </w:r>
      <w:r>
        <w:rPr>
          <w:rFonts w:eastAsia="Microsoft YaHei"/>
          <w:color w:val="2A2F36"/>
          <w:sz w:val="22"/>
        </w:rPr>
        <w:t xml:space="preserve"> Every incident in the Governance Area climbs a pre-agreed ladder with fixed rungs and fixed clocks. Table 32-A states the ladder.</w:t>
      </w:r>
    </w:p>
    <w:tbl>
      <w:tblPr>
        <w:tblW w:w="5000" w:type="pct"/>
        <w:jc w:val="left"/>
        <w:tblInd w:w="-8" w:type="dxa"/>
        <w:tblLayout w:type="fixed"/>
        <w:tblCellMar>
          <w:top w:w="60" w:type="dxa"/>
          <w:left w:w="100" w:type="dxa"/>
          <w:bottom w:w="60" w:type="dxa"/>
          <w:right w:w="100" w:type="dxa"/>
        </w:tblCellMar>
      </w:tblPr>
      <w:tblGrid>
        <w:gridCol w:w="1388"/>
        <w:gridCol w:w="2976"/>
        <w:gridCol w:w="2381"/>
        <w:gridCol w:w="2280"/>
      </w:tblGrid>
      <w:tr>
        <w:trPr>
          <w:tblHeader w:val="true"/>
          <w:cantSplit w:val="true"/>
        </w:trPr>
        <w:tc>
          <w:tcPr>
            <w:tcW w:w="138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Rung</w:t>
            </w:r>
          </w:p>
        </w:tc>
        <w:tc>
          <w:tcPr>
            <w:tcW w:w="2976"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Forum</w:t>
            </w:r>
          </w:p>
        </w:tc>
        <w:tc>
          <w:tcPr>
            <w:tcW w:w="238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Convening Clock</w:t>
            </w:r>
          </w:p>
        </w:tc>
        <w:tc>
          <w:tcPr>
            <w:tcW w:w="22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Output</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Level One</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Bridge-to-bridge, or coordinator to vessel</w:t>
            </w:r>
          </w:p>
        </w:tc>
        <w:tc>
          <w:tcPr>
            <w:tcW w:w="23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Immediate</w:t>
            </w:r>
          </w:p>
        </w:tc>
        <w:tc>
          <w:tcPr>
            <w:tcW w:w="22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Local resolution; log entry</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Level Two</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Hotline exchange between affected nodes</w:t>
            </w:r>
          </w:p>
        </w:tc>
        <w:tc>
          <w:tcPr>
            <w:tcW w:w="23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Within thirty minutes</w:t>
            </w:r>
          </w:p>
        </w:tc>
        <w:tc>
          <w:tcPr>
            <w:tcW w:w="22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Agreed action; shared record</w:t>
            </w:r>
          </w:p>
        </w:tc>
      </w:tr>
      <w:tr>
        <w:trPr/>
        <w:tc>
          <w:tcPr>
            <w:tcW w:w="138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Level Three</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Director-level call, Maritime Coordination Center and affected commands</w:t>
            </w:r>
          </w:p>
        </w:tc>
        <w:tc>
          <w:tcPr>
            <w:tcW w:w="23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Within two hours</w:t>
            </w:r>
          </w:p>
        </w:tc>
        <w:tc>
          <w:tcPr>
            <w:tcW w:w="22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De-escalation instruction; public incident note</w:t>
            </w:r>
          </w:p>
        </w:tc>
      </w:tr>
      <w:tr>
        <w:trPr/>
        <w:tc>
          <w:tcPr>
            <w:tcW w:w="138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Level Four</w:t>
            </w:r>
          </w:p>
        </w:tc>
        <w:tc>
          <w:tcPr>
            <w:tcW w:w="2976"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Emergency session of the Council</w:t>
            </w:r>
          </w:p>
        </w:tc>
        <w:tc>
          <w:tcPr>
            <w:tcW w:w="238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Within twenty-four hours</w:t>
            </w:r>
          </w:p>
        </w:tc>
        <w:tc>
          <w:tcPr>
            <w:tcW w:w="22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Council decision; stability measures; audit referral</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b/>
          <w:color w:val="2A2F36"/>
          <w:sz w:val="22"/>
        </w:rPr>
        <w:t>32.2</w:t>
      </w:r>
      <w:r>
        <w:rPr>
          <w:rFonts w:eastAsia="Microsoft YaHei"/>
          <w:color w:val="2A2F36"/>
          <w:sz w:val="22"/>
        </w:rPr>
        <w:t xml:space="preserve"> An incident enters the ladder at the lowest rung and climbs only on failure to resolve within the clock. No participant skips a rung downward in urgency: any participant moves any incident to a higher rung on its own initiative, and nobody moves an incident downward.</w:t>
      </w:r>
    </w:p>
    <w:p>
      <w:pPr>
        <w:pStyle w:val="Normal"/>
        <w:bidi w:val="0"/>
        <w:spacing w:lineRule="auto" w:line="300" w:before="0" w:after="140"/>
        <w:jc w:val="both"/>
        <w:rPr/>
      </w:pPr>
      <w:r>
        <w:rPr>
          <w:rFonts w:eastAsia="Microsoft YaHei"/>
          <w:b/>
          <w:color w:val="2A2F36"/>
          <w:sz w:val="22"/>
        </w:rPr>
        <w:t>32.3</w:t>
      </w:r>
      <w:r>
        <w:rPr>
          <w:rFonts w:eastAsia="Microsoft YaHei"/>
          <w:color w:val="2A2F36"/>
          <w:sz w:val="22"/>
        </w:rPr>
        <w:t xml:space="preserve"> The ladder applies to military-commercial proximity events, navigation incidents, hazard discoveries, and attribution disputes alike. The ladder's purpose stands constant: convert events into procedures before events become crises.</w:t>
      </w:r>
    </w:p>
    <w:p>
      <w:pPr>
        <w:pStyle w:val="Heading2"/>
        <w:keepNext w:val="true"/>
        <w:keepLines/>
        <w:bidi w:val="0"/>
        <w:spacing w:before="380" w:after="140"/>
        <w:jc w:val="left"/>
        <w:rPr/>
      </w:pPr>
      <w:bookmarkStart w:id="39" w:name="__RefHeading___Toc3275_2451594232"/>
      <w:bookmarkEnd w:id="39"/>
      <w:r>
        <w:rPr>
          <w:rFonts w:eastAsia="Microsoft YaHei"/>
          <w:b/>
          <w:color w:val="1F3550"/>
          <w:sz w:val="27"/>
        </w:rPr>
        <w:t>Article 33: The Five-Level Crisis Protocol and the Corridor Emergency Override</w:t>
      </w:r>
    </w:p>
    <w:p>
      <w:pPr>
        <w:pStyle w:val="Normal"/>
        <w:bidi w:val="0"/>
        <w:spacing w:lineRule="auto" w:line="300" w:before="0" w:after="140"/>
        <w:jc w:val="both"/>
        <w:rPr/>
      </w:pPr>
      <w:r>
        <w:rPr>
          <w:rFonts w:eastAsia="Microsoft YaHei"/>
          <w:b/>
          <w:color w:val="2A2F36"/>
          <w:sz w:val="22"/>
        </w:rPr>
        <w:t>33.1</w:t>
      </w:r>
      <w:r>
        <w:rPr>
          <w:rFonts w:eastAsia="Microsoft YaHei"/>
          <w:color w:val="2A2F36"/>
          <w:sz w:val="22"/>
        </w:rPr>
        <w:t xml:space="preserve"> The architecture operates a five-level crisis protocol: Watch, Alert, Crisis, Severe Crisis, and Maximum. Annex F states the checklists. Each level carries a defined entry concurrence, a defined operational content, a defined maximum duration, and a defined exit path.</w:t>
      </w:r>
    </w:p>
    <w:p>
      <w:pPr>
        <w:pStyle w:val="Normal"/>
        <w:bidi w:val="0"/>
        <w:spacing w:lineRule="auto" w:line="300" w:before="0" w:after="140"/>
        <w:jc w:val="both"/>
        <w:rPr/>
      </w:pPr>
      <w:r>
        <w:rPr>
          <w:rFonts w:eastAsia="Microsoft YaHei"/>
          <w:b/>
          <w:color w:val="2A2F36"/>
          <w:sz w:val="22"/>
        </w:rPr>
        <w:t>33.2</w:t>
      </w:r>
      <w:r>
        <w:rPr>
          <w:rFonts w:eastAsia="Microsoft YaHei"/>
          <w:color w:val="2A2F36"/>
          <w:sz w:val="22"/>
        </w:rPr>
        <w:t xml:space="preserve"> Entry concurrences: the Corridor Operations Board declares Watch and Alert. The Council declares Crisis by consensus-minus-one. The Council declares Severe Crisis and Maximum by consensus including the Twin Key. Every declaration publishes immediately with its evidence summary.</w:t>
      </w:r>
    </w:p>
    <w:p>
      <w:pPr>
        <w:pStyle w:val="Normal"/>
        <w:bidi w:val="0"/>
        <w:spacing w:lineRule="auto" w:line="300" w:before="0" w:after="140"/>
        <w:jc w:val="both"/>
        <w:rPr/>
      </w:pPr>
      <w:r>
        <w:rPr>
          <w:rFonts w:eastAsia="Microsoft YaHei"/>
          <w:b/>
          <w:color w:val="2A2F36"/>
          <w:sz w:val="22"/>
        </w:rPr>
        <w:t>33.3</w:t>
      </w:r>
      <w:r>
        <w:rPr>
          <w:rFonts w:eastAsia="Microsoft YaHei"/>
          <w:color w:val="2A2F36"/>
          <w:sz w:val="22"/>
        </w:rPr>
        <w:t xml:space="preserve"> Level durations bind: Watch runs fourteen days and expires unless renewed on fresh evidence; Alert runs seven days; Crisis runs seventy-two hours and steps down automatically absent renewal; Severe Crisis and Maximum run forty-eight hours per renewal. Automatic expiry protects the Strait from drifting closure: the architecture always decays toward openness.</w:t>
      </w:r>
    </w:p>
    <w:p>
      <w:pPr>
        <w:pStyle w:val="Normal"/>
        <w:bidi w:val="0"/>
        <w:spacing w:lineRule="auto" w:line="300" w:before="0" w:after="140"/>
        <w:jc w:val="both"/>
        <w:rPr/>
      </w:pPr>
      <w:r>
        <w:rPr>
          <w:rFonts w:eastAsia="Microsoft YaHei"/>
          <w:b/>
          <w:color w:val="2A2F36"/>
          <w:sz w:val="22"/>
        </w:rPr>
        <w:t>33.4</w:t>
      </w:r>
      <w:r>
        <w:rPr>
          <w:rFonts w:eastAsia="Microsoft YaHei"/>
          <w:color w:val="2A2F36"/>
          <w:sz w:val="22"/>
        </w:rPr>
        <w:t xml:space="preserve"> The Corridor Emergency Override. Any two Council members, including at least one Founding Party, invoke the Override on a certified hazard or incident event. The Override freezes missile and exercise activity within two hundred kilometers of the corridors for seventy-two hours, deploys the emergency joint verification team within twenty-four hours, and concentrates all commercial routing in the certified-clear corridors. The Override suspends no transit right and closes no corridor to commercial traffic; it reallocates separation space to safety.</w:t>
      </w:r>
    </w:p>
    <w:p>
      <w:pPr>
        <w:pStyle w:val="Normal"/>
        <w:bidi w:val="0"/>
        <w:spacing w:lineRule="auto" w:line="300" w:before="0" w:after="140"/>
        <w:jc w:val="both"/>
        <w:rPr/>
      </w:pPr>
      <w:r>
        <w:rPr>
          <w:rFonts w:eastAsia="Microsoft YaHei"/>
          <w:b/>
          <w:color w:val="2A2F36"/>
          <w:sz w:val="22"/>
        </w:rPr>
        <w:t>33.5</w:t>
      </w:r>
      <w:r>
        <w:rPr>
          <w:rFonts w:eastAsia="Microsoft YaHei"/>
          <w:color w:val="2A2F36"/>
          <w:sz w:val="22"/>
        </w:rPr>
        <w:t xml:space="preserve"> At every crisis level, in every hour, the Humanitarian Bridge operates, the Zero-Toll Covenant holds, and the non-interdiction protocol binds. Crisis levels regulate military and administrative posture; they never touch the Five Standing Rules.</w:t>
      </w:r>
    </w:p>
    <w:p>
      <w:pPr>
        <w:pStyle w:val="Heading2"/>
        <w:keepNext w:val="true"/>
        <w:keepLines/>
        <w:bidi w:val="0"/>
        <w:spacing w:before="380" w:after="140"/>
        <w:jc w:val="left"/>
        <w:rPr/>
      </w:pPr>
      <w:bookmarkStart w:id="40" w:name="__RefHeading___Toc3277_2451594232"/>
      <w:bookmarkEnd w:id="40"/>
      <w:r>
        <w:rPr>
          <w:rFonts w:eastAsia="Microsoft YaHei"/>
          <w:b/>
          <w:color w:val="1F3550"/>
          <w:sz w:val="27"/>
        </w:rPr>
        <w:t>Article 34: The False-Flag and Attribution Protocol</w:t>
      </w:r>
    </w:p>
    <w:p>
      <w:pPr>
        <w:pStyle w:val="Normal"/>
        <w:bidi w:val="0"/>
        <w:spacing w:lineRule="auto" w:line="300" w:before="0" w:after="140"/>
        <w:jc w:val="both"/>
        <w:rPr/>
      </w:pPr>
      <w:r>
        <w:rPr>
          <w:rFonts w:eastAsia="Microsoft YaHei"/>
          <w:b/>
          <w:color w:val="2A2F36"/>
          <w:sz w:val="22"/>
        </w:rPr>
        <w:t>34.1</w:t>
      </w:r>
      <w:r>
        <w:rPr>
          <w:rFonts w:eastAsia="Microsoft YaHei"/>
          <w:color w:val="2A2F36"/>
          <w:sz w:val="22"/>
        </w:rPr>
        <w:t xml:space="preserve"> Any incident of violence, interference, or hazard emplacement in the Governance Area enters the fourteen-day forensic procedure of this Article. The procedure determines responsibility by evidence and expressly resists automatic blame.</w:t>
      </w:r>
    </w:p>
    <w:p>
      <w:pPr>
        <w:pStyle w:val="Normal"/>
        <w:bidi w:val="0"/>
        <w:spacing w:lineRule="auto" w:line="300" w:before="0" w:after="140"/>
        <w:jc w:val="both"/>
        <w:rPr/>
      </w:pPr>
      <w:r>
        <w:rPr>
          <w:rFonts w:eastAsia="Microsoft YaHei"/>
          <w:b/>
          <w:color w:val="2A2F36"/>
          <w:sz w:val="22"/>
        </w:rPr>
        <w:t>34.2</w:t>
      </w:r>
      <w:r>
        <w:rPr>
          <w:rFonts w:eastAsia="Microsoft YaHei"/>
          <w:color w:val="2A2F36"/>
          <w:sz w:val="22"/>
        </w:rPr>
        <w:t xml:space="preserve"> The procedure classifies every investigated incident into one of four findings: confirmed attribution; probable attribution; inconclusive; or manufactured event. Each finding states its evidence base, its confidence grade, and its dissenting observations in full.</w:t>
      </w:r>
    </w:p>
    <w:p>
      <w:pPr>
        <w:pStyle w:val="Normal"/>
        <w:bidi w:val="0"/>
        <w:spacing w:lineRule="auto" w:line="300" w:before="0" w:after="140"/>
        <w:jc w:val="both"/>
        <w:rPr/>
      </w:pPr>
      <w:r>
        <w:rPr>
          <w:rFonts w:eastAsia="Microsoft YaHei"/>
          <w:b/>
          <w:color w:val="2A2F36"/>
          <w:sz w:val="22"/>
        </w:rPr>
        <w:t>34.3</w:t>
      </w:r>
      <w:r>
        <w:rPr>
          <w:rFonts w:eastAsia="Microsoft YaHei"/>
          <w:color w:val="2A2F36"/>
          <w:sz w:val="22"/>
        </w:rPr>
        <w:t xml:space="preserve"> A joint forensic cell conducts the investigation: paired technical observers of the Verification and Surveillance Directorate, a neutral laboratory capability under the equipment schedule of Annex K, and observer access for the affected parties. The cell preserves chain of custody on every fragment, every recording, and every track.</w:t>
      </w:r>
    </w:p>
    <w:p>
      <w:pPr>
        <w:pStyle w:val="Normal"/>
        <w:bidi w:val="0"/>
        <w:spacing w:lineRule="auto" w:line="300" w:before="0" w:after="140"/>
        <w:jc w:val="both"/>
        <w:rPr/>
      </w:pPr>
      <w:r>
        <w:rPr>
          <w:rFonts w:eastAsia="Microsoft YaHei"/>
          <w:b/>
          <w:color w:val="2A2F36"/>
          <w:sz w:val="22"/>
        </w:rPr>
        <w:t>34.4</w:t>
      </w:r>
      <w:r>
        <w:rPr>
          <w:rFonts w:eastAsia="Microsoft YaHei"/>
          <w:color w:val="2A2F36"/>
          <w:sz w:val="22"/>
        </w:rPr>
        <w:t xml:space="preserve"> Findings bind the Compliance Engine: a confirmed or probable attribution of an architectural breach activates Article 45 against the responsible party; an inconclusive finding activates enhanced monitoring without consequence; a manufactured-event finding activates Article 45 against the manufacturer. No finding triggers any kinetic response through this Pact; the framework architecture excludes kinetic enforcement mechanisms entirely.</w:t>
      </w:r>
    </w:p>
    <w:p>
      <w:pPr>
        <w:pStyle w:val="Normal"/>
        <w:bidi w:val="0"/>
        <w:spacing w:lineRule="auto" w:line="300" w:before="0" w:after="140"/>
        <w:jc w:val="both"/>
        <w:rPr/>
      </w:pPr>
      <w:r>
        <w:rPr>
          <w:rFonts w:eastAsia="Microsoft YaHei"/>
          <w:b/>
          <w:color w:val="2A2F36"/>
          <w:sz w:val="22"/>
        </w:rPr>
        <w:t>34.5</w:t>
      </w:r>
      <w:r>
        <w:rPr>
          <w:rFonts w:eastAsia="Microsoft YaHei"/>
          <w:color w:val="2A2F36"/>
          <w:sz w:val="22"/>
        </w:rPr>
        <w:t xml:space="preserve"> The fourteen-day clock runs publicly on the Transparency Portal. If the cell needs extension, the Council grants one extension of seven days on a showing of specific evidence gaps, and the interim record publishes with its gaps named.</w:t>
      </w:r>
    </w:p>
    <w:p>
      <w:pPr>
        <w:pStyle w:val="Heading2"/>
        <w:keepNext w:val="true"/>
        <w:keepLines/>
        <w:bidi w:val="0"/>
        <w:spacing w:before="380" w:after="140"/>
        <w:jc w:val="left"/>
        <w:rPr/>
      </w:pPr>
      <w:bookmarkStart w:id="41" w:name="__RefHeading___Toc3279_2451594232"/>
      <w:bookmarkEnd w:id="41"/>
      <w:r>
        <w:rPr>
          <w:rFonts w:eastAsia="Microsoft YaHei"/>
          <w:b/>
          <w:color w:val="1F3550"/>
          <w:sz w:val="27"/>
        </w:rPr>
        <w:t>Article 35: Missile and Exercise Notification Rules</w:t>
      </w:r>
    </w:p>
    <w:p>
      <w:pPr>
        <w:pStyle w:val="Normal"/>
        <w:bidi w:val="0"/>
        <w:spacing w:lineRule="auto" w:line="300" w:before="0" w:after="140"/>
        <w:jc w:val="both"/>
        <w:rPr/>
      </w:pPr>
      <w:r>
        <w:rPr>
          <w:rFonts w:eastAsia="Microsoft YaHei"/>
          <w:b/>
          <w:color w:val="2A2F36"/>
          <w:sz w:val="22"/>
        </w:rPr>
        <w:t>35.1</w:t>
      </w:r>
      <w:r>
        <w:rPr>
          <w:rFonts w:eastAsia="Microsoft YaHei"/>
          <w:color w:val="2A2F36"/>
          <w:sz w:val="22"/>
        </w:rPr>
        <w:t xml:space="preserve"> Any missile test, drone test, or live-fire exercise within two hundred kilometers of the corridors carries forty-eight hours advance notification to the Maritime Coordination Center: declared launch window, declared impact or exercise area, participating unit count, and a safety contact. Annex Q states the notification format.</w:t>
      </w:r>
    </w:p>
    <w:p>
      <w:pPr>
        <w:pStyle w:val="Normal"/>
        <w:bidi w:val="0"/>
        <w:spacing w:lineRule="auto" w:line="300" w:before="0" w:after="140"/>
        <w:jc w:val="both"/>
        <w:rPr/>
      </w:pPr>
      <w:r>
        <w:rPr>
          <w:rFonts w:eastAsia="Microsoft YaHei"/>
          <w:b/>
          <w:color w:val="2A2F36"/>
          <w:sz w:val="22"/>
        </w:rPr>
        <w:t>35.2</w:t>
      </w:r>
      <w:r>
        <w:rPr>
          <w:rFonts w:eastAsia="Microsoft YaHei"/>
          <w:color w:val="2A2F36"/>
          <w:sz w:val="22"/>
        </w:rPr>
        <w:t xml:space="preserve"> During a Corridor Emergency Override, the freeze of Article 33.4 governs absolutely: no test or live-fire activity occurs inside the notification radius until the Override expires.</w:t>
      </w:r>
    </w:p>
    <w:p>
      <w:pPr>
        <w:pStyle w:val="Normal"/>
        <w:bidi w:val="0"/>
        <w:spacing w:lineRule="auto" w:line="300" w:before="0" w:after="140"/>
        <w:jc w:val="both"/>
        <w:rPr/>
      </w:pPr>
      <w:r>
        <w:rPr>
          <w:rFonts w:eastAsia="Microsoft YaHei"/>
          <w:b/>
          <w:color w:val="2A2F36"/>
          <w:sz w:val="22"/>
        </w:rPr>
        <w:t>35.3</w:t>
      </w:r>
      <w:r>
        <w:rPr>
          <w:rFonts w:eastAsia="Microsoft YaHei"/>
          <w:color w:val="2A2F36"/>
          <w:sz w:val="22"/>
        </w:rPr>
        <w:t xml:space="preserve"> Coastal defensive systems maintain declared readiness postures during commercial peak windows, and the posture declarations file with the Registry under the non-prejudice rule. The declarations serve predictability; they address no capability question.</w:t>
      </w:r>
    </w:p>
    <w:p>
      <w:pPr>
        <w:pStyle w:val="Normal"/>
        <w:bidi w:val="0"/>
        <w:spacing w:lineRule="auto" w:line="300" w:before="0" w:after="140"/>
        <w:jc w:val="both"/>
        <w:rPr/>
      </w:pPr>
      <w:r>
        <w:rPr>
          <w:rFonts w:eastAsia="Microsoft YaHei"/>
          <w:b/>
          <w:color w:val="2A2F36"/>
          <w:sz w:val="22"/>
        </w:rPr>
        <w:t>35.4</w:t>
      </w:r>
      <w:r>
        <w:rPr>
          <w:rFonts w:eastAsia="Microsoft YaHei"/>
          <w:color w:val="2A2F36"/>
          <w:sz w:val="22"/>
        </w:rPr>
        <w:t xml:space="preserve"> This Article addresses safety coupling between tests and shipping alone. It reaches no question of possession, capability, or doctrine, and it connects to no other track. The nuclear firewall of Article 36 applies in full.</w:t>
      </w:r>
    </w:p>
    <w:p>
      <w:pPr>
        <w:pStyle w:val="Heading1"/>
        <w:keepNext w:val="true"/>
        <w:keepLines/>
        <w:pBdr>
          <w:bottom w:val="single" w:sz="8" w:space="6" w:color="9C7A2E"/>
        </w:pBdr>
        <w:bidi w:val="0"/>
        <w:spacing w:before="480" w:after="200"/>
        <w:jc w:val="left"/>
        <w:rPr/>
      </w:pPr>
      <w:bookmarkStart w:id="42" w:name="__RefHeading___Toc3281_2451594232"/>
      <w:bookmarkEnd w:id="42"/>
      <w:r>
        <w:rPr>
          <w:rFonts w:eastAsia="Microsoft YaHei"/>
          <w:b/>
          <w:color w:val="1F3550"/>
          <w:sz w:val="34"/>
        </w:rPr>
        <w:t>PART VII: THE NUCLEAR FIREWALL</w:t>
      </w:r>
    </w:p>
    <w:p>
      <w:pPr>
        <w:pStyle w:val="Heading2"/>
        <w:keepNext w:val="true"/>
        <w:keepLines/>
        <w:bidi w:val="0"/>
        <w:spacing w:before="380" w:after="140"/>
        <w:jc w:val="left"/>
        <w:rPr/>
      </w:pPr>
      <w:bookmarkStart w:id="43" w:name="__RefHeading___Toc3283_2451594232"/>
      <w:bookmarkEnd w:id="43"/>
      <w:r>
        <w:rPr>
          <w:rFonts w:eastAsia="Microsoft YaHei"/>
          <w:b/>
          <w:color w:val="1F3550"/>
          <w:sz w:val="27"/>
        </w:rPr>
        <w:t>Article 36: The Firewall Principle</w:t>
      </w:r>
    </w:p>
    <w:p>
      <w:pPr>
        <w:pStyle w:val="Normal"/>
        <w:bidi w:val="0"/>
        <w:spacing w:lineRule="auto" w:line="300" w:before="0" w:after="140"/>
        <w:jc w:val="both"/>
        <w:rPr/>
      </w:pPr>
      <w:r>
        <w:rPr>
          <w:rFonts w:eastAsia="Microsoft YaHei"/>
          <w:b/>
          <w:color w:val="2A2F36"/>
          <w:sz w:val="22"/>
        </w:rPr>
        <w:t>36.1</w:t>
      </w:r>
      <w:r>
        <w:rPr>
          <w:rFonts w:eastAsia="Microsoft YaHei"/>
          <w:color w:val="2A2F36"/>
          <w:sz w:val="22"/>
        </w:rPr>
        <w:t xml:space="preserve"> The nuclear file lives outside this Pact. The Pact neither addresses, nor conditions, nor answers to any question of nuclear programs, materials, facilities, inspections, or negotiations. The Pact stands complete and operative without reference to any nuclear matter.</w:t>
      </w:r>
    </w:p>
    <w:p>
      <w:pPr>
        <w:pStyle w:val="Normal"/>
        <w:bidi w:val="0"/>
        <w:spacing w:lineRule="auto" w:line="300" w:before="0" w:after="140"/>
        <w:jc w:val="both"/>
        <w:rPr/>
      </w:pPr>
      <w:r>
        <w:rPr>
          <w:rFonts w:eastAsia="Microsoft YaHei"/>
          <w:b/>
          <w:color w:val="2A2F36"/>
          <w:sz w:val="22"/>
        </w:rPr>
        <w:t>36.2</w:t>
      </w:r>
      <w:r>
        <w:rPr>
          <w:rFonts w:eastAsia="Microsoft YaHei"/>
          <w:color w:val="2A2F36"/>
          <w:sz w:val="22"/>
        </w:rPr>
        <w:t xml:space="preserve"> The firewall operates in both directions. No provision of this Pact creates leverage for use in any nuclear negotiation, and no nuclear development suspends, delays, or conditions any provision of this Pact. The corridors stay open, the funds keep flowing, and the verification keeps certifying, whatever happens on any other track.</w:t>
      </w:r>
    </w:p>
    <w:p>
      <w:pPr>
        <w:pStyle w:val="Normal"/>
        <w:bidi w:val="0"/>
        <w:spacing w:lineRule="auto" w:line="300" w:before="0" w:after="140"/>
        <w:jc w:val="both"/>
        <w:rPr/>
      </w:pPr>
      <w:r>
        <w:rPr>
          <w:rFonts w:eastAsia="Microsoft YaHei"/>
          <w:b/>
          <w:color w:val="2A2F36"/>
          <w:sz w:val="22"/>
        </w:rPr>
        <w:t>36.3</w:t>
      </w:r>
      <w:r>
        <w:rPr>
          <w:rFonts w:eastAsia="Microsoft YaHei"/>
          <w:color w:val="2A2F36"/>
          <w:sz w:val="22"/>
        </w:rPr>
        <w:t xml:space="preserve"> Annex P states the firewall protocol in operative detail: the separation of data systems, the separation of personnel mandates, the separation of meeting records, and the rules that prevent any cross-referencing clause from entering either track.</w:t>
      </w:r>
    </w:p>
    <w:p>
      <w:pPr>
        <w:pStyle w:val="Normal"/>
        <w:bidi w:val="0"/>
        <w:spacing w:lineRule="auto" w:line="300" w:before="0" w:after="140"/>
        <w:jc w:val="both"/>
        <w:rPr/>
      </w:pPr>
      <w:r>
        <w:rPr>
          <w:rFonts w:eastAsia="Microsoft YaHei"/>
          <w:b/>
          <w:color w:val="2A2F36"/>
          <w:sz w:val="22"/>
        </w:rPr>
        <w:t>36.4</w:t>
      </w:r>
      <w:r>
        <w:rPr>
          <w:rFonts w:eastAsia="Microsoft YaHei"/>
          <w:color w:val="2A2F36"/>
          <w:sz w:val="22"/>
        </w:rPr>
        <w:t xml:space="preserve"> The firewall protects every participant. It protects the coastal states from linkage pressure, it protects the endorsing states from scope creep, and it protects the architecture itself from the collapse risk that linkage always carries.</w:t>
      </w:r>
    </w:p>
    <w:p>
      <w:pPr>
        <w:pStyle w:val="Normal"/>
        <w:bidi w:val="0"/>
        <w:spacing w:lineRule="auto" w:line="300" w:before="0" w:after="140"/>
        <w:jc w:val="both"/>
        <w:rPr/>
      </w:pPr>
      <w:r>
        <w:rPr>
          <w:rFonts w:eastAsia="Microsoft YaHei"/>
          <w:b/>
          <w:color w:val="2A2F36"/>
          <w:sz w:val="22"/>
        </w:rPr>
        <w:t>36.5</w:t>
      </w:r>
      <w:r>
        <w:rPr>
          <w:rFonts w:eastAsia="Microsoft YaHei"/>
          <w:color w:val="2A2F36"/>
          <w:sz w:val="22"/>
        </w:rPr>
        <w:t xml:space="preserve"> Data never serves kinetic action. Information generated by this Pact's monitoring systems serves the safety and verification functions of this Pact alone. No participant requests, and no institution of this Pact supplies, Pact data for targeting, strike planning, or coercive intelligence. The Intelligence Integrity Protocol of Annex B binds every feed: sources named, custody logged, tasking restricted to the mandate of this Pact.</w:t>
      </w:r>
    </w:p>
    <w:p>
      <w:pPr>
        <w:pStyle w:val="Heading1"/>
        <w:keepNext w:val="true"/>
        <w:keepLines/>
        <w:pBdr>
          <w:bottom w:val="single" w:sz="8" w:space="6" w:color="9C7A2E"/>
        </w:pBdr>
        <w:bidi w:val="0"/>
        <w:spacing w:before="480" w:after="200"/>
        <w:jc w:val="left"/>
        <w:rPr/>
      </w:pPr>
      <w:bookmarkStart w:id="44" w:name="__RefHeading___Toc3285_2451594232"/>
      <w:bookmarkEnd w:id="44"/>
      <w:r>
        <w:rPr>
          <w:rFonts w:eastAsia="Microsoft YaHei"/>
          <w:b/>
          <w:color w:val="1F3550"/>
          <w:sz w:val="34"/>
        </w:rPr>
        <w:t>PART VIII: THE INSTITUTIONAL ARCHITECTURE</w:t>
      </w:r>
    </w:p>
    <w:p>
      <w:pPr>
        <w:pStyle w:val="Heading2"/>
        <w:keepNext w:val="true"/>
        <w:keepLines/>
        <w:bidi w:val="0"/>
        <w:spacing w:before="380" w:after="140"/>
        <w:jc w:val="left"/>
        <w:rPr/>
      </w:pPr>
      <w:bookmarkStart w:id="45" w:name="__RefHeading___Toc3287_2451594232"/>
      <w:bookmarkEnd w:id="45"/>
      <w:r>
        <w:rPr>
          <w:rFonts w:eastAsia="Microsoft YaHei"/>
          <w:b/>
          <w:color w:val="1F3550"/>
          <w:sz w:val="27"/>
        </w:rPr>
        <w:t>Article 37: The Hormuz Stewardship Council and the Twin Key</w:t>
      </w:r>
    </w:p>
    <w:p>
      <w:pPr>
        <w:pStyle w:val="Normal"/>
        <w:bidi w:val="0"/>
        <w:spacing w:lineRule="auto" w:line="300" w:before="0" w:after="140"/>
        <w:jc w:val="both"/>
        <w:rPr/>
      </w:pPr>
      <w:r>
        <w:rPr>
          <w:rFonts w:eastAsia="Microsoft YaHei"/>
          <w:b/>
          <w:color w:val="2A2F36"/>
          <w:sz w:val="22"/>
        </w:rPr>
        <w:t>37.1</w:t>
      </w:r>
      <w:r>
        <w:rPr>
          <w:rFonts w:eastAsia="Microsoft YaHei"/>
          <w:color w:val="2A2F36"/>
          <w:sz w:val="22"/>
        </w:rPr>
        <w:t xml:space="preserve"> The Hormuz Stewardship Council governs the Pact. The Council comprises the Founding Parties, the Observer Members, the Endorsing Stakeholders, and the chairs of the standing organs, seated under the participation tiers of Article 40.</w:t>
      </w:r>
    </w:p>
    <w:p>
      <w:pPr>
        <w:pStyle w:val="Normal"/>
        <w:bidi w:val="0"/>
        <w:spacing w:lineRule="auto" w:line="300" w:before="0" w:after="140"/>
        <w:jc w:val="both"/>
        <w:rPr/>
      </w:pPr>
      <w:r>
        <w:rPr>
          <w:rFonts w:eastAsia="Microsoft YaHei"/>
          <w:b/>
          <w:color w:val="2A2F36"/>
          <w:sz w:val="22"/>
        </w:rPr>
        <w:t>37.2</w:t>
      </w:r>
      <w:r>
        <w:rPr>
          <w:rFonts w:eastAsia="Microsoft YaHei"/>
          <w:color w:val="2A2F36"/>
          <w:sz w:val="22"/>
        </w:rPr>
        <w:t xml:space="preserve"> The Council meets quarterly in Muscat and convenes in emergency session within forty-eight hours of a qualifying event or a Level Four incident. The Council acts by the decision rules of Article 41.</w:t>
      </w:r>
    </w:p>
    <w:p>
      <w:pPr>
        <w:pStyle w:val="Normal"/>
        <w:bidi w:val="0"/>
        <w:spacing w:lineRule="auto" w:line="300" w:before="0" w:after="140"/>
        <w:jc w:val="both"/>
        <w:rPr/>
      </w:pPr>
      <w:r>
        <w:rPr>
          <w:rFonts w:eastAsia="Microsoft YaHei"/>
          <w:b/>
          <w:color w:val="2A2F36"/>
          <w:sz w:val="22"/>
        </w:rPr>
        <w:t>37.3</w:t>
      </w:r>
      <w:r>
        <w:rPr>
          <w:rFonts w:eastAsia="Microsoft YaHei"/>
          <w:color w:val="2A2F36"/>
          <w:sz w:val="22"/>
        </w:rPr>
        <w:t xml:space="preserve"> The Twin Key. The Founding Parties, the Islamic Republic of Iran and the Sultanate of Oman, hold paired authority over every corridor-altering, security-sensitive, or architecture-changing decision. A Twin Key decision takes effect only with the concurrence of both Founding Parties. The Twin Key converts sovereignty questions into a shared operating function: each Founding Party holds a permanent, structural role, and neither acts alone.</w:t>
      </w:r>
    </w:p>
    <w:p>
      <w:pPr>
        <w:pStyle w:val="Normal"/>
        <w:bidi w:val="0"/>
        <w:spacing w:lineRule="auto" w:line="300" w:before="0" w:after="140"/>
        <w:jc w:val="both"/>
        <w:rPr/>
      </w:pPr>
      <w:r>
        <w:rPr>
          <w:rFonts w:eastAsia="Microsoft YaHei"/>
          <w:b/>
          <w:color w:val="2A2F36"/>
          <w:sz w:val="22"/>
        </w:rPr>
        <w:t>37.4</w:t>
      </w:r>
      <w:r>
        <w:rPr>
          <w:rFonts w:eastAsia="Microsoft YaHei"/>
          <w:color w:val="2A2F36"/>
          <w:sz w:val="22"/>
        </w:rPr>
        <w:t xml:space="preserve"> The Twin Key never touches the daily running of transit. Routine operations flow through the Maritime Coordination Center under published rules. The Twin Key guards the architecture, not the traffic.</w:t>
      </w:r>
    </w:p>
    <w:p>
      <w:pPr>
        <w:pStyle w:val="Heading2"/>
        <w:keepNext w:val="true"/>
        <w:keepLines/>
        <w:bidi w:val="0"/>
        <w:spacing w:before="380" w:after="140"/>
        <w:jc w:val="left"/>
        <w:rPr/>
      </w:pPr>
      <w:bookmarkStart w:id="46" w:name="__RefHeading___Toc3289_2451594232"/>
      <w:bookmarkEnd w:id="46"/>
      <w:r>
        <w:rPr>
          <w:rFonts w:eastAsia="Microsoft YaHei"/>
          <w:b/>
          <w:color w:val="1F3550"/>
          <w:sz w:val="27"/>
        </w:rPr>
        <w:t>Article 38: The Secretariat and the Maritime Coordination Center</w:t>
      </w:r>
    </w:p>
    <w:p>
      <w:pPr>
        <w:pStyle w:val="Normal"/>
        <w:bidi w:val="0"/>
        <w:spacing w:lineRule="auto" w:line="300" w:before="0" w:after="140"/>
        <w:jc w:val="both"/>
        <w:rPr/>
      </w:pPr>
      <w:r>
        <w:rPr>
          <w:rFonts w:eastAsia="Microsoft YaHei"/>
          <w:b/>
          <w:color w:val="2A2F36"/>
          <w:sz w:val="22"/>
        </w:rPr>
        <w:t>38.1</w:t>
      </w:r>
      <w:r>
        <w:rPr>
          <w:rFonts w:eastAsia="Microsoft YaHei"/>
          <w:color w:val="2A2F36"/>
          <w:sz w:val="22"/>
        </w:rPr>
        <w:t xml:space="preserve"> The Secretariat seats in Muscat, with a permanent mirror facility in Bandar Abbas. The mirror holds duplicate systems, duplicate records, and duplicate staffing authority, and it assumes any Secretariat function within one hour of a continuity event.</w:t>
      </w:r>
    </w:p>
    <w:p>
      <w:pPr>
        <w:pStyle w:val="Normal"/>
        <w:bidi w:val="0"/>
        <w:spacing w:lineRule="auto" w:line="300" w:before="0" w:after="140"/>
        <w:jc w:val="both"/>
        <w:rPr/>
      </w:pPr>
      <w:r>
        <w:rPr>
          <w:rFonts w:eastAsia="Microsoft YaHei"/>
          <w:b/>
          <w:color w:val="2A2F36"/>
          <w:sz w:val="22"/>
        </w:rPr>
        <w:t>38.2</w:t>
      </w:r>
      <w:r>
        <w:rPr>
          <w:rFonts w:eastAsia="Microsoft YaHei"/>
          <w:color w:val="2A2F36"/>
          <w:sz w:val="22"/>
        </w:rPr>
        <w:t xml:space="preserve"> The Council appoints the Director of the Secretariat by consensus, on a five-year renewable term, from nationals of neutral participating states. The Director runs the administration, owns the implementation dashboard of Part X, and reports monthly to the Council and publicly through the Transparency Portal.</w:t>
      </w:r>
    </w:p>
    <w:p>
      <w:pPr>
        <w:pStyle w:val="Normal"/>
        <w:bidi w:val="0"/>
        <w:spacing w:lineRule="auto" w:line="300" w:before="0" w:after="140"/>
        <w:jc w:val="both"/>
        <w:rPr/>
      </w:pPr>
      <w:r>
        <w:rPr>
          <w:rFonts w:eastAsia="Microsoft YaHei"/>
          <w:b/>
          <w:color w:val="2A2F36"/>
          <w:sz w:val="22"/>
        </w:rPr>
        <w:t>38.3</w:t>
      </w:r>
      <w:r>
        <w:rPr>
          <w:rFonts w:eastAsia="Microsoft YaHei"/>
          <w:color w:val="2A2F36"/>
          <w:sz w:val="22"/>
        </w:rPr>
        <w:t xml:space="preserve"> The Maritime Coordination Center operates as the operational heart of the Pact, around the clock, every day of the year. The Center fuses the radar, automatic identification system, satellite, and meteorological feeds of the participants into a single shared picture; hosts the corridor coordinators of both Founding Parties in joint staffing; runs the filing and acknowledgment system of Article 17; issues the Open Water Bulletin; and logs every incident.</w:t>
      </w:r>
    </w:p>
    <w:p>
      <w:pPr>
        <w:pStyle w:val="Normal"/>
        <w:bidi w:val="0"/>
        <w:spacing w:lineRule="auto" w:line="300" w:before="0" w:after="140"/>
        <w:jc w:val="both"/>
        <w:rPr/>
      </w:pPr>
      <w:r>
        <w:rPr>
          <w:rFonts w:eastAsia="Microsoft YaHei"/>
          <w:b/>
          <w:color w:val="2A2F36"/>
          <w:sz w:val="22"/>
        </w:rPr>
        <w:t>38.4</w:t>
      </w:r>
      <w:r>
        <w:rPr>
          <w:rFonts w:eastAsia="Microsoft YaHei"/>
          <w:color w:val="2A2F36"/>
          <w:sz w:val="22"/>
        </w:rPr>
        <w:t xml:space="preserve"> The Center staffs in pairs from the first day: every watch position carries one Iranian and one Omani officer, with observer seats for the participation tiers. Pairing builds the institutional muscle memory that no political cycle dissolves.</w:t>
      </w:r>
    </w:p>
    <w:p>
      <w:pPr>
        <w:pStyle w:val="Normal"/>
        <w:bidi w:val="0"/>
        <w:spacing w:lineRule="auto" w:line="300" w:before="0" w:after="140"/>
        <w:jc w:val="both"/>
        <w:rPr/>
      </w:pPr>
      <w:r>
        <w:rPr>
          <w:rFonts w:eastAsia="Microsoft YaHei"/>
          <w:b/>
          <w:color w:val="2A2F36"/>
          <w:sz w:val="22"/>
        </w:rPr>
        <w:t>38.5</w:t>
      </w:r>
      <w:r>
        <w:rPr>
          <w:rFonts w:eastAsia="Microsoft YaHei"/>
          <w:color w:val="2A2F36"/>
          <w:sz w:val="22"/>
        </w:rPr>
        <w:t xml:space="preserve"> The Secretariat maintains the standing daily coordination call at 08:00 Muscat time among the five desks of the Joint Implementation Authority of Part X, and publishes a one-page status note per desk to the participants every day.</w:t>
      </w:r>
    </w:p>
    <w:p>
      <w:pPr>
        <w:pStyle w:val="Heading2"/>
        <w:keepNext w:val="true"/>
        <w:keepLines/>
        <w:bidi w:val="0"/>
        <w:spacing w:before="380" w:after="140"/>
        <w:jc w:val="left"/>
        <w:rPr/>
      </w:pPr>
      <w:bookmarkStart w:id="47" w:name="__RefHeading___Toc3291_2451594232"/>
      <w:bookmarkEnd w:id="47"/>
      <w:r>
        <w:rPr>
          <w:rFonts w:eastAsia="Microsoft YaHei"/>
          <w:b/>
          <w:color w:val="1F3550"/>
          <w:sz w:val="27"/>
        </w:rPr>
        <w:t>Article 39: The Verification and Surveillance Directorate</w:t>
      </w:r>
    </w:p>
    <w:p>
      <w:pPr>
        <w:pStyle w:val="Normal"/>
        <w:bidi w:val="0"/>
        <w:spacing w:lineRule="auto" w:line="300" w:before="0" w:after="140"/>
        <w:jc w:val="both"/>
        <w:rPr/>
      </w:pPr>
      <w:r>
        <w:rPr>
          <w:rFonts w:eastAsia="Microsoft YaHei"/>
          <w:b/>
          <w:color w:val="2A2F36"/>
          <w:sz w:val="22"/>
        </w:rPr>
        <w:t>39.1</w:t>
      </w:r>
      <w:r>
        <w:rPr>
          <w:rFonts w:eastAsia="Microsoft YaHei"/>
          <w:color w:val="2A2F36"/>
          <w:sz w:val="22"/>
        </w:rPr>
        <w:t xml:space="preserve"> The Verification and Surveillance Directorate conducts the human verification of this Pact. The Directorate operates on a single doctrine: critical facts carry certification by named, trained human observers working in multinational pairs. Instruments inform; people certify.</w:t>
      </w:r>
    </w:p>
    <w:p>
      <w:pPr>
        <w:pStyle w:val="Normal"/>
        <w:bidi w:val="0"/>
        <w:spacing w:lineRule="auto" w:line="300" w:before="0" w:after="140"/>
        <w:jc w:val="both"/>
        <w:rPr/>
      </w:pPr>
      <w:r>
        <w:rPr>
          <w:rFonts w:eastAsia="Microsoft YaHei"/>
          <w:b/>
          <w:color w:val="2A2F36"/>
          <w:sz w:val="22"/>
        </w:rPr>
        <w:t>39.2</w:t>
      </w:r>
      <w:r>
        <w:rPr>
          <w:rFonts w:eastAsia="Microsoft YaHei"/>
          <w:color w:val="2A2F36"/>
          <w:sz w:val="22"/>
        </w:rPr>
        <w:t xml:space="preserve"> The Directorate staffs from the participants under the roster of Annex K: observers from the Founding Parties, from the Observer Members, from the technical participants, and from neutral contributor states, trained and certified to the Directorate standard before deployment.</w:t>
      </w:r>
    </w:p>
    <w:p>
      <w:pPr>
        <w:pStyle w:val="Normal"/>
        <w:bidi w:val="0"/>
        <w:spacing w:lineRule="auto" w:line="300" w:before="0" w:after="140"/>
        <w:jc w:val="both"/>
        <w:rPr/>
      </w:pPr>
      <w:r>
        <w:rPr>
          <w:rFonts w:eastAsia="Microsoft YaHei"/>
          <w:b/>
          <w:color w:val="2A2F36"/>
          <w:sz w:val="22"/>
        </w:rPr>
        <w:t>39.3</w:t>
      </w:r>
      <w:r>
        <w:rPr>
          <w:rFonts w:eastAsia="Microsoft YaHei"/>
          <w:color w:val="2A2F36"/>
          <w:sz w:val="22"/>
        </w:rPr>
        <w:t xml:space="preserve"> The Directorate certifies: corridor status for gate purposes; clearance certifications under Article 16; compliance facts under Article 45; Stability Audit evidence under Article 44; and the forensic chain of custody under Article 34. Each certificate names its two observers, their nationalities, their evidence, and their dissent if any.</w:t>
      </w:r>
    </w:p>
    <w:p>
      <w:pPr>
        <w:pStyle w:val="Normal"/>
        <w:bidi w:val="0"/>
        <w:spacing w:lineRule="auto" w:line="300" w:before="0" w:after="140"/>
        <w:jc w:val="both"/>
        <w:rPr/>
      </w:pPr>
      <w:r>
        <w:rPr>
          <w:rFonts w:eastAsia="Microsoft YaHei"/>
          <w:b/>
          <w:color w:val="2A2F36"/>
          <w:sz w:val="22"/>
        </w:rPr>
        <w:t>39.4</w:t>
      </w:r>
      <w:r>
        <w:rPr>
          <w:rFonts w:eastAsia="Microsoft YaHei"/>
          <w:color w:val="2A2F36"/>
          <w:sz w:val="22"/>
        </w:rPr>
        <w:t xml:space="preserve"> The Directorate operates the Intelligence Integrity Protocol: every source named in the record, every custody transfer logged, no political tasking, and no data flow to any purpose outside the mandate of this Pact. Article 36.5 binds the Directorate absolutely.</w:t>
      </w:r>
    </w:p>
    <w:p>
      <w:pPr>
        <w:pStyle w:val="Normal"/>
        <w:bidi w:val="0"/>
        <w:spacing w:lineRule="auto" w:line="300" w:before="0" w:after="140"/>
        <w:jc w:val="both"/>
        <w:rPr/>
      </w:pPr>
      <w:r>
        <w:rPr>
          <w:rFonts w:eastAsia="Microsoft YaHei"/>
          <w:b/>
          <w:color w:val="2A2F36"/>
          <w:sz w:val="22"/>
        </w:rPr>
        <w:t>39.5</w:t>
      </w:r>
      <w:r>
        <w:rPr>
          <w:rFonts w:eastAsia="Microsoft YaHei"/>
          <w:color w:val="2A2F36"/>
          <w:sz w:val="22"/>
        </w:rPr>
        <w:t xml:space="preserve"> The Neutral Watch Office sits within the Directorate as its independent audit arm: a small standing body with authority to observe any operation, audit any account of the Fund, apply the substance test of Article 27, and report directly to the Council and the public. The Office answers to the architecture, not to any state.</w:t>
      </w:r>
    </w:p>
    <w:p>
      <w:pPr>
        <w:pStyle w:val="Heading2"/>
        <w:keepNext w:val="true"/>
        <w:keepLines/>
        <w:bidi w:val="0"/>
        <w:spacing w:before="380" w:after="140"/>
        <w:jc w:val="left"/>
        <w:rPr/>
      </w:pPr>
      <w:bookmarkStart w:id="48" w:name="__RefHeading___Toc3293_2451594232"/>
      <w:bookmarkEnd w:id="48"/>
      <w:r>
        <w:rPr>
          <w:rFonts w:eastAsia="Microsoft YaHei"/>
          <w:b/>
          <w:color w:val="1F3550"/>
          <w:sz w:val="27"/>
        </w:rPr>
        <w:t>Article 40: The Participation Tiers</w:t>
      </w:r>
    </w:p>
    <w:p>
      <w:pPr>
        <w:pStyle w:val="Normal"/>
        <w:bidi w:val="0"/>
        <w:spacing w:lineRule="auto" w:line="300" w:before="0" w:after="140"/>
        <w:jc w:val="both"/>
        <w:rPr/>
      </w:pPr>
      <w:r>
        <w:rPr>
          <w:rFonts w:eastAsia="Microsoft YaHei"/>
          <w:b/>
          <w:color w:val="2A2F36"/>
          <w:sz w:val="22"/>
        </w:rPr>
        <w:t>40.1</w:t>
      </w:r>
      <w:r>
        <w:rPr>
          <w:rFonts w:eastAsia="Microsoft YaHei"/>
          <w:color w:val="2A2F36"/>
          <w:sz w:val="22"/>
        </w:rPr>
        <w:t xml:space="preserve"> The Pact seats participants in five tiers. Table 40-A states the tiers, their occupants, and their rights.</w:t>
      </w:r>
    </w:p>
    <w:tbl>
      <w:tblPr>
        <w:tblW w:w="5000" w:type="pct"/>
        <w:jc w:val="left"/>
        <w:tblInd w:w="-8" w:type="dxa"/>
        <w:tblLayout w:type="fixed"/>
        <w:tblCellMar>
          <w:top w:w="60" w:type="dxa"/>
          <w:left w:w="100" w:type="dxa"/>
          <w:bottom w:w="60" w:type="dxa"/>
          <w:right w:w="100" w:type="dxa"/>
        </w:tblCellMar>
      </w:tblPr>
      <w:tblGrid>
        <w:gridCol w:w="2181"/>
        <w:gridCol w:w="3372"/>
        <w:gridCol w:w="3473"/>
      </w:tblGrid>
      <w:tr>
        <w:trPr>
          <w:tblHeader w:val="true"/>
          <w:cantSplit w:val="true"/>
        </w:trPr>
        <w:tc>
          <w:tcPr>
            <w:tcW w:w="218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Tier</w:t>
            </w:r>
          </w:p>
        </w:tc>
        <w:tc>
          <w:tcPr>
            <w:tcW w:w="337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Occupants</w:t>
            </w:r>
          </w:p>
        </w:tc>
        <w:tc>
          <w:tcPr>
            <w:tcW w:w="3473"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Rights and Bounds</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Founding Parties</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Islamic Republic of Iran; Sultanate of Oman</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Full rights and obligations; the Twin Key; corridor coordination functions; permanent Council seats</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Observer Members</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Gulf Cooperation Council states; Republic of Iraq</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Council seats with voice; full access to the fused picture and logs; participation in audits and patrol augmentation; no corridor veto</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Endorsing Stakeholders</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of America; European Union; other maritime user states that endorse</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Verification, monitoring, and deconfliction interface; observer access; no vote and no command over the architecture</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Technical Participants</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International Maritime Organization; International Hydrographic Organization; United Nations Mine Action Service; protection and indemnity industry liaison</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Expert advice; certification support; registry interface; no political rights</w:t>
            </w:r>
          </w:p>
        </w:tc>
      </w:tr>
      <w:tr>
        <w:trPr/>
        <w:tc>
          <w:tcPr>
            <w:tcW w:w="218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Financial Custodian and Guarantors</w:t>
            </w:r>
          </w:p>
        </w:tc>
        <w:tc>
          <w:tcPr>
            <w:tcW w:w="337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Swiss Confederation as Custodian; guarantor states that deposit guarantees under Annex M</w:t>
            </w:r>
          </w:p>
        </w:tc>
        <w:tc>
          <w:tcPr>
            <w:tcW w:w="3473"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Custody and disbursement per Article 24; guarantors underwrite continuity, never command</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b/>
          <w:color w:val="2A2F36"/>
          <w:sz w:val="22"/>
        </w:rPr>
        <w:t>40.2</w:t>
      </w:r>
      <w:r>
        <w:rPr>
          <w:rFonts w:eastAsia="Microsoft YaHei"/>
          <w:color w:val="2A2F36"/>
          <w:sz w:val="22"/>
        </w:rPr>
        <w:t xml:space="preserve"> The tier design encodes a deliberate political balance. The coastal states hold operational stewardship. The regional states hold transparency and presence. The external powers hold verification and deconfliction, bounded away from command. The technical bodies hold standards. Nobody holds everything; everybody holds enough.</w:t>
      </w:r>
    </w:p>
    <w:p>
      <w:pPr>
        <w:pStyle w:val="Normal"/>
        <w:bidi w:val="0"/>
        <w:spacing w:lineRule="auto" w:line="300" w:before="0" w:after="140"/>
        <w:jc w:val="both"/>
        <w:rPr/>
      </w:pPr>
      <w:r>
        <w:rPr>
          <w:rFonts w:eastAsia="Microsoft YaHei"/>
          <w:b/>
          <w:color w:val="2A2F36"/>
          <w:sz w:val="22"/>
        </w:rPr>
        <w:t>40.3</w:t>
      </w:r>
      <w:r>
        <w:rPr>
          <w:rFonts w:eastAsia="Microsoft YaHei"/>
          <w:color w:val="2A2F36"/>
          <w:sz w:val="22"/>
        </w:rPr>
        <w:t xml:space="preserve"> The United States role follows the bounded endorsing model of Annex O: the United States guarantees nothing and commands nothing inside the architecture, and it receives in return guaranteed military transit under Article 21, observer access to the fused picture, and a sanctions-compatible financial firewall it helps design. This allocation respects both the United States insistence on freedom of navigation and multilateral oversight, and the regional insistence that no foreign power command the Strait.</w:t>
      </w:r>
    </w:p>
    <w:p>
      <w:pPr>
        <w:pStyle w:val="Normal"/>
        <w:bidi w:val="0"/>
        <w:spacing w:lineRule="auto" w:line="300" w:before="0" w:after="140"/>
        <w:jc w:val="both"/>
        <w:rPr/>
      </w:pPr>
      <w:r>
        <w:rPr>
          <w:rFonts w:eastAsia="Microsoft YaHei"/>
          <w:b/>
          <w:color w:val="2A2F36"/>
          <w:sz w:val="22"/>
        </w:rPr>
        <w:t>40.4</w:t>
      </w:r>
      <w:r>
        <w:rPr>
          <w:rFonts w:eastAsia="Microsoft YaHei"/>
          <w:color w:val="2A2F36"/>
          <w:sz w:val="22"/>
        </w:rPr>
        <w:t xml:space="preserve"> Accession to any tier follows Annex M. The process opens to every Gulf and regional state and to every maritime user state, on non-discriminatory terms, with the Gulf fast-track of Annex M available at any time.</w:t>
      </w:r>
    </w:p>
    <w:p>
      <w:pPr>
        <w:pStyle w:val="Heading2"/>
        <w:keepNext w:val="true"/>
        <w:keepLines/>
        <w:bidi w:val="0"/>
        <w:spacing w:before="380" w:after="140"/>
        <w:jc w:val="left"/>
        <w:rPr/>
      </w:pPr>
      <w:bookmarkStart w:id="49" w:name="__RefHeading___Toc3295_2451594232"/>
      <w:bookmarkEnd w:id="49"/>
      <w:r>
        <w:rPr>
          <w:rFonts w:eastAsia="Microsoft YaHei"/>
          <w:b/>
          <w:color w:val="1F3550"/>
          <w:sz w:val="27"/>
        </w:rPr>
        <w:t>Article 41: Decision Rules</w:t>
      </w:r>
    </w:p>
    <w:p>
      <w:pPr>
        <w:pStyle w:val="Normal"/>
        <w:bidi w:val="0"/>
        <w:spacing w:lineRule="auto" w:line="300" w:before="0" w:after="140"/>
        <w:jc w:val="both"/>
        <w:rPr/>
      </w:pPr>
      <w:r>
        <w:rPr>
          <w:rFonts w:eastAsia="Microsoft YaHei"/>
          <w:b/>
          <w:color w:val="2A2F36"/>
          <w:sz w:val="22"/>
        </w:rPr>
        <w:t>41.1</w:t>
      </w:r>
      <w:r>
        <w:rPr>
          <w:rFonts w:eastAsia="Microsoft YaHei"/>
          <w:color w:val="2A2F36"/>
          <w:sz w:val="22"/>
        </w:rPr>
        <w:t xml:space="preserve"> The Council and the standing organs decide under four rules. Routine operational decisions: the competent organ decides under its published rules, and the log records the decision. Substantive decisions: consensus-minus-one of the voting members, with the objector's position recorded in full. Critical decisions, meaning corridor alteration, crisis level declaration above Alert, budget adoption, and annex amendment: two-thirds of the voting members plus the Twin Key. Red Line matters: no decision crosses a registered line without the written concurrence of its holder.</w:t>
      </w:r>
    </w:p>
    <w:p>
      <w:pPr>
        <w:pStyle w:val="Normal"/>
        <w:bidi w:val="0"/>
        <w:spacing w:lineRule="auto" w:line="300" w:before="0" w:after="140"/>
        <w:jc w:val="both"/>
        <w:rPr/>
      </w:pPr>
      <w:r>
        <w:rPr>
          <w:rFonts w:eastAsia="Microsoft YaHei"/>
          <w:b/>
          <w:color w:val="2A2F36"/>
          <w:sz w:val="22"/>
        </w:rPr>
        <w:t>41.2</w:t>
      </w:r>
      <w:r>
        <w:rPr>
          <w:rFonts w:eastAsia="Microsoft YaHei"/>
          <w:color w:val="2A2F36"/>
          <w:sz w:val="22"/>
        </w:rPr>
        <w:t xml:space="preserve"> Silence means non-objection. A member that does not respond to a circulated decision within the stated window stands recorded as non-objecting. No participant holds a pocket veto by absence. The architecture moves.</w:t>
      </w:r>
    </w:p>
    <w:p>
      <w:pPr>
        <w:pStyle w:val="Normal"/>
        <w:bidi w:val="0"/>
        <w:spacing w:lineRule="auto" w:line="300" w:before="0" w:after="140"/>
        <w:jc w:val="both"/>
        <w:rPr/>
      </w:pPr>
      <w:r>
        <w:rPr>
          <w:rFonts w:eastAsia="Microsoft YaHei"/>
          <w:b/>
          <w:color w:val="2A2F36"/>
          <w:sz w:val="22"/>
        </w:rPr>
        <w:t>41.3</w:t>
      </w:r>
      <w:r>
        <w:rPr>
          <w:rFonts w:eastAsia="Microsoft YaHei"/>
          <w:color w:val="2A2F36"/>
          <w:sz w:val="22"/>
        </w:rPr>
        <w:t xml:space="preserve"> Every decision publishes to the participants within twenty-four hours and to the public within seven days, with operational security redactions marked and justified. The Red Lines Register governs every redaction: no redaction hides a line-crossing.</w:t>
      </w:r>
    </w:p>
    <w:p>
      <w:pPr>
        <w:pStyle w:val="Normal"/>
        <w:bidi w:val="0"/>
        <w:spacing w:lineRule="auto" w:line="300" w:before="0" w:after="140"/>
        <w:jc w:val="both"/>
        <w:rPr/>
      </w:pPr>
      <w:r>
        <w:rPr>
          <w:rFonts w:eastAsia="Microsoft YaHei"/>
          <w:b/>
          <w:color w:val="2A2F36"/>
          <w:sz w:val="22"/>
        </w:rPr>
        <w:t>41.4</w:t>
      </w:r>
      <w:r>
        <w:rPr>
          <w:rFonts w:eastAsia="Microsoft YaHei"/>
          <w:color w:val="2A2F36"/>
          <w:sz w:val="22"/>
        </w:rPr>
        <w:t xml:space="preserve"> Deadlock procedure. If a critical decision deadlocks for thirty days, the question passes to the dispute resolution architecture of Article 45.6 with the status quo preserved. Preservation of the status quo always favors openness: the corridors keep running under the last certified configuration.</w:t>
      </w:r>
    </w:p>
    <w:p>
      <w:pPr>
        <w:pStyle w:val="Heading2"/>
        <w:keepNext w:val="true"/>
        <w:keepLines/>
        <w:bidi w:val="0"/>
        <w:spacing w:before="380" w:after="140"/>
        <w:jc w:val="left"/>
        <w:rPr/>
      </w:pPr>
      <w:bookmarkStart w:id="50" w:name="__RefHeading___Toc3297_2451594232"/>
      <w:bookmarkEnd w:id="50"/>
      <w:r>
        <w:rPr>
          <w:rFonts w:eastAsia="Microsoft YaHei"/>
          <w:b/>
          <w:color w:val="1F3550"/>
          <w:sz w:val="27"/>
        </w:rPr>
        <w:t>Article 42: The Intermediary Bridge</w:t>
      </w:r>
    </w:p>
    <w:p>
      <w:pPr>
        <w:pStyle w:val="Normal"/>
        <w:bidi w:val="0"/>
        <w:spacing w:lineRule="auto" w:line="300" w:before="0" w:after="140"/>
        <w:jc w:val="both"/>
        <w:rPr/>
      </w:pPr>
      <w:r>
        <w:rPr>
          <w:rFonts w:eastAsia="Microsoft YaHei"/>
          <w:b/>
          <w:color w:val="2A2F36"/>
          <w:sz w:val="22"/>
        </w:rPr>
        <w:t>42.1</w:t>
      </w:r>
      <w:r>
        <w:rPr>
          <w:rFonts w:eastAsia="Microsoft YaHei"/>
          <w:color w:val="2A2F36"/>
          <w:sz w:val="22"/>
        </w:rPr>
        <w:t xml:space="preserve"> The architecture functions without any direct contact between adversaries. Every step that touches two participants in political estrangement runs through the intermediary bridge, and the bridge carries full legal effect.</w:t>
      </w:r>
    </w:p>
    <w:p>
      <w:pPr>
        <w:pStyle w:val="Normal"/>
        <w:bidi w:val="0"/>
        <w:spacing w:lineRule="auto" w:line="300" w:before="0" w:after="140"/>
        <w:jc w:val="both"/>
        <w:rPr/>
      </w:pPr>
      <w:r>
        <w:rPr>
          <w:rFonts w:eastAsia="Microsoft YaHei"/>
          <w:b/>
          <w:color w:val="2A2F36"/>
          <w:sz w:val="22"/>
        </w:rPr>
        <w:t>42.2</w:t>
      </w:r>
      <w:r>
        <w:rPr>
          <w:rFonts w:eastAsia="Microsoft YaHei"/>
          <w:color w:val="2A2F36"/>
          <w:sz w:val="22"/>
        </w:rPr>
        <w:t xml:space="preserve"> The bridge carries three anchor channels. Oman serves as Mediator of Record for the operational track: corridor management, incident handling, and the daily business of the Pact. Qatar serves as anchor for the financial track: pledges, facility coordination, and the contributors' forum. Pakistan serves as anchor for the political track: high-level exchanges, crisis diplomacy, and the depositary support functions.</w:t>
      </w:r>
    </w:p>
    <w:p>
      <w:pPr>
        <w:pStyle w:val="Normal"/>
        <w:bidi w:val="0"/>
        <w:spacing w:lineRule="auto" w:line="300" w:before="0" w:after="140"/>
        <w:jc w:val="both"/>
        <w:rPr/>
      </w:pPr>
      <w:r>
        <w:rPr>
          <w:rFonts w:eastAsia="Microsoft YaHei"/>
          <w:b/>
          <w:color w:val="2A2F36"/>
          <w:sz w:val="22"/>
        </w:rPr>
        <w:t>42.3</w:t>
      </w:r>
      <w:r>
        <w:rPr>
          <w:rFonts w:eastAsia="Microsoft YaHei"/>
          <w:color w:val="2A2F36"/>
          <w:sz w:val="22"/>
        </w:rPr>
        <w:t xml:space="preserve"> Every indirect exchange logs with full text in the Registry. The Registry carries the authoritative record of the bridge, and the record stands available to every participant and to the Stability Audit.</w:t>
      </w:r>
    </w:p>
    <w:p>
      <w:pPr>
        <w:pStyle w:val="Normal"/>
        <w:bidi w:val="0"/>
        <w:spacing w:lineRule="auto" w:line="300" w:before="0" w:after="140"/>
        <w:jc w:val="both"/>
        <w:rPr/>
      </w:pPr>
      <w:r>
        <w:rPr>
          <w:rFonts w:eastAsia="Microsoft YaHei"/>
          <w:b/>
          <w:color w:val="2A2F36"/>
          <w:sz w:val="22"/>
        </w:rPr>
        <w:t>42.4</w:t>
      </w:r>
      <w:r>
        <w:rPr>
          <w:rFonts w:eastAsia="Microsoft YaHei"/>
          <w:color w:val="2A2F36"/>
          <w:sz w:val="22"/>
        </w:rPr>
        <w:t xml:space="preserve"> The bridge extends to signing: a participant that prefers not to sign in the same room as another deposits its instrument with the Depositary separately, and the Depositary joins the instruments. The Pact takes effect by deposits, not by ceremonies, though the Depositary offers a ceremony to any participant that wants one.</w:t>
      </w:r>
    </w:p>
    <w:p>
      <w:pPr>
        <w:pStyle w:val="Heading1"/>
        <w:keepNext w:val="true"/>
        <w:keepLines/>
        <w:pBdr>
          <w:bottom w:val="single" w:sz="8" w:space="6" w:color="9C7A2E"/>
        </w:pBdr>
        <w:bidi w:val="0"/>
        <w:spacing w:before="480" w:after="200"/>
        <w:jc w:val="left"/>
        <w:rPr/>
      </w:pPr>
      <w:bookmarkStart w:id="51" w:name="__RefHeading___Toc3299_2451594232"/>
      <w:bookmarkEnd w:id="51"/>
      <w:r>
        <w:rPr>
          <w:rFonts w:eastAsia="Microsoft YaHei"/>
          <w:b/>
          <w:color w:val="1F3550"/>
          <w:sz w:val="34"/>
        </w:rPr>
        <w:t>PART IX: VERIFICATION, COMPLIANCE, AND THE STABILITY AUDIT</w:t>
      </w:r>
    </w:p>
    <w:p>
      <w:pPr>
        <w:pStyle w:val="Heading2"/>
        <w:keepNext w:val="true"/>
        <w:keepLines/>
        <w:bidi w:val="0"/>
        <w:spacing w:before="380" w:after="140"/>
        <w:jc w:val="left"/>
        <w:rPr/>
      </w:pPr>
      <w:bookmarkStart w:id="52" w:name="__RefHeading___Toc3301_2451594232"/>
      <w:bookmarkEnd w:id="52"/>
      <w:r>
        <w:rPr>
          <w:rFonts w:eastAsia="Microsoft YaHei"/>
          <w:b/>
          <w:color w:val="1F3550"/>
          <w:sz w:val="27"/>
        </w:rPr>
        <w:t>Article 43: The Three-Pillar Verification Architecture</w:t>
      </w:r>
    </w:p>
    <w:p>
      <w:pPr>
        <w:pStyle w:val="Normal"/>
        <w:bidi w:val="0"/>
        <w:spacing w:lineRule="auto" w:line="300" w:before="0" w:after="140"/>
        <w:jc w:val="both"/>
        <w:rPr/>
      </w:pPr>
      <w:r>
        <w:rPr>
          <w:rFonts w:eastAsia="Microsoft YaHei"/>
          <w:b/>
          <w:color w:val="2A2F36"/>
          <w:sz w:val="22"/>
        </w:rPr>
        <w:t>43.1</w:t>
      </w:r>
      <w:r>
        <w:rPr>
          <w:rFonts w:eastAsia="Microsoft YaHei"/>
          <w:color w:val="2A2F36"/>
          <w:sz w:val="22"/>
        </w:rPr>
        <w:t xml:space="preserve"> Verification under this Pact stands on three pillars that converge. Pillar One: automated technical tracking, meaning the fused radar, identification, and satellite picture of the Maritime Coordination Center, logged continuously and archived without alteration. Pillar Two: multilateral human observation, meaning the paired observers of the Verification and Surveillance Directorate certifying facts on the water and at the desks. Pillar Three: independent data custody, meaning the Neutral Watch Office and the Financial Custodian holding tamper-evident copies of every log, account, and certificate.</w:t>
      </w:r>
    </w:p>
    <w:p>
      <w:pPr>
        <w:pStyle w:val="Normal"/>
        <w:bidi w:val="0"/>
        <w:spacing w:lineRule="auto" w:line="300" w:before="0" w:after="140"/>
        <w:jc w:val="both"/>
        <w:rPr/>
      </w:pPr>
      <w:r>
        <w:rPr>
          <w:rFonts w:eastAsia="Microsoft YaHei"/>
          <w:b/>
          <w:color w:val="2A2F36"/>
          <w:sz w:val="22"/>
        </w:rPr>
        <w:t>43.2</w:t>
      </w:r>
      <w:r>
        <w:rPr>
          <w:rFonts w:eastAsia="Microsoft YaHei"/>
          <w:color w:val="2A2F36"/>
          <w:sz w:val="22"/>
        </w:rPr>
        <w:t xml:space="preserve"> A fact governs under this Pact only when the pillars converge: the technical record, the human certification, and the custodial copy agree. Divergence between pillars triggers the technical arbitration window of this Article, a forty-eight hour procedure in which the Directorate reconciles the record in writing, with dissent preserved.</w:t>
      </w:r>
    </w:p>
    <w:p>
      <w:pPr>
        <w:pStyle w:val="Normal"/>
        <w:bidi w:val="0"/>
        <w:spacing w:lineRule="auto" w:line="300" w:before="0" w:after="140"/>
        <w:jc w:val="both"/>
        <w:rPr/>
      </w:pPr>
      <w:r>
        <w:rPr>
          <w:rFonts w:eastAsia="Microsoft YaHei"/>
          <w:b/>
          <w:color w:val="2A2F36"/>
          <w:sz w:val="22"/>
        </w:rPr>
        <w:t>43.3</w:t>
      </w:r>
      <w:r>
        <w:rPr>
          <w:rFonts w:eastAsia="Microsoft YaHei"/>
          <w:color w:val="2A2F36"/>
          <w:sz w:val="22"/>
        </w:rPr>
        <w:t xml:space="preserve"> The verification architecture carries five channels for facts: the Center's own systems; joint technical observations; participant self-reporting with evidence; third-party observation from technical participants; and protected whistleblower intake through the Neutral Watch Office. When a channel degrades, the fallback ladder of Annex B substitutes the next channel for up to ninety days while the primary channel restores.</w:t>
      </w:r>
    </w:p>
    <w:p>
      <w:pPr>
        <w:pStyle w:val="Normal"/>
        <w:bidi w:val="0"/>
        <w:spacing w:lineRule="auto" w:line="300" w:before="0" w:after="140"/>
        <w:jc w:val="both"/>
        <w:rPr/>
      </w:pPr>
      <w:r>
        <w:rPr>
          <w:rFonts w:eastAsia="Microsoft YaHei"/>
          <w:b/>
          <w:color w:val="2A2F36"/>
          <w:sz w:val="22"/>
        </w:rPr>
        <w:t>43.4</w:t>
      </w:r>
      <w:r>
        <w:rPr>
          <w:rFonts w:eastAsia="Microsoft YaHei"/>
          <w:color w:val="2A2F36"/>
          <w:sz w:val="22"/>
        </w:rPr>
        <w:t xml:space="preserve"> Verification under this Pact carries no humiliation. Every inspection, audit, and certification follows published procedures, applies symmetrically to every participant, and records findings in professional language. Verification without humiliation stands in the Red Lines Register, and the Perimeter Test enforces it.</w:t>
      </w:r>
    </w:p>
    <w:p>
      <w:pPr>
        <w:pStyle w:val="Heading2"/>
        <w:keepNext w:val="true"/>
        <w:keepLines/>
        <w:bidi w:val="0"/>
        <w:spacing w:before="380" w:after="140"/>
        <w:jc w:val="left"/>
        <w:rPr/>
      </w:pPr>
      <w:bookmarkStart w:id="53" w:name="__RefHeading___Toc3303_2451594232"/>
      <w:bookmarkEnd w:id="53"/>
      <w:r>
        <w:rPr>
          <w:rFonts w:eastAsia="Microsoft YaHei"/>
          <w:b/>
          <w:color w:val="1F3550"/>
          <w:sz w:val="27"/>
        </w:rPr>
        <w:t>Article 44: The Stability Audit</w:t>
      </w:r>
    </w:p>
    <w:p>
      <w:pPr>
        <w:pStyle w:val="Normal"/>
        <w:bidi w:val="0"/>
        <w:spacing w:lineRule="auto" w:line="300" w:before="0" w:after="140"/>
        <w:jc w:val="both"/>
        <w:rPr/>
      </w:pPr>
      <w:r>
        <w:rPr>
          <w:rFonts w:eastAsia="Microsoft YaHei"/>
          <w:b/>
          <w:color w:val="2A2F36"/>
          <w:sz w:val="22"/>
        </w:rPr>
        <w:t>44.1</w:t>
      </w:r>
      <w:r>
        <w:rPr>
          <w:rFonts w:eastAsia="Microsoft YaHei"/>
          <w:color w:val="2A2F36"/>
          <w:sz w:val="22"/>
        </w:rPr>
        <w:t xml:space="preserve"> The Stability Audit measures whether the corridor system operates safely, predictably, transparently, and stably, and it gates the movement between the layers of Part X. The Neutral Watch Office conducts the Audit continuously and publishes a formal Audit report at every gate and every quarter.</w:t>
      </w:r>
    </w:p>
    <w:p>
      <w:pPr>
        <w:pStyle w:val="Normal"/>
        <w:bidi w:val="0"/>
        <w:spacing w:lineRule="auto" w:line="300" w:before="0" w:after="140"/>
        <w:jc w:val="both"/>
        <w:rPr/>
      </w:pPr>
      <w:r>
        <w:rPr>
          <w:rFonts w:eastAsia="Microsoft YaHei"/>
          <w:b/>
          <w:color w:val="2A2F36"/>
          <w:sz w:val="22"/>
        </w:rPr>
        <w:t>44.2</w:t>
      </w:r>
      <w:r>
        <w:rPr>
          <w:rFonts w:eastAsia="Microsoft YaHei"/>
          <w:color w:val="2A2F36"/>
          <w:sz w:val="22"/>
        </w:rPr>
        <w:t xml:space="preserve"> The Audit scores five domains. Table 44-A states the domains, the core metrics, and the pass thresholds. Annex S states the full metric definitions, data sources, and scoring rules.</w:t>
      </w:r>
    </w:p>
    <w:tbl>
      <w:tblPr>
        <w:tblW w:w="5000" w:type="pct"/>
        <w:jc w:val="left"/>
        <w:tblInd w:w="-8" w:type="dxa"/>
        <w:tblLayout w:type="fixed"/>
        <w:tblCellMar>
          <w:top w:w="60" w:type="dxa"/>
          <w:left w:w="100" w:type="dxa"/>
          <w:bottom w:w="60" w:type="dxa"/>
          <w:right w:w="100" w:type="dxa"/>
        </w:tblCellMar>
      </w:tblPr>
      <w:tblGrid>
        <w:gridCol w:w="2279"/>
        <w:gridCol w:w="3968"/>
        <w:gridCol w:w="2779"/>
      </w:tblGrid>
      <w:tr>
        <w:trPr>
          <w:tblHeader w:val="true"/>
          <w:cantSplit w:val="true"/>
        </w:trPr>
        <w:tc>
          <w:tcPr>
            <w:tcW w:w="2279"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Domain</w:t>
            </w:r>
          </w:p>
        </w:tc>
        <w:tc>
          <w:tcPr>
            <w:tcW w:w="396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Core Metrics</w:t>
            </w:r>
          </w:p>
        </w:tc>
        <w:tc>
          <w:tcPr>
            <w:tcW w:w="2779"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Pass Threshold</w:t>
            </w:r>
          </w:p>
        </w:tc>
      </w:tr>
      <w:tr>
        <w:trPr/>
        <w:tc>
          <w:tcPr>
            <w:tcW w:w="22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Navigation and identification compliance</w:t>
            </w:r>
          </w:p>
        </w:tc>
        <w:tc>
          <w:tcPr>
            <w:tcW w:w="396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Identification continuity rate; corridor adherence rate; routing deviations per week; buffer usage; near-miss count</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Continuity at or above ninety-eight percent; adherence at or above ninety-seven percent; zero unexplained deviations</w:t>
            </w:r>
          </w:p>
        </w:tc>
      </w:tr>
      <w:tr>
        <w:trPr/>
        <w:tc>
          <w:tcPr>
            <w:tcW w:w="22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Security and deconfliction</w:t>
            </w:r>
          </w:p>
        </w:tc>
        <w:tc>
          <w:tcPr>
            <w:tcW w:w="396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Dual-key execution rate; unauthorized interdiction attempts; deconfliction response time; incident severity index; mine-risk handling time</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Zero unauthorized interdictions; response inside fifteen minutes; severity index at baseline</w:t>
            </w:r>
          </w:p>
        </w:tc>
      </w:tr>
      <w:tr>
        <w:trPr/>
        <w:tc>
          <w:tcPr>
            <w:tcW w:w="22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Monitoring and transparency</w:t>
            </w:r>
          </w:p>
        </w:tc>
        <w:tc>
          <w:tcPr>
            <w:tcW w:w="396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Fusion accuracy; incident log timeliness; observer feed uptime; data integrity score</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Fusion at or above ninety-nine percent; logs inside twenty-four hours; uptime at or above ninety-nine percent</w:t>
            </w:r>
          </w:p>
        </w:tc>
      </w:tr>
      <w:tr>
        <w:trPr/>
        <w:tc>
          <w:tcPr>
            <w:tcW w:w="22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Environmental and safety</w:t>
            </w:r>
          </w:p>
        </w:tc>
        <w:tc>
          <w:tcPr>
            <w:tcW w:w="396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Baseline deviation; emergency response activation time; search and rescue success rate; safety audit score</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Response inside sixty minutes; rescue success at published standard; no unexplained baseline breach</w:t>
            </w:r>
          </w:p>
        </w:tc>
      </w:tr>
      <w:tr>
        <w:trPr/>
        <w:tc>
          <w:tcPr>
            <w:tcW w:w="2279"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Finance and payments</w:t>
            </w:r>
          </w:p>
        </w:tc>
        <w:tc>
          <w:tcPr>
            <w:tcW w:w="396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Rate stability; payment routing success; audit compliance; insurer risk-tier movement; fee disputes per month</w:t>
            </w:r>
          </w:p>
        </w:tc>
        <w:tc>
          <w:tcPr>
            <w:tcW w:w="2779"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Routing success at or above ninety-nine percent; zero unresolved disputes beyond thirty days</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b/>
          <w:color w:val="2A2F36"/>
          <w:sz w:val="22"/>
        </w:rPr>
        <w:t>44.3</w:t>
      </w:r>
      <w:r>
        <w:rPr>
          <w:rFonts w:eastAsia="Microsoft YaHei"/>
          <w:color w:val="2A2F36"/>
          <w:sz w:val="22"/>
        </w:rPr>
        <w:t xml:space="preserve"> The Audit returns one of three outcomes at each gate. Pass: the architecture advances to the next layer on schedule. Conditional Pass: the architecture advances, and the named annex adjustments execute within fourteen days. Fail: the current layer extends, the Stability Audit names the failing metrics in public, and the corrective program of Article 45 runs against the named metrics alone.</w:t>
      </w:r>
    </w:p>
    <w:p>
      <w:pPr>
        <w:pStyle w:val="Normal"/>
        <w:bidi w:val="0"/>
        <w:spacing w:lineRule="auto" w:line="300" w:before="0" w:after="140"/>
        <w:jc w:val="both"/>
        <w:rPr/>
      </w:pPr>
      <w:r>
        <w:rPr>
          <w:rFonts w:eastAsia="Microsoft YaHei"/>
          <w:b/>
          <w:color w:val="2A2F36"/>
          <w:sz w:val="22"/>
        </w:rPr>
        <w:t>44.4</w:t>
      </w:r>
      <w:r>
        <w:rPr>
          <w:rFonts w:eastAsia="Microsoft YaHei"/>
          <w:color w:val="2A2F36"/>
          <w:sz w:val="22"/>
        </w:rPr>
        <w:t xml:space="preserve"> The Audit never closes the Strait. A Fail outcome adjusts the layer schedule and triggers correction; the corridors continue under the last certified configuration. The architecture treats stability as a measurement problem, never as a closure pretext.</w:t>
      </w:r>
    </w:p>
    <w:p>
      <w:pPr>
        <w:pStyle w:val="Normal"/>
        <w:bidi w:val="0"/>
        <w:spacing w:lineRule="auto" w:line="300" w:before="0" w:after="140"/>
        <w:jc w:val="both"/>
        <w:rPr/>
      </w:pPr>
      <w:r>
        <w:rPr>
          <w:rFonts w:eastAsia="Microsoft YaHei"/>
          <w:b/>
          <w:color w:val="2A2F36"/>
          <w:sz w:val="22"/>
        </w:rPr>
        <w:t>44.5</w:t>
      </w:r>
      <w:r>
        <w:rPr>
          <w:rFonts w:eastAsia="Microsoft YaHei"/>
          <w:color w:val="2A2F36"/>
          <w:sz w:val="22"/>
        </w:rPr>
        <w:t xml:space="preserve"> The Audit's raw data publishes to the Transparency Portal with the operational redactions of Article 41.3. Insurers, shippers, and researchers read the same numbers the Council reads.</w:t>
      </w:r>
    </w:p>
    <w:p>
      <w:pPr>
        <w:pStyle w:val="Heading2"/>
        <w:keepNext w:val="true"/>
        <w:keepLines/>
        <w:bidi w:val="0"/>
        <w:spacing w:before="380" w:after="140"/>
        <w:jc w:val="left"/>
        <w:rPr/>
      </w:pPr>
      <w:bookmarkStart w:id="54" w:name="__RefHeading___Toc3305_2451594232"/>
      <w:bookmarkEnd w:id="54"/>
      <w:r>
        <w:rPr>
          <w:rFonts w:eastAsia="Microsoft YaHei"/>
          <w:b/>
          <w:color w:val="1F3550"/>
          <w:sz w:val="27"/>
        </w:rPr>
        <w:t>Article 45: The Compliance Engine</w:t>
      </w:r>
    </w:p>
    <w:p>
      <w:pPr>
        <w:pStyle w:val="Normal"/>
        <w:bidi w:val="0"/>
        <w:spacing w:lineRule="auto" w:line="300" w:before="0" w:after="140"/>
        <w:jc w:val="both"/>
        <w:rPr/>
      </w:pPr>
      <w:r>
        <w:rPr>
          <w:rFonts w:eastAsia="Microsoft YaHei"/>
          <w:b/>
          <w:color w:val="2A2F36"/>
          <w:sz w:val="22"/>
        </w:rPr>
        <w:t>45.1</w:t>
      </w:r>
      <w:r>
        <w:rPr>
          <w:rFonts w:eastAsia="Microsoft YaHei"/>
          <w:color w:val="2A2F36"/>
          <w:sz w:val="22"/>
        </w:rPr>
        <w:t xml:space="preserve"> The Compliance Engine handles every deviation from this Pact through three tiers of consequence and one advisory tier of early warning. The Engine operates automatically on verified facts, applies proportionately, and publishes every action.</w:t>
      </w:r>
    </w:p>
    <w:p>
      <w:pPr>
        <w:pStyle w:val="Normal"/>
        <w:bidi w:val="0"/>
        <w:spacing w:lineRule="auto" w:line="300" w:before="0" w:after="140"/>
        <w:jc w:val="both"/>
        <w:rPr/>
      </w:pPr>
      <w:r>
        <w:rPr>
          <w:rFonts w:eastAsia="Microsoft YaHei"/>
          <w:b/>
          <w:color w:val="2A2F36"/>
          <w:sz w:val="22"/>
        </w:rPr>
        <w:t>45.2</w:t>
      </w:r>
      <w:r>
        <w:rPr>
          <w:rFonts w:eastAsia="Microsoft YaHei"/>
          <w:color w:val="2A2F36"/>
          <w:sz w:val="22"/>
        </w:rPr>
        <w:t xml:space="preserve"> Tier Zero, Advisory Drift: the Audit detects early drift from a standard before any breach. The Secretariat issues a quiet technical notice, and the participant corrects within thirty days. Tier Zero carries no public naming and no consequence; it exists to keep small drifts small.</w:t>
      </w:r>
    </w:p>
    <w:p>
      <w:pPr>
        <w:pStyle w:val="Normal"/>
        <w:bidi w:val="0"/>
        <w:spacing w:lineRule="auto" w:line="300" w:before="0" w:after="140"/>
        <w:jc w:val="both"/>
        <w:rPr/>
      </w:pPr>
      <w:r>
        <w:rPr>
          <w:rFonts w:eastAsia="Microsoft YaHei"/>
          <w:b/>
          <w:color w:val="2A2F36"/>
          <w:sz w:val="22"/>
        </w:rPr>
        <w:t>45.3</w:t>
      </w:r>
      <w:r>
        <w:rPr>
          <w:rFonts w:eastAsia="Microsoft YaHei"/>
          <w:color w:val="2A2F36"/>
          <w:sz w:val="22"/>
        </w:rPr>
        <w:t xml:space="preserve"> Tier One, Technical Deviation: a minor, non-pattern deviation from a procedure. Consequence: a corrective action plan within fourteen days, verified by the Directorate. Tier One touches no benefit and no standing.</w:t>
      </w:r>
    </w:p>
    <w:p>
      <w:pPr>
        <w:pStyle w:val="Normal"/>
        <w:bidi w:val="0"/>
        <w:spacing w:lineRule="auto" w:line="300" w:before="0" w:after="140"/>
        <w:jc w:val="both"/>
        <w:rPr/>
      </w:pPr>
      <w:r>
        <w:rPr>
          <w:rFonts w:eastAsia="Microsoft YaHei"/>
          <w:b/>
          <w:color w:val="2A2F36"/>
          <w:sz w:val="22"/>
        </w:rPr>
        <w:t>45.4</w:t>
      </w:r>
      <w:r>
        <w:rPr>
          <w:rFonts w:eastAsia="Microsoft YaHei"/>
          <w:color w:val="2A2F36"/>
          <w:sz w:val="22"/>
        </w:rPr>
        <w:t xml:space="preserve"> Tier Two, Material Strain: a pattern of deviations or a negligent failure in a consequential function. Consequence: proportionate adjustment of benefits under the affected instrument alone, such as a temporary reduction in Fund disbursement rates for the affected service line, with a published earn-back path. Tier Two never touches transit, the corridors, the humanitarian bridge, or another participant's benefits.</w:t>
      </w:r>
    </w:p>
    <w:p>
      <w:pPr>
        <w:pStyle w:val="Normal"/>
        <w:bidi w:val="0"/>
        <w:spacing w:lineRule="auto" w:line="300" w:before="0" w:after="140"/>
        <w:jc w:val="both"/>
        <w:rPr/>
      </w:pPr>
      <w:r>
        <w:rPr>
          <w:rFonts w:eastAsia="Microsoft YaHei"/>
          <w:b/>
          <w:color w:val="2A2F36"/>
          <w:sz w:val="22"/>
        </w:rPr>
        <w:t>45.5</w:t>
      </w:r>
      <w:r>
        <w:rPr>
          <w:rFonts w:eastAsia="Microsoft YaHei"/>
          <w:color w:val="2A2F36"/>
          <w:sz w:val="22"/>
        </w:rPr>
        <w:t xml:space="preserve"> Tier Three, Architectural Breach: an intentional act against the Five Standing Rules, namely emplacement of mines, interdiction of commercial traffic, imposition of a toll, or falsification of verification records. Consequence: the full step-back of the breaching participant from the affected functions, Council emergency session, referral to the dispute resolution track, and public attribution under Article 34. Tier Three consequences bind the breaching participant alone; the architecture and the other participants continue in full.</w:t>
      </w:r>
    </w:p>
    <w:p>
      <w:pPr>
        <w:pStyle w:val="Normal"/>
        <w:bidi w:val="0"/>
        <w:spacing w:lineRule="auto" w:line="300" w:before="0" w:after="140"/>
        <w:jc w:val="both"/>
        <w:rPr/>
      </w:pPr>
      <w:r>
        <w:rPr>
          <w:rFonts w:eastAsia="Microsoft YaHei"/>
          <w:b/>
          <w:color w:val="2A2F36"/>
          <w:sz w:val="22"/>
        </w:rPr>
        <w:t>45.6</w:t>
      </w:r>
      <w:r>
        <w:rPr>
          <w:rFonts w:eastAsia="Microsoft YaHei"/>
          <w:color w:val="2A2F36"/>
          <w:sz w:val="22"/>
        </w:rPr>
        <w:t xml:space="preserve"> Dispute resolution operates in three bands with fixed clocks: the Micro band, fourteen days, technical negotiation between the desks; the Meso band, forty-five days, mediation under the Mediator of Record; the Macro band, one hundred and twenty days, arbitration before the standing panel of five arbitrators named in Annex J, seated in Muscat, deciding on the record of this Pact. An Ombudsman with standing warrant power over Pact records serves every band. Execution of outcomes under this Pact stays strictly non-kinetic: the escrow jurisdiction of the Fund, with a seventy-two hour override review and a twenty-five percent forfeiture rule for bad-faith non-compliance, carries the enforcement weight.</w:t>
      </w:r>
    </w:p>
    <w:p>
      <w:pPr>
        <w:pStyle w:val="Normal"/>
        <w:bidi w:val="0"/>
        <w:spacing w:lineRule="auto" w:line="300" w:before="0" w:after="140"/>
        <w:jc w:val="both"/>
        <w:rPr/>
      </w:pPr>
      <w:r>
        <w:rPr>
          <w:rFonts w:eastAsia="Microsoft YaHei"/>
          <w:b/>
          <w:color w:val="2A2F36"/>
          <w:sz w:val="22"/>
        </w:rPr>
        <w:t>45.7</w:t>
      </w:r>
      <w:r>
        <w:rPr>
          <w:rFonts w:eastAsia="Microsoft YaHei"/>
          <w:color w:val="2A2F36"/>
          <w:sz w:val="22"/>
        </w:rPr>
        <w:t xml:space="preserve"> Earn-back. Every consequence under this Article carries a defined, published earn-back pathway: verified compliance over a stated period restores standing automatically, without negotiation and without political concession. Compliance, not contrition, earns restoration.</w:t>
      </w:r>
    </w:p>
    <w:p>
      <w:pPr>
        <w:pStyle w:val="Heading2"/>
        <w:keepNext w:val="true"/>
        <w:keepLines/>
        <w:bidi w:val="0"/>
        <w:spacing w:before="380" w:after="140"/>
        <w:jc w:val="left"/>
        <w:rPr/>
      </w:pPr>
      <w:bookmarkStart w:id="55" w:name="__RefHeading___Toc3307_2451594232"/>
      <w:bookmarkEnd w:id="55"/>
      <w:r>
        <w:rPr>
          <w:rFonts w:eastAsia="Microsoft YaHei"/>
          <w:b/>
          <w:color w:val="1F3550"/>
          <w:sz w:val="27"/>
        </w:rPr>
        <w:t>Article 46: The Forward Drift Archive and Goodwill Credits</w:t>
      </w:r>
    </w:p>
    <w:p>
      <w:pPr>
        <w:pStyle w:val="Normal"/>
        <w:bidi w:val="0"/>
        <w:spacing w:lineRule="auto" w:line="300" w:before="0" w:after="140"/>
        <w:jc w:val="both"/>
        <w:rPr/>
      </w:pPr>
      <w:r>
        <w:rPr>
          <w:rFonts w:eastAsia="Microsoft YaHei"/>
          <w:b/>
          <w:color w:val="2A2F36"/>
          <w:sz w:val="22"/>
        </w:rPr>
        <w:t>46.1</w:t>
      </w:r>
      <w:r>
        <w:rPr>
          <w:rFonts w:eastAsia="Microsoft YaHei"/>
          <w:color w:val="2A2F36"/>
          <w:sz w:val="22"/>
        </w:rPr>
        <w:t xml:space="preserve"> The architecture locks its gains. Every verified structural advance, meaning every certified corridor, every commissioned system, every delivered relief tranche, and every completed audit milestone, enters the Forward Drift Archive on the day of its verification.</w:t>
      </w:r>
    </w:p>
    <w:p>
      <w:pPr>
        <w:pStyle w:val="Normal"/>
        <w:bidi w:val="0"/>
        <w:spacing w:lineRule="auto" w:line="300" w:before="0" w:after="140"/>
        <w:jc w:val="both"/>
        <w:rPr/>
      </w:pPr>
      <w:r>
        <w:rPr>
          <w:rFonts w:eastAsia="Microsoft YaHei"/>
          <w:b/>
          <w:color w:val="2A2F36"/>
          <w:sz w:val="22"/>
        </w:rPr>
        <w:t>46.2</w:t>
      </w:r>
      <w:r>
        <w:rPr>
          <w:rFonts w:eastAsia="Microsoft YaHei"/>
          <w:color w:val="2A2F36"/>
          <w:sz w:val="22"/>
        </w:rPr>
        <w:t xml:space="preserve"> An entry locks permanently after sixty days without reversal and without a specific, reasoned objection recorded in the Council. A locked entry stands beyond reversal by any participant, any political change, or any later dispute. Setbacks under this Pact affect tempo, never ground.</w:t>
      </w:r>
    </w:p>
    <w:p>
      <w:pPr>
        <w:pStyle w:val="Normal"/>
        <w:bidi w:val="0"/>
        <w:spacing w:lineRule="auto" w:line="300" w:before="0" w:after="140"/>
        <w:jc w:val="both"/>
        <w:rPr/>
      </w:pPr>
      <w:r>
        <w:rPr>
          <w:rFonts w:eastAsia="Microsoft YaHei"/>
          <w:b/>
          <w:color w:val="2A2F36"/>
          <w:sz w:val="22"/>
        </w:rPr>
        <w:t>46.3</w:t>
      </w:r>
      <w:r>
        <w:rPr>
          <w:rFonts w:eastAsia="Microsoft YaHei"/>
          <w:color w:val="2A2F36"/>
          <w:sz w:val="22"/>
        </w:rPr>
        <w:t xml:space="preserve"> Goodwill Credits reward over-compliance. A participant that exceeds a standard, such as faster certification, surplus contribution, or early clearance delivery, earns credits on the public ledger. Credits redeem against defined benefits: accelerated disbursement scheduling, reduced inspection frequency within the published floor, and priority in Facility project queues. Credits expire thirty-six months after issuance.</w:t>
      </w:r>
    </w:p>
    <w:p>
      <w:pPr>
        <w:pStyle w:val="Normal"/>
        <w:bidi w:val="0"/>
        <w:spacing w:lineRule="auto" w:line="300" w:before="0" w:after="140"/>
        <w:jc w:val="both"/>
        <w:rPr/>
      </w:pPr>
      <w:r>
        <w:rPr>
          <w:rFonts w:eastAsia="Microsoft YaHei"/>
          <w:b/>
          <w:color w:val="2A2F36"/>
          <w:sz w:val="22"/>
        </w:rPr>
        <w:t>46.4</w:t>
      </w:r>
      <w:r>
        <w:rPr>
          <w:rFonts w:eastAsia="Microsoft YaHei"/>
          <w:color w:val="2A2F36"/>
          <w:sz w:val="22"/>
        </w:rPr>
        <w:t xml:space="preserve"> The Archive and the credit ledger publish in full on the Transparency Portal. The architecture builds its politics on visible, accumulating, irreversible proof that cooperation pays.</w:t>
      </w:r>
    </w:p>
    <w:p>
      <w:pPr>
        <w:pStyle w:val="Heading1"/>
        <w:keepNext w:val="true"/>
        <w:keepLines/>
        <w:pBdr>
          <w:bottom w:val="single" w:sz="8" w:space="6" w:color="9C7A2E"/>
        </w:pBdr>
        <w:bidi w:val="0"/>
        <w:spacing w:before="480" w:after="200"/>
        <w:jc w:val="left"/>
        <w:rPr/>
      </w:pPr>
      <w:bookmarkStart w:id="56" w:name="__RefHeading___Toc3309_2451594232"/>
      <w:bookmarkEnd w:id="56"/>
      <w:r>
        <w:rPr>
          <w:rFonts w:eastAsia="Microsoft YaHei"/>
          <w:b/>
          <w:color w:val="1F3550"/>
          <w:sz w:val="34"/>
        </w:rPr>
        <w:t>PART X: GRADUATED LAYERS ON AN ACCELERATED TIMELINE</w:t>
      </w:r>
    </w:p>
    <w:p>
      <w:pPr>
        <w:pStyle w:val="Heading2"/>
        <w:keepNext w:val="true"/>
        <w:keepLines/>
        <w:bidi w:val="0"/>
        <w:spacing w:before="380" w:after="140"/>
        <w:jc w:val="left"/>
        <w:rPr/>
      </w:pPr>
      <w:bookmarkStart w:id="57" w:name="__RefHeading___Toc3311_2451594232"/>
      <w:bookmarkEnd w:id="57"/>
      <w:r>
        <w:rPr>
          <w:rFonts w:eastAsia="Microsoft YaHei"/>
          <w:b/>
          <w:color w:val="1F3550"/>
          <w:sz w:val="27"/>
        </w:rPr>
        <w:t>Article 47: The Layered Rollout Doctrine</w:t>
      </w:r>
    </w:p>
    <w:p>
      <w:pPr>
        <w:pStyle w:val="Normal"/>
        <w:bidi w:val="0"/>
        <w:spacing w:lineRule="auto" w:line="300" w:before="0" w:after="140"/>
        <w:jc w:val="both"/>
        <w:rPr/>
      </w:pPr>
      <w:r>
        <w:rPr>
          <w:rFonts w:eastAsia="Microsoft YaHei"/>
          <w:b/>
          <w:color w:val="2A2F36"/>
          <w:sz w:val="22"/>
        </w:rPr>
        <w:t>47.1</w:t>
      </w:r>
      <w:r>
        <w:rPr>
          <w:rFonts w:eastAsia="Microsoft YaHei"/>
          <w:color w:val="2A2F36"/>
          <w:sz w:val="22"/>
        </w:rPr>
        <w:t xml:space="preserve"> The Pact builds governance in six graduated layers, each layer unlocking on verified stability, each layer compressing to the fastest schedule the evidence supports. The doctrine follows the proven sequence of cooperative straits: data before routing, routing before finance, finance before oversight, oversight before permanence.</w:t>
      </w:r>
    </w:p>
    <w:p>
      <w:pPr>
        <w:pStyle w:val="Normal"/>
        <w:bidi w:val="0"/>
        <w:spacing w:lineRule="auto" w:line="300" w:before="0" w:after="140"/>
        <w:jc w:val="both"/>
        <w:rPr/>
      </w:pPr>
      <w:r>
        <w:rPr>
          <w:rFonts w:eastAsia="Microsoft YaHei"/>
          <w:b/>
          <w:color w:val="2A2F36"/>
          <w:sz w:val="22"/>
        </w:rPr>
        <w:t>47.2</w:t>
      </w:r>
      <w:r>
        <w:rPr>
          <w:rFonts w:eastAsia="Microsoft YaHei"/>
          <w:color w:val="2A2F36"/>
          <w:sz w:val="22"/>
        </w:rPr>
        <w:t xml:space="preserve"> Layer Zero, Opening: Days Zero to Three. The Three-Day Opening of Part II executes. The Strait opens; the humanitarian bridge runs; the hotline answers; the corridors activate in sequence.</w:t>
      </w:r>
    </w:p>
    <w:p>
      <w:pPr>
        <w:pStyle w:val="Normal"/>
        <w:bidi w:val="0"/>
        <w:spacing w:lineRule="auto" w:line="300" w:before="0" w:after="140"/>
        <w:jc w:val="both"/>
        <w:rPr/>
      </w:pPr>
      <w:r>
        <w:rPr>
          <w:rFonts w:eastAsia="Microsoft YaHei"/>
          <w:b/>
          <w:color w:val="2A2F36"/>
          <w:sz w:val="22"/>
        </w:rPr>
        <w:t>47.3</w:t>
      </w:r>
      <w:r>
        <w:rPr>
          <w:rFonts w:eastAsia="Microsoft YaHei"/>
          <w:color w:val="2A2F36"/>
          <w:sz w:val="22"/>
        </w:rPr>
        <w:t xml:space="preserve"> Layer One, Shared Data: Days Three to Fourteen. The fused picture stabilizes; observer feeds run at full uptime; the incident log accumulates; the shared logbook desk and the micro-exercise clusters of Annex R run daily. The layer proves that both sides see the same water.</w:t>
      </w:r>
    </w:p>
    <w:p>
      <w:pPr>
        <w:pStyle w:val="Normal"/>
        <w:bidi w:val="0"/>
        <w:spacing w:lineRule="auto" w:line="300" w:before="0" w:after="140"/>
        <w:jc w:val="both"/>
        <w:rPr/>
      </w:pPr>
      <w:r>
        <w:rPr>
          <w:rFonts w:eastAsia="Microsoft YaHei"/>
          <w:b/>
          <w:color w:val="2A2F36"/>
          <w:sz w:val="22"/>
        </w:rPr>
        <w:t>47.4</w:t>
      </w:r>
      <w:r>
        <w:rPr>
          <w:rFonts w:eastAsia="Microsoft YaHei"/>
          <w:color w:val="2A2F36"/>
          <w:sz w:val="22"/>
        </w:rPr>
        <w:t xml:space="preserve"> Layer Two, Coordinated Routing: Days Fourteen to Thirty. The corridors settle into routine; the convoy windows and flow states run on objective triggers; the transitional wartime lanes sunset; the clearance program sweeps the median lane. The layer proves that predictable movement reduces incidents.</w:t>
      </w:r>
    </w:p>
    <w:p>
      <w:pPr>
        <w:pStyle w:val="Normal"/>
        <w:bidi w:val="0"/>
        <w:spacing w:lineRule="auto" w:line="300" w:before="0" w:after="140"/>
        <w:jc w:val="both"/>
        <w:rPr/>
      </w:pPr>
      <w:r>
        <w:rPr>
          <w:rFonts w:eastAsia="Microsoft YaHei"/>
          <w:b/>
          <w:color w:val="2A2F36"/>
          <w:sz w:val="22"/>
        </w:rPr>
        <w:t>47.5</w:t>
      </w:r>
      <w:r>
        <w:rPr>
          <w:rFonts w:eastAsia="Microsoft YaHei"/>
          <w:color w:val="2A2F36"/>
          <w:sz w:val="22"/>
        </w:rPr>
        <w:t xml:space="preserve"> Layer Three, Financial Activation: Days Thirty to Forty-Five. The rate card activates at pilot rates; the Fund opens disbursement against the ledger; the Insurance Pool posts its first post-crisis risk tier; the Economic Normalization Track opens its first instruments. The layer proves that the Service Distinction holds under real money.</w:t>
      </w:r>
    </w:p>
    <w:p>
      <w:pPr>
        <w:pStyle w:val="Normal"/>
        <w:bidi w:val="0"/>
        <w:spacing w:lineRule="auto" w:line="300" w:before="0" w:after="140"/>
        <w:jc w:val="both"/>
        <w:rPr/>
      </w:pPr>
      <w:r>
        <w:rPr>
          <w:rFonts w:eastAsia="Microsoft YaHei"/>
          <w:b/>
          <w:color w:val="2A2F36"/>
          <w:sz w:val="22"/>
        </w:rPr>
        <w:t>47.6</w:t>
      </w:r>
      <w:r>
        <w:rPr>
          <w:rFonts w:eastAsia="Microsoft YaHei"/>
          <w:color w:val="2A2F36"/>
          <w:sz w:val="22"/>
        </w:rPr>
        <w:t xml:space="preserve"> Layer Four, Joint Oversight: Days Forty-Five to Sixty. The full patrol rotation assumes maritime safety presence; the Verification and Surveillance Directorate reaches full staffing; the dispute resolution bands take their first referrals; the Stability Audit runs its first formal gate review. The layer proves that shared authority works under load.</w:t>
      </w:r>
    </w:p>
    <w:p>
      <w:pPr>
        <w:pStyle w:val="Normal"/>
        <w:bidi w:val="0"/>
        <w:spacing w:lineRule="auto" w:line="300" w:before="0" w:after="140"/>
        <w:jc w:val="both"/>
        <w:rPr/>
      </w:pPr>
      <w:r>
        <w:rPr>
          <w:rFonts w:eastAsia="Microsoft YaHei"/>
          <w:b/>
          <w:color w:val="2A2F36"/>
          <w:sz w:val="22"/>
        </w:rPr>
        <w:t>47.7</w:t>
      </w:r>
      <w:r>
        <w:rPr>
          <w:rFonts w:eastAsia="Microsoft YaHei"/>
          <w:color w:val="2A2F36"/>
          <w:sz w:val="22"/>
        </w:rPr>
        <w:t xml:space="preserve"> Layer Five, Permanent Charter: Days Sixty to Ninety. The permanent configuration locks: surveyed registry coordinates publish, full rates succeed pilot rates, the Forward Drift Archive locks the Layer gains, and the Pact enters its permanent standing. The architecture's success metric is boredom: a Strait so predictable it leaves the headlines.</w:t>
      </w:r>
    </w:p>
    <w:p>
      <w:pPr>
        <w:pStyle w:val="Normal"/>
        <w:bidi w:val="0"/>
        <w:spacing w:lineRule="auto" w:line="300" w:before="0" w:after="140"/>
        <w:jc w:val="both"/>
        <w:rPr/>
      </w:pPr>
      <w:r>
        <w:rPr>
          <w:rFonts w:eastAsia="Microsoft YaHei"/>
          <w:b/>
          <w:color w:val="2A2F36"/>
          <w:sz w:val="22"/>
        </w:rPr>
        <w:t>47.8</w:t>
      </w:r>
      <w:r>
        <w:rPr>
          <w:rFonts w:eastAsia="Microsoft YaHei"/>
          <w:color w:val="2A2F36"/>
          <w:sz w:val="22"/>
        </w:rPr>
        <w:t xml:space="preserve"> Every layer opens on the Concurrent Activation Doctrine: inside each layer, every track moves in parallel, and no track waits on another.</w:t>
      </w:r>
    </w:p>
    <w:p>
      <w:pPr>
        <w:pStyle w:val="Heading2"/>
        <w:keepNext w:val="true"/>
        <w:keepLines/>
        <w:bidi w:val="0"/>
        <w:spacing w:before="380" w:after="140"/>
        <w:jc w:val="left"/>
        <w:rPr/>
      </w:pPr>
      <w:bookmarkStart w:id="58" w:name="__RefHeading___Toc3313_2451594232"/>
      <w:bookmarkEnd w:id="58"/>
      <w:r>
        <w:rPr>
          <w:rFonts w:eastAsia="Microsoft YaHei"/>
          <w:b/>
          <w:color w:val="1F3550"/>
          <w:sz w:val="27"/>
        </w:rPr>
        <w:t>Article 48: The Gate Schedule</w:t>
      </w:r>
    </w:p>
    <w:p>
      <w:pPr>
        <w:pStyle w:val="Normal"/>
        <w:bidi w:val="0"/>
        <w:spacing w:lineRule="auto" w:line="300" w:before="0" w:after="140"/>
        <w:jc w:val="both"/>
        <w:rPr/>
      </w:pPr>
      <w:r>
        <w:rPr>
          <w:rFonts w:eastAsia="Microsoft YaHei"/>
          <w:b/>
          <w:color w:val="2A2F36"/>
          <w:sz w:val="22"/>
        </w:rPr>
        <w:t>48.1</w:t>
      </w:r>
      <w:r>
        <w:rPr>
          <w:rFonts w:eastAsia="Microsoft YaHei"/>
          <w:color w:val="2A2F36"/>
          <w:sz w:val="22"/>
        </w:rPr>
        <w:t xml:space="preserve"> Table 48-A states the consolidated gate schedule. Each gate carries its maritime milestone, its paired relief execution, and its certifier. A maritime milestone and its paired relief execution constitute one indivisible event: they certify together or not at all.</w:t>
      </w:r>
    </w:p>
    <w:tbl>
      <w:tblPr>
        <w:tblW w:w="5000" w:type="pct"/>
        <w:jc w:val="left"/>
        <w:tblInd w:w="-8" w:type="dxa"/>
        <w:tblLayout w:type="fixed"/>
        <w:tblCellMar>
          <w:top w:w="60" w:type="dxa"/>
          <w:left w:w="100" w:type="dxa"/>
          <w:bottom w:w="60" w:type="dxa"/>
          <w:right w:w="100" w:type="dxa"/>
        </w:tblCellMar>
      </w:tblPr>
      <w:tblGrid>
        <w:gridCol w:w="1222"/>
        <w:gridCol w:w="3384"/>
        <w:gridCol w:w="2539"/>
        <w:gridCol w:w="1880"/>
      </w:tblGrid>
      <w:tr>
        <w:trPr>
          <w:tblHeader w:val="true"/>
          <w:cantSplit w:val="true"/>
        </w:trPr>
        <w:tc>
          <w:tcPr>
            <w:tcW w:w="122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Gate</w:t>
            </w:r>
          </w:p>
        </w:tc>
        <w:tc>
          <w:tcPr>
            <w:tcW w:w="3384"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Maritime Milestone</w:t>
            </w:r>
          </w:p>
        </w:tc>
        <w:tc>
          <w:tcPr>
            <w:tcW w:w="2539"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Paired Relief Execution</w:t>
            </w:r>
          </w:p>
        </w:tc>
        <w:tc>
          <w:tcPr>
            <w:tcW w:w="18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Certifier</w:t>
            </w:r>
          </w:p>
        </w:tc>
      </w:tr>
      <w:tr>
        <w:trPr/>
        <w:tc>
          <w:tcPr>
            <w:tcW w:w="122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Zero, Day 0</w:t>
            </w:r>
          </w:p>
        </w:tc>
        <w:tc>
          <w:tcPr>
            <w:tcW w:w="33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Standstill; hotline live; fused picture up; escrow licenses confirmed</w:t>
            </w:r>
          </w:p>
        </w:tc>
        <w:tc>
          <w:tcPr>
            <w:tcW w:w="253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Blockade drawdown Step One begins; humanitarian cargo releases</w:t>
            </w:r>
          </w:p>
        </w:tc>
        <w:tc>
          <w:tcPr>
            <w:tcW w:w="18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Depositary and Neutral Watch</w:t>
            </w:r>
          </w:p>
        </w:tc>
      </w:tr>
      <w:tr>
        <w:trPr/>
        <w:tc>
          <w:tcPr>
            <w:tcW w:w="122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One, Day 3</w:t>
            </w:r>
          </w:p>
        </w:tc>
        <w:tc>
          <w:tcPr>
            <w:tcW w:w="33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All three corridors open; first convoys complete; Stability Audit baseline opens</w:t>
            </w:r>
          </w:p>
        </w:tc>
        <w:tc>
          <w:tcPr>
            <w:tcW w:w="253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First relief tranche executes under Annex H; insurance bridge tier posts</w:t>
            </w:r>
          </w:p>
        </w:tc>
        <w:tc>
          <w:tcPr>
            <w:tcW w:w="18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Neutral Watch Office</w:t>
            </w:r>
          </w:p>
        </w:tc>
      </w:tr>
      <w:tr>
        <w:trPr/>
        <w:tc>
          <w:tcPr>
            <w:tcW w:w="122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Two, Day 14</w:t>
            </w:r>
          </w:p>
        </w:tc>
        <w:tc>
          <w:tcPr>
            <w:tcW w:w="33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Data layer certified; incident log clean; transitional lanes on sunset ledger</w:t>
            </w:r>
          </w:p>
        </w:tc>
        <w:tc>
          <w:tcPr>
            <w:tcW w:w="253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Second relief tranche; first Facility projects approve</w:t>
            </w:r>
          </w:p>
        </w:tc>
        <w:tc>
          <w:tcPr>
            <w:tcW w:w="18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Verification Directorate</w:t>
            </w:r>
          </w:p>
        </w:tc>
      </w:tr>
      <w:tr>
        <w:trPr/>
        <w:tc>
          <w:tcPr>
            <w:tcW w:w="122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Three, Day 30</w:t>
            </w:r>
          </w:p>
        </w:tc>
        <w:tc>
          <w:tcPr>
            <w:tcW w:w="33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Median lane clearance certified; routing layer certified; wartime lanes sunset complete</w:t>
            </w:r>
          </w:p>
        </w:tc>
        <w:tc>
          <w:tcPr>
            <w:tcW w:w="253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Third relief tranche; blockade drawdown completes; port call normalization</w:t>
            </w:r>
          </w:p>
        </w:tc>
        <w:tc>
          <w:tcPr>
            <w:tcW w:w="18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Survey Director and Directorate</w:t>
            </w:r>
          </w:p>
        </w:tc>
      </w:tr>
      <w:tr>
        <w:trPr/>
        <w:tc>
          <w:tcPr>
            <w:tcW w:w="122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Four, Day 45</w:t>
            </w:r>
          </w:p>
        </w:tc>
        <w:tc>
          <w:tcPr>
            <w:tcW w:w="33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Financial layer certified; rate card live; payment routing at ninety-nine percent</w:t>
            </w:r>
          </w:p>
        </w:tc>
        <w:tc>
          <w:tcPr>
            <w:tcW w:w="253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Pool risk-tier reduction; banking channels for lawful trade expand</w:t>
            </w:r>
          </w:p>
        </w:tc>
        <w:tc>
          <w:tcPr>
            <w:tcW w:w="18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Financial Custodian and Neutral Watch</w:t>
            </w:r>
          </w:p>
        </w:tc>
      </w:tr>
      <w:tr>
        <w:trPr/>
        <w:tc>
          <w:tcPr>
            <w:tcW w:w="122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Five, Day 60</w:t>
            </w:r>
          </w:p>
        </w:tc>
        <w:tc>
          <w:tcPr>
            <w:tcW w:w="3384"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Oversight layer certified; patrol rotation full; first dispute bands close</w:t>
            </w:r>
          </w:p>
        </w:tc>
        <w:tc>
          <w:tcPr>
            <w:tcW w:w="253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Fourth relief tranche; Facility window widens; technical assistance programs launch</w:t>
            </w:r>
          </w:p>
        </w:tc>
        <w:tc>
          <w:tcPr>
            <w:tcW w:w="18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Council on Audit recommendation</w:t>
            </w:r>
          </w:p>
        </w:tc>
      </w:tr>
      <w:tr>
        <w:trPr/>
        <w:tc>
          <w:tcPr>
            <w:tcW w:w="122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Gate Six, Day 90</w:t>
            </w:r>
          </w:p>
        </w:tc>
        <w:tc>
          <w:tcPr>
            <w:tcW w:w="3384"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Full operating capability; surveyed coordinates publish; permanent charter locks</w:t>
            </w:r>
          </w:p>
        </w:tc>
        <w:tc>
          <w:tcPr>
            <w:tcW w:w="2539"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Normalization track reaches steady state; Forward Drift Archive locks the gates</w:t>
            </w:r>
          </w:p>
        </w:tc>
        <w:tc>
          <w:tcPr>
            <w:tcW w:w="18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Council, Twin Key concurrence</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b/>
          <w:color w:val="2A2F36"/>
          <w:sz w:val="22"/>
        </w:rPr>
        <w:t>48.2</w:t>
      </w:r>
      <w:r>
        <w:rPr>
          <w:rFonts w:eastAsia="Microsoft YaHei"/>
          <w:color w:val="2A2F36"/>
          <w:sz w:val="22"/>
        </w:rPr>
        <w:t xml:space="preserve"> The gate clocks bind. A gate certifies early on complete evidence, and the schedule compresses accordingly. A gate that misses its day triggers the slippage protocol: fourteen days of slippage marks the gate yellow on the dashboard; thirty days marks it red and convenes the Council within seven days. Slippage never suspends an open corridor.</w:t>
      </w:r>
    </w:p>
    <w:p>
      <w:pPr>
        <w:pStyle w:val="Normal"/>
        <w:bidi w:val="0"/>
        <w:spacing w:lineRule="auto" w:line="300" w:before="0" w:after="140"/>
        <w:jc w:val="both"/>
        <w:rPr/>
      </w:pPr>
      <w:r>
        <w:rPr>
          <w:rFonts w:eastAsia="Microsoft YaHei"/>
          <w:b/>
          <w:color w:val="2A2F36"/>
          <w:sz w:val="22"/>
        </w:rPr>
        <w:t>48.3</w:t>
      </w:r>
      <w:r>
        <w:rPr>
          <w:rFonts w:eastAsia="Microsoft YaHei"/>
          <w:color w:val="2A2F36"/>
          <w:sz w:val="22"/>
        </w:rPr>
        <w:t xml:space="preserve"> The schedule of this Article constitutes the accelerated path. It compresses the conventional ninety to one hundred and twenty day reopening sequence into ninety days by concurrency, by pre-committed escrow of the Minimal Viable Opening Package, and by pairing every maritime milestone to its relief event in advance.</w:t>
      </w:r>
    </w:p>
    <w:p>
      <w:pPr>
        <w:pStyle w:val="Heading2"/>
        <w:keepNext w:val="true"/>
        <w:keepLines/>
        <w:bidi w:val="0"/>
        <w:spacing w:before="380" w:after="140"/>
        <w:jc w:val="left"/>
        <w:rPr/>
      </w:pPr>
      <w:bookmarkStart w:id="59" w:name="__RefHeading___Toc3315_2451594232"/>
      <w:bookmarkEnd w:id="59"/>
      <w:r>
        <w:rPr>
          <w:rFonts w:eastAsia="Microsoft YaHei"/>
          <w:b/>
          <w:color w:val="1F3550"/>
          <w:sz w:val="27"/>
        </w:rPr>
        <w:t>Article 49: The Synchronized Relief Track</w:t>
      </w:r>
    </w:p>
    <w:p>
      <w:pPr>
        <w:pStyle w:val="Normal"/>
        <w:bidi w:val="0"/>
        <w:spacing w:lineRule="auto" w:line="300" w:before="0" w:after="140"/>
        <w:jc w:val="both"/>
        <w:rPr/>
      </w:pPr>
      <w:r>
        <w:rPr>
          <w:rFonts w:eastAsia="Microsoft YaHei"/>
          <w:b/>
          <w:color w:val="2A2F36"/>
          <w:sz w:val="22"/>
        </w:rPr>
        <w:t>49.1</w:t>
      </w:r>
      <w:r>
        <w:rPr>
          <w:rFonts w:eastAsia="Microsoft YaHei"/>
          <w:color w:val="2A2F36"/>
          <w:sz w:val="22"/>
        </w:rPr>
        <w:t xml:space="preserve"> Relief executes in four tranches, each paired to a gate of Table 48-A, each self-executing on the gate certificate. Annex H states the tranche contents in full: blockade drawdown steps, port and trade normalization steps, Facility disbursements, frozen asset channels through the firewall, and insurance normalization steps.</w:t>
      </w:r>
    </w:p>
    <w:p>
      <w:pPr>
        <w:pStyle w:val="Normal"/>
        <w:bidi w:val="0"/>
        <w:spacing w:lineRule="auto" w:line="300" w:before="0" w:after="140"/>
        <w:jc w:val="both"/>
        <w:rPr/>
      </w:pPr>
      <w:r>
        <w:rPr>
          <w:rFonts w:eastAsia="Microsoft YaHei"/>
          <w:b/>
          <w:color w:val="2A2F36"/>
          <w:sz w:val="22"/>
        </w:rPr>
        <w:t>49.2</w:t>
      </w:r>
      <w:r>
        <w:rPr>
          <w:rFonts w:eastAsia="Microsoft YaHei"/>
          <w:color w:val="2A2F36"/>
          <w:sz w:val="22"/>
        </w:rPr>
        <w:t xml:space="preserve"> Synchronization runs both ways. The relief track never leads the maritime track, and the maritime track never waits on politics. The gate certificate fires both halves of the event within the same twenty-four hours. This pairing answers the sequencing dispute directly: nobody moves first, because everybody moves together.</w:t>
      </w:r>
    </w:p>
    <w:p>
      <w:pPr>
        <w:pStyle w:val="Normal"/>
        <w:bidi w:val="0"/>
        <w:spacing w:lineRule="auto" w:line="300" w:before="0" w:after="140"/>
        <w:jc w:val="both"/>
        <w:rPr/>
      </w:pPr>
      <w:r>
        <w:rPr>
          <w:rFonts w:eastAsia="Microsoft YaHei"/>
          <w:b/>
          <w:color w:val="2A2F36"/>
          <w:sz w:val="22"/>
        </w:rPr>
        <w:t>49.3</w:t>
      </w:r>
      <w:r>
        <w:rPr>
          <w:rFonts w:eastAsia="Microsoft YaHei"/>
          <w:color w:val="2A2F36"/>
          <w:sz w:val="22"/>
        </w:rPr>
        <w:t xml:space="preserve"> The Fast-Track option. On joint certification by the Neutral Watch Office and the Financial Custodian that two consecutive gates passed without a Tier Two event, the next two tranches execute under Emergency Acceleration: the remaining schedule compresses by up to one half, with every gate metric unchanged. Compression never dilutes proof.</w:t>
      </w:r>
    </w:p>
    <w:p>
      <w:pPr>
        <w:pStyle w:val="Normal"/>
        <w:bidi w:val="0"/>
        <w:spacing w:lineRule="auto" w:line="300" w:before="0" w:after="140"/>
        <w:jc w:val="both"/>
        <w:rPr/>
      </w:pPr>
      <w:r>
        <w:rPr>
          <w:rFonts w:eastAsia="Microsoft YaHei"/>
          <w:b/>
          <w:color w:val="2A2F36"/>
          <w:sz w:val="22"/>
        </w:rPr>
        <w:t>49.4</w:t>
      </w:r>
      <w:r>
        <w:rPr>
          <w:rFonts w:eastAsia="Microsoft YaHei"/>
          <w:color w:val="2A2F36"/>
          <w:sz w:val="22"/>
        </w:rPr>
        <w:t xml:space="preserve"> Delivered relief locks in the Forward Drift Archive. No later dispute recalls a delivered tranche; the Compliance Engine works on future benefits alone.</w:t>
      </w:r>
    </w:p>
    <w:p>
      <w:pPr>
        <w:pStyle w:val="Heading2"/>
        <w:keepNext w:val="true"/>
        <w:keepLines/>
        <w:bidi w:val="0"/>
        <w:spacing w:before="380" w:after="140"/>
        <w:jc w:val="left"/>
        <w:rPr/>
      </w:pPr>
      <w:bookmarkStart w:id="60" w:name="__RefHeading___Toc3317_2451594232"/>
      <w:bookmarkEnd w:id="60"/>
      <w:r>
        <w:rPr>
          <w:rFonts w:eastAsia="Microsoft YaHei"/>
          <w:b/>
          <w:color w:val="1F3550"/>
          <w:sz w:val="27"/>
        </w:rPr>
        <w:t>Article 50: The Emergency Acceleration Clause and the Continuity of the Clock</w:t>
      </w:r>
    </w:p>
    <w:p>
      <w:pPr>
        <w:pStyle w:val="Normal"/>
        <w:bidi w:val="0"/>
        <w:spacing w:lineRule="auto" w:line="300" w:before="0" w:after="140"/>
        <w:jc w:val="both"/>
        <w:rPr/>
      </w:pPr>
      <w:r>
        <w:rPr>
          <w:rFonts w:eastAsia="Microsoft YaHei"/>
          <w:b/>
          <w:color w:val="2A2F36"/>
          <w:sz w:val="22"/>
        </w:rPr>
        <w:t>50.1</w:t>
      </w:r>
      <w:r>
        <w:rPr>
          <w:rFonts w:eastAsia="Microsoft YaHei"/>
          <w:color w:val="2A2F36"/>
          <w:sz w:val="22"/>
        </w:rPr>
        <w:t xml:space="preserve"> The Emergency Acceleration Clause compresses the gate schedule by up to fifty percent when three conditions converge: the Stability Audit records two consecutive clean gate reviews; the Council records Twin Key concurrence; and the Insurance Pool posts a falling risk tier. The clause self-executes on the certifications; it needs no further political act.</w:t>
      </w:r>
    </w:p>
    <w:p>
      <w:pPr>
        <w:pStyle w:val="Normal"/>
        <w:bidi w:val="0"/>
        <w:spacing w:lineRule="auto" w:line="300" w:before="0" w:after="140"/>
        <w:jc w:val="both"/>
        <w:rPr/>
      </w:pPr>
      <w:r>
        <w:rPr>
          <w:rFonts w:eastAsia="Microsoft YaHei"/>
          <w:b/>
          <w:color w:val="2A2F36"/>
          <w:sz w:val="22"/>
        </w:rPr>
        <w:t>50.2</w:t>
      </w:r>
      <w:r>
        <w:rPr>
          <w:rFonts w:eastAsia="Microsoft YaHei"/>
          <w:color w:val="2A2F36"/>
          <w:sz w:val="22"/>
        </w:rPr>
        <w:t xml:space="preserve"> Compression under this Article accelerates every layer except proof. Gate metrics, certification standards, and verification procedures hold constant. The architecture trades time, never rigor.</w:t>
      </w:r>
    </w:p>
    <w:p>
      <w:pPr>
        <w:pStyle w:val="Normal"/>
        <w:bidi w:val="0"/>
        <w:spacing w:lineRule="auto" w:line="300" w:before="0" w:after="140"/>
        <w:jc w:val="both"/>
        <w:rPr/>
      </w:pPr>
      <w:r>
        <w:rPr>
          <w:rFonts w:eastAsia="Microsoft YaHei"/>
          <w:b/>
          <w:color w:val="2A2F36"/>
          <w:sz w:val="22"/>
        </w:rPr>
        <w:t>50.3</w:t>
      </w:r>
      <w:r>
        <w:rPr>
          <w:rFonts w:eastAsia="Microsoft YaHei"/>
          <w:color w:val="2A2F36"/>
          <w:sz w:val="22"/>
        </w:rPr>
        <w:t xml:space="preserve"> The clock never stops for politics. If any negotiation track outside this Pact stalls, the Pact's schedule continues. If any participant's domestic process stalls, the Partial Entry rule of Article 57 keeps that participant in voice-without-vote status while its process completes, and the architecture continues around it.</w:t>
      </w:r>
    </w:p>
    <w:p>
      <w:pPr>
        <w:pStyle w:val="Normal"/>
        <w:bidi w:val="0"/>
        <w:spacing w:lineRule="auto" w:line="300" w:before="0" w:after="140"/>
        <w:jc w:val="both"/>
        <w:rPr/>
      </w:pPr>
      <w:r>
        <w:rPr>
          <w:rFonts w:eastAsia="Microsoft YaHei"/>
          <w:b/>
          <w:color w:val="2A2F36"/>
          <w:sz w:val="22"/>
        </w:rPr>
        <w:t>50.4</w:t>
      </w:r>
      <w:r>
        <w:rPr>
          <w:rFonts w:eastAsia="Microsoft YaHei"/>
          <w:color w:val="2A2F36"/>
          <w:sz w:val="22"/>
        </w:rPr>
        <w:t xml:space="preserve"> The master timeline of Annex H consolidates every gate, tranche, layer, and milestone of this Part into a single public schedule, versioned by the Secretariat and mirrored on the Transparency Portal.</w:t>
      </w:r>
    </w:p>
    <w:p>
      <w:pPr>
        <w:pStyle w:val="Heading1"/>
        <w:keepNext w:val="true"/>
        <w:keepLines/>
        <w:pBdr>
          <w:bottom w:val="single" w:sz="8" w:space="6" w:color="9C7A2E"/>
        </w:pBdr>
        <w:bidi w:val="0"/>
        <w:spacing w:before="480" w:after="200"/>
        <w:jc w:val="left"/>
        <w:rPr/>
      </w:pPr>
      <w:bookmarkStart w:id="61" w:name="__RefHeading___Toc3319_2451594232"/>
      <w:bookmarkEnd w:id="61"/>
      <w:r>
        <w:rPr>
          <w:rFonts w:eastAsia="Microsoft YaHei"/>
          <w:b/>
          <w:color w:val="1F3550"/>
          <w:sz w:val="34"/>
        </w:rPr>
        <w:t>PART XI: HUMANITARIAN AND ENVIRONMENTAL PROTECTION</w:t>
      </w:r>
    </w:p>
    <w:p>
      <w:pPr>
        <w:pStyle w:val="Heading2"/>
        <w:keepNext w:val="true"/>
        <w:keepLines/>
        <w:bidi w:val="0"/>
        <w:spacing w:before="380" w:after="140"/>
        <w:jc w:val="left"/>
        <w:rPr/>
      </w:pPr>
      <w:bookmarkStart w:id="62" w:name="__RefHeading___Toc3321_2451594232"/>
      <w:bookmarkEnd w:id="62"/>
      <w:r>
        <w:rPr>
          <w:rFonts w:eastAsia="Microsoft YaHei"/>
          <w:b/>
          <w:color w:val="1F3550"/>
          <w:sz w:val="27"/>
        </w:rPr>
        <w:t>Article 51: The Humanitarian Firewall</w:t>
      </w:r>
    </w:p>
    <w:p>
      <w:pPr>
        <w:pStyle w:val="Normal"/>
        <w:bidi w:val="0"/>
        <w:spacing w:lineRule="auto" w:line="300" w:before="0" w:after="140"/>
        <w:jc w:val="both"/>
        <w:rPr/>
      </w:pPr>
      <w:r>
        <w:rPr>
          <w:rFonts w:eastAsia="Microsoft YaHei"/>
          <w:b/>
          <w:color w:val="2A2F36"/>
          <w:sz w:val="22"/>
        </w:rPr>
        <w:t>51.1</w:t>
      </w:r>
      <w:r>
        <w:rPr>
          <w:rFonts w:eastAsia="Microsoft YaHei"/>
          <w:color w:val="2A2F36"/>
          <w:sz w:val="22"/>
        </w:rPr>
        <w:t xml:space="preserve"> The Humanitarian Firewall prevails over every other provision of this Pact. No tier consequence, no sanctions architecture, no dispute outcome, no crisis level, and no flow state touches food, medicine, medical equipment, relief supplies, or the vessels and crews carrying them. The firewall admits no exception and no suspension.</w:t>
      </w:r>
    </w:p>
    <w:p>
      <w:pPr>
        <w:pStyle w:val="Normal"/>
        <w:bidi w:val="0"/>
        <w:spacing w:lineRule="auto" w:line="300" w:before="0" w:after="140"/>
        <w:jc w:val="both"/>
        <w:rPr/>
      </w:pPr>
      <w:r>
        <w:rPr>
          <w:rFonts w:eastAsia="Microsoft YaHei"/>
          <w:b/>
          <w:color w:val="2A2F36"/>
          <w:sz w:val="22"/>
        </w:rPr>
        <w:t>51.2</w:t>
      </w:r>
      <w:r>
        <w:rPr>
          <w:rFonts w:eastAsia="Microsoft YaHei"/>
          <w:color w:val="2A2F36"/>
          <w:sz w:val="22"/>
        </w:rPr>
        <w:t xml:space="preserve"> The International Humanitarian Verification Corps stands ready under the Secretariat: five hundred trained monitors, rostered in Annex K, deployable within twenty-four hours of a certified humanitarian event, reporting simultaneously to the Ombudsman and to the Council.</w:t>
      </w:r>
    </w:p>
    <w:p>
      <w:pPr>
        <w:pStyle w:val="Normal"/>
        <w:bidi w:val="0"/>
        <w:spacing w:lineRule="auto" w:line="300" w:before="0" w:after="140"/>
        <w:jc w:val="both"/>
        <w:rPr/>
      </w:pPr>
      <w:r>
        <w:rPr>
          <w:rFonts w:eastAsia="Microsoft YaHei"/>
          <w:b/>
          <w:color w:val="2A2F36"/>
          <w:sz w:val="22"/>
        </w:rPr>
        <w:t>51.3</w:t>
      </w:r>
      <w:r>
        <w:rPr>
          <w:rFonts w:eastAsia="Microsoft YaHei"/>
          <w:color w:val="2A2F36"/>
          <w:sz w:val="22"/>
        </w:rPr>
        <w:t xml:space="preserve"> The Humanitarian Walkthrough Cycle runs continuously during any declared emergency on a seven-day rhythm: route certification, convoy movement, delivery verification, and public reporting. The Cycle's reports post to the Transparency Portal without editing.</w:t>
      </w:r>
    </w:p>
    <w:p>
      <w:pPr>
        <w:pStyle w:val="Normal"/>
        <w:bidi w:val="0"/>
        <w:spacing w:lineRule="auto" w:line="300" w:before="0" w:after="140"/>
        <w:jc w:val="both"/>
        <w:rPr/>
      </w:pPr>
      <w:r>
        <w:rPr>
          <w:rFonts w:eastAsia="Microsoft YaHei"/>
          <w:b/>
          <w:color w:val="2A2F36"/>
          <w:sz w:val="22"/>
        </w:rPr>
        <w:t>51.4</w:t>
      </w:r>
      <w:r>
        <w:rPr>
          <w:rFonts w:eastAsia="Microsoft YaHei"/>
          <w:color w:val="2A2F36"/>
          <w:sz w:val="22"/>
        </w:rPr>
        <w:t xml:space="preserve"> Stranded mariners hold an absolute claim on the architecture: any crew stranded by any disruption receives immediate relief, consular access within twenty-four hours, medical evacuation on demand, and repatriation logistics through the Corridor Operations Board. This claim binds every participant and survives every dispute.</w:t>
      </w:r>
    </w:p>
    <w:p>
      <w:pPr>
        <w:pStyle w:val="Heading2"/>
        <w:keepNext w:val="true"/>
        <w:keepLines/>
        <w:bidi w:val="0"/>
        <w:spacing w:before="380" w:after="140"/>
        <w:jc w:val="left"/>
        <w:rPr/>
      </w:pPr>
      <w:bookmarkStart w:id="63" w:name="__RefHeading___Toc3323_2451594232"/>
      <w:bookmarkEnd w:id="63"/>
      <w:r>
        <w:rPr>
          <w:rFonts w:eastAsia="Microsoft YaHei"/>
          <w:b/>
          <w:color w:val="1F3550"/>
          <w:sz w:val="27"/>
        </w:rPr>
        <w:t>Article 52: Environmental Protection and Pollution Response</w:t>
      </w:r>
    </w:p>
    <w:p>
      <w:pPr>
        <w:pStyle w:val="Normal"/>
        <w:bidi w:val="0"/>
        <w:spacing w:lineRule="auto" w:line="300" w:before="0" w:after="140"/>
        <w:jc w:val="both"/>
        <w:rPr/>
      </w:pPr>
      <w:r>
        <w:rPr>
          <w:rFonts w:eastAsia="Microsoft YaHei"/>
          <w:b/>
          <w:color w:val="2A2F36"/>
          <w:sz w:val="22"/>
        </w:rPr>
        <w:t>52.1</w:t>
      </w:r>
      <w:r>
        <w:rPr>
          <w:rFonts w:eastAsia="Microsoft YaHei"/>
          <w:color w:val="2A2F36"/>
          <w:sz w:val="22"/>
        </w:rPr>
        <w:t xml:space="preserve"> The Governance Area operates under standing environmental watch: continuous water quality, emissions, and ecological baseline monitoring, with the baseline established in the first fourteen days and published in full.</w:t>
      </w:r>
    </w:p>
    <w:p>
      <w:pPr>
        <w:pStyle w:val="Normal"/>
        <w:bidi w:val="0"/>
        <w:spacing w:lineRule="auto" w:line="300" w:before="0" w:after="140"/>
        <w:jc w:val="both"/>
        <w:rPr/>
      </w:pPr>
      <w:r>
        <w:rPr>
          <w:rFonts w:eastAsia="Microsoft YaHei"/>
          <w:b/>
          <w:color w:val="2A2F36"/>
          <w:sz w:val="22"/>
        </w:rPr>
        <w:t>52.2</w:t>
      </w:r>
      <w:r>
        <w:rPr>
          <w:rFonts w:eastAsia="Microsoft YaHei"/>
          <w:color w:val="2A2F36"/>
          <w:sz w:val="22"/>
        </w:rPr>
        <w:t xml:space="preserve"> The pollution response architecture comprises: a joint spill-response roster with equipment depots at Bandar Abbas, Khasab, and Fujairah under Annex K; a four-hour first-response standard inside the Governance Area; joint training and annual full-scale exercises; and a polluter-pays liability channel administered through the Insurance Pool.</w:t>
      </w:r>
    </w:p>
    <w:p>
      <w:pPr>
        <w:pStyle w:val="Normal"/>
        <w:bidi w:val="0"/>
        <w:spacing w:lineRule="auto" w:line="300" w:before="0" w:after="140"/>
        <w:jc w:val="both"/>
        <w:rPr/>
      </w:pPr>
      <w:r>
        <w:rPr>
          <w:rFonts w:eastAsia="Microsoft YaHei"/>
          <w:b/>
          <w:color w:val="2A2F36"/>
          <w:sz w:val="22"/>
        </w:rPr>
        <w:t>52.3</w:t>
      </w:r>
      <w:r>
        <w:rPr>
          <w:rFonts w:eastAsia="Microsoft YaHei"/>
          <w:color w:val="2A2F36"/>
          <w:sz w:val="22"/>
        </w:rPr>
        <w:t xml:space="preserve"> Hazardous cargo routing follows the Class F rules of Article 18 and the data sheet regime of Annex B. Ballast water, emissions, and discharge standards follow the international instruments named in Annex A, applied symmetrically to every flag.</w:t>
      </w:r>
    </w:p>
    <w:p>
      <w:pPr>
        <w:pStyle w:val="Normal"/>
        <w:bidi w:val="0"/>
        <w:spacing w:lineRule="auto" w:line="300" w:before="0" w:after="140"/>
        <w:jc w:val="both"/>
        <w:rPr/>
      </w:pPr>
      <w:r>
        <w:rPr>
          <w:rFonts w:eastAsia="Microsoft YaHei"/>
          <w:b/>
          <w:color w:val="2A2F36"/>
          <w:sz w:val="22"/>
        </w:rPr>
        <w:t>52.4</w:t>
      </w:r>
      <w:r>
        <w:rPr>
          <w:rFonts w:eastAsia="Microsoft YaHei"/>
          <w:color w:val="2A2F36"/>
          <w:sz w:val="22"/>
        </w:rPr>
        <w:t xml:space="preserve"> The architecture designates the marine protected areas of Annex A and phases the corridor margins around them. The Green Discount of Article 26.3 funds from the savings that cleaner traffic generates, verified by the environmental baseline.</w:t>
      </w:r>
    </w:p>
    <w:p>
      <w:pPr>
        <w:pStyle w:val="Normal"/>
        <w:bidi w:val="0"/>
        <w:spacing w:lineRule="auto" w:line="300" w:before="0" w:after="140"/>
        <w:jc w:val="both"/>
        <w:rPr/>
      </w:pPr>
      <w:r>
        <w:rPr>
          <w:rFonts w:eastAsia="Microsoft YaHei"/>
          <w:b/>
          <w:color w:val="2A2F36"/>
          <w:sz w:val="22"/>
        </w:rPr>
        <w:t>52.5</w:t>
      </w:r>
      <w:r>
        <w:rPr>
          <w:rFonts w:eastAsia="Microsoft YaHei"/>
          <w:color w:val="2A2F36"/>
          <w:sz w:val="22"/>
        </w:rPr>
        <w:t xml:space="preserve"> The environmental watch data feeds the Stability Audit's fourth domain and publishes continuously. Environmental truth-telling operates as a shared interest of every participant, and the architecture treats it as infrastructure, not politics.</w:t>
      </w:r>
    </w:p>
    <w:p>
      <w:pPr>
        <w:pStyle w:val="Heading2"/>
        <w:keepNext w:val="true"/>
        <w:keepLines/>
        <w:bidi w:val="0"/>
        <w:spacing w:before="380" w:after="140"/>
        <w:jc w:val="left"/>
        <w:rPr/>
      </w:pPr>
      <w:bookmarkStart w:id="64" w:name="__RefHeading___Toc3325_2451594232"/>
      <w:bookmarkEnd w:id="64"/>
      <w:r>
        <w:rPr>
          <w:rFonts w:eastAsia="Microsoft YaHei"/>
          <w:b/>
          <w:color w:val="1F3550"/>
          <w:sz w:val="27"/>
        </w:rPr>
        <w:t>Article 53: Search and Rescue, and Crew Protections</w:t>
      </w:r>
    </w:p>
    <w:p>
      <w:pPr>
        <w:pStyle w:val="Normal"/>
        <w:bidi w:val="0"/>
        <w:spacing w:lineRule="auto" w:line="300" w:before="0" w:after="140"/>
        <w:jc w:val="both"/>
        <w:rPr/>
      </w:pPr>
      <w:r>
        <w:rPr>
          <w:rFonts w:eastAsia="Microsoft YaHei"/>
          <w:b/>
          <w:color w:val="2A2F36"/>
          <w:sz w:val="22"/>
        </w:rPr>
        <w:t>53.1</w:t>
      </w:r>
      <w:r>
        <w:rPr>
          <w:rFonts w:eastAsia="Microsoft YaHei"/>
          <w:color w:val="2A2F36"/>
          <w:sz w:val="22"/>
        </w:rPr>
        <w:t xml:space="preserve"> Search and rescue in the Governance Area operates as a single joint service under the Corridor Operations Board, regardless of whose waters hold the distress. The nearest capable unit responds; the Board coordinates; the log records. Rescue duty overrides standoff geometry, corridor rules, and every political consideration.</w:t>
      </w:r>
    </w:p>
    <w:p>
      <w:pPr>
        <w:pStyle w:val="Normal"/>
        <w:bidi w:val="0"/>
        <w:spacing w:lineRule="auto" w:line="300" w:before="0" w:after="140"/>
        <w:jc w:val="both"/>
        <w:rPr/>
      </w:pPr>
      <w:r>
        <w:rPr>
          <w:rFonts w:eastAsia="Microsoft YaHei"/>
          <w:b/>
          <w:color w:val="2A2F36"/>
          <w:sz w:val="22"/>
        </w:rPr>
        <w:t>53.2</w:t>
      </w:r>
      <w:r>
        <w:rPr>
          <w:rFonts w:eastAsia="Microsoft YaHei"/>
          <w:color w:val="2A2F36"/>
          <w:sz w:val="22"/>
        </w:rPr>
        <w:t xml:space="preserve"> The joint service maintains the tug, tow, and repair rosters of Annex K, the emergency diversion routes of Corridor Two, and the fifteen-minute micro-drill program of Annex R that keeps the response muscles trained.</w:t>
      </w:r>
    </w:p>
    <w:p>
      <w:pPr>
        <w:pStyle w:val="Normal"/>
        <w:bidi w:val="0"/>
        <w:spacing w:lineRule="auto" w:line="300" w:before="0" w:after="140"/>
        <w:jc w:val="both"/>
        <w:rPr/>
      </w:pPr>
      <w:r>
        <w:rPr>
          <w:rFonts w:eastAsia="Microsoft YaHei"/>
          <w:b/>
          <w:color w:val="2A2F36"/>
          <w:sz w:val="22"/>
        </w:rPr>
        <w:t>53.3</w:t>
      </w:r>
      <w:r>
        <w:rPr>
          <w:rFonts w:eastAsia="Microsoft YaHei"/>
          <w:color w:val="2A2F36"/>
          <w:sz w:val="22"/>
        </w:rPr>
        <w:t xml:space="preserve"> Crew protections bind every participant: no arbitrary detention of seafarers; consular access within twenty-four hours; medical evacuation on demand; no coercive treatment of civilian crews; and full protection for crews of vessels involved in any incident under investigation. The Ombudsman holds standing jurisdiction over crew complaints, with a seventy-two hour response clock.</w:t>
      </w:r>
    </w:p>
    <w:p>
      <w:pPr>
        <w:pStyle w:val="Heading1"/>
        <w:keepNext w:val="true"/>
        <w:keepLines/>
        <w:pBdr>
          <w:bottom w:val="single" w:sz="8" w:space="6" w:color="9C7A2E"/>
        </w:pBdr>
        <w:bidi w:val="0"/>
        <w:spacing w:before="480" w:after="200"/>
        <w:jc w:val="left"/>
        <w:rPr/>
      </w:pPr>
      <w:bookmarkStart w:id="65" w:name="__RefHeading___Toc3327_2451594232"/>
      <w:bookmarkEnd w:id="65"/>
      <w:r>
        <w:rPr>
          <w:rFonts w:eastAsia="Microsoft YaHei"/>
          <w:b/>
          <w:color w:val="1F3550"/>
          <w:sz w:val="34"/>
        </w:rPr>
        <w:t>PART XII: TRANSPARENCY, COMMUNICATION, AND LEGITIMACY</w:t>
      </w:r>
    </w:p>
    <w:p>
      <w:pPr>
        <w:pStyle w:val="Heading2"/>
        <w:keepNext w:val="true"/>
        <w:keepLines/>
        <w:bidi w:val="0"/>
        <w:spacing w:before="380" w:after="140"/>
        <w:jc w:val="left"/>
        <w:rPr/>
      </w:pPr>
      <w:bookmarkStart w:id="66" w:name="__RefHeading___Toc3329_2451594232"/>
      <w:bookmarkEnd w:id="66"/>
      <w:r>
        <w:rPr>
          <w:rFonts w:eastAsia="Microsoft YaHei"/>
          <w:b/>
          <w:color w:val="1F3550"/>
          <w:sz w:val="27"/>
        </w:rPr>
        <w:t>Article 54: The Transparency Portals</w:t>
      </w:r>
    </w:p>
    <w:p>
      <w:pPr>
        <w:pStyle w:val="Normal"/>
        <w:bidi w:val="0"/>
        <w:spacing w:lineRule="auto" w:line="300" w:before="0" w:after="140"/>
        <w:jc w:val="both"/>
        <w:rPr/>
      </w:pPr>
      <w:r>
        <w:rPr>
          <w:rFonts w:eastAsia="Microsoft YaHei"/>
          <w:b/>
          <w:color w:val="2A2F36"/>
          <w:sz w:val="22"/>
        </w:rPr>
        <w:t>54.1</w:t>
      </w:r>
      <w:r>
        <w:rPr>
          <w:rFonts w:eastAsia="Microsoft YaHei"/>
          <w:color w:val="2A2F36"/>
          <w:sz w:val="22"/>
        </w:rPr>
        <w:t xml:space="preserve"> The Pact operates two public portals. The Maritime Transparency Portal publishes: corridor status, the Open Water Bulletin archive, filing and acknowledgment aggregates, incident logs, clearance maps, Stability Audit data, Fund accounts, and the Forward Drift Archive. The Economic Transparency Portal publishes: Facility projects, tranche deliveries, Pool risk tiers, and the rate card history.</w:t>
      </w:r>
    </w:p>
    <w:p>
      <w:pPr>
        <w:pStyle w:val="Normal"/>
        <w:bidi w:val="0"/>
        <w:spacing w:lineRule="auto" w:line="300" w:before="0" w:after="140"/>
        <w:jc w:val="both"/>
        <w:rPr/>
      </w:pPr>
      <w:r>
        <w:rPr>
          <w:rFonts w:eastAsia="Microsoft YaHei"/>
          <w:b/>
          <w:color w:val="2A2F36"/>
          <w:sz w:val="22"/>
        </w:rPr>
        <w:t>54.2</w:t>
      </w:r>
      <w:r>
        <w:rPr>
          <w:rFonts w:eastAsia="Microsoft YaHei"/>
          <w:color w:val="2A2F36"/>
          <w:sz w:val="22"/>
        </w:rPr>
        <w:t xml:space="preserve"> The portals run on mirrored hosting with sixty-second replication and one-hour failover, under the infrastructure rules of Annex L. The portals stay up through political crises, cyber events, and continuity events. Transparency operates as a permanent utility, not a policy choice.</w:t>
      </w:r>
    </w:p>
    <w:p>
      <w:pPr>
        <w:pStyle w:val="Normal"/>
        <w:bidi w:val="0"/>
        <w:spacing w:lineRule="auto" w:line="300" w:before="0" w:after="140"/>
        <w:jc w:val="both"/>
        <w:rPr/>
      </w:pPr>
      <w:r>
        <w:rPr>
          <w:rFonts w:eastAsia="Microsoft YaHei"/>
          <w:b/>
          <w:color w:val="2A2F36"/>
          <w:sz w:val="22"/>
        </w:rPr>
        <w:t>54.3</w:t>
      </w:r>
      <w:r>
        <w:rPr>
          <w:rFonts w:eastAsia="Microsoft YaHei"/>
          <w:color w:val="2A2F36"/>
          <w:sz w:val="22"/>
        </w:rPr>
        <w:t xml:space="preserve"> Operational security redactions follow Article 41.3 and expire after ninety days unless the Council renews them on a stated reason. Every redaction carries its own public justification.</w:t>
      </w:r>
    </w:p>
    <w:p>
      <w:pPr>
        <w:pStyle w:val="Heading2"/>
        <w:keepNext w:val="true"/>
        <w:keepLines/>
        <w:bidi w:val="0"/>
        <w:spacing w:before="380" w:after="140"/>
        <w:jc w:val="left"/>
        <w:rPr/>
      </w:pPr>
      <w:bookmarkStart w:id="67" w:name="__RefHeading___Toc3331_2451594232"/>
      <w:bookmarkEnd w:id="67"/>
      <w:r>
        <w:rPr>
          <w:rFonts w:eastAsia="Microsoft YaHei"/>
          <w:b/>
          <w:color w:val="1F3550"/>
          <w:sz w:val="27"/>
        </w:rPr>
        <w:t>Article 55: Public Communication and the Counter-Misinformation Protocol</w:t>
      </w:r>
    </w:p>
    <w:p>
      <w:pPr>
        <w:pStyle w:val="Normal"/>
        <w:bidi w:val="0"/>
        <w:spacing w:lineRule="auto" w:line="300" w:before="0" w:after="140"/>
        <w:jc w:val="both"/>
        <w:rPr/>
      </w:pPr>
      <w:r>
        <w:rPr>
          <w:rFonts w:eastAsia="Microsoft YaHei"/>
          <w:b/>
          <w:color w:val="2A2F36"/>
          <w:sz w:val="22"/>
        </w:rPr>
        <w:t>55.1</w:t>
      </w:r>
      <w:r>
        <w:rPr>
          <w:rFonts w:eastAsia="Microsoft YaHei"/>
          <w:color w:val="2A2F36"/>
          <w:sz w:val="22"/>
        </w:rPr>
        <w:t xml:space="preserve"> The Secretariat runs the accredited media program: correspondents access Center briefings, corridor embarkation pools, and the Audit data room. Briefings run weekly in normal operations and daily at Alert level and above.</w:t>
      </w:r>
    </w:p>
    <w:p>
      <w:pPr>
        <w:pStyle w:val="Normal"/>
        <w:bidi w:val="0"/>
        <w:spacing w:lineRule="auto" w:line="300" w:before="0" w:after="140"/>
        <w:jc w:val="both"/>
        <w:rPr/>
      </w:pPr>
      <w:r>
        <w:rPr>
          <w:rFonts w:eastAsia="Microsoft YaHei"/>
          <w:b/>
          <w:color w:val="2A2F36"/>
          <w:sz w:val="22"/>
        </w:rPr>
        <w:t>55.2</w:t>
      </w:r>
      <w:r>
        <w:rPr>
          <w:rFonts w:eastAsia="Microsoft YaHei"/>
          <w:color w:val="2A2F36"/>
          <w:sz w:val="22"/>
        </w:rPr>
        <w:t xml:space="preserve"> The counter-misinformation protocol binds the Secretariat to answer material misinformation about the corridor system within seventy-two hours, with corrections published in seven working languages and the underlying evidence attached.</w:t>
      </w:r>
    </w:p>
    <w:p>
      <w:pPr>
        <w:pStyle w:val="Normal"/>
        <w:bidi w:val="0"/>
        <w:spacing w:lineRule="auto" w:line="300" w:before="0" w:after="140"/>
        <w:jc w:val="both"/>
        <w:rPr/>
      </w:pPr>
      <w:r>
        <w:rPr>
          <w:rFonts w:eastAsia="Microsoft YaHei"/>
          <w:b/>
          <w:color w:val="2A2F36"/>
          <w:sz w:val="22"/>
        </w:rPr>
        <w:t>55.3</w:t>
      </w:r>
      <w:r>
        <w:rPr>
          <w:rFonts w:eastAsia="Microsoft YaHei"/>
          <w:color w:val="2A2F36"/>
          <w:sz w:val="22"/>
        </w:rPr>
        <w:t xml:space="preserve"> The narrative symmetry rule governs every public statement of every Pact organ: statements describe the architecture and its events, never the virtue or fault of any participant. The Pact's public voice stays boring on purpose; boredom is the design goal.</w:t>
      </w:r>
    </w:p>
    <w:p>
      <w:pPr>
        <w:pStyle w:val="Normal"/>
        <w:bidi w:val="0"/>
        <w:spacing w:lineRule="auto" w:line="300" w:before="0" w:after="140"/>
        <w:jc w:val="both"/>
        <w:rPr/>
      </w:pPr>
      <w:r>
        <w:rPr>
          <w:rFonts w:eastAsia="Microsoft YaHei"/>
          <w:b/>
          <w:color w:val="2A2F36"/>
          <w:sz w:val="22"/>
        </w:rPr>
        <w:t>55.4</w:t>
      </w:r>
      <w:r>
        <w:rPr>
          <w:rFonts w:eastAsia="Microsoft YaHei"/>
          <w:color w:val="2A2F36"/>
          <w:sz w:val="22"/>
        </w:rPr>
        <w:t xml:space="preserve"> The Secretariat commissions an annual public opinion survey on the framework's performance across the participant states and the shipping industry, publishes the results in full, and places them on the Council agenda as a standing item.</w:t>
      </w:r>
    </w:p>
    <w:p>
      <w:pPr>
        <w:pStyle w:val="Heading2"/>
        <w:keepNext w:val="true"/>
        <w:keepLines/>
        <w:bidi w:val="0"/>
        <w:spacing w:before="380" w:after="140"/>
        <w:jc w:val="left"/>
        <w:rPr/>
      </w:pPr>
      <w:bookmarkStart w:id="68" w:name="__RefHeading___Toc3333_2451594232"/>
      <w:bookmarkEnd w:id="68"/>
      <w:r>
        <w:rPr>
          <w:rFonts w:eastAsia="Microsoft YaHei"/>
          <w:b/>
          <w:color w:val="1F3550"/>
          <w:sz w:val="27"/>
        </w:rPr>
        <w:t>Article 56: The Continuity Guarantee and Political Resilience</w:t>
      </w:r>
    </w:p>
    <w:p>
      <w:pPr>
        <w:pStyle w:val="Normal"/>
        <w:bidi w:val="0"/>
        <w:spacing w:lineRule="auto" w:line="300" w:before="0" w:after="140"/>
        <w:jc w:val="both"/>
        <w:rPr/>
      </w:pPr>
      <w:r>
        <w:rPr>
          <w:rFonts w:eastAsia="Microsoft YaHei"/>
          <w:b/>
          <w:color w:val="2A2F36"/>
          <w:sz w:val="22"/>
        </w:rPr>
        <w:t>56.1</w:t>
      </w:r>
      <w:r>
        <w:rPr>
          <w:rFonts w:eastAsia="Microsoft YaHei"/>
          <w:color w:val="2A2F36"/>
          <w:sz w:val="22"/>
        </w:rPr>
        <w:t xml:space="preserve"> The Standing Continuity Guarantee binds the architecture to survive political change. Government changes, election cycles, sanctions cycles, and leadership transitions in any capital alter nothing operational: the corridors run, the Fund pays, the Audit measures, and the Archive holds its locks.</w:t>
      </w:r>
    </w:p>
    <w:p>
      <w:pPr>
        <w:pStyle w:val="Normal"/>
        <w:bidi w:val="0"/>
        <w:spacing w:lineRule="auto" w:line="300" w:before="0" w:after="140"/>
        <w:jc w:val="both"/>
        <w:rPr/>
      </w:pPr>
      <w:r>
        <w:rPr>
          <w:rFonts w:eastAsia="Microsoft YaHei"/>
          <w:b/>
          <w:color w:val="2A2F36"/>
          <w:sz w:val="22"/>
        </w:rPr>
        <w:t>56.2</w:t>
      </w:r>
      <w:r>
        <w:rPr>
          <w:rFonts w:eastAsia="Microsoft YaHei"/>
          <w:color w:val="2A2F36"/>
          <w:sz w:val="22"/>
        </w:rPr>
        <w:t xml:space="preserve"> The guarantee rests on structure, not sentiment: paired staffing that no single capital controls; escrow finance that no single capital throttles; decision rules that route around absence; the mirror facility that no single event disables; and the Archive that no later government unlocks.</w:t>
      </w:r>
    </w:p>
    <w:p>
      <w:pPr>
        <w:pStyle w:val="Normal"/>
        <w:bidi w:val="0"/>
        <w:spacing w:lineRule="auto" w:line="300" w:before="0" w:after="140"/>
        <w:jc w:val="both"/>
        <w:rPr/>
      </w:pPr>
      <w:r>
        <w:rPr>
          <w:rFonts w:eastAsia="Microsoft YaHei"/>
          <w:b/>
          <w:color w:val="2A2F36"/>
          <w:sz w:val="22"/>
        </w:rPr>
        <w:t>56.3</w:t>
      </w:r>
      <w:r>
        <w:rPr>
          <w:rFonts w:eastAsia="Microsoft YaHei"/>
          <w:color w:val="2A2F36"/>
          <w:sz w:val="22"/>
        </w:rPr>
        <w:t xml:space="preserve"> A participant under domestic political stress receives the architecture's protection, not its pressure: voice continues, obligations continue, and the doors stay open. The Pact treats political difficulty as weather, not as betrayal.</w:t>
      </w:r>
    </w:p>
    <w:p>
      <w:pPr>
        <w:pStyle w:val="Heading1"/>
        <w:keepNext w:val="true"/>
        <w:keepLines/>
        <w:pBdr>
          <w:bottom w:val="single" w:sz="8" w:space="6" w:color="9C7A2E"/>
        </w:pBdr>
        <w:bidi w:val="0"/>
        <w:spacing w:before="480" w:after="200"/>
        <w:jc w:val="left"/>
        <w:rPr/>
      </w:pPr>
      <w:bookmarkStart w:id="69" w:name="__RefHeading___Toc3335_2451594232"/>
      <w:bookmarkEnd w:id="69"/>
      <w:r>
        <w:rPr>
          <w:rFonts w:eastAsia="Microsoft YaHei"/>
          <w:b/>
          <w:color w:val="1F3550"/>
          <w:sz w:val="34"/>
        </w:rPr>
        <w:t>PART XIII: FINAL CLAUSES</w:t>
      </w:r>
    </w:p>
    <w:p>
      <w:pPr>
        <w:pStyle w:val="Heading2"/>
        <w:keepNext w:val="true"/>
        <w:keepLines/>
        <w:bidi w:val="0"/>
        <w:spacing w:before="380" w:after="140"/>
        <w:jc w:val="left"/>
        <w:rPr/>
      </w:pPr>
      <w:bookmarkStart w:id="70" w:name="__RefHeading___Toc3337_2451594232"/>
      <w:bookmarkEnd w:id="70"/>
      <w:r>
        <w:rPr>
          <w:rFonts w:eastAsia="Microsoft YaHei"/>
          <w:b/>
          <w:color w:val="1F3550"/>
          <w:sz w:val="27"/>
        </w:rPr>
        <w:t>Article 57: Entry into Force, Amendment, and Review</w:t>
      </w:r>
    </w:p>
    <w:p>
      <w:pPr>
        <w:pStyle w:val="Normal"/>
        <w:bidi w:val="0"/>
        <w:spacing w:lineRule="auto" w:line="300" w:before="0" w:after="140"/>
        <w:jc w:val="both"/>
        <w:rPr/>
      </w:pPr>
      <w:r>
        <w:rPr>
          <w:rFonts w:eastAsia="Microsoft YaHei"/>
          <w:b/>
          <w:color w:val="2A2F36"/>
          <w:sz w:val="22"/>
        </w:rPr>
        <w:t>57.1</w:t>
      </w:r>
      <w:r>
        <w:rPr>
          <w:rFonts w:eastAsia="Microsoft YaHei"/>
          <w:color w:val="2A2F36"/>
          <w:sz w:val="22"/>
        </w:rPr>
        <w:t xml:space="preserve"> The Pact enters into force on the deposit of the instruments of the two Founding Parties and the endorsement instrument of at least one Endorsing Stakeholder. The Partial Entry rule seats any participant whose domestic process continues: voice without vote, full transparency access, and full protection of its rights, until its deposit completes. The deposit window stays open for one hundred and twenty days and then closes only for the signature formality; accession under Annex M remains open permanently.</w:t>
      </w:r>
    </w:p>
    <w:p>
      <w:pPr>
        <w:pStyle w:val="Normal"/>
        <w:bidi w:val="0"/>
        <w:spacing w:lineRule="auto" w:line="300" w:before="0" w:after="140"/>
        <w:jc w:val="both"/>
        <w:rPr/>
      </w:pPr>
      <w:r>
        <w:rPr>
          <w:rFonts w:eastAsia="Microsoft YaHei"/>
          <w:b/>
          <w:color w:val="2A2F36"/>
          <w:sz w:val="22"/>
        </w:rPr>
        <w:t>57.2</w:t>
      </w:r>
      <w:r>
        <w:rPr>
          <w:rFonts w:eastAsia="Microsoft YaHei"/>
          <w:color w:val="2A2F36"/>
          <w:sz w:val="22"/>
        </w:rPr>
        <w:t xml:space="preserve"> Amendment follows Article 41: three-quarters of the voting members plus the Twin Key, and no amendment crosses a registered red line without its holder's written concurrence. Annexes amend through the technical procedure of the competent organ with Council confirmation, keeping technical detail adjustable without reopening the core text.</w:t>
      </w:r>
    </w:p>
    <w:p>
      <w:pPr>
        <w:pStyle w:val="Normal"/>
        <w:bidi w:val="0"/>
        <w:spacing w:lineRule="auto" w:line="300" w:before="0" w:after="140"/>
        <w:jc w:val="both"/>
        <w:rPr/>
      </w:pPr>
      <w:r>
        <w:rPr>
          <w:rFonts w:eastAsia="Microsoft YaHei"/>
          <w:b/>
          <w:color w:val="2A2F36"/>
          <w:sz w:val="22"/>
        </w:rPr>
        <w:t>57.3</w:t>
      </w:r>
      <w:r>
        <w:rPr>
          <w:rFonts w:eastAsia="Microsoft YaHei"/>
          <w:color w:val="2A2F36"/>
          <w:sz w:val="22"/>
        </w:rPr>
        <w:t xml:space="preserve"> The Council conducts a comprehensive review every five years, published in full. The Pact renews automatically every fifteen years; a participant declines renewal only by notice given twenty-four months in advance, and the Pact continues for every other participant regardless.</w:t>
      </w:r>
    </w:p>
    <w:p>
      <w:pPr>
        <w:pStyle w:val="Heading2"/>
        <w:keepNext w:val="true"/>
        <w:keepLines/>
        <w:bidi w:val="0"/>
        <w:spacing w:before="380" w:after="140"/>
        <w:jc w:val="left"/>
        <w:rPr/>
      </w:pPr>
      <w:bookmarkStart w:id="71" w:name="__RefHeading___Toc3339_2451594232"/>
      <w:bookmarkEnd w:id="71"/>
      <w:r>
        <w:rPr>
          <w:rFonts w:eastAsia="Microsoft YaHei"/>
          <w:b/>
          <w:color w:val="1F3550"/>
          <w:sz w:val="27"/>
        </w:rPr>
        <w:t>Article 58: Withdrawal, Continuity, and the Depositary</w:t>
      </w:r>
    </w:p>
    <w:p>
      <w:pPr>
        <w:pStyle w:val="Normal"/>
        <w:bidi w:val="0"/>
        <w:spacing w:lineRule="auto" w:line="300" w:before="0" w:after="140"/>
        <w:jc w:val="both"/>
        <w:rPr/>
      </w:pPr>
      <w:r>
        <w:rPr>
          <w:rFonts w:eastAsia="Microsoft YaHei"/>
          <w:b/>
          <w:color w:val="2A2F36"/>
          <w:sz w:val="22"/>
        </w:rPr>
        <w:t>58.1</w:t>
      </w:r>
      <w:r>
        <w:rPr>
          <w:rFonts w:eastAsia="Microsoft YaHei"/>
          <w:color w:val="2A2F36"/>
          <w:sz w:val="22"/>
        </w:rPr>
        <w:t xml:space="preserve"> Withdrawal demands an affirmative act: written notice to the Depositary, twenty-four months in advance, with continued performance of every obligation during the notice period. Financial obligations survive withdrawal. Locked Archive entries remain locked.</w:t>
      </w:r>
    </w:p>
    <w:p>
      <w:pPr>
        <w:pStyle w:val="Normal"/>
        <w:bidi w:val="0"/>
        <w:spacing w:lineRule="auto" w:line="300" w:before="0" w:after="140"/>
        <w:jc w:val="both"/>
        <w:rPr/>
      </w:pPr>
      <w:r>
        <w:rPr>
          <w:rFonts w:eastAsia="Microsoft YaHei"/>
          <w:b/>
          <w:color w:val="2A2F36"/>
          <w:sz w:val="22"/>
        </w:rPr>
        <w:t>58.2</w:t>
      </w:r>
      <w:r>
        <w:rPr>
          <w:rFonts w:eastAsia="Microsoft YaHei"/>
          <w:color w:val="2A2F36"/>
          <w:sz w:val="22"/>
        </w:rPr>
        <w:t xml:space="preserve"> No sunset exists in this Pact. The instrument ends only by replacement through a successor instrument or by the deliberate withdrawal of every participant. Drift, neglect, and silence never terminate it.</w:t>
      </w:r>
    </w:p>
    <w:p>
      <w:pPr>
        <w:pStyle w:val="Normal"/>
        <w:bidi w:val="0"/>
        <w:spacing w:lineRule="auto" w:line="300" w:before="0" w:after="140"/>
        <w:jc w:val="both"/>
        <w:rPr/>
      </w:pPr>
      <w:r>
        <w:rPr>
          <w:rFonts w:eastAsia="Microsoft YaHei"/>
          <w:b/>
          <w:color w:val="2A2F36"/>
          <w:sz w:val="22"/>
        </w:rPr>
        <w:t>58.3</w:t>
      </w:r>
      <w:r>
        <w:rPr>
          <w:rFonts w:eastAsia="Microsoft YaHei"/>
          <w:color w:val="2A2F36"/>
          <w:sz w:val="22"/>
        </w:rPr>
        <w:t xml:space="preserve"> The Sultanate of Oman serves as Depositary. The Depositary holds the original instrument, the instruments of accession and endorsement, the amendment record, and the Neutral Coordinate Registry seal, and it executes the Hour Zero declaration of Article 7. The Islamic Republic of Iran holds the mirror deposit at Bandar Abbas with identical legal effect.</w:t>
      </w:r>
    </w:p>
    <w:p>
      <w:pPr>
        <w:pStyle w:val="Heading2"/>
        <w:keepNext w:val="true"/>
        <w:keepLines/>
        <w:bidi w:val="0"/>
        <w:spacing w:before="380" w:after="140"/>
        <w:jc w:val="left"/>
        <w:rPr/>
      </w:pPr>
      <w:bookmarkStart w:id="72" w:name="__RefHeading___Toc3341_2451594232"/>
      <w:bookmarkEnd w:id="72"/>
      <w:r>
        <w:rPr>
          <w:rFonts w:eastAsia="Microsoft YaHei"/>
          <w:b/>
          <w:color w:val="1F3550"/>
          <w:sz w:val="27"/>
        </w:rPr>
        <w:t>Article 59: Adoption and Signature</w:t>
      </w:r>
    </w:p>
    <w:p>
      <w:pPr>
        <w:pStyle w:val="Normal"/>
        <w:bidi w:val="0"/>
        <w:spacing w:lineRule="auto" w:line="300" w:before="0" w:after="140"/>
        <w:jc w:val="both"/>
        <w:rPr/>
      </w:pPr>
      <w:r>
        <w:rPr>
          <w:rFonts w:eastAsia="Microsoft YaHei"/>
          <w:b/>
          <w:color w:val="2A2F36"/>
          <w:sz w:val="22"/>
        </w:rPr>
        <w:t>59.1</w:t>
      </w:r>
      <w:r>
        <w:rPr>
          <w:rFonts w:eastAsia="Microsoft YaHei"/>
          <w:color w:val="2A2F36"/>
          <w:sz w:val="22"/>
        </w:rPr>
        <w:t xml:space="preserve"> The Pact opens for signature at Muscat on the day of its adoption and remains open for deposit thereafter without closing date.</w:t>
      </w:r>
    </w:p>
    <w:p>
      <w:pPr>
        <w:pStyle w:val="Normal"/>
        <w:bidi w:val="0"/>
        <w:spacing w:lineRule="auto" w:line="300" w:before="0" w:after="140"/>
        <w:jc w:val="both"/>
        <w:rPr/>
      </w:pPr>
      <w:r>
        <w:rPr>
          <w:rFonts w:eastAsia="Microsoft YaHei"/>
          <w:b/>
          <w:color w:val="2A2F36"/>
          <w:sz w:val="22"/>
        </w:rPr>
        <w:t>59.2</w:t>
      </w:r>
      <w:r>
        <w:rPr>
          <w:rFonts w:eastAsia="Microsoft YaHei"/>
          <w:color w:val="2A2F36"/>
          <w:sz w:val="22"/>
        </w:rPr>
        <w:t xml:space="preserve"> The Pact consists of Parts One through Thirteen and Annexes A through T, each Annex an integral part of this instrument. The technical annexes carry the same binding force as the articles that reference them.</w:t>
      </w:r>
    </w:p>
    <w:p>
      <w:pPr>
        <w:pStyle w:val="Normal"/>
        <w:bidi w:val="0"/>
        <w:spacing w:lineRule="auto" w:line="300" w:before="0" w:after="140"/>
        <w:jc w:val="both"/>
        <w:rPr/>
      </w:pPr>
      <w:r>
        <w:rPr>
          <w:rFonts w:eastAsia="Microsoft YaHei"/>
          <w:b/>
          <w:color w:val="2A2F36"/>
          <w:sz w:val="22"/>
        </w:rPr>
        <w:t>59.3</w:t>
      </w:r>
      <w:r>
        <w:rPr>
          <w:rFonts w:eastAsia="Microsoft YaHei"/>
          <w:color w:val="2A2F36"/>
          <w:sz w:val="22"/>
        </w:rPr>
        <w:t xml:space="preserve"> The Depositary registers this Pact with the International Maritime Organization and transmits certified copies to every participant, to the Secretary-General of the United Nations, and to the protection and indemnity industry liaison, within seven days of entry into force.</w:t>
      </w:r>
    </w:p>
    <w:p>
      <w:pPr>
        <w:pStyle w:val="Heading1"/>
        <w:keepNext w:val="true"/>
        <w:keepLines/>
        <w:pBdr>
          <w:bottom w:val="single" w:sz="8" w:space="6" w:color="9C7A2E"/>
        </w:pBdr>
        <w:bidi w:val="0"/>
        <w:spacing w:before="480" w:after="200"/>
        <w:jc w:val="left"/>
        <w:rPr/>
      </w:pPr>
      <w:bookmarkStart w:id="73" w:name="__RefHeading___Toc3343_2451594232"/>
      <w:bookmarkEnd w:id="73"/>
      <w:r>
        <w:rPr>
          <w:rFonts w:eastAsia="Microsoft YaHei"/>
          <w:b/>
          <w:color w:val="1F3550"/>
          <w:sz w:val="34"/>
        </w:rPr>
        <w:t>ANNEX A: CORRIDOR GEOMETRY AND COORDINATE REGISTRY</w:t>
      </w:r>
    </w:p>
    <w:p>
      <w:pPr>
        <w:pStyle w:val="Heading2"/>
        <w:keepNext w:val="true"/>
        <w:keepLines/>
        <w:bidi w:val="0"/>
        <w:spacing w:before="380" w:after="140"/>
        <w:jc w:val="left"/>
        <w:rPr/>
      </w:pPr>
      <w:bookmarkStart w:id="74" w:name="__RefHeading___Toc3345_2451594232"/>
      <w:bookmarkEnd w:id="74"/>
      <w:r>
        <w:rPr>
          <w:rFonts w:eastAsia="Microsoft YaHei"/>
          <w:b/>
          <w:color w:val="1F3550"/>
          <w:sz w:val="27"/>
        </w:rPr>
        <w:t>A.1 Registry Status and Datum</w:t>
      </w:r>
    </w:p>
    <w:p>
      <w:pPr>
        <w:pStyle w:val="Normal"/>
        <w:bidi w:val="0"/>
        <w:spacing w:lineRule="auto" w:line="300" w:before="0" w:after="140"/>
        <w:jc w:val="both"/>
        <w:rPr/>
      </w:pPr>
      <w:r>
        <w:rPr>
          <w:rFonts w:eastAsia="Microsoft YaHei"/>
          <w:color w:val="2A2F36"/>
          <w:sz w:val="22"/>
        </w:rPr>
        <w:t>All coordinates in this Annex express the World Geodetic System 1984 datum, in degrees and decimal minutes. The sets below constitute the Provisional Guidance Coordinates that publish at the hours stated in Table 8-A. The Surveyed Registry Coordinates replace them upon Gate Six certification, after multilateral verification under Article 11. Every coordinate serves navigation and safety alone, and Article 2.3 applies to each: no coordinate prejudices any claim, boundary, or sovereign position.</w:t>
      </w:r>
    </w:p>
    <w:p>
      <w:pPr>
        <w:pStyle w:val="Heading2"/>
        <w:keepNext w:val="true"/>
        <w:keepLines/>
        <w:bidi w:val="0"/>
        <w:spacing w:before="380" w:after="140"/>
        <w:jc w:val="left"/>
        <w:rPr/>
      </w:pPr>
      <w:bookmarkStart w:id="75" w:name="__RefHeading___Toc3347_2451594232"/>
      <w:bookmarkEnd w:id="75"/>
      <w:r>
        <w:rPr>
          <w:rFonts w:eastAsia="Microsoft YaHei"/>
          <w:b/>
          <w:color w:val="1F3550"/>
          <w:sz w:val="27"/>
        </w:rPr>
        <w:t>A.2 Table A-1: Governance Area Boundary</w:t>
      </w:r>
    </w:p>
    <w:tbl>
      <w:tblPr>
        <w:tblW w:w="5000" w:type="pct"/>
        <w:jc w:val="left"/>
        <w:tblInd w:w="-8" w:type="dxa"/>
        <w:tblLayout w:type="fixed"/>
        <w:tblCellMar>
          <w:top w:w="60" w:type="dxa"/>
          <w:left w:w="100" w:type="dxa"/>
          <w:bottom w:w="60" w:type="dxa"/>
          <w:right w:w="100" w:type="dxa"/>
        </w:tblCellMar>
      </w:tblPr>
      <w:tblGrid>
        <w:gridCol w:w="1585"/>
        <w:gridCol w:w="2382"/>
        <w:gridCol w:w="2380"/>
        <w:gridCol w:w="2678"/>
      </w:tblGrid>
      <w:tr>
        <w:trPr>
          <w:tblHeader w:val="true"/>
          <w:cantSplit w:val="true"/>
        </w:trPr>
        <w:tc>
          <w:tcPr>
            <w:tcW w:w="158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Point</w:t>
            </w:r>
          </w:p>
        </w:tc>
        <w:tc>
          <w:tcPr>
            <w:tcW w:w="238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Latitude</w:t>
            </w:r>
          </w:p>
        </w:tc>
        <w:tc>
          <w:tcPr>
            <w:tcW w:w="23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Longitude</w:t>
            </w:r>
          </w:p>
        </w:tc>
        <w:tc>
          <w:tcPr>
            <w:tcW w:w="267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Description</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GA-1</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50.0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055 degrees 55.0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Northwest approach limit, abeam Qeshm</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GA-2</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30.0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10.0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Northern narrows, Iranian side approach</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GA-3</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14.0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30.0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Northern narrows, mid-strait</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GA-4</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25 degrees 58.0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50.0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Northeast turn, abeam Ra's al Kuh</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GA-5</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25 degrees 52.0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05.0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approach, northern limit</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GA-6</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25 degrees 55.0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25.0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limit line, northern end</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GA-7</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05.0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25.0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limit line, southern end</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GA-8</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15.0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10.0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approach, southern limit</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GA-9</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24.0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50.0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Southern narrows, Musandam side</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GA-10</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35.0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25.0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Southern narrows, mid-strait</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GA-11</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42.0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05.0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Southern approach, abeam Musandam</w:t>
            </w:r>
          </w:p>
        </w:tc>
      </w:tr>
      <w:tr>
        <w:trPr/>
        <w:tc>
          <w:tcPr>
            <w:tcW w:w="158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GA-12</w:t>
            </w:r>
          </w:p>
        </w:tc>
        <w:tc>
          <w:tcPr>
            <w:tcW w:w="238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26 degrees 52.0 minutes N</w:t>
            </w:r>
          </w:p>
        </w:tc>
        <w:tc>
          <w:tcPr>
            <w:tcW w:w="23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056 degrees 02.0 minutes E</w:t>
            </w:r>
          </w:p>
        </w:tc>
        <w:tc>
          <w:tcPr>
            <w:tcW w:w="267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Southwest approach limit</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color w:val="2A2F36"/>
          <w:sz w:val="22"/>
        </w:rPr>
        <w:t>The boundary closes from GA-12 to GA-1 along the western approach line. The Governance Area includes the corridors, the separation zones, the anchorages of Table A-5, and the small-craft lanes of Table A-6.</w:t>
      </w:r>
    </w:p>
    <w:p>
      <w:pPr>
        <w:pStyle w:val="Heading2"/>
        <w:keepNext w:val="true"/>
        <w:keepLines/>
        <w:bidi w:val="0"/>
        <w:spacing w:before="380" w:after="140"/>
        <w:jc w:val="left"/>
        <w:rPr/>
      </w:pPr>
      <w:bookmarkStart w:id="76" w:name="__RefHeading___Toc3349_2451594232"/>
      <w:bookmarkEnd w:id="76"/>
      <w:r>
        <w:rPr>
          <w:rFonts w:eastAsia="Microsoft YaHei"/>
          <w:b/>
          <w:color w:val="1F3550"/>
          <w:sz w:val="27"/>
        </w:rPr>
        <w:t>A.3 Table A-2: Corridor One, Northern Stewardship Corridor (Inbound)</w:t>
      </w:r>
    </w:p>
    <w:p>
      <w:pPr>
        <w:pStyle w:val="Normal"/>
        <w:bidi w:val="0"/>
        <w:spacing w:lineRule="auto" w:line="300" w:before="0" w:after="140"/>
        <w:jc w:val="both"/>
        <w:rPr/>
      </w:pPr>
      <w:r>
        <w:rPr>
          <w:rFonts w:eastAsia="Microsoft YaHei"/>
          <w:color w:val="2A2F36"/>
          <w:sz w:val="22"/>
        </w:rPr>
        <w:t>Corridor One carries inbound traffic on the following provisional centerline, nominal width two nautical miles, one nautical mile separation from Corridor Two on its southern edge.</w:t>
      </w:r>
    </w:p>
    <w:tbl>
      <w:tblPr>
        <w:tblW w:w="5000" w:type="pct"/>
        <w:jc w:val="left"/>
        <w:tblInd w:w="-8" w:type="dxa"/>
        <w:tblLayout w:type="fixed"/>
        <w:tblCellMar>
          <w:top w:w="60" w:type="dxa"/>
          <w:left w:w="100" w:type="dxa"/>
          <w:bottom w:w="60" w:type="dxa"/>
          <w:right w:w="100" w:type="dxa"/>
        </w:tblCellMar>
      </w:tblPr>
      <w:tblGrid>
        <w:gridCol w:w="1585"/>
        <w:gridCol w:w="2382"/>
        <w:gridCol w:w="2380"/>
        <w:gridCol w:w="2678"/>
      </w:tblGrid>
      <w:tr>
        <w:trPr>
          <w:tblHeader w:val="true"/>
          <w:cantSplit w:val="true"/>
        </w:trPr>
        <w:tc>
          <w:tcPr>
            <w:tcW w:w="158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Waypoint</w:t>
            </w:r>
          </w:p>
        </w:tc>
        <w:tc>
          <w:tcPr>
            <w:tcW w:w="238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Latitude</w:t>
            </w:r>
          </w:p>
        </w:tc>
        <w:tc>
          <w:tcPr>
            <w:tcW w:w="23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Longitude</w:t>
            </w:r>
          </w:p>
        </w:tc>
        <w:tc>
          <w:tcPr>
            <w:tcW w:w="267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Note</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N-1</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25 degrees 58.0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15.0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entry gate</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N-2</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12.0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55.0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Approach turn</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N-3</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28.0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35.0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Narrows mid-point</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N-4</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40.0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10.0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Western narrows</w:t>
            </w:r>
          </w:p>
        </w:tc>
      </w:tr>
      <w:tr>
        <w:trPr/>
        <w:tc>
          <w:tcPr>
            <w:tcW w:w="158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N-5</w:t>
            </w:r>
          </w:p>
        </w:tc>
        <w:tc>
          <w:tcPr>
            <w:tcW w:w="238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26 degrees 48.0 minutes N</w:t>
            </w:r>
          </w:p>
        </w:tc>
        <w:tc>
          <w:tcPr>
            <w:tcW w:w="23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055 degrees 55.0 minutes E</w:t>
            </w:r>
          </w:p>
        </w:tc>
        <w:tc>
          <w:tcPr>
            <w:tcW w:w="267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Western exit gate</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color w:val="2A2F36"/>
          <w:sz w:val="22"/>
        </w:rPr>
        <w:t>Speed bands: ten to twelve knots in the narrows, fourteen knots maximum elsewhere. Deep-draft restrictions and tidal windows publish in the Open Water Bulletin.</w:t>
      </w:r>
    </w:p>
    <w:p>
      <w:pPr>
        <w:pStyle w:val="Heading2"/>
        <w:keepNext w:val="true"/>
        <w:keepLines/>
        <w:bidi w:val="0"/>
        <w:spacing w:before="380" w:after="140"/>
        <w:jc w:val="left"/>
        <w:rPr/>
      </w:pPr>
      <w:bookmarkStart w:id="77" w:name="__RefHeading___Toc3351_2451594232"/>
      <w:bookmarkEnd w:id="77"/>
      <w:r>
        <w:rPr>
          <w:rFonts w:eastAsia="Microsoft YaHei"/>
          <w:b/>
          <w:color w:val="1F3550"/>
          <w:sz w:val="27"/>
        </w:rPr>
        <w:t>A.4 Table A-3: Corridor Three, Southern Assurance Corridor (Outbound)</w:t>
      </w:r>
    </w:p>
    <w:p>
      <w:pPr>
        <w:pStyle w:val="Normal"/>
        <w:bidi w:val="0"/>
        <w:spacing w:lineRule="auto" w:line="300" w:before="0" w:after="140"/>
        <w:jc w:val="both"/>
        <w:rPr/>
      </w:pPr>
      <w:r>
        <w:rPr>
          <w:rFonts w:eastAsia="Microsoft YaHei"/>
          <w:color w:val="2A2F36"/>
          <w:sz w:val="22"/>
        </w:rPr>
        <w:t>Corridor Three carries outbound traffic on the following provisional centerline, nominal width two nautical miles, one nautical mile separation from Corridor Two on its northern edge.</w:t>
      </w:r>
    </w:p>
    <w:tbl>
      <w:tblPr>
        <w:tblW w:w="5000" w:type="pct"/>
        <w:jc w:val="left"/>
        <w:tblInd w:w="-8" w:type="dxa"/>
        <w:tblLayout w:type="fixed"/>
        <w:tblCellMar>
          <w:top w:w="60" w:type="dxa"/>
          <w:left w:w="100" w:type="dxa"/>
          <w:bottom w:w="60" w:type="dxa"/>
          <w:right w:w="100" w:type="dxa"/>
        </w:tblCellMar>
      </w:tblPr>
      <w:tblGrid>
        <w:gridCol w:w="1585"/>
        <w:gridCol w:w="2382"/>
        <w:gridCol w:w="2380"/>
        <w:gridCol w:w="2678"/>
      </w:tblGrid>
      <w:tr>
        <w:trPr>
          <w:tblHeader w:val="true"/>
          <w:cantSplit w:val="true"/>
        </w:trPr>
        <w:tc>
          <w:tcPr>
            <w:tcW w:w="158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Waypoint</w:t>
            </w:r>
          </w:p>
        </w:tc>
        <w:tc>
          <w:tcPr>
            <w:tcW w:w="238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Latitude</w:t>
            </w:r>
          </w:p>
        </w:tc>
        <w:tc>
          <w:tcPr>
            <w:tcW w:w="23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Longitude</w:t>
            </w:r>
          </w:p>
        </w:tc>
        <w:tc>
          <w:tcPr>
            <w:tcW w:w="267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Note</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S-1</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42.0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055 degrees 58.0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Western entry gate</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S-2</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30.0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22.0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Southern narrows</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S-3</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16.0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48.0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Mid-strait south</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S-4</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02.0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10.0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Southeast turn</w:t>
            </w:r>
          </w:p>
        </w:tc>
      </w:tr>
      <w:tr>
        <w:trPr/>
        <w:tc>
          <w:tcPr>
            <w:tcW w:w="158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S-5</w:t>
            </w:r>
          </w:p>
        </w:tc>
        <w:tc>
          <w:tcPr>
            <w:tcW w:w="238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25 degrees 58.0 minutes N</w:t>
            </w:r>
          </w:p>
        </w:tc>
        <w:tc>
          <w:tcPr>
            <w:tcW w:w="23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057 degrees 22.0 minutes E</w:t>
            </w:r>
          </w:p>
        </w:tc>
        <w:tc>
          <w:tcPr>
            <w:tcW w:w="267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Eastern exit gate</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color w:val="2A2F36"/>
          <w:sz w:val="22"/>
        </w:rPr>
        <w:t>Speed bands mirror Corridor One. The eastern anchorage and convoy marshalling areas of Table A-5 adjoin waypoint S-5.</w:t>
      </w:r>
    </w:p>
    <w:p>
      <w:pPr>
        <w:pStyle w:val="Heading2"/>
        <w:keepNext w:val="true"/>
        <w:keepLines/>
        <w:bidi w:val="0"/>
        <w:spacing w:before="380" w:after="140"/>
        <w:jc w:val="left"/>
        <w:rPr/>
      </w:pPr>
      <w:bookmarkStart w:id="78" w:name="__RefHeading___Toc3353_2451594232"/>
      <w:bookmarkEnd w:id="78"/>
      <w:r>
        <w:rPr>
          <w:rFonts w:eastAsia="Microsoft YaHei"/>
          <w:b/>
          <w:color w:val="1F3550"/>
          <w:sz w:val="27"/>
        </w:rPr>
        <w:t>A.5 Table A-4: Corridor Two, Central Buffer Corridor</w:t>
      </w:r>
    </w:p>
    <w:p>
      <w:pPr>
        <w:pStyle w:val="Normal"/>
        <w:bidi w:val="0"/>
        <w:spacing w:lineRule="auto" w:line="300" w:before="0" w:after="140"/>
        <w:jc w:val="both"/>
        <w:rPr/>
      </w:pPr>
      <w:r>
        <w:rPr>
          <w:rFonts w:eastAsia="Microsoft YaHei"/>
          <w:color w:val="2A2F36"/>
          <w:sz w:val="22"/>
        </w:rPr>
        <w:t>Corridor Two occupies the median track on the following provisional centerline, nominal width two nautical miles, reserved per Article 13 for separation, emergency diversion, clearance operations, and naval deconfliction routing.</w:t>
      </w:r>
    </w:p>
    <w:tbl>
      <w:tblPr>
        <w:tblW w:w="5000" w:type="pct"/>
        <w:jc w:val="left"/>
        <w:tblInd w:w="-8" w:type="dxa"/>
        <w:tblLayout w:type="fixed"/>
        <w:tblCellMar>
          <w:top w:w="60" w:type="dxa"/>
          <w:left w:w="100" w:type="dxa"/>
          <w:bottom w:w="60" w:type="dxa"/>
          <w:right w:w="100" w:type="dxa"/>
        </w:tblCellMar>
      </w:tblPr>
      <w:tblGrid>
        <w:gridCol w:w="1585"/>
        <w:gridCol w:w="2382"/>
        <w:gridCol w:w="2380"/>
        <w:gridCol w:w="2678"/>
      </w:tblGrid>
      <w:tr>
        <w:trPr>
          <w:tblHeader w:val="true"/>
          <w:cantSplit w:val="true"/>
        </w:trPr>
        <w:tc>
          <w:tcPr>
            <w:tcW w:w="158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Waypoint</w:t>
            </w:r>
          </w:p>
        </w:tc>
        <w:tc>
          <w:tcPr>
            <w:tcW w:w="238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Latitude</w:t>
            </w:r>
          </w:p>
        </w:tc>
        <w:tc>
          <w:tcPr>
            <w:tcW w:w="23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Longitude</w:t>
            </w:r>
          </w:p>
        </w:tc>
        <w:tc>
          <w:tcPr>
            <w:tcW w:w="267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Note</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C-1</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25 degrees 57.0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18.0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gate</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C-2</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07.0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02.0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median</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C-3</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22.0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42.0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Central median</w:t>
            </w:r>
          </w:p>
        </w:tc>
      </w:tr>
      <w:tr>
        <w:trPr/>
        <w:tc>
          <w:tcPr>
            <w:tcW w:w="158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C-4</w:t>
            </w:r>
          </w:p>
        </w:tc>
        <w:tc>
          <w:tcPr>
            <w:tcW w:w="23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35.0 minutes N</w:t>
            </w:r>
          </w:p>
        </w:tc>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056 degrees 18.0 minutes E</w:t>
            </w:r>
          </w:p>
        </w:tc>
        <w:tc>
          <w:tcPr>
            <w:tcW w:w="26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Western median</w:t>
            </w:r>
          </w:p>
        </w:tc>
      </w:tr>
      <w:tr>
        <w:trPr/>
        <w:tc>
          <w:tcPr>
            <w:tcW w:w="158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C-5</w:t>
            </w:r>
          </w:p>
        </w:tc>
        <w:tc>
          <w:tcPr>
            <w:tcW w:w="238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26 degrees 45.0 minutes N</w:t>
            </w:r>
          </w:p>
        </w:tc>
        <w:tc>
          <w:tcPr>
            <w:tcW w:w="23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055 degrees 57.0 minutes E</w:t>
            </w:r>
          </w:p>
        </w:tc>
        <w:tc>
          <w:tcPr>
            <w:tcW w:w="267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Western gate</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color w:val="2A2F36"/>
          <w:sz w:val="22"/>
        </w:rPr>
        <w:t>Upon clearance certification under Article 16.6, Corridor Two opens to two-way commercial traffic with deep-draft preference, under speed bands of ten knots in the narrows.</w:t>
      </w:r>
    </w:p>
    <w:p>
      <w:pPr>
        <w:pStyle w:val="Heading2"/>
        <w:keepNext w:val="true"/>
        <w:keepLines/>
        <w:bidi w:val="0"/>
        <w:spacing w:before="380" w:after="140"/>
        <w:jc w:val="left"/>
        <w:rPr/>
      </w:pPr>
      <w:bookmarkStart w:id="79" w:name="__RefHeading___Toc3355_2451594232"/>
      <w:bookmarkEnd w:id="79"/>
      <w:r>
        <w:rPr>
          <w:rFonts w:eastAsia="Microsoft YaHei"/>
          <w:b/>
          <w:color w:val="1F3550"/>
          <w:sz w:val="27"/>
        </w:rPr>
        <w:t>A.6 Table A-5: Anchorages and Marshalling Areas</w:t>
      </w:r>
    </w:p>
    <w:tbl>
      <w:tblPr>
        <w:tblW w:w="5000" w:type="pct"/>
        <w:jc w:val="left"/>
        <w:tblInd w:w="-8" w:type="dxa"/>
        <w:tblLayout w:type="fixed"/>
        <w:tblCellMar>
          <w:top w:w="60" w:type="dxa"/>
          <w:left w:w="100" w:type="dxa"/>
          <w:bottom w:w="60" w:type="dxa"/>
          <w:right w:w="100" w:type="dxa"/>
        </w:tblCellMar>
      </w:tblPr>
      <w:tblGrid>
        <w:gridCol w:w="1276"/>
        <w:gridCol w:w="2095"/>
        <w:gridCol w:w="2189"/>
        <w:gridCol w:w="1369"/>
        <w:gridCol w:w="2097"/>
      </w:tblGrid>
      <w:tr>
        <w:trPr>
          <w:tblHeader w:val="true"/>
          <w:cantSplit w:val="true"/>
        </w:trPr>
        <w:tc>
          <w:tcPr>
            <w:tcW w:w="1276"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Area</w:t>
            </w:r>
          </w:p>
        </w:tc>
        <w:tc>
          <w:tcPr>
            <w:tcW w:w="209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Latitude</w:t>
            </w:r>
          </w:p>
        </w:tc>
        <w:tc>
          <w:tcPr>
            <w:tcW w:w="2189"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Longitude</w:t>
            </w:r>
          </w:p>
        </w:tc>
        <w:tc>
          <w:tcPr>
            <w:tcW w:w="1369"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Radius</w:t>
            </w:r>
          </w:p>
        </w:tc>
        <w:tc>
          <w:tcPr>
            <w:tcW w:w="2097"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Function</w:t>
            </w:r>
          </w:p>
        </w:tc>
      </w:tr>
      <w:tr>
        <w:trPr/>
        <w:tc>
          <w:tcPr>
            <w:tcW w:w="12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AN-E1</w:t>
            </w:r>
          </w:p>
        </w:tc>
        <w:tc>
          <w:tcPr>
            <w:tcW w:w="209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00.0 minutes N</w:t>
            </w:r>
          </w:p>
        </w:tc>
        <w:tc>
          <w:tcPr>
            <w:tcW w:w="218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20.0 minutes E</w:t>
            </w:r>
          </w:p>
        </w:tc>
        <w:tc>
          <w:tcPr>
            <w:tcW w:w="13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One nautical mile</w:t>
            </w:r>
          </w:p>
        </w:tc>
        <w:tc>
          <w:tcPr>
            <w:tcW w:w="209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convoy marshalling, outbound</w:t>
            </w:r>
          </w:p>
        </w:tc>
      </w:tr>
      <w:tr>
        <w:trPr/>
        <w:tc>
          <w:tcPr>
            <w:tcW w:w="12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AN-E2</w:t>
            </w:r>
          </w:p>
        </w:tc>
        <w:tc>
          <w:tcPr>
            <w:tcW w:w="209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25 degrees 54.0 minutes N</w:t>
            </w:r>
          </w:p>
        </w:tc>
        <w:tc>
          <w:tcPr>
            <w:tcW w:w="218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057 degrees 12.0 minutes E</w:t>
            </w:r>
          </w:p>
        </w:tc>
        <w:tc>
          <w:tcPr>
            <w:tcW w:w="13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One nautical mile</w:t>
            </w:r>
          </w:p>
        </w:tc>
        <w:tc>
          <w:tcPr>
            <w:tcW w:w="209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Eastern holding anchorage, inbound queue</w:t>
            </w:r>
          </w:p>
        </w:tc>
      </w:tr>
      <w:tr>
        <w:trPr/>
        <w:tc>
          <w:tcPr>
            <w:tcW w:w="12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AN-W1</w:t>
            </w:r>
          </w:p>
        </w:tc>
        <w:tc>
          <w:tcPr>
            <w:tcW w:w="209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26 degrees 50.0 minutes N</w:t>
            </w:r>
          </w:p>
        </w:tc>
        <w:tc>
          <w:tcPr>
            <w:tcW w:w="218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055 degrees 58.0 minutes E</w:t>
            </w:r>
          </w:p>
        </w:tc>
        <w:tc>
          <w:tcPr>
            <w:tcW w:w="13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One nautical mile</w:t>
            </w:r>
          </w:p>
        </w:tc>
        <w:tc>
          <w:tcPr>
            <w:tcW w:w="209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Western marshalling, inbound</w:t>
            </w:r>
          </w:p>
        </w:tc>
      </w:tr>
      <w:tr>
        <w:trPr/>
        <w:tc>
          <w:tcPr>
            <w:tcW w:w="1276"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AN-H1</w:t>
            </w:r>
          </w:p>
        </w:tc>
        <w:tc>
          <w:tcPr>
            <w:tcW w:w="209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26 degrees 04.0 minutes N</w:t>
            </w:r>
          </w:p>
        </w:tc>
        <w:tc>
          <w:tcPr>
            <w:tcW w:w="2189"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057 degrees 14.0 minutes E</w:t>
            </w:r>
          </w:p>
        </w:tc>
        <w:tc>
          <w:tcPr>
            <w:tcW w:w="1369"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Half nautical mile</w:t>
            </w:r>
          </w:p>
        </w:tc>
        <w:tc>
          <w:tcPr>
            <w:tcW w:w="2097"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Humanitarian green-route staging</w:t>
            </w:r>
          </w:p>
        </w:tc>
      </w:tr>
    </w:tbl>
    <w:p>
      <w:pPr>
        <w:pStyle w:val="Normal"/>
        <w:bidi w:val="0"/>
        <w:spacing w:before="0" w:after="60"/>
        <w:jc w:val="left"/>
        <w:rPr/>
      </w:pPr>
      <w:r>
        <w:rPr/>
      </w:r>
    </w:p>
    <w:p>
      <w:pPr>
        <w:pStyle w:val="Normal"/>
        <w:bidi w:val="0"/>
        <w:spacing w:lineRule="auto" w:line="300" w:before="0" w:after="140"/>
        <w:jc w:val="both"/>
        <w:rPr/>
      </w:pPr>
      <w:r>
        <w:rPr>
          <w:rFonts w:eastAsia="Microsoft YaHei"/>
          <w:color w:val="2A2F36"/>
          <w:sz w:val="22"/>
        </w:rPr>
        <w:t>Anchorages operate under the non-interdiction protocol. Anchor watch broadcasts on the common channel of Annex E.</w:t>
      </w:r>
    </w:p>
    <w:p>
      <w:pPr>
        <w:pStyle w:val="Heading2"/>
        <w:keepNext w:val="true"/>
        <w:keepLines/>
        <w:bidi w:val="0"/>
        <w:spacing w:before="380" w:after="140"/>
        <w:jc w:val="left"/>
        <w:rPr/>
      </w:pPr>
      <w:bookmarkStart w:id="80" w:name="__RefHeading___Toc3357_2451594232"/>
      <w:bookmarkEnd w:id="80"/>
      <w:r>
        <w:rPr>
          <w:rFonts w:eastAsia="Microsoft YaHei"/>
          <w:b/>
          <w:color w:val="1F3550"/>
          <w:sz w:val="27"/>
        </w:rPr>
        <w:t>A.7 Table A-6: Small-Craft and Fishing Lanes</w:t>
      </w:r>
    </w:p>
    <w:p>
      <w:pPr>
        <w:pStyle w:val="Normal"/>
        <w:bidi w:val="0"/>
        <w:spacing w:lineRule="auto" w:line="300" w:before="0" w:after="140"/>
        <w:jc w:val="both"/>
        <w:rPr/>
      </w:pPr>
      <w:r>
        <w:rPr>
          <w:rFonts w:eastAsia="Microsoft YaHei"/>
          <w:color w:val="2A2F36"/>
          <w:sz w:val="22"/>
        </w:rPr>
        <w:t>Coastal small-craft lanes run inside the one nautical mile inshore margins of Corridors One and Three, marked by the buoy schedule of Annex K. Class D vessels cross the commercial corridors only at the published crossing points: XC-1 at 26 degrees 18.0 minutes N, 056 degrees 40.0 minutes E, and XC-2 at 26 degrees 44.0 minutes N, 056 degrees 02.0 minutes E, under the crossing discipline of Annex B.</w:t>
      </w:r>
    </w:p>
    <w:p>
      <w:pPr>
        <w:pStyle w:val="Heading2"/>
        <w:keepNext w:val="true"/>
        <w:keepLines/>
        <w:bidi w:val="0"/>
        <w:spacing w:before="380" w:after="140"/>
        <w:jc w:val="left"/>
        <w:rPr/>
      </w:pPr>
      <w:bookmarkStart w:id="81" w:name="__RefHeading___Toc3359_2451594232"/>
      <w:bookmarkEnd w:id="81"/>
      <w:r>
        <w:rPr>
          <w:rFonts w:eastAsia="Microsoft YaHei"/>
          <w:b/>
          <w:color w:val="1F3550"/>
          <w:sz w:val="27"/>
        </w:rPr>
        <w:t>A.8 Environmental and Chart References</w:t>
      </w:r>
    </w:p>
    <w:p>
      <w:pPr>
        <w:pStyle w:val="Normal"/>
        <w:bidi w:val="0"/>
        <w:spacing w:lineRule="auto" w:line="300" w:before="0" w:after="140"/>
        <w:jc w:val="both"/>
        <w:rPr/>
      </w:pPr>
      <w:r>
        <w:rPr>
          <w:rFonts w:eastAsia="Microsoft YaHei"/>
          <w:color w:val="2A2F36"/>
          <w:sz w:val="22"/>
        </w:rPr>
        <w:t>The corridor system references the following instruments for its technical standards: the traffic separation scheme filings of the International Maritime Organization as amended by this Pact; the chart series of the International Hydrographic Organization for the Strait; and the international discharge, ballast, and emissions instruments listed in Table K-4. Marine protected areas sit outside the corridor edges as charted in the Registry chartlet series, and corridor margins respect them by design.</w:t>
      </w:r>
    </w:p>
    <w:p>
      <w:pPr>
        <w:pStyle w:val="Heading1"/>
        <w:keepNext w:val="true"/>
        <w:keepLines/>
        <w:pBdr>
          <w:bottom w:val="single" w:sz="8" w:space="6" w:color="9C7A2E"/>
        </w:pBdr>
        <w:bidi w:val="0"/>
        <w:spacing w:before="480" w:after="200"/>
        <w:jc w:val="left"/>
        <w:rPr/>
      </w:pPr>
      <w:bookmarkStart w:id="82" w:name="__RefHeading___Toc3361_2451594232"/>
      <w:bookmarkEnd w:id="82"/>
      <w:r>
        <w:rPr>
          <w:rFonts w:eastAsia="Microsoft YaHei"/>
          <w:b/>
          <w:color w:val="1F3550"/>
          <w:sz w:val="34"/>
        </w:rPr>
        <w:t>ANNEX B: NAVIGATION PROCEDURES AND THE TRANSIT FILING</w:t>
      </w:r>
    </w:p>
    <w:p>
      <w:pPr>
        <w:pStyle w:val="Heading2"/>
        <w:keepNext w:val="true"/>
        <w:keepLines/>
        <w:bidi w:val="0"/>
        <w:spacing w:before="380" w:after="140"/>
        <w:jc w:val="left"/>
        <w:rPr/>
      </w:pPr>
      <w:bookmarkStart w:id="83" w:name="__RefHeading___Toc3363_2451594232"/>
      <w:bookmarkEnd w:id="83"/>
      <w:r>
        <w:rPr>
          <w:rFonts w:eastAsia="Microsoft YaHei"/>
          <w:b/>
          <w:color w:val="1F3550"/>
          <w:sz w:val="27"/>
        </w:rPr>
        <w:t>B.1 The Transit Declaration Form</w:t>
      </w:r>
    </w:p>
    <w:p>
      <w:pPr>
        <w:pStyle w:val="Normal"/>
        <w:bidi w:val="0"/>
        <w:spacing w:lineRule="auto" w:line="300" w:before="0" w:after="140"/>
        <w:jc w:val="both"/>
        <w:rPr/>
      </w:pPr>
      <w:r>
        <w:rPr>
          <w:rFonts w:eastAsia="Microsoft YaHei"/>
          <w:color w:val="2A2F36"/>
          <w:sz w:val="22"/>
        </w:rPr>
        <w:t>The transit declaration of Article 17 carries twelve fields, filed through the portal, by satellite message, or on the working channel:</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1: Vessel name.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2: International maritime organization number.</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3: Flag state.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4: Call sign.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5: Vessel class under Article 18.</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6: Last port of call.</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7: Next port of call.</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8: Cargo category from the published category list, with no manifest detail.</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9: Gross tonnage.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10: Draft in meters.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11: Entry point and estimated time of entry.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Field 12: Contact channel and language.</w:t>
      </w:r>
    </w:p>
    <w:p>
      <w:pPr>
        <w:pStyle w:val="Normal"/>
        <w:bidi w:val="0"/>
        <w:spacing w:lineRule="auto" w:line="300" w:before="0" w:after="140"/>
        <w:jc w:val="both"/>
        <w:rPr/>
      </w:pPr>
      <w:r>
        <w:rPr>
          <w:rFonts w:eastAsia="Microsoft YaHei"/>
          <w:color w:val="2A2F36"/>
          <w:sz w:val="22"/>
        </w:rPr>
        <w:t>The acknowledgment returns: transit reference, assigned corridor, convoy window if applicable, current Bulletin number, and the working channel assignment. No acknowledgment carries conditions, demands, or questions. A query about an incomplete field travels as a separate operational message and never suspends the acknowledgment clock.</w:t>
      </w:r>
    </w:p>
    <w:p>
      <w:pPr>
        <w:pStyle w:val="Heading2"/>
        <w:keepNext w:val="true"/>
        <w:keepLines/>
        <w:bidi w:val="0"/>
        <w:spacing w:before="380" w:after="140"/>
        <w:jc w:val="left"/>
        <w:rPr/>
      </w:pPr>
      <w:bookmarkStart w:id="84" w:name="__RefHeading___Toc3365_2451594232"/>
      <w:bookmarkEnd w:id="84"/>
      <w:r>
        <w:rPr>
          <w:rFonts w:eastAsia="Microsoft YaHei"/>
          <w:b/>
          <w:color w:val="1F3550"/>
          <w:sz w:val="27"/>
        </w:rPr>
        <w:t>B.2 Identification and Reporting Discipline</w:t>
      </w:r>
    </w:p>
    <w:p>
      <w:pPr>
        <w:pStyle w:val="Normal"/>
        <w:bidi w:val="0"/>
        <w:spacing w:lineRule="auto" w:line="300" w:before="0" w:after="140"/>
        <w:jc w:val="both"/>
        <w:rPr/>
      </w:pPr>
      <w:r>
        <w:rPr>
          <w:rFonts w:eastAsia="Microsoft YaHei"/>
          <w:color w:val="2A2F36"/>
          <w:sz w:val="22"/>
        </w:rPr>
        <w:t>Every commercial vessel in the Governance Area broadcasts identification continuously. An outage logs automatically as an event, and the vessel reports the outage cause on the working channel within thirty minutes. The blackout log of the incident mesh records outages without attribution, and a pattern of unexplained outages routes to Tier Zero review under Article 45.2.</w:t>
      </w:r>
    </w:p>
    <w:p>
      <w:pPr>
        <w:pStyle w:val="Normal"/>
        <w:bidi w:val="0"/>
        <w:spacing w:lineRule="auto" w:line="300" w:before="0" w:after="140"/>
        <w:jc w:val="both"/>
        <w:rPr/>
      </w:pPr>
      <w:r>
        <w:rPr>
          <w:rFonts w:eastAsia="Microsoft YaHei"/>
          <w:color w:val="2A2F36"/>
          <w:sz w:val="22"/>
        </w:rPr>
        <w:t>Vessels report position on entry, at each corridor turning waypoint, and on exit. In Flow State Dense, Class A vessels additionally report at the mid-narrows mark. Reporting consumes under one minute per event on the digital channel.</w:t>
      </w:r>
    </w:p>
    <w:p>
      <w:pPr>
        <w:pStyle w:val="Heading2"/>
        <w:keepNext w:val="true"/>
        <w:keepLines/>
        <w:bidi w:val="0"/>
        <w:spacing w:before="380" w:after="140"/>
        <w:jc w:val="left"/>
        <w:rPr/>
      </w:pPr>
      <w:bookmarkStart w:id="85" w:name="__RefHeading___Toc3367_2451594232"/>
      <w:bookmarkEnd w:id="85"/>
      <w:r>
        <w:rPr>
          <w:rFonts w:eastAsia="Microsoft YaHei"/>
          <w:b/>
          <w:color w:val="1F3550"/>
          <w:sz w:val="27"/>
        </w:rPr>
        <w:t>B.3 Convoy Discipline</w:t>
      </w:r>
    </w:p>
    <w:p>
      <w:pPr>
        <w:pStyle w:val="Normal"/>
        <w:bidi w:val="0"/>
        <w:spacing w:lineRule="auto" w:line="300" w:before="0" w:after="140"/>
        <w:jc w:val="both"/>
        <w:rPr/>
      </w:pPr>
      <w:r>
        <w:rPr>
          <w:rFonts w:eastAsia="Microsoft YaHei"/>
          <w:color w:val="2A2F36"/>
          <w:sz w:val="22"/>
        </w:rPr>
        <w:t>Convoy windows publish forty-eight hours ahead in the Open Water Bulletin. A convoy assembles at the marshalling anchorage, sequences by draft and class, and transits at the published speed band with five nautical mile separation between Class A units. Convoy participation constitutes a voluntary service election, never a condition of passage, and carries no charge.</w:t>
      </w:r>
    </w:p>
    <w:p>
      <w:pPr>
        <w:pStyle w:val="Heading2"/>
        <w:keepNext w:val="true"/>
        <w:keepLines/>
        <w:bidi w:val="0"/>
        <w:spacing w:before="380" w:after="140"/>
        <w:jc w:val="left"/>
        <w:rPr/>
      </w:pPr>
      <w:bookmarkStart w:id="86" w:name="__RefHeading___Toc3369_2451594232"/>
      <w:bookmarkEnd w:id="86"/>
      <w:r>
        <w:rPr>
          <w:rFonts w:eastAsia="Microsoft YaHei"/>
          <w:b/>
          <w:color w:val="1F3550"/>
          <w:sz w:val="27"/>
        </w:rPr>
        <w:t>B.4 Crossing and Small-Craft Discipline</w:t>
      </w:r>
    </w:p>
    <w:p>
      <w:pPr>
        <w:pStyle w:val="Normal"/>
        <w:bidi w:val="0"/>
        <w:spacing w:lineRule="auto" w:line="300" w:before="0" w:after="140"/>
        <w:jc w:val="both"/>
        <w:rPr/>
      </w:pPr>
      <w:r>
        <w:rPr>
          <w:rFonts w:eastAsia="Microsoft YaHei"/>
          <w:color w:val="2A2F36"/>
          <w:sz w:val="22"/>
        </w:rPr>
        <w:t>Class D vessels cross at XC-1 and XC-2 at right angles, at best speed, during the published crossing windows, with the crossing guard vessel on station in Flow State Dense. Fishing activity stays clear of the commercial corridor edges during peak windows as published in the Bulletin.</w:t>
      </w:r>
    </w:p>
    <w:p>
      <w:pPr>
        <w:pStyle w:val="Heading2"/>
        <w:keepNext w:val="true"/>
        <w:keepLines/>
        <w:bidi w:val="0"/>
        <w:spacing w:before="380" w:after="140"/>
        <w:jc w:val="left"/>
        <w:rPr/>
      </w:pPr>
      <w:bookmarkStart w:id="87" w:name="__RefHeading___Toc3371_2451594232"/>
      <w:bookmarkEnd w:id="87"/>
      <w:r>
        <w:rPr>
          <w:rFonts w:eastAsia="Microsoft YaHei"/>
          <w:b/>
          <w:color w:val="1F3550"/>
          <w:sz w:val="27"/>
        </w:rPr>
        <w:t>B.5 Incident Log Format</w:t>
      </w:r>
    </w:p>
    <w:p>
      <w:pPr>
        <w:pStyle w:val="Normal"/>
        <w:bidi w:val="0"/>
        <w:spacing w:lineRule="auto" w:line="300" w:before="0" w:after="140"/>
        <w:jc w:val="both"/>
        <w:rPr/>
      </w:pPr>
      <w:r>
        <w:rPr>
          <w:rFonts w:eastAsia="Microsoft YaHei"/>
          <w:color w:val="2A2F36"/>
          <w:sz w:val="22"/>
        </w:rPr>
        <w:t>Every incident enters the shared log within twenty-four hours, in the standard entry: incident reference; date and time; position; vessels and actors involved; category; narrative in neutral language; evidence index; response actions; outcome; and ladder rung reached. The log lives at the Maritime Coordination Center with custodial copies at the Neutral Watch Office and publishes in redacted operational form monthly.</w:t>
      </w:r>
    </w:p>
    <w:p>
      <w:pPr>
        <w:pStyle w:val="Heading2"/>
        <w:keepNext w:val="true"/>
        <w:keepLines/>
        <w:bidi w:val="0"/>
        <w:spacing w:before="380" w:after="140"/>
        <w:jc w:val="left"/>
        <w:rPr/>
      </w:pPr>
      <w:bookmarkStart w:id="88" w:name="__RefHeading___Toc3373_2451594232"/>
      <w:bookmarkEnd w:id="88"/>
      <w:r>
        <w:rPr>
          <w:rFonts w:eastAsia="Microsoft YaHei"/>
          <w:b/>
          <w:color w:val="1F3550"/>
          <w:sz w:val="27"/>
        </w:rPr>
        <w:t>B.6 Channel Substitution and the Fallback Ladder</w:t>
      </w:r>
    </w:p>
    <w:p>
      <w:pPr>
        <w:pStyle w:val="Normal"/>
        <w:bidi w:val="0"/>
        <w:spacing w:lineRule="auto" w:line="300" w:before="0" w:after="140"/>
        <w:jc w:val="both"/>
        <w:rPr/>
      </w:pPr>
      <w:r>
        <w:rPr>
          <w:rFonts w:eastAsia="Microsoft YaHei"/>
          <w:color w:val="2A2F36"/>
          <w:sz w:val="22"/>
        </w:rPr>
        <w:t>When a verification or communication channel degrades, the fallback ladder engages in order: primary digital portal; satellite message service; working radio channel; relay through the intermediary bridge; physical document exchange at the mirror facility. Substitution runs up to ninety days while the primary channel restores, and the Stability Audit tracks substitution frequency as a transparency metric.</w:t>
      </w:r>
    </w:p>
    <w:p>
      <w:pPr>
        <w:pStyle w:val="Heading1"/>
        <w:keepNext w:val="true"/>
        <w:keepLines/>
        <w:pBdr>
          <w:bottom w:val="single" w:sz="8" w:space="6" w:color="9C7A2E"/>
        </w:pBdr>
        <w:bidi w:val="0"/>
        <w:spacing w:before="480" w:after="200"/>
        <w:jc w:val="left"/>
        <w:rPr/>
      </w:pPr>
      <w:bookmarkStart w:id="89" w:name="__RefHeading___Toc3375_2451594232"/>
      <w:bookmarkEnd w:id="89"/>
      <w:r>
        <w:rPr>
          <w:rFonts w:eastAsia="Microsoft YaHei"/>
          <w:b/>
          <w:color w:val="1F3550"/>
          <w:sz w:val="34"/>
        </w:rPr>
        <w:t>ANNEX C: THE HORMUZ STEWARDSHIP FUND CHARTER AND RATE CARD</w:t>
      </w:r>
    </w:p>
    <w:p>
      <w:pPr>
        <w:pStyle w:val="Heading2"/>
        <w:keepNext w:val="true"/>
        <w:keepLines/>
        <w:bidi w:val="0"/>
        <w:spacing w:before="380" w:after="140"/>
        <w:jc w:val="left"/>
        <w:rPr/>
      </w:pPr>
      <w:bookmarkStart w:id="90" w:name="__RefHeading___Toc3377_2451594232"/>
      <w:bookmarkEnd w:id="90"/>
      <w:r>
        <w:rPr>
          <w:rFonts w:eastAsia="Microsoft YaHei"/>
          <w:b/>
          <w:color w:val="1F3550"/>
          <w:sz w:val="27"/>
        </w:rPr>
        <w:t>C.1 Charter of the Fund</w:t>
      </w:r>
    </w:p>
    <w:p>
      <w:pPr>
        <w:pStyle w:val="Normal"/>
        <w:bidi w:val="0"/>
        <w:spacing w:lineRule="auto" w:line="300" w:before="0" w:after="140"/>
        <w:jc w:val="both"/>
        <w:rPr/>
      </w:pPr>
      <w:r>
        <w:rPr>
          <w:rFonts w:eastAsia="Microsoft YaHei"/>
          <w:color w:val="2A2F36"/>
          <w:sz w:val="22"/>
        </w:rPr>
        <w:t>The Hormuz Stewardship Fund operates as a neutral escrow administered by the Swiss Confederation as Financial Custodian, under Article 24. The Fund holds legal personality in its host jurisdiction for administrative purposes, opens the Hormuz Account under the licenses and comfort instruments of Table N-3, and disburses solely against certificates of the Verified Services Ledger.</w:t>
      </w:r>
    </w:p>
    <w:p>
      <w:pPr>
        <w:pStyle w:val="Normal"/>
        <w:bidi w:val="0"/>
        <w:spacing w:lineRule="auto" w:line="300" w:before="0" w:after="140"/>
        <w:jc w:val="both"/>
        <w:rPr/>
      </w:pPr>
      <w:r>
        <w:rPr>
          <w:rFonts w:eastAsia="Microsoft YaHei"/>
          <w:color w:val="2A2F36"/>
          <w:sz w:val="22"/>
        </w:rPr>
        <w:t>The Fund's organs: the Board under Article 24.4; the Rate Board under Article 23.4, comprising the Custodian, two technical pricing experts, one industry liaison, and one Founding Party nominee of each Founding Party, deciding rates by majority on cost evidence; the Audit Committee under Article 24.5, appointing the independent annual auditor; and the Disbursement Desk, executing payments inside forty-eight hours of a ledger certificate.</w:t>
      </w:r>
    </w:p>
    <w:p>
      <w:pPr>
        <w:pStyle w:val="Heading2"/>
        <w:keepNext w:val="true"/>
        <w:keepLines/>
        <w:bidi w:val="0"/>
        <w:spacing w:before="380" w:after="140"/>
        <w:jc w:val="left"/>
        <w:rPr/>
      </w:pPr>
      <w:bookmarkStart w:id="91" w:name="__RefHeading___Toc3379_2451594232"/>
      <w:bookmarkEnd w:id="91"/>
      <w:r>
        <w:rPr>
          <w:rFonts w:eastAsia="Microsoft YaHei"/>
          <w:b/>
          <w:color w:val="1F3550"/>
          <w:sz w:val="27"/>
        </w:rPr>
        <w:t>C.2 The Verified Services Catalog</w:t>
      </w:r>
    </w:p>
    <w:p>
      <w:pPr>
        <w:pStyle w:val="Normal"/>
        <w:bidi w:val="0"/>
        <w:spacing w:lineRule="auto" w:line="300" w:before="0" w:after="140"/>
        <w:jc w:val="both"/>
        <w:rPr/>
      </w:pPr>
      <w:r>
        <w:rPr>
          <w:rFonts w:eastAsia="Microsoft YaHei"/>
          <w:color w:val="2A2F36"/>
          <w:sz w:val="22"/>
        </w:rPr>
        <w:t>The catalog is closed. Table C-1 states every reimbursable service, its provider, its cost basis, and its certifier. No service enters the catalog except by Annex amendment under Article 57.2, and no payment leaves the Fund except against a catalog service.</w:t>
      </w:r>
    </w:p>
    <w:tbl>
      <w:tblPr>
        <w:tblW w:w="5000" w:type="pct"/>
        <w:jc w:val="left"/>
        <w:tblInd w:w="-8" w:type="dxa"/>
        <w:tblLayout w:type="fixed"/>
        <w:tblCellMar>
          <w:top w:w="60" w:type="dxa"/>
          <w:left w:w="100" w:type="dxa"/>
          <w:bottom w:w="60" w:type="dxa"/>
          <w:right w:w="100" w:type="dxa"/>
        </w:tblCellMar>
      </w:tblPr>
      <w:tblGrid>
        <w:gridCol w:w="2380"/>
        <w:gridCol w:w="2182"/>
        <w:gridCol w:w="2281"/>
        <w:gridCol w:w="2182"/>
      </w:tblGrid>
      <w:tr>
        <w:trPr>
          <w:tblHeader w:val="true"/>
          <w:cantSplit w:val="true"/>
        </w:trPr>
        <w:tc>
          <w:tcPr>
            <w:tcW w:w="23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Service</w:t>
            </w:r>
          </w:p>
        </w:tc>
        <w:tc>
          <w:tcPr>
            <w:tcW w:w="218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Provider</w:t>
            </w:r>
          </w:p>
        </w:tc>
        <w:tc>
          <w:tcPr>
            <w:tcW w:w="228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Cost Basis</w:t>
            </w:r>
          </w:p>
        </w:tc>
        <w:tc>
          <w:tcPr>
            <w:tcW w:w="218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Certifier</w:t>
            </w:r>
          </w:p>
        </w:tc>
      </w:tr>
      <w:tr>
        <w:trPr/>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Pilotage on request</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Coastal pilot services of the Founding Parties</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Crew hours, vessel class band</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Maritime Coordination Center log</w:t>
            </w:r>
          </w:p>
        </w:tc>
      </w:tr>
      <w:tr>
        <w:trPr/>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Tug assistance on request</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Contracted tug operators</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Operating hours, tug class</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Center log and tug operator record</w:t>
            </w:r>
          </w:p>
        </w:tc>
      </w:tr>
      <w:tr>
        <w:trPr/>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Traffic management and routing data</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Maritime Coordination Center</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System operating cost share</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Neutral Watch audit</w:t>
            </w:r>
          </w:p>
        </w:tc>
      </w:tr>
      <w:tr>
        <w:trPr/>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Environmental monitoring and reporting</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Environmental watch units</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Sensor, laboratory, and personnel cost</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Directorate certificate</w:t>
            </w:r>
          </w:p>
        </w:tc>
      </w:tr>
      <w:tr>
        <w:trPr/>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Search and rescue readiness</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Joint rescue service</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Standing readiness cost share</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Corridor Operations Board review</w:t>
            </w:r>
          </w:p>
        </w:tc>
      </w:tr>
      <w:tr>
        <w:trPr/>
        <w:tc>
          <w:tcPr>
            <w:tcW w:w="23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Convoy marshalling in Flow State Dense</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Center and patrol rotation</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Marshalling vessel hours</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Center log</w:t>
            </w:r>
          </w:p>
        </w:tc>
      </w:tr>
      <w:tr>
        <w:trPr/>
        <w:tc>
          <w:tcPr>
            <w:tcW w:w="23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Route assurance data service</w:t>
            </w:r>
          </w:p>
        </w:tc>
        <w:tc>
          <w:tcPr>
            <w:tcW w:w="218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Secretariat data desk</w:t>
            </w:r>
          </w:p>
        </w:tc>
        <w:tc>
          <w:tcPr>
            <w:tcW w:w="228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Subscription cost basis</w:t>
            </w:r>
          </w:p>
        </w:tc>
        <w:tc>
          <w:tcPr>
            <w:tcW w:w="218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Portal subscription record</w:t>
            </w:r>
          </w:p>
        </w:tc>
      </w:tr>
    </w:tbl>
    <w:p>
      <w:pPr>
        <w:pStyle w:val="Normal"/>
        <w:bidi w:val="0"/>
        <w:spacing w:before="0" w:after="60"/>
        <w:jc w:val="left"/>
        <w:rPr/>
      </w:pPr>
      <w:r>
        <w:rPr/>
      </w:r>
    </w:p>
    <w:p>
      <w:pPr>
        <w:pStyle w:val="Heading2"/>
        <w:keepNext w:val="true"/>
        <w:keepLines/>
        <w:bidi w:val="0"/>
        <w:spacing w:before="380" w:after="140"/>
        <w:jc w:val="left"/>
        <w:rPr/>
      </w:pPr>
      <w:bookmarkStart w:id="92" w:name="__RefHeading___Toc3381_2451594232"/>
      <w:bookmarkEnd w:id="92"/>
      <w:r>
        <w:rPr>
          <w:rFonts w:eastAsia="Microsoft YaHei"/>
          <w:b/>
          <w:color w:val="1F3550"/>
          <w:sz w:val="27"/>
        </w:rPr>
        <w:t>C.3 Table C-2: The Rate Card (Steady-State Rates, United States Dollars)</w:t>
      </w:r>
    </w:p>
    <w:p>
      <w:pPr>
        <w:pStyle w:val="Normal"/>
        <w:bidi w:val="0"/>
        <w:spacing w:lineRule="auto" w:line="300" w:before="0" w:after="140"/>
        <w:jc w:val="both"/>
        <w:rPr/>
      </w:pPr>
      <w:r>
        <w:rPr>
          <w:rFonts w:eastAsia="Microsoft YaHei"/>
          <w:color w:val="2A2F36"/>
          <w:sz w:val="22"/>
        </w:rPr>
        <w:t>Rates activate at pilot levels of fifty percent of the steady-state rates from Day 30 to Day 60, reach steady state at Gate Six, and hold for each published year.</w:t>
      </w:r>
    </w:p>
    <w:tbl>
      <w:tblPr>
        <w:tblW w:w="5000" w:type="pct"/>
        <w:jc w:val="left"/>
        <w:tblInd w:w="-8" w:type="dxa"/>
        <w:tblLayout w:type="fixed"/>
        <w:tblCellMar>
          <w:top w:w="60" w:type="dxa"/>
          <w:left w:w="100" w:type="dxa"/>
          <w:bottom w:w="60" w:type="dxa"/>
          <w:right w:w="100" w:type="dxa"/>
        </w:tblCellMar>
      </w:tblPr>
      <w:tblGrid>
        <w:gridCol w:w="3172"/>
        <w:gridCol w:w="2878"/>
        <w:gridCol w:w="2976"/>
      </w:tblGrid>
      <w:tr>
        <w:trPr>
          <w:tblHeader w:val="true"/>
          <w:cantSplit w:val="true"/>
        </w:trPr>
        <w:tc>
          <w:tcPr>
            <w:tcW w:w="317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Service</w:t>
            </w:r>
          </w:p>
        </w:tc>
        <w:tc>
          <w:tcPr>
            <w:tcW w:w="287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Rate Basis</w:t>
            </w:r>
          </w:p>
        </w:tc>
        <w:tc>
          <w:tcPr>
            <w:tcW w:w="2976"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Steady-State Rate</w:t>
            </w:r>
          </w:p>
        </w:tc>
      </w:tr>
      <w:tr>
        <w:trPr/>
        <w:tc>
          <w:tcPr>
            <w:tcW w:w="31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Pilotage, Class A vessel</w:t>
            </w:r>
          </w:p>
        </w:tc>
        <w:tc>
          <w:tcPr>
            <w:tcW w:w="28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 transit</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38,000</w:t>
            </w:r>
          </w:p>
        </w:tc>
      </w:tr>
      <w:tr>
        <w:trPr/>
        <w:tc>
          <w:tcPr>
            <w:tcW w:w="31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Pilotage, Class B vessel</w:t>
            </w:r>
          </w:p>
        </w:tc>
        <w:tc>
          <w:tcPr>
            <w:tcW w:w="28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 transit</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21,000</w:t>
            </w:r>
          </w:p>
        </w:tc>
      </w:tr>
      <w:tr>
        <w:trPr/>
        <w:tc>
          <w:tcPr>
            <w:tcW w:w="31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Pilotage, other classes</w:t>
            </w:r>
          </w:p>
        </w:tc>
        <w:tc>
          <w:tcPr>
            <w:tcW w:w="28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 transit</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6,500</w:t>
            </w:r>
          </w:p>
        </w:tc>
      </w:tr>
      <w:tr>
        <w:trPr/>
        <w:tc>
          <w:tcPr>
            <w:tcW w:w="31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Tug assistance</w:t>
            </w:r>
          </w:p>
        </w:tc>
        <w:tc>
          <w:tcPr>
            <w:tcW w:w="28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 operating hour</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9,800</w:t>
            </w:r>
          </w:p>
        </w:tc>
      </w:tr>
      <w:tr>
        <w:trPr/>
        <w:tc>
          <w:tcPr>
            <w:tcW w:w="31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Traffic management and routing data</w:t>
            </w:r>
          </w:p>
        </w:tc>
        <w:tc>
          <w:tcPr>
            <w:tcW w:w="28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 vessel per year</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14,500</w:t>
            </w:r>
          </w:p>
        </w:tc>
      </w:tr>
      <w:tr>
        <w:trPr/>
        <w:tc>
          <w:tcPr>
            <w:tcW w:w="31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Environmental monitoring</w:t>
            </w:r>
          </w:p>
        </w:tc>
        <w:tc>
          <w:tcPr>
            <w:tcW w:w="28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 vessel per year</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7,200</w:t>
            </w:r>
          </w:p>
        </w:tc>
      </w:tr>
      <w:tr>
        <w:trPr/>
        <w:tc>
          <w:tcPr>
            <w:tcW w:w="31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Search and rescue readiness</w:t>
            </w:r>
          </w:p>
        </w:tc>
        <w:tc>
          <w:tcPr>
            <w:tcW w:w="28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 vessel per year, through the Pool fraction</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5,400</w:t>
            </w:r>
          </w:p>
        </w:tc>
      </w:tr>
      <w:tr>
        <w:trPr/>
        <w:tc>
          <w:tcPr>
            <w:tcW w:w="31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Convoy marshalling</w:t>
            </w:r>
          </w:p>
        </w:tc>
        <w:tc>
          <w:tcPr>
            <w:tcW w:w="28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 convoy transit</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4,800</w:t>
            </w:r>
          </w:p>
        </w:tc>
      </w:tr>
      <w:tr>
        <w:trPr/>
        <w:tc>
          <w:tcPr>
            <w:tcW w:w="317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Route assurance data service</w:t>
            </w:r>
          </w:p>
        </w:tc>
        <w:tc>
          <w:tcPr>
            <w:tcW w:w="287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Per operator per year</w:t>
            </w:r>
          </w:p>
        </w:tc>
        <w:tc>
          <w:tcPr>
            <w:tcW w:w="2976"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96,000</w:t>
            </w:r>
          </w:p>
        </w:tc>
      </w:tr>
    </w:tbl>
    <w:p>
      <w:pPr>
        <w:pStyle w:val="Normal"/>
        <w:bidi w:val="0"/>
        <w:spacing w:before="0" w:after="60"/>
        <w:jc w:val="left"/>
        <w:rPr/>
      </w:pPr>
      <w:r>
        <w:rPr/>
      </w:r>
    </w:p>
    <w:p>
      <w:pPr>
        <w:pStyle w:val="Heading2"/>
        <w:keepNext w:val="true"/>
        <w:keepLines/>
        <w:bidi w:val="0"/>
        <w:spacing w:before="380" w:after="140"/>
        <w:jc w:val="left"/>
        <w:rPr/>
      </w:pPr>
      <w:bookmarkStart w:id="93" w:name="__RefHeading___Toc3383_2451594232"/>
      <w:bookmarkEnd w:id="93"/>
      <w:r>
        <w:rPr>
          <w:rFonts w:eastAsia="Microsoft YaHei"/>
          <w:b/>
          <w:color w:val="1F3550"/>
          <w:sz w:val="27"/>
        </w:rPr>
        <w:t>C.4 Caps, Discounts, and Bonds</w:t>
      </w:r>
    </w:p>
    <w:p>
      <w:pPr>
        <w:pStyle w:val="Normal"/>
        <w:bidi w:val="0"/>
        <w:spacing w:lineRule="auto" w:line="300" w:before="0" w:after="140"/>
        <w:jc w:val="both"/>
        <w:rPr/>
      </w:pPr>
      <w:r>
        <w:rPr>
          <w:rFonts w:eastAsia="Microsoft YaHei"/>
          <w:color w:val="2A2F36"/>
          <w:sz w:val="22"/>
        </w:rPr>
        <w:t>The Heavy-User Cap: aggregate annual reimbursements of any single operator cap at 4,500,000 dollars, indexed annually to the published cost index. The Green Discount: vessels meeting the emissions standard of Table K-4 receive a fifteen percent discount on every catalog service. The Performance Bond: an operator posts a refundable annual bond of its choosing between 250,000 and 5,000,000 dollars; the Fund draws against ledger-certified use and returns the balance within thirty days of year end. The First-Mover Discount: operators certifying into the system during Layers One and Two receive twenty percent off catalog services for their first contract year. The Early-Adopter Rate Lock: operators joining in the first year hold pilot-era effective rates for twenty-four months.</w:t>
      </w:r>
    </w:p>
    <w:p>
      <w:pPr>
        <w:pStyle w:val="Heading2"/>
        <w:keepNext w:val="true"/>
        <w:keepLines/>
        <w:bidi w:val="0"/>
        <w:spacing w:before="380" w:after="140"/>
        <w:jc w:val="left"/>
        <w:rPr/>
      </w:pPr>
      <w:bookmarkStart w:id="94" w:name="__RefHeading___Toc3385_2451594232"/>
      <w:bookmarkEnd w:id="94"/>
      <w:r>
        <w:rPr>
          <w:rFonts w:eastAsia="Microsoft YaHei"/>
          <w:b/>
          <w:color w:val="1F3550"/>
          <w:sz w:val="27"/>
        </w:rPr>
        <w:t>C.5 Worked Examples</w:t>
      </w:r>
    </w:p>
    <w:p>
      <w:pPr>
        <w:pStyle w:val="Normal"/>
        <w:bidi w:val="0"/>
        <w:spacing w:lineRule="auto" w:line="300" w:before="0" w:after="140"/>
        <w:jc w:val="both"/>
        <w:rPr/>
      </w:pPr>
      <w:r>
        <w:rPr>
          <w:rFonts w:eastAsia="Microsoft YaHei"/>
          <w:color w:val="2A2F36"/>
          <w:sz w:val="22"/>
        </w:rPr>
        <w:t>Example One: a Class A crude carrier transits inbound with pilotage and convoy marshalling. The ledger records pilotage 38,000 dollars and marshalling 4,800 dollars; total 42,800 dollars, drawn against the operator's performance bond. Passage itself carries no charge. Example Two: a gas carrier operator running one hundred transits per year subscribes to traffic data and environmental monitoring, uses pilotage on half its transits, and reaches the Heavy-User Cap in month nine; every later service in the year bills at zero against the cap. Example Three: a green-standard vessel receives fifteen percent off each line item, and the Fund books the discount against the environmental savings ledger of Article 52.4.</w:t>
      </w:r>
    </w:p>
    <w:p>
      <w:pPr>
        <w:pStyle w:val="Heading2"/>
        <w:keepNext w:val="true"/>
        <w:keepLines/>
        <w:bidi w:val="0"/>
        <w:spacing w:before="380" w:after="140"/>
        <w:jc w:val="left"/>
        <w:rPr/>
      </w:pPr>
      <w:bookmarkStart w:id="95" w:name="__RefHeading___Toc3387_2451594232"/>
      <w:bookmarkEnd w:id="95"/>
      <w:r>
        <w:rPr>
          <w:rFonts w:eastAsia="Microsoft YaHei"/>
          <w:b/>
          <w:color w:val="1F3550"/>
          <w:sz w:val="27"/>
        </w:rPr>
        <w:t>C.6 Anti-Abuse Discipline</w:t>
      </w:r>
    </w:p>
    <w:p>
      <w:pPr>
        <w:pStyle w:val="Normal"/>
        <w:bidi w:val="0"/>
        <w:spacing w:lineRule="auto" w:line="300" w:before="0" w:after="140"/>
        <w:jc w:val="both"/>
        <w:rPr/>
      </w:pPr>
      <w:r>
        <w:rPr>
          <w:rFonts w:eastAsia="Microsoft YaHei"/>
          <w:color w:val="2A2F36"/>
          <w:sz w:val="22"/>
        </w:rPr>
        <w:t>The Rate Board reviews unit costs quarterly against the audited accounts. A rate that outruns its cost basis by more than ten percent for two consecutive quarters resets automatically at the next publication. The Neutral Watch Office applies the substance test of Article 27 to every new fee proposal anywhere in the Governance Area, and the test's ruling binds the Fund and every participant.</w:t>
      </w:r>
    </w:p>
    <w:p>
      <w:pPr>
        <w:pStyle w:val="Heading1"/>
        <w:keepNext w:val="true"/>
        <w:keepLines/>
        <w:pBdr>
          <w:bottom w:val="single" w:sz="8" w:space="6" w:color="9C7A2E"/>
        </w:pBdr>
        <w:bidi w:val="0"/>
        <w:spacing w:before="480" w:after="200"/>
        <w:jc w:val="left"/>
        <w:rPr/>
      </w:pPr>
      <w:bookmarkStart w:id="96" w:name="__RefHeading___Toc3389_2451594232"/>
      <w:bookmarkEnd w:id="96"/>
      <w:r>
        <w:rPr>
          <w:rFonts w:eastAsia="Microsoft YaHei"/>
          <w:b/>
          <w:color w:val="1F3550"/>
          <w:sz w:val="34"/>
        </w:rPr>
        <w:t>ANNEX D: THE HORMUZ INSURANCE POOL CHARTER</w:t>
      </w:r>
    </w:p>
    <w:p>
      <w:pPr>
        <w:pStyle w:val="Heading2"/>
        <w:keepNext w:val="true"/>
        <w:keepLines/>
        <w:bidi w:val="0"/>
        <w:spacing w:before="380" w:after="140"/>
        <w:jc w:val="left"/>
        <w:rPr/>
      </w:pPr>
      <w:bookmarkStart w:id="97" w:name="__RefHeading___Toc3391_2451594232"/>
      <w:bookmarkEnd w:id="97"/>
      <w:r>
        <w:rPr>
          <w:rFonts w:eastAsia="Microsoft YaHei"/>
          <w:b/>
          <w:color w:val="1F3550"/>
          <w:sz w:val="27"/>
        </w:rPr>
        <w:t>D.1 Purpose and Structure</w:t>
      </w:r>
    </w:p>
    <w:p>
      <w:pPr>
        <w:pStyle w:val="Normal"/>
        <w:bidi w:val="0"/>
        <w:spacing w:lineRule="auto" w:line="300" w:before="0" w:after="140"/>
        <w:jc w:val="both"/>
        <w:rPr/>
      </w:pPr>
      <w:r>
        <w:rPr>
          <w:rFonts w:eastAsia="Microsoft YaHei"/>
          <w:color w:val="2A2F36"/>
          <w:sz w:val="22"/>
        </w:rPr>
        <w:t>The Hormuz Insurance Pool provides corridor risk cover for vessels transiting the Governance Area, prices that risk on published data, and remits the stewardship fraction to the Fund under Article 25. The Pool operates as a commercial mechanism with public data, not as a political instrument.</w:t>
      </w:r>
    </w:p>
    <w:p>
      <w:pPr>
        <w:pStyle w:val="Heading2"/>
        <w:keepNext w:val="true"/>
        <w:keepLines/>
        <w:bidi w:val="0"/>
        <w:spacing w:before="380" w:after="140"/>
        <w:jc w:val="left"/>
        <w:rPr/>
      </w:pPr>
      <w:bookmarkStart w:id="98" w:name="__RefHeading___Toc3393_2451594232"/>
      <w:bookmarkEnd w:id="98"/>
      <w:r>
        <w:rPr>
          <w:rFonts w:eastAsia="Microsoft YaHei"/>
          <w:b/>
          <w:color w:val="1F3550"/>
          <w:sz w:val="27"/>
        </w:rPr>
        <w:t>D.2 Membership and Administration</w:t>
      </w:r>
    </w:p>
    <w:p>
      <w:pPr>
        <w:pStyle w:val="Normal"/>
        <w:bidi w:val="0"/>
        <w:spacing w:lineRule="auto" w:line="300" w:before="0" w:after="140"/>
        <w:jc w:val="both"/>
        <w:rPr/>
      </w:pPr>
      <w:r>
        <w:rPr>
          <w:rFonts w:eastAsia="Microsoft YaHei"/>
          <w:color w:val="2A2F36"/>
          <w:sz w:val="22"/>
        </w:rPr>
        <w:t>The Pool comprises participating protection and indemnity clubs and war-risk underwriters, administered by the Pool Administrator under the charter rules of this Annex. Membership opens to any club or underwriter meeting the capital and claims standards of Table D-1. The Administrator seats at the Secretariat data desk and reports quarterly to the Fund board and the Council.</w:t>
      </w:r>
    </w:p>
    <w:p>
      <w:pPr>
        <w:pStyle w:val="Heading2"/>
        <w:keepNext w:val="true"/>
        <w:keepLines/>
        <w:bidi w:val="0"/>
        <w:spacing w:before="380" w:after="140"/>
        <w:jc w:val="left"/>
        <w:rPr/>
      </w:pPr>
      <w:bookmarkStart w:id="99" w:name="__RefHeading___Toc3395_2451594232"/>
      <w:bookmarkEnd w:id="99"/>
      <w:r>
        <w:rPr>
          <w:rFonts w:eastAsia="Microsoft YaHei"/>
          <w:b/>
          <w:color w:val="1F3550"/>
          <w:sz w:val="27"/>
        </w:rPr>
        <w:t>D.3 Risk Tiers</w:t>
      </w:r>
    </w:p>
    <w:p>
      <w:pPr>
        <w:pStyle w:val="Normal"/>
        <w:bidi w:val="0"/>
        <w:spacing w:lineRule="auto" w:line="300" w:before="0" w:after="140"/>
        <w:jc w:val="both"/>
        <w:rPr/>
      </w:pPr>
      <w:r>
        <w:rPr>
          <w:rFonts w:eastAsia="Microsoft YaHei"/>
          <w:color w:val="2A2F36"/>
          <w:sz w:val="22"/>
        </w:rPr>
        <w:t>The Pool classifies each corridor into a published risk tier, reviewed weekly during Layers Zero through Four and monthly thereafter. The tier derives mechanically from the Stability Audit's published metrics: incident rate, clearance status, deconfliction response time, and identification continuity. No political input enters the tier formula. The interim tier at Hour 66 reflects the pre-cleared bridge rating of Article 9.6, and the tier steps down automatically as incident-free weeks accumulate under the schedule of Table D-2.</w:t>
      </w:r>
    </w:p>
    <w:tbl>
      <w:tblPr>
        <w:tblW w:w="5000" w:type="pct"/>
        <w:jc w:val="left"/>
        <w:tblInd w:w="-8" w:type="dxa"/>
        <w:tblLayout w:type="fixed"/>
        <w:tblCellMar>
          <w:top w:w="60" w:type="dxa"/>
          <w:left w:w="100" w:type="dxa"/>
          <w:bottom w:w="60" w:type="dxa"/>
          <w:right w:w="100" w:type="dxa"/>
        </w:tblCellMar>
      </w:tblPr>
      <w:tblGrid>
        <w:gridCol w:w="2181"/>
        <w:gridCol w:w="3372"/>
        <w:gridCol w:w="3473"/>
      </w:tblGrid>
      <w:tr>
        <w:trPr>
          <w:tblHeader w:val="true"/>
          <w:cantSplit w:val="true"/>
        </w:trPr>
        <w:tc>
          <w:tcPr>
            <w:tcW w:w="218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Tier</w:t>
            </w:r>
          </w:p>
        </w:tc>
        <w:tc>
          <w:tcPr>
            <w:tcW w:w="337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Trigger Condition</w:t>
            </w:r>
          </w:p>
        </w:tc>
        <w:tc>
          <w:tcPr>
            <w:tcW w:w="3473"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Premium Band, percent of hull value per transit</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Tier 1, Routine</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Thirty incident-free weeks and full clearance certification</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0.02 to 0.05</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Tier 2, Watch</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Eight incident-free weeks and median lane certified</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0.07 to 0.12</w:t>
            </w:r>
          </w:p>
        </w:tc>
      </w:tr>
      <w:tr>
        <w:trPr/>
        <w:tc>
          <w:tcPr>
            <w:tcW w:w="21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Tier 3, Transitional</w:t>
            </w:r>
          </w:p>
        </w:tc>
        <w:tc>
          <w:tcPr>
            <w:tcW w:w="337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One certified, clearance in progress</w:t>
            </w:r>
          </w:p>
        </w:tc>
        <w:tc>
          <w:tcPr>
            <w:tcW w:w="3473"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0.15 to 0.25</w:t>
            </w:r>
          </w:p>
        </w:tc>
      </w:tr>
      <w:tr>
        <w:trPr/>
        <w:tc>
          <w:tcPr>
            <w:tcW w:w="218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Tier 4, Elevated</w:t>
            </w:r>
          </w:p>
        </w:tc>
        <w:tc>
          <w:tcPr>
            <w:tcW w:w="337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Any Tier Two compliance event in the prior thirty days</w:t>
            </w:r>
          </w:p>
        </w:tc>
        <w:tc>
          <w:tcPr>
            <w:tcW w:w="3473"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0.30 to 0.45</w:t>
            </w:r>
          </w:p>
        </w:tc>
      </w:tr>
    </w:tbl>
    <w:p>
      <w:pPr>
        <w:pStyle w:val="Normal"/>
        <w:bidi w:val="0"/>
        <w:spacing w:before="0" w:after="60"/>
        <w:jc w:val="left"/>
        <w:rPr/>
      </w:pPr>
      <w:r>
        <w:rPr/>
      </w:r>
    </w:p>
    <w:p>
      <w:pPr>
        <w:pStyle w:val="Heading2"/>
        <w:keepNext w:val="true"/>
        <w:keepLines/>
        <w:bidi w:val="0"/>
        <w:spacing w:before="380" w:after="140"/>
        <w:jc w:val="left"/>
        <w:rPr/>
      </w:pPr>
      <w:bookmarkStart w:id="100" w:name="__RefHeading___Toc3397_2451594232"/>
      <w:bookmarkEnd w:id="100"/>
      <w:r>
        <w:rPr>
          <w:rFonts w:eastAsia="Microsoft YaHei"/>
          <w:b/>
          <w:color w:val="1F3550"/>
          <w:sz w:val="27"/>
        </w:rPr>
        <w:t>D.4 The Stewardship Fraction</w:t>
      </w:r>
    </w:p>
    <w:p>
      <w:pPr>
        <w:pStyle w:val="Normal"/>
        <w:bidi w:val="0"/>
        <w:spacing w:lineRule="auto" w:line="300" w:before="0" w:after="140"/>
        <w:jc w:val="both"/>
        <w:rPr/>
      </w:pPr>
      <w:r>
        <w:rPr>
          <w:rFonts w:eastAsia="Microsoft YaHei"/>
          <w:color w:val="2A2F36"/>
          <w:sz w:val="22"/>
        </w:rPr>
        <w:t>The Pool remits a fixed stewardship fraction of each premium to the Fund: twenty percent of collected corridor premia, constituting the Insurance Channel of Article 25. The fraction prices the safety services that the Fund finances, and it never varies by flag, cargo, or ownership.</w:t>
      </w:r>
    </w:p>
    <w:p>
      <w:pPr>
        <w:pStyle w:val="Heading2"/>
        <w:keepNext w:val="true"/>
        <w:keepLines/>
        <w:bidi w:val="0"/>
        <w:spacing w:before="380" w:after="140"/>
        <w:jc w:val="left"/>
        <w:rPr/>
      </w:pPr>
      <w:bookmarkStart w:id="101" w:name="__RefHeading___Toc3399_2451594232"/>
      <w:bookmarkEnd w:id="101"/>
      <w:r>
        <w:rPr>
          <w:rFonts w:eastAsia="Microsoft YaHei"/>
          <w:b/>
          <w:color w:val="1F3550"/>
          <w:sz w:val="27"/>
        </w:rPr>
        <w:t>D.5 Claims and the Pollution Channel</w:t>
      </w:r>
    </w:p>
    <w:p>
      <w:pPr>
        <w:pStyle w:val="Normal"/>
        <w:bidi w:val="0"/>
        <w:spacing w:lineRule="auto" w:line="300" w:before="0" w:after="140"/>
        <w:jc w:val="both"/>
        <w:rPr/>
      </w:pPr>
      <w:r>
        <w:rPr>
          <w:rFonts w:eastAsia="Microsoft YaHei"/>
          <w:color w:val="2A2F36"/>
          <w:sz w:val="22"/>
        </w:rPr>
        <w:t>Claims follow standard club practice with two additions: the incident log of Annex B serves as the primary evidence base, and pollution liabilities route through the polluter-pays channel of Article 52.2 with Pool subrogation. The Pool publishes aggregate claims statistics quarterly to the Economic Transparency Portal.</w:t>
      </w:r>
    </w:p>
    <w:p>
      <w:pPr>
        <w:pStyle w:val="Heading2"/>
        <w:keepNext w:val="true"/>
        <w:keepLines/>
        <w:bidi w:val="0"/>
        <w:spacing w:before="380" w:after="140"/>
        <w:jc w:val="left"/>
        <w:rPr/>
      </w:pPr>
      <w:bookmarkStart w:id="102" w:name="__RefHeading___Toc3401_2451594232"/>
      <w:bookmarkEnd w:id="102"/>
      <w:r>
        <w:rPr>
          <w:rFonts w:eastAsia="Microsoft YaHei"/>
          <w:b/>
          <w:color w:val="1F3550"/>
          <w:sz w:val="27"/>
        </w:rPr>
        <w:t>D.6 War-Risk Normalization</w:t>
      </w:r>
    </w:p>
    <w:p>
      <w:pPr>
        <w:pStyle w:val="Normal"/>
        <w:bidi w:val="0"/>
        <w:spacing w:lineRule="auto" w:line="300" w:before="0" w:after="140"/>
        <w:jc w:val="both"/>
        <w:rPr/>
      </w:pPr>
      <w:r>
        <w:rPr>
          <w:rFonts w:eastAsia="Microsoft YaHei"/>
          <w:color w:val="2A2F36"/>
          <w:sz w:val="22"/>
        </w:rPr>
        <w:t>The Pool's standing objective is the return of Hormuz cover to ordinary commercial pricing. The Pool Administrator publishes an annual normalization report: tier history, premium history, claims history, and the measured distance to pre-crisis market pricing. The report gives markets a public countdown to boring.</w:t>
      </w:r>
    </w:p>
    <w:p>
      <w:pPr>
        <w:pStyle w:val="Heading1"/>
        <w:keepNext w:val="true"/>
        <w:keepLines/>
        <w:pBdr>
          <w:bottom w:val="single" w:sz="8" w:space="6" w:color="9C7A2E"/>
        </w:pBdr>
        <w:bidi w:val="0"/>
        <w:spacing w:before="480" w:after="200"/>
        <w:jc w:val="left"/>
        <w:rPr/>
      </w:pPr>
      <w:bookmarkStart w:id="103" w:name="__RefHeading___Toc3403_2451594232"/>
      <w:bookmarkEnd w:id="103"/>
      <w:r>
        <w:rPr>
          <w:rFonts w:eastAsia="Microsoft YaHei"/>
          <w:b/>
          <w:color w:val="1F3550"/>
          <w:sz w:val="34"/>
        </w:rPr>
        <w:t>ANNEX E: COMMUNICATIONS AND HOTLINE PROTOCOLS</w:t>
      </w:r>
    </w:p>
    <w:p>
      <w:pPr>
        <w:pStyle w:val="Heading2"/>
        <w:keepNext w:val="true"/>
        <w:keepLines/>
        <w:bidi w:val="0"/>
        <w:spacing w:before="380" w:after="140"/>
        <w:jc w:val="left"/>
        <w:rPr/>
      </w:pPr>
      <w:bookmarkStart w:id="104" w:name="__RefHeading___Toc3405_2451594232"/>
      <w:bookmarkEnd w:id="104"/>
      <w:r>
        <w:rPr>
          <w:rFonts w:eastAsia="Microsoft YaHei"/>
          <w:b/>
          <w:color w:val="1F3550"/>
          <w:sz w:val="27"/>
        </w:rPr>
        <w:t>E.1 The Network Nodes and Answer Standards</w:t>
      </w:r>
    </w:p>
    <w:p>
      <w:pPr>
        <w:pStyle w:val="Normal"/>
        <w:bidi w:val="0"/>
        <w:spacing w:lineRule="auto" w:line="300" w:before="0" w:after="140"/>
        <w:jc w:val="both"/>
        <w:rPr/>
      </w:pPr>
      <w:r>
        <w:rPr>
          <w:rFonts w:eastAsia="Microsoft YaHei"/>
          <w:color w:val="2A2F36"/>
          <w:sz w:val="22"/>
        </w:rPr>
        <w:t>Table E-1 states the hotline network nodes, their channels, and their answer standards. Every node tests daily at 06:00 and 18:00 Gulf Standard Time, and the test log publishes monthly.</w:t>
      </w:r>
    </w:p>
    <w:tbl>
      <w:tblPr>
        <w:tblW w:w="5000" w:type="pct"/>
        <w:jc w:val="left"/>
        <w:tblInd w:w="-8" w:type="dxa"/>
        <w:tblLayout w:type="fixed"/>
        <w:tblCellMar>
          <w:top w:w="60" w:type="dxa"/>
          <w:left w:w="100" w:type="dxa"/>
          <w:bottom w:w="60" w:type="dxa"/>
          <w:right w:w="100" w:type="dxa"/>
        </w:tblCellMar>
      </w:tblPr>
      <w:tblGrid>
        <w:gridCol w:w="2875"/>
        <w:gridCol w:w="3175"/>
        <w:gridCol w:w="2976"/>
      </w:tblGrid>
      <w:tr>
        <w:trPr>
          <w:tblHeader w:val="true"/>
          <w:cantSplit w:val="true"/>
        </w:trPr>
        <w:tc>
          <w:tcPr>
            <w:tcW w:w="287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Node</w:t>
            </w:r>
          </w:p>
        </w:tc>
        <w:tc>
          <w:tcPr>
            <w:tcW w:w="317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Channels</w:t>
            </w:r>
          </w:p>
        </w:tc>
        <w:tc>
          <w:tcPr>
            <w:tcW w:w="2976"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Answer Standard</w:t>
            </w:r>
          </w:p>
        </w:tc>
      </w:tr>
      <w:tr>
        <w:trPr/>
        <w:tc>
          <w:tcPr>
            <w:tcW w:w="28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Maritime Coordination Center, Muscat</w:t>
            </w:r>
          </w:p>
        </w:tc>
        <w:tc>
          <w:tcPr>
            <w:tcW w:w="31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Dedicated voice, data, satellite fallback</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Fifteen minutes, around the clock</w:t>
            </w:r>
          </w:p>
        </w:tc>
      </w:tr>
      <w:tr>
        <w:trPr/>
        <w:tc>
          <w:tcPr>
            <w:tcW w:w="28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Mirror desk, Bandar Abbas</w:t>
            </w:r>
          </w:p>
        </w:tc>
        <w:tc>
          <w:tcPr>
            <w:tcW w:w="31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Dedicated voice, data, satellite fallback</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Fifteen minutes, around the clock</w:t>
            </w:r>
          </w:p>
        </w:tc>
      </w:tr>
      <w:tr>
        <w:trPr/>
        <w:tc>
          <w:tcPr>
            <w:tcW w:w="28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Gulf Cooperation Council liaison, Riyadh</w:t>
            </w:r>
          </w:p>
        </w:tc>
        <w:tc>
          <w:tcPr>
            <w:tcW w:w="31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Dedicated voice, data</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Fifteen minutes, around the clock</w:t>
            </w:r>
          </w:p>
        </w:tc>
      </w:tr>
      <w:tr>
        <w:trPr/>
        <w:tc>
          <w:tcPr>
            <w:tcW w:w="28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naval liaison</w:t>
            </w:r>
          </w:p>
        </w:tc>
        <w:tc>
          <w:tcPr>
            <w:tcW w:w="31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Dedicated voice, data, satellite fallback</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Fifteen minutes, around the clock</w:t>
            </w:r>
          </w:p>
        </w:tc>
      </w:tr>
      <w:tr>
        <w:trPr/>
        <w:tc>
          <w:tcPr>
            <w:tcW w:w="28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European maritime awareness liaison</w:t>
            </w:r>
          </w:p>
        </w:tc>
        <w:tc>
          <w:tcPr>
            <w:tcW w:w="31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Dedicated voice, data</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Thirty minutes, around the clock</w:t>
            </w:r>
          </w:p>
        </w:tc>
      </w:tr>
      <w:tr>
        <w:trPr/>
        <w:tc>
          <w:tcPr>
            <w:tcW w:w="287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Neutral Watch Office</w:t>
            </w:r>
          </w:p>
        </w:tc>
        <w:tc>
          <w:tcPr>
            <w:tcW w:w="317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Data, voice bridge</w:t>
            </w:r>
          </w:p>
        </w:tc>
        <w:tc>
          <w:tcPr>
            <w:tcW w:w="2976"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Fifteen minutes, around the clock</w:t>
            </w:r>
          </w:p>
        </w:tc>
      </w:tr>
    </w:tbl>
    <w:p>
      <w:pPr>
        <w:pStyle w:val="Normal"/>
        <w:bidi w:val="0"/>
        <w:spacing w:before="0" w:after="60"/>
        <w:jc w:val="left"/>
        <w:rPr/>
      </w:pPr>
      <w:r>
        <w:rPr/>
      </w:r>
    </w:p>
    <w:p>
      <w:pPr>
        <w:pStyle w:val="Heading2"/>
        <w:keepNext w:val="true"/>
        <w:keepLines/>
        <w:bidi w:val="0"/>
        <w:spacing w:before="380" w:after="140"/>
        <w:jc w:val="left"/>
        <w:rPr/>
      </w:pPr>
      <w:bookmarkStart w:id="105" w:name="__RefHeading___Toc3407_2451594232"/>
      <w:bookmarkEnd w:id="105"/>
      <w:r>
        <w:rPr>
          <w:rFonts w:eastAsia="Microsoft YaHei"/>
          <w:b/>
          <w:color w:val="1F3550"/>
          <w:sz w:val="27"/>
        </w:rPr>
        <w:t>E.2 Message Classes and Forms</w:t>
      </w:r>
    </w:p>
    <w:p>
      <w:pPr>
        <w:pStyle w:val="Normal"/>
        <w:bidi w:val="0"/>
        <w:spacing w:lineRule="auto" w:line="300" w:before="0" w:after="140"/>
        <w:jc w:val="both"/>
        <w:rPr/>
      </w:pPr>
      <w:r>
        <w:rPr>
          <w:rFonts w:eastAsia="Microsoft YaHei"/>
          <w:color w:val="2A2F36"/>
          <w:sz w:val="22"/>
        </w:rPr>
        <w:t>The network carries the four message classes of Article 31.2 on the standard forms of Annex I: routine notice (Form E-1), operational query (Form E-2), incident alert (Form E-3), and crisis call (Form E-4). Each form carries: sender node, recipient nodes, class, reference number, time, substance in plain operational language, requested action, and response clock. Plain language binds: no codes, no ambiguity, no political vocabulary on the operational net.</w:t>
      </w:r>
    </w:p>
    <w:p>
      <w:pPr>
        <w:pStyle w:val="Heading2"/>
        <w:keepNext w:val="true"/>
        <w:keepLines/>
        <w:bidi w:val="0"/>
        <w:spacing w:before="380" w:after="140"/>
        <w:jc w:val="left"/>
        <w:rPr/>
      </w:pPr>
      <w:bookmarkStart w:id="106" w:name="__RefHeading___Toc3409_2451594232"/>
      <w:bookmarkEnd w:id="106"/>
      <w:r>
        <w:rPr>
          <w:rFonts w:eastAsia="Microsoft YaHei"/>
          <w:b/>
          <w:color w:val="1F3550"/>
          <w:sz w:val="27"/>
        </w:rPr>
        <w:t>E.3 The Common Channel and Bridge Discipline</w:t>
      </w:r>
    </w:p>
    <w:p>
      <w:pPr>
        <w:pStyle w:val="Normal"/>
        <w:bidi w:val="0"/>
        <w:spacing w:lineRule="auto" w:line="300" w:before="0" w:after="140"/>
        <w:jc w:val="both"/>
        <w:rPr/>
      </w:pPr>
      <w:r>
        <w:rPr>
          <w:rFonts w:eastAsia="Microsoft YaHei"/>
          <w:color w:val="2A2F36"/>
          <w:sz w:val="22"/>
        </w:rPr>
        <w:t>The common bridge-to-bridge working channel operates on the published very high frequency assignments of Table E-2, with the international distress and safety channels guarded at all times. Corridor coordinators maintain continuous watch; commercial vessels maintain watch while underway in the Governance Area; military units maintain watch during any transit or exercise.</w:t>
      </w:r>
    </w:p>
    <w:p>
      <w:pPr>
        <w:pStyle w:val="Heading2"/>
        <w:keepNext w:val="true"/>
        <w:keepLines/>
        <w:bidi w:val="0"/>
        <w:spacing w:before="380" w:after="140"/>
        <w:jc w:val="left"/>
        <w:rPr/>
      </w:pPr>
      <w:bookmarkStart w:id="107" w:name="__RefHeading___Toc3411_2451594232"/>
      <w:bookmarkEnd w:id="107"/>
      <w:r>
        <w:rPr>
          <w:rFonts w:eastAsia="Microsoft YaHei"/>
          <w:b/>
          <w:color w:val="1F3550"/>
          <w:sz w:val="27"/>
        </w:rPr>
        <w:t>E.4 Recording and Custody</w:t>
      </w:r>
    </w:p>
    <w:p>
      <w:pPr>
        <w:pStyle w:val="Normal"/>
        <w:bidi w:val="0"/>
        <w:spacing w:lineRule="auto" w:line="300" w:before="0" w:after="140"/>
        <w:jc w:val="both"/>
        <w:rPr/>
      </w:pPr>
      <w:r>
        <w:rPr>
          <w:rFonts w:eastAsia="Microsoft YaHei"/>
          <w:color w:val="2A2F36"/>
          <w:sz w:val="22"/>
        </w:rPr>
        <w:t>Every exchange on the network records at both ends and at the Center. Custody follows the Intelligence Integrity Protocol: sources named, custody logged, access restricted to the mandate of this Pact. Article 36.5 binds every recording: data never serves kinetic action.</w:t>
      </w:r>
    </w:p>
    <w:p>
      <w:pPr>
        <w:pStyle w:val="Heading1"/>
        <w:keepNext w:val="true"/>
        <w:keepLines/>
        <w:pBdr>
          <w:bottom w:val="single" w:sz="8" w:space="6" w:color="9C7A2E"/>
        </w:pBdr>
        <w:bidi w:val="0"/>
        <w:spacing w:before="480" w:after="200"/>
        <w:jc w:val="left"/>
        <w:rPr/>
      </w:pPr>
      <w:bookmarkStart w:id="108" w:name="__RefHeading___Toc3413_2451594232"/>
      <w:bookmarkEnd w:id="108"/>
      <w:r>
        <w:rPr>
          <w:rFonts w:eastAsia="Microsoft YaHei"/>
          <w:b/>
          <w:color w:val="1F3550"/>
          <w:sz w:val="34"/>
        </w:rPr>
        <w:t>ANNEX F: CRISIS PROTOCOL CHECKLISTS</w:t>
      </w:r>
    </w:p>
    <w:p>
      <w:pPr>
        <w:pStyle w:val="Heading2"/>
        <w:keepNext w:val="true"/>
        <w:keepLines/>
        <w:bidi w:val="0"/>
        <w:spacing w:before="380" w:after="140"/>
        <w:jc w:val="left"/>
        <w:rPr/>
      </w:pPr>
      <w:bookmarkStart w:id="109" w:name="__RefHeading___Toc3415_2451594232"/>
      <w:bookmarkEnd w:id="109"/>
      <w:r>
        <w:rPr>
          <w:rFonts w:eastAsia="Microsoft YaHei"/>
          <w:b/>
          <w:color w:val="1F3550"/>
          <w:sz w:val="27"/>
        </w:rPr>
        <w:t>F.1 Level One, Watch</w:t>
      </w:r>
    </w:p>
    <w:p>
      <w:pPr>
        <w:pStyle w:val="Normal"/>
        <w:bidi w:val="0"/>
        <w:spacing w:lineRule="auto" w:line="300" w:before="0" w:after="140"/>
        <w:jc w:val="both"/>
        <w:rPr/>
      </w:pPr>
      <w:r>
        <w:rPr>
          <w:rFonts w:eastAsia="Microsoft YaHei"/>
          <w:color w:val="2A2F36"/>
          <w:sz w:val="22"/>
        </w:rPr>
        <w:t>Entry: the Corridor Operations Board declares Watch on a defined anomaly: an unexplained hazard contact, an identification blackout cluster, a weather system approaching corridor thresholds, or a verified report of planned interference. Duration: fourteen days, expiring automatically absent renewal on fresh evidence.</w:t>
      </w:r>
    </w:p>
    <w:p>
      <w:pPr>
        <w:pStyle w:val="Normal"/>
        <w:bidi w:val="0"/>
        <w:spacing w:lineRule="auto" w:line="300" w:before="0" w:after="140"/>
        <w:jc w:val="both"/>
        <w:rPr/>
      </w:pPr>
      <w:r>
        <w:rPr>
          <w:rFonts w:eastAsia="Microsoft YaHei"/>
          <w:color w:val="2A2F36"/>
          <w:sz w:val="22"/>
        </w:rPr>
        <w:t>Checklist on entry: notify all nodes on Form E-1; increase Bulletin frequency to every six hours; place the survey fleet on twelve-hour readiness; brief observer feeds; open a dedicated Audit data stream. Checklist on exit: Board minute recording resolution or escalation; public note on the portal.</w:t>
      </w:r>
    </w:p>
    <w:p>
      <w:pPr>
        <w:pStyle w:val="Heading2"/>
        <w:keepNext w:val="true"/>
        <w:keepLines/>
        <w:bidi w:val="0"/>
        <w:spacing w:before="380" w:after="140"/>
        <w:jc w:val="left"/>
        <w:rPr/>
      </w:pPr>
      <w:bookmarkStart w:id="110" w:name="__RefHeading___Toc3417_2451594232"/>
      <w:bookmarkEnd w:id="110"/>
      <w:r>
        <w:rPr>
          <w:rFonts w:eastAsia="Microsoft YaHei"/>
          <w:b/>
          <w:color w:val="1F3550"/>
          <w:sz w:val="27"/>
        </w:rPr>
        <w:t>F.2 Level Two, Alert</w:t>
      </w:r>
    </w:p>
    <w:p>
      <w:pPr>
        <w:pStyle w:val="Normal"/>
        <w:bidi w:val="0"/>
        <w:spacing w:lineRule="auto" w:line="300" w:before="0" w:after="140"/>
        <w:jc w:val="both"/>
        <w:rPr/>
      </w:pPr>
      <w:r>
        <w:rPr>
          <w:rFonts w:eastAsia="Microsoft YaHei"/>
          <w:color w:val="2A2F36"/>
          <w:sz w:val="22"/>
        </w:rPr>
        <w:t>Entry: Board declaration on a confirmed operational risk. Duration: seven days per renewal. Checklist on entry: convoy discipline activates in the affected corridor; patrol rotation moves to augmented posture; the liaison officers of Article 30.3 co-locate at the Center; daily director-level review; insurers receive a same-day data briefing. Checklist on exit: staged return to Normal over forty-eight hours, never an instant snap-back.</w:t>
      </w:r>
    </w:p>
    <w:p>
      <w:pPr>
        <w:pStyle w:val="Heading2"/>
        <w:keepNext w:val="true"/>
        <w:keepLines/>
        <w:bidi w:val="0"/>
        <w:spacing w:before="380" w:after="140"/>
        <w:jc w:val="left"/>
        <w:rPr/>
      </w:pPr>
      <w:bookmarkStart w:id="111" w:name="__RefHeading___Toc3419_2451594232"/>
      <w:bookmarkEnd w:id="111"/>
      <w:r>
        <w:rPr>
          <w:rFonts w:eastAsia="Microsoft YaHei"/>
          <w:b/>
          <w:color w:val="1F3550"/>
          <w:sz w:val="27"/>
        </w:rPr>
        <w:t>F.3 Level Three, Crisis</w:t>
      </w:r>
    </w:p>
    <w:p>
      <w:pPr>
        <w:pStyle w:val="Normal"/>
        <w:bidi w:val="0"/>
        <w:spacing w:lineRule="auto" w:line="300" w:before="0" w:after="140"/>
        <w:jc w:val="both"/>
        <w:rPr/>
      </w:pPr>
      <w:r>
        <w:rPr>
          <w:rFonts w:eastAsia="Microsoft YaHei"/>
          <w:color w:val="2A2F36"/>
          <w:sz w:val="22"/>
        </w:rPr>
        <w:t>Entry: Council declaration by consensus-minus-one on a material incident. Duration: seventy-two hours, stepping down automatically absent renewal. Checklist on entry: incident ladder to Level Four readiness; emergency session convenes; the forensic cell of Article 34 activates if attribution is contested; Flow State Emergency available in the affected cells; humanitarian bridge reconfirmed in writing by every node. Checklist during: Bulletin every three hours; Audit metrics hourly; no corridor closure to commercial traffic at any point.</w:t>
      </w:r>
    </w:p>
    <w:p>
      <w:pPr>
        <w:pStyle w:val="Heading2"/>
        <w:keepNext w:val="true"/>
        <w:keepLines/>
        <w:bidi w:val="0"/>
        <w:spacing w:before="380" w:after="140"/>
        <w:jc w:val="left"/>
        <w:rPr/>
      </w:pPr>
      <w:bookmarkStart w:id="112" w:name="__RefHeading___Toc3421_2451594232"/>
      <w:bookmarkEnd w:id="112"/>
      <w:r>
        <w:rPr>
          <w:rFonts w:eastAsia="Microsoft YaHei"/>
          <w:b/>
          <w:color w:val="1F3550"/>
          <w:sz w:val="27"/>
        </w:rPr>
        <w:t>F.4 Level Four, Severe Crisis</w:t>
      </w:r>
    </w:p>
    <w:p>
      <w:pPr>
        <w:pStyle w:val="Normal"/>
        <w:bidi w:val="0"/>
        <w:spacing w:lineRule="auto" w:line="300" w:before="0" w:after="140"/>
        <w:jc w:val="both"/>
        <w:rPr/>
      </w:pPr>
      <w:r>
        <w:rPr>
          <w:rFonts w:eastAsia="Microsoft YaHei"/>
          <w:color w:val="2A2F36"/>
          <w:sz w:val="22"/>
        </w:rPr>
        <w:t>Entry: Council declaration by consensus including the Twin Key, on a certified architectural event. Duration: forty-eight hours per renewal. Checklist: the Corridor Emergency Override available under Article 33.4; all military movements inside the Governance Area on hotline notice with twelve-hour windows; concentrated routing through certified-clear corridors; the political track anchor convenes the participants within twenty-four hours. The Five Standing Rules continue to bind in full.</w:t>
      </w:r>
    </w:p>
    <w:p>
      <w:pPr>
        <w:pStyle w:val="Heading2"/>
        <w:keepNext w:val="true"/>
        <w:keepLines/>
        <w:bidi w:val="0"/>
        <w:spacing w:before="380" w:after="140"/>
        <w:jc w:val="left"/>
        <w:rPr/>
      </w:pPr>
      <w:bookmarkStart w:id="113" w:name="__RefHeading___Toc3423_2451594232"/>
      <w:bookmarkEnd w:id="113"/>
      <w:r>
        <w:rPr>
          <w:rFonts w:eastAsia="Microsoft YaHei"/>
          <w:b/>
          <w:color w:val="1F3550"/>
          <w:sz w:val="27"/>
        </w:rPr>
        <w:t>F.5 Level Five, Maximum</w:t>
      </w:r>
    </w:p>
    <w:p>
      <w:pPr>
        <w:pStyle w:val="Normal"/>
        <w:bidi w:val="0"/>
        <w:spacing w:lineRule="auto" w:line="300" w:before="0" w:after="140"/>
        <w:jc w:val="both"/>
        <w:rPr/>
      </w:pPr>
      <w:r>
        <w:rPr>
          <w:rFonts w:eastAsia="Microsoft YaHei"/>
          <w:color w:val="2A2F36"/>
          <w:sz w:val="22"/>
        </w:rPr>
        <w:t>Entry: consensus including the Twin Key, on an imminent threat to life or to the physical integrity of the corridors. Duration: forty-eight hours per renewal, each renewal on fresh certified evidence. Checklist: Override active; survey and rescue fleets surge; commercial routing concentrates in the safest certified corridor under convoy; the Depositary notifies the International Maritime Organization and the United Nations Secretary-General; daily public briefings. Even at Maximum: transit continues, the Bridge runs, the Covenant holds.</w:t>
      </w:r>
    </w:p>
    <w:p>
      <w:pPr>
        <w:pStyle w:val="Heading2"/>
        <w:keepNext w:val="true"/>
        <w:keepLines/>
        <w:bidi w:val="0"/>
        <w:spacing w:before="380" w:after="140"/>
        <w:jc w:val="left"/>
        <w:rPr/>
      </w:pPr>
      <w:bookmarkStart w:id="114" w:name="__RefHeading___Toc3425_2451594232"/>
      <w:bookmarkEnd w:id="114"/>
      <w:r>
        <w:rPr>
          <w:rFonts w:eastAsia="Microsoft YaHei"/>
          <w:b/>
          <w:color w:val="1F3550"/>
          <w:sz w:val="27"/>
        </w:rPr>
        <w:t>F.6 The Mine-Risk Response Protocol</w:t>
      </w:r>
    </w:p>
    <w:p>
      <w:pPr>
        <w:pStyle w:val="Normal"/>
        <w:bidi w:val="0"/>
        <w:spacing w:lineRule="auto" w:line="300" w:before="0" w:after="140"/>
        <w:jc w:val="both"/>
        <w:rPr/>
      </w:pPr>
      <w:r>
        <w:rPr>
          <w:rFonts w:eastAsia="Microsoft YaHei"/>
          <w:color w:val="2A2F36"/>
          <w:sz w:val="22"/>
        </w:rPr>
        <w:t>On discovery of a mine or mine-like object: immediate cell warning on all channels; traffic hold in the affected cell with diversion through Corridor Two; paired observation and forensic recording of the object; neutralization by the Group under international technical observation; evidence package to the Neutral Watch Office within six hours; portal notice within twelve hours. Origin questions route to Article 34 and never to immediate attribution.</w:t>
      </w:r>
    </w:p>
    <w:p>
      <w:pPr>
        <w:pStyle w:val="Heading2"/>
        <w:keepNext w:val="true"/>
        <w:keepLines/>
        <w:bidi w:val="0"/>
        <w:spacing w:before="380" w:after="140"/>
        <w:jc w:val="left"/>
        <w:rPr/>
      </w:pPr>
      <w:bookmarkStart w:id="115" w:name="__RefHeading___Toc3427_2451594232"/>
      <w:bookmarkEnd w:id="115"/>
      <w:r>
        <w:rPr>
          <w:rFonts w:eastAsia="Microsoft YaHei"/>
          <w:b/>
          <w:color w:val="1F3550"/>
          <w:sz w:val="27"/>
        </w:rPr>
        <w:t>F.7 Pre-Activation Readiness Checklist</w:t>
      </w:r>
    </w:p>
    <w:p>
      <w:pPr>
        <w:pStyle w:val="Normal"/>
        <w:bidi w:val="0"/>
        <w:spacing w:lineRule="auto" w:line="300" w:before="0" w:after="140"/>
        <w:jc w:val="both"/>
        <w:rPr/>
      </w:pPr>
      <w:r>
        <w:rPr>
          <w:rFonts w:eastAsia="Microsoft YaHei"/>
          <w:color w:val="2A2F36"/>
          <w:sz w:val="22"/>
        </w:rPr>
        <w:t>Before Activation Day, each participant completes: deposit of its Minimal Viable Opening Package elements; positioning of liaison officers; test of its hotline node at full standard; pre-clearance of its certificates; briefing of its port and customs functions on the filing regime; and written confirmation to the Depositary. The Depositary declares Activation Day only with every readiness confirmation on file.</w:t>
      </w:r>
    </w:p>
    <w:p>
      <w:pPr>
        <w:pStyle w:val="Heading1"/>
        <w:keepNext w:val="true"/>
        <w:keepLines/>
        <w:pBdr>
          <w:bottom w:val="single" w:sz="8" w:space="6" w:color="9C7A2E"/>
        </w:pBdr>
        <w:bidi w:val="0"/>
        <w:spacing w:before="480" w:after="200"/>
        <w:jc w:val="left"/>
        <w:rPr/>
      </w:pPr>
      <w:bookmarkStart w:id="116" w:name="__RefHeading___Toc3429_2451594232"/>
      <w:bookmarkEnd w:id="116"/>
      <w:r>
        <w:rPr>
          <w:rFonts w:eastAsia="Microsoft YaHei"/>
          <w:b/>
          <w:color w:val="1F3550"/>
          <w:sz w:val="34"/>
        </w:rPr>
        <w:t>ANNEX G: THE RED LINES REGISTER (FULL OPERATIVE TEXT)</w:t>
      </w:r>
    </w:p>
    <w:p>
      <w:pPr>
        <w:pStyle w:val="Heading2"/>
        <w:keepNext w:val="true"/>
        <w:keepLines/>
        <w:bidi w:val="0"/>
        <w:spacing w:before="380" w:after="140"/>
        <w:jc w:val="left"/>
        <w:rPr/>
      </w:pPr>
      <w:bookmarkStart w:id="117" w:name="__RefHeading___Toc3431_2451594232"/>
      <w:bookmarkEnd w:id="117"/>
      <w:r>
        <w:rPr>
          <w:rFonts w:eastAsia="Microsoft YaHei"/>
          <w:b/>
          <w:color w:val="1F3550"/>
          <w:sz w:val="27"/>
        </w:rPr>
        <w:t>G.1 The Register</w:t>
      </w:r>
    </w:p>
    <w:p>
      <w:pPr>
        <w:pStyle w:val="Normal"/>
        <w:bidi w:val="0"/>
        <w:spacing w:lineRule="auto" w:line="300" w:before="0" w:after="140"/>
        <w:jc w:val="both"/>
        <w:rPr/>
      </w:pPr>
      <w:r>
        <w:rPr>
          <w:rFonts w:eastAsia="Microsoft YaHei"/>
          <w:color w:val="2A2F36"/>
          <w:sz w:val="22"/>
        </w:rPr>
        <w:t>Table G-1 states the registered lines, their holders, and the design consequence that protects each line. Article 6 governs the Register's operation, and the Perimeter Test screens every measure against it.</w:t>
      </w:r>
    </w:p>
    <w:tbl>
      <w:tblPr>
        <w:tblW w:w="5000" w:type="pct"/>
        <w:jc w:val="left"/>
        <w:tblInd w:w="-8" w:type="dxa"/>
        <w:tblLayout w:type="fixed"/>
        <w:tblCellMar>
          <w:top w:w="60" w:type="dxa"/>
          <w:left w:w="100" w:type="dxa"/>
          <w:bottom w:w="60" w:type="dxa"/>
          <w:right w:w="100" w:type="dxa"/>
        </w:tblCellMar>
      </w:tblPr>
      <w:tblGrid>
        <w:gridCol w:w="3569"/>
        <w:gridCol w:w="2580"/>
        <w:gridCol w:w="2877"/>
      </w:tblGrid>
      <w:tr>
        <w:trPr>
          <w:tblHeader w:val="true"/>
          <w:cantSplit w:val="true"/>
        </w:trPr>
        <w:tc>
          <w:tcPr>
            <w:tcW w:w="3569"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Registered Line</w:t>
            </w:r>
          </w:p>
        </w:tc>
        <w:tc>
          <w:tcPr>
            <w:tcW w:w="25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Holder</w:t>
            </w:r>
          </w:p>
        </w:tc>
        <w:tc>
          <w:tcPr>
            <w:tcW w:w="2877"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Design Consequence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toll on passage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Gulf states, industry</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Zero-Toll Covenant; substance test; automatic strike on failing charges</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permission regime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industry</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File-and-acknowledge; sixty-minute silence equals acknowledgment; no approval step</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unilateral control of the Strait</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Gulf Cooperation Council</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Twin Key; paired authority; consensus-minus-one on substance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Recognized coastal stewardship role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 Oman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Corridor coordinator functions; catalog revenue for real services; permanent Council seats</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foreign command over the architecture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 Oman, Gulf states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Bounded endorsing tier; no command right for any external power</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End of the blockade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Synchronized relief track; Gate Three completes drawdown</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End of strikes on Iranian territory</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Standstill architecture; crisis protocol; political track anchor</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End of attacks on shipping</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Gulf states, industry</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Non-interdiction protocol; Compliance Engine Tier Three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Lawful compensation for real services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Service Distinction; closed catalog; cost-based rates</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Sanctions-compatible payment channels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Oman, contributors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Neutral escrow; Custodian; firewall licenses of Table N-3</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Sovereignty and boundaries untouched</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All littoral states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Non-prejudice rule of Article 2.3 applied to every coordinate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mines in the Strait</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Structural exclusion of Article 16.1; survey and clearance program</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Humanitarian cargo moves first</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Bridge; the Firewall; priority certification in one hour</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Data never serves kinetic action</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 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Intelligence Integrity Protocol; Article 36.5 absolute rule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Transparency and seats for Gulf states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Gulf Cooperation Council, Iraq</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Observer Member tier with full picture access</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Verification acceptable to all</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Iran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Three-pillar convergence; paired human certification</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Neutrality and quiet process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Oman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Mediator of Record; silence procedure options; Depositary role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precedent for tolls in other straits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Industry, maritime states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Covenant drafted as declaratory of existing law, never as a new charge model</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Cost certainty for operators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Industry</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Rate card annual lock; Heavy-User Cap; Pool tier formula</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Continuity regardless of politics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Standing Continuity Guarantee; Archive locks; mirror facility</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The Strait never reverts to unmanaged passage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Permanent charter; no sunset; Twin Key permanence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third-state clearance activity without coastal invitation</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 Oman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Group tasking order under Founding Parties' joint authority</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Acknowledgment and hearing for alleged violations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Attribution protocol; fourteen-day forensics; dissent preserved</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direct-contact requirement between adversaries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 United States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Intermediary bridge; deposit-by-instrument signing</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Immediate relief for stranded mariners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Article 51.4 absolute claim</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Crisis-speed timeline that never trades proof for haste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Emergency Acceleration compresses schedule, never metrics</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linkage to the nuclear file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 United States, 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Article 36 firewall; Annex P protocol</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 regime change as an instrument of policy</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Iran, 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Preamble principle; no provision references internal governance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Guaranteed naval transit for all maritime states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United States, all participants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Article 21 continuous guarantee; Annex O interface</w:t>
            </w:r>
          </w:p>
        </w:tc>
      </w:tr>
      <w:tr>
        <w:trPr/>
        <w:tc>
          <w:tcPr>
            <w:tcW w:w="3569"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Verification without humiliation</w:t>
            </w:r>
          </w:p>
        </w:tc>
        <w:tc>
          <w:tcPr>
            <w:tcW w:w="25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Iran</w:t>
            </w:r>
          </w:p>
        </w:tc>
        <w:tc>
          <w:tcPr>
            <w:tcW w:w="2877"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Published procedures; symmetry; professional record language</w:t>
            </w:r>
          </w:p>
        </w:tc>
      </w:tr>
    </w:tbl>
    <w:p>
      <w:pPr>
        <w:pStyle w:val="Normal"/>
        <w:bidi w:val="0"/>
        <w:spacing w:before="0" w:after="60"/>
        <w:jc w:val="left"/>
        <w:rPr/>
      </w:pPr>
      <w:r>
        <w:rPr/>
      </w:r>
    </w:p>
    <w:p>
      <w:pPr>
        <w:pStyle w:val="Heading2"/>
        <w:keepNext w:val="true"/>
        <w:keepLines/>
        <w:bidi w:val="0"/>
        <w:spacing w:before="380" w:after="140"/>
        <w:jc w:val="left"/>
        <w:rPr/>
      </w:pPr>
      <w:bookmarkStart w:id="118" w:name="__RefHeading___Toc3433_2451594232"/>
      <w:bookmarkEnd w:id="118"/>
      <w:r>
        <w:rPr>
          <w:rFonts w:eastAsia="Microsoft YaHei"/>
          <w:b/>
          <w:color w:val="1F3550"/>
          <w:sz w:val="27"/>
        </w:rPr>
        <w:t>G.2 Registration and Amendment of Lines</w:t>
      </w:r>
    </w:p>
    <w:p>
      <w:pPr>
        <w:pStyle w:val="Normal"/>
        <w:bidi w:val="0"/>
        <w:spacing w:lineRule="auto" w:line="300" w:before="0" w:after="140"/>
        <w:jc w:val="both"/>
        <w:rPr/>
      </w:pPr>
      <w:r>
        <w:rPr>
          <w:rFonts w:eastAsia="Microsoft YaHei"/>
          <w:color w:val="2A2F36"/>
          <w:sz w:val="22"/>
        </w:rPr>
        <w:t>A participant registers a new line by written filing with the Council, stating the line, its holder, and its proposed design consequence. The registration takes effect on filing, and the Council assigns the design consequence at its next session. No line deletes or dilutes without its holder's written concurrence. The Register publishes in full on the portal; it operates as public constitutional fact, not as secret diplomacy.</w:t>
      </w:r>
    </w:p>
    <w:p>
      <w:pPr>
        <w:pStyle w:val="Heading2"/>
        <w:keepNext w:val="true"/>
        <w:keepLines/>
        <w:bidi w:val="0"/>
        <w:spacing w:before="380" w:after="140"/>
        <w:jc w:val="left"/>
        <w:rPr/>
      </w:pPr>
      <w:bookmarkStart w:id="119" w:name="__RefHeading___Toc3435_2451594232"/>
      <w:bookmarkEnd w:id="119"/>
      <w:r>
        <w:rPr>
          <w:rFonts w:eastAsia="Microsoft YaHei"/>
          <w:b/>
          <w:color w:val="1F3550"/>
          <w:sz w:val="27"/>
        </w:rPr>
        <w:t>G.3 The Perimeter Test Procedure</w:t>
      </w:r>
    </w:p>
    <w:p>
      <w:pPr>
        <w:pStyle w:val="Normal"/>
        <w:bidi w:val="0"/>
        <w:spacing w:lineRule="auto" w:line="300" w:before="0" w:after="140"/>
        <w:jc w:val="both"/>
        <w:rPr/>
      </w:pPr>
      <w:r>
        <w:rPr>
          <w:rFonts w:eastAsia="Microsoft YaHei"/>
          <w:color w:val="2A2F36"/>
          <w:sz w:val="22"/>
        </w:rPr>
        <w:t>The drafter of any measure attaches a Perimeter Test memo: the lines touched, the crossing analysis, and the redesign if any. The Neutral Watch Office reviews every memo, and any participant refers any measure for testing. A measure that crosses a line carries no effect from proposal. The test's rulings accumulate as published precedent, forming the case law of the architecture.</w:t>
      </w:r>
    </w:p>
    <w:p>
      <w:pPr>
        <w:pStyle w:val="Heading1"/>
        <w:keepNext w:val="true"/>
        <w:keepLines/>
        <w:pBdr>
          <w:bottom w:val="single" w:sz="8" w:space="6" w:color="9C7A2E"/>
        </w:pBdr>
        <w:bidi w:val="0"/>
        <w:spacing w:before="480" w:after="200"/>
        <w:jc w:val="left"/>
        <w:rPr/>
      </w:pPr>
      <w:bookmarkStart w:id="120" w:name="__RefHeading___Toc3437_2451594232"/>
      <w:bookmarkEnd w:id="120"/>
      <w:r>
        <w:rPr>
          <w:rFonts w:eastAsia="Microsoft YaHei"/>
          <w:b/>
          <w:color w:val="1F3550"/>
          <w:sz w:val="34"/>
        </w:rPr>
        <w:t>ANNEX H: MASTER TIMELINE AND GATE SCHEDULE</w:t>
      </w:r>
    </w:p>
    <w:p>
      <w:pPr>
        <w:pStyle w:val="Heading2"/>
        <w:keepNext w:val="true"/>
        <w:keepLines/>
        <w:bidi w:val="0"/>
        <w:spacing w:before="380" w:after="140"/>
        <w:jc w:val="left"/>
        <w:rPr/>
      </w:pPr>
      <w:bookmarkStart w:id="121" w:name="__RefHeading___Toc3439_2451594232"/>
      <w:bookmarkEnd w:id="121"/>
      <w:r>
        <w:rPr>
          <w:rFonts w:eastAsia="Microsoft YaHei"/>
          <w:b/>
          <w:color w:val="1F3550"/>
          <w:sz w:val="27"/>
        </w:rPr>
        <w:t>H.1 The Consolidated Schedule</w:t>
      </w:r>
    </w:p>
    <w:p>
      <w:pPr>
        <w:pStyle w:val="Normal"/>
        <w:bidi w:val="0"/>
        <w:spacing w:lineRule="auto" w:line="300" w:before="0" w:after="140"/>
        <w:jc w:val="both"/>
        <w:rPr/>
      </w:pPr>
      <w:r>
        <w:rPr>
          <w:rFonts w:eastAsia="Microsoft YaHei"/>
          <w:color w:val="2A2F36"/>
          <w:sz w:val="22"/>
        </w:rPr>
        <w:t>Table H-1 consolidates the layers, gates, tranches, and milestones of Part X into the master public schedule. The Secretariat versions this Annex and mirrors it on the portal.</w:t>
      </w:r>
    </w:p>
    <w:tbl>
      <w:tblPr>
        <w:tblW w:w="5000" w:type="pct"/>
        <w:jc w:val="left"/>
        <w:tblInd w:w="-8" w:type="dxa"/>
        <w:tblLayout w:type="fixed"/>
        <w:tblCellMar>
          <w:top w:w="60" w:type="dxa"/>
          <w:left w:w="100" w:type="dxa"/>
          <w:bottom w:w="60" w:type="dxa"/>
          <w:right w:w="100" w:type="dxa"/>
        </w:tblCellMar>
      </w:tblPr>
      <w:tblGrid>
        <w:gridCol w:w="1487"/>
        <w:gridCol w:w="3075"/>
        <w:gridCol w:w="2281"/>
        <w:gridCol w:w="2182"/>
      </w:tblGrid>
      <w:tr>
        <w:trPr>
          <w:tblHeader w:val="true"/>
          <w:cantSplit w:val="true"/>
        </w:trPr>
        <w:tc>
          <w:tcPr>
            <w:tcW w:w="1487"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Day</w:t>
            </w:r>
          </w:p>
        </w:tc>
        <w:tc>
          <w:tcPr>
            <w:tcW w:w="3075"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Layer and Gate</w:t>
            </w:r>
          </w:p>
        </w:tc>
        <w:tc>
          <w:tcPr>
            <w:tcW w:w="228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Maritime Content</w:t>
            </w:r>
          </w:p>
        </w:tc>
        <w:tc>
          <w:tcPr>
            <w:tcW w:w="2182"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Relief and Economic Content</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0</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Layer Zero begins; Gate Zero</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Standstill; hotline live; fused picture up; escrow confirmed</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Blockade drawdown Step One begins; humanitarian releases</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1</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Layer Zero</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Buffer corridor active; guidance published</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Insurance bridge pre-clearance circulates</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2</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Layer Zero</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Outbound corridor active; survey fleet in median lane</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Pool interim tier preparation completes</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3</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One</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All corridors open; first convoys complete; Audit baseline opens</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Tranche One executes; interim risk tier posts</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7</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Layer One</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Data layer stabilizing; micro-exercise clusters running daily</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Facility project pipeline opens for submissions</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14</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Two</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Data layer certified; clean incident log</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Tranche Two executes; first Facility projects approve</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21</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Layer Two</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Convoy discipline routine; flow states on objective triggers</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Port call normalization planning publishes</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30</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Three</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Median lane clearance certified; wartime lanes sunset complete</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Tranche Three executes; blockade drawdown completes</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38</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Layer Three</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Pilot rates live; Fund disbursing against the ledger</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Banking channels for lawful trade expand under firewall</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45</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Four</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Financial layer certified; routing success at standard</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Pool risk-tier reduction; Fourth tranche preparation</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52</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Layer Four</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Patrol rotation full; dispute bands take first referrals</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Technical assistance programs launch</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60</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Gate Five</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Oversight layer certified; first formal Audit gate review</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Tranche Four executes; Facility window widens</w:t>
            </w:r>
          </w:p>
        </w:tc>
      </w:tr>
      <w:tr>
        <w:trPr/>
        <w:tc>
          <w:tcPr>
            <w:tcW w:w="148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Day 75</w:t>
            </w:r>
          </w:p>
        </w:tc>
        <w:tc>
          <w:tcPr>
            <w:tcW w:w="3075"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Layer Five</w:t>
            </w:r>
          </w:p>
        </w:tc>
        <w:tc>
          <w:tcPr>
            <w:tcW w:w="228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Full verification access routine; surveyed coordinate review</w:t>
            </w:r>
          </w:p>
        </w:tc>
        <w:tc>
          <w:tcPr>
            <w:tcW w:w="2182"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Normalization track steady-state planning</w:t>
            </w:r>
          </w:p>
        </w:tc>
      </w:tr>
      <w:tr>
        <w:trPr/>
        <w:tc>
          <w:tcPr>
            <w:tcW w:w="1487"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Day 90</w:t>
            </w:r>
          </w:p>
        </w:tc>
        <w:tc>
          <w:tcPr>
            <w:tcW w:w="3075"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Gate Six</w:t>
            </w:r>
          </w:p>
        </w:tc>
        <w:tc>
          <w:tcPr>
            <w:tcW w:w="228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Full operating capability; surveyed coordinates publish; permanent charter locks</w:t>
            </w:r>
          </w:p>
        </w:tc>
        <w:tc>
          <w:tcPr>
            <w:tcW w:w="2182"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Normalization steady state; Archive locks all gates</w:t>
            </w:r>
          </w:p>
        </w:tc>
      </w:tr>
    </w:tbl>
    <w:p>
      <w:pPr>
        <w:pStyle w:val="Normal"/>
        <w:bidi w:val="0"/>
        <w:spacing w:before="0" w:after="60"/>
        <w:jc w:val="left"/>
        <w:rPr/>
      </w:pPr>
      <w:r>
        <w:rPr/>
      </w:r>
    </w:p>
    <w:p>
      <w:pPr>
        <w:pStyle w:val="Heading2"/>
        <w:keepNext w:val="true"/>
        <w:keepLines/>
        <w:bidi w:val="0"/>
        <w:spacing w:before="380" w:after="140"/>
        <w:jc w:val="left"/>
        <w:rPr/>
      </w:pPr>
      <w:bookmarkStart w:id="122" w:name="__RefHeading___Toc3441_2451594232"/>
      <w:bookmarkEnd w:id="122"/>
      <w:r>
        <w:rPr>
          <w:rFonts w:eastAsia="Microsoft YaHei"/>
          <w:b/>
          <w:color w:val="1F3550"/>
          <w:sz w:val="27"/>
        </w:rPr>
        <w:t>H.2 The Four Relief Tranches</w:t>
      </w:r>
    </w:p>
    <w:p>
      <w:pPr>
        <w:pStyle w:val="Normal"/>
        <w:bidi w:val="0"/>
        <w:spacing w:lineRule="auto" w:line="300" w:before="0" w:after="140"/>
        <w:jc w:val="both"/>
        <w:rPr/>
      </w:pPr>
      <w:r>
        <w:rPr>
          <w:rFonts w:eastAsia="Microsoft YaHei"/>
          <w:color w:val="2A2F36"/>
          <w:sz w:val="22"/>
        </w:rPr>
        <w:t>Tranche One, paired to Gate One: drawdown of the naval blockade to partial lifting; release of detained cargoes and clearance of humanitarian shipments; first insurance normalization step. Tranche Two, paired to Gate Two: expansion of lawful trade channels under the firewall; approval of the first Facility projects; remittance channel facilitation. Tranche Three, paired to Gate Three: completion of the blockade drawdown; normalization of port calls; widening of energy sale channels through existing third-state frameworks. Tranche Four, paired to Gate Five: the reconstruction window opens at scale; frozen asset channels operate through the firewall under Annex N; the Facility's first coastal province projects break ground.</w:t>
      </w:r>
    </w:p>
    <w:p>
      <w:pPr>
        <w:pStyle w:val="Heading2"/>
        <w:keepNext w:val="true"/>
        <w:keepLines/>
        <w:bidi w:val="0"/>
        <w:spacing w:before="380" w:after="140"/>
        <w:jc w:val="left"/>
        <w:rPr/>
      </w:pPr>
      <w:bookmarkStart w:id="123" w:name="__RefHeading___Toc3443_2451594232"/>
      <w:bookmarkEnd w:id="123"/>
      <w:r>
        <w:rPr>
          <w:rFonts w:eastAsia="Microsoft YaHei"/>
          <w:b/>
          <w:color w:val="1F3550"/>
          <w:sz w:val="27"/>
        </w:rPr>
        <w:t>H.3 Acceleration and Slippage</w:t>
      </w:r>
    </w:p>
    <w:p>
      <w:pPr>
        <w:pStyle w:val="Normal"/>
        <w:bidi w:val="0"/>
        <w:spacing w:lineRule="auto" w:line="300" w:before="0" w:after="140"/>
        <w:jc w:val="both"/>
        <w:rPr/>
      </w:pPr>
      <w:r>
        <w:rPr>
          <w:rFonts w:eastAsia="Microsoft YaHei"/>
          <w:color w:val="2A2F36"/>
          <w:sz w:val="22"/>
        </w:rPr>
        <w:t>The Emergency Acceleration Clause of Article 50 compresses this schedule by up to one half on its stated certifications. The slippage protocol of Article 48.2 marks gates yellow at fourteen days and red at thirty, with the Council convening within seven days of red. Neither acceleration nor slippage touches the Five Standing Rules.</w:t>
      </w:r>
    </w:p>
    <w:p>
      <w:pPr>
        <w:pStyle w:val="Heading1"/>
        <w:keepNext w:val="true"/>
        <w:keepLines/>
        <w:pBdr>
          <w:bottom w:val="single" w:sz="8" w:space="6" w:color="9C7A2E"/>
        </w:pBdr>
        <w:bidi w:val="0"/>
        <w:spacing w:before="480" w:after="200"/>
        <w:jc w:val="left"/>
        <w:rPr/>
      </w:pPr>
      <w:bookmarkStart w:id="124" w:name="__RefHeading___Toc3445_2451594232"/>
      <w:bookmarkEnd w:id="124"/>
      <w:r>
        <w:rPr>
          <w:rFonts w:eastAsia="Microsoft YaHei"/>
          <w:b/>
          <w:color w:val="1F3550"/>
          <w:sz w:val="34"/>
        </w:rPr>
        <w:t>ANNEX I: STANDARD FORMS AND CERTIFICATES</w:t>
      </w:r>
    </w:p>
    <w:p>
      <w:pPr>
        <w:pStyle w:val="Heading2"/>
        <w:keepNext w:val="true"/>
        <w:keepLines/>
        <w:bidi w:val="0"/>
        <w:spacing w:before="380" w:after="140"/>
        <w:jc w:val="left"/>
        <w:rPr/>
      </w:pPr>
      <w:bookmarkStart w:id="125" w:name="__RefHeading___Toc3447_2451594232"/>
      <w:bookmarkEnd w:id="125"/>
      <w:r>
        <w:rPr>
          <w:rFonts w:eastAsia="Microsoft YaHei"/>
          <w:b/>
          <w:color w:val="1F3550"/>
          <w:sz w:val="27"/>
        </w:rPr>
        <w:t>I.1 The Form Set</w:t>
      </w:r>
    </w:p>
    <w:p>
      <w:pPr>
        <w:pStyle w:val="Normal"/>
        <w:bidi w:val="0"/>
        <w:spacing w:lineRule="auto" w:line="300" w:before="0" w:after="140"/>
        <w:jc w:val="both"/>
        <w:rPr/>
      </w:pPr>
      <w:r>
        <w:rPr>
          <w:rFonts w:eastAsia="Microsoft YaHei"/>
          <w:color w:val="2A2F36"/>
          <w:sz w:val="22"/>
        </w:rPr>
        <w:t>The Pact operates on twelve standard forms. Each form carries plain language, a reference number, and a signature block naming the certifying humans by name and nationality. The Secretariat versions the forms and publishes them on the portal.</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I-1, Transit Declaration: the twelve fields of Annex B.1, with the acknowledgment block completing within sixty minutes.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I-2, Priority Humanitarian Certificate: cargo category, relief consignee, Bridge slot, green-route designation, one-hour clock notation.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I-3, Gate Certificate: gate number, evidence index, certifier names, twin signatures where the Twin Key applies, and the Archive entry number.</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I-4, Clearance Certificate: lane or area, survey track reference, technical liaison confirmation, paired observer signatures.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I-5, Incident Entry: the log format of Annex B.5.</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I-6, Hotline Message: the four message classes of Annex E.2.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I-7, Service Delivery Certificate: catalog service, vessel or user, cost line, delivery evidence, Ledger entry number.</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I-8, Substance Test Referral: the payment flow described, the indicia observed, the referral date, the fourteen-day clock.</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I-9, Red Line Registration: the line, the holder, the proposed design consequence, the filing date.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I-10, Notification of Test or Exercise: the format of Annex Q.</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I-11, Accession Instrument: the accession tier, the depositary receipt, the fast-track election if any.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Form I-12, Stability Audit Gate Report: the five domain scores, the outcome, the named adjustments if any.</w:t>
      </w:r>
    </w:p>
    <w:p>
      <w:pPr>
        <w:pStyle w:val="Heading2"/>
        <w:keepNext w:val="true"/>
        <w:keepLines/>
        <w:bidi w:val="0"/>
        <w:spacing w:before="380" w:after="140"/>
        <w:jc w:val="left"/>
        <w:rPr/>
      </w:pPr>
      <w:bookmarkStart w:id="126" w:name="__RefHeading___Toc3449_2451594232"/>
      <w:bookmarkEnd w:id="126"/>
      <w:r>
        <w:rPr>
          <w:rFonts w:eastAsia="Microsoft YaHei"/>
          <w:b/>
          <w:color w:val="1F3550"/>
          <w:sz w:val="27"/>
        </w:rPr>
        <w:t>I.2 Completion Standards</w:t>
      </w:r>
    </w:p>
    <w:p>
      <w:pPr>
        <w:pStyle w:val="Normal"/>
        <w:bidi w:val="0"/>
        <w:spacing w:lineRule="auto" w:line="300" w:before="0" w:after="140"/>
        <w:jc w:val="both"/>
        <w:rPr/>
      </w:pPr>
      <w:r>
        <w:rPr>
          <w:rFonts w:eastAsia="Microsoft YaHei"/>
          <w:color w:val="2A2F36"/>
          <w:sz w:val="22"/>
        </w:rPr>
        <w:t>Every form completes in plain operational language. A form with a false statement routes to Tier Three review under Article 45.5 where the falsity is intentional, and to Tier One correction where it is clerical. The human signature on a certificate constitutes a personal professional attestation by a named, trained observer; this is the human anchor of the verification doctrine, and the architecture treats it as sacred.</w:t>
      </w:r>
    </w:p>
    <w:p>
      <w:pPr>
        <w:pStyle w:val="Heading1"/>
        <w:keepNext w:val="true"/>
        <w:keepLines/>
        <w:pBdr>
          <w:bottom w:val="single" w:sz="8" w:space="6" w:color="9C7A2E"/>
        </w:pBdr>
        <w:bidi w:val="0"/>
        <w:spacing w:before="480" w:after="200"/>
        <w:jc w:val="left"/>
        <w:rPr/>
      </w:pPr>
      <w:bookmarkStart w:id="127" w:name="__RefHeading___Toc3451_2451594232"/>
      <w:bookmarkEnd w:id="127"/>
      <w:r>
        <w:rPr>
          <w:rFonts w:eastAsia="Microsoft YaHei"/>
          <w:b/>
          <w:color w:val="1F3550"/>
          <w:sz w:val="34"/>
        </w:rPr>
        <w:t>ANNEX J: OPERATIVE DEFINITIONS</w:t>
      </w:r>
    </w:p>
    <w:p>
      <w:pPr>
        <w:pStyle w:val="Heading2"/>
        <w:keepNext w:val="true"/>
        <w:keepLines/>
        <w:bidi w:val="0"/>
        <w:spacing w:before="380" w:after="140"/>
        <w:jc w:val="left"/>
        <w:rPr/>
      </w:pPr>
      <w:bookmarkStart w:id="128" w:name="__RefHeading___Toc3453_2451594232"/>
      <w:bookmarkEnd w:id="128"/>
      <w:r>
        <w:rPr>
          <w:rFonts w:eastAsia="Microsoft YaHei"/>
          <w:b/>
          <w:color w:val="1F3550"/>
          <w:sz w:val="27"/>
        </w:rPr>
        <w:t>J.1 Definitions</w:t>
      </w:r>
    </w:p>
    <w:p>
      <w:pPr>
        <w:pStyle w:val="Normal"/>
        <w:bidi w:val="0"/>
        <w:spacing w:lineRule="auto" w:line="300" w:before="0" w:after="140"/>
        <w:jc w:val="both"/>
        <w:rPr/>
      </w:pPr>
      <w:r>
        <w:rPr>
          <w:rFonts w:eastAsia="Microsoft YaHei"/>
          <w:color w:val="2A2F36"/>
          <w:sz w:val="22"/>
        </w:rPr>
        <w:t>In this Pact, including every Annex, the following terms carry the following meanings: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Activation Day: the day defined by Article 7.2, declared by the Depositary at Hour Zero.</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Architecture: the totality of institutions, corridors, procedures, financial channels, verification systems, and compliance mechanics established by this Pact.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Archive, Forward Drift: the registry of locked verified gains under Article 46.</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Audit, Stability: the continuous measurement system of Article 44 and Annex 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Bridge, Humanitarian: the standing priority channel of Article 10.</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Bridge, Intermediary: the indirect communication architecture of Article 42.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Bulletin, Open Water: the authoritative public notice system of Article 20.3.</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Center, Maritime Coordination: the joint operating organ of Article 38.3 seated in Muscat with mirror at Bandar Abbas.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Corridor One, Northern Stewardship Corridor: the inbound commercial corridor of Article 12.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Corridor Two, Central Buffer Corridor: the median corridor of Article 13.</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Corridor Three, Southern Assurance Corridor: the outbound commercial corridor of Article 14.</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Corridor Operations Board: the joint board of the Founding Parties managing corridor operations, with Neutral Watch observer access.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Covenant, Zero-Toll: the prohibition of Article 22.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Custodian, Financial: the Swiss Confederation acting under Article 24.2.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Depositary: the Sultanate of Oman under Article 58.3, with the mirror deposit at Bandar Abbas.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Directorate: the Verification and Surveillance Directorate of Article 39.</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Endorsing Stakeholder: a participant of the tier defined by Article 40.1, including the United States of America.</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Engine, Compliance: the tiered consequence system of Article 45.</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Firewall, Humanitarian: the absolute protection of Article 51.</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Firewall, Nuclear: the separation principle of Article 36 and Annex P.</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Flow State: a declared operating condition under Article 20.1: Normal, Dense, or Emergency.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Founding Parties: the Islamic Republic of Iran and the Sultanate of Oman.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Fund: the Hormuz Stewardship Fund of Article 24 and Annex C.</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Gate: a certified milestone of Table 48-A and Annex H.</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Governance Area: the waters defined by Article 11 and Table A-1.</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Group: the Joint Hazard Survey and Clearance Group of Article 16.</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Hour Zero: the declaration moment of Article 7.2.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Ladder, Incident: the escalation procedure of Article 32.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Layer: a graduated construction stage of Article 47.</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Ledger, Verified Services: the joint service delivery record of Article 24.5.</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Line, Red: a registered non-negotiable interest of Annex G.</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Lock: a permanent Archive entry under Article 46.2.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Neutral Watch Office: the independent audit arm of Article 39.5.</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Observer Members: the tier defined by Article 40.1, comprising the Gulf Cooperation Council states and Iraq.</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Override, Corridor Emergency: the mechanism of Article 33.4.</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Pact: this instrument, the Hormuz Stewardship Pact, comprising Parts One through Thirteen and Annexes A through 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Pairing: the twin-staffing rule of Article 38.4 and the twin-observer certification rule of Article 39.</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Panel: the standing arbitration panel of Article 45.6, five arbitrators seated in Muscat, appointed for ten-year terms under the roster of Table J-1.</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Perimeter Test: the screening procedure of Article 6 and Annex G.3.</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Pool: the Hormuz Insurance Pool of Annex D.</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Portal: the transparency systems of Article 54 and Annex L.</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Register, Red Lines: Annex G.</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Registry, Neutral Coordinate: the coordinate registry of Article 11.2 and Annex A.</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Service Distinction: the rule of Article 23 separating free passage from reimbursable services.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Standoff Geometry: the minimum distances of Article 30.</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Substance Test: the payment classification rule of Article 27.</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Technical Participants: the tier defined by Article 40.1.</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Toll: any payment that functions as a price or condition of passage, as classified by the Substance Test.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Twin Key: the paired authority of the Founding Parties under Article 37.3.</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Window, Technical Arbitration: the reconciliation procedure of Article 43.2.</w:t>
      </w:r>
    </w:p>
    <w:p>
      <w:pPr>
        <w:pStyle w:val="Heading2"/>
        <w:keepNext w:val="true"/>
        <w:keepLines/>
        <w:bidi w:val="0"/>
        <w:spacing w:before="380" w:after="140"/>
        <w:jc w:val="left"/>
        <w:rPr/>
      </w:pPr>
      <w:bookmarkStart w:id="129" w:name="__RefHeading___Toc3455_2451594232"/>
      <w:bookmarkEnd w:id="129"/>
      <w:r>
        <w:rPr>
          <w:rFonts w:eastAsia="Microsoft YaHei"/>
          <w:b/>
          <w:color w:val="1F3550"/>
          <w:sz w:val="27"/>
        </w:rPr>
        <w:t>J.2 Table J-1: The Arbitration Panel Roster</w:t>
      </w:r>
    </w:p>
    <w:p>
      <w:pPr>
        <w:pStyle w:val="Normal"/>
        <w:bidi w:val="0"/>
        <w:spacing w:lineRule="auto" w:line="300" w:before="0" w:after="140"/>
        <w:jc w:val="both"/>
        <w:rPr/>
      </w:pPr>
      <w:r>
        <w:rPr>
          <w:rFonts w:eastAsia="Microsoft YaHei"/>
          <w:color w:val="2A2F36"/>
          <w:sz w:val="22"/>
        </w:rPr>
        <w:t>The Panel comprises five arbitrators: one nominated by each Founding Party, one nominated by the Observer Members jointly, one nominated by the Endorsing Stakeholders jointly, and one nominated by the International Maritime Organization, the last serving as president. Arbitrators serve ten-year terms, decide on the record of this Pact, and publish their awards in full with operational redactions under Article 41.3.</w:t>
      </w:r>
    </w:p>
    <w:p>
      <w:pPr>
        <w:pStyle w:val="Heading1"/>
        <w:keepNext w:val="true"/>
        <w:keepLines/>
        <w:pBdr>
          <w:bottom w:val="single" w:sz="8" w:space="6" w:color="9C7A2E"/>
        </w:pBdr>
        <w:bidi w:val="0"/>
        <w:spacing w:before="480" w:after="200"/>
        <w:jc w:val="left"/>
        <w:rPr/>
      </w:pPr>
      <w:bookmarkStart w:id="130" w:name="__RefHeading___Toc3457_2451594232"/>
      <w:bookmarkEnd w:id="130"/>
      <w:r>
        <w:rPr>
          <w:rFonts w:eastAsia="Microsoft YaHei"/>
          <w:b/>
          <w:color w:val="1F3550"/>
          <w:sz w:val="34"/>
        </w:rPr>
        <w:t>ANNEX K: EQUIPMENT AND INFRASTRUCTURE SCHEDULE</w:t>
      </w:r>
    </w:p>
    <w:p>
      <w:pPr>
        <w:pStyle w:val="Heading2"/>
        <w:keepNext w:val="true"/>
        <w:keepLines/>
        <w:bidi w:val="0"/>
        <w:spacing w:before="380" w:after="140"/>
        <w:jc w:val="left"/>
        <w:rPr/>
      </w:pPr>
      <w:bookmarkStart w:id="131" w:name="__RefHeading___Toc3459_2451594232"/>
      <w:bookmarkEnd w:id="131"/>
      <w:r>
        <w:rPr>
          <w:rFonts w:eastAsia="Microsoft YaHei"/>
          <w:b/>
          <w:color w:val="1F3550"/>
          <w:sz w:val="27"/>
        </w:rPr>
        <w:t>K.1 The Maritime Coordination Center Fit-Out</w:t>
      </w:r>
    </w:p>
    <w:p>
      <w:pPr>
        <w:pStyle w:val="Normal"/>
        <w:bidi w:val="0"/>
        <w:spacing w:lineRule="auto" w:line="300" w:before="0" w:after="140"/>
        <w:jc w:val="both"/>
        <w:rPr/>
      </w:pPr>
      <w:r>
        <w:rPr>
          <w:rFonts w:eastAsia="Microsoft YaHei"/>
          <w:color w:val="2A2F36"/>
          <w:sz w:val="22"/>
        </w:rPr>
        <w:t>The Center in Muscat and the mirror at Bandar Abbas each operate: a fused radar and identification display wall; the filing and acknowledgment system; the Bulletin production desk; the incident log system; the hotline node; observer workstations for each participation tier; and the custodial data vault. The equipment standard follows Table K-1, procured under the continuity budget of Annex N, with contributions-in-kind credited under Article 25.3.</w:t>
      </w:r>
    </w:p>
    <w:tbl>
      <w:tblPr>
        <w:tblW w:w="5000" w:type="pct"/>
        <w:jc w:val="left"/>
        <w:tblInd w:w="-8" w:type="dxa"/>
        <w:tblLayout w:type="fixed"/>
        <w:tblCellMar>
          <w:top w:w="60" w:type="dxa"/>
          <w:left w:w="100" w:type="dxa"/>
          <w:bottom w:w="60" w:type="dxa"/>
          <w:right w:w="100" w:type="dxa"/>
        </w:tblCellMar>
      </w:tblPr>
      <w:tblGrid>
        <w:gridCol w:w="3271"/>
        <w:gridCol w:w="2976"/>
        <w:gridCol w:w="2779"/>
      </w:tblGrid>
      <w:tr>
        <w:trPr>
          <w:tblHeader w:val="true"/>
          <w:cantSplit w:val="true"/>
        </w:trPr>
        <w:tc>
          <w:tcPr>
            <w:tcW w:w="327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System</w:t>
            </w:r>
          </w:p>
        </w:tc>
        <w:tc>
          <w:tcPr>
            <w:tcW w:w="2976"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Minimum Standard</w:t>
            </w:r>
          </w:p>
        </w:tc>
        <w:tc>
          <w:tcPr>
            <w:tcW w:w="2779"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Continuity Rule</w:t>
            </w:r>
          </w:p>
        </w:tc>
      </w:tr>
      <w:tr>
        <w:trPr/>
        <w:tc>
          <w:tcPr>
            <w:tcW w:w="32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Radar fusion</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Coverage of the full Governance Area with thirty-second refresh</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Hot standby chain; mirror sync every sixty seconds</w:t>
            </w:r>
          </w:p>
        </w:tc>
      </w:tr>
      <w:tr>
        <w:trPr/>
        <w:tc>
          <w:tcPr>
            <w:tcW w:w="32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Identification receiver network</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Full-area coverage, dual shore chains</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Independent power at every site</w:t>
            </w:r>
          </w:p>
        </w:tc>
      </w:tr>
      <w:tr>
        <w:trPr/>
        <w:tc>
          <w:tcPr>
            <w:tcW w:w="32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Satellite data receive</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Two independent providers</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Automatic failover</w:t>
            </w:r>
          </w:p>
        </w:tc>
      </w:tr>
      <w:tr>
        <w:trPr/>
        <w:tc>
          <w:tcPr>
            <w:tcW w:w="32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Portal hosting</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Mirrored across two jurisdictions</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Sixty-second replication, one-hour failover</w:t>
            </w:r>
          </w:p>
        </w:tc>
      </w:tr>
      <w:tr>
        <w:trPr/>
        <w:tc>
          <w:tcPr>
            <w:tcW w:w="32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Hotline voice and data</w:t>
            </w:r>
          </w:p>
        </w:tc>
        <w:tc>
          <w:tcPr>
            <w:tcW w:w="2976"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Dedicated circuits plus satellite fallback</w:t>
            </w:r>
          </w:p>
        </w:tc>
        <w:tc>
          <w:tcPr>
            <w:tcW w:w="277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Daily tests at 06:00 and 18:00</w:t>
            </w:r>
          </w:p>
        </w:tc>
      </w:tr>
      <w:tr>
        <w:trPr/>
        <w:tc>
          <w:tcPr>
            <w:tcW w:w="327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Data vault</w:t>
            </w:r>
          </w:p>
        </w:tc>
        <w:tc>
          <w:tcPr>
            <w:tcW w:w="2976"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Tamper-evident logging</w:t>
            </w:r>
          </w:p>
        </w:tc>
        <w:tc>
          <w:tcPr>
            <w:tcW w:w="2779"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Custodial copies at Neutral Watch and Custodian</w:t>
            </w:r>
          </w:p>
        </w:tc>
      </w:tr>
    </w:tbl>
    <w:p>
      <w:pPr>
        <w:pStyle w:val="Normal"/>
        <w:bidi w:val="0"/>
        <w:spacing w:before="0" w:after="60"/>
        <w:jc w:val="left"/>
        <w:rPr/>
      </w:pPr>
      <w:r>
        <w:rPr/>
      </w:r>
    </w:p>
    <w:p>
      <w:pPr>
        <w:pStyle w:val="Heading2"/>
        <w:keepNext w:val="true"/>
        <w:keepLines/>
        <w:bidi w:val="0"/>
        <w:spacing w:before="380" w:after="140"/>
        <w:jc w:val="left"/>
        <w:rPr/>
      </w:pPr>
      <w:bookmarkStart w:id="132" w:name="__RefHeading___Toc3461_2451594232"/>
      <w:bookmarkEnd w:id="132"/>
      <w:r>
        <w:rPr>
          <w:rFonts w:eastAsia="Microsoft YaHei"/>
          <w:b/>
          <w:color w:val="1F3550"/>
          <w:sz w:val="27"/>
        </w:rPr>
        <w:t>K.2 The Survey and Clearance Fleet</w:t>
      </w:r>
    </w:p>
    <w:p>
      <w:pPr>
        <w:pStyle w:val="Normal"/>
        <w:bidi w:val="0"/>
        <w:spacing w:lineRule="auto" w:line="300" w:before="0" w:after="140"/>
        <w:jc w:val="both"/>
        <w:rPr/>
      </w:pPr>
      <w:r>
        <w:rPr>
          <w:rFonts w:eastAsia="Microsoft YaHei"/>
          <w:color w:val="2A2F36"/>
          <w:sz w:val="22"/>
        </w:rPr>
        <w:t>The Group operates: not fewer than six mine countermeasure vessels contributed by the Founding Parties and contributing participants; twelve remotely operated inspection vehicles; four autonomous survey vehicles with side-scan sonar; two dive support vessels; and one command platform hosting the Survey Director. Table K-2 states the contribution ledger, credited as in-kind contribution under Article 25.3.</w:t>
      </w:r>
    </w:p>
    <w:p>
      <w:pPr>
        <w:pStyle w:val="Heading2"/>
        <w:keepNext w:val="true"/>
        <w:keepLines/>
        <w:bidi w:val="0"/>
        <w:spacing w:before="380" w:after="140"/>
        <w:jc w:val="left"/>
        <w:rPr/>
      </w:pPr>
      <w:bookmarkStart w:id="133" w:name="__RefHeading___Toc3463_2451594232"/>
      <w:bookmarkEnd w:id="133"/>
      <w:r>
        <w:rPr>
          <w:rFonts w:eastAsia="Microsoft YaHei"/>
          <w:b/>
          <w:color w:val="1F3550"/>
          <w:sz w:val="27"/>
        </w:rPr>
        <w:t>K.3 The Response and Rescue Roster</w:t>
      </w:r>
    </w:p>
    <w:p>
      <w:pPr>
        <w:pStyle w:val="Normal"/>
        <w:bidi w:val="0"/>
        <w:spacing w:lineRule="auto" w:line="300" w:before="0" w:after="140"/>
        <w:jc w:val="both"/>
        <w:rPr/>
      </w:pPr>
      <w:r>
        <w:rPr>
          <w:rFonts w:eastAsia="Microsoft YaHei"/>
          <w:color w:val="2A2F36"/>
          <w:sz w:val="22"/>
        </w:rPr>
        <w:t>The joint service maintains: eight fast rescue craft stationed at Bandar Abbas, Khasab, and Fujairah; four ocean-capable tugs on thirty-minute readiness; the pollution response depots of Article 52.2 with containment boom, skimmers, and dispersant stock to the capacity of Table K-3; and the repair-dock coordination windows of the shared roster.</w:t>
      </w:r>
    </w:p>
    <w:p>
      <w:pPr>
        <w:pStyle w:val="Heading2"/>
        <w:keepNext w:val="true"/>
        <w:keepLines/>
        <w:bidi w:val="0"/>
        <w:spacing w:before="380" w:after="140"/>
        <w:jc w:val="left"/>
        <w:rPr/>
      </w:pPr>
      <w:bookmarkStart w:id="134" w:name="__RefHeading___Toc3465_2451594232"/>
      <w:bookmarkEnd w:id="134"/>
      <w:r>
        <w:rPr>
          <w:rFonts w:eastAsia="Microsoft YaHei"/>
          <w:b/>
          <w:color w:val="1F3550"/>
          <w:sz w:val="27"/>
        </w:rPr>
        <w:t>K.4 Table K-4: Referenced Technical Standards</w:t>
      </w:r>
    </w:p>
    <w:p>
      <w:pPr>
        <w:pStyle w:val="Normal"/>
        <w:bidi w:val="0"/>
        <w:spacing w:lineRule="auto" w:line="300" w:before="0" w:after="140"/>
        <w:jc w:val="both"/>
        <w:rPr/>
      </w:pPr>
      <w:r>
        <w:rPr>
          <w:rFonts w:eastAsia="Microsoft YaHei"/>
          <w:color w:val="2A2F36"/>
          <w:sz w:val="22"/>
        </w:rPr>
        <w:t>The corridor system applies: the international collision regulations; the international safety of life at sea instruments; the international pollution prevention instruments; the ballast water management standard; the emissions standard defining the Green Discount, namely the published low-sulphur and efficiency band adopted by the Rate Board; and the identification broadcast standards of the International Maritime Organization. The Rate Board publishes the operative text references of each standard in the Registry.</w:t>
      </w:r>
    </w:p>
    <w:p>
      <w:pPr>
        <w:pStyle w:val="Heading2"/>
        <w:keepNext w:val="true"/>
        <w:keepLines/>
        <w:bidi w:val="0"/>
        <w:spacing w:before="380" w:after="140"/>
        <w:jc w:val="left"/>
        <w:rPr/>
      </w:pPr>
      <w:bookmarkStart w:id="135" w:name="__RefHeading___Toc3467_2451594232"/>
      <w:bookmarkEnd w:id="135"/>
      <w:r>
        <w:rPr>
          <w:rFonts w:eastAsia="Microsoft YaHei"/>
          <w:b/>
          <w:color w:val="1F3550"/>
          <w:sz w:val="27"/>
        </w:rPr>
        <w:t>K.5 The Observer Corps Roster</w:t>
      </w:r>
    </w:p>
    <w:p>
      <w:pPr>
        <w:pStyle w:val="Normal"/>
        <w:bidi w:val="0"/>
        <w:spacing w:lineRule="auto" w:line="300" w:before="0" w:after="140"/>
        <w:jc w:val="both"/>
        <w:rPr/>
      </w:pPr>
      <w:r>
        <w:rPr>
          <w:rFonts w:eastAsia="Microsoft YaHei"/>
          <w:color w:val="2A2F36"/>
          <w:sz w:val="22"/>
        </w:rPr>
        <w:t>The Directorate maintains a standing roster of two hundred certified observers, drawn from the Founding Parties, the Observer Members, the technical participants, and neutral contributor states. Certification follows the one hundred and sixty hour training standard of the Directorate, with pairing rules that place observers of different states on every certification team. The roster publishes, and deployments log to the portal.</w:t>
      </w:r>
    </w:p>
    <w:p>
      <w:pPr>
        <w:pStyle w:val="Heading2"/>
        <w:keepNext w:val="true"/>
        <w:keepLines/>
        <w:bidi w:val="0"/>
        <w:spacing w:before="380" w:after="140"/>
        <w:jc w:val="left"/>
        <w:rPr/>
      </w:pPr>
      <w:bookmarkStart w:id="136" w:name="__RefHeading___Toc3469_2451594232"/>
      <w:bookmarkEnd w:id="136"/>
      <w:r>
        <w:rPr>
          <w:rFonts w:eastAsia="Microsoft YaHei"/>
          <w:b/>
          <w:color w:val="1F3550"/>
          <w:sz w:val="27"/>
        </w:rPr>
        <w:t>K.6 The Humanitarian Verification Corps Roster</w:t>
      </w:r>
    </w:p>
    <w:p>
      <w:pPr>
        <w:pStyle w:val="Normal"/>
        <w:bidi w:val="0"/>
        <w:spacing w:lineRule="auto" w:line="300" w:before="0" w:after="140"/>
        <w:jc w:val="both"/>
        <w:rPr/>
      </w:pPr>
      <w:r>
        <w:rPr>
          <w:rFonts w:eastAsia="Microsoft YaHei"/>
          <w:color w:val="2A2F36"/>
          <w:sz w:val="22"/>
        </w:rPr>
        <w:t>The Corps maintains five hundred trained monitors under Article 51.2, rostered by region, with standing deployment logistics: charter arrangements, medical kits, communications sets, and the twenty-four hour deployment standard. The Corps trains quarterly with the joint rescue service.</w:t>
      </w:r>
    </w:p>
    <w:p>
      <w:pPr>
        <w:pStyle w:val="Heading1"/>
        <w:keepNext w:val="true"/>
        <w:keepLines/>
        <w:pBdr>
          <w:bottom w:val="single" w:sz="8" w:space="6" w:color="9C7A2E"/>
        </w:pBdr>
        <w:bidi w:val="0"/>
        <w:spacing w:before="480" w:after="200"/>
        <w:jc w:val="left"/>
        <w:rPr/>
      </w:pPr>
      <w:bookmarkStart w:id="137" w:name="__RefHeading___Toc3471_2451594232"/>
      <w:bookmarkEnd w:id="137"/>
      <w:r>
        <w:rPr>
          <w:rFonts w:eastAsia="Microsoft YaHei"/>
          <w:b/>
          <w:color w:val="1F3550"/>
          <w:sz w:val="34"/>
        </w:rPr>
        <w:t>ANNEX L: TRANSPARENCY PORTALS DATA INFRASTRUCTURE</w:t>
      </w:r>
    </w:p>
    <w:p>
      <w:pPr>
        <w:pStyle w:val="Heading2"/>
        <w:keepNext w:val="true"/>
        <w:keepLines/>
        <w:bidi w:val="0"/>
        <w:spacing w:before="380" w:after="140"/>
        <w:jc w:val="left"/>
        <w:rPr/>
      </w:pPr>
      <w:bookmarkStart w:id="138" w:name="__RefHeading___Toc3473_2451594232"/>
      <w:bookmarkEnd w:id="138"/>
      <w:r>
        <w:rPr>
          <w:rFonts w:eastAsia="Microsoft YaHei"/>
          <w:b/>
          <w:color w:val="1F3550"/>
          <w:sz w:val="27"/>
        </w:rPr>
        <w:t>L.1 Architecture</w:t>
      </w:r>
    </w:p>
    <w:p>
      <w:pPr>
        <w:pStyle w:val="Normal"/>
        <w:bidi w:val="0"/>
        <w:spacing w:lineRule="auto" w:line="300" w:before="0" w:after="140"/>
        <w:jc w:val="both"/>
        <w:rPr/>
      </w:pPr>
      <w:r>
        <w:rPr>
          <w:rFonts w:eastAsia="Microsoft YaHei"/>
          <w:color w:val="2A2F36"/>
          <w:sz w:val="22"/>
        </w:rPr>
        <w:t>The portals of Article 54 run on mirrored hosting in two neutral jurisdictions, with sixty-second replication and one-hour failover. The Maritime Transparency Portal publishes the operational record; the Economic Transparency Portal publishes the financial record. Both read directly from the custodial data vaults, so the public sees the same data the auditors hold, with the redaction rules of Article 41.3 applied at publication.</w:t>
      </w:r>
    </w:p>
    <w:p>
      <w:pPr>
        <w:pStyle w:val="Heading2"/>
        <w:keepNext w:val="true"/>
        <w:keepLines/>
        <w:bidi w:val="0"/>
        <w:spacing w:before="380" w:after="140"/>
        <w:jc w:val="left"/>
        <w:rPr/>
      </w:pPr>
      <w:bookmarkStart w:id="139" w:name="__RefHeading___Toc3475_2451594232"/>
      <w:bookmarkEnd w:id="139"/>
      <w:r>
        <w:rPr>
          <w:rFonts w:eastAsia="Microsoft YaHei"/>
          <w:b/>
          <w:color w:val="1F3550"/>
          <w:sz w:val="27"/>
        </w:rPr>
        <w:t>L.2 Data Sets and Refresh Standards</w:t>
      </w:r>
    </w:p>
    <w:p>
      <w:pPr>
        <w:pStyle w:val="Normal"/>
        <w:bidi w:val="0"/>
        <w:spacing w:lineRule="auto" w:line="300" w:before="0" w:after="140"/>
        <w:jc w:val="both"/>
        <w:rPr/>
      </w:pPr>
      <w:r>
        <w:rPr>
          <w:rFonts w:eastAsia="Microsoft YaHei"/>
          <w:color w:val="2A2F36"/>
          <w:sz w:val="22"/>
        </w:rPr>
        <w:t>Table L-1 states the principal data sets and their publication clocks.</w:t>
      </w:r>
    </w:p>
    <w:tbl>
      <w:tblPr>
        <w:tblW w:w="5000" w:type="pct"/>
        <w:jc w:val="left"/>
        <w:tblInd w:w="-8" w:type="dxa"/>
        <w:tblLayout w:type="fixed"/>
        <w:tblCellMar>
          <w:top w:w="60" w:type="dxa"/>
          <w:left w:w="100" w:type="dxa"/>
          <w:bottom w:w="60" w:type="dxa"/>
          <w:right w:w="100" w:type="dxa"/>
        </w:tblCellMar>
      </w:tblPr>
      <w:tblGrid>
        <w:gridCol w:w="3371"/>
        <w:gridCol w:w="2778"/>
        <w:gridCol w:w="2877"/>
      </w:tblGrid>
      <w:tr>
        <w:trPr>
          <w:tblHeader w:val="true"/>
          <w:cantSplit w:val="true"/>
        </w:trPr>
        <w:tc>
          <w:tcPr>
            <w:tcW w:w="3371"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Data Set</w:t>
            </w:r>
          </w:p>
        </w:tc>
        <w:tc>
          <w:tcPr>
            <w:tcW w:w="2778"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Content</w:t>
            </w:r>
          </w:p>
        </w:tc>
        <w:tc>
          <w:tcPr>
            <w:tcW w:w="2877"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Publication Clock</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Corridor status</w:t>
            </w:r>
          </w:p>
        </w:tc>
        <w:tc>
          <w:tcPr>
            <w:tcW w:w="27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Flow state, open cells, hazard notices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Real time</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Open Water Bulletin archive</w:t>
            </w:r>
          </w:p>
        </w:tc>
        <w:tc>
          <w:tcPr>
            <w:tcW w:w="27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Every Bulletin, full text</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At issue</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Filing aggregates</w:t>
            </w:r>
          </w:p>
        </w:tc>
        <w:tc>
          <w:tcPr>
            <w:tcW w:w="27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Filings, acknowledgments, median acknowledgment time</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Daily</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Incident log</w:t>
            </w:r>
          </w:p>
        </w:tc>
        <w:tc>
          <w:tcPr>
            <w:tcW w:w="27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Redacted operational entries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Within twenty-four hours</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Clearance map</w:t>
            </w:r>
          </w:p>
        </w:tc>
        <w:tc>
          <w:tcPr>
            <w:tcW w:w="27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Swept channels, contacts, confidence grades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Every seventy-two hours</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Stability Audit data</w:t>
            </w:r>
          </w:p>
        </w:tc>
        <w:tc>
          <w:tcPr>
            <w:tcW w:w="27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Five-domain metrics and scores</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Continuous; formal reports at gates and quarters</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Fund accounts</w:t>
            </w:r>
          </w:p>
        </w:tc>
        <w:tc>
          <w:tcPr>
            <w:tcW w:w="27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Quarterly accounts, annual audit</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At adoption</w:t>
            </w:r>
          </w:p>
        </w:tc>
      </w:tr>
      <w:tr>
        <w:trPr/>
        <w:tc>
          <w:tcPr>
            <w:tcW w:w="3371"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Forward Drift Archive</w:t>
            </w:r>
          </w:p>
        </w:tc>
        <w:tc>
          <w:tcPr>
            <w:tcW w:w="2778"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Every lock, with evidence index</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At lock</w:t>
            </w:r>
          </w:p>
        </w:tc>
      </w:tr>
      <w:tr>
        <w:trPr/>
        <w:tc>
          <w:tcPr>
            <w:tcW w:w="3371"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Pool tiers</w:t>
            </w:r>
          </w:p>
        </w:tc>
        <w:tc>
          <w:tcPr>
            <w:tcW w:w="2778"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Current and historical risk tiers</w:t>
            </w:r>
          </w:p>
        </w:tc>
        <w:tc>
          <w:tcPr>
            <w:tcW w:w="2877"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Weekly</w:t>
            </w:r>
          </w:p>
        </w:tc>
      </w:tr>
    </w:tbl>
    <w:p>
      <w:pPr>
        <w:pStyle w:val="Normal"/>
        <w:bidi w:val="0"/>
        <w:spacing w:before="0" w:after="60"/>
        <w:jc w:val="left"/>
        <w:rPr/>
      </w:pPr>
      <w:r>
        <w:rPr/>
      </w:r>
    </w:p>
    <w:p>
      <w:pPr>
        <w:pStyle w:val="Heading2"/>
        <w:keepNext w:val="true"/>
        <w:keepLines/>
        <w:bidi w:val="0"/>
        <w:spacing w:before="380" w:after="140"/>
        <w:jc w:val="left"/>
        <w:rPr/>
      </w:pPr>
      <w:bookmarkStart w:id="140" w:name="__RefHeading___Toc3477_2451594232"/>
      <w:bookmarkEnd w:id="140"/>
      <w:r>
        <w:rPr>
          <w:rFonts w:eastAsia="Microsoft YaHei"/>
          <w:b/>
          <w:color w:val="1F3550"/>
          <w:sz w:val="27"/>
        </w:rPr>
        <w:t>L.3 Integrity and Access</w:t>
      </w:r>
    </w:p>
    <w:p>
      <w:pPr>
        <w:pStyle w:val="Normal"/>
        <w:bidi w:val="0"/>
        <w:spacing w:lineRule="auto" w:line="300" w:before="0" w:after="140"/>
        <w:jc w:val="both"/>
        <w:rPr/>
      </w:pPr>
      <w:r>
        <w:rPr>
          <w:rFonts w:eastAsia="Microsoft YaHei"/>
          <w:color w:val="2A2F36"/>
          <w:sz w:val="22"/>
        </w:rPr>
        <w:t>Every published data set carries a tamper-evident hash logged at the Neutral Watch Office. The portals serve the public without registration, in seven working languages, with an application programming interface for insurers, researchers, and industry. The counter-misinformation protocol of Article 55.2 anchors to this Annex: corrections cite the portal record as their evidence base.</w:t>
      </w:r>
    </w:p>
    <w:p>
      <w:pPr>
        <w:pStyle w:val="Heading1"/>
        <w:keepNext w:val="true"/>
        <w:keepLines/>
        <w:pBdr>
          <w:bottom w:val="single" w:sz="8" w:space="6" w:color="9C7A2E"/>
        </w:pBdr>
        <w:bidi w:val="0"/>
        <w:spacing w:before="480" w:after="200"/>
        <w:jc w:val="left"/>
        <w:rPr/>
      </w:pPr>
      <w:bookmarkStart w:id="141" w:name="__RefHeading___Toc3479_2451594232"/>
      <w:bookmarkEnd w:id="141"/>
      <w:r>
        <w:rPr>
          <w:rFonts w:eastAsia="Microsoft YaHei"/>
          <w:b/>
          <w:color w:val="1F3550"/>
          <w:sz w:val="34"/>
        </w:rPr>
        <w:t>ANNEX M: ACCESSION PROTOCOL</w:t>
      </w:r>
    </w:p>
    <w:p>
      <w:pPr>
        <w:pStyle w:val="Heading2"/>
        <w:keepNext w:val="true"/>
        <w:keepLines/>
        <w:bidi w:val="0"/>
        <w:spacing w:before="380" w:after="140"/>
        <w:jc w:val="left"/>
        <w:rPr/>
      </w:pPr>
      <w:bookmarkStart w:id="142" w:name="__RefHeading___Toc3481_2451594232"/>
      <w:bookmarkEnd w:id="142"/>
      <w:r>
        <w:rPr>
          <w:rFonts w:eastAsia="Microsoft YaHei"/>
          <w:b/>
          <w:color w:val="1F3550"/>
          <w:sz w:val="27"/>
        </w:rPr>
        <w:t>M.1 Open Accession</w:t>
      </w:r>
    </w:p>
    <w:p>
      <w:pPr>
        <w:pStyle w:val="Normal"/>
        <w:bidi w:val="0"/>
        <w:spacing w:lineRule="auto" w:line="300" w:before="0" w:after="140"/>
        <w:jc w:val="both"/>
        <w:rPr/>
      </w:pPr>
      <w:r>
        <w:rPr>
          <w:rFonts w:eastAsia="Microsoft YaHei"/>
          <w:color w:val="2A2F36"/>
          <w:sz w:val="22"/>
        </w:rPr>
        <w:t>Accession opens to every Gulf state, every regional state, and every maritime user state, on non-discriminatory terms. Accession proceeds by deposit of an Accession Instrument, Form I-11, with the Depositary, stating the tier sought.</w:t>
      </w:r>
    </w:p>
    <w:p>
      <w:pPr>
        <w:pStyle w:val="Heading2"/>
        <w:keepNext w:val="true"/>
        <w:keepLines/>
        <w:bidi w:val="0"/>
        <w:spacing w:before="380" w:after="140"/>
        <w:jc w:val="left"/>
        <w:rPr/>
      </w:pPr>
      <w:bookmarkStart w:id="143" w:name="__RefHeading___Toc3483_2451594232"/>
      <w:bookmarkEnd w:id="143"/>
      <w:r>
        <w:rPr>
          <w:rFonts w:eastAsia="Microsoft YaHei"/>
          <w:b/>
          <w:color w:val="1F3550"/>
          <w:sz w:val="27"/>
        </w:rPr>
        <w:t>M.2 The Gulf Fast-Track</w:t>
      </w:r>
    </w:p>
    <w:p>
      <w:pPr>
        <w:pStyle w:val="Normal"/>
        <w:bidi w:val="0"/>
        <w:spacing w:lineRule="auto" w:line="300" w:before="0" w:after="140"/>
        <w:jc w:val="both"/>
        <w:rPr/>
      </w:pPr>
      <w:r>
        <w:rPr>
          <w:rFonts w:eastAsia="Microsoft YaHei"/>
          <w:color w:val="2A2F36"/>
          <w:sz w:val="22"/>
        </w:rPr>
        <w:t>A Gulf state acceding as Observer Member takes provisional seat on deposit and full standing within twelve months, with full picture access from the day of deposit. The fast-track exists because the neighborhood bears the risk and deserves the seat.</w:t>
      </w:r>
    </w:p>
    <w:p>
      <w:pPr>
        <w:pStyle w:val="Heading2"/>
        <w:keepNext w:val="true"/>
        <w:keepLines/>
        <w:bidi w:val="0"/>
        <w:spacing w:before="380" w:after="140"/>
        <w:jc w:val="left"/>
        <w:rPr/>
      </w:pPr>
      <w:bookmarkStart w:id="144" w:name="__RefHeading___Toc3485_2451594232"/>
      <w:bookmarkEnd w:id="144"/>
      <w:r>
        <w:rPr>
          <w:rFonts w:eastAsia="Microsoft YaHei"/>
          <w:b/>
          <w:color w:val="1F3550"/>
          <w:sz w:val="27"/>
        </w:rPr>
        <w:t>M.3 The Standard Track</w:t>
      </w:r>
    </w:p>
    <w:p>
      <w:pPr>
        <w:pStyle w:val="Normal"/>
        <w:bidi w:val="0"/>
        <w:spacing w:lineRule="auto" w:line="300" w:before="0" w:after="140"/>
        <w:jc w:val="both"/>
        <w:rPr/>
      </w:pPr>
      <w:r>
        <w:rPr>
          <w:rFonts w:eastAsia="Microsoft YaHei"/>
          <w:color w:val="2A2F36"/>
          <w:sz w:val="22"/>
        </w:rPr>
        <w:t>Any other state or organization accedes on a twelve-month provisional period, with voice and access during the period and full standing on completion. Technical participants accede by agreement with the Council on a standing invitation basis.</w:t>
      </w:r>
    </w:p>
    <w:p>
      <w:pPr>
        <w:pStyle w:val="Heading2"/>
        <w:keepNext w:val="true"/>
        <w:keepLines/>
        <w:bidi w:val="0"/>
        <w:spacing w:before="380" w:after="140"/>
        <w:jc w:val="left"/>
        <w:rPr/>
      </w:pPr>
      <w:bookmarkStart w:id="145" w:name="__RefHeading___Toc3487_2451594232"/>
      <w:bookmarkEnd w:id="145"/>
      <w:r>
        <w:rPr>
          <w:rFonts w:eastAsia="Microsoft YaHei"/>
          <w:b/>
          <w:color w:val="1F3550"/>
          <w:sz w:val="27"/>
        </w:rPr>
        <w:t>M.4 Endorsement</w:t>
      </w:r>
    </w:p>
    <w:p>
      <w:pPr>
        <w:pStyle w:val="Normal"/>
        <w:bidi w:val="0"/>
        <w:spacing w:lineRule="auto" w:line="300" w:before="0" w:after="140"/>
        <w:jc w:val="both"/>
        <w:rPr/>
      </w:pPr>
      <w:r>
        <w:rPr>
          <w:rFonts w:eastAsia="Microsoft YaHei"/>
          <w:color w:val="2A2F36"/>
          <w:sz w:val="22"/>
        </w:rPr>
        <w:t>An Endorsing Stakeholder deposits an endorsement instrument stating its acceptance of the bounded role of Article 40.3 and Annex O. Endorsement carries observer access, the transit assurance of Article 21, and the firewall participation of Article 28, and it carries no vote and no command.</w:t>
      </w:r>
    </w:p>
    <w:p>
      <w:pPr>
        <w:pStyle w:val="Heading2"/>
        <w:keepNext w:val="true"/>
        <w:keepLines/>
        <w:bidi w:val="0"/>
        <w:spacing w:before="380" w:after="140"/>
        <w:jc w:val="left"/>
        <w:rPr/>
      </w:pPr>
      <w:bookmarkStart w:id="146" w:name="__RefHeading___Toc3489_2451594232"/>
      <w:bookmarkEnd w:id="146"/>
      <w:r>
        <w:rPr>
          <w:rFonts w:eastAsia="Microsoft YaHei"/>
          <w:b/>
          <w:color w:val="1F3550"/>
          <w:sz w:val="27"/>
        </w:rPr>
        <w:t>M.5 Guarantors</w:t>
      </w:r>
    </w:p>
    <w:p>
      <w:pPr>
        <w:pStyle w:val="Normal"/>
        <w:bidi w:val="0"/>
        <w:spacing w:lineRule="auto" w:line="300" w:before="0" w:after="140"/>
        <w:jc w:val="both"/>
        <w:rPr/>
      </w:pPr>
      <w:r>
        <w:rPr>
          <w:rFonts w:eastAsia="Microsoft YaHei"/>
          <w:color w:val="2A2F36"/>
          <w:sz w:val="22"/>
        </w:rPr>
        <w:t>A guarantor state deposits a guarantee instrument under which it underwrites the continuity of the architecture: good offices in crisis, support for the Depositary, and backing for the escrow structures. A guarantor commands nothing inside the architecture.</w:t>
      </w:r>
    </w:p>
    <w:p>
      <w:pPr>
        <w:pStyle w:val="Heading1"/>
        <w:keepNext w:val="true"/>
        <w:keepLines/>
        <w:pBdr>
          <w:bottom w:val="single" w:sz="8" w:space="6" w:color="9C7A2E"/>
        </w:pBdr>
        <w:bidi w:val="0"/>
        <w:spacing w:before="480" w:after="200"/>
        <w:jc w:val="left"/>
        <w:rPr/>
      </w:pPr>
      <w:bookmarkStart w:id="147" w:name="__RefHeading___Toc3491_2451594232"/>
      <w:bookmarkEnd w:id="147"/>
      <w:r>
        <w:rPr>
          <w:rFonts w:eastAsia="Microsoft YaHei"/>
          <w:b/>
          <w:color w:val="1F3550"/>
          <w:sz w:val="34"/>
        </w:rPr>
        <w:t>ANNEX N: BUDGET, CONTRIBUTIONS, AND ESCROW SCHEDULES</w:t>
      </w:r>
    </w:p>
    <w:p>
      <w:pPr>
        <w:pStyle w:val="Heading2"/>
        <w:keepNext w:val="true"/>
        <w:keepLines/>
        <w:bidi w:val="0"/>
        <w:spacing w:before="380" w:after="140"/>
        <w:jc w:val="left"/>
        <w:rPr/>
      </w:pPr>
      <w:bookmarkStart w:id="148" w:name="__RefHeading___Toc3493_2451594232"/>
      <w:bookmarkEnd w:id="148"/>
      <w:r>
        <w:rPr>
          <w:rFonts w:eastAsia="Microsoft YaHei"/>
          <w:b/>
          <w:color w:val="1F3550"/>
          <w:sz w:val="27"/>
        </w:rPr>
        <w:t>N.1 The Annual Operating Requirement</w:t>
      </w:r>
    </w:p>
    <w:p>
      <w:pPr>
        <w:pStyle w:val="Normal"/>
        <w:bidi w:val="0"/>
        <w:spacing w:lineRule="auto" w:line="300" w:before="0" w:after="140"/>
        <w:jc w:val="both"/>
        <w:rPr/>
      </w:pPr>
      <w:r>
        <w:rPr>
          <w:rFonts w:eastAsia="Microsoft YaHei"/>
          <w:color w:val="2A2F36"/>
          <w:sz w:val="22"/>
        </w:rPr>
        <w:t>The architecture's steady-state operating budget stands at one hundred and eighty million dollars per year, allocated as Table N-1 states. The first-year budget carries a surge allocation for clearance and stand-up of two hundred and sixty million dollars.</w:t>
      </w:r>
    </w:p>
    <w:tbl>
      <w:tblPr>
        <w:tblW w:w="5000" w:type="pct"/>
        <w:jc w:val="left"/>
        <w:tblInd w:w="-8" w:type="dxa"/>
        <w:tblLayout w:type="fixed"/>
        <w:tblCellMar>
          <w:top w:w="60" w:type="dxa"/>
          <w:left w:w="100" w:type="dxa"/>
          <w:bottom w:w="60" w:type="dxa"/>
          <w:right w:w="100" w:type="dxa"/>
        </w:tblCellMar>
      </w:tblPr>
      <w:tblGrid>
        <w:gridCol w:w="3569"/>
        <w:gridCol w:w="2580"/>
        <w:gridCol w:w="2877"/>
      </w:tblGrid>
      <w:tr>
        <w:trPr>
          <w:tblHeader w:val="true"/>
          <w:cantSplit w:val="true"/>
        </w:trPr>
        <w:tc>
          <w:tcPr>
            <w:tcW w:w="3569"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Line</w:t>
            </w:r>
          </w:p>
        </w:tc>
        <w:tc>
          <w:tcPr>
            <w:tcW w:w="2580"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Annual Amount, dollars</w:t>
            </w:r>
          </w:p>
        </w:tc>
        <w:tc>
          <w:tcPr>
            <w:tcW w:w="2877" w:type="dxa"/>
            <w:tcBorders>
              <w:top w:val="single" w:sz="12" w:space="0" w:color="1F3550"/>
              <w:bottom w:val="single" w:sz="6" w:space="0" w:color="1F3550"/>
            </w:tcBorders>
            <w:shd w:fill="EDF1F5" w:val="clear"/>
          </w:tcPr>
          <w:p>
            <w:pPr>
              <w:pStyle w:val="Normal"/>
              <w:widowControl w:val="false"/>
              <w:bidi w:val="0"/>
              <w:spacing w:lineRule="auto" w:line="266" w:before="0" w:after="0"/>
              <w:jc w:val="left"/>
              <w:rPr/>
            </w:pPr>
            <w:r>
              <w:rPr>
                <w:rFonts w:eastAsia="Microsoft YaHei" w:ascii="Calibri" w:hAnsi="Calibri"/>
                <w:b/>
                <w:color w:val="1F3550"/>
                <w:sz w:val="19"/>
              </w:rPr>
              <w:t>Note</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Maritime Coordination Center and mirror</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42,000,000</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Staffing, systems, continuity</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Verification and Surveillance Directorate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36,000,000</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Observer corps, training, deployment</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Survey and clearance standing capability</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30,000,000</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Post-clearance standing watch</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Environmental watch and response</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24,000,000</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Sensors, depots, exercises</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Secretariat, portals, and communications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20,000,000</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Including the portal infrastructure of Annex L</w:t>
            </w:r>
          </w:p>
        </w:tc>
      </w:tr>
      <w:tr>
        <w:trPr/>
        <w:tc>
          <w:tcPr>
            <w:tcW w:w="3569"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Humanitarian bridge and Corps</w:t>
            </w:r>
          </w:p>
        </w:tc>
        <w:tc>
          <w:tcPr>
            <w:tcW w:w="2580"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14,000,000</w:t>
            </w:r>
          </w:p>
        </w:tc>
        <w:tc>
          <w:tcPr>
            <w:tcW w:w="2877" w:type="dxa"/>
            <w:tcBorders>
              <w:top w:val="single" w:sz="4" w:space="0" w:color="B9C2CC"/>
              <w:bottom w:val="single" w:sz="4" w:space="0" w:color="B9C2CC"/>
            </w:tcBorders>
          </w:tcPr>
          <w:p>
            <w:pPr>
              <w:pStyle w:val="Normal"/>
              <w:widowControl w:val="false"/>
              <w:bidi w:val="0"/>
              <w:spacing w:lineRule="auto" w:line="266" w:before="0" w:after="0"/>
              <w:jc w:val="left"/>
              <w:rPr/>
            </w:pPr>
            <w:r>
              <w:rPr>
                <w:rFonts w:eastAsia="Microsoft YaHei" w:ascii="Calibri" w:hAnsi="Calibri"/>
                <w:color w:val="2A2F36"/>
                <w:sz w:val="19"/>
              </w:rPr>
              <w:t>Standing readiness</w:t>
            </w:r>
          </w:p>
        </w:tc>
      </w:tr>
      <w:tr>
        <w:trPr/>
        <w:tc>
          <w:tcPr>
            <w:tcW w:w="3569"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Contingency and audit</w:t>
            </w:r>
          </w:p>
        </w:tc>
        <w:tc>
          <w:tcPr>
            <w:tcW w:w="2580"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14,000,000</w:t>
            </w:r>
          </w:p>
        </w:tc>
        <w:tc>
          <w:tcPr>
            <w:tcW w:w="2877" w:type="dxa"/>
            <w:tcBorders>
              <w:top w:val="single" w:sz="4" w:space="0" w:color="B9C2CC"/>
              <w:bottom w:val="single" w:sz="12" w:space="0" w:color="1F3550"/>
            </w:tcBorders>
          </w:tcPr>
          <w:p>
            <w:pPr>
              <w:pStyle w:val="Normal"/>
              <w:widowControl w:val="false"/>
              <w:bidi w:val="0"/>
              <w:spacing w:lineRule="auto" w:line="266" w:before="0" w:after="0"/>
              <w:jc w:val="left"/>
              <w:rPr/>
            </w:pPr>
            <w:r>
              <w:rPr>
                <w:rFonts w:eastAsia="Microsoft YaHei" w:ascii="Calibri" w:hAnsi="Calibri"/>
                <w:color w:val="2A2F36"/>
                <w:sz w:val="19"/>
              </w:rPr>
              <w:t>Independent audit and reserve</w:t>
            </w:r>
          </w:p>
        </w:tc>
      </w:tr>
    </w:tbl>
    <w:p>
      <w:pPr>
        <w:pStyle w:val="Normal"/>
        <w:bidi w:val="0"/>
        <w:spacing w:before="0" w:after="60"/>
        <w:jc w:val="left"/>
        <w:rPr/>
      </w:pPr>
      <w:r>
        <w:rPr/>
      </w:r>
    </w:p>
    <w:p>
      <w:pPr>
        <w:pStyle w:val="Heading2"/>
        <w:keepNext w:val="true"/>
        <w:keepLines/>
        <w:bidi w:val="0"/>
        <w:spacing w:before="380" w:after="140"/>
        <w:jc w:val="left"/>
        <w:rPr/>
      </w:pPr>
      <w:bookmarkStart w:id="149" w:name="__RefHeading___Toc3495_2451594232"/>
      <w:bookmarkEnd w:id="149"/>
      <w:r>
        <w:rPr>
          <w:rFonts w:eastAsia="Microsoft YaHei"/>
          <w:b/>
          <w:color w:val="1F3550"/>
          <w:sz w:val="27"/>
        </w:rPr>
        <w:t>N.2 The Channel Sizing</w:t>
      </w:r>
    </w:p>
    <w:p>
      <w:pPr>
        <w:pStyle w:val="Normal"/>
        <w:bidi w:val="0"/>
        <w:spacing w:lineRule="auto" w:line="300" w:before="0" w:after="140"/>
        <w:jc w:val="both"/>
        <w:rPr/>
      </w:pPr>
      <w:r>
        <w:rPr>
          <w:rFonts w:eastAsia="Microsoft YaHei"/>
          <w:color w:val="2A2F36"/>
          <w:sz w:val="22"/>
        </w:rPr>
        <w:t>Under Article 25, the Insurance Channel carries one hundred and eight million dollars, the Port and Commercial Channel carries forty-five million dollars, and the Sovereign Channel carries twenty-seven million dollars per year at steady state. The continuity budget rule of Article 25.2 scales services proportionately if any channel underperforms, and never touches corridor operations.</w:t>
      </w:r>
    </w:p>
    <w:p>
      <w:pPr>
        <w:pStyle w:val="Heading2"/>
        <w:keepNext w:val="true"/>
        <w:keepLines/>
        <w:bidi w:val="0"/>
        <w:spacing w:before="380" w:after="140"/>
        <w:jc w:val="left"/>
        <w:rPr/>
      </w:pPr>
      <w:bookmarkStart w:id="150" w:name="__RefHeading___Toc3497_2451594232"/>
      <w:bookmarkEnd w:id="150"/>
      <w:r>
        <w:rPr>
          <w:rFonts w:eastAsia="Microsoft YaHei"/>
          <w:b/>
          <w:color w:val="1F3550"/>
          <w:sz w:val="27"/>
        </w:rPr>
        <w:t>N.3 Table N-3: The Firewall Instruments</w:t>
      </w:r>
    </w:p>
    <w:p>
      <w:pPr>
        <w:pStyle w:val="Normal"/>
        <w:bidi w:val="0"/>
        <w:spacing w:lineRule="auto" w:line="300" w:before="0" w:after="140"/>
        <w:jc w:val="both"/>
        <w:rPr/>
      </w:pPr>
      <w:r>
        <w:rPr>
          <w:rFonts w:eastAsia="Microsoft YaHei"/>
          <w:color w:val="2A2F36"/>
          <w:sz w:val="22"/>
        </w:rPr>
        <w:t>The Custodian holds, before Activation Day and renewed annually: the account licenses and comfort letters for the Hormuz Account issued by the competent sanctions authorities of the endorsing states; the compliance opinions covering the Insurance Channel remittance flow; the standing audit-trail access protocol for the competent authorities; and the digital reporting interface through which the authorities read the ledger in real time. The instruments list by reference number in the Registry; their commercial confidentiality stands protected while their existence and scope publish in full.</w:t>
      </w:r>
    </w:p>
    <w:p>
      <w:pPr>
        <w:pStyle w:val="Heading2"/>
        <w:keepNext w:val="true"/>
        <w:keepLines/>
        <w:bidi w:val="0"/>
        <w:spacing w:before="380" w:after="140"/>
        <w:jc w:val="left"/>
        <w:rPr/>
      </w:pPr>
      <w:bookmarkStart w:id="151" w:name="__RefHeading___Toc3499_2451594232"/>
      <w:bookmarkEnd w:id="151"/>
      <w:r>
        <w:rPr>
          <w:rFonts w:eastAsia="Microsoft YaHei"/>
          <w:b/>
          <w:color w:val="1F3550"/>
          <w:sz w:val="27"/>
        </w:rPr>
        <w:t>N.4 The Legislative Reconciliation Channel</w:t>
      </w:r>
    </w:p>
    <w:p>
      <w:pPr>
        <w:pStyle w:val="Normal"/>
        <w:bidi w:val="0"/>
        <w:spacing w:lineRule="auto" w:line="300" w:before="0" w:after="140"/>
        <w:jc w:val="both"/>
        <w:rPr/>
      </w:pPr>
      <w:r>
        <w:rPr>
          <w:rFonts w:eastAsia="Microsoft YaHei"/>
          <w:color w:val="2A2F36"/>
          <w:sz w:val="22"/>
        </w:rPr>
        <w:t>A participant connecting a domestic instrument to this Pact files the instrument with the Registry, receives the conformity review of the Neutral Watch Office within sixty days, and completes any alignment within one hundred and twenty days of accession under Article 27.4. The channel exists precisely to absorb pre-existing national legislation on transit charges without drama: review, align, publish.</w:t>
      </w:r>
    </w:p>
    <w:p>
      <w:pPr>
        <w:pStyle w:val="Heading2"/>
        <w:keepNext w:val="true"/>
        <w:keepLines/>
        <w:bidi w:val="0"/>
        <w:spacing w:before="380" w:after="140"/>
        <w:jc w:val="left"/>
        <w:rPr/>
      </w:pPr>
      <w:bookmarkStart w:id="152" w:name="__RefHeading___Toc3501_2451594232"/>
      <w:bookmarkEnd w:id="152"/>
      <w:r>
        <w:rPr>
          <w:rFonts w:eastAsia="Microsoft YaHei"/>
          <w:b/>
          <w:color w:val="1F3550"/>
          <w:sz w:val="27"/>
        </w:rPr>
        <w:t>N.5 The Reconstruction Window Ledger</w:t>
      </w:r>
    </w:p>
    <w:p>
      <w:pPr>
        <w:pStyle w:val="Normal"/>
        <w:bidi w:val="0"/>
        <w:spacing w:lineRule="auto" w:line="300" w:before="0" w:after="140"/>
        <w:jc w:val="both"/>
        <w:rPr/>
      </w:pPr>
      <w:r>
        <w:rPr>
          <w:rFonts w:eastAsia="Microsoft YaHei"/>
          <w:color w:val="2A2F36"/>
          <w:sz w:val="22"/>
        </w:rPr>
        <w:t>The Hormuz Development Facility maintains the public ledger of pledges toward the regional reconstruction effort, sequenced by the verified milestones of Part X. The ledger names pledges, conditions, disbursements, and projects, and it binds no participant to any pledge that participant has not itself recorded. The Facility's governance mirrors the Fund's: balanced board, neutral administration, public accounts.</w:t>
      </w:r>
    </w:p>
    <w:p>
      <w:pPr>
        <w:pStyle w:val="Heading1"/>
        <w:keepNext w:val="true"/>
        <w:keepLines/>
        <w:pBdr>
          <w:bottom w:val="single" w:sz="8" w:space="6" w:color="9C7A2E"/>
        </w:pBdr>
        <w:bidi w:val="0"/>
        <w:spacing w:before="480" w:after="200"/>
        <w:jc w:val="left"/>
        <w:rPr/>
      </w:pPr>
      <w:bookmarkStart w:id="153" w:name="__RefHeading___Toc3503_2451594232"/>
      <w:bookmarkEnd w:id="153"/>
      <w:r>
        <w:rPr>
          <w:rFonts w:eastAsia="Microsoft YaHei"/>
          <w:b/>
          <w:color w:val="1F3550"/>
          <w:sz w:val="34"/>
        </w:rPr>
        <w:t>ANNEX O: THE UNITED STATES TRANSIT ASSURANCE INTERFACE</w:t>
      </w:r>
    </w:p>
    <w:p>
      <w:pPr>
        <w:pStyle w:val="Heading2"/>
        <w:keepNext w:val="true"/>
        <w:keepLines/>
        <w:bidi w:val="0"/>
        <w:spacing w:before="380" w:after="140"/>
        <w:jc w:val="left"/>
        <w:rPr/>
      </w:pPr>
      <w:bookmarkStart w:id="154" w:name="__RefHeading___Toc3505_2451594232"/>
      <w:bookmarkEnd w:id="154"/>
      <w:r>
        <w:rPr>
          <w:rFonts w:eastAsia="Microsoft YaHei"/>
          <w:b/>
          <w:color w:val="1F3550"/>
          <w:sz w:val="27"/>
        </w:rPr>
        <w:t>O.1 Purpose</w:t>
      </w:r>
    </w:p>
    <w:p>
      <w:pPr>
        <w:pStyle w:val="Normal"/>
        <w:bidi w:val="0"/>
        <w:spacing w:lineRule="auto" w:line="300" w:before="0" w:after="140"/>
        <w:jc w:val="both"/>
        <w:rPr/>
      </w:pPr>
      <w:r>
        <w:rPr>
          <w:rFonts w:eastAsia="Microsoft YaHei"/>
          <w:color w:val="2A2F36"/>
          <w:sz w:val="22"/>
        </w:rPr>
        <w:t>This Annex operationalizes Article 21 for the United States as Endorsing Stakeholder. It guarantees the continuous, unconditional movement of United States vessels, commercial and naval, through the Strait, and it bounds the United States role inside the architecture to verification, monitoring, and deconfliction.</w:t>
      </w:r>
    </w:p>
    <w:p>
      <w:pPr>
        <w:pStyle w:val="Heading2"/>
        <w:keepNext w:val="true"/>
        <w:keepLines/>
        <w:bidi w:val="0"/>
        <w:spacing w:before="380" w:after="140"/>
        <w:jc w:val="left"/>
        <w:rPr/>
      </w:pPr>
      <w:bookmarkStart w:id="155" w:name="__RefHeading___Toc3507_2451594232"/>
      <w:bookmarkEnd w:id="155"/>
      <w:r>
        <w:rPr>
          <w:rFonts w:eastAsia="Microsoft YaHei"/>
          <w:b/>
          <w:color w:val="1F3550"/>
          <w:sz w:val="27"/>
        </w:rPr>
        <w:t>O.2 The Standing Elements</w:t>
      </w:r>
    </w:p>
    <w:p>
      <w:pPr>
        <w:pStyle w:val="Normal"/>
        <w:bidi w:val="0"/>
        <w:spacing w:lineRule="auto" w:line="300" w:before="0" w:after="140"/>
        <w:jc w:val="both"/>
        <w:rPr/>
      </w:pPr>
      <w:r>
        <w:rPr>
          <w:rFonts w:eastAsia="Microsoft YaHei"/>
          <w:color w:val="2A2F36"/>
          <w:sz w:val="22"/>
        </w:rPr>
        <w:t>The Interface comprises: a United States liaison node on the Crisis Hotline Network with the fifteen-minute standard; observer access to the fused picture at parity with every observer tier; standing deconfliction officers at the Center; pre-agreed transit windows for routine naval movements, published to the deconfliction nodes; and participation in the design review of the firewall instruments of Table N-3.</w:t>
      </w:r>
    </w:p>
    <w:p>
      <w:pPr>
        <w:pStyle w:val="Heading2"/>
        <w:keepNext w:val="true"/>
        <w:keepLines/>
        <w:bidi w:val="0"/>
        <w:spacing w:before="380" w:after="140"/>
        <w:jc w:val="left"/>
        <w:rPr/>
      </w:pPr>
      <w:bookmarkStart w:id="156" w:name="__RefHeading___Toc3509_2451594232"/>
      <w:bookmarkEnd w:id="156"/>
      <w:r>
        <w:rPr>
          <w:rFonts w:eastAsia="Microsoft YaHei"/>
          <w:b/>
          <w:color w:val="1F3550"/>
          <w:sz w:val="27"/>
        </w:rPr>
        <w:t>O.3 Naval Transit Mechanics</w:t>
      </w:r>
    </w:p>
    <w:p>
      <w:pPr>
        <w:pStyle w:val="Normal"/>
        <w:bidi w:val="0"/>
        <w:spacing w:lineRule="auto" w:line="300" w:before="0" w:after="140"/>
        <w:jc w:val="both"/>
        <w:rPr/>
      </w:pPr>
      <w:r>
        <w:rPr>
          <w:rFonts w:eastAsia="Microsoft YaHei"/>
          <w:color w:val="2A2F36"/>
          <w:sz w:val="22"/>
        </w:rPr>
        <w:t>A United States naval transit declares its window, corridor, and composition twelve hours ahead on Form E-1. The Center acknowledges and circulates. The transit proceeds under the standoff geometry of Article 30, with continuous identification broadcast and bridge watch. During Flow State Dense, the transit routes through Corridor Two or holds clear of the commercial corridors per Article 21.3. No acknowledgment attaches conditions; notice serves deconfliction alone.</w:t>
      </w:r>
    </w:p>
    <w:p>
      <w:pPr>
        <w:pStyle w:val="Heading2"/>
        <w:keepNext w:val="true"/>
        <w:keepLines/>
        <w:bidi w:val="0"/>
        <w:spacing w:before="380" w:after="140"/>
        <w:jc w:val="left"/>
        <w:rPr/>
      </w:pPr>
      <w:bookmarkStart w:id="157" w:name="__RefHeading___Toc3511_2451594232"/>
      <w:bookmarkEnd w:id="157"/>
      <w:r>
        <w:rPr>
          <w:rFonts w:eastAsia="Microsoft YaHei"/>
          <w:b/>
          <w:color w:val="1F3550"/>
          <w:sz w:val="27"/>
        </w:rPr>
        <w:t>O.4 What the Interface Does Not Do</w:t>
      </w:r>
    </w:p>
    <w:p>
      <w:pPr>
        <w:pStyle w:val="Normal"/>
        <w:bidi w:val="0"/>
        <w:spacing w:lineRule="auto" w:line="300" w:before="0" w:after="140"/>
        <w:jc w:val="both"/>
        <w:rPr/>
      </w:pPr>
      <w:r>
        <w:rPr>
          <w:rFonts w:eastAsia="Microsoft YaHei"/>
          <w:color w:val="2A2F36"/>
          <w:sz w:val="22"/>
        </w:rPr>
        <w:t>The Interface creates no command right, no veto, no basing right, and no enforcement function for the United States inside the architecture. It creates no obligation on any participant toward any third state. It changes no legal position of any party on any matter outside this Pact.</w:t>
      </w:r>
    </w:p>
    <w:p>
      <w:pPr>
        <w:pStyle w:val="Heading2"/>
        <w:keepNext w:val="true"/>
        <w:keepLines/>
        <w:bidi w:val="0"/>
        <w:spacing w:before="380" w:after="140"/>
        <w:jc w:val="left"/>
        <w:rPr/>
      </w:pPr>
      <w:bookmarkStart w:id="158" w:name="__RefHeading___Toc3513_2451594232"/>
      <w:bookmarkEnd w:id="158"/>
      <w:r>
        <w:rPr>
          <w:rFonts w:eastAsia="Microsoft YaHei"/>
          <w:b/>
          <w:color w:val="1F3550"/>
          <w:sz w:val="27"/>
        </w:rPr>
        <w:t>O.5 The Assurance Value</w:t>
      </w:r>
    </w:p>
    <w:p>
      <w:pPr>
        <w:pStyle w:val="Normal"/>
        <w:bidi w:val="0"/>
        <w:spacing w:lineRule="auto" w:line="300" w:before="0" w:after="140"/>
        <w:jc w:val="both"/>
        <w:rPr/>
      </w:pPr>
      <w:r>
        <w:rPr>
          <w:rFonts w:eastAsia="Microsoft YaHei"/>
          <w:color w:val="2A2F36"/>
          <w:sz w:val="22"/>
        </w:rPr>
        <w:t>The Interface answers the United States' core interests structurally: freedom of navigation guaranteed by architecture rather than by patrol; multilateral oversight built in rather than imposed; sanctions compatibility engineered into the payment channels rather than policed after the fact; and full visibility into the waterway through observer access rather than through unilateral presence. The Interface equally answers the coastal states' core interest: stewardship without foreign command.</w:t>
      </w:r>
    </w:p>
    <w:p>
      <w:pPr>
        <w:pStyle w:val="Heading1"/>
        <w:keepNext w:val="true"/>
        <w:keepLines/>
        <w:pBdr>
          <w:bottom w:val="single" w:sz="8" w:space="6" w:color="9C7A2E"/>
        </w:pBdr>
        <w:bidi w:val="0"/>
        <w:spacing w:before="480" w:after="200"/>
        <w:jc w:val="left"/>
        <w:rPr/>
      </w:pPr>
      <w:bookmarkStart w:id="159" w:name="__RefHeading___Toc3515_2451594232"/>
      <w:bookmarkEnd w:id="159"/>
      <w:r>
        <w:rPr>
          <w:rFonts w:eastAsia="Microsoft YaHei"/>
          <w:b/>
          <w:color w:val="1F3550"/>
          <w:sz w:val="34"/>
        </w:rPr>
        <w:t>ANNEX P: THE NUCLEAR FIREWALL PROTOCOL</w:t>
      </w:r>
    </w:p>
    <w:p>
      <w:pPr>
        <w:pStyle w:val="Heading2"/>
        <w:keepNext w:val="true"/>
        <w:keepLines/>
        <w:bidi w:val="0"/>
        <w:spacing w:before="380" w:after="140"/>
        <w:jc w:val="left"/>
        <w:rPr/>
      </w:pPr>
      <w:bookmarkStart w:id="160" w:name="__RefHeading___Toc3517_2451594232"/>
      <w:bookmarkEnd w:id="160"/>
      <w:r>
        <w:rPr>
          <w:rFonts w:eastAsia="Microsoft YaHei"/>
          <w:b/>
          <w:color w:val="1F3550"/>
          <w:sz w:val="27"/>
        </w:rPr>
        <w:t>P.1 Separation of Subject Matter</w:t>
      </w:r>
    </w:p>
    <w:p>
      <w:pPr>
        <w:pStyle w:val="Normal"/>
        <w:bidi w:val="0"/>
        <w:spacing w:lineRule="auto" w:line="300" w:before="0" w:after="140"/>
        <w:jc w:val="both"/>
        <w:rPr/>
      </w:pPr>
      <w:r>
        <w:rPr>
          <w:rFonts w:eastAsia="Microsoft YaHei"/>
          <w:color w:val="2A2F36"/>
          <w:sz w:val="22"/>
        </w:rPr>
        <w:t>This Pact contains no provision touching uranium enrichment, nuclear materials, nuclear facilities, nuclear inspections, or nuclear negotiations. Any such matter proceeds, if at all, on a separate track among whichever parties choose it, under whatever arrangements that track produces. This Pact neither needs nor offers anything on that subject.</w:t>
      </w:r>
    </w:p>
    <w:p>
      <w:pPr>
        <w:pStyle w:val="Heading2"/>
        <w:keepNext w:val="true"/>
        <w:keepLines/>
        <w:bidi w:val="0"/>
        <w:spacing w:before="380" w:after="140"/>
        <w:jc w:val="left"/>
        <w:rPr/>
      </w:pPr>
      <w:bookmarkStart w:id="161" w:name="__RefHeading___Toc3519_2451594232"/>
      <w:bookmarkEnd w:id="161"/>
      <w:r>
        <w:rPr>
          <w:rFonts w:eastAsia="Microsoft YaHei"/>
          <w:b/>
          <w:color w:val="1F3550"/>
          <w:sz w:val="27"/>
        </w:rPr>
        <w:t>P.2 Separation of Systems</w:t>
      </w:r>
    </w:p>
    <w:p>
      <w:pPr>
        <w:pStyle w:val="Normal"/>
        <w:bidi w:val="0"/>
        <w:spacing w:lineRule="auto" w:line="300" w:before="0" w:after="140"/>
        <w:jc w:val="both"/>
        <w:rPr/>
      </w:pPr>
      <w:r>
        <w:rPr>
          <w:rFonts w:eastAsia="Microsoft YaHei"/>
          <w:color w:val="2A2F36"/>
          <w:sz w:val="22"/>
        </w:rPr>
        <w:t>The data systems of this Pact hold maritime, environmental, financial, and compliance data alone. No nuclear data enters any Pact system. No Pact feed, portal, vault, or log carries nuclear content, and no personnel mandate under this Pact covers any nuclear function.</w:t>
      </w:r>
    </w:p>
    <w:p>
      <w:pPr>
        <w:pStyle w:val="Heading2"/>
        <w:keepNext w:val="true"/>
        <w:keepLines/>
        <w:bidi w:val="0"/>
        <w:spacing w:before="380" w:after="140"/>
        <w:jc w:val="left"/>
        <w:rPr/>
      </w:pPr>
      <w:bookmarkStart w:id="162" w:name="__RefHeading___Toc3521_2451594232"/>
      <w:bookmarkEnd w:id="162"/>
      <w:r>
        <w:rPr>
          <w:rFonts w:eastAsia="Microsoft YaHei"/>
          <w:b/>
          <w:color w:val="1F3550"/>
          <w:sz w:val="27"/>
        </w:rPr>
        <w:t>P.3 Separation of Personnel and Records</w:t>
      </w:r>
    </w:p>
    <w:p>
      <w:pPr>
        <w:pStyle w:val="Normal"/>
        <w:bidi w:val="0"/>
        <w:spacing w:lineRule="auto" w:line="300" w:before="0" w:after="140"/>
        <w:jc w:val="both"/>
        <w:rPr/>
      </w:pPr>
      <w:r>
        <w:rPr>
          <w:rFonts w:eastAsia="Microsoft YaHei"/>
          <w:color w:val="2A2F36"/>
          <w:sz w:val="22"/>
        </w:rPr>
        <w:t>Personnel of the Pact's organs serve this Pact alone. Meeting records of Pact organs carry no nuclear agenda items. The Depositary maintains a separate registry partition rule: any document touching the nuclear file files outside this Pact's Registry entirely.</w:t>
      </w:r>
    </w:p>
    <w:p>
      <w:pPr>
        <w:pStyle w:val="Heading2"/>
        <w:keepNext w:val="true"/>
        <w:keepLines/>
        <w:bidi w:val="0"/>
        <w:spacing w:before="380" w:after="140"/>
        <w:jc w:val="left"/>
        <w:rPr/>
      </w:pPr>
      <w:bookmarkStart w:id="163" w:name="__RefHeading___Toc3523_2451594232"/>
      <w:bookmarkEnd w:id="163"/>
      <w:r>
        <w:rPr>
          <w:rFonts w:eastAsia="Microsoft YaHei"/>
          <w:b/>
          <w:color w:val="1F3550"/>
          <w:sz w:val="27"/>
        </w:rPr>
        <w:t>P.4 The Anti-Linkage Rule</w:t>
      </w:r>
    </w:p>
    <w:p>
      <w:pPr>
        <w:pStyle w:val="Normal"/>
        <w:bidi w:val="0"/>
        <w:spacing w:lineRule="auto" w:line="300" w:before="0" w:after="140"/>
        <w:jc w:val="both"/>
        <w:rPr/>
      </w:pPr>
      <w:r>
        <w:rPr>
          <w:rFonts w:eastAsia="Microsoft YaHei"/>
          <w:color w:val="2A2F36"/>
          <w:sz w:val="22"/>
        </w:rPr>
        <w:t>No participant invokes this Pact in a nuclear negotiation, and no participant invokes a nuclear matter in any proceeding under this Pact. The Council rules out of order any motion, proposal, or argument that crosses the firewall. A crossing attempt has no procedural effect and enters the record as out of order.</w:t>
      </w:r>
    </w:p>
    <w:p>
      <w:pPr>
        <w:pStyle w:val="Heading2"/>
        <w:keepNext w:val="true"/>
        <w:keepLines/>
        <w:bidi w:val="0"/>
        <w:spacing w:before="380" w:after="140"/>
        <w:jc w:val="left"/>
        <w:rPr/>
      </w:pPr>
      <w:bookmarkStart w:id="164" w:name="__RefHeading___Toc3525_2451594232"/>
      <w:bookmarkEnd w:id="164"/>
      <w:r>
        <w:rPr>
          <w:rFonts w:eastAsia="Microsoft YaHei"/>
          <w:b/>
          <w:color w:val="1F3550"/>
          <w:sz w:val="27"/>
        </w:rPr>
        <w:t>P.5 What the Firewall Buys</w:t>
      </w:r>
    </w:p>
    <w:p>
      <w:pPr>
        <w:pStyle w:val="Normal"/>
        <w:bidi w:val="0"/>
        <w:spacing w:lineRule="auto" w:line="300" w:before="0" w:after="140"/>
        <w:jc w:val="both"/>
        <w:rPr/>
      </w:pPr>
      <w:r>
        <w:rPr>
          <w:rFonts w:eastAsia="Microsoft YaHei"/>
          <w:color w:val="2A2F36"/>
          <w:sz w:val="22"/>
        </w:rPr>
        <w:t>The firewall lets the Strait reopen on its own merits, in three days, without waiting for the hardest file in the region. It lets every participant defend the Pact at home as a navigation instrument, nothing more. And it protects the nuclear track itself: that track proceeds without the traffic of the Strait riding on its table.</w:t>
      </w:r>
    </w:p>
    <w:p>
      <w:pPr>
        <w:pStyle w:val="Heading1"/>
        <w:keepNext w:val="true"/>
        <w:keepLines/>
        <w:pBdr>
          <w:bottom w:val="single" w:sz="8" w:space="6" w:color="9C7A2E"/>
        </w:pBdr>
        <w:bidi w:val="0"/>
        <w:spacing w:before="480" w:after="200"/>
        <w:jc w:val="left"/>
        <w:rPr/>
      </w:pPr>
      <w:bookmarkStart w:id="165" w:name="__RefHeading___Toc3527_2451594232"/>
      <w:bookmarkEnd w:id="165"/>
      <w:r>
        <w:rPr>
          <w:rFonts w:eastAsia="Microsoft YaHei"/>
          <w:b/>
          <w:color w:val="1F3550"/>
          <w:sz w:val="34"/>
        </w:rPr>
        <w:t>ANNEX Q: MISSILE AND EXERCISE NOTIFICATION FORMATS</w:t>
      </w:r>
    </w:p>
    <w:p>
      <w:pPr>
        <w:pStyle w:val="Heading2"/>
        <w:keepNext w:val="true"/>
        <w:keepLines/>
        <w:bidi w:val="0"/>
        <w:spacing w:before="380" w:after="140"/>
        <w:jc w:val="left"/>
        <w:rPr/>
      </w:pPr>
      <w:bookmarkStart w:id="166" w:name="__RefHeading___Toc3529_2451594232"/>
      <w:bookmarkEnd w:id="166"/>
      <w:r>
        <w:rPr>
          <w:rFonts w:eastAsia="Microsoft YaHei"/>
          <w:b/>
          <w:color w:val="1F3550"/>
          <w:sz w:val="27"/>
        </w:rPr>
        <w:t>Q.1 The Notification Form</w:t>
      </w:r>
    </w:p>
    <w:p>
      <w:pPr>
        <w:pStyle w:val="Normal"/>
        <w:bidi w:val="0"/>
        <w:spacing w:lineRule="auto" w:line="300" w:before="0" w:after="140"/>
        <w:jc w:val="both"/>
        <w:rPr/>
      </w:pPr>
      <w:r>
        <w:rPr>
          <w:rFonts w:eastAsia="Microsoft YaHei"/>
          <w:color w:val="2A2F36"/>
          <w:sz w:val="22"/>
        </w:rPr>
        <w:t>Form I-10 carries: notifying state; activity type; declared window, with start and end times; declared area, by coordinate box; participating unit count; altitude or depth envelope where relevant; safety contact channel; and the acknowledgment block of the Center. The form transmits on the hotline data channel forty-eight hours ahead, and the Center circulates it to every node within thirty minutes.</w:t>
      </w:r>
    </w:p>
    <w:p>
      <w:pPr>
        <w:pStyle w:val="Heading2"/>
        <w:keepNext w:val="true"/>
        <w:keepLines/>
        <w:bidi w:val="0"/>
        <w:spacing w:before="380" w:after="140"/>
        <w:jc w:val="left"/>
        <w:rPr/>
      </w:pPr>
      <w:bookmarkStart w:id="167" w:name="__RefHeading___Toc3531_2451594232"/>
      <w:bookmarkEnd w:id="167"/>
      <w:r>
        <w:rPr>
          <w:rFonts w:eastAsia="Microsoft YaHei"/>
          <w:b/>
          <w:color w:val="1F3550"/>
          <w:sz w:val="27"/>
        </w:rPr>
        <w:t>Q.2 The Two-Hundred-Kilometer Radius</w:t>
      </w:r>
    </w:p>
    <w:p>
      <w:pPr>
        <w:pStyle w:val="Normal"/>
        <w:bidi w:val="0"/>
        <w:spacing w:lineRule="auto" w:line="300" w:before="0" w:after="140"/>
        <w:jc w:val="both"/>
        <w:rPr/>
      </w:pPr>
      <w:r>
        <w:rPr>
          <w:rFonts w:eastAsia="Microsoft YaHei"/>
          <w:color w:val="2A2F36"/>
          <w:sz w:val="22"/>
        </w:rPr>
        <w:t>The notification radius measures two hundred kilometers from the nearest corridor edge, charted in the Registry. Activities outside the radius carry no notification obligation under this Pact.</w:t>
      </w:r>
    </w:p>
    <w:p>
      <w:pPr>
        <w:pStyle w:val="Heading2"/>
        <w:keepNext w:val="true"/>
        <w:keepLines/>
        <w:bidi w:val="0"/>
        <w:spacing w:before="380" w:after="140"/>
        <w:jc w:val="left"/>
        <w:rPr/>
      </w:pPr>
      <w:bookmarkStart w:id="168" w:name="__RefHeading___Toc3533_2451594232"/>
      <w:bookmarkEnd w:id="168"/>
      <w:r>
        <w:rPr>
          <w:rFonts w:eastAsia="Microsoft YaHei"/>
          <w:b/>
          <w:color w:val="1F3550"/>
          <w:sz w:val="27"/>
        </w:rPr>
        <w:t>Q.3 The Override Freeze</w:t>
      </w:r>
    </w:p>
    <w:p>
      <w:pPr>
        <w:pStyle w:val="Normal"/>
        <w:bidi w:val="0"/>
        <w:spacing w:lineRule="auto" w:line="300" w:before="0" w:after="140"/>
        <w:jc w:val="both"/>
        <w:rPr/>
      </w:pPr>
      <w:r>
        <w:rPr>
          <w:rFonts w:eastAsia="Microsoft YaHei"/>
          <w:color w:val="2A2F36"/>
          <w:sz w:val="22"/>
        </w:rPr>
        <w:t>During a Corridor Emergency Override, the freeze of Article 33.4 holds: no test or live-fire activity inside the radius for the Override's seventy-two hours. The freeze executes automatically on the Override declaration, and the Center issues the freeze notice on Form E-4 within fifteen minutes.</w:t>
      </w:r>
    </w:p>
    <w:p>
      <w:pPr>
        <w:pStyle w:val="Heading2"/>
        <w:keepNext w:val="true"/>
        <w:keepLines/>
        <w:bidi w:val="0"/>
        <w:spacing w:before="380" w:after="140"/>
        <w:jc w:val="left"/>
        <w:rPr/>
      </w:pPr>
      <w:bookmarkStart w:id="169" w:name="__RefHeading___Toc3535_2451594232"/>
      <w:bookmarkEnd w:id="169"/>
      <w:r>
        <w:rPr>
          <w:rFonts w:eastAsia="Microsoft YaHei"/>
          <w:b/>
          <w:color w:val="1F3550"/>
          <w:sz w:val="27"/>
        </w:rPr>
        <w:t>Q.4 Scope Limit</w:t>
      </w:r>
    </w:p>
    <w:p>
      <w:pPr>
        <w:pStyle w:val="Normal"/>
        <w:bidi w:val="0"/>
        <w:spacing w:lineRule="auto" w:line="300" w:before="0" w:after="140"/>
        <w:jc w:val="both"/>
        <w:rPr/>
      </w:pPr>
      <w:r>
        <w:rPr>
          <w:rFonts w:eastAsia="Microsoft YaHei"/>
          <w:color w:val="2A2F36"/>
          <w:sz w:val="22"/>
        </w:rPr>
        <w:t>This Annex addresses the coupling of tests and exercises to shipping safety. It reaches no capability, possession, or doctrine question, and the firewall of Annex P binds it in full.</w:t>
      </w:r>
    </w:p>
    <w:p>
      <w:pPr>
        <w:pStyle w:val="Heading1"/>
        <w:keepNext w:val="true"/>
        <w:keepLines/>
        <w:pBdr>
          <w:bottom w:val="single" w:sz="8" w:space="6" w:color="9C7A2E"/>
        </w:pBdr>
        <w:bidi w:val="0"/>
        <w:spacing w:before="480" w:after="200"/>
        <w:jc w:val="left"/>
        <w:rPr/>
      </w:pPr>
      <w:bookmarkStart w:id="170" w:name="__RefHeading___Toc3537_2451594232"/>
      <w:bookmarkEnd w:id="170"/>
      <w:r>
        <w:rPr>
          <w:rFonts w:eastAsia="Microsoft YaHei"/>
          <w:b/>
          <w:color w:val="1F3550"/>
          <w:sz w:val="34"/>
        </w:rPr>
        <w:t>ANNEX R: THE MICROPILOT LADDER</w:t>
      </w:r>
    </w:p>
    <w:p>
      <w:pPr>
        <w:pStyle w:val="Heading2"/>
        <w:keepNext w:val="true"/>
        <w:keepLines/>
        <w:bidi w:val="0"/>
        <w:spacing w:before="380" w:after="140"/>
        <w:jc w:val="left"/>
        <w:rPr/>
      </w:pPr>
      <w:bookmarkStart w:id="171" w:name="__RefHeading___Toc3539_2451594232"/>
      <w:bookmarkEnd w:id="171"/>
      <w:r>
        <w:rPr>
          <w:rFonts w:eastAsia="Microsoft YaHei"/>
          <w:b/>
          <w:color w:val="1F3550"/>
          <w:sz w:val="27"/>
        </w:rPr>
        <w:t>R.1 Purpose</w:t>
      </w:r>
    </w:p>
    <w:p>
      <w:pPr>
        <w:pStyle w:val="Normal"/>
        <w:bidi w:val="0"/>
        <w:spacing w:lineRule="auto" w:line="300" w:before="0" w:after="140"/>
        <w:jc w:val="both"/>
        <w:rPr/>
      </w:pPr>
      <w:r>
        <w:rPr>
          <w:rFonts w:eastAsia="Microsoft YaHei"/>
          <w:color w:val="2A2F36"/>
          <w:sz w:val="22"/>
        </w:rPr>
        <w:t>The micropilot ladder supplies the daily trust-building routine of Layers One and Two: fifty small, reversible, sovereignty-safe cooperation exercises, grouped in five clusters of ten. The ladder converts abstract confidence-building into scheduled practice. Every micropilot runs on published procedure, logs to the incident mesh, and costs almost nothing.</w:t>
      </w:r>
    </w:p>
    <w:p>
      <w:pPr>
        <w:pStyle w:val="Heading2"/>
        <w:keepNext w:val="true"/>
        <w:keepLines/>
        <w:bidi w:val="0"/>
        <w:spacing w:before="380" w:after="140"/>
        <w:jc w:val="left"/>
        <w:rPr/>
      </w:pPr>
      <w:bookmarkStart w:id="172" w:name="__RefHeading___Toc3541_2451594232"/>
      <w:bookmarkEnd w:id="172"/>
      <w:r>
        <w:rPr>
          <w:rFonts w:eastAsia="Microsoft YaHei"/>
          <w:b/>
          <w:color w:val="1F3550"/>
          <w:sz w:val="27"/>
        </w:rPr>
        <w:t>R.2 Cluster A: Visibility and Predictability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A-1, identification snapshot exchange: ten vessels per day, shared between the coordinators.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A-2, visibility-only feed: fog and visibility alerts shared for one zone.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A-3, micro weather exchange: hourly wind, visibility, and swell for one navigation zone.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A-4, shared tide table: harmonized tide predictions for the narrows.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A-5, swell-risk micro-map: joint swell hazard zone for Corridor One.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A-6, shared hazard bulletin: one daily summary, jointly issued.</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A-7, shared storm threshold: agreed storm intensity triggers for advisories.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A-8, micro-meteorology desk: a two-person harmonization cell at the Center.</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A-9, joint hazard symbols: standardized warning icons across both coastal notices.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A-10, micro traffic forecast: a daily traffic prediction for each corridor.</w:t>
      </w:r>
    </w:p>
    <w:p>
      <w:pPr>
        <w:pStyle w:val="Heading2"/>
        <w:keepNext w:val="true"/>
        <w:keepLines/>
        <w:bidi w:val="0"/>
        <w:spacing w:before="380" w:after="140"/>
        <w:jc w:val="left"/>
        <w:rPr/>
      </w:pPr>
      <w:bookmarkStart w:id="173" w:name="__RefHeading___Toc3543_2451594232"/>
      <w:bookmarkEnd w:id="173"/>
      <w:r>
        <w:rPr>
          <w:rFonts w:eastAsia="Microsoft YaHei"/>
          <w:b/>
          <w:color w:val="1F3550"/>
          <w:sz w:val="27"/>
        </w:rPr>
        <w:t>R.3 Cluster B: Micro-Routing and Movement Safety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B-1, single-corridor stability test: one inbound lane jointly acknowledged for a six-hour daily window.</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B-2, outbound corridor test: the mirror pilot for outbound traffic.</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B-3, temporary slow-zone: one slow-speed area during bad weather.</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B-4, micro-anchorage zone: one jointly acknowledged safe anchorage.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B-5, micro-anchoring advisory: non-binding anchoring guidance.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B-6, micro-navigation cues: harmonized light signals for one corridor.</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B-7, joint calm-sea window: an agreed optimal transit window in calm conditions.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B-8, harbor-exit timing: aligned departure windows, thirty minutes per day.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B-9, pilot-boat coordination: aligned pilot-boat schedules, two hours per day.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B-10, harbor-pilot rotation: aligned pilot availability windows.</w:t>
      </w:r>
    </w:p>
    <w:p>
      <w:pPr>
        <w:pStyle w:val="Heading2"/>
        <w:keepNext w:val="true"/>
        <w:keepLines/>
        <w:bidi w:val="0"/>
        <w:spacing w:before="380" w:after="140"/>
        <w:jc w:val="left"/>
        <w:rPr/>
      </w:pPr>
      <w:bookmarkStart w:id="174" w:name="__RefHeading___Toc3545_2451594232"/>
      <w:bookmarkEnd w:id="174"/>
      <w:r>
        <w:rPr>
          <w:rFonts w:eastAsia="Microsoft YaHei"/>
          <w:b/>
          <w:color w:val="1F3550"/>
          <w:sz w:val="27"/>
        </w:rPr>
        <w:t>R.4 Cluster C: Micro-Alerts and Incident Reduction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C-1, dual-ping incident alerts: two-ping mechanical failure notifications.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C-2, mechanical-failure registry: a shared list of non-security breakdowns.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C-3, engine-restart alerts: notice when a disabled vessel restarts.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C-4, anchor-drift alerts: notice when an anchored vessel drags.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C-5, fuel-leak notifications: mutual alerts for non-security spills.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C-6, micro-hazmat alert: mutual alerts for non-security hazardous leaks.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C-7, joint debris alert: floating debris sightings shared.</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C-8, identification blackout log: outage logging without attribution.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C-9, small-craft advisory: joint warnings for fishing boats.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C-10, fishing-net drift map: a joint map of drifting nets.</w:t>
      </w:r>
    </w:p>
    <w:p>
      <w:pPr>
        <w:pStyle w:val="Heading2"/>
        <w:keepNext w:val="true"/>
        <w:keepLines/>
        <w:bidi w:val="0"/>
        <w:spacing w:before="380" w:after="140"/>
        <w:jc w:val="left"/>
        <w:rPr/>
      </w:pPr>
      <w:bookmarkStart w:id="175" w:name="__RefHeading___Toc3547_2451594232"/>
      <w:bookmarkEnd w:id="175"/>
      <w:r>
        <w:rPr>
          <w:rFonts w:eastAsia="Microsoft YaHei"/>
          <w:b/>
          <w:color w:val="1F3550"/>
          <w:sz w:val="27"/>
        </w:rPr>
        <w:t>R.5 Cluster D: Micro-Response and Repair Coordination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D-1, emergency-tow readiness: a joint list of tow-capable vessels.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D-2, shared tug dispatch: coordinated tug dispatch for emergencies.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D-3, micro search and rescue coordination: shared readiness status.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D-4, micro search and rescue drill: a fifteen-minute joint practice, weekly.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D-5, shared repair-ship list: repair-capable vessels listed jointly.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D-6, shared repair-crew roster: availability exchange.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D-7, shared repair-dock timing: aligned dock access windows.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D-8, micro-repair coordination: aligned scheduling for one vessel per day.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D-9, joint drift prediction: predicted drift tracks for disabled vessels.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D-10, micro-collision review: joint review of minor near-misses.</w:t>
      </w:r>
    </w:p>
    <w:p>
      <w:pPr>
        <w:pStyle w:val="Heading2"/>
        <w:keepNext w:val="true"/>
        <w:keepLines/>
        <w:bidi w:val="0"/>
        <w:spacing w:before="380" w:after="140"/>
        <w:jc w:val="left"/>
        <w:rPr/>
      </w:pPr>
      <w:bookmarkStart w:id="176" w:name="__RefHeading___Toc3549_2451594232"/>
      <w:bookmarkEnd w:id="176"/>
      <w:r>
        <w:rPr>
          <w:rFonts w:eastAsia="Microsoft YaHei"/>
          <w:b/>
          <w:color w:val="1F3550"/>
          <w:sz w:val="27"/>
        </w:rPr>
        <w:t>R.6 Cluster E: Micro-Governance and Simulation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E-1, shared logbook cell: the four-person joint logging desk.</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E-2, micro-training exchange: two personnel exchanged for observation only.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E-3, radio-channel harmonization: one shared emergency channel agreed and drilled.</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E-4, joint fog-signal protocol: standardized sound signals.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E-5, shared vessel-intent form: a non-binding declaration of planned route.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E-6, micro-fee simulation: a parallel accounting model of the catalog, run with no money moving, proving transparency and accounting compatibility.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E-7, micro-oversight cell: two persons from each side, no authority, logging incidents and confirming corridor stability.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E-8, micro-governance review: a weekly thirty-minute review of the ladder itself.</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E-9, pilot-compatibility audit: a monthly check that the ladder stays consistent with the permanent systems.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E-10, corridor-expansion test: a simulation of added traffic or added functions before any real expansion.</w:t>
      </w:r>
    </w:p>
    <w:p>
      <w:pPr>
        <w:pStyle w:val="Heading2"/>
        <w:keepNext w:val="true"/>
        <w:keepLines/>
        <w:bidi w:val="0"/>
        <w:spacing w:before="380" w:after="140"/>
        <w:jc w:val="left"/>
        <w:rPr/>
      </w:pPr>
      <w:bookmarkStart w:id="177" w:name="__RefHeading___Toc3551_2451594232"/>
      <w:bookmarkEnd w:id="177"/>
      <w:r>
        <w:rPr>
          <w:rFonts w:eastAsia="Microsoft YaHei"/>
          <w:b/>
          <w:color w:val="1F3550"/>
          <w:sz w:val="27"/>
        </w:rPr>
        <w:t>R.7 Graduation Rule</w:t>
      </w:r>
    </w:p>
    <w:p>
      <w:pPr>
        <w:pStyle w:val="Normal"/>
        <w:bidi w:val="0"/>
        <w:spacing w:lineRule="auto" w:line="300" w:before="0" w:after="140"/>
        <w:jc w:val="both"/>
        <w:rPr/>
      </w:pPr>
      <w:r>
        <w:rPr>
          <w:rFonts w:eastAsia="Microsoft YaHei"/>
          <w:color w:val="2A2F36"/>
          <w:sz w:val="22"/>
        </w:rPr>
        <w:t>A micropilot that runs clean for thirty days graduates into the corresponding permanent procedure of this Pact by Secretariat notice, and the ladder refills the slot with the next candidate practice. The ladder never forces; it demonstrates. The architecture grows from what already works.</w:t>
      </w:r>
    </w:p>
    <w:p>
      <w:pPr>
        <w:pStyle w:val="Heading1"/>
        <w:keepNext w:val="true"/>
        <w:keepLines/>
        <w:pBdr>
          <w:bottom w:val="single" w:sz="8" w:space="6" w:color="9C7A2E"/>
        </w:pBdr>
        <w:bidi w:val="0"/>
        <w:spacing w:before="480" w:after="200"/>
        <w:jc w:val="left"/>
        <w:rPr/>
      </w:pPr>
      <w:bookmarkStart w:id="178" w:name="__RefHeading___Toc3553_2451594232"/>
      <w:bookmarkEnd w:id="178"/>
      <w:r>
        <w:rPr>
          <w:rFonts w:eastAsia="Microsoft YaHei"/>
          <w:b/>
          <w:color w:val="1F3550"/>
          <w:sz w:val="34"/>
        </w:rPr>
        <w:t>ANNEX S: THE STABILITY AUDIT, FULL METRICS AND SCORING</w:t>
      </w:r>
    </w:p>
    <w:p>
      <w:pPr>
        <w:pStyle w:val="Heading2"/>
        <w:keepNext w:val="true"/>
        <w:keepLines/>
        <w:bidi w:val="0"/>
        <w:spacing w:before="380" w:after="140"/>
        <w:jc w:val="left"/>
        <w:rPr/>
      </w:pPr>
      <w:bookmarkStart w:id="179" w:name="__RefHeading___Toc3555_2451594232"/>
      <w:bookmarkEnd w:id="179"/>
      <w:r>
        <w:rPr>
          <w:rFonts w:eastAsia="Microsoft YaHei"/>
          <w:b/>
          <w:color w:val="1F3550"/>
          <w:sz w:val="27"/>
        </w:rPr>
        <w:t>S.1 Method</w:t>
      </w:r>
    </w:p>
    <w:p>
      <w:pPr>
        <w:pStyle w:val="Normal"/>
        <w:bidi w:val="0"/>
        <w:spacing w:lineRule="auto" w:line="300" w:before="0" w:after="140"/>
        <w:jc w:val="both"/>
        <w:rPr/>
      </w:pPr>
      <w:r>
        <w:rPr>
          <w:rFonts w:eastAsia="Microsoft YaHei"/>
          <w:color w:val="2A2F36"/>
          <w:sz w:val="22"/>
        </w:rPr>
        <w:t>The Neutral Watch Office scores twenty-five metrics in five domains, each metric on a published scale, each domain weighted equally at twenty percent. Data sources: the fused picture, the incident log, the Fund accounts, the observer certificates, and the portal records. The Office publishes the raw data, the scales, and the scores together, so any auditor in the world reproduces the result.</w:t>
      </w:r>
    </w:p>
    <w:p>
      <w:pPr>
        <w:pStyle w:val="Heading2"/>
        <w:keepNext w:val="true"/>
        <w:keepLines/>
        <w:bidi w:val="0"/>
        <w:spacing w:before="380" w:after="140"/>
        <w:jc w:val="left"/>
        <w:rPr/>
      </w:pPr>
      <w:bookmarkStart w:id="180" w:name="__RefHeading___Toc3557_2451594232"/>
      <w:bookmarkEnd w:id="180"/>
      <w:r>
        <w:rPr>
          <w:rFonts w:eastAsia="Microsoft YaHei"/>
          <w:b/>
          <w:color w:val="1F3550"/>
          <w:sz w:val="27"/>
        </w:rPr>
        <w:t>S.2 Domain One: Navigation and Identification Compliance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 identification continuity: percentage of underway commercial vessels broadcasting without gap. Pass at ninety-eight percent or above.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2, corridor adherence: percentage of transit distance inside corridor boundaries. Pass at ninety-seven percent or above.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3, routing deviations: unauthorized deviations per week, unexplained. Pass at zero.</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4, buffer usage frequency: emergency routing activations per week, trend assessed against baseline.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5, navigation incidents: collisions, groundings, and near-miss events per thousand transits. Pass at or below the published baseline band.</w:t>
      </w:r>
    </w:p>
    <w:p>
      <w:pPr>
        <w:pStyle w:val="Heading2"/>
        <w:keepNext w:val="true"/>
        <w:keepLines/>
        <w:bidi w:val="0"/>
        <w:spacing w:before="380" w:after="140"/>
        <w:jc w:val="left"/>
        <w:rPr/>
      </w:pPr>
      <w:bookmarkStart w:id="181" w:name="__RefHeading___Toc3559_2451594232"/>
      <w:bookmarkEnd w:id="181"/>
      <w:r>
        <w:rPr>
          <w:rFonts w:eastAsia="Microsoft YaHei"/>
          <w:b/>
          <w:color w:val="1F3550"/>
          <w:sz w:val="27"/>
        </w:rPr>
        <w:t>S.3 Domain Two: Security and Deconfliction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6, dual-key execution: percentage of consequential security actions executed under paired authorization. Pass at one hundred percent.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7, unauthorized interdiction attempts: count in the period. Pass at zero.</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8, deconfliction response time: minutes from alert to coordinated action. Pass at fifteen or below.</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9, incident severity index: standardized scoring of escalation events. Pass at baseline band.</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10, mine-risk handling: minutes from contact report to cell warning, and hours from report to neutralization plan. Pass at five minutes and twelve hours.</w:t>
      </w:r>
    </w:p>
    <w:p>
      <w:pPr>
        <w:pStyle w:val="Heading2"/>
        <w:keepNext w:val="true"/>
        <w:keepLines/>
        <w:bidi w:val="0"/>
        <w:spacing w:before="380" w:after="140"/>
        <w:jc w:val="left"/>
        <w:rPr/>
      </w:pPr>
      <w:bookmarkStart w:id="182" w:name="__RefHeading___Toc3561_2451594232"/>
      <w:bookmarkEnd w:id="182"/>
      <w:r>
        <w:rPr>
          <w:rFonts w:eastAsia="Microsoft YaHei"/>
          <w:b/>
          <w:color w:val="1F3550"/>
          <w:sz w:val="27"/>
        </w:rPr>
        <w:t>S.4 Domain Three: Monitoring and Transparency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11, fusion accuracy: alignment between radar and identification tracks. Pass at ninety-nine percent or above.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12, log timeliness: hours from incident to log entry. Pass at twenty-four or below.</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13, observer feed uptime: availability of observer access. Pass at ninety-nine percent or above.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14, data integrity: tamper-evident hash verification across the vaults. Pass at one hundred percent.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15, disclosure compliance: adherence to the publication clocks of Annex L. Pass at ninety-eight percent or above.</w:t>
      </w:r>
    </w:p>
    <w:p>
      <w:pPr>
        <w:pStyle w:val="Heading2"/>
        <w:keepNext w:val="true"/>
        <w:keepLines/>
        <w:bidi w:val="0"/>
        <w:spacing w:before="380" w:after="140"/>
        <w:jc w:val="left"/>
        <w:rPr/>
      </w:pPr>
      <w:bookmarkStart w:id="183" w:name="__RefHeading___Toc3563_2451594232"/>
      <w:bookmarkEnd w:id="183"/>
      <w:r>
        <w:rPr>
          <w:rFonts w:eastAsia="Microsoft YaHei"/>
          <w:b/>
          <w:color w:val="1F3550"/>
          <w:sz w:val="27"/>
        </w:rPr>
        <w:t>S.5 Domain Four: Environmental and Safety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16, baseline deviation: water quality, emissions, and ecological indicators against baseline. Pass at no unexplained breach.</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17, emergency response activation: minutes from distress signal to coordinated response. Pass at sixty or below.</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18, rescue success: percentage of search and rescue operations meeting the published standard. Pass at the standard.</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19, mine-risk environmental impact: ecological scoring of hazard events. Pass at zero events.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20, safety audit score: the composite of the Annex A and Annex B compliance checks. Pass at ninety-five percent or above.</w:t>
      </w:r>
    </w:p>
    <w:p>
      <w:pPr>
        <w:pStyle w:val="Heading2"/>
        <w:keepNext w:val="true"/>
        <w:keepLines/>
        <w:bidi w:val="0"/>
        <w:spacing w:before="380" w:after="140"/>
        <w:jc w:val="left"/>
        <w:rPr/>
      </w:pPr>
      <w:bookmarkStart w:id="184" w:name="__RefHeading___Toc3565_2451594232"/>
      <w:bookmarkEnd w:id="184"/>
      <w:r>
        <w:rPr>
          <w:rFonts w:eastAsia="Microsoft YaHei"/>
          <w:b/>
          <w:color w:val="1F3550"/>
          <w:sz w:val="27"/>
        </w:rPr>
        <w:t>S.6 Domain Five: Finance and Payments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21, rate stability: variance of realized rates against the published card. Pass at zero unauthorized variance.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22, payment routing success: percentage of Fund flows processed through the firewall without compliance event. Pass at ninety-nine percent or above.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23, audit compliance: percentage of Fund transactions passing audit checks. Pass at ninety-nine percent or above.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24, risk-tier movement: Pool tier direction against the formula. Pass at formula-conformant movement.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Metric 25, fee disputes: unresolved disputes older than thirty days. Pass at zero.</w:t>
      </w:r>
    </w:p>
    <w:p>
      <w:pPr>
        <w:pStyle w:val="Heading2"/>
        <w:keepNext w:val="true"/>
        <w:keepLines/>
        <w:bidi w:val="0"/>
        <w:spacing w:before="380" w:after="140"/>
        <w:jc w:val="left"/>
        <w:rPr/>
      </w:pPr>
      <w:bookmarkStart w:id="185" w:name="__RefHeading___Toc3567_2451594232"/>
      <w:bookmarkEnd w:id="185"/>
      <w:r>
        <w:rPr>
          <w:rFonts w:eastAsia="Microsoft YaHei"/>
          <w:b/>
          <w:color w:val="1F3550"/>
          <w:sz w:val="27"/>
        </w:rPr>
        <w:t>S.7 Outcomes and Consequences</w:t>
      </w:r>
    </w:p>
    <w:p>
      <w:pPr>
        <w:pStyle w:val="Normal"/>
        <w:bidi w:val="0"/>
        <w:spacing w:lineRule="auto" w:line="300" w:before="0" w:after="140"/>
        <w:jc w:val="both"/>
        <w:rPr/>
      </w:pPr>
      <w:r>
        <w:rPr>
          <w:rFonts w:eastAsia="Microsoft YaHei"/>
          <w:color w:val="2A2F36"/>
          <w:sz w:val="22"/>
        </w:rPr>
        <w:t>The gate outcome follows Article 44.3: Pass, Conditional Pass, or Fail, computed from the domain scores on the published thresholds. A Fail names its metrics publicly, confines the corrective program to the named metrics, and leaves every corridor open. The Audit measures; it never punishes, and it never closes.</w:t>
      </w:r>
    </w:p>
    <w:p>
      <w:pPr>
        <w:pStyle w:val="Heading1"/>
        <w:keepNext w:val="true"/>
        <w:keepLines/>
        <w:pBdr>
          <w:bottom w:val="single" w:sz="8" w:space="6" w:color="9C7A2E"/>
        </w:pBdr>
        <w:bidi w:val="0"/>
        <w:spacing w:before="480" w:after="200"/>
        <w:jc w:val="left"/>
        <w:rPr/>
      </w:pPr>
      <w:bookmarkStart w:id="186" w:name="__RefHeading___Toc3569_2451594232"/>
      <w:bookmarkEnd w:id="186"/>
      <w:r>
        <w:rPr>
          <w:rFonts w:eastAsia="Microsoft YaHei"/>
          <w:b/>
          <w:color w:val="1F3550"/>
          <w:sz w:val="34"/>
        </w:rPr>
        <w:t>ANNEX T: THE FEE SOLUTIONS CATALOG AND DISPOSITION MAP</w:t>
      </w:r>
    </w:p>
    <w:p>
      <w:pPr>
        <w:pStyle w:val="Heading2"/>
        <w:keepNext w:val="true"/>
        <w:keepLines/>
        <w:bidi w:val="0"/>
        <w:spacing w:before="380" w:after="140"/>
        <w:jc w:val="left"/>
        <w:rPr/>
      </w:pPr>
      <w:bookmarkStart w:id="187" w:name="__RefHeading___Toc3571_2451594232"/>
      <w:bookmarkEnd w:id="187"/>
      <w:r>
        <w:rPr>
          <w:rFonts w:eastAsia="Microsoft YaHei"/>
          <w:b/>
          <w:color w:val="1F3550"/>
          <w:sz w:val="27"/>
        </w:rPr>
        <w:t>T.1 Purpose</w:t>
      </w:r>
    </w:p>
    <w:p>
      <w:pPr>
        <w:pStyle w:val="Normal"/>
        <w:bidi w:val="0"/>
        <w:spacing w:lineRule="auto" w:line="300" w:before="0" w:after="140"/>
        <w:jc w:val="both"/>
        <w:rPr/>
      </w:pPr>
      <w:r>
        <w:rPr>
          <w:rFonts w:eastAsia="Microsoft YaHei"/>
          <w:color w:val="2A2F36"/>
          <w:sz w:val="22"/>
        </w:rPr>
        <w:t>This Annex records, for transparency and negotiating history, the full menu of fee and funding solutions examined in the preparation of this Pact, and states the disposition of each: adopted, adapted, or set aside. The record demonstrates that the financial architecture of Part V stands on the strongest elements of every proposal, reconciled to the Zero-Toll Covenant.</w:t>
      </w:r>
    </w:p>
    <w:p>
      <w:pPr>
        <w:pStyle w:val="Heading2"/>
        <w:keepNext w:val="true"/>
        <w:keepLines/>
        <w:bidi w:val="0"/>
        <w:spacing w:before="380" w:after="140"/>
        <w:jc w:val="left"/>
        <w:rPr/>
      </w:pPr>
      <w:bookmarkStart w:id="188" w:name="__RefHeading___Toc3573_2451594232"/>
      <w:bookmarkEnd w:id="188"/>
      <w:r>
        <w:rPr>
          <w:rFonts w:eastAsia="Microsoft YaHei"/>
          <w:b/>
          <w:color w:val="1F3550"/>
          <w:sz w:val="27"/>
        </w:rPr>
        <w:t>T.2 Adopted Solutions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service fee versus toll distinction, adopted as the Service Distinction of Article 23 and the closed catalog of Annex C.</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maritime services fund on the cooperative model of other international straits, adopted as the voluntary layer of Article 25.4.</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mutual benefit reimbursement framing, adopted in the cost-recovery doctrine of Article 23.4.</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assurance data subscription, adopted as the route assurance data service of the catalog.</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environmental and navigation stewardship pledge, adopted within the voluntary layer and the Green Discount.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In-kind contribution on the harbor maintenance model, adopted at Article 25.3.</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neutral escrow fund, adopted as the Fund and the Custodian structure of Article 24.</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performance bond model, adopted at Article 26.4.</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sanctions-compliance firewall, adopted at Article 28 and Table N-3.</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indirect insurance surcharge, adopted as the stewardship fraction of Annex D.</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Port-of-origin processing, adopted in the Port and Commercial Channel, collected at ports outside the Strait.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multilateral maintenance fund, adopted through the tri-channel structure.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cooperative mechanism and joint authority concepts, adopted in the Council, the Center, and the Twin Key.</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dual-key rule, adopted as the Twin Key and the pairing doctrine.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service boundary in international law, adopted as the operative legal spine of Part V.</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corridor system, adopted in Part III.</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Investments-for-transit, adopted as the Hormuz Development Facility and the Peace Dividend for Ports, with no direct United States payment involvement.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Phased activation, adopted as the layered rollout of Part X.</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heavy-user cap, adopted at Article 26.2.</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convoy window system, adopted at Article 20.4 as a free service election.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green discount, adopted at Article 26.3.</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Boredom as the success metric, adopted at Article 47.7 and Annex D.6.</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good-behavior escalator, adopted as earn-back under Article 45.7 and Goodwill Credits under Article 46.3.</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Pay-for-performance escrow, adopted in ledger-certified disbursement under Article 24.5.</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first-mover bonus and early-adopter discounts, adopted at Article 26.5.</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User state contributions, adopted as the Sovereign Channel.</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Sustainable shipping discounts, adopted within the Green Discount.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third-party guarantor mechanism, adopted through the Custodian and the guarantor tier of Annex M.</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peace premium concept, adapted into the Economic Normalization Track as milestone-paired prosperity rather than a payment for passage.</w:t>
      </w:r>
    </w:p>
    <w:p>
      <w:pPr>
        <w:pStyle w:val="Heading2"/>
        <w:keepNext w:val="true"/>
        <w:keepLines/>
        <w:bidi w:val="0"/>
        <w:spacing w:before="380" w:after="140"/>
        <w:jc w:val="left"/>
        <w:rPr/>
      </w:pPr>
      <w:bookmarkStart w:id="189" w:name="__RefHeading___Toc3575_2451594232"/>
      <w:bookmarkEnd w:id="189"/>
      <w:r>
        <w:rPr>
          <w:rFonts w:eastAsia="Microsoft YaHei"/>
          <w:b/>
          <w:color w:val="1F3550"/>
          <w:sz w:val="27"/>
        </w:rPr>
        <w:t>T.3 Adapted Solutions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package-deal model, adapted: banking access and energy trade reconnect through the firewall and third-state frameworks of Article 29, without making the Strait a bargaining chip in any other file.</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digital channel proposal, adapted: the Custodian's digital reporting interface provides the transparent ledger its proponents sought, through licensed conventional channels rather than novel instruments.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Automatic deduction at ports, adapted into the Port and Commercial Channel with annual publication.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risk-class pricing proposal, adapted into the Pool's data-driven tier formula of Annex D, applied to corridors and never to flags.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The grandfather clause concept, adapted into the Early-Adopter Rate Lock, which rewards participation without entrenching wartime-era payments.</w:t>
      </w:r>
    </w:p>
    <w:p>
      <w:pPr>
        <w:pStyle w:val="Heading2"/>
        <w:keepNext w:val="true"/>
        <w:keepLines/>
        <w:bidi w:val="0"/>
        <w:spacing w:before="380" w:after="140"/>
        <w:jc w:val="left"/>
        <w:rPr/>
      </w:pPr>
      <w:bookmarkStart w:id="190" w:name="__RefHeading___Toc3577_2451594232"/>
      <w:bookmarkEnd w:id="190"/>
      <w:r>
        <w:rPr>
          <w:rFonts w:eastAsia="Microsoft YaHei"/>
          <w:b/>
          <w:color w:val="1F3550"/>
          <w:sz w:val="27"/>
        </w:rPr>
        <w:t>T.4 Solutions Set Aside, With Reasons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Any per-transit toll, under any name: set aside as incompatible with the Zero-Toll Covenant and with the legal position of the United States, the Gulf states, and the European participants.</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Any mandatory per-passage charge routed to any single state: set aside as failing the substance test.</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Any use of frozen assets for compensation outside the firewall: set aside as politically and legally unworkable, and noted as rejected by the Iranian side in the negotiating record.</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Any system making passage conditional on payment, insurance election, or convoy participation: set aside; the architecture makes every such element a service election, never a condition.</w:t>
      </w:r>
    </w:p>
    <w:p>
      <w:pPr>
        <w:pStyle w:val="Normal"/>
        <w:bidi w:val="0"/>
        <w:spacing w:lineRule="auto" w:line="290" w:before="0" w:after="80"/>
        <w:ind w:left="460" w:hanging="260"/>
        <w:jc w:val="both"/>
        <w:rPr/>
      </w:pPr>
      <w:r>
        <w:rPr>
          <w:rFonts w:eastAsia="Microsoft YaHei"/>
          <w:b/>
          <w:color w:val="9C7A2E"/>
          <w:sz w:val="20"/>
        </w:rPr>
        <w:t xml:space="preserve">■  </w:t>
      </w:r>
      <w:r>
        <w:rPr>
          <w:rFonts w:eastAsia="Microsoft YaHei"/>
          <w:color w:val="2A2F36"/>
          <w:sz w:val="22"/>
        </w:rPr>
        <w:t>Any precedent-setting charge model exportable to other straits: set aside; the Covenant declares existing law and creates no new charging model anywhere.</w:t>
      </w:r>
    </w:p>
    <w:p>
      <w:pPr>
        <w:pStyle w:val="Heading2"/>
        <w:keepNext w:val="true"/>
        <w:keepLines/>
        <w:bidi w:val="0"/>
        <w:spacing w:before="380" w:after="140"/>
        <w:jc w:val="left"/>
        <w:rPr/>
      </w:pPr>
      <w:bookmarkStart w:id="191" w:name="__RefHeading___Toc3579_2451594232"/>
      <w:bookmarkEnd w:id="191"/>
      <w:r>
        <w:rPr>
          <w:rFonts w:eastAsia="Microsoft YaHei"/>
          <w:b/>
          <w:color w:val="1F3550"/>
          <w:sz w:val="27"/>
        </w:rPr>
        <w:t>T.5 The Settlement in One Sentence</w:t>
      </w:r>
    </w:p>
    <w:p>
      <w:pPr>
        <w:pStyle w:val="Normal"/>
        <w:bidi w:val="0"/>
        <w:spacing w:lineRule="auto" w:line="300" w:before="0" w:after="140"/>
        <w:jc w:val="both"/>
        <w:rPr/>
      </w:pPr>
      <w:r>
        <w:rPr>
          <w:rFonts w:eastAsia="Microsoft YaHei"/>
          <w:color w:val="2A2F36"/>
          <w:sz w:val="22"/>
        </w:rPr>
        <w:t>Passage is free, services are real and paid at cost through a neutral audited fund, prosperity arrives through milestone-paired instruments that no single rival funds, and the whole structure stands in public where every auditor, insurer, and critic reads it.</w:t>
      </w:r>
    </w:p>
    <w:p>
      <w:pPr>
        <w:pStyle w:val="Heading1"/>
        <w:keepNext w:val="true"/>
        <w:keepLines/>
        <w:pBdr>
          <w:bottom w:val="single" w:sz="8" w:space="6" w:color="9C7A2E"/>
        </w:pBdr>
        <w:bidi w:val="0"/>
        <w:spacing w:before="480" w:after="200"/>
        <w:jc w:val="left"/>
        <w:rPr/>
      </w:pPr>
      <w:bookmarkStart w:id="192" w:name="__RefHeading___Toc3581_2451594232"/>
      <w:bookmarkEnd w:id="192"/>
      <w:r>
        <w:rPr>
          <w:rFonts w:eastAsia="Microsoft YaHei"/>
          <w:b/>
          <w:color w:val="1F3550"/>
          <w:sz w:val="34"/>
        </w:rPr>
        <w:t>CLOSING NOTE OF THE DRAFTING RECORD</w:t>
      </w:r>
    </w:p>
    <w:p>
      <w:pPr>
        <w:pStyle w:val="Normal"/>
        <w:bidi w:val="0"/>
        <w:spacing w:lineRule="auto" w:line="300" w:before="0" w:after="140"/>
        <w:jc w:val="both"/>
        <w:rPr/>
      </w:pPr>
      <w:r>
        <w:rPr>
          <w:rFonts w:eastAsia="Microsoft YaHei"/>
          <w:color w:val="2A2F36"/>
          <w:sz w:val="22"/>
        </w:rPr>
        <w:t>This Pact assembles its architecture from the negotiating record of 2026: the interim corridor understandings between the Islamic Republic of Iran and the Sultanate of Oman; the positions of the United States, the Gulf Cooperation Council, and the European participants as publicly stated; the cooperative precedents of other international straits; and the technical work of the maritime safety community. Every mechanism in this instrument traces to a stated interest of at least one participant and respects the registered lines of all of them. The drafting rule throughout: nothing in this Pact asks any participant to concede what it has called non-negotiable, and everything in this Pact asks every participant to operate what it has already agreed is workable. The Strait opens in three days. The architecture then spends ninety days proving, in public, that it stays open. After that, the Strait's job is boredom itself, and this Pact keeps it that way.</w:t>
      </w:r>
    </w:p>
    <w:sectPr>
      <w:headerReference w:type="default" r:id="rId6"/>
      <w:footerReference w:type="default" r:id="rId7"/>
      <w:type w:val="nextPage"/>
      <w:pgSz w:w="11906" w:h="16838"/>
      <w:pgMar w:left="1440" w:right="1440"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Liberation Sans">
    <w:altName w:val="Arial"/>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spacing w:before="0" w:after="140"/>
      <w:jc w:val="lef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0BEC5"/>
      </w:pBdr>
      <w:bidi w:val="0"/>
      <w:spacing w:before="0" w:after="140"/>
      <w:jc w:val="center"/>
      <w:rPr/>
    </w:pPr>
    <w:r>
      <w:rPr>
        <w:rFonts w:eastAsia="Calibri" w:cs="Calibri" w:ascii="Calibri" w:hAnsi="Calibri"/>
        <w:color w:val="78909C"/>
        <w:sz w:val="18"/>
      </w:rPr>
      <w:t xml:space="preserve">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B0BEC5"/>
      </w:pBdr>
      <w:bidi w:val="0"/>
      <w:spacing w:before="0" w:after="140"/>
      <w:jc w:val="center"/>
      <w:rPr/>
    </w:pPr>
    <w:r>
      <w:rPr>
        <w:rFonts w:eastAsia="Calibri" w:cs="Calibri" w:ascii="Calibri" w:hAnsi="Calibri"/>
        <w:color w:val="78909C"/>
        <w:sz w:val="18"/>
      </w:rPr>
      <w:t xml:space="preserve">Page </w:t>
    </w:r>
    <w:r>
      <w:rPr/>
      <w:fldChar w:fldCharType="begin"/>
    </w:r>
    <w:r>
      <w:rPr/>
      <w:instrText xml:space="preserve"> PAGE </w:instrText>
    </w:r>
    <w:r>
      <w:rPr/>
      <w:fldChar w:fldCharType="separate"/>
    </w:r>
    <w:r>
      <w:rPr/>
      <w:t>69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0"/>
      <w:spacing w:before="0" w:after="14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0BEC5"/>
      </w:pBdr>
      <w:bidi w:val="0"/>
      <w:spacing w:before="0" w:after="140"/>
      <w:jc w:val="right"/>
      <w:rPr/>
    </w:pPr>
    <w:r>
      <w:rPr>
        <w:rFonts w:eastAsia="Calibri" w:cs="Calibri" w:ascii="Calibri" w:hAnsi="Calibri"/>
        <w:caps/>
        <w:color w:val="78909C"/>
        <w:sz w:val="16"/>
      </w:rPr>
      <w:t>THE HORMUZ STEWARDSHIP PACT  ·  SHARED STEWARDSHIP</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B0BEC5"/>
      </w:pBdr>
      <w:bidi w:val="0"/>
      <w:spacing w:before="0" w:after="140"/>
      <w:jc w:val="right"/>
      <w:rPr/>
    </w:pPr>
    <w:r>
      <w:rPr>
        <w:rFonts w:eastAsia="Calibri" w:cs="Calibri" w:ascii="Calibri" w:hAnsi="Calibri"/>
        <w:caps/>
        <w:color w:val="78909C"/>
        <w:sz w:val="16"/>
      </w:rPr>
      <w:t>THE HORMUZ STEWARDSHIP PACT  ·  SHARED STEWARDSHIP</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FreeSans"/>
        <w:kern w:val="2"/>
        <w:sz w:val="22"/>
        <w:szCs w:val="24"/>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lineRule="auto" w:line="300" w:before="0" w:after="140"/>
      <w:jc w:val="left"/>
    </w:pPr>
    <w:rPr>
      <w:rFonts w:ascii="Cambria" w:hAnsi="Cambria" w:eastAsia="Microsoft YaHei" w:cs="FreeSans"/>
      <w:color w:val="2A2F36"/>
      <w:kern w:val="2"/>
      <w:sz w:val="22"/>
      <w:szCs w:val="24"/>
      <w:lang w:val="en-US" w:eastAsia="zh-CN" w:bidi="hi-IN"/>
    </w:rPr>
  </w:style>
  <w:style w:type="paragraph" w:styleId="Heading1">
    <w:name w:val="Heading 1"/>
    <w:basedOn w:val="Normal"/>
    <w:qFormat/>
    <w:pPr>
      <w:keepNext w:val="true"/>
      <w:keepLines/>
      <w:pBdr>
        <w:bottom w:val="single" w:sz="8" w:space="6" w:color="9C7A2E"/>
      </w:pBdr>
      <w:spacing w:before="480" w:after="200"/>
      <w:outlineLvl w:val="0"/>
    </w:pPr>
    <w:rPr>
      <w:rFonts w:ascii="Calibri" w:hAnsi="Calibri" w:eastAsia="Calibri" w:cs="Calibri"/>
      <w:b/>
      <w:color w:val="1F3550"/>
      <w:sz w:val="32"/>
    </w:rPr>
  </w:style>
  <w:style w:type="paragraph" w:styleId="Heading2">
    <w:name w:val="Heading 2"/>
    <w:basedOn w:val="Normal"/>
    <w:qFormat/>
    <w:pPr>
      <w:keepNext w:val="true"/>
      <w:keepLines/>
      <w:spacing w:before="380" w:after="140"/>
      <w:outlineLvl w:val="1"/>
    </w:pPr>
    <w:rPr>
      <w:rFonts w:ascii="Calibri" w:hAnsi="Calibri" w:eastAsia="Calibri" w:cs="Calibri"/>
      <w:b/>
      <w:color w:val="1F3550"/>
      <w:sz w:val="28"/>
    </w:rPr>
  </w:style>
  <w:style w:type="paragraph" w:styleId="Heading3">
    <w:name w:val="Heading 3"/>
    <w:basedOn w:val="Normal"/>
    <w:qFormat/>
    <w:pPr>
      <w:keepNext w:val="true"/>
      <w:keepLines/>
      <w:spacing w:before="300" w:after="100"/>
      <w:outlineLvl w:val="2"/>
    </w:pPr>
    <w:rPr>
      <w:rFonts w:ascii="Calibri" w:hAnsi="Calibri" w:eastAsia="Calibri" w:cs="Calibri"/>
      <w:b/>
      <w:color w:val="33506E"/>
      <w:sz w:val="24"/>
    </w:rPr>
  </w:style>
  <w:style w:type="paragraph" w:styleId="Heading4">
    <w:name w:val="Heading 4"/>
    <w:basedOn w:val="Normal"/>
    <w:qFormat/>
    <w:pPr>
      <w:keepNext w:val="true"/>
      <w:keepLines/>
      <w:spacing w:before="240" w:after="80"/>
      <w:outlineLvl w:val="3"/>
    </w:pPr>
    <w:rPr>
      <w:rFonts w:ascii="Calibri" w:hAnsi="Calibri" w:eastAsia="Microsoft YaHei"/>
      <w:b/>
      <w:i/>
      <w:color w:val="5D6B7A"/>
      <w:sz w:val="22"/>
    </w:rPr>
  </w:style>
  <w:style w:type="character" w:styleId="IndexLink">
    <w:name w:val="Index Link"/>
    <w:qForma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Contents1">
    <w:name w:val="TOC 1"/>
    <w:basedOn w:val="Index"/>
    <w:pPr>
      <w:tabs>
        <w:tab w:val="clear" w:pos="720"/>
        <w:tab w:val="right" w:pos="8784" w:leader="dot"/>
      </w:tabs>
      <w:spacing w:lineRule="auto" w:line="240" w:before="120" w:after="40"/>
      <w:ind w:left="0" w:hanging="0"/>
    </w:pPr>
    <w:rPr>
      <w:rFonts w:ascii="Calibri" w:hAnsi="Calibri" w:eastAsia="Calibri" w:cs="Calibri"/>
      <w:b/>
      <w:color w:val="37474F"/>
      <w:sz w:val="24"/>
    </w:rPr>
  </w:style>
  <w:style w:type="paragraph" w:styleId="Contents2">
    <w:name w:val="TOC 2"/>
    <w:basedOn w:val="Index"/>
    <w:pPr>
      <w:tabs>
        <w:tab w:val="clear" w:pos="720"/>
        <w:tab w:val="right" w:pos="8784" w:leader="dot"/>
      </w:tabs>
      <w:spacing w:lineRule="auto" w:line="240" w:before="0" w:after="20"/>
      <w:ind w:left="360" w:hanging="0"/>
    </w:pPr>
    <w:rPr>
      <w:rFonts w:ascii="Calibri" w:hAnsi="Calibri" w:eastAsia="Calibri" w:cs="Calibri"/>
      <w:b w:val="false"/>
      <w:color w:val="37474F"/>
      <w:sz w:val="24"/>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ages>71</Pages>
  <Words>25080</Words>
  <Characters>145511</Characters>
  <CharactersWithSpaces>169175</CharactersWithSpaces>
  <Paragraphs>1618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2026-08-15T05:34:23Z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