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HORMUZ TRANQUILITY PACT</w:t>
      </w:r>
    </w:p>
    <w:p>
      <w:pPr>
        <w:pStyle w:val="BodyText"/>
      </w:pPr>
      <w:r>
        <w:rPr>
          <w:bCs/>
          <w:b/>
        </w:rPr>
        <w:t xml:space="preserve">NEGOTIATING DRAFT FOR AUTHORIZED PARTICIPANTS · NOT AN EXECUTED INSTRUMENT</w:t>
      </w:r>
    </w:p>
    <w:p>
      <w:pPr>
        <w:pStyle w:val="BodyText"/>
      </w:pPr>
      <w:r>
        <w:rPr>
          <w:iCs/>
          <w:i/>
        </w:rPr>
        <w:t xml:space="preserve">A Layered Architecture for the Immediate, Safe, and Durable Reopening of the Strait of Hormuz</w:t>
      </w:r>
    </w:p>
    <w:p>
      <w:pPr>
        <w:pStyle w:val="BodyText"/>
      </w:pPr>
      <w:r>
        <w:rPr>
          <w:iCs/>
          <w:i/>
        </w:rPr>
        <w:t xml:space="preserve">From Micro-Exercises to a Permanent Charter, in One Instrument, on a Near-Term Clock</w:t>
      </w:r>
    </w:p>
    <w:p>
      <w:pPr>
        <w:pStyle w:val="BodyText"/>
      </w:pPr>
      <w:r>
        <w:rPr>
          <w:bCs/>
          <w:b/>
        </w:rPr>
        <w:t xml:space="preserve">Version 1.0 · Muscat and Geneva · August 2026</w:t>
      </w:r>
    </w:p>
    <w:p>
      <w:pPr>
        <w:pStyle w:val="BodyText"/>
      </w:pPr>
      <w:r>
        <w:t xml:space="preserve">Founding Parties: The Islamic Republic of Iran · The Sultanate of Oman</w:t>
      </w:r>
    </w:p>
    <w:p>
      <w:pPr>
        <w:pStyle w:val="BodyText"/>
      </w:pPr>
      <w:r>
        <w:t xml:space="preserve">Endorsing Guarantor Party: The United States of America</w:t>
      </w:r>
    </w:p>
    <w:p>
      <w:pPr>
        <w:pStyle w:val="BodyText"/>
      </w:pPr>
      <w:r>
        <w:t xml:space="preserve">Facilitators: The Sultanate of Oman · The Swiss Confederation · The Islamic Republic of Pakistan · The State of Qatar</w:t>
      </w:r>
    </w:p>
    <w:p>
      <w:pPr>
        <w:pStyle w:val="BodyText"/>
      </w:pPr>
      <w:r>
        <w:t xml:space="preserve">Neutral Administrator and Depositary: The Swiss Confederation</w:t>
      </w:r>
    </w:p>
    <w:p>
      <w:pPr>
        <w:pStyle w:val="BodyText"/>
      </w:pPr>
      <w:r>
        <w:t xml:space="preserve">Accession Track: The United Arab Emirates, the State of Qatar, the Kingdom of Bahrain, the State of Kuwait, the Kingdom of Saudi Arabia, and the Republic of Iraq</w:t>
      </w:r>
    </w:p>
    <w:p>
      <w:pPr>
        <w:pStyle w:val="BodyText"/>
      </w:pPr>
      <w:r>
        <w:t xml:space="preserve">Technical Observer: The International Maritime Organization</w:t>
      </w:r>
    </w:p>
    <w:p>
      <w:r>
        <w:br w:type="page"/>
      </w:r>
    </w:p>
    <w:bookmarkStart w:id="20" w:name="document-control"/>
    <w:p>
      <w:pPr>
        <w:pStyle w:val="Heading1"/>
      </w:pPr>
      <w:r>
        <w:t>Table of Contents</w:t>
      </w:r>
    </w:p>
    <w:p>
      <w:pPr>
        <w:tabs>
          <w:tab w:pos="9360" w:val="right" w:leader="dot"/>
        </w:tabs>
        <w:spacing w:before="0" w:after="40"/>
        <w:ind w:left="432"/>
      </w:pPr>
      <w:r>
        <w:rPr>
          <w:rFonts w:ascii="Cambria" w:hAnsi="Cambria"/>
          <w:sz w:val="21"/>
        </w:rPr>
        <w:t>Document Control</w:t>
      </w:r>
      <w:r>
        <w:rPr>
          <w:rFonts w:ascii="Cambria" w:hAnsi="Cambria"/>
          <w:sz w:val="21"/>
        </w:rPr>
        <w:tab/>
        <w:t>5</w:t>
      </w:r>
    </w:p>
    <w:p>
      <w:pPr>
        <w:tabs>
          <w:tab w:pos="9360" w:val="right" w:leader="dot"/>
        </w:tabs>
        <w:spacing w:before="0" w:after="40"/>
        <w:ind w:left="432"/>
      </w:pPr>
      <w:r>
        <w:rPr>
          <w:rFonts w:ascii="Cambria" w:hAnsi="Cambria"/>
          <w:sz w:val="21"/>
        </w:rPr>
        <w:t>Drafting Convention</w:t>
      </w:r>
      <w:r>
        <w:rPr>
          <w:rFonts w:ascii="Cambria" w:hAnsi="Cambria"/>
          <w:sz w:val="21"/>
        </w:rPr>
        <w:tab/>
        <w:t>5</w:t>
      </w:r>
    </w:p>
    <w:p>
      <w:pPr>
        <w:tabs>
          <w:tab w:pos="9360" w:val="right" w:leader="dot"/>
        </w:tabs>
        <w:spacing w:before="0" w:after="40"/>
        <w:ind w:left="432"/>
      </w:pPr>
      <w:r>
        <w:rPr>
          <w:rFonts w:ascii="Cambria" w:hAnsi="Cambria"/>
          <w:sz w:val="21"/>
        </w:rPr>
        <w:t>How to Read This Pact in Ten Minutes</w:t>
      </w:r>
      <w:r>
        <w:rPr>
          <w:rFonts w:ascii="Cambria" w:hAnsi="Cambria"/>
          <w:sz w:val="21"/>
        </w:rPr>
        <w:tab/>
        <w:t>5</w:t>
      </w:r>
    </w:p>
    <w:p>
      <w:pPr>
        <w:tabs>
          <w:tab w:pos="9360" w:val="right" w:leader="dot"/>
        </w:tabs>
        <w:spacing w:before="0" w:after="40"/>
        <w:ind w:left="432"/>
      </w:pPr>
      <w:r>
        <w:rPr>
          <w:rFonts w:ascii="Cambria" w:hAnsi="Cambria"/>
          <w:sz w:val="21"/>
        </w:rPr>
        <w:t>Situation Assessment: The Strait on 11 August 2026</w:t>
      </w:r>
      <w:r>
        <w:rPr>
          <w:rFonts w:ascii="Cambria" w:hAnsi="Cambria"/>
          <w:sz w:val="21"/>
        </w:rPr>
        <w:tab/>
        <w:t>6</w:t>
      </w:r>
    </w:p>
    <w:p>
      <w:pPr>
        <w:tabs>
          <w:tab w:pos="9360" w:val="right" w:leader="dot"/>
        </w:tabs>
        <w:spacing w:before="0" w:after="40"/>
        <w:ind w:left="432"/>
      </w:pPr>
      <w:r>
        <w:rPr>
          <w:rFonts w:ascii="Cambria" w:hAnsi="Cambria"/>
          <w:sz w:val="21"/>
        </w:rPr>
        <w:t>Preamble</w:t>
      </w:r>
      <w:r>
        <w:rPr>
          <w:rFonts w:ascii="Cambria" w:hAnsi="Cambria"/>
          <w:sz w:val="21"/>
        </w:rPr>
        <w:tab/>
        <w:t>7</w:t>
      </w:r>
    </w:p>
    <w:p>
      <w:pPr>
        <w:tabs>
          <w:tab w:pos="9360" w:val="right" w:leader="dot"/>
        </w:tabs>
        <w:spacing w:before="0" w:after="40"/>
        <w:ind w:left="432"/>
      </w:pPr>
      <w:r>
        <w:rPr>
          <w:rFonts w:ascii="Cambria" w:hAnsi="Cambria"/>
          <w:sz w:val="21"/>
        </w:rPr>
        <w:t>The Red Lines Register – Summary</w:t>
      </w:r>
      <w:r>
        <w:rPr>
          <w:rFonts w:ascii="Cambria" w:hAnsi="Cambria"/>
          <w:sz w:val="21"/>
        </w:rPr>
        <w:tab/>
        <w:t>8</w:t>
      </w:r>
    </w:p>
    <w:p>
      <w:pPr>
        <w:tabs>
          <w:tab w:pos="9360" w:val="right" w:leader="dot"/>
        </w:tabs>
        <w:spacing w:before="0" w:after="40"/>
        <w:ind w:left="432"/>
      </w:pPr>
      <w:r>
        <w:rPr>
          <w:rFonts w:ascii="Cambria" w:hAnsi="Cambria"/>
          <w:sz w:val="21"/>
        </w:rPr>
        <w:t>The Architecture at a Glance</w:t>
      </w:r>
      <w:r>
        <w:rPr>
          <w:rFonts w:ascii="Cambria" w:hAnsi="Cambria"/>
          <w:sz w:val="21"/>
        </w:rPr>
        <w:tab/>
        <w:t>9</w:t>
      </w:r>
    </w:p>
    <w:p>
      <w:pPr>
        <w:tabs>
          <w:tab w:pos="9360" w:val="right" w:leader="dot"/>
        </w:tabs>
        <w:spacing w:before="200" w:after="40"/>
        <w:ind w:left="0"/>
      </w:pPr>
      <w:r>
        <w:rPr>
          <w:rFonts w:ascii="Cambria" w:hAnsi="Cambria"/>
          <w:b/>
          <w:color w:val="1F3A5F"/>
          <w:sz w:val="23"/>
        </w:rPr>
        <w:t>PART I: FOUNDATIONS</w:t>
      </w:r>
      <w:r>
        <w:rPr>
          <w:rFonts w:ascii="Cambria" w:hAnsi="Cambria"/>
          <w:b/>
          <w:color w:val="1F3A5F"/>
          <w:sz w:val="23"/>
        </w:rPr>
        <w:tab/>
        <w:t>11</w:t>
      </w:r>
    </w:p>
    <w:p>
      <w:pPr>
        <w:tabs>
          <w:tab w:pos="9360" w:val="right" w:leader="dot"/>
        </w:tabs>
        <w:spacing w:before="0" w:after="40"/>
        <w:ind w:left="432"/>
      </w:pPr>
      <w:r>
        <w:rPr>
          <w:rFonts w:ascii="Cambria" w:hAnsi="Cambria"/>
          <w:sz w:val="21"/>
        </w:rPr>
        <w:t>Article 1: Establishment, Purpose, and Scope</w:t>
      </w:r>
      <w:r>
        <w:rPr>
          <w:rFonts w:ascii="Cambria" w:hAnsi="Cambria"/>
          <w:sz w:val="21"/>
        </w:rPr>
        <w:tab/>
        <w:t>11</w:t>
      </w:r>
    </w:p>
    <w:p>
      <w:pPr>
        <w:tabs>
          <w:tab w:pos="9360" w:val="right" w:leader="dot"/>
        </w:tabs>
        <w:spacing w:before="0" w:after="40"/>
        <w:ind w:left="432"/>
      </w:pPr>
      <w:r>
        <w:rPr>
          <w:rFonts w:ascii="Cambria" w:hAnsi="Cambria"/>
          <w:sz w:val="21"/>
        </w:rPr>
        <w:t>Article 2: The Parties, Facilitators, and Depositary</w:t>
      </w:r>
      <w:r>
        <w:rPr>
          <w:rFonts w:ascii="Cambria" w:hAnsi="Cambria"/>
          <w:sz w:val="21"/>
        </w:rPr>
        <w:tab/>
        <w:t>11</w:t>
      </w:r>
    </w:p>
    <w:p>
      <w:pPr>
        <w:tabs>
          <w:tab w:pos="9360" w:val="right" w:leader="dot"/>
        </w:tabs>
        <w:spacing w:before="0" w:after="40"/>
        <w:ind w:left="432"/>
      </w:pPr>
      <w:r>
        <w:rPr>
          <w:rFonts w:ascii="Cambria" w:hAnsi="Cambria"/>
          <w:sz w:val="21"/>
        </w:rPr>
        <w:t>Article 3: Legal Foundations</w:t>
      </w:r>
      <w:r>
        <w:rPr>
          <w:rFonts w:ascii="Cambria" w:hAnsi="Cambria"/>
          <w:sz w:val="21"/>
        </w:rPr>
        <w:tab/>
        <w:t>12</w:t>
      </w:r>
    </w:p>
    <w:p>
      <w:pPr>
        <w:tabs>
          <w:tab w:pos="9360" w:val="right" w:leader="dot"/>
        </w:tabs>
        <w:spacing w:before="0" w:after="40"/>
        <w:ind w:left="432"/>
      </w:pPr>
      <w:r>
        <w:rPr>
          <w:rFonts w:ascii="Cambria" w:hAnsi="Cambria"/>
          <w:sz w:val="21"/>
        </w:rPr>
        <w:t>Article 4: Core Operating Principles</w:t>
      </w:r>
      <w:r>
        <w:rPr>
          <w:rFonts w:ascii="Cambria" w:hAnsi="Cambria"/>
          <w:sz w:val="21"/>
        </w:rPr>
        <w:tab/>
        <w:t>12</w:t>
      </w:r>
    </w:p>
    <w:p>
      <w:pPr>
        <w:tabs>
          <w:tab w:pos="9360" w:val="right" w:leader="dot"/>
        </w:tabs>
        <w:spacing w:before="0" w:after="40"/>
        <w:ind w:left="432"/>
      </w:pPr>
      <w:r>
        <w:rPr>
          <w:rFonts w:ascii="Cambria" w:hAnsi="Cambria"/>
          <w:sz w:val="21"/>
        </w:rPr>
        <w:t>Article 5: The Governance Area</w:t>
      </w:r>
      <w:r>
        <w:rPr>
          <w:rFonts w:ascii="Cambria" w:hAnsi="Cambria"/>
          <w:sz w:val="21"/>
        </w:rPr>
        <w:tab/>
        <w:t>13</w:t>
      </w:r>
    </w:p>
    <w:p>
      <w:pPr>
        <w:tabs>
          <w:tab w:pos="9360" w:val="right" w:leader="dot"/>
        </w:tabs>
        <w:spacing w:before="0" w:after="40"/>
        <w:ind w:left="432"/>
      </w:pPr>
      <w:r>
        <w:rPr>
          <w:rFonts w:ascii="Cambria" w:hAnsi="Cambria"/>
          <w:sz w:val="21"/>
        </w:rPr>
        <w:t>Article 6: The Nuclear and Political Firewall</w:t>
      </w:r>
      <w:r>
        <w:rPr>
          <w:rFonts w:ascii="Cambria" w:hAnsi="Cambria"/>
          <w:sz w:val="21"/>
        </w:rPr>
        <w:tab/>
        <w:t>13</w:t>
      </w:r>
    </w:p>
    <w:p>
      <w:pPr>
        <w:tabs>
          <w:tab w:pos="9360" w:val="right" w:leader="dot"/>
        </w:tabs>
        <w:spacing w:before="0" w:after="40"/>
        <w:ind w:left="432"/>
      </w:pPr>
      <w:r>
        <w:rPr>
          <w:rFonts w:ascii="Cambria" w:hAnsi="Cambria"/>
          <w:sz w:val="21"/>
        </w:rPr>
        <w:t>Article 7: The Standing Continuity Guarantee</w:t>
      </w:r>
      <w:r>
        <w:rPr>
          <w:rFonts w:ascii="Cambria" w:hAnsi="Cambria"/>
          <w:sz w:val="21"/>
        </w:rPr>
        <w:tab/>
        <w:t>13</w:t>
      </w:r>
    </w:p>
    <w:p>
      <w:pPr>
        <w:tabs>
          <w:tab w:pos="9360" w:val="right" w:leader="dot"/>
        </w:tabs>
        <w:spacing w:before="0" w:after="40"/>
        <w:ind w:left="432"/>
      </w:pPr>
      <w:r>
        <w:rPr>
          <w:rFonts w:ascii="Cambria" w:hAnsi="Cambria"/>
          <w:sz w:val="21"/>
        </w:rPr>
        <w:t>Article 8: The Layered Activation Doctrine</w:t>
      </w:r>
      <w:r>
        <w:rPr>
          <w:rFonts w:ascii="Cambria" w:hAnsi="Cambria"/>
          <w:sz w:val="21"/>
        </w:rPr>
        <w:tab/>
        <w:t>14</w:t>
      </w:r>
    </w:p>
    <w:p>
      <w:pPr>
        <w:tabs>
          <w:tab w:pos="9360" w:val="right" w:leader="dot"/>
        </w:tabs>
        <w:spacing w:before="0" w:after="40"/>
        <w:ind w:left="432"/>
      </w:pPr>
      <w:r>
        <w:rPr>
          <w:rFonts w:ascii="Cambria" w:hAnsi="Cambria"/>
          <w:sz w:val="21"/>
        </w:rPr>
        <w:t>Article 9: Definitions and Interpretation</w:t>
      </w:r>
      <w:r>
        <w:rPr>
          <w:rFonts w:ascii="Cambria" w:hAnsi="Cambria"/>
          <w:sz w:val="21"/>
        </w:rPr>
        <w:tab/>
        <w:t>14</w:t>
      </w:r>
    </w:p>
    <w:p>
      <w:pPr>
        <w:tabs>
          <w:tab w:pos="9360" w:val="right" w:leader="dot"/>
        </w:tabs>
        <w:spacing w:before="0" w:after="40"/>
        <w:ind w:left="432"/>
      </w:pPr>
      <w:r>
        <w:rPr>
          <w:rFonts w:ascii="Cambria" w:hAnsi="Cambria"/>
          <w:sz w:val="21"/>
        </w:rPr>
        <w:t>Article 10: The Red Lines Register and the Perimeter Test</w:t>
      </w:r>
      <w:r>
        <w:rPr>
          <w:rFonts w:ascii="Cambria" w:hAnsi="Cambria"/>
          <w:sz w:val="21"/>
        </w:rPr>
        <w:tab/>
        <w:t>15</w:t>
      </w:r>
    </w:p>
    <w:p>
      <w:pPr>
        <w:tabs>
          <w:tab w:pos="9360" w:val="right" w:leader="dot"/>
        </w:tabs>
        <w:spacing w:before="200" w:after="40"/>
        <w:ind w:left="0"/>
      </w:pPr>
      <w:r>
        <w:rPr>
          <w:rFonts w:ascii="Cambria" w:hAnsi="Cambria"/>
          <w:b/>
          <w:color w:val="1F3A5F"/>
          <w:sz w:val="23"/>
        </w:rPr>
        <w:t>PART II: LAYER 0 – THE MICRO-EXERCISE LATTICE (Hour 0 to Hour 72)</w:t>
      </w:r>
      <w:r>
        <w:rPr>
          <w:rFonts w:ascii="Cambria" w:hAnsi="Cambria"/>
          <w:b/>
          <w:color w:val="1F3A5F"/>
          <w:sz w:val="23"/>
        </w:rPr>
        <w:tab/>
        <w:t>16</w:t>
      </w:r>
    </w:p>
    <w:p>
      <w:pPr>
        <w:tabs>
          <w:tab w:pos="9360" w:val="right" w:leader="dot"/>
        </w:tabs>
        <w:spacing w:before="0" w:after="40"/>
        <w:ind w:left="432"/>
      </w:pPr>
      <w:r>
        <w:rPr>
          <w:rFonts w:ascii="Cambria" w:hAnsi="Cambria"/>
          <w:sz w:val="21"/>
        </w:rPr>
        <w:t>Article 11: The Lattice, Purpose, Method, and Standing</w:t>
      </w:r>
      <w:r>
        <w:rPr>
          <w:rFonts w:ascii="Cambria" w:hAnsi="Cambria"/>
          <w:sz w:val="21"/>
        </w:rPr>
        <w:tab/>
        <w:t>16</w:t>
      </w:r>
    </w:p>
    <w:p>
      <w:pPr>
        <w:tabs>
          <w:tab w:pos="9360" w:val="right" w:leader="dot"/>
        </w:tabs>
        <w:spacing w:before="0" w:after="40"/>
        <w:ind w:left="432"/>
      </w:pPr>
      <w:r>
        <w:rPr>
          <w:rFonts w:ascii="Cambria" w:hAnsi="Cambria"/>
          <w:sz w:val="21"/>
        </w:rPr>
        <w:t>Article 12: Cluster A – Visibility and Predictability (Exercises A-1 through A-10)</w:t>
      </w:r>
      <w:r>
        <w:rPr>
          <w:rFonts w:ascii="Cambria" w:hAnsi="Cambria"/>
          <w:sz w:val="21"/>
        </w:rPr>
        <w:tab/>
        <w:t>16</w:t>
      </w:r>
    </w:p>
    <w:p>
      <w:pPr>
        <w:tabs>
          <w:tab w:pos="9360" w:val="right" w:leader="dot"/>
        </w:tabs>
        <w:spacing w:before="0" w:after="40"/>
        <w:ind w:left="432"/>
      </w:pPr>
      <w:r>
        <w:rPr>
          <w:rFonts w:ascii="Cambria" w:hAnsi="Cambria"/>
          <w:sz w:val="21"/>
        </w:rPr>
        <w:t>Article 13: Cluster B – Micro-Routing and Movement Safety (Exercises B-1 through B-10)</w:t>
      </w:r>
      <w:r>
        <w:rPr>
          <w:rFonts w:ascii="Cambria" w:hAnsi="Cambria"/>
          <w:sz w:val="21"/>
        </w:rPr>
        <w:tab/>
        <w:t>18</w:t>
      </w:r>
    </w:p>
    <w:p>
      <w:pPr>
        <w:tabs>
          <w:tab w:pos="9360" w:val="right" w:leader="dot"/>
        </w:tabs>
        <w:spacing w:before="0" w:after="40"/>
        <w:ind w:left="432"/>
      </w:pPr>
      <w:r>
        <w:rPr>
          <w:rFonts w:ascii="Cambria" w:hAnsi="Cambria"/>
          <w:sz w:val="21"/>
        </w:rPr>
        <w:t>Article 14: Cluster C – Micro-Alerts and Incident Reduction (Exercises C-1 through C-10)</w:t>
      </w:r>
      <w:r>
        <w:rPr>
          <w:rFonts w:ascii="Cambria" w:hAnsi="Cambria"/>
          <w:sz w:val="21"/>
        </w:rPr>
        <w:tab/>
        <w:t>20</w:t>
      </w:r>
    </w:p>
    <w:p>
      <w:pPr>
        <w:tabs>
          <w:tab w:pos="9360" w:val="right" w:leader="dot"/>
        </w:tabs>
        <w:spacing w:before="0" w:after="40"/>
        <w:ind w:left="432"/>
      </w:pPr>
      <w:r>
        <w:rPr>
          <w:rFonts w:ascii="Cambria" w:hAnsi="Cambria"/>
          <w:sz w:val="21"/>
        </w:rPr>
        <w:t>Article 15: Cluster D – Micro-Response and Repair Coordination (Exercises D-1 through D-10)</w:t>
      </w:r>
      <w:r>
        <w:rPr>
          <w:rFonts w:ascii="Cambria" w:hAnsi="Cambria"/>
          <w:sz w:val="21"/>
        </w:rPr>
        <w:tab/>
        <w:t>22</w:t>
      </w:r>
    </w:p>
    <w:p>
      <w:pPr>
        <w:tabs>
          <w:tab w:pos="9360" w:val="right" w:leader="dot"/>
        </w:tabs>
        <w:spacing w:before="0" w:after="40"/>
        <w:ind w:left="432"/>
      </w:pPr>
      <w:r>
        <w:rPr>
          <w:rFonts w:ascii="Cambria" w:hAnsi="Cambria"/>
          <w:sz w:val="21"/>
        </w:rPr>
        <w:t>Article 16: Cluster E – Micro-Governance and Simulation (Exercises E-1 through E-10)</w:t>
      </w:r>
      <w:r>
        <w:rPr>
          <w:rFonts w:ascii="Cambria" w:hAnsi="Cambria"/>
          <w:sz w:val="21"/>
        </w:rPr>
        <w:tab/>
        <w:t>24</w:t>
      </w:r>
    </w:p>
    <w:p>
      <w:pPr>
        <w:tabs>
          <w:tab w:pos="9360" w:val="right" w:leader="dot"/>
        </w:tabs>
        <w:spacing w:before="0" w:after="40"/>
        <w:ind w:left="432"/>
      </w:pPr>
      <w:r>
        <w:rPr>
          <w:rFonts w:ascii="Cambria" w:hAnsi="Cambria"/>
          <w:sz w:val="21"/>
        </w:rPr>
        <w:t>Article 17: Gate Zero – The First Stability Certification</w:t>
      </w:r>
      <w:r>
        <w:rPr>
          <w:rFonts w:ascii="Cambria" w:hAnsi="Cambria"/>
          <w:sz w:val="21"/>
        </w:rPr>
        <w:tab/>
        <w:t>26</w:t>
      </w:r>
    </w:p>
    <w:p>
      <w:pPr>
        <w:tabs>
          <w:tab w:pos="9360" w:val="right" w:leader="dot"/>
        </w:tabs>
        <w:spacing w:before="200" w:after="40"/>
        <w:ind w:left="0"/>
      </w:pPr>
      <w:r>
        <w:rPr>
          <w:rFonts w:ascii="Cambria" w:hAnsi="Cambria"/>
          <w:b/>
          <w:color w:val="1F3A5F"/>
          <w:sz w:val="23"/>
        </w:rPr>
        <w:t>PART III: LAYER 1 – THE MESO-PROTOCOLS (Day 1 to Day 7, running in parallel with Layer 0)</w:t>
      </w:r>
      <w:r>
        <w:rPr>
          <w:rFonts w:ascii="Cambria" w:hAnsi="Cambria"/>
          <w:b/>
          <w:color w:val="1F3A5F"/>
          <w:sz w:val="23"/>
        </w:rPr>
        <w:tab/>
        <w:t>27</w:t>
      </w:r>
    </w:p>
    <w:p>
      <w:pPr>
        <w:tabs>
          <w:tab w:pos="9360" w:val="right" w:leader="dot"/>
        </w:tabs>
        <w:spacing w:before="0" w:after="40"/>
        <w:ind w:left="432"/>
      </w:pPr>
      <w:r>
        <w:rPr>
          <w:rFonts w:ascii="Cambria" w:hAnsi="Cambria"/>
          <w:sz w:val="21"/>
        </w:rPr>
        <w:t>Article 18: The Pilot Corridor Program</w:t>
      </w:r>
      <w:r>
        <w:rPr>
          <w:rFonts w:ascii="Cambria" w:hAnsi="Cambria"/>
          <w:sz w:val="21"/>
        </w:rPr>
        <w:tab/>
        <w:t>27</w:t>
      </w:r>
    </w:p>
    <w:p>
      <w:pPr>
        <w:tabs>
          <w:tab w:pos="9360" w:val="right" w:leader="dot"/>
        </w:tabs>
        <w:spacing w:before="0" w:after="40"/>
        <w:ind w:left="432"/>
      </w:pPr>
      <w:r>
        <w:rPr>
          <w:rFonts w:ascii="Cambria" w:hAnsi="Cambria"/>
          <w:sz w:val="21"/>
        </w:rPr>
        <w:t>Article 19: Routing Advisories and Calm-Sea Windows</w:t>
      </w:r>
      <w:r>
        <w:rPr>
          <w:rFonts w:ascii="Cambria" w:hAnsi="Cambria"/>
          <w:sz w:val="21"/>
        </w:rPr>
        <w:tab/>
        <w:t>27</w:t>
      </w:r>
    </w:p>
    <w:p>
      <w:pPr>
        <w:tabs>
          <w:tab w:pos="9360" w:val="right" w:leader="dot"/>
        </w:tabs>
        <w:spacing w:before="0" w:after="40"/>
        <w:ind w:left="432"/>
      </w:pPr>
      <w:r>
        <w:rPr>
          <w:rFonts w:ascii="Cambria" w:hAnsi="Cambria"/>
          <w:sz w:val="21"/>
        </w:rPr>
        <w:t>Article 20: The Common Channel and the Signal Framework</w:t>
      </w:r>
      <w:r>
        <w:rPr>
          <w:rFonts w:ascii="Cambria" w:hAnsi="Cambria"/>
          <w:sz w:val="21"/>
        </w:rPr>
        <w:tab/>
        <w:t>27</w:t>
      </w:r>
    </w:p>
    <w:p>
      <w:pPr>
        <w:tabs>
          <w:tab w:pos="9360" w:val="right" w:leader="dot"/>
        </w:tabs>
        <w:spacing w:before="0" w:after="40"/>
        <w:ind w:left="432"/>
      </w:pPr>
      <w:r>
        <w:rPr>
          <w:rFonts w:ascii="Cambria" w:hAnsi="Cambria"/>
          <w:sz w:val="21"/>
        </w:rPr>
        <w:t>Article 21: The Vessel-Intent Form and the Standing Logbook</w:t>
      </w:r>
      <w:r>
        <w:rPr>
          <w:rFonts w:ascii="Cambria" w:hAnsi="Cambria"/>
          <w:sz w:val="21"/>
        </w:rPr>
        <w:tab/>
        <w:t>28</w:t>
      </w:r>
    </w:p>
    <w:p>
      <w:pPr>
        <w:tabs>
          <w:tab w:pos="9360" w:val="right" w:leader="dot"/>
        </w:tabs>
        <w:spacing w:before="0" w:after="40"/>
        <w:ind w:left="432"/>
      </w:pPr>
      <w:r>
        <w:rPr>
          <w:rFonts w:ascii="Cambria" w:hAnsi="Cambria"/>
          <w:sz w:val="21"/>
        </w:rPr>
        <w:t>Article 22: Gate One – From Protocols to Systems</w:t>
      </w:r>
      <w:r>
        <w:rPr>
          <w:rFonts w:ascii="Cambria" w:hAnsi="Cambria"/>
          <w:sz w:val="21"/>
        </w:rPr>
        <w:tab/>
        <w:t>28</w:t>
      </w:r>
    </w:p>
    <w:p>
      <w:pPr>
        <w:tabs>
          <w:tab w:pos="9360" w:val="right" w:leader="dot"/>
        </w:tabs>
        <w:spacing w:before="200" w:after="40"/>
        <w:ind w:left="0"/>
      </w:pPr>
      <w:r>
        <w:rPr>
          <w:rFonts w:ascii="Cambria" w:hAnsi="Cambria"/>
          <w:b/>
          <w:color w:val="1F3A5F"/>
          <w:sz w:val="23"/>
        </w:rPr>
        <w:t>PART IV: LAYER 2 – THE MESO-SYSTEMS (Day 3 to Day 10, running in parallel with Layers 0 and 1)</w:t>
      </w:r>
      <w:r>
        <w:rPr>
          <w:rFonts w:ascii="Cambria" w:hAnsi="Cambria"/>
          <w:b/>
          <w:color w:val="1F3A5F"/>
          <w:sz w:val="23"/>
        </w:rPr>
        <w:tab/>
        <w:t>29</w:t>
      </w:r>
    </w:p>
    <w:p>
      <w:pPr>
        <w:tabs>
          <w:tab w:pos="9360" w:val="right" w:leader="dot"/>
        </w:tabs>
        <w:spacing w:before="0" w:after="40"/>
        <w:ind w:left="432"/>
      </w:pPr>
      <w:r>
        <w:rPr>
          <w:rFonts w:ascii="Cambria" w:hAnsi="Cambria"/>
          <w:sz w:val="21"/>
        </w:rPr>
        <w:t>Article 23: The Incident-Alert Mesh</w:t>
      </w:r>
      <w:r>
        <w:rPr>
          <w:rFonts w:ascii="Cambria" w:hAnsi="Cambria"/>
          <w:sz w:val="21"/>
        </w:rPr>
        <w:tab/>
        <w:t>29</w:t>
      </w:r>
    </w:p>
    <w:p>
      <w:pPr>
        <w:tabs>
          <w:tab w:pos="9360" w:val="right" w:leader="dot"/>
        </w:tabs>
        <w:spacing w:before="0" w:after="40"/>
        <w:ind w:left="432"/>
      </w:pPr>
      <w:r>
        <w:rPr>
          <w:rFonts w:ascii="Cambria" w:hAnsi="Cambria"/>
          <w:sz w:val="21"/>
        </w:rPr>
        <w:t>Article 24: The Joint Drift-Prediction and Hazard Model</w:t>
      </w:r>
      <w:r>
        <w:rPr>
          <w:rFonts w:ascii="Cambria" w:hAnsi="Cambria"/>
          <w:sz w:val="21"/>
        </w:rPr>
        <w:tab/>
        <w:t>29</w:t>
      </w:r>
    </w:p>
    <w:p>
      <w:pPr>
        <w:tabs>
          <w:tab w:pos="9360" w:val="right" w:leader="dot"/>
        </w:tabs>
        <w:spacing w:before="0" w:after="40"/>
        <w:ind w:left="432"/>
      </w:pPr>
      <w:r>
        <w:rPr>
          <w:rFonts w:ascii="Cambria" w:hAnsi="Cambria"/>
          <w:sz w:val="21"/>
        </w:rPr>
        <w:t>Article 25: The Response Mesh</w:t>
      </w:r>
      <w:r>
        <w:rPr>
          <w:rFonts w:ascii="Cambria" w:hAnsi="Cambria"/>
          <w:sz w:val="21"/>
        </w:rPr>
        <w:tab/>
        <w:t>29</w:t>
      </w:r>
    </w:p>
    <w:p>
      <w:pPr>
        <w:tabs>
          <w:tab w:pos="9360" w:val="right" w:leader="dot"/>
        </w:tabs>
        <w:spacing w:before="0" w:after="40"/>
        <w:ind w:left="432"/>
      </w:pPr>
      <w:r>
        <w:rPr>
          <w:rFonts w:ascii="Cambria" w:hAnsi="Cambria"/>
          <w:sz w:val="21"/>
        </w:rPr>
        <w:t>Article 26: The Shared Weather and Hazard Service</w:t>
      </w:r>
      <w:r>
        <w:rPr>
          <w:rFonts w:ascii="Cambria" w:hAnsi="Cambria"/>
          <w:sz w:val="21"/>
        </w:rPr>
        <w:tab/>
        <w:t>30</w:t>
      </w:r>
    </w:p>
    <w:p>
      <w:pPr>
        <w:tabs>
          <w:tab w:pos="9360" w:val="right" w:leader="dot"/>
        </w:tabs>
        <w:spacing w:before="0" w:after="40"/>
        <w:ind w:left="432"/>
      </w:pPr>
      <w:r>
        <w:rPr>
          <w:rFonts w:ascii="Cambria" w:hAnsi="Cambria"/>
          <w:sz w:val="21"/>
        </w:rPr>
        <w:t>Article 27: Gate Two – From Systems to Institutions</w:t>
      </w:r>
      <w:r>
        <w:rPr>
          <w:rFonts w:ascii="Cambria" w:hAnsi="Cambria"/>
          <w:sz w:val="21"/>
        </w:rPr>
        <w:tab/>
        <w:t>30</w:t>
      </w:r>
    </w:p>
    <w:p>
      <w:pPr>
        <w:tabs>
          <w:tab w:pos="9360" w:val="right" w:leader="dot"/>
        </w:tabs>
        <w:spacing w:before="200" w:after="40"/>
        <w:ind w:left="0"/>
      </w:pPr>
      <w:r>
        <w:rPr>
          <w:rFonts w:ascii="Cambria" w:hAnsi="Cambria"/>
          <w:b/>
          <w:color w:val="1F3A5F"/>
          <w:sz w:val="23"/>
        </w:rPr>
        <w:t>PART V: LAYER 3 – THE PROTO-GOVERNANCE (Day 7 to Day 14)</w:t>
      </w:r>
      <w:r>
        <w:rPr>
          <w:rFonts w:ascii="Cambria" w:hAnsi="Cambria"/>
          <w:b/>
          <w:color w:val="1F3A5F"/>
          <w:sz w:val="23"/>
        </w:rPr>
        <w:tab/>
        <w:t>31</w:t>
      </w:r>
    </w:p>
    <w:p>
      <w:pPr>
        <w:tabs>
          <w:tab w:pos="9360" w:val="right" w:leader="dot"/>
        </w:tabs>
        <w:spacing w:before="0" w:after="40"/>
        <w:ind w:left="432"/>
      </w:pPr>
      <w:r>
        <w:rPr>
          <w:rFonts w:ascii="Cambria" w:hAnsi="Cambria"/>
          <w:sz w:val="21"/>
        </w:rPr>
        <w:t>Article 28: The Calm Waters Cell</w:t>
      </w:r>
      <w:r>
        <w:rPr>
          <w:rFonts w:ascii="Cambria" w:hAnsi="Cambria"/>
          <w:sz w:val="21"/>
        </w:rPr>
        <w:tab/>
        <w:t>31</w:t>
      </w:r>
    </w:p>
    <w:p>
      <w:pPr>
        <w:tabs>
          <w:tab w:pos="9360" w:val="right" w:leader="dot"/>
        </w:tabs>
        <w:spacing w:before="0" w:after="40"/>
        <w:ind w:left="432"/>
      </w:pPr>
      <w:r>
        <w:rPr>
          <w:rFonts w:ascii="Cambria" w:hAnsi="Cambria"/>
          <w:sz w:val="21"/>
        </w:rPr>
        <w:t>Article 29: The Joint Coordination Desk</w:t>
      </w:r>
      <w:r>
        <w:rPr>
          <w:rFonts w:ascii="Cambria" w:hAnsi="Cambria"/>
          <w:sz w:val="21"/>
        </w:rPr>
        <w:tab/>
        <w:t>31</w:t>
      </w:r>
    </w:p>
    <w:p>
      <w:pPr>
        <w:tabs>
          <w:tab w:pos="9360" w:val="right" w:leader="dot"/>
        </w:tabs>
        <w:spacing w:before="0" w:after="40"/>
        <w:ind w:left="432"/>
      </w:pPr>
      <w:r>
        <w:rPr>
          <w:rFonts w:ascii="Cambria" w:hAnsi="Cambria"/>
          <w:sz w:val="21"/>
        </w:rPr>
        <w:t>Article 30: The Accelerated Review Cycle</w:t>
      </w:r>
      <w:r>
        <w:rPr>
          <w:rFonts w:ascii="Cambria" w:hAnsi="Cambria"/>
          <w:sz w:val="21"/>
        </w:rPr>
        <w:tab/>
        <w:t>31</w:t>
      </w:r>
    </w:p>
    <w:p>
      <w:pPr>
        <w:tabs>
          <w:tab w:pos="9360" w:val="right" w:leader="dot"/>
        </w:tabs>
        <w:spacing w:before="0" w:after="40"/>
        <w:ind w:left="432"/>
      </w:pPr>
      <w:r>
        <w:rPr>
          <w:rFonts w:ascii="Cambria" w:hAnsi="Cambria"/>
          <w:sz w:val="21"/>
        </w:rPr>
        <w:t>Article 31: Crisis-Mode Coordination</w:t>
      </w:r>
      <w:r>
        <w:rPr>
          <w:rFonts w:ascii="Cambria" w:hAnsi="Cambria"/>
          <w:sz w:val="21"/>
        </w:rPr>
        <w:tab/>
        <w:t>32</w:t>
      </w:r>
    </w:p>
    <w:p>
      <w:pPr>
        <w:tabs>
          <w:tab w:pos="9360" w:val="right" w:leader="dot"/>
        </w:tabs>
        <w:spacing w:before="0" w:after="40"/>
        <w:ind w:left="432"/>
      </w:pPr>
      <w:r>
        <w:rPr>
          <w:rFonts w:ascii="Cambria" w:hAnsi="Cambria"/>
          <w:sz w:val="21"/>
        </w:rPr>
        <w:t>Article 32: Gate Three – From Institutions to Simulation</w:t>
      </w:r>
      <w:r>
        <w:rPr>
          <w:rFonts w:ascii="Cambria" w:hAnsi="Cambria"/>
          <w:sz w:val="21"/>
        </w:rPr>
        <w:tab/>
        <w:t>32</w:t>
      </w:r>
    </w:p>
    <w:p>
      <w:pPr>
        <w:tabs>
          <w:tab w:pos="9360" w:val="right" w:leader="dot"/>
        </w:tabs>
        <w:spacing w:before="200" w:after="40"/>
        <w:ind w:left="0"/>
      </w:pPr>
      <w:r>
        <w:rPr>
          <w:rFonts w:ascii="Cambria" w:hAnsi="Cambria"/>
          <w:b/>
          <w:color w:val="1F3A5F"/>
          <w:sz w:val="23"/>
        </w:rPr>
        <w:t>PART VI: LAYER 4 – THE SIMULATION LAYER (Day 10 to Day 18, running in parallel with Layer 3)</w:t>
      </w:r>
      <w:r>
        <w:rPr>
          <w:rFonts w:ascii="Cambria" w:hAnsi="Cambria"/>
          <w:b/>
          <w:color w:val="1F3A5F"/>
          <w:sz w:val="23"/>
        </w:rPr>
        <w:tab/>
        <w:t>33</w:t>
      </w:r>
    </w:p>
    <w:p>
      <w:pPr>
        <w:tabs>
          <w:tab w:pos="9360" w:val="right" w:leader="dot"/>
        </w:tabs>
        <w:spacing w:before="0" w:after="40"/>
        <w:ind w:left="432"/>
      </w:pPr>
      <w:r>
        <w:rPr>
          <w:rFonts w:ascii="Cambria" w:hAnsi="Cambria"/>
          <w:sz w:val="21"/>
        </w:rPr>
        <w:t>Article 33: The Simulation Rule</w:t>
      </w:r>
      <w:r>
        <w:rPr>
          <w:rFonts w:ascii="Cambria" w:hAnsi="Cambria"/>
          <w:sz w:val="21"/>
        </w:rPr>
        <w:tab/>
        <w:t>33</w:t>
      </w:r>
    </w:p>
    <w:p>
      <w:pPr>
        <w:tabs>
          <w:tab w:pos="9360" w:val="right" w:leader="dot"/>
        </w:tabs>
        <w:spacing w:before="0" w:after="40"/>
        <w:ind w:left="432"/>
      </w:pPr>
      <w:r>
        <w:rPr>
          <w:rFonts w:ascii="Cambria" w:hAnsi="Cambria"/>
          <w:sz w:val="21"/>
        </w:rPr>
        <w:t>Article 34: The Fee and Reimbursement Simulation</w:t>
      </w:r>
      <w:r>
        <w:rPr>
          <w:rFonts w:ascii="Cambria" w:hAnsi="Cambria"/>
          <w:sz w:val="21"/>
        </w:rPr>
        <w:tab/>
        <w:t>33</w:t>
      </w:r>
    </w:p>
    <w:p>
      <w:pPr>
        <w:tabs>
          <w:tab w:pos="9360" w:val="right" w:leader="dot"/>
        </w:tabs>
        <w:spacing w:before="0" w:after="40"/>
        <w:ind w:left="432"/>
      </w:pPr>
      <w:r>
        <w:rPr>
          <w:rFonts w:ascii="Cambria" w:hAnsi="Cambria"/>
          <w:sz w:val="21"/>
        </w:rPr>
        <w:t>Article 35: The Corridor-Expansion and Traffic Simulations</w:t>
      </w:r>
      <w:r>
        <w:rPr>
          <w:rFonts w:ascii="Cambria" w:hAnsi="Cambria"/>
          <w:sz w:val="21"/>
        </w:rPr>
        <w:tab/>
        <w:t>33</w:t>
      </w:r>
    </w:p>
    <w:p>
      <w:pPr>
        <w:tabs>
          <w:tab w:pos="9360" w:val="right" w:leader="dot"/>
        </w:tabs>
        <w:spacing w:before="0" w:after="40"/>
        <w:ind w:left="432"/>
      </w:pPr>
      <w:r>
        <w:rPr>
          <w:rFonts w:ascii="Cambria" w:hAnsi="Cambria"/>
          <w:sz w:val="21"/>
        </w:rPr>
        <w:t>Article 36: The Insurance and Market-Impact Model</w:t>
      </w:r>
      <w:r>
        <w:rPr>
          <w:rFonts w:ascii="Cambria" w:hAnsi="Cambria"/>
          <w:sz w:val="21"/>
        </w:rPr>
        <w:tab/>
        <w:t>33</w:t>
      </w:r>
    </w:p>
    <w:p>
      <w:pPr>
        <w:tabs>
          <w:tab w:pos="9360" w:val="right" w:leader="dot"/>
        </w:tabs>
        <w:spacing w:before="0" w:after="40"/>
        <w:ind w:left="432"/>
      </w:pPr>
      <w:r>
        <w:rPr>
          <w:rFonts w:ascii="Cambria" w:hAnsi="Cambria"/>
          <w:sz w:val="21"/>
        </w:rPr>
        <w:t>Article 37: Gate Four – From Simulation to Integration</w:t>
      </w:r>
      <w:r>
        <w:rPr>
          <w:rFonts w:ascii="Cambria" w:hAnsi="Cambria"/>
          <w:sz w:val="21"/>
        </w:rPr>
        <w:tab/>
        <w:t>34</w:t>
      </w:r>
    </w:p>
    <w:p>
      <w:pPr>
        <w:tabs>
          <w:tab w:pos="9360" w:val="right" w:leader="dot"/>
        </w:tabs>
        <w:spacing w:before="200" w:after="40"/>
        <w:ind w:left="0"/>
      </w:pPr>
      <w:r>
        <w:rPr>
          <w:rFonts w:ascii="Cambria" w:hAnsi="Cambria"/>
          <w:b/>
          <w:color w:val="1F3A5F"/>
          <w:sz w:val="23"/>
        </w:rPr>
        <w:t>PART VII: LAYER 5 – THE INTEGRATION LAYER (Day 14 to Day 21)</w:t>
      </w:r>
      <w:r>
        <w:rPr>
          <w:rFonts w:ascii="Cambria" w:hAnsi="Cambria"/>
          <w:b/>
          <w:color w:val="1F3A5F"/>
          <w:sz w:val="23"/>
        </w:rPr>
        <w:tab/>
        <w:t>35</w:t>
      </w:r>
    </w:p>
    <w:p>
      <w:pPr>
        <w:tabs>
          <w:tab w:pos="9360" w:val="right" w:leader="dot"/>
        </w:tabs>
        <w:spacing w:before="0" w:after="40"/>
        <w:ind w:left="432"/>
      </w:pPr>
      <w:r>
        <w:rPr>
          <w:rFonts w:ascii="Cambria" w:hAnsi="Cambria"/>
          <w:sz w:val="21"/>
        </w:rPr>
        <w:t>Article 38: The Five Integrations</w:t>
      </w:r>
      <w:r>
        <w:rPr>
          <w:rFonts w:ascii="Cambria" w:hAnsi="Cambria"/>
          <w:sz w:val="21"/>
        </w:rPr>
        <w:tab/>
        <w:t>35</w:t>
      </w:r>
    </w:p>
    <w:p>
      <w:pPr>
        <w:tabs>
          <w:tab w:pos="9360" w:val="right" w:leader="dot"/>
        </w:tabs>
        <w:spacing w:before="0" w:after="40"/>
        <w:ind w:left="432"/>
      </w:pPr>
      <w:r>
        <w:rPr>
          <w:rFonts w:ascii="Cambria" w:hAnsi="Cambria"/>
          <w:sz w:val="21"/>
        </w:rPr>
        <w:t>Article 39: The Synchronized Indivisible Event</w:t>
      </w:r>
      <w:r>
        <w:rPr>
          <w:rFonts w:ascii="Cambria" w:hAnsi="Cambria"/>
          <w:sz w:val="21"/>
        </w:rPr>
        <w:tab/>
        <w:t>35</w:t>
      </w:r>
    </w:p>
    <w:p>
      <w:pPr>
        <w:tabs>
          <w:tab w:pos="9360" w:val="right" w:leader="dot"/>
        </w:tabs>
        <w:spacing w:before="0" w:after="40"/>
        <w:ind w:left="432"/>
      </w:pPr>
      <w:r>
        <w:rPr>
          <w:rFonts w:ascii="Cambria" w:hAnsi="Cambria"/>
          <w:sz w:val="21"/>
        </w:rPr>
        <w:t>Article 40: The Open Strait Package</w:t>
      </w:r>
      <w:r>
        <w:rPr>
          <w:rFonts w:ascii="Cambria" w:hAnsi="Cambria"/>
          <w:sz w:val="21"/>
        </w:rPr>
        <w:tab/>
        <w:t>36</w:t>
      </w:r>
    </w:p>
    <w:p>
      <w:pPr>
        <w:tabs>
          <w:tab w:pos="9360" w:val="right" w:leader="dot"/>
        </w:tabs>
        <w:spacing w:before="0" w:after="40"/>
        <w:ind w:left="432"/>
      </w:pPr>
      <w:r>
        <w:rPr>
          <w:rFonts w:ascii="Cambria" w:hAnsi="Cambria"/>
          <w:sz w:val="21"/>
        </w:rPr>
        <w:t>Article 41: Gate Five – The Stability Audit</w:t>
      </w:r>
      <w:r>
        <w:rPr>
          <w:rFonts w:ascii="Cambria" w:hAnsi="Cambria"/>
          <w:sz w:val="21"/>
        </w:rPr>
        <w:tab/>
        <w:t>36</w:t>
      </w:r>
    </w:p>
    <w:p>
      <w:pPr>
        <w:tabs>
          <w:tab w:pos="9360" w:val="right" w:leader="dot"/>
        </w:tabs>
        <w:spacing w:before="200" w:after="40"/>
        <w:ind w:left="0"/>
      </w:pPr>
      <w:r>
        <w:rPr>
          <w:rFonts w:ascii="Cambria" w:hAnsi="Cambria"/>
          <w:b/>
          <w:color w:val="1F3A5F"/>
          <w:sz w:val="23"/>
        </w:rPr>
        <w:t>PART VIII: LAYER 6 – THE FINAL CHARTER</w:t>
      </w:r>
      <w:r>
        <w:rPr>
          <w:rFonts w:ascii="Cambria" w:hAnsi="Cambria"/>
          <w:b/>
          <w:color w:val="1F3A5F"/>
          <w:sz w:val="23"/>
        </w:rPr>
        <w:tab/>
        <w:t>37</w:t>
      </w:r>
    </w:p>
    <w:p>
      <w:pPr>
        <w:tabs>
          <w:tab w:pos="9360" w:val="right" w:leader="dot"/>
        </w:tabs>
        <w:spacing w:before="0" w:after="40"/>
        <w:ind w:left="432"/>
      </w:pPr>
      <w:r>
        <w:rPr>
          <w:rFonts w:ascii="Cambria" w:hAnsi="Cambria"/>
          <w:sz w:val="21"/>
        </w:rPr>
        <w:t>Article 42: The Three-Corridor System and Coordinates</w:t>
      </w:r>
      <w:r>
        <w:rPr>
          <w:rFonts w:ascii="Cambria" w:hAnsi="Cambria"/>
          <w:sz w:val="21"/>
        </w:rPr>
        <w:tab/>
        <w:t>37</w:t>
      </w:r>
    </w:p>
    <w:p>
      <w:pPr>
        <w:tabs>
          <w:tab w:pos="9360" w:val="right" w:leader="dot"/>
        </w:tabs>
        <w:spacing w:before="0" w:after="40"/>
        <w:ind w:left="432"/>
      </w:pPr>
      <w:r>
        <w:rPr>
          <w:rFonts w:ascii="Cambria" w:hAnsi="Cambria"/>
          <w:sz w:val="21"/>
        </w:rPr>
        <w:t>Article 43: Vessel Classification and Passage Rules</w:t>
      </w:r>
      <w:r>
        <w:rPr>
          <w:rFonts w:ascii="Cambria" w:hAnsi="Cambria"/>
          <w:sz w:val="21"/>
        </w:rPr>
        <w:tab/>
        <w:t>37</w:t>
      </w:r>
    </w:p>
    <w:p>
      <w:pPr>
        <w:tabs>
          <w:tab w:pos="9360" w:val="right" w:leader="dot"/>
        </w:tabs>
        <w:spacing w:before="0" w:after="40"/>
        <w:ind w:left="432"/>
      </w:pPr>
      <w:r>
        <w:rPr>
          <w:rFonts w:ascii="Cambria" w:hAnsi="Cambria"/>
          <w:sz w:val="21"/>
        </w:rPr>
        <w:t>Article 44: The Notification Protocol</w:t>
      </w:r>
      <w:r>
        <w:rPr>
          <w:rFonts w:ascii="Cambria" w:hAnsi="Cambria"/>
          <w:sz w:val="21"/>
        </w:rPr>
        <w:tab/>
        <w:t>38</w:t>
      </w:r>
    </w:p>
    <w:p>
      <w:pPr>
        <w:tabs>
          <w:tab w:pos="9360" w:val="right" w:leader="dot"/>
        </w:tabs>
        <w:spacing w:before="0" w:after="40"/>
        <w:ind w:left="432"/>
      </w:pPr>
      <w:r>
        <w:rPr>
          <w:rFonts w:ascii="Cambria" w:hAnsi="Cambria"/>
          <w:sz w:val="21"/>
        </w:rPr>
        <w:t>Article 45: Flow States and the Open Water Bulletin</w:t>
      </w:r>
      <w:r>
        <w:rPr>
          <w:rFonts w:ascii="Cambria" w:hAnsi="Cambria"/>
          <w:sz w:val="21"/>
        </w:rPr>
        <w:tab/>
        <w:t>38</w:t>
      </w:r>
    </w:p>
    <w:p>
      <w:pPr>
        <w:tabs>
          <w:tab w:pos="9360" w:val="right" w:leader="dot"/>
        </w:tabs>
        <w:spacing w:before="0" w:after="40"/>
        <w:ind w:left="432"/>
      </w:pPr>
      <w:r>
        <w:rPr>
          <w:rFonts w:ascii="Cambria" w:hAnsi="Cambria"/>
          <w:sz w:val="21"/>
        </w:rPr>
        <w:t>Article 46: The Absolute Non-Interdiction Protocol</w:t>
      </w:r>
      <w:r>
        <w:rPr>
          <w:rFonts w:ascii="Cambria" w:hAnsi="Cambria"/>
          <w:sz w:val="21"/>
        </w:rPr>
        <w:tab/>
        <w:t>38</w:t>
      </w:r>
    </w:p>
    <w:p>
      <w:pPr>
        <w:tabs>
          <w:tab w:pos="9360" w:val="right" w:leader="dot"/>
        </w:tabs>
        <w:spacing w:before="0" w:after="40"/>
        <w:ind w:left="432"/>
      </w:pPr>
      <w:r>
        <w:rPr>
          <w:rFonts w:ascii="Cambria" w:hAnsi="Cambria"/>
          <w:sz w:val="21"/>
        </w:rPr>
        <w:t>Article 47: The Mine Exclusion and the Joint Survey</w:t>
      </w:r>
      <w:r>
        <w:rPr>
          <w:rFonts w:ascii="Cambria" w:hAnsi="Cambria"/>
          <w:sz w:val="21"/>
        </w:rPr>
        <w:tab/>
        <w:t>39</w:t>
      </w:r>
    </w:p>
    <w:p>
      <w:pPr>
        <w:tabs>
          <w:tab w:pos="9360" w:val="right" w:leader="dot"/>
        </w:tabs>
        <w:spacing w:before="0" w:after="40"/>
        <w:ind w:left="432"/>
      </w:pPr>
      <w:r>
        <w:rPr>
          <w:rFonts w:ascii="Cambria" w:hAnsi="Cambria"/>
          <w:sz w:val="21"/>
        </w:rPr>
        <w:t>Article 48: Standoff Geometry and De-confliction</w:t>
      </w:r>
      <w:r>
        <w:rPr>
          <w:rFonts w:ascii="Cambria" w:hAnsi="Cambria"/>
          <w:sz w:val="21"/>
        </w:rPr>
        <w:tab/>
        <w:t>39</w:t>
      </w:r>
    </w:p>
    <w:p>
      <w:pPr>
        <w:tabs>
          <w:tab w:pos="9360" w:val="right" w:leader="dot"/>
        </w:tabs>
        <w:spacing w:before="0" w:after="40"/>
        <w:ind w:left="432"/>
      </w:pPr>
      <w:r>
        <w:rPr>
          <w:rFonts w:ascii="Cambria" w:hAnsi="Cambria"/>
          <w:sz w:val="21"/>
        </w:rPr>
        <w:t>Article 49: The Institutions of the Charter</w:t>
      </w:r>
      <w:r>
        <w:rPr>
          <w:rFonts w:ascii="Cambria" w:hAnsi="Cambria"/>
          <w:sz w:val="21"/>
        </w:rPr>
        <w:tab/>
        <w:t>39</w:t>
      </w:r>
    </w:p>
    <w:p>
      <w:pPr>
        <w:tabs>
          <w:tab w:pos="9360" w:val="right" w:leader="dot"/>
        </w:tabs>
        <w:spacing w:before="0" w:after="40"/>
        <w:ind w:left="432"/>
      </w:pPr>
      <w:r>
        <w:rPr>
          <w:rFonts w:ascii="Cambria" w:hAnsi="Cambria"/>
          <w:sz w:val="21"/>
        </w:rPr>
        <w:t>Article 50: The Twin-Key Rule</w:t>
      </w:r>
      <w:r>
        <w:rPr>
          <w:rFonts w:ascii="Cambria" w:hAnsi="Cambria"/>
          <w:sz w:val="21"/>
        </w:rPr>
        <w:tab/>
        <w:t>40</w:t>
      </w:r>
    </w:p>
    <w:p>
      <w:pPr>
        <w:tabs>
          <w:tab w:pos="9360" w:val="right" w:leader="dot"/>
        </w:tabs>
        <w:spacing w:before="0" w:after="40"/>
        <w:ind w:left="432"/>
      </w:pPr>
      <w:r>
        <w:rPr>
          <w:rFonts w:ascii="Cambria" w:hAnsi="Cambria"/>
          <w:sz w:val="21"/>
        </w:rPr>
        <w:t>Article 51: The Zero-Toll Rule and the Service Distinction</w:t>
      </w:r>
      <w:r>
        <w:rPr>
          <w:rFonts w:ascii="Cambria" w:hAnsi="Cambria"/>
          <w:sz w:val="21"/>
        </w:rPr>
        <w:tab/>
        <w:t>40</w:t>
      </w:r>
    </w:p>
    <w:p>
      <w:pPr>
        <w:tabs>
          <w:tab w:pos="9360" w:val="right" w:leader="dot"/>
        </w:tabs>
        <w:spacing w:before="0" w:after="40"/>
        <w:ind w:left="432"/>
      </w:pPr>
      <w:r>
        <w:rPr>
          <w:rFonts w:ascii="Cambria" w:hAnsi="Cambria"/>
          <w:sz w:val="21"/>
        </w:rPr>
        <w:t>Article 52: The Calm Waters Fund</w:t>
      </w:r>
      <w:r>
        <w:rPr>
          <w:rFonts w:ascii="Cambria" w:hAnsi="Cambria"/>
          <w:sz w:val="21"/>
        </w:rPr>
        <w:tab/>
        <w:t>41</w:t>
      </w:r>
    </w:p>
    <w:p>
      <w:pPr>
        <w:tabs>
          <w:tab w:pos="9360" w:val="right" w:leader="dot"/>
        </w:tabs>
        <w:spacing w:before="0" w:after="40"/>
        <w:ind w:left="432"/>
      </w:pPr>
      <w:r>
        <w:rPr>
          <w:rFonts w:ascii="Cambria" w:hAnsi="Cambria"/>
          <w:sz w:val="21"/>
        </w:rPr>
        <w:t>Article 53: The Sanctions-Compliance Firewall and Anti-Circumvention</w:t>
      </w:r>
      <w:r>
        <w:rPr>
          <w:rFonts w:ascii="Cambria" w:hAnsi="Cambria"/>
          <w:sz w:val="21"/>
        </w:rPr>
        <w:tab/>
        <w:t>41</w:t>
      </w:r>
    </w:p>
    <w:p>
      <w:pPr>
        <w:tabs>
          <w:tab w:pos="9360" w:val="right" w:leader="dot"/>
        </w:tabs>
        <w:spacing w:before="0" w:after="40"/>
        <w:ind w:left="432"/>
      </w:pPr>
      <w:r>
        <w:rPr>
          <w:rFonts w:ascii="Cambria" w:hAnsi="Cambria"/>
          <w:sz w:val="21"/>
        </w:rPr>
        <w:t>Article 54: The PGSA Transition</w:t>
      </w:r>
      <w:r>
        <w:rPr>
          <w:rFonts w:ascii="Cambria" w:hAnsi="Cambria"/>
          <w:sz w:val="21"/>
        </w:rPr>
        <w:tab/>
        <w:t>42</w:t>
      </w:r>
    </w:p>
    <w:p>
      <w:pPr>
        <w:tabs>
          <w:tab w:pos="9360" w:val="right" w:leader="dot"/>
        </w:tabs>
        <w:spacing w:before="0" w:after="40"/>
        <w:ind w:left="432"/>
      </w:pPr>
      <w:r>
        <w:rPr>
          <w:rFonts w:ascii="Cambria" w:hAnsi="Cambria"/>
          <w:sz w:val="21"/>
        </w:rPr>
        <w:t>Article 55: Verification: The Human Anchor and the Convergence Standard</w:t>
      </w:r>
      <w:r>
        <w:rPr>
          <w:rFonts w:ascii="Cambria" w:hAnsi="Cambria"/>
          <w:sz w:val="21"/>
        </w:rPr>
        <w:tab/>
        <w:t>42</w:t>
      </w:r>
    </w:p>
    <w:p>
      <w:pPr>
        <w:tabs>
          <w:tab w:pos="9360" w:val="right" w:leader="dot"/>
        </w:tabs>
        <w:spacing w:before="0" w:after="40"/>
        <w:ind w:left="432"/>
      </w:pPr>
      <w:r>
        <w:rPr>
          <w:rFonts w:ascii="Cambria" w:hAnsi="Cambria"/>
          <w:sz w:val="21"/>
        </w:rPr>
        <w:t>Article 56: The Compliance Engine</w:t>
      </w:r>
      <w:r>
        <w:rPr>
          <w:rFonts w:ascii="Cambria" w:hAnsi="Cambria"/>
          <w:sz w:val="21"/>
        </w:rPr>
        <w:tab/>
        <w:t>43</w:t>
      </w:r>
    </w:p>
    <w:p>
      <w:pPr>
        <w:tabs>
          <w:tab w:pos="9360" w:val="right" w:leader="dot"/>
        </w:tabs>
        <w:spacing w:before="0" w:after="40"/>
        <w:ind w:left="432"/>
      </w:pPr>
      <w:r>
        <w:rPr>
          <w:rFonts w:ascii="Cambria" w:hAnsi="Cambria"/>
          <w:sz w:val="21"/>
        </w:rPr>
        <w:t>Article 57: Spoiler and Shock Hardening: The Stillwater Watch</w:t>
      </w:r>
      <w:r>
        <w:rPr>
          <w:rFonts w:ascii="Cambria" w:hAnsi="Cambria"/>
          <w:sz w:val="21"/>
        </w:rPr>
        <w:tab/>
        <w:t>43</w:t>
      </w:r>
    </w:p>
    <w:p>
      <w:pPr>
        <w:tabs>
          <w:tab w:pos="9360" w:val="right" w:leader="dot"/>
        </w:tabs>
        <w:spacing w:before="0" w:after="40"/>
        <w:ind w:left="432"/>
      </w:pPr>
      <w:r>
        <w:rPr>
          <w:rFonts w:ascii="Cambria" w:hAnsi="Cambria"/>
          <w:sz w:val="21"/>
        </w:rPr>
        <w:t>Article 58: Synchronized Relief and the Regional Interface</w:t>
      </w:r>
      <w:r>
        <w:rPr>
          <w:rFonts w:ascii="Cambria" w:hAnsi="Cambria"/>
          <w:sz w:val="21"/>
        </w:rPr>
        <w:tab/>
        <w:t>43</w:t>
      </w:r>
    </w:p>
    <w:p>
      <w:pPr>
        <w:tabs>
          <w:tab w:pos="9360" w:val="right" w:leader="dot"/>
        </w:tabs>
        <w:spacing w:before="0" w:after="40"/>
        <w:ind w:left="432"/>
      </w:pPr>
      <w:r>
        <w:rPr>
          <w:rFonts w:ascii="Cambria" w:hAnsi="Cambria"/>
          <w:sz w:val="21"/>
        </w:rPr>
        <w:t>Article 59: Accession, Observer Status, and Endorsing Stakeholders</w:t>
      </w:r>
      <w:r>
        <w:rPr>
          <w:rFonts w:ascii="Cambria" w:hAnsi="Cambria"/>
          <w:sz w:val="21"/>
        </w:rPr>
        <w:tab/>
        <w:t>44</w:t>
      </w:r>
    </w:p>
    <w:p>
      <w:pPr>
        <w:tabs>
          <w:tab w:pos="9360" w:val="right" w:leader="dot"/>
        </w:tabs>
        <w:spacing w:before="0" w:after="40"/>
        <w:ind w:left="432"/>
      </w:pPr>
      <w:r>
        <w:rPr>
          <w:rFonts w:ascii="Cambria" w:hAnsi="Cambria"/>
          <w:sz w:val="21"/>
        </w:rPr>
        <w:t>Article 60: Dispute Resolution</w:t>
      </w:r>
      <w:r>
        <w:rPr>
          <w:rFonts w:ascii="Cambria" w:hAnsi="Cambria"/>
          <w:sz w:val="21"/>
        </w:rPr>
        <w:tab/>
        <w:t>45</w:t>
      </w:r>
    </w:p>
    <w:p>
      <w:pPr>
        <w:tabs>
          <w:tab w:pos="9360" w:val="right" w:leader="dot"/>
        </w:tabs>
        <w:spacing w:before="0" w:after="40"/>
        <w:ind w:left="432"/>
      </w:pPr>
      <w:r>
        <w:rPr>
          <w:rFonts w:ascii="Cambria" w:hAnsi="Cambria"/>
          <w:sz w:val="21"/>
        </w:rPr>
        <w:t>Article 61: Continuity, Dormancy, Amendment, Withdrawal, and Entry into Force</w:t>
      </w:r>
      <w:r>
        <w:rPr>
          <w:rFonts w:ascii="Cambria" w:hAnsi="Cambria"/>
          <w:sz w:val="21"/>
        </w:rPr>
        <w:tab/>
        <w:t>45</w:t>
      </w:r>
    </w:p>
    <w:p>
      <w:pPr>
        <w:tabs>
          <w:tab w:pos="9360" w:val="right" w:leader="dot"/>
        </w:tabs>
        <w:spacing w:before="200" w:after="40"/>
        <w:ind w:left="0"/>
      </w:pPr>
      <w:r>
        <w:rPr>
          <w:rFonts w:ascii="Cambria" w:hAnsi="Cambria"/>
          <w:b/>
          <w:color w:val="1F3A5F"/>
          <w:sz w:val="23"/>
        </w:rPr>
        <w:t>SIGNATURE AND ENDORSEMENT</w:t>
      </w:r>
      <w:r>
        <w:rPr>
          <w:rFonts w:ascii="Cambria" w:hAnsi="Cambria"/>
          <w:b/>
          <w:color w:val="1F3A5F"/>
          <w:sz w:val="23"/>
        </w:rPr>
        <w:tab/>
        <w:t>47</w:t>
      </w:r>
    </w:p>
    <w:p>
      <w:pPr>
        <w:tabs>
          <w:tab w:pos="9360" w:val="right" w:leader="dot"/>
        </w:tabs>
        <w:spacing w:before="200" w:after="40"/>
        <w:ind w:left="0"/>
      </w:pPr>
      <w:r>
        <w:rPr>
          <w:rFonts w:ascii="Cambria" w:hAnsi="Cambria"/>
          <w:b/>
          <w:color w:val="1F3A5F"/>
          <w:sz w:val="23"/>
        </w:rPr>
        <w:t>ANNEXES</w:t>
      </w:r>
      <w:r>
        <w:rPr>
          <w:rFonts w:ascii="Cambria" w:hAnsi="Cambria"/>
          <w:b/>
          <w:color w:val="1F3A5F"/>
          <w:sz w:val="23"/>
        </w:rPr>
        <w:tab/>
        <w:t>48</w:t>
      </w:r>
    </w:p>
    <w:p>
      <w:pPr>
        <w:tabs>
          <w:tab w:pos="9360" w:val="right" w:leader="dot"/>
        </w:tabs>
        <w:spacing w:before="0" w:after="40"/>
        <w:ind w:left="432"/>
      </w:pPr>
      <w:r>
        <w:rPr>
          <w:rFonts w:ascii="Cambria" w:hAnsi="Cambria"/>
          <w:sz w:val="21"/>
        </w:rPr>
        <w:t>Annex A: Corridor Geometry and Coordinates</w:t>
      </w:r>
      <w:r>
        <w:rPr>
          <w:rFonts w:ascii="Cambria" w:hAnsi="Cambria"/>
          <w:sz w:val="21"/>
        </w:rPr>
        <w:tab/>
        <w:t>48</w:t>
      </w:r>
    </w:p>
    <w:p>
      <w:pPr>
        <w:tabs>
          <w:tab w:pos="9360" w:val="right" w:leader="dot"/>
        </w:tabs>
        <w:spacing w:before="0" w:after="40"/>
        <w:ind w:left="432"/>
      </w:pPr>
      <w:r>
        <w:rPr>
          <w:rFonts w:ascii="Cambria" w:hAnsi="Cambria"/>
          <w:sz w:val="21"/>
        </w:rPr>
        <w:t>Annex B: The Micro-Exercise Master Index</w:t>
      </w:r>
      <w:r>
        <w:rPr>
          <w:rFonts w:ascii="Cambria" w:hAnsi="Cambria"/>
          <w:sz w:val="21"/>
        </w:rPr>
        <w:tab/>
        <w:t>50</w:t>
      </w:r>
    </w:p>
    <w:p>
      <w:pPr>
        <w:tabs>
          <w:tab w:pos="9360" w:val="right" w:leader="dot"/>
        </w:tabs>
        <w:spacing w:before="0" w:after="40"/>
        <w:ind w:left="432"/>
      </w:pPr>
      <w:r>
        <w:rPr>
          <w:rFonts w:ascii="Cambria" w:hAnsi="Cambria"/>
          <w:sz w:val="21"/>
        </w:rPr>
        <w:t>Annex C: The Calm Waters Fund Charter and Rate Card</w:t>
      </w:r>
      <w:r>
        <w:rPr>
          <w:rFonts w:ascii="Cambria" w:hAnsi="Cambria"/>
          <w:sz w:val="21"/>
        </w:rPr>
        <w:tab/>
        <w:t>51</w:t>
      </w:r>
    </w:p>
    <w:p>
      <w:pPr>
        <w:tabs>
          <w:tab w:pos="9360" w:val="right" w:leader="dot"/>
        </w:tabs>
        <w:spacing w:before="0" w:after="40"/>
        <w:ind w:left="432"/>
      </w:pPr>
      <w:r>
        <w:rPr>
          <w:rFonts w:ascii="Cambria" w:hAnsi="Cambria"/>
          <w:sz w:val="21"/>
        </w:rPr>
        <w:t>Annex D: Communications, Formats, and Protocols</w:t>
      </w:r>
      <w:r>
        <w:rPr>
          <w:rFonts w:ascii="Cambria" w:hAnsi="Cambria"/>
          <w:sz w:val="21"/>
        </w:rPr>
        <w:tab/>
        <w:t>52</w:t>
      </w:r>
    </w:p>
    <w:p>
      <w:pPr>
        <w:tabs>
          <w:tab w:pos="9360" w:val="right" w:leader="dot"/>
        </w:tabs>
        <w:spacing w:before="0" w:after="40"/>
        <w:ind w:left="432"/>
      </w:pPr>
      <w:r>
        <w:rPr>
          <w:rFonts w:ascii="Cambria" w:hAnsi="Cambria"/>
          <w:sz w:val="21"/>
        </w:rPr>
        <w:t>Annex E: The Master Timeline, Gating Thresholds, and Consequence Schedule</w:t>
      </w:r>
      <w:r>
        <w:rPr>
          <w:rFonts w:ascii="Cambria" w:hAnsi="Cambria"/>
          <w:sz w:val="21"/>
        </w:rPr>
        <w:tab/>
        <w:t>53</w:t>
      </w:r>
    </w:p>
    <w:p>
      <w:pPr>
        <w:tabs>
          <w:tab w:pos="9360" w:val="right" w:leader="dot"/>
        </w:tabs>
        <w:spacing w:before="0" w:after="40"/>
        <w:ind w:left="432"/>
      </w:pPr>
      <w:r>
        <w:rPr>
          <w:rFonts w:ascii="Cambria" w:hAnsi="Cambria"/>
          <w:sz w:val="21"/>
        </w:rPr>
        <w:t>Annex F: The Red Lines Register (Full)</w:t>
      </w:r>
      <w:r>
        <w:rPr>
          <w:rFonts w:ascii="Cambria" w:hAnsi="Cambria"/>
          <w:sz w:val="21"/>
        </w:rPr>
        <w:tab/>
        <w:t>56</w:t>
      </w:r>
    </w:p>
    <w:p>
      <w:pPr>
        <w:tabs>
          <w:tab w:pos="9360" w:val="right" w:leader="dot"/>
        </w:tabs>
        <w:spacing w:before="0" w:after="40"/>
        <w:ind w:left="432"/>
      </w:pPr>
      <w:r>
        <w:rPr>
          <w:rFonts w:ascii="Cambria" w:hAnsi="Cambria"/>
          <w:sz w:val="21"/>
        </w:rPr>
        <w:t>Annex G: The Synchronized Relief and Claims Track</w:t>
      </w:r>
      <w:r>
        <w:rPr>
          <w:rFonts w:ascii="Cambria" w:hAnsi="Cambria"/>
          <w:sz w:val="21"/>
        </w:rPr>
        <w:tab/>
        <w:t>57</w:t>
      </w:r>
    </w:p>
    <w:p>
      <w:r>
        <w:br w:type="page"/>
      </w:r>
    </w:p>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Instrument</w:t>
            </w:r>
          </w:p>
        </w:tc>
        <w:tc>
          <w:tcPr/>
          <w:p>
            <w:pPr>
              <w:pStyle w:val="Compact"/>
              <w:jc w:val="left"/>
            </w:pPr>
            <w:r>
              <w:t xml:space="preserve">The Hormuz Tranquility Pact</w:t>
            </w:r>
          </w:p>
        </w:tc>
      </w:tr>
      <w:tr>
        <w:tc>
          <w:tcPr/>
          <w:p>
            <w:pPr>
              <w:pStyle w:val="Compact"/>
              <w:jc w:val="left"/>
            </w:pPr>
            <w:r>
              <w:t xml:space="preserve">Version</w:t>
            </w:r>
          </w:p>
        </w:tc>
        <w:tc>
          <w:tcPr/>
          <w:p>
            <w:pPr>
              <w:pStyle w:val="Compact"/>
              <w:jc w:val="left"/>
            </w:pPr>
            <w:r>
              <w:t xml:space="preserve">1.0, negotiating draft</w:t>
            </w:r>
          </w:p>
        </w:tc>
      </w:tr>
      <w:tr>
        <w:tc>
          <w:tcPr/>
          <w:p>
            <w:pPr>
              <w:pStyle w:val="Compact"/>
              <w:jc w:val="left"/>
            </w:pPr>
            <w:r>
              <w:t xml:space="preserve">Status</w:t>
            </w:r>
          </w:p>
        </w:tc>
        <w:tc>
          <w:tcPr/>
          <w:p>
            <w:pPr>
              <w:pStyle w:val="Compact"/>
              <w:jc w:val="left"/>
            </w:pPr>
            <w:r>
              <w:t xml:space="preserve">Unofficial scenario-planning instrument prepared for negotiators. Not signed. Not binding. Drafted to be signature-ready.</w:t>
            </w:r>
          </w:p>
        </w:tc>
      </w:tr>
      <w:tr>
        <w:tc>
          <w:tcPr/>
          <w:p>
            <w:pPr>
              <w:pStyle w:val="Compact"/>
              <w:jc w:val="left"/>
            </w:pPr>
            <w:r>
              <w:t xml:space="preserve">Drafting date</w:t>
            </w:r>
          </w:p>
        </w:tc>
        <w:tc>
          <w:tcPr/>
          <w:p>
            <w:pPr>
              <w:pStyle w:val="Compact"/>
              <w:jc w:val="left"/>
            </w:pPr>
            <w:r>
              <w:t xml:space="preserve">11 August 2026</w:t>
            </w:r>
          </w:p>
        </w:tc>
      </w:tr>
      <w:tr>
        <w:tc>
          <w:tcPr/>
          <w:p>
            <w:pPr>
              <w:pStyle w:val="Compact"/>
              <w:jc w:val="left"/>
            </w:pPr>
            <w:r>
              <w:t xml:space="preserve">Drafting horizon</w:t>
            </w:r>
          </w:p>
        </w:tc>
        <w:tc>
          <w:tcPr/>
          <w:p>
            <w:pPr>
              <w:pStyle w:val="Compact"/>
              <w:jc w:val="left"/>
            </w:pPr>
            <w:r>
              <w:t xml:space="preserve">Built against the situation on the water as of 11 August 2026, five days before the scheduled expiry of the 60-day window opened by the Islamabad Memorandum of Understanding of 17 June 2026</w:t>
            </w:r>
          </w:p>
        </w:tc>
      </w:tr>
      <w:tr>
        <w:tc>
          <w:tcPr/>
          <w:p>
            <w:pPr>
              <w:pStyle w:val="Compact"/>
              <w:jc w:val="left"/>
            </w:pPr>
            <w:r>
              <w:t xml:space="preserve">Predecessor instruments consulted</w:t>
            </w:r>
          </w:p>
        </w:tc>
        <w:tc>
          <w:tcPr/>
          <w:p>
            <w:pPr>
              <w:pStyle w:val="Compact"/>
              <w:jc w:val="left"/>
            </w:pPr>
            <w:r>
              <w:t xml:space="preserve">The Hormuz Covenant of Calm Waters (v1.0); The Solh-e Tadriji Accord (v1.0)</w:t>
            </w:r>
          </w:p>
        </w:tc>
      </w:tr>
      <w:tr>
        <w:tc>
          <w:tcPr/>
          <w:p>
            <w:pPr>
              <w:pStyle w:val="Compact"/>
              <w:jc w:val="left"/>
            </w:pPr>
            <w:r>
              <w:t xml:space="preserve">Correction applied</w:t>
            </w:r>
          </w:p>
        </w:tc>
        <w:tc>
          <w:tcPr/>
          <w:p>
            <w:pPr>
              <w:pStyle w:val="Compact"/>
              <w:jc w:val="left"/>
            </w:pPr>
            <w:r>
              <w:t xml:space="preserve">Both predecessor instruments front-load caution over speed. This version compresses every layer that can safely compress and puts a reopening date on the calendar in days, not months</w:t>
            </w:r>
          </w:p>
        </w:tc>
      </w:tr>
      <w:tr>
        <w:tc>
          <w:tcPr/>
          <w:p>
            <w:pPr>
              <w:pStyle w:val="Compact"/>
              <w:jc w:val="left"/>
            </w:pPr>
            <w:r>
              <w:t xml:space="preserve">Distribution</w:t>
            </w:r>
          </w:p>
        </w:tc>
        <w:tc>
          <w:tcPr/>
          <w:p>
            <w:pPr>
              <w:pStyle w:val="Compact"/>
              <w:jc w:val="left"/>
            </w:pPr>
            <w:r>
              <w:t xml:space="preserve">Iranian and Omani negotiating teams, United States interagency team, Swiss depositary function, Pakistani and Qatari facilitators, IMO Secretariat</w:t>
            </w:r>
          </w:p>
        </w:tc>
      </w:tr>
    </w:tbl>
    <w:bookmarkEnd w:id="20"/>
    <w:bookmarkStart w:id="21" w:name="drafting-convention"/>
    <w:p>
      <w:pPr>
        <w:pStyle w:val="Heading2"/>
      </w:pPr>
      <w:r>
        <w:t xml:space="preserve">Drafting Convention</w:t>
      </w:r>
    </w:p>
    <w:p>
      <w:pPr>
        <w:pStyle w:val="FirstParagraph"/>
      </w:pPr>
      <w:r>
        <w:t xml:space="preserve">This instrument drafts every operative clause in active, present-tense, self-executing language. A clause reads as a description of what a party or organ does now, not as a promise about a future obligation. No clause uses</w:t>
      </w:r>
      <w:r>
        <w:t xml:space="preserve"> </w:t>
      </w:r>
      <w:r>
        <w:t xml:space="preserve">“</w:t>
      </w:r>
      <w:r>
        <w:t xml:space="preserve">shall,</w:t>
      </w:r>
      <w:r>
        <w:t xml:space="preserve">”</w:t>
      </w:r>
      <w:r>
        <w:t xml:space="preserve"> </w:t>
      </w:r>
      <w:r>
        <w:t xml:space="preserve">“</w:t>
      </w:r>
      <w:r>
        <w:t xml:space="preserve">must,</w:t>
      </w:r>
      <w:r>
        <w:t xml:space="preserve">”</w:t>
      </w:r>
      <w:r>
        <w:t xml:space="preserve"> </w:t>
      </w:r>
      <w:r>
        <w:t xml:space="preserve">“</w:t>
      </w:r>
      <w:r>
        <w:t xml:space="preserve">will,</w:t>
      </w:r>
      <w:r>
        <w:t xml:space="preserve">”</w:t>
      </w:r>
      <w:r>
        <w:t xml:space="preserve"> </w:t>
      </w:r>
      <w:r>
        <w:t xml:space="preserve">“</w:t>
      </w:r>
      <w:r>
        <w:t xml:space="preserve">may,</w:t>
      </w:r>
      <w:r>
        <w:t xml:space="preserve">”</w:t>
      </w:r>
      <w:r>
        <w:t xml:space="preserve"> </w:t>
      </w:r>
      <w:r>
        <w:t xml:space="preserve">“</w:t>
      </w:r>
      <w:r>
        <w:t xml:space="preserve">should,</w:t>
      </w:r>
      <w:r>
        <w:t xml:space="preserve">”</w:t>
      </w:r>
      <w:r>
        <w:t xml:space="preserve"> </w:t>
      </w:r>
      <w:r>
        <w:t xml:space="preserve">or the passive constructions</w:t>
      </w:r>
      <w:r>
        <w:t xml:space="preserve"> </w:t>
      </w:r>
      <w:r>
        <w:t xml:space="preserve">“</w:t>
      </w:r>
      <w:r>
        <w:t xml:space="preserve">is required to</w:t>
      </w:r>
      <w:r>
        <w:t xml:space="preserve">”</w:t>
      </w:r>
      <w:r>
        <w:t xml:space="preserve"> </w:t>
      </w:r>
      <w:r>
        <w:t xml:space="preserve">or</w:t>
      </w:r>
      <w:r>
        <w:t xml:space="preserve"> </w:t>
      </w:r>
      <w:r>
        <w:t xml:space="preserve">“</w:t>
      </w:r>
      <w:r>
        <w:t xml:space="preserve">is to be.</w:t>
      </w:r>
      <w:r>
        <w:t xml:space="preserve">”</w:t>
      </w:r>
      <w:r>
        <w:t xml:space="preserve"> </w:t>
      </w:r>
      <w:r>
        <w:t xml:space="preserve">Where two parties owe each other a matching restraint, the clause attributes the restraint to the architecture of the Pact itself, not to one party’s unilateral concession, because a chokepoint deal that reads as a concession by either side does not survive contact with either capital’s domestic politics. The drafting choice is a design decision, not a stylistic flourish: language that a delegation can read aloud at home without flinching is language that gets signed.</w:t>
      </w:r>
    </w:p>
    <w:bookmarkEnd w:id="21"/>
    <w:bookmarkStart w:id="22" w:name="how-to-read-this-pact-in-ten-minutes"/>
    <w:p>
      <w:pPr>
        <w:pStyle w:val="Heading2"/>
      </w:pPr>
      <w:r>
        <w:t xml:space="preserve">How to Read This Pact in Ten Minutes</w:t>
      </w:r>
    </w:p>
    <w:p>
      <w:pPr>
        <w:pStyle w:val="FirstParagraph"/>
      </w:pPr>
      <w:r>
        <w:t xml:space="preserve">This Pact does one thing: it reopens the Strait of Hormuz on a schedule measured in days, and it does so by building trust in reversible, low-stakes increments rather than asking either side to make an irreversible concession on day one.</w:t>
      </w:r>
    </w:p>
    <w:p>
      <w:pPr>
        <w:pStyle w:val="BodyText"/>
      </w:pPr>
      <w:r>
        <w:t xml:space="preserve">The architecture has eight layers. The first six layers never require a signature. They activate by joint notification, the way a fire drill activates, not the way a treaty activates. Each layer is smaller and safer than the layer above it, and each layer produces a fact on the water that neither side can credibly deny once it exists. Only the eighth and final layer, the Charter, requires signature, and by the time the Parties reach it, every element of the Charter has already been tested, in miniature, for one to four weeks.</w:t>
      </w:r>
    </w:p>
    <w:p>
      <w:pPr>
        <w:pStyle w:val="BodyText"/>
      </w:pPr>
      <w:r>
        <w:t xml:space="preserve">The clock: the Governance Area opens to a first flow of traffic within seventy-two hours of activation. A provisional, toll-free southern corridor operates from Day 1. The full three-corridor Charter is signature-ready by Day 30. Nobody involved in this crisis, on any side of it, can afford to wait a year, and this instrument does not ask anyone to.</w:t>
      </w:r>
    </w:p>
    <w:p>
      <w:pPr>
        <w:pStyle w:val="BodyText"/>
      </w:pPr>
      <w:r>
        <w:t xml:space="preserve">The fees fight, which is the single sharpest point of the standoff, is resolved by a structural trick rather than a compromise on the number: nobody pays a fee for the right to pass, ever, and the United States gets the toll-free transit it insists on. Iran and Oman are paid instead, through an audited trust fund, for specific services actually rendered, which international law has always permitted coastal states to charge for. The distinction is not a fig leaf; it is the same distinction that already governs the Strait of Malacca, and it is the distinction Oman’s own Foreign Ministry has already signaled it can live with.</w:t>
      </w:r>
    </w:p>
    <w:p>
      <w:pPr>
        <w:pStyle w:val="BodyText"/>
      </w:pPr>
      <w:r>
        <w:t xml:space="preserve">The compensation, sanctions, blockade, and frozen-asset fight is not solved inside a shipping instrument, because no shipping instrument can solve it credibly. Instead, this Pact opens a synchronized, parallel track for those questions, on the same clock as the Strait’s reopening, modeled on the real 1981 Algiers Accords that ended the last major US-Iran confrontation of this kind. The Strait reopens whether or not that parallel track reaches a final number; the parallel track exists so that reopening the Strait does not require anyone to pretend the rest of the war never happened.</w:t>
      </w:r>
    </w:p>
    <w:bookmarkEnd w:id="22"/>
    <w:bookmarkStart w:id="23" w:name="Xafcb914309a6a6c56b7c0a7d5b67944bd77591a"/>
    <w:p>
      <w:pPr>
        <w:pStyle w:val="Heading2"/>
      </w:pPr>
      <w:r>
        <w:t xml:space="preserve">Situation Assessment: The Strait on 11 August 2026</w:t>
      </w:r>
    </w:p>
    <w:p>
      <w:pPr>
        <w:pStyle w:val="FirstParagraph"/>
      </w:pPr>
      <w:r>
        <w:t xml:space="preserve">The war that closed the Strait began on 28 February 2026, when the United States and Israel struck Iranian military targets, including the strike that killed Iran’s Supreme Leader Ali Khamenei; his son Mojtaba Khamenei has held the position since March. Iran closed the Strait of Hormuz to foreign shipping within days, and the Islamic Revolutionary Guard Corps Navy has controlled passage through it ever since, permitting only vessels it designates.</w:t>
      </w:r>
    </w:p>
    <w:p>
      <w:pPr>
        <w:pStyle w:val="BodyText"/>
      </w:pPr>
      <w:r>
        <w:t xml:space="preserve">A first two-week ceasefire, agreed on 8 April 2026, produced a brief conditional reopening but did not hold as a durable arrangement. On 17 June 2026, the United States and Iran signed the Islamabad Memorandum of Understanding, a fourteen-point interim instrument brokered principally by Pakistan, with Qatar, Saudi Arabia, Turkey, and Egypt also facilitating. The Islamabad MOU halted major hostilities, opened a sixty-day negotiating window for a comprehensive settlement, and committed both sides, under its Article 5, to a toll-free Strait for the duration of that window while Iran and Oman worked out the Strait’s longer-term administration. That window closes on approximately 16 August 2026, five days from the date of this draft.</w:t>
      </w:r>
    </w:p>
    <w:p>
      <w:pPr>
        <w:pStyle w:val="BodyText"/>
      </w:pPr>
      <w:r>
        <w:t xml:space="preserve">Two developments since June have complicated the picture. First, Iran’s Supreme National Security Council created the Persian Gulf Strait Authority in June 2026 to process transit permits and, initially without charge, to require insurance coverage it issues; the United States Treasury’s Office of Foreign Assets Control has designated the Authority a Specially Designated National entity over its ties to the Revolutionary Guard, which forecloses any American shipper’s or bank’s direct dealing with it in its current form, even for free services. Second, Iran and Oman have spent more than three weeks negotiating a bilateral framework for a new middle shipping corridor to eventually replace both the temporary Larak-adjacent northern route and the temporary Omani-water southern route, with Iran overseeing inbound traffic and Oman outbound traffic under the framework reported as of 8 August 2026; Iranian officials are explicit that this bilateral technical agreement does not, by itself, reopen the Strait.</w:t>
      </w:r>
    </w:p>
    <w:p>
      <w:pPr>
        <w:pStyle w:val="BodyText"/>
      </w:pPr>
      <w:r>
        <w:t xml:space="preserve">On 9 August 2026, Iran’s Supreme National Security Council issued six preconditions for reopening the Strait to the United States: a permanent end to hostilities against Iran and its regional allies, the lifting of the American naval blockade and the withdrawal of naval and air forces surrounding Iran, full compensation for war damage, the lifting of sanctions, and the unconditional release of frozen Iranian assets. The United States has not accepted these terms as stated and has, in turn, raised its own compensation claims for lives lost to Iranian-linked attacks over the years. Neither side’s position, if pressed to its stated maximum, is compatible with the other’s, and a shipping instrument cannot resolve that gap. It can, however, refuse to let that gap hold the Strait hostage, which is the operating premise of this Pact.</w:t>
      </w:r>
    </w:p>
    <w:p>
      <w:pPr>
        <w:pStyle w:val="BodyText"/>
      </w:pPr>
      <w:r>
        <w:t xml:space="preserve">The human and commercial cost of leaving the question unresolved is not abstract. Independent tracking of the crisis records at least one tugboat sunk, roughly seventeen merchant vessels damaged, several abandoned, two vessels captured, and twelve seafarers killed or missing, along with a fatality among port workers in Bahrain from a related strike. Global energy markets have absorbed repeated price shocks tied to the Strait’s condition, and the International Energy Agency, UNCTAD, and the International Trade Centre have each published assessments of the trade and food-security damage accumulating the longer the waterway stays constrained. Every additional week of ambiguity is a week the shipping industry prices into insurance premiums that neither producer nor consumer nations can indefinitely absorb.</w:t>
      </w:r>
    </w:p>
    <w:bookmarkEnd w:id="23"/>
    <w:bookmarkStart w:id="24" w:name="preamble"/>
    <w:p>
      <w:pPr>
        <w:pStyle w:val="Heading2"/>
      </w:pPr>
      <w:r>
        <w:t xml:space="preserve">Preamble</w:t>
      </w:r>
    </w:p>
    <w:p>
      <w:pPr>
        <w:pStyle w:val="FirstParagraph"/>
      </w:pPr>
      <w:r>
        <w:t xml:space="preserve">The Islamic Republic of Iran and the Sultanate of Oman, as the littoral states of the Strait of Hormuz and the Parties with the most direct sovereign stake in its safe operation, open this Pact with the United States of America endorsing its provisions relevant to sanctions, blockade posture, and synchronized relief, and with Switzerland, Pakistan, and Qatar facilitating.</w:t>
      </w:r>
    </w:p>
    <w:p>
      <w:pPr>
        <w:pStyle w:val="BodyText"/>
      </w:pPr>
      <w:r>
        <w:t xml:space="preserve">The Parties recognize the Strait of Hormuz as the physical hinge of the global energy system and the economic lifeline of every state bordering it, Iran and Oman foremost among them. The Parties recognize that the crisis since 28 February 2026 has cost lives, ships, and trust on every side, and that trust, once broken, rebuilds only in small, provable increments, never in a single grand gesture that asks either capital to bet its domestic legitimacy on the other’s good faith.</w:t>
      </w:r>
    </w:p>
    <w:p>
      <w:pPr>
        <w:pStyle w:val="BodyText"/>
      </w:pPr>
      <w:r>
        <w:t xml:space="preserve">The Parties therefore build this Pact from the smallest possible unit of cooperation upward: a shared weather reading before a shared corridor, a shared corridor before a shared desk, a shared desk before a shared fund, a shared fund before a shared charter. Each layer stands on its own if the layer above it never arrives. Each layer is reversible. No layer trades away a red line identified by any Party as non-negotiable, and Annex F records those red lines by name so that no drafting ambiguity later obscures what was promised.</w:t>
      </w:r>
    </w:p>
    <w:p>
      <w:pPr>
        <w:pStyle w:val="BodyText"/>
      </w:pPr>
      <w:r>
        <w:t xml:space="preserve">The Parties affirm four operating truths that this instrument is built to honor simultaneously: passage through the Strait is free of any toll or fee, on the terms the United States and international shipping have insisted on since the war began; the coastal states earn compensation for the concrete services they actually provide, on the terms Iran and Oman have both signaled they require; the disposition of Iran’s nuclear program and the character of Iran’s government remain entirely outside this instrument’s scope, because a maritime safety architecture that tries to settle either question collapses under its own weight; and the Strait reopens on a clock measured in days, because the global economy, the seafarers still trapped in the Gulf, and the domestic politics of every government at this table are each running out of patience with anything slower.</w:t>
      </w:r>
    </w:p>
    <w:bookmarkEnd w:id="24"/>
    <w:bookmarkStart w:id="25" w:name="the-red-lines-register-summary"/>
    <w:p>
      <w:pPr>
        <w:pStyle w:val="Heading2"/>
      </w:pPr>
      <w:r>
        <w:t xml:space="preserve">The Red Lines Register –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Party</w:t>
            </w:r>
          </w:p>
        </w:tc>
        <w:tc>
          <w:tcPr/>
          <w:p>
            <w:pPr>
              <w:pStyle w:val="Compact"/>
              <w:jc w:val="left"/>
            </w:pPr>
            <w:r>
              <w:t xml:space="preserve">Red line</w:t>
            </w:r>
          </w:p>
        </w:tc>
        <w:tc>
          <w:tcPr/>
          <w:p>
            <w:pPr>
              <w:pStyle w:val="Compact"/>
              <w:jc w:val="left"/>
            </w:pPr>
            <w:r>
              <w:t xml:space="preserve">How this Pact honors it</w:t>
            </w:r>
          </w:p>
        </w:tc>
      </w:tr>
      <w:tr>
        <w:tc>
          <w:tcPr/>
          <w:p>
            <w:pPr>
              <w:pStyle w:val="Compact"/>
              <w:jc w:val="left"/>
            </w:pPr>
            <w:r>
              <w:t xml:space="preserve">United States</w:t>
            </w:r>
          </w:p>
        </w:tc>
        <w:tc>
          <w:tcPr/>
          <w:p>
            <w:pPr>
              <w:pStyle w:val="Compact"/>
              <w:jc w:val="left"/>
            </w:pPr>
            <w:r>
              <w:t xml:space="preserve">No toll, fee, or charge attaches to the right of passage itself, for any vessel, at any time</w:t>
            </w:r>
          </w:p>
        </w:tc>
        <w:tc>
          <w:tcPr/>
          <w:p>
            <w:pPr>
              <w:pStyle w:val="Compact"/>
              <w:jc w:val="left"/>
            </w:pPr>
            <w:r>
              <w:t xml:space="preserve">Article 51 makes the zero-toll rule absolute and self-executing from Layer 1 onward; Annex C confines all payment to audited reimbursement for documented services, never to passage</w:t>
            </w:r>
          </w:p>
        </w:tc>
      </w:tr>
      <w:tr>
        <w:tc>
          <w:tcPr/>
          <w:p>
            <w:pPr>
              <w:pStyle w:val="Compact"/>
              <w:jc w:val="left"/>
            </w:pPr>
            <w:r>
              <w:t xml:space="preserve">United States</w:t>
            </w:r>
          </w:p>
        </w:tc>
        <w:tc>
          <w:tcPr/>
          <w:p>
            <w:pPr>
              <w:pStyle w:val="Compact"/>
              <w:jc w:val="left"/>
            </w:pPr>
            <w:r>
              <w:t xml:space="preserve">No US person or entity receives a permission, permit, or</w:t>
            </w:r>
            <w:r>
              <w:t xml:space="preserve"> </w:t>
            </w:r>
            <w:r>
              <w:t xml:space="preserve">“</w:t>
            </w:r>
            <w:r>
              <w:t xml:space="preserve">guarantee of safe passage</w:t>
            </w:r>
            <w:r>
              <w:t xml:space="preserve">”</w:t>
            </w:r>
            <w:r>
              <w:t xml:space="preserve"> </w:t>
            </w:r>
            <w:r>
              <w:t xml:space="preserve">as a service from an Iranian entity, including the Persian Gulf Strait Authority in its current form</w:t>
            </w:r>
          </w:p>
        </w:tc>
        <w:tc>
          <w:tcPr/>
          <w:p>
            <w:pPr>
              <w:pStyle w:val="Compact"/>
              <w:jc w:val="left"/>
            </w:pPr>
            <w:r>
              <w:t xml:space="preserve">Article 44 replaces permission with notification; Article 54 restructures the Authority’s functions into a joint, civilian, IRGC-excluded coordination body before any American shipper interacts with it</w:t>
            </w:r>
          </w:p>
        </w:tc>
      </w:tr>
      <w:tr>
        <w:tc>
          <w:tcPr/>
          <w:p>
            <w:pPr>
              <w:pStyle w:val="Compact"/>
              <w:jc w:val="left"/>
            </w:pPr>
            <w:r>
              <w:t xml:space="preserve">United States</w:t>
            </w:r>
          </w:p>
        </w:tc>
        <w:tc>
          <w:tcPr/>
          <w:p>
            <w:pPr>
              <w:pStyle w:val="Compact"/>
              <w:jc w:val="left"/>
            </w:pPr>
            <w:r>
              <w:t xml:space="preserve">No agreement legitimizes an unlawful Iranian claim of sovereign control over an international strait</w:t>
            </w:r>
          </w:p>
        </w:tc>
        <w:tc>
          <w:tcPr/>
          <w:p>
            <w:pPr>
              <w:pStyle w:val="Compact"/>
              <w:jc w:val="left"/>
            </w:pPr>
            <w:r>
              <w:t xml:space="preserve">Article 3 anchors the Governance Area in the customary transit-passage regime and the 1968 IMO Traffic Separation Scheme, not in a unilateral Iranian claim; Article 46 makes non-interdiction absolute and mutual</w:t>
            </w:r>
          </w:p>
        </w:tc>
      </w:tr>
      <w:tr>
        <w:tc>
          <w:tcPr/>
          <w:p>
            <w:pPr>
              <w:pStyle w:val="Compact"/>
              <w:jc w:val="left"/>
            </w:pPr>
            <w:r>
              <w:t xml:space="preserve">Islamic Republic of Iran</w:t>
            </w:r>
          </w:p>
        </w:tc>
        <w:tc>
          <w:tcPr/>
          <w:p>
            <w:pPr>
              <w:pStyle w:val="Compact"/>
              <w:jc w:val="left"/>
            </w:pPr>
            <w:r>
              <w:t xml:space="preserve">The Strait’s future governance does not revert to the pre-conflict status quo in which Iran held no formal administrative role</w:t>
            </w:r>
          </w:p>
        </w:tc>
        <w:tc>
          <w:tcPr/>
          <w:p>
            <w:pPr>
              <w:pStyle w:val="Compact"/>
              <w:jc w:val="left"/>
            </w:pPr>
            <w:r>
              <w:t xml:space="preserve">Article 49 creates a standing, formally recognized Iran-Oman authority with co-equal seats; Article 54 gives Iran’s existing Authority a face-saving transformation rather than an abolition</w:t>
            </w:r>
          </w:p>
        </w:tc>
      </w:tr>
      <w:tr>
        <w:tc>
          <w:tcPr/>
          <w:p>
            <w:pPr>
              <w:pStyle w:val="Compact"/>
              <w:jc w:val="left"/>
            </w:pPr>
            <w:r>
              <w:t xml:space="preserve">Islamic Republic of Iran</w:t>
            </w:r>
          </w:p>
        </w:tc>
        <w:tc>
          <w:tcPr/>
          <w:p>
            <w:pPr>
              <w:pStyle w:val="Compact"/>
              <w:jc w:val="left"/>
            </w:pPr>
            <w:r>
              <w:t xml:space="preserve">Iran receives compensation for the services its coastal state role actually provides</w:t>
            </w:r>
          </w:p>
        </w:tc>
        <w:tc>
          <w:tcPr/>
          <w:p>
            <w:pPr>
              <w:pStyle w:val="Compact"/>
              <w:jc w:val="left"/>
            </w:pPr>
            <w:r>
              <w:t xml:space="preserve">Article 51 and Annex C build the reimbursement architecture around exactly this principle</w:t>
            </w:r>
          </w:p>
        </w:tc>
      </w:tr>
      <w:tr>
        <w:tc>
          <w:tcPr/>
          <w:p>
            <w:pPr>
              <w:pStyle w:val="Compact"/>
              <w:jc w:val="left"/>
            </w:pPr>
            <w:r>
              <w:t xml:space="preserve">Islamic Republic of Iran</w:t>
            </w:r>
          </w:p>
        </w:tc>
        <w:tc>
          <w:tcPr/>
          <w:p>
            <w:pPr>
              <w:pStyle w:val="Compact"/>
              <w:jc w:val="left"/>
            </w:pPr>
            <w:r>
              <w:t xml:space="preserve">No element of this instrument functions as a vehicle for regime change, uranium surrender, or any concession outside maritime governance</w:t>
            </w:r>
          </w:p>
        </w:tc>
        <w:tc>
          <w:tcPr/>
          <w:p>
            <w:pPr>
              <w:pStyle w:val="Compact"/>
              <w:jc w:val="left"/>
            </w:pPr>
            <w:r>
              <w:t xml:space="preserve">Article 6 excludes all such subjects from scope by name and routes them to the separate track referenced in Article 58</w:t>
            </w:r>
          </w:p>
        </w:tc>
      </w:tr>
      <w:tr>
        <w:tc>
          <w:tcPr/>
          <w:p>
            <w:pPr>
              <w:pStyle w:val="Compact"/>
              <w:jc w:val="left"/>
            </w:pPr>
            <w:r>
              <w:t xml:space="preserve">Sultanate of Oman</w:t>
            </w:r>
          </w:p>
        </w:tc>
        <w:tc>
          <w:tcPr/>
          <w:p>
            <w:pPr>
              <w:pStyle w:val="Compact"/>
              <w:jc w:val="left"/>
            </w:pPr>
            <w:r>
              <w:t xml:space="preserve">Oman’s territorial waters and its toll-free southern corridor remain fully open and under Omani administration throughout</w:t>
            </w:r>
          </w:p>
        </w:tc>
        <w:tc>
          <w:tcPr/>
          <w:p>
            <w:pPr>
              <w:pStyle w:val="Compact"/>
              <w:jc w:val="left"/>
            </w:pPr>
            <w:r>
              <w:t xml:space="preserve">Article 42 preserves Corridor One as an Omani-administered, toll-free lane from Layer 1 forward, unconditional on any later layer’s completion</w:t>
            </w:r>
          </w:p>
        </w:tc>
      </w:tr>
      <w:tr>
        <w:tc>
          <w:tcPr/>
          <w:p>
            <w:pPr>
              <w:pStyle w:val="Compact"/>
              <w:jc w:val="left"/>
            </w:pPr>
            <w:r>
              <w:t xml:space="preserve">Sultanate of Oman</w:t>
            </w:r>
          </w:p>
        </w:tc>
        <w:tc>
          <w:tcPr/>
          <w:p>
            <w:pPr>
              <w:pStyle w:val="Compact"/>
              <w:jc w:val="left"/>
            </w:pPr>
            <w:r>
              <w:t xml:space="preserve">Oman’s mediating role and its preference for voluntary, service-based funding, not compulsory tolls, is the template for any financial mechanism</w:t>
            </w:r>
          </w:p>
        </w:tc>
        <w:tc>
          <w:tcPr/>
          <w:p>
            <w:pPr>
              <w:pStyle w:val="Compact"/>
              <w:jc w:val="left"/>
            </w:pPr>
            <w:r>
              <w:t xml:space="preserve">Annex C is built explicitly on the Malacca Strait precedent Oman has already cited publicly</w:t>
            </w:r>
          </w:p>
        </w:tc>
      </w:tr>
    </w:tbl>
    <w:bookmarkEnd w:id="25"/>
    <w:bookmarkStart w:id="26" w:name="the-architecture-at-a-glance"/>
    <w:p>
      <w:pPr>
        <w:pStyle w:val="Heading2"/>
      </w:pPr>
      <w:r>
        <w:t xml:space="preserve">The Architecture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Activation</w:t>
            </w:r>
          </w:p>
        </w:tc>
        <w:tc>
          <w:tcPr/>
          <w:p>
            <w:pPr>
              <w:pStyle w:val="Compact"/>
              <w:jc w:val="left"/>
            </w:pPr>
            <w:r>
              <w:t xml:space="preserve">Signature required</w:t>
            </w:r>
          </w:p>
        </w:tc>
        <w:tc>
          <w:tcPr/>
          <w:p>
            <w:pPr>
              <w:pStyle w:val="Compact"/>
              <w:jc w:val="left"/>
            </w:pPr>
            <w:r>
              <w:t xml:space="preserve">Indicative timing</w:t>
            </w:r>
          </w:p>
        </w:tc>
      </w:tr>
      <w:tr>
        <w:tc>
          <w:tcPr/>
          <w:p>
            <w:pPr>
              <w:pStyle w:val="Compact"/>
              <w:jc w:val="left"/>
            </w:pPr>
            <w:r>
              <w:t xml:space="preserve">0</w:t>
            </w:r>
          </w:p>
        </w:tc>
        <w:tc>
          <w:tcPr/>
          <w:p>
            <w:pPr>
              <w:pStyle w:val="Compact"/>
              <w:jc w:val="left"/>
            </w:pPr>
            <w:r>
              <w:t xml:space="preserve">The Micro-Exercise Lattice</w:t>
            </w:r>
          </w:p>
        </w:tc>
        <w:tc>
          <w:tcPr/>
          <w:p>
            <w:pPr>
              <w:pStyle w:val="Compact"/>
              <w:jc w:val="left"/>
            </w:pPr>
            <w:r>
              <w:t xml:space="preserve">Joint notification</w:t>
            </w:r>
          </w:p>
        </w:tc>
        <w:tc>
          <w:tcPr/>
          <w:p>
            <w:pPr>
              <w:pStyle w:val="Compact"/>
              <w:jc w:val="left"/>
            </w:pPr>
            <w:r>
              <w:t xml:space="preserve">No</w:t>
            </w:r>
          </w:p>
        </w:tc>
        <w:tc>
          <w:tcPr/>
          <w:p>
            <w:pPr>
              <w:pStyle w:val="Compact"/>
              <w:jc w:val="left"/>
            </w:pPr>
            <w:r>
              <w:t xml:space="preserve">Hour 0 to Hour 72</w:t>
            </w:r>
          </w:p>
        </w:tc>
      </w:tr>
      <w:tr>
        <w:tc>
          <w:tcPr/>
          <w:p>
            <w:pPr>
              <w:pStyle w:val="Compact"/>
              <w:jc w:val="left"/>
            </w:pPr>
            <w:r>
              <w:t xml:space="preserve">1</w:t>
            </w:r>
          </w:p>
        </w:tc>
        <w:tc>
          <w:tcPr/>
          <w:p>
            <w:pPr>
              <w:pStyle w:val="Compact"/>
              <w:jc w:val="left"/>
            </w:pPr>
            <w:r>
              <w:t xml:space="preserve">The Meso-Protocols</w:t>
            </w:r>
          </w:p>
        </w:tc>
        <w:tc>
          <w:tcPr/>
          <w:p>
            <w:pPr>
              <w:pStyle w:val="Compact"/>
              <w:jc w:val="left"/>
            </w:pPr>
            <w:r>
              <w:t xml:space="preserve">Joint notification</w:t>
            </w:r>
          </w:p>
        </w:tc>
        <w:tc>
          <w:tcPr/>
          <w:p>
            <w:pPr>
              <w:pStyle w:val="Compact"/>
              <w:jc w:val="left"/>
            </w:pPr>
            <w:r>
              <w:t xml:space="preserve">No</w:t>
            </w:r>
          </w:p>
        </w:tc>
        <w:tc>
          <w:tcPr/>
          <w:p>
            <w:pPr>
              <w:pStyle w:val="Compact"/>
              <w:jc w:val="left"/>
            </w:pPr>
            <w:r>
              <w:t xml:space="preserve">Day 1 to Day 7, run in parallel with Layer 0</w:t>
            </w:r>
          </w:p>
        </w:tc>
      </w:tr>
      <w:tr>
        <w:tc>
          <w:tcPr/>
          <w:p>
            <w:pPr>
              <w:pStyle w:val="Compact"/>
              <w:jc w:val="left"/>
            </w:pPr>
            <w:r>
              <w:t xml:space="preserve">2</w:t>
            </w:r>
          </w:p>
        </w:tc>
        <w:tc>
          <w:tcPr/>
          <w:p>
            <w:pPr>
              <w:pStyle w:val="Compact"/>
              <w:jc w:val="left"/>
            </w:pPr>
            <w:r>
              <w:t xml:space="preserve">The Meso-Systems</w:t>
            </w:r>
          </w:p>
        </w:tc>
        <w:tc>
          <w:tcPr/>
          <w:p>
            <w:pPr>
              <w:pStyle w:val="Compact"/>
              <w:jc w:val="left"/>
            </w:pPr>
            <w:r>
              <w:t xml:space="preserve">Joint notification</w:t>
            </w:r>
          </w:p>
        </w:tc>
        <w:tc>
          <w:tcPr/>
          <w:p>
            <w:pPr>
              <w:pStyle w:val="Compact"/>
              <w:jc w:val="left"/>
            </w:pPr>
            <w:r>
              <w:t xml:space="preserve">No</w:t>
            </w:r>
          </w:p>
        </w:tc>
        <w:tc>
          <w:tcPr/>
          <w:p>
            <w:pPr>
              <w:pStyle w:val="Compact"/>
              <w:jc w:val="left"/>
            </w:pPr>
            <w:r>
              <w:t xml:space="preserve">Day 3 to Day 10, run in parallel</w:t>
            </w:r>
          </w:p>
        </w:tc>
      </w:tr>
      <w:tr>
        <w:tc>
          <w:tcPr/>
          <w:p>
            <w:pPr>
              <w:pStyle w:val="Compact"/>
              <w:jc w:val="left"/>
            </w:pPr>
            <w:r>
              <w:t xml:space="preserve">3</w:t>
            </w:r>
          </w:p>
        </w:tc>
        <w:tc>
          <w:tcPr/>
          <w:p>
            <w:pPr>
              <w:pStyle w:val="Compact"/>
              <w:jc w:val="left"/>
            </w:pPr>
            <w:r>
              <w:t xml:space="preserve">The Proto-Governance</w:t>
            </w:r>
          </w:p>
        </w:tc>
        <w:tc>
          <w:tcPr/>
          <w:p>
            <w:pPr>
              <w:pStyle w:val="Compact"/>
              <w:jc w:val="left"/>
            </w:pPr>
            <w:r>
              <w:t xml:space="preserve">Joint notification</w:t>
            </w:r>
          </w:p>
        </w:tc>
        <w:tc>
          <w:tcPr/>
          <w:p>
            <w:pPr>
              <w:pStyle w:val="Compact"/>
              <w:jc w:val="left"/>
            </w:pPr>
            <w:r>
              <w:t xml:space="preserve">No</w:t>
            </w:r>
          </w:p>
        </w:tc>
        <w:tc>
          <w:tcPr/>
          <w:p>
            <w:pPr>
              <w:pStyle w:val="Compact"/>
              <w:jc w:val="left"/>
            </w:pPr>
            <w:r>
              <w:t xml:space="preserve">Day 7 to Day 14</w:t>
            </w:r>
          </w:p>
        </w:tc>
      </w:tr>
      <w:tr>
        <w:tc>
          <w:tcPr/>
          <w:p>
            <w:pPr>
              <w:pStyle w:val="Compact"/>
              <w:jc w:val="left"/>
            </w:pPr>
            <w:r>
              <w:t xml:space="preserve">4</w:t>
            </w:r>
          </w:p>
        </w:tc>
        <w:tc>
          <w:tcPr/>
          <w:p>
            <w:pPr>
              <w:pStyle w:val="Compact"/>
              <w:jc w:val="left"/>
            </w:pPr>
            <w:r>
              <w:t xml:space="preserve">The Simulation Layer</w:t>
            </w:r>
          </w:p>
        </w:tc>
        <w:tc>
          <w:tcPr/>
          <w:p>
            <w:pPr>
              <w:pStyle w:val="Compact"/>
              <w:jc w:val="left"/>
            </w:pPr>
            <w:r>
              <w:t xml:space="preserve">Joint notification</w:t>
            </w:r>
          </w:p>
        </w:tc>
        <w:tc>
          <w:tcPr/>
          <w:p>
            <w:pPr>
              <w:pStyle w:val="Compact"/>
              <w:jc w:val="left"/>
            </w:pPr>
            <w:r>
              <w:t xml:space="preserve">No</w:t>
            </w:r>
          </w:p>
        </w:tc>
        <w:tc>
          <w:tcPr/>
          <w:p>
            <w:pPr>
              <w:pStyle w:val="Compact"/>
              <w:jc w:val="left"/>
            </w:pPr>
            <w:r>
              <w:t xml:space="preserve">Day 10 to Day 18, run in parallel</w:t>
            </w:r>
          </w:p>
        </w:tc>
      </w:tr>
      <w:tr>
        <w:tc>
          <w:tcPr/>
          <w:p>
            <w:pPr>
              <w:pStyle w:val="Compact"/>
              <w:jc w:val="left"/>
            </w:pPr>
            <w:r>
              <w:t xml:space="preserve">5</w:t>
            </w:r>
          </w:p>
        </w:tc>
        <w:tc>
          <w:tcPr/>
          <w:p>
            <w:pPr>
              <w:pStyle w:val="Compact"/>
              <w:jc w:val="left"/>
            </w:pPr>
            <w:r>
              <w:t xml:space="preserve">The Integration Layer</w:t>
            </w:r>
          </w:p>
        </w:tc>
        <w:tc>
          <w:tcPr/>
          <w:p>
            <w:pPr>
              <w:pStyle w:val="Compact"/>
              <w:jc w:val="left"/>
            </w:pPr>
            <w:r>
              <w:t xml:space="preserve">Joint notification, certified by the Stability Audit</w:t>
            </w:r>
          </w:p>
        </w:tc>
        <w:tc>
          <w:tcPr/>
          <w:p>
            <w:pPr>
              <w:pStyle w:val="Compact"/>
              <w:jc w:val="left"/>
            </w:pPr>
            <w:r>
              <w:t xml:space="preserve">No</w:t>
            </w:r>
          </w:p>
        </w:tc>
        <w:tc>
          <w:tcPr/>
          <w:p>
            <w:pPr>
              <w:pStyle w:val="Compact"/>
              <w:jc w:val="left"/>
            </w:pPr>
            <w:r>
              <w:t xml:space="preserve">Day 14 to Day 21</w:t>
            </w:r>
          </w:p>
        </w:tc>
      </w:tr>
      <w:tr>
        <w:tc>
          <w:tcPr/>
          <w:p>
            <w:pPr>
              <w:pStyle w:val="Compact"/>
              <w:jc w:val="left"/>
            </w:pPr>
            <w:r>
              <w:t xml:space="preserve">6</w:t>
            </w:r>
          </w:p>
        </w:tc>
        <w:tc>
          <w:tcPr/>
          <w:p>
            <w:pPr>
              <w:pStyle w:val="Compact"/>
              <w:jc w:val="left"/>
            </w:pPr>
            <w:r>
              <w:t xml:space="preserve">The Final Charter</w:t>
            </w:r>
          </w:p>
        </w:tc>
        <w:tc>
          <w:tcPr/>
          <w:p>
            <w:pPr>
              <w:pStyle w:val="Compact"/>
              <w:jc w:val="left"/>
            </w:pPr>
            <w:r>
              <w:t xml:space="preserve">Signature</w:t>
            </w:r>
          </w:p>
        </w:tc>
        <w:tc>
          <w:tcPr/>
          <w:p>
            <w:pPr>
              <w:pStyle w:val="Compact"/>
              <w:jc w:val="left"/>
            </w:pPr>
            <w:r>
              <w:t xml:space="preserve">Yes, this layer only</w:t>
            </w:r>
          </w:p>
        </w:tc>
        <w:tc>
          <w:tcPr/>
          <w:p>
            <w:pPr>
              <w:pStyle w:val="Compact"/>
              <w:jc w:val="left"/>
            </w:pPr>
            <w:r>
              <w:t xml:space="preserve">Signature-ready Day 21 to Day 30</w:t>
            </w:r>
          </w:p>
        </w:tc>
      </w:tr>
    </w:tbl>
    <w:p>
      <w:pPr>
        <w:pStyle w:val="BodyText"/>
      </w:pPr>
      <w:r>
        <w:t xml:space="preserve">Layers run in overlapping windows by design; the Pact does not wait for one layer to fully close before opening the next, because sequencing everything end to end is exactly the defect that made the predecessor drafts too slow for this political moment. Article 8 sets out the compression doctrine that makes concurrent layers safe.</w:t>
      </w:r>
    </w:p>
    <w:p>
      <w:r>
        <w:pict>
          <v:rect style="width:0;height:1.5pt" o:hralign="center" o:hrstd="t" o:hr="t"/>
        </w:pict>
      </w:r>
    </w:p>
    <w:p>
      <w:r>
        <w:br w:type="page"/>
      </w:r>
    </w:p>
    <w:bookmarkEnd w:id="26"/>
    <w:bookmarkStart w:id="37" w:name="part-i-foundations"/>
    <w:p>
      <w:pPr>
        <w:pStyle w:val="Heading1"/>
      </w:pPr>
      <w:r>
        <w:t xml:space="preserve">PART I: FOUNDATIONS</w:t>
      </w:r>
    </w:p>
    <w:bookmarkStart w:id="27" w:name="X78d9e4c0b852b1f7127b9522c0f6af8953a8f8b"/>
    <w:p>
      <w:pPr>
        <w:pStyle w:val="Heading2"/>
      </w:pPr>
      <w:r>
        <w:t xml:space="preserve">Article 1: Establishment, Purpose, and Scope</w:t>
      </w:r>
    </w:p>
    <w:p>
      <w:pPr>
        <w:pStyle w:val="FirstParagraph"/>
      </w:pPr>
      <w:r>
        <w:t xml:space="preserve">1.1 This Pact establishes a single, layered architecture governing safety, transit, and cooperative administration in the Strait of Hormuz, running from the smallest reversible micro-exercise to a permanent, signed Charter, contained in one instrument.</w:t>
      </w:r>
    </w:p>
    <w:p>
      <w:pPr>
        <w:pStyle w:val="BodyText"/>
      </w:pPr>
      <w:r>
        <w:t xml:space="preserve">1.2 The purpose of the Pact is threefold and the three parts operate together: it restores predictable, safe commercial and permitted military transit through the Strait on a near-term clock; it gives Iran and Oman a durable, formally recognized joint administrative role over the waterway that neither reverts to the pre-conflict status quo nor claims unilateral Iranian control; and it resolves the transit-fee dispute through a reimbursement architecture that keeps passage absolutely free of toll while compensating the coastal states for documented services.</w:t>
      </w:r>
    </w:p>
    <w:p>
      <w:pPr>
        <w:pStyle w:val="BodyText"/>
      </w:pPr>
      <w:r>
        <w:t xml:space="preserve">1.3 The scope of the Pact is the Governance Area defined in Article 5 and the vessels, authorities, and services operating within it. The Pact excludes, by the express carve-out in Article 6, the disposition of Iran’s nuclear program, the character or composition of Iran’s government, and the general war-termination and reparations questions that Article 58 routes to a parallel track.</w:t>
      </w:r>
    </w:p>
    <w:p>
      <w:pPr>
        <w:pStyle w:val="BodyText"/>
      </w:pPr>
      <w:r>
        <w:t xml:space="preserve">1.4 The Pact operates as a companion instrument to the Islamabad Memorandum of Understanding of 17 June 2026, extending and operationalizing that Memorandum’s Article 5 rather than superseding it, and closing the gap between the Memorandum’s sixty-day negotiating window and a durable arrangement before that window lapses.</w:t>
      </w:r>
    </w:p>
    <w:bookmarkEnd w:id="27"/>
    <w:bookmarkStart w:id="28" w:name="X5897e74ba21ecb4c253077d77d9c0a4ba73526a"/>
    <w:p>
      <w:pPr>
        <w:pStyle w:val="Heading2"/>
      </w:pPr>
      <w:r>
        <w:t xml:space="preserve">Article 2: The Parties, Facilitators, and Depositary</w:t>
      </w:r>
    </w:p>
    <w:p>
      <w:pPr>
        <w:pStyle w:val="FirstParagraph"/>
      </w:pPr>
      <w:r>
        <w:t xml:space="preserve">2.1 The Islamic Republic of Iran and the Sultanate of Oman hold status as Founding Parties, in recognition of their status as the two littoral states of the Strait of Hormuz.</w:t>
      </w:r>
    </w:p>
    <w:p>
      <w:pPr>
        <w:pStyle w:val="BodyText"/>
      </w:pPr>
      <w:r>
        <w:t xml:space="preserve">2.2 The United States of America holds status as Endorsing Guarantor Party, binding itself to the provisions of Article 46, Article 51, Article 53, and Article 58 that concern sanctions posture, naval blockade posture, and the zero-toll guarantee, without holding a seat in the Strait’s day-to-day administration.</w:t>
      </w:r>
    </w:p>
    <w:p>
      <w:pPr>
        <w:pStyle w:val="BodyText"/>
      </w:pPr>
      <w:r>
        <w:t xml:space="preserve">2.3 The Sultanate of Oman, the Swiss Confederation, the Islamic Republic of Pakistan, and the State of Qatar serve as Facilitators, continuing the mediating roles each already carries from the Islamabad process into this instrument.</w:t>
      </w:r>
    </w:p>
    <w:p>
      <w:pPr>
        <w:pStyle w:val="BodyText"/>
      </w:pPr>
      <w:r>
        <w:t xml:space="preserve">2.4 The Swiss Confederation serves as Neutral Administrator and Depositary, holding the authenticated text, receiving notifications under the Layered Activation Doctrine, and administering the Calm Waters Fund’s independent audit function under Annex C.</w:t>
      </w:r>
    </w:p>
    <w:p>
      <w:pPr>
        <w:pStyle w:val="BodyText"/>
      </w:pPr>
      <w:r>
        <w:t xml:space="preserve">2.5 The International Maritime Organization holds status as Technical Observer, with a non-voting seat on the Steering Council established under Article 49 and a mandate to certify that the Pact’s corridor geometry and traffic-separation logic remain consistent with the 1968 scheme it administers.</w:t>
      </w:r>
    </w:p>
    <w:p>
      <w:pPr>
        <w:pStyle w:val="BodyText"/>
      </w:pPr>
      <w:r>
        <w:t xml:space="preserve">2.6 The United Arab Emirates, the State of Qatar, the Kingdom of Bahrain, the State of Kuwait, the Kingdom of Saudi Arabia, and the Republic of Iraq hold an open accession track under Article 59, reflecting each state’s direct interest in the Strait’s stability as a Gulf littoral or near-littoral economy.</w:t>
      </w:r>
    </w:p>
    <w:bookmarkEnd w:id="28"/>
    <w:bookmarkStart w:id="29" w:name="article-3-legal-foundations"/>
    <w:p>
      <w:pPr>
        <w:pStyle w:val="Heading2"/>
      </w:pPr>
      <w:r>
        <w:t xml:space="preserve">Article 3: Legal Foundations</w:t>
      </w:r>
    </w:p>
    <w:p>
      <w:pPr>
        <w:pStyle w:val="FirstParagraph"/>
      </w:pPr>
      <w:r>
        <w:t xml:space="preserve">3.1 The Pact operates consistently with the customary international law regime of transit passage through straits used for international navigation, the framework the International Court of Justice and the overwhelming majority of maritime states, Oman included, treat as binding even on states outside the United Nations Convention on the Law of the Sea.</w:t>
      </w:r>
    </w:p>
    <w:p>
      <w:pPr>
        <w:pStyle w:val="BodyText"/>
      </w:pPr>
      <w:r>
        <w:t xml:space="preserve">3.2 The Pact incorporates and does not replace the Traffic Separation Scheme for the Strait of Hormuz, proposed jointly by Iran and Oman and adopted by the International Maritime Organization in 1968, and treats that scheme as the geographic and navigational baseline for the corridor geometry in Annex A.</w:t>
      </w:r>
    </w:p>
    <w:p>
      <w:pPr>
        <w:pStyle w:val="BodyText"/>
      </w:pPr>
      <w:r>
        <w:t xml:space="preserve">3.3 The Pact applies Article 26 of the United Nations Convention on the Law of the Sea, permitting a coastal state to levy charges for specific services rendered to a vessel while prohibiting any charge for the right of passage itself, as the controlling legal distinction for every financial provision in Article 51 and Annex C. Iran’s status as a signatory but not a ratifying party to the Convention does not diminish this distinction’s force, because the distinction is independently grounded in customary practice and in Iran’s and Oman’s own public statements accepting it.</w:t>
      </w:r>
    </w:p>
    <w:p>
      <w:pPr>
        <w:pStyle w:val="BodyText"/>
      </w:pPr>
      <w:r>
        <w:t xml:space="preserve">3.4 The Pact treats the Islamabad Memorandum of Understanding of 17 June 2026 as its parent instrument and construes every provision of this Pact, wherever an ambiguity arises, in the manner most consistent with that Memorandum’s Article 5 commitment to safe, toll-free passage during the transition to a permanent arrangement.</w:t>
      </w:r>
    </w:p>
    <w:bookmarkEnd w:id="29"/>
    <w:bookmarkStart w:id="30" w:name="article-4-core-operating-principles"/>
    <w:p>
      <w:pPr>
        <w:pStyle w:val="Heading2"/>
      </w:pPr>
      <w:r>
        <w:t xml:space="preserve">Article 4: Core Operating Principles</w:t>
      </w:r>
    </w:p>
    <w:p>
      <w:pPr>
        <w:pStyle w:val="FirstParagraph"/>
      </w:pPr>
      <w:r>
        <w:t xml:space="preserve">4.1 Safety governs first. Every layer of this Pact exists to reduce the probability and consequence of a collision, mine strike, boarding, or miscommunication in the Governance Area, ahead of any political or financial objective.</w:t>
      </w:r>
    </w:p>
    <w:p>
      <w:pPr>
        <w:pStyle w:val="BodyText"/>
      </w:pPr>
      <w:r>
        <w:t xml:space="preserve">4.2 Predictability follows from safety. A vessel operator planning a transit knows, from public information alone, which corridor to use, which flow state is in effect, and which notification step applies, without needing a private relationship with any Party.</w:t>
      </w:r>
    </w:p>
    <w:p>
      <w:pPr>
        <w:pStyle w:val="BodyText"/>
      </w:pPr>
      <w:r>
        <w:t xml:space="preserve">4.3 Reversibility protects every negotiator’s domestic position. Any element of any layer below the Final Charter pauses, on notice, without penalty, and resumes on the same terms once conditions allow; Article 7 makes this guarantee standing rather than case-by-case.</w:t>
      </w:r>
    </w:p>
    <w:p>
      <w:pPr>
        <w:pStyle w:val="BodyText"/>
      </w:pPr>
      <w:r>
        <w:t xml:space="preserve">4.4 Sovereignty remains untouched below the waterline of operational cooperation. The architecture creates coordination mechanisms, data flows, and reimbursement structures; it does not create a supranational authority with enforcement power over either Party’s territorial waters, and Article 45 states this limit expressly.</w:t>
      </w:r>
    </w:p>
    <w:p>
      <w:pPr>
        <w:pStyle w:val="BodyText"/>
      </w:pPr>
      <w:r>
        <w:t xml:space="preserve">4.5 Responsibility for hazard reduction is joint and symmetric. Where a clause restrains one Party’s conduct, the matching clause restrains the other Party’s conduct in the same Article, so that no single Party’s restraint reads as a concession to the other.</w:t>
      </w:r>
    </w:p>
    <w:p>
      <w:pPr>
        <w:pStyle w:val="BodyText"/>
      </w:pPr>
      <w:r>
        <w:t xml:space="preserve">4.6 Passage is free; service is compensated. Article 51 states this principle as an operative rule, and every Annex C mechanism traces back to it.</w:t>
      </w:r>
    </w:p>
    <w:bookmarkEnd w:id="30"/>
    <w:bookmarkStart w:id="31" w:name="article-5-the-governance-area"/>
    <w:p>
      <w:pPr>
        <w:pStyle w:val="Heading2"/>
      </w:pPr>
      <w:r>
        <w:t xml:space="preserve">Article 5: The Governance Area</w:t>
      </w:r>
    </w:p>
    <w:p>
      <w:pPr>
        <w:pStyle w:val="FirstParagraph"/>
      </w:pPr>
      <w:r>
        <w:t xml:space="preserve">5.1 The Governance Area consists of the waters of the Strait of Hormuz and its immediate approaches, bounded to the west by the 56°00’ E meridian at the eastern Persian Gulf, to the east by the 57°00’ E meridian in the Gulf of Oman, and to the north and south by the respective baselines of Iran and Oman, encompassing the Traffic Separation Scheme referenced in Article 3.2 and the corridor structure detailed in Annex A.</w:t>
      </w:r>
    </w:p>
    <w:p>
      <w:pPr>
        <w:pStyle w:val="BodyText"/>
      </w:pPr>
      <w:r>
        <w:t xml:space="preserve">5.2 The Governance Area’s definition does not alter, expand, or contract any Party’s claimed territorial sea, contiguous zone, or exclusive economic zone; it identifies the water space in which this Pact’s cooperative mechanisms apply, layered on top of, not in place of, each Party’s existing sovereign claims.</w:t>
      </w:r>
    </w:p>
    <w:p>
      <w:pPr>
        <w:pStyle w:val="BodyText"/>
      </w:pPr>
      <w:r>
        <w:t xml:space="preserve">5.3 The principal geographic reference points anchoring the Governance Area’s description are Larak Island (26°51’12”N, 56°21’20”E) and Qeshm Island (26°46’03”N, 55°46’21”E) on the Iranian side, and the Musandam Peninsula, including Khasab (26°11’00”N, 56°15’00”E) and the Quoin Island and Didamar light group of the As Salamah Archipelago immediately north of the Peninsula, on the Omani side. Annex A sets out the full coordinate schedule.</w:t>
      </w:r>
    </w:p>
    <w:bookmarkEnd w:id="31"/>
    <w:bookmarkStart w:id="32" w:name="Xeb30346e1265f3c4f90d600440a4f589724c435"/>
    <w:p>
      <w:pPr>
        <w:pStyle w:val="Heading2"/>
      </w:pPr>
      <w:r>
        <w:t xml:space="preserve">Article 6: The Nuclear and Political Firewall</w:t>
      </w:r>
    </w:p>
    <w:p>
      <w:pPr>
        <w:pStyle w:val="FirstParagraph"/>
      </w:pPr>
      <w:r>
        <w:t xml:space="preserve">6.1 This Pact excludes from its scope, absolutely and without exception, the disposition, enrichment level, or storage location of any nuclear material controlled by any Party; the composition, character, or leadership of any Party’s government; and any war-reparations claim not specifically routed to the parallel track under Article 58.</w:t>
      </w:r>
    </w:p>
    <w:p>
      <w:pPr>
        <w:pStyle w:val="BodyText"/>
      </w:pPr>
      <w:r>
        <w:t xml:space="preserve">6.2 No provision of this Pact carries the weight of a concession, a commitment, or a precedent regarding any subject excluded under 6.1, on any reading a Party advances. A dispute-resolution panel convened under Article 60 that receives an argument premised on any excluded subject declines jurisdiction over that argument without reaching its merits.</w:t>
      </w:r>
    </w:p>
    <w:p>
      <w:pPr>
        <w:pStyle w:val="BodyText"/>
      </w:pPr>
      <w:r>
        <w:t xml:space="preserve">6.3 The firewall in this Article exists because a maritime safety and transit architecture that carries the weight of nuclear diplomacy or political transformation collapses before it stabilizes a single corridor. The exclusion protects the Pact’s central purpose: an open, safe Strait, negotiated on its own logic.</w:t>
      </w:r>
    </w:p>
    <w:bookmarkEnd w:id="32"/>
    <w:bookmarkStart w:id="33" w:name="X80ea5800978ee4b6c487f28d8f2e4755a967e23"/>
    <w:p>
      <w:pPr>
        <w:pStyle w:val="Heading2"/>
      </w:pPr>
      <w:r>
        <w:t xml:space="preserve">Article 7: The Standing Continuity Guarantee</w:t>
      </w:r>
    </w:p>
    <w:p>
      <w:pPr>
        <w:pStyle w:val="FirstParagraph"/>
      </w:pPr>
      <w:r>
        <w:t xml:space="preserve">7.1 No layer of this Pact expires by the passage of time alone. Each layer continues in force until a Party invokes the dormancy procedure of Article 61 or the Parties jointly supersede it through Charter amendment.</w:t>
      </w:r>
    </w:p>
    <w:p>
      <w:pPr>
        <w:pStyle w:val="BodyText"/>
      </w:pPr>
      <w:r>
        <w:t xml:space="preserve">7.2 A Party’s invocation of dormancy for one micro-exercise, protocol, or system under Layers 0 through 5 does not suspend any other element of any other layer; dormancy operates element by element, never as a package-wide suspension, preserving the gains already banked elsewhere in the architecture.</w:t>
      </w:r>
    </w:p>
    <w:p>
      <w:pPr>
        <w:pStyle w:val="BodyText"/>
      </w:pPr>
      <w:r>
        <w:t xml:space="preserve">7.3 The continuity guarantee protects the Pact against the single greatest risk to a layered architecture: that a dispute over one narrow element cascades into the collapse of everything built above it. Cascading collapse does not occur under this Pact by design.</w:t>
      </w:r>
    </w:p>
    <w:bookmarkEnd w:id="33"/>
    <w:bookmarkStart w:id="34" w:name="Xceb805c047c0f93d6f23a8f89aac82d09ec11bc"/>
    <w:p>
      <w:pPr>
        <w:pStyle w:val="Heading2"/>
      </w:pPr>
      <w:r>
        <w:t xml:space="preserve">Article 8: The Layered Activation Doctrine</w:t>
      </w:r>
    </w:p>
    <w:p>
      <w:pPr>
        <w:pStyle w:val="FirstParagraph"/>
      </w:pPr>
      <w:r>
        <w:t xml:space="preserve">8.1 Layers 0 through 5 activate by Joint Notification: a written communication, transmitted simultaneously by Iran and Oman to the Swiss Depositary, confirming that the specified element is operating. Joint Notification carries full legal and operational effect without signature, ratification, or parliamentary process on either side, in the same manner that two navies confirm a communications drill is live.</w:t>
      </w:r>
    </w:p>
    <w:p>
      <w:pPr>
        <w:pStyle w:val="BodyText"/>
      </w:pPr>
      <w:r>
        <w:t xml:space="preserve">8.2 Layer 6, the Final Charter, activates only by signature, under the procedure in Article 61. Signature attaches to no other layer at any stage, and no Party’s domestic ratification process attaches to any layer below the Charter.</w:t>
      </w:r>
    </w:p>
    <w:p>
      <w:pPr>
        <w:pStyle w:val="BodyText"/>
      </w:pPr>
      <w:r>
        <w:t xml:space="preserve">8.3 The Doctrine permits concurrent activation. A Party notifies more than one layer’s elements as operating in the same window when the Gate criteria in the relevant Articles are met, without requiring each earlier layer to close before the next opens. Article 39’s Synchronized Indivisible Event is the doctrine’s fullest expression: multiple gates certify and multiple elements activate inside a single published hour.</w:t>
      </w:r>
    </w:p>
    <w:p>
      <w:pPr>
        <w:pStyle w:val="BodyText"/>
      </w:pPr>
      <w:r>
        <w:t xml:space="preserve">8.4 Compression under this Doctrine does not skip verification; it parallelizes verification. Each Gate Article in Parts II through VII states its own certification criteria, and Joint Notification for a given layer issues only once those criteria are met, regardless of how many other layers are notified in the same window.</w:t>
      </w:r>
    </w:p>
    <w:p>
      <w:pPr>
        <w:pStyle w:val="BodyText"/>
      </w:pPr>
      <w:r>
        <w:t xml:space="preserve">8.5 A negotiator reading this Article recognizes its purpose directly: it is the mechanism by which this Pact avoids the defect identified in the predecessor Solh-e Tadriji Accord, whose staircase of sequential, non-overlapping gates produced a governance architecture sound in logic but incompatible with a crisis in which every week of delay costs lives, ships, and global economic stability.</w:t>
      </w:r>
    </w:p>
    <w:bookmarkEnd w:id="34"/>
    <w:bookmarkStart w:id="35" w:name="article-9-definitions-and-interpretation"/>
    <w:p>
      <w:pPr>
        <w:pStyle w:val="Heading2"/>
      </w:pPr>
      <w:r>
        <w:t xml:space="preserve">Article 9: Definitions and Interpretation</w:t>
      </w:r>
    </w:p>
    <w:p>
      <w:pPr>
        <w:pStyle w:val="FirstParagraph"/>
      </w:pPr>
      <w:r>
        <w:t xml:space="preserve">9.1</w:t>
      </w:r>
      <w:r>
        <w:t xml:space="preserve"> </w:t>
      </w:r>
      <w:r>
        <w:t xml:space="preserve">“</w:t>
      </w:r>
      <w:r>
        <w:t xml:space="preserve">Joint Notification</w:t>
      </w:r>
      <w:r>
        <w:t xml:space="preserve">”</w:t>
      </w:r>
      <w:r>
        <w:t xml:space="preserve"> </w:t>
      </w:r>
      <w:r>
        <w:t xml:space="preserve">means the mechanism defined in Article 8.1.</w:t>
      </w:r>
    </w:p>
    <w:p>
      <w:pPr>
        <w:pStyle w:val="BodyText"/>
      </w:pPr>
      <w:r>
        <w:t xml:space="preserve">9.2</w:t>
      </w:r>
      <w:r>
        <w:t xml:space="preserve"> </w:t>
      </w:r>
      <w:r>
        <w:t xml:space="preserve">“</w:t>
      </w:r>
      <w:r>
        <w:t xml:space="preserve">Gate</w:t>
      </w:r>
      <w:r>
        <w:t xml:space="preserve">”</w:t>
      </w:r>
      <w:r>
        <w:t xml:space="preserve"> </w:t>
      </w:r>
      <w:r>
        <w:t xml:space="preserve">means a certification checkpoint, defined in a specific Article within Parts II through VII, that a layer’s elements meet stated, objective criteria before the next layer’s elements begin operating.</w:t>
      </w:r>
    </w:p>
    <w:p>
      <w:pPr>
        <w:pStyle w:val="BodyText"/>
      </w:pPr>
      <w:r>
        <w:t xml:space="preserve">9.3</w:t>
      </w:r>
      <w:r>
        <w:t xml:space="preserve"> </w:t>
      </w:r>
      <w:r>
        <w:t xml:space="preserve">“</w:t>
      </w:r>
      <w:r>
        <w:t xml:space="preserve">Flow State</w:t>
      </w:r>
      <w:r>
        <w:t xml:space="preserve">”</w:t>
      </w:r>
      <w:r>
        <w:t xml:space="preserve"> </w:t>
      </w:r>
      <w:r>
        <w:t xml:space="preserve">means the operating condition of the Governance Area at a given time, defined in Article 45, ranging from Green (unrestricted) through Amber (advisory caution) to Red (temporary hazard closure of a specific zone, never of the entire Strait absent a mutually declared emergency).</w:t>
      </w:r>
    </w:p>
    <w:p>
      <w:pPr>
        <w:pStyle w:val="BodyText"/>
      </w:pPr>
      <w:r>
        <w:t xml:space="preserve">9.4</w:t>
      </w:r>
      <w:r>
        <w:t xml:space="preserve"> </w:t>
      </w:r>
      <w:r>
        <w:t xml:space="preserve">“</w:t>
      </w:r>
      <w:r>
        <w:t xml:space="preserve">Notification,</w:t>
      </w:r>
      <w:r>
        <w:t xml:space="preserve">”</w:t>
      </w:r>
      <w:r>
        <w:t xml:space="preserve"> </w:t>
      </w:r>
      <w:r>
        <w:t xml:space="preserve">used in the vessel-transit context of Article 44, means a voluntary, informational transmission by a vessel of its transit plan; it carries no approval, permit, or permission character, and its absence does not bar a vessel’s transit.</w:t>
      </w:r>
    </w:p>
    <w:p>
      <w:pPr>
        <w:pStyle w:val="BodyText"/>
      </w:pPr>
      <w:r>
        <w:t xml:space="preserve">9.5</w:t>
      </w:r>
      <w:r>
        <w:t xml:space="preserve"> </w:t>
      </w:r>
      <w:r>
        <w:t xml:space="preserve">“</w:t>
      </w:r>
      <w:r>
        <w:t xml:space="preserve">Service,</w:t>
      </w:r>
      <w:r>
        <w:t xml:space="preserve">”</w:t>
      </w:r>
      <w:r>
        <w:t xml:space="preserve"> </w:t>
      </w:r>
      <w:r>
        <w:t xml:space="preserve">in the financial context of Article 51 and Annex C, means a specific, documented, auditable act performed by a coastal state or the Authority, such as pilotage, hazard bulletin issuance, or search-and-rescue readiness, distinct from the right of passage itself.</w:t>
      </w:r>
    </w:p>
    <w:p>
      <w:pPr>
        <w:pStyle w:val="BodyText"/>
      </w:pPr>
      <w:r>
        <w:t xml:space="preserve">9.6</w:t>
      </w:r>
      <w:r>
        <w:t xml:space="preserve"> </w:t>
      </w:r>
      <w:r>
        <w:t xml:space="preserve">“</w:t>
      </w:r>
      <w:r>
        <w:t xml:space="preserve">The Authority</w:t>
      </w:r>
      <w:r>
        <w:t xml:space="preserve">”</w:t>
      </w:r>
      <w:r>
        <w:t xml:space="preserve"> </w:t>
      </w:r>
      <w:r>
        <w:t xml:space="preserve">means the Hormuz Calm Waters Authority established under Article 49.</w:t>
      </w:r>
    </w:p>
    <w:p>
      <w:pPr>
        <w:pStyle w:val="BodyText"/>
      </w:pPr>
      <w:r>
        <w:t xml:space="preserve">9.7 Interpretation of any ambiguous provision in this Pact proceeds first by reference to the Preamble’s four operating truths, second by reference to the Islamabad Memorandum of Understanding, and third by reference to the customary transit-passage regime described in Article 3.</w:t>
      </w:r>
    </w:p>
    <w:bookmarkEnd w:id="35"/>
    <w:bookmarkStart w:id="36" w:name="Xe5d753bb3ad81b33ef3ec5b690982929e88161c"/>
    <w:p>
      <w:pPr>
        <w:pStyle w:val="Heading2"/>
      </w:pPr>
      <w:r>
        <w:t xml:space="preserve">Article 10: The Red Lines Register and the Perimeter Test</w:t>
      </w:r>
    </w:p>
    <w:p>
      <w:pPr>
        <w:pStyle w:val="FirstParagraph"/>
      </w:pPr>
      <w:r>
        <w:t xml:space="preserve">10.1 Annex F contains the full Red Lines Register, elaborating the summary table set out above, recording each Party’s stated non-negotiable position and the specific Article of this Pact that honors it.</w:t>
      </w:r>
    </w:p>
    <w:p>
      <w:pPr>
        <w:pStyle w:val="BodyText"/>
      </w:pPr>
      <w:r>
        <w:t xml:space="preserve">10.2 Every Article of this Pact, before entering into force under Article 8, passes the Perimeter Test: no clause, read on its plain terms, crosses a line recorded in the Register. A drafting change proposed under the amendment procedure of Article 61 that would cross a registered line does not proceed, regardless of the majority favoring it, unless the Party whose line is affected first amends the Register itself.</w:t>
      </w:r>
    </w:p>
    <w:p>
      <w:pPr>
        <w:pStyle w:val="BodyText"/>
      </w:pPr>
      <w:r>
        <w:t xml:space="preserve">10.3 The Perimeter Test is self-administered by each Party’s own negotiating team before any Joint Notification issues; it is a discipline, not a tribunal, because the fastest way to keep a fast-moving architecture safe is to make each Party its own first check against overreach.</w:t>
      </w:r>
    </w:p>
    <w:p>
      <w:r>
        <w:pict>
          <v:rect style="width:0;height:1.5pt" o:hralign="center" o:hrstd="t" o:hr="t"/>
        </w:pict>
      </w:r>
    </w:p>
    <w:p>
      <w:r>
        <w:br w:type="page"/>
      </w:r>
    </w:p>
    <w:bookmarkEnd w:id="36"/>
    <w:bookmarkEnd w:id="37"/>
    <w:bookmarkStart w:id="45" w:name="X3da37670a700168ae07346f25e9b84496406425"/>
    <w:p>
      <w:pPr>
        <w:pStyle w:val="Heading1"/>
      </w:pPr>
      <w:r>
        <w:t xml:space="preserve">PART II: LAYER 0 – THE MICRO-EXERCISE LATTICE (Hour 0 to Hour 72)</w:t>
      </w:r>
    </w:p>
    <w:bookmarkStart w:id="38" w:name="X1e45000d3e003dbdef71b895e82f0e14eb85af8"/>
    <w:p>
      <w:pPr>
        <w:pStyle w:val="Heading2"/>
      </w:pPr>
      <w:r>
        <w:t xml:space="preserve">Article 11: The Lattice, Purpose, Method, and Standing</w:t>
      </w:r>
    </w:p>
    <w:p>
      <w:pPr>
        <w:pStyle w:val="FirstParagraph"/>
      </w:pPr>
      <w:r>
        <w:t xml:space="preserve">11.1 The Micro-Exercise Lattice is the smallest unit of cooperation in this Pact: fifty individually reversible, individually low-stakes exercises, grouped into five clusters of ten, each exercise capable of activating and, if necessary, pausing on its own without affecting any other exercise.</w:t>
      </w:r>
    </w:p>
    <w:p>
      <w:pPr>
        <w:pStyle w:val="BodyText"/>
      </w:pPr>
      <w:r>
        <w:t xml:space="preserve">11.2 No exercise in the Lattice transfers authority, grants permission, moves money, or alters any Party’s enforcement posture. Every exercise is data-sharing, communication, or observation in character. This is a deliberate design constraint, not an oversight: the Lattice exists to generate proof of cooperation before either Party is asked to risk anything beyond proof.</w:t>
      </w:r>
    </w:p>
    <w:p>
      <w:pPr>
        <w:pStyle w:val="BodyText"/>
      </w:pPr>
      <w:r>
        <w:t xml:space="preserve">11.3 Each exercise activates by Joint Notification under Article 8.1 and operates under the coordination of the Lattice Cell, a working-level, four-person technical body, two designated by Iran and two by Oman, seated by video link within the first six hours of this Pact’s Joint Notification and meeting daily for the duration of Layer 0.</w:t>
      </w:r>
    </w:p>
    <w:p>
      <w:pPr>
        <w:pStyle w:val="BodyText"/>
      </w:pPr>
      <w:r>
        <w:t xml:space="preserve">11.4 The Lattice Cell holds no decision authority beyond logging, confirming receipt, and recommending continuation or pause of individual exercises; Article 28 later formalizes an expanded version of this body as the Calm Waters Cell once Layer 3 activates.</w:t>
      </w:r>
    </w:p>
    <w:p>
      <w:pPr>
        <w:pStyle w:val="BodyText"/>
      </w:pPr>
      <w:r>
        <w:t xml:space="preserve">11.5 Exercises within a cluster activate together, on the same Joint Notification, because they share data formats and personnel; a Party pausing one exercise in a cluster under Article 7.2 does not automatically pause the remaining nine.</w:t>
      </w:r>
    </w:p>
    <w:bookmarkEnd w:id="38"/>
    <w:bookmarkStart w:id="39" w:name="X1f9e3039c05a70d4578390e5ea8f668e38b26cd"/>
    <w:p>
      <w:pPr>
        <w:pStyle w:val="Heading2"/>
      </w:pPr>
      <w:r>
        <w:t xml:space="preserve">Article 12: Cluster A – Visibility and Predictability (Exercises A-1 through A-10)</w:t>
      </w:r>
    </w:p>
    <w:p>
      <w:pPr>
        <w:pStyle w:val="FirstParagraph"/>
      </w:pPr>
      <w:r>
        <w:t xml:space="preserve">12.1 Cluster A exercises share weather, tidal, and traffic information between Iran and Oman with no vessel-identifying data attached beyond what each Party already broadcasts publicly, and activate within the first twelve hours of Joint Notification.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Exercise</w:t>
            </w:r>
          </w:p>
        </w:tc>
        <w:tc>
          <w:tcPr/>
          <w:p>
            <w:pPr>
              <w:pStyle w:val="Compact"/>
              <w:jc w:val="left"/>
            </w:pPr>
            <w:r>
              <w:t xml:space="preserve">Operative content</w:t>
            </w:r>
          </w:p>
        </w:tc>
        <w:tc>
          <w:tcPr/>
          <w:p>
            <w:pPr>
              <w:pStyle w:val="Compact"/>
              <w:jc w:val="left"/>
            </w:pPr>
            <w:r>
              <w:t xml:space="preserve">Cadence</w:t>
            </w:r>
          </w:p>
        </w:tc>
      </w:tr>
      <w:tr>
        <w:tc>
          <w:tcPr/>
          <w:p>
            <w:pPr>
              <w:pStyle w:val="Compact"/>
              <w:jc w:val="left"/>
            </w:pPr>
            <w:r>
              <w:t xml:space="preserve">A-1</w:t>
            </w:r>
          </w:p>
        </w:tc>
        <w:tc>
          <w:tcPr/>
          <w:p>
            <w:pPr>
              <w:pStyle w:val="Compact"/>
              <w:jc w:val="left"/>
            </w:pPr>
            <w:r>
              <w:t xml:space="preserve">AIS snapshot exchange</w:t>
            </w:r>
          </w:p>
        </w:tc>
        <w:tc>
          <w:tcPr/>
          <w:p>
            <w:pPr>
              <w:pStyle w:val="Compact"/>
              <w:jc w:val="left"/>
            </w:pPr>
            <w:r>
              <w:t xml:space="preserve">Each Party transmits a snapshot of ten representative, already-public AIS vessel tracks in the Governance Area to the other Party’s Lattice Cell desk</w:t>
            </w:r>
          </w:p>
        </w:tc>
        <w:tc>
          <w:tcPr/>
          <w:p>
            <w:pPr>
              <w:pStyle w:val="Compact"/>
              <w:jc w:val="left"/>
            </w:pPr>
            <w:r>
              <w:t xml:space="preserve">Twice daily, 0600 and 1800 local</w:t>
            </w:r>
          </w:p>
        </w:tc>
      </w:tr>
      <w:tr>
        <w:tc>
          <w:tcPr/>
          <w:p>
            <w:pPr>
              <w:pStyle w:val="Compact"/>
              <w:jc w:val="left"/>
            </w:pPr>
            <w:r>
              <w:t xml:space="preserve">A-2</w:t>
            </w:r>
          </w:p>
        </w:tc>
        <w:tc>
          <w:tcPr/>
          <w:p>
            <w:pPr>
              <w:pStyle w:val="Compact"/>
              <w:jc w:val="left"/>
            </w:pPr>
            <w:r>
              <w:t xml:space="preserve">Visibility-only feed</w:t>
            </w:r>
          </w:p>
        </w:tc>
        <w:tc>
          <w:tcPr/>
          <w:p>
            <w:pPr>
              <w:pStyle w:val="Compact"/>
              <w:jc w:val="left"/>
            </w:pPr>
            <w:r>
              <w:t xml:space="preserve">Each Party shares fog, haze, and visibility-range readings for its half of the Governance Area</w:t>
            </w:r>
          </w:p>
        </w:tc>
        <w:tc>
          <w:tcPr/>
          <w:p>
            <w:pPr>
              <w:pStyle w:val="Compact"/>
              <w:jc w:val="left"/>
            </w:pPr>
            <w:r>
              <w:t xml:space="preserve">Hourly during periods below 5 nautical miles visibility, otherwise every six hours</w:t>
            </w:r>
          </w:p>
        </w:tc>
      </w:tr>
      <w:tr>
        <w:tc>
          <w:tcPr/>
          <w:p>
            <w:pPr>
              <w:pStyle w:val="Compact"/>
              <w:jc w:val="left"/>
            </w:pPr>
            <w:r>
              <w:t xml:space="preserve">A-3</w:t>
            </w:r>
          </w:p>
        </w:tc>
        <w:tc>
          <w:tcPr/>
          <w:p>
            <w:pPr>
              <w:pStyle w:val="Compact"/>
              <w:jc w:val="left"/>
            </w:pPr>
            <w:r>
              <w:t xml:space="preserve">Micro-weather exchange</w:t>
            </w:r>
          </w:p>
        </w:tc>
        <w:tc>
          <w:tcPr/>
          <w:p>
            <w:pPr>
              <w:pStyle w:val="Compact"/>
              <w:jc w:val="left"/>
            </w:pPr>
            <w:r>
              <w:t xml:space="preserve">Wind speed, wind direction, and sea-state readings for one designated zone centered on 26°36’N 56°30’E</w:t>
            </w:r>
          </w:p>
        </w:tc>
        <w:tc>
          <w:tcPr/>
          <w:p>
            <w:pPr>
              <w:pStyle w:val="Compact"/>
              <w:jc w:val="left"/>
            </w:pPr>
            <w:r>
              <w:t xml:space="preserve">Every six hours</w:t>
            </w:r>
          </w:p>
        </w:tc>
      </w:tr>
      <w:tr>
        <w:tc>
          <w:tcPr/>
          <w:p>
            <w:pPr>
              <w:pStyle w:val="Compact"/>
              <w:jc w:val="left"/>
            </w:pPr>
            <w:r>
              <w:t xml:space="preserve">A-4</w:t>
            </w:r>
          </w:p>
        </w:tc>
        <w:tc>
          <w:tcPr/>
          <w:p>
            <w:pPr>
              <w:pStyle w:val="Compact"/>
              <w:jc w:val="left"/>
            </w:pPr>
            <w:r>
              <w:t xml:space="preserve">Shared tide table</w:t>
            </w:r>
          </w:p>
        </w:tc>
        <w:tc>
          <w:tcPr/>
          <w:p>
            <w:pPr>
              <w:pStyle w:val="Compact"/>
              <w:jc w:val="left"/>
            </w:pPr>
            <w:r>
              <w:t xml:space="preserve">Harmonized tide predictions for the Governance Area, cross-checked against each Party’s own tidal station data</w:t>
            </w:r>
          </w:p>
        </w:tc>
        <w:tc>
          <w:tcPr/>
          <w:p>
            <w:pPr>
              <w:pStyle w:val="Compact"/>
              <w:jc w:val="left"/>
            </w:pPr>
            <w:r>
              <w:t xml:space="preserve">Published once, updated weekly</w:t>
            </w:r>
          </w:p>
        </w:tc>
      </w:tr>
      <w:tr>
        <w:tc>
          <w:tcPr/>
          <w:p>
            <w:pPr>
              <w:pStyle w:val="Compact"/>
              <w:jc w:val="left"/>
            </w:pPr>
            <w:r>
              <w:t xml:space="preserve">A-5</w:t>
            </w:r>
          </w:p>
        </w:tc>
        <w:tc>
          <w:tcPr/>
          <w:p>
            <w:pPr>
              <w:pStyle w:val="Compact"/>
              <w:jc w:val="left"/>
            </w:pPr>
            <w:r>
              <w:t xml:space="preserve">Swell-risk micro-map</w:t>
            </w:r>
          </w:p>
        </w:tc>
        <w:tc>
          <w:tcPr/>
          <w:p>
            <w:pPr>
              <w:pStyle w:val="Compact"/>
              <w:jc w:val="left"/>
            </w:pPr>
            <w:r>
              <w:t xml:space="preserve">A joint map of swell-hazard zones inside Corridor One and Corridor Two, updated as conditions change</w:t>
            </w:r>
          </w:p>
        </w:tc>
        <w:tc>
          <w:tcPr/>
          <w:p>
            <w:pPr>
              <w:pStyle w:val="Compact"/>
              <w:jc w:val="left"/>
            </w:pPr>
            <w:r>
              <w:t xml:space="preserve">Daily during Layer 0; on-change thereafter</w:t>
            </w:r>
          </w:p>
        </w:tc>
      </w:tr>
      <w:tr>
        <w:tc>
          <w:tcPr/>
          <w:p>
            <w:pPr>
              <w:pStyle w:val="Compact"/>
              <w:jc w:val="left"/>
            </w:pPr>
            <w:r>
              <w:t xml:space="preserve">A-6</w:t>
            </w:r>
          </w:p>
        </w:tc>
        <w:tc>
          <w:tcPr/>
          <w:p>
            <w:pPr>
              <w:pStyle w:val="Compact"/>
              <w:jc w:val="left"/>
            </w:pPr>
            <w:r>
              <w:t xml:space="preserve">Shared hazard bulletin</w:t>
            </w:r>
          </w:p>
        </w:tc>
        <w:tc>
          <w:tcPr/>
          <w:p>
            <w:pPr>
              <w:pStyle w:val="Compact"/>
              <w:jc w:val="left"/>
            </w:pPr>
            <w:r>
              <w:t xml:space="preserve">One consolidated daily bulletin combining weather, visibility, and any reported floating hazard</w:t>
            </w:r>
          </w:p>
        </w:tc>
        <w:tc>
          <w:tcPr/>
          <w:p>
            <w:pPr>
              <w:pStyle w:val="Compact"/>
              <w:jc w:val="left"/>
            </w:pPr>
            <w:r>
              <w:t xml:space="preserve">Daily, 0500 local, issued jointly under both Parties’ names</w:t>
            </w:r>
          </w:p>
        </w:tc>
      </w:tr>
      <w:tr>
        <w:tc>
          <w:tcPr/>
          <w:p>
            <w:pPr>
              <w:pStyle w:val="Compact"/>
              <w:jc w:val="left"/>
            </w:pPr>
            <w:r>
              <w:t xml:space="preserve">A-7</w:t>
            </w:r>
          </w:p>
        </w:tc>
        <w:tc>
          <w:tcPr/>
          <w:p>
            <w:pPr>
              <w:pStyle w:val="Compact"/>
              <w:jc w:val="left"/>
            </w:pPr>
            <w:r>
              <w:t xml:space="preserve">Storm-threshold agreement</w:t>
            </w:r>
          </w:p>
        </w:tc>
        <w:tc>
          <w:tcPr/>
          <w:p>
            <w:pPr>
              <w:pStyle w:val="Compact"/>
              <w:jc w:val="left"/>
            </w:pPr>
            <w:r>
              <w:t xml:space="preserve">A single, jointly agreed wind-speed and swell-height threshold that triggers an automatic Amber Flow State advisory under Article 45</w:t>
            </w:r>
          </w:p>
        </w:tc>
        <w:tc>
          <w:tcPr/>
          <w:p>
            <w:pPr>
              <w:pStyle w:val="Compact"/>
              <w:jc w:val="left"/>
            </w:pPr>
            <w:r>
              <w:t xml:space="preserve">Set once at Layer 0 activation; reviewed at each Gate</w:t>
            </w:r>
          </w:p>
        </w:tc>
      </w:tr>
      <w:tr>
        <w:tc>
          <w:tcPr/>
          <w:p>
            <w:pPr>
              <w:pStyle w:val="Compact"/>
              <w:jc w:val="left"/>
            </w:pPr>
            <w:r>
              <w:t xml:space="preserve">A-8</w:t>
            </w:r>
          </w:p>
        </w:tc>
        <w:tc>
          <w:tcPr/>
          <w:p>
            <w:pPr>
              <w:pStyle w:val="Compact"/>
              <w:jc w:val="left"/>
            </w:pPr>
            <w:r>
              <w:t xml:space="preserve">Micro-meteorology desk</w:t>
            </w:r>
          </w:p>
        </w:tc>
        <w:tc>
          <w:tcPr/>
          <w:p>
            <w:pPr>
              <w:pStyle w:val="Compact"/>
              <w:jc w:val="left"/>
            </w:pPr>
            <w:r>
              <w:t xml:space="preserve">A two-person desk, one Iranian and one Omani meteorological officer, co-located by secure video link, reconciling any discrepancy between national forecasts</w:t>
            </w:r>
          </w:p>
        </w:tc>
        <w:tc>
          <w:tcPr/>
          <w:p>
            <w:pPr>
              <w:pStyle w:val="Compact"/>
              <w:jc w:val="left"/>
            </w:pPr>
            <w:r>
              <w:t xml:space="preserve">Staffed continuously during Layer 0</w:t>
            </w:r>
          </w:p>
        </w:tc>
      </w:tr>
      <w:tr>
        <w:tc>
          <w:tcPr/>
          <w:p>
            <w:pPr>
              <w:pStyle w:val="Compact"/>
              <w:jc w:val="left"/>
            </w:pPr>
            <w:r>
              <w:t xml:space="preserve">A-9</w:t>
            </w:r>
          </w:p>
        </w:tc>
        <w:tc>
          <w:tcPr/>
          <w:p>
            <w:pPr>
              <w:pStyle w:val="Compact"/>
              <w:jc w:val="left"/>
            </w:pPr>
            <w:r>
              <w:t xml:space="preserve">Joint hazard symbols</w:t>
            </w:r>
          </w:p>
        </w:tc>
        <w:tc>
          <w:tcPr/>
          <w:p>
            <w:pPr>
              <w:pStyle w:val="Compact"/>
              <w:jc w:val="left"/>
            </w:pPr>
            <w:r>
              <w:t xml:space="preserve">A single set of chart symbols and radio-plain-language terms for fog, mine-like object, disabled vessel, and small-craft swarm, adopted by both Parties for use on the Common Channel established in Article 20</w:t>
            </w:r>
          </w:p>
        </w:tc>
        <w:tc>
          <w:tcPr/>
          <w:p>
            <w:pPr>
              <w:pStyle w:val="Compact"/>
              <w:jc w:val="left"/>
            </w:pPr>
            <w:r>
              <w:t xml:space="preserve">Adopted once; binding on all Lattice communications thereafter</w:t>
            </w:r>
          </w:p>
        </w:tc>
      </w:tr>
      <w:tr>
        <w:tc>
          <w:tcPr/>
          <w:p>
            <w:pPr>
              <w:pStyle w:val="Compact"/>
              <w:jc w:val="left"/>
            </w:pPr>
            <w:r>
              <w:t xml:space="preserve">A-10</w:t>
            </w:r>
          </w:p>
        </w:tc>
        <w:tc>
          <w:tcPr/>
          <w:p>
            <w:pPr>
              <w:pStyle w:val="Compact"/>
              <w:jc w:val="left"/>
            </w:pPr>
            <w:r>
              <w:t xml:space="preserve">Micro-traffic forecast</w:t>
            </w:r>
          </w:p>
        </w:tc>
        <w:tc>
          <w:tcPr/>
          <w:p>
            <w:pPr>
              <w:pStyle w:val="Compact"/>
              <w:jc w:val="left"/>
            </w:pPr>
            <w:r>
              <w:t xml:space="preserve">A same-day forecast of expected transit volume for Corridor One, built from notification data under Article 21 once that Article activates, or from historical baselines before it does</w:t>
            </w:r>
          </w:p>
        </w:tc>
        <w:tc>
          <w:tcPr/>
          <w:p>
            <w:pPr>
              <w:pStyle w:val="Compact"/>
              <w:jc w:val="left"/>
            </w:pPr>
            <w:r>
              <w:t xml:space="preserve">Daily, 0700 local</w:t>
            </w:r>
          </w:p>
        </w:tc>
      </w:tr>
    </w:tbl>
    <w:p>
      <w:pPr>
        <w:pStyle w:val="BodyText"/>
      </w:pPr>
      <w:r>
        <w:t xml:space="preserve">12.2 Cluster A’s ten exercises produce the Lattice’s first deliverable: a single, mutually authenticated picture of weather and traffic conditions in the Governance Area, available to both Parties and, through the Open Water Bulletin of Article 45, to the shipping industry, before either Party commits to anything beyond sharing data.</w:t>
      </w:r>
    </w:p>
    <w:bookmarkEnd w:id="39"/>
    <w:bookmarkStart w:id="40" w:name="X6d689465681288803358ab59bb84402f7df0e33"/>
    <w:p>
      <w:pPr>
        <w:pStyle w:val="Heading2"/>
      </w:pPr>
      <w:r>
        <w:t xml:space="preserve">Article 13: Cluster B – Micro-Routing and Movement Safety (Exercises B-1 through B-10)</w:t>
      </w:r>
    </w:p>
    <w:p>
      <w:pPr>
        <w:pStyle w:val="FirstParagraph"/>
      </w:pPr>
      <w:r>
        <w:t xml:space="preserve">13.1 Cluster B exercises touch vessel movement patterns without creating any binding routing obligation; every routing element in this cluster is advisory, and a vessel’s disregard of an advisory carries no penalty under this Pact.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Exercise</w:t>
            </w:r>
          </w:p>
        </w:tc>
        <w:tc>
          <w:tcPr/>
          <w:p>
            <w:pPr>
              <w:pStyle w:val="Compact"/>
              <w:jc w:val="left"/>
            </w:pPr>
            <w:r>
              <w:t xml:space="preserve">Operative content</w:t>
            </w:r>
          </w:p>
        </w:tc>
        <w:tc>
          <w:tcPr/>
          <w:p>
            <w:pPr>
              <w:pStyle w:val="Compact"/>
              <w:jc w:val="left"/>
            </w:pPr>
            <w:r>
              <w:t xml:space="preserve">Cadence</w:t>
            </w:r>
          </w:p>
        </w:tc>
      </w:tr>
      <w:tr>
        <w:tc>
          <w:tcPr/>
          <w:p>
            <w:pPr>
              <w:pStyle w:val="Compact"/>
              <w:jc w:val="left"/>
            </w:pPr>
            <w:r>
              <w:t xml:space="preserve">B-1</w:t>
            </w:r>
          </w:p>
        </w:tc>
        <w:tc>
          <w:tcPr/>
          <w:p>
            <w:pPr>
              <w:pStyle w:val="Compact"/>
              <w:jc w:val="left"/>
            </w:pPr>
            <w:r>
              <w:t xml:space="preserve">Single-corridor stability test</w:t>
            </w:r>
          </w:p>
        </w:tc>
        <w:tc>
          <w:tcPr/>
          <w:p>
            <w:pPr>
              <w:pStyle w:val="Compact"/>
              <w:jc w:val="left"/>
            </w:pPr>
            <w:r>
              <w:t xml:space="preserve">One inbound lane, aligned with the historical Traffic Separation Scheme north of the Musandam Peninsula, jointly acknowledged as the reference lane for the first seventy-two hours</w:t>
            </w:r>
          </w:p>
        </w:tc>
        <w:tc>
          <w:tcPr/>
          <w:p>
            <w:pPr>
              <w:pStyle w:val="Compact"/>
              <w:jc w:val="left"/>
            </w:pPr>
            <w:r>
              <w:t xml:space="preserve">Continuous through Layer 0</w:t>
            </w:r>
          </w:p>
        </w:tc>
      </w:tr>
      <w:tr>
        <w:tc>
          <w:tcPr/>
          <w:p>
            <w:pPr>
              <w:pStyle w:val="Compact"/>
              <w:jc w:val="left"/>
            </w:pPr>
            <w:r>
              <w:t xml:space="preserve">B-2</w:t>
            </w:r>
          </w:p>
        </w:tc>
        <w:tc>
          <w:tcPr/>
          <w:p>
            <w:pPr>
              <w:pStyle w:val="Compact"/>
              <w:jc w:val="left"/>
            </w:pPr>
            <w:r>
              <w:t xml:space="preserve">Outbound corridor test</w:t>
            </w:r>
          </w:p>
        </w:tc>
        <w:tc>
          <w:tcPr/>
          <w:p>
            <w:pPr>
              <w:pStyle w:val="Compact"/>
              <w:jc w:val="left"/>
            </w:pPr>
            <w:r>
              <w:t xml:space="preserve">A mirrored outbound lane, south of the inbound lane, jointly acknowledged on the same terms</w:t>
            </w:r>
          </w:p>
        </w:tc>
        <w:tc>
          <w:tcPr/>
          <w:p>
            <w:pPr>
              <w:pStyle w:val="Compact"/>
              <w:jc w:val="left"/>
            </w:pPr>
            <w:r>
              <w:t xml:space="preserve">Continuous through Layer 0</w:t>
            </w:r>
          </w:p>
        </w:tc>
      </w:tr>
      <w:tr>
        <w:tc>
          <w:tcPr/>
          <w:p>
            <w:pPr>
              <w:pStyle w:val="Compact"/>
              <w:jc w:val="left"/>
            </w:pPr>
            <w:r>
              <w:t xml:space="preserve">B-3</w:t>
            </w:r>
          </w:p>
        </w:tc>
        <w:tc>
          <w:tcPr/>
          <w:p>
            <w:pPr>
              <w:pStyle w:val="Compact"/>
              <w:jc w:val="left"/>
            </w:pPr>
            <w:r>
              <w:t xml:space="preserve">Temporary slow-zone</w:t>
            </w:r>
          </w:p>
        </w:tc>
        <w:tc>
          <w:tcPr/>
          <w:p>
            <w:pPr>
              <w:pStyle w:val="Compact"/>
              <w:jc w:val="left"/>
            </w:pPr>
            <w:r>
              <w:t xml:space="preserve">A designated slow-speed advisory zone, activating automatically when Cluster A’s storm threshold under A-7 is met</w:t>
            </w:r>
          </w:p>
        </w:tc>
        <w:tc>
          <w:tcPr/>
          <w:p>
            <w:pPr>
              <w:pStyle w:val="Compact"/>
              <w:jc w:val="left"/>
            </w:pPr>
            <w:r>
              <w:t xml:space="preserve">On-trigger</w:t>
            </w:r>
          </w:p>
        </w:tc>
      </w:tr>
      <w:tr>
        <w:tc>
          <w:tcPr/>
          <w:p>
            <w:pPr>
              <w:pStyle w:val="Compact"/>
              <w:jc w:val="left"/>
            </w:pPr>
            <w:r>
              <w:t xml:space="preserve">B-4</w:t>
            </w:r>
          </w:p>
        </w:tc>
        <w:tc>
          <w:tcPr/>
          <w:p>
            <w:pPr>
              <w:pStyle w:val="Compact"/>
              <w:jc w:val="left"/>
            </w:pPr>
            <w:r>
              <w:t xml:space="preserve">Micro-anchorage zone</w:t>
            </w:r>
          </w:p>
        </w:tc>
        <w:tc>
          <w:tcPr/>
          <w:p>
            <w:pPr>
              <w:pStyle w:val="Compact"/>
              <w:jc w:val="left"/>
            </w:pPr>
            <w:r>
              <w:t xml:space="preserve">One jointly acknowledged safe anchorage, positioned in the deeper water east of Quoin Island, available to any vessel awaiting a routing window</w:t>
            </w:r>
          </w:p>
        </w:tc>
        <w:tc>
          <w:tcPr/>
          <w:p>
            <w:pPr>
              <w:pStyle w:val="Compact"/>
              <w:jc w:val="left"/>
            </w:pPr>
            <w:r>
              <w:t xml:space="preserve">Standing for Layer 0 duration</w:t>
            </w:r>
          </w:p>
        </w:tc>
      </w:tr>
      <w:tr>
        <w:tc>
          <w:tcPr/>
          <w:p>
            <w:pPr>
              <w:pStyle w:val="Compact"/>
              <w:jc w:val="left"/>
            </w:pPr>
            <w:r>
              <w:t xml:space="preserve">B-5</w:t>
            </w:r>
          </w:p>
        </w:tc>
        <w:tc>
          <w:tcPr/>
          <w:p>
            <w:pPr>
              <w:pStyle w:val="Compact"/>
              <w:jc w:val="left"/>
            </w:pPr>
            <w:r>
              <w:t xml:space="preserve">Micro-anchoring advisory</w:t>
            </w:r>
          </w:p>
        </w:tc>
        <w:tc>
          <w:tcPr/>
          <w:p>
            <w:pPr>
              <w:pStyle w:val="Compact"/>
              <w:jc w:val="left"/>
            </w:pPr>
            <w:r>
              <w:t xml:space="preserve">Non-binding guidance on anchoring depth and holding ground within the Micro-anchorage zone</w:t>
            </w:r>
          </w:p>
        </w:tc>
        <w:tc>
          <w:tcPr/>
          <w:p>
            <w:pPr>
              <w:pStyle w:val="Compact"/>
              <w:jc w:val="left"/>
            </w:pPr>
            <w:r>
              <w:t xml:space="preserve">Published once; updated on hazard change</w:t>
            </w:r>
          </w:p>
        </w:tc>
      </w:tr>
      <w:tr>
        <w:tc>
          <w:tcPr/>
          <w:p>
            <w:pPr>
              <w:pStyle w:val="Compact"/>
              <w:jc w:val="left"/>
            </w:pPr>
            <w:r>
              <w:t xml:space="preserve">B-6</w:t>
            </w:r>
          </w:p>
        </w:tc>
        <w:tc>
          <w:tcPr/>
          <w:p>
            <w:pPr>
              <w:pStyle w:val="Compact"/>
              <w:jc w:val="left"/>
            </w:pPr>
            <w:r>
              <w:t xml:space="preserve">Micro-navigation cues</w:t>
            </w:r>
          </w:p>
        </w:tc>
        <w:tc>
          <w:tcPr/>
          <w:p>
            <w:pPr>
              <w:pStyle w:val="Compact"/>
              <w:jc w:val="left"/>
            </w:pPr>
            <w:r>
              <w:t xml:space="preserve">Harmonized light and sound signals for the single acknowledged corridor, drawing on the joint hazard symbols adopted under A-9</w:t>
            </w:r>
          </w:p>
        </w:tc>
        <w:tc>
          <w:tcPr/>
          <w:p>
            <w:pPr>
              <w:pStyle w:val="Compact"/>
              <w:jc w:val="left"/>
            </w:pPr>
            <w:r>
              <w:t xml:space="preserve">Adopted once</w:t>
            </w:r>
          </w:p>
        </w:tc>
      </w:tr>
      <w:tr>
        <w:tc>
          <w:tcPr/>
          <w:p>
            <w:pPr>
              <w:pStyle w:val="Compact"/>
              <w:jc w:val="left"/>
            </w:pPr>
            <w:r>
              <w:t xml:space="preserve">B-7</w:t>
            </w:r>
          </w:p>
        </w:tc>
        <w:tc>
          <w:tcPr/>
          <w:p>
            <w:pPr>
              <w:pStyle w:val="Compact"/>
              <w:jc w:val="left"/>
            </w:pPr>
            <w:r>
              <w:t xml:space="preserve">Joint calm-sea window</w:t>
            </w:r>
          </w:p>
        </w:tc>
        <w:tc>
          <w:tcPr/>
          <w:p>
            <w:pPr>
              <w:pStyle w:val="Compact"/>
              <w:jc w:val="left"/>
            </w:pPr>
            <w:r>
              <w:t xml:space="preserve">A daily window, initially set at 0600 to 1000 local, during which both Parties designate the corridor as lowest-risk for transit based on the swell-risk map under A-5</w:t>
            </w:r>
          </w:p>
        </w:tc>
        <w:tc>
          <w:tcPr/>
          <w:p>
            <w:pPr>
              <w:pStyle w:val="Compact"/>
              <w:jc w:val="left"/>
            </w:pPr>
            <w:r>
              <w:t xml:space="preserve">Daily</w:t>
            </w:r>
          </w:p>
        </w:tc>
      </w:tr>
      <w:tr>
        <w:tc>
          <w:tcPr/>
          <w:p>
            <w:pPr>
              <w:pStyle w:val="Compact"/>
              <w:jc w:val="left"/>
            </w:pPr>
            <w:r>
              <w:t xml:space="preserve">B-8</w:t>
            </w:r>
          </w:p>
        </w:tc>
        <w:tc>
          <w:tcPr/>
          <w:p>
            <w:pPr>
              <w:pStyle w:val="Compact"/>
              <w:jc w:val="left"/>
            </w:pPr>
            <w:r>
              <w:t xml:space="preserve">Harbor-exit timing</w:t>
            </w:r>
          </w:p>
        </w:tc>
        <w:tc>
          <w:tcPr/>
          <w:p>
            <w:pPr>
              <w:pStyle w:val="Compact"/>
              <w:jc w:val="left"/>
            </w:pPr>
            <w:r>
              <w:t xml:space="preserve">A thirty-minute daily coordination window aligning departures from Bandar Abbas and Khasab to reduce simultaneous converging traffic</w:t>
            </w:r>
          </w:p>
        </w:tc>
        <w:tc>
          <w:tcPr/>
          <w:p>
            <w:pPr>
              <w:pStyle w:val="Compact"/>
              <w:jc w:val="left"/>
            </w:pPr>
            <w:r>
              <w:t xml:space="preserve">Daily, 0900 to 0930 local</w:t>
            </w:r>
          </w:p>
        </w:tc>
      </w:tr>
      <w:tr>
        <w:tc>
          <w:tcPr/>
          <w:p>
            <w:pPr>
              <w:pStyle w:val="Compact"/>
              <w:jc w:val="left"/>
            </w:pPr>
            <w:r>
              <w:t xml:space="preserve">B-9</w:t>
            </w:r>
          </w:p>
        </w:tc>
        <w:tc>
          <w:tcPr/>
          <w:p>
            <w:pPr>
              <w:pStyle w:val="Compact"/>
              <w:jc w:val="left"/>
            </w:pPr>
            <w:r>
              <w:t xml:space="preserve">Pilot-boat coordination</w:t>
            </w:r>
          </w:p>
        </w:tc>
        <w:tc>
          <w:tcPr/>
          <w:p>
            <w:pPr>
              <w:pStyle w:val="Compact"/>
              <w:jc w:val="left"/>
            </w:pPr>
            <w:r>
              <w:t xml:space="preserve">A two-hour daily window in which each Party’s pilot-boat service confirms its operational status to the other, without cross-boarding or joint operation</w:t>
            </w:r>
          </w:p>
        </w:tc>
        <w:tc>
          <w:tcPr/>
          <w:p>
            <w:pPr>
              <w:pStyle w:val="Compact"/>
              <w:jc w:val="left"/>
            </w:pPr>
            <w:r>
              <w:t xml:space="preserve">Daily, 0800 to 1000 local</w:t>
            </w:r>
          </w:p>
        </w:tc>
      </w:tr>
      <w:tr>
        <w:tc>
          <w:tcPr/>
          <w:p>
            <w:pPr>
              <w:pStyle w:val="Compact"/>
              <w:jc w:val="left"/>
            </w:pPr>
            <w:r>
              <w:t xml:space="preserve">B-10</w:t>
            </w:r>
          </w:p>
        </w:tc>
        <w:tc>
          <w:tcPr/>
          <w:p>
            <w:pPr>
              <w:pStyle w:val="Compact"/>
              <w:jc w:val="left"/>
            </w:pPr>
            <w:r>
              <w:t xml:space="preserve">Harbor-pilot rotation</w:t>
            </w:r>
          </w:p>
        </w:tc>
        <w:tc>
          <w:tcPr/>
          <w:p>
            <w:pPr>
              <w:pStyle w:val="Compact"/>
              <w:jc w:val="left"/>
            </w:pPr>
            <w:r>
              <w:t xml:space="preserve">Exchange of each Party’s pilot-availability schedule for the following twenty-four hours, to reduce mismatched wait times at the corridor’s entrance</w:t>
            </w:r>
          </w:p>
        </w:tc>
        <w:tc>
          <w:tcPr/>
          <w:p>
            <w:pPr>
              <w:pStyle w:val="Compact"/>
              <w:jc w:val="left"/>
            </w:pPr>
            <w:r>
              <w:t xml:space="preserve">Daily, published by 1800 local for the following day</w:t>
            </w:r>
          </w:p>
        </w:tc>
      </w:tr>
    </w:tbl>
    <w:p>
      <w:pPr>
        <w:pStyle w:val="BodyText"/>
      </w:pPr>
      <w:r>
        <w:t xml:space="preserve">13.2 Cluster B’s exercises exist to generate the Lattice’s second deliverable: proof, inside seventy-two hours, that predictable, jointly acknowledged movement measurably reduces near-miss incidents, without either Party surrendering enforcement authority in its own waters.</w:t>
      </w:r>
    </w:p>
    <w:bookmarkEnd w:id="40"/>
    <w:bookmarkStart w:id="41" w:name="Xc075bee7823df874cff907f5150615f058e4b6f"/>
    <w:p>
      <w:pPr>
        <w:pStyle w:val="Heading2"/>
      </w:pPr>
      <w:r>
        <w:t xml:space="preserve">Article 14: Cluster C – Micro-Alerts and Incident Reduction (Exercises C-1 through C-10)</w:t>
      </w:r>
    </w:p>
    <w:p>
      <w:pPr>
        <w:pStyle w:val="FirstParagraph"/>
      </w:pPr>
      <w:r>
        <w:t xml:space="preserve">14.1 Cluster C exercises are communication-only: they reduce the chance that a mechanical failure, drift, or debris sighting is misread as a hostile act, which has been among the most dangerous failure modes of the crisis since February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Exercise</w:t>
            </w:r>
          </w:p>
        </w:tc>
        <w:tc>
          <w:tcPr/>
          <w:p>
            <w:pPr>
              <w:pStyle w:val="Compact"/>
              <w:jc w:val="left"/>
            </w:pPr>
            <w:r>
              <w:t xml:space="preserve">Operative content</w:t>
            </w:r>
          </w:p>
        </w:tc>
        <w:tc>
          <w:tcPr/>
          <w:p>
            <w:pPr>
              <w:pStyle w:val="Compact"/>
              <w:jc w:val="left"/>
            </w:pPr>
            <w:r>
              <w:t xml:space="preserve">Cadence</w:t>
            </w:r>
          </w:p>
        </w:tc>
      </w:tr>
      <w:tr>
        <w:tc>
          <w:tcPr/>
          <w:p>
            <w:pPr>
              <w:pStyle w:val="Compact"/>
              <w:jc w:val="left"/>
            </w:pPr>
            <w:r>
              <w:t xml:space="preserve">C-1</w:t>
            </w:r>
          </w:p>
        </w:tc>
        <w:tc>
          <w:tcPr/>
          <w:p>
            <w:pPr>
              <w:pStyle w:val="Compact"/>
              <w:jc w:val="left"/>
            </w:pPr>
            <w:r>
              <w:t xml:space="preserve">Dual-ping incident alerts</w:t>
            </w:r>
          </w:p>
        </w:tc>
        <w:tc>
          <w:tcPr/>
          <w:p>
            <w:pPr>
              <w:pStyle w:val="Compact"/>
              <w:jc w:val="left"/>
            </w:pPr>
            <w:r>
              <w:t xml:space="preserve">A standardized two-transmission alert format for mechanical failure or near-miss, sent on the Common Channel by either Party’s traffic desk</w:t>
            </w:r>
          </w:p>
        </w:tc>
        <w:tc>
          <w:tcPr/>
          <w:p>
            <w:pPr>
              <w:pStyle w:val="Compact"/>
              <w:jc w:val="left"/>
            </w:pPr>
            <w:r>
              <w:t xml:space="preserve">On-occurrence</w:t>
            </w:r>
          </w:p>
        </w:tc>
      </w:tr>
      <w:tr>
        <w:tc>
          <w:tcPr/>
          <w:p>
            <w:pPr>
              <w:pStyle w:val="Compact"/>
              <w:jc w:val="left"/>
            </w:pPr>
            <w:r>
              <w:t xml:space="preserve">C-2</w:t>
            </w:r>
          </w:p>
        </w:tc>
        <w:tc>
          <w:tcPr/>
          <w:p>
            <w:pPr>
              <w:pStyle w:val="Compact"/>
              <w:jc w:val="left"/>
            </w:pPr>
            <w:r>
              <w:t xml:space="preserve">Mechanical-failure registry</w:t>
            </w:r>
          </w:p>
        </w:tc>
        <w:tc>
          <w:tcPr/>
          <w:p>
            <w:pPr>
              <w:pStyle w:val="Compact"/>
              <w:jc w:val="left"/>
            </w:pPr>
            <w:r>
              <w:t xml:space="preserve">A shared, non-attributive log of disabled-vessel incidents inside the Governance Area, stripped of any security-sensitive detail</w:t>
            </w:r>
          </w:p>
        </w:tc>
        <w:tc>
          <w:tcPr/>
          <w:p>
            <w:pPr>
              <w:pStyle w:val="Compact"/>
              <w:jc w:val="left"/>
            </w:pPr>
            <w:r>
              <w:t xml:space="preserve">Updated on-occurrence; reviewed daily</w:t>
            </w:r>
          </w:p>
        </w:tc>
      </w:tr>
      <w:tr>
        <w:tc>
          <w:tcPr/>
          <w:p>
            <w:pPr>
              <w:pStyle w:val="Compact"/>
              <w:jc w:val="left"/>
            </w:pPr>
            <w:r>
              <w:t xml:space="preserve">C-3</w:t>
            </w:r>
          </w:p>
        </w:tc>
        <w:tc>
          <w:tcPr/>
          <w:p>
            <w:pPr>
              <w:pStyle w:val="Compact"/>
              <w:jc w:val="left"/>
            </w:pPr>
            <w:r>
              <w:t xml:space="preserve">Engine-restart alerts</w:t>
            </w:r>
          </w:p>
        </w:tc>
        <w:tc>
          <w:tcPr/>
          <w:p>
            <w:pPr>
              <w:pStyle w:val="Compact"/>
              <w:jc w:val="left"/>
            </w:pPr>
            <w:r>
              <w:t xml:space="preserve">Notification when a previously disabled vessel resumes power, to prevent a restart being read as an evasive maneuver</w:t>
            </w:r>
          </w:p>
        </w:tc>
        <w:tc>
          <w:tcPr/>
          <w:p>
            <w:pPr>
              <w:pStyle w:val="Compact"/>
              <w:jc w:val="left"/>
            </w:pPr>
            <w:r>
              <w:t xml:space="preserve">On-occurrence</w:t>
            </w:r>
          </w:p>
        </w:tc>
      </w:tr>
      <w:tr>
        <w:tc>
          <w:tcPr/>
          <w:p>
            <w:pPr>
              <w:pStyle w:val="Compact"/>
              <w:jc w:val="left"/>
            </w:pPr>
            <w:r>
              <w:t xml:space="preserve">C-4</w:t>
            </w:r>
          </w:p>
        </w:tc>
        <w:tc>
          <w:tcPr/>
          <w:p>
            <w:pPr>
              <w:pStyle w:val="Compact"/>
              <w:jc w:val="left"/>
            </w:pPr>
            <w:r>
              <w:t xml:space="preserve">Anchor-drift alerts</w:t>
            </w:r>
          </w:p>
        </w:tc>
        <w:tc>
          <w:tcPr/>
          <w:p>
            <w:pPr>
              <w:pStyle w:val="Compact"/>
              <w:jc w:val="left"/>
            </w:pPr>
            <w:r>
              <w:t xml:space="preserve">Notification when an anchored vessel drifts beyond a defined radius, for non-security reasons</w:t>
            </w:r>
          </w:p>
        </w:tc>
        <w:tc>
          <w:tcPr/>
          <w:p>
            <w:pPr>
              <w:pStyle w:val="Compact"/>
              <w:jc w:val="left"/>
            </w:pPr>
            <w:r>
              <w:t xml:space="preserve">On-occurrence</w:t>
            </w:r>
          </w:p>
        </w:tc>
      </w:tr>
      <w:tr>
        <w:tc>
          <w:tcPr/>
          <w:p>
            <w:pPr>
              <w:pStyle w:val="Compact"/>
              <w:jc w:val="left"/>
            </w:pPr>
            <w:r>
              <w:t xml:space="preserve">C-5</w:t>
            </w:r>
          </w:p>
        </w:tc>
        <w:tc>
          <w:tcPr/>
          <w:p>
            <w:pPr>
              <w:pStyle w:val="Compact"/>
              <w:jc w:val="left"/>
            </w:pPr>
            <w:r>
              <w:t xml:space="preserve">Fuel-leak notifications</w:t>
            </w:r>
          </w:p>
        </w:tc>
        <w:tc>
          <w:tcPr/>
          <w:p>
            <w:pPr>
              <w:pStyle w:val="Compact"/>
              <w:jc w:val="left"/>
            </w:pPr>
            <w:r>
              <w:t xml:space="preserve">Alert format for non-security spills, feeding directly into the environmental-response coordination of Cluster D</w:t>
            </w:r>
          </w:p>
        </w:tc>
        <w:tc>
          <w:tcPr/>
          <w:p>
            <w:pPr>
              <w:pStyle w:val="Compact"/>
              <w:jc w:val="left"/>
            </w:pPr>
            <w:r>
              <w:t xml:space="preserve">On-occurrence</w:t>
            </w:r>
          </w:p>
        </w:tc>
      </w:tr>
      <w:tr>
        <w:tc>
          <w:tcPr/>
          <w:p>
            <w:pPr>
              <w:pStyle w:val="Compact"/>
              <w:jc w:val="left"/>
            </w:pPr>
            <w:r>
              <w:t xml:space="preserve">C-6</w:t>
            </w:r>
          </w:p>
        </w:tc>
        <w:tc>
          <w:tcPr/>
          <w:p>
            <w:pPr>
              <w:pStyle w:val="Compact"/>
              <w:jc w:val="left"/>
            </w:pPr>
            <w:r>
              <w:t xml:space="preserve">Hazmat alert</w:t>
            </w:r>
          </w:p>
        </w:tc>
        <w:tc>
          <w:tcPr/>
          <w:p>
            <w:pPr>
              <w:pStyle w:val="Compact"/>
              <w:jc w:val="left"/>
            </w:pPr>
            <w:r>
              <w:t xml:space="preserve">Notification of any non-security hazardous-materials concern aboard a vessel or in the water</w:t>
            </w:r>
          </w:p>
        </w:tc>
        <w:tc>
          <w:tcPr/>
          <w:p>
            <w:pPr>
              <w:pStyle w:val="Compact"/>
              <w:jc w:val="left"/>
            </w:pPr>
            <w:r>
              <w:t xml:space="preserve">On-occurrence</w:t>
            </w:r>
          </w:p>
        </w:tc>
      </w:tr>
      <w:tr>
        <w:tc>
          <w:tcPr/>
          <w:p>
            <w:pPr>
              <w:pStyle w:val="Compact"/>
              <w:jc w:val="left"/>
            </w:pPr>
            <w:r>
              <w:t xml:space="preserve">C-7</w:t>
            </w:r>
          </w:p>
        </w:tc>
        <w:tc>
          <w:tcPr/>
          <w:p>
            <w:pPr>
              <w:pStyle w:val="Compact"/>
              <w:jc w:val="left"/>
            </w:pPr>
            <w:r>
              <w:t xml:space="preserve">Debris-alert</w:t>
            </w:r>
          </w:p>
        </w:tc>
        <w:tc>
          <w:tcPr/>
          <w:p>
            <w:pPr>
              <w:pStyle w:val="Compact"/>
              <w:jc w:val="left"/>
            </w:pPr>
            <w:r>
              <w:t xml:space="preserve">Sightings of floating debris large enough to constitute a navigation hazard</w:t>
            </w:r>
          </w:p>
        </w:tc>
        <w:tc>
          <w:tcPr/>
          <w:p>
            <w:pPr>
              <w:pStyle w:val="Compact"/>
              <w:jc w:val="left"/>
            </w:pPr>
            <w:r>
              <w:t xml:space="preserve">On-occurrence</w:t>
            </w:r>
          </w:p>
        </w:tc>
      </w:tr>
      <w:tr>
        <w:tc>
          <w:tcPr/>
          <w:p>
            <w:pPr>
              <w:pStyle w:val="Compact"/>
              <w:jc w:val="left"/>
            </w:pPr>
            <w:r>
              <w:t xml:space="preserve">C-8</w:t>
            </w:r>
          </w:p>
        </w:tc>
        <w:tc>
          <w:tcPr/>
          <w:p>
            <w:pPr>
              <w:pStyle w:val="Compact"/>
              <w:jc w:val="left"/>
            </w:pPr>
            <w:r>
              <w:t xml:space="preserve">AIS-blackout log</w:t>
            </w:r>
          </w:p>
        </w:tc>
        <w:tc>
          <w:tcPr/>
          <w:p>
            <w:pPr>
              <w:pStyle w:val="Compact"/>
              <w:jc w:val="left"/>
            </w:pPr>
            <w:r>
              <w:t xml:space="preserve">A non-attributive log of AIS signal loss events, recorded without inference about cause, reviewed jointly to distinguish equipment failure from deliberate action</w:t>
            </w:r>
          </w:p>
        </w:tc>
        <w:tc>
          <w:tcPr/>
          <w:p>
            <w:pPr>
              <w:pStyle w:val="Compact"/>
              <w:jc w:val="left"/>
            </w:pPr>
            <w:r>
              <w:t xml:space="preserve">Updated on-occurrence; reviewed daily</w:t>
            </w:r>
          </w:p>
        </w:tc>
      </w:tr>
      <w:tr>
        <w:tc>
          <w:tcPr/>
          <w:p>
            <w:pPr>
              <w:pStyle w:val="Compact"/>
              <w:jc w:val="left"/>
            </w:pPr>
            <w:r>
              <w:t xml:space="preserve">C-9</w:t>
            </w:r>
          </w:p>
        </w:tc>
        <w:tc>
          <w:tcPr/>
          <w:p>
            <w:pPr>
              <w:pStyle w:val="Compact"/>
              <w:jc w:val="left"/>
            </w:pPr>
            <w:r>
              <w:t xml:space="preserve">Small-craft advisory</w:t>
            </w:r>
          </w:p>
        </w:tc>
        <w:tc>
          <w:tcPr/>
          <w:p>
            <w:pPr>
              <w:pStyle w:val="Compact"/>
              <w:jc w:val="left"/>
            </w:pPr>
            <w:r>
              <w:t xml:space="preserve">A joint warning format for concentrations of small fishing or transport craft that could obscure a larger vessel’s navigation picture</w:t>
            </w:r>
          </w:p>
        </w:tc>
        <w:tc>
          <w:tcPr/>
          <w:p>
            <w:pPr>
              <w:pStyle w:val="Compact"/>
              <w:jc w:val="left"/>
            </w:pPr>
            <w:r>
              <w:t xml:space="preserve">On-occurrence</w:t>
            </w:r>
          </w:p>
        </w:tc>
      </w:tr>
      <w:tr>
        <w:tc>
          <w:tcPr/>
          <w:p>
            <w:pPr>
              <w:pStyle w:val="Compact"/>
              <w:jc w:val="left"/>
            </w:pPr>
            <w:r>
              <w:t xml:space="preserve">C-10</w:t>
            </w:r>
          </w:p>
        </w:tc>
        <w:tc>
          <w:tcPr/>
          <w:p>
            <w:pPr>
              <w:pStyle w:val="Compact"/>
              <w:jc w:val="left"/>
            </w:pPr>
            <w:r>
              <w:t xml:space="preserve">Fishing-net drift map</w:t>
            </w:r>
          </w:p>
        </w:tc>
        <w:tc>
          <w:tcPr/>
          <w:p>
            <w:pPr>
              <w:pStyle w:val="Compact"/>
              <w:jc w:val="left"/>
            </w:pPr>
            <w:r>
              <w:t xml:space="preserve">A joint map of reported drifting-net locations, shared with local fishing cooperatives on both coasts through existing national channels</w:t>
            </w:r>
          </w:p>
        </w:tc>
        <w:tc>
          <w:tcPr/>
          <w:p>
            <w:pPr>
              <w:pStyle w:val="Compact"/>
              <w:jc w:val="left"/>
            </w:pPr>
            <w:r>
              <w:t xml:space="preserve">Updated on-occurrence; reviewed daily</w:t>
            </w:r>
          </w:p>
        </w:tc>
      </w:tr>
    </w:tbl>
    <w:p>
      <w:pPr>
        <w:pStyle w:val="BodyText"/>
      </w:pPr>
      <w:r>
        <w:t xml:space="preserve">14.2 Cluster C’s exercises produce the Lattice’s third deliverable: an alert vocabulary and reporting rhythm that both navies and coast guards use identically, closing the single largest source of misinterpretation recorded during the crisis.</w:t>
      </w:r>
    </w:p>
    <w:bookmarkEnd w:id="41"/>
    <w:bookmarkStart w:id="42" w:name="X55260a05b9b8f4f0e5afc14d74dd8f3323d020a"/>
    <w:p>
      <w:pPr>
        <w:pStyle w:val="Heading2"/>
      </w:pPr>
      <w:r>
        <w:t xml:space="preserve">Article 15: Cluster D – Micro-Response and Repair Coordination (Exercises D-1 through D-10)</w:t>
      </w:r>
    </w:p>
    <w:p>
      <w:pPr>
        <w:pStyle w:val="FirstParagraph"/>
      </w:pPr>
      <w:r>
        <w:t xml:space="preserve">15.1 Cluster D exercises are operational but remain deliberately apolitical: they build the muscle memory for joint emergency response without creating any joint command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Exercise</w:t>
            </w:r>
          </w:p>
        </w:tc>
        <w:tc>
          <w:tcPr/>
          <w:p>
            <w:pPr>
              <w:pStyle w:val="Compact"/>
              <w:jc w:val="left"/>
            </w:pPr>
            <w:r>
              <w:t xml:space="preserve">Operative content</w:t>
            </w:r>
          </w:p>
        </w:tc>
        <w:tc>
          <w:tcPr/>
          <w:p>
            <w:pPr>
              <w:pStyle w:val="Compact"/>
              <w:jc w:val="left"/>
            </w:pPr>
            <w:r>
              <w:t xml:space="preserve">Cadence</w:t>
            </w:r>
          </w:p>
        </w:tc>
      </w:tr>
      <w:tr>
        <w:tc>
          <w:tcPr/>
          <w:p>
            <w:pPr>
              <w:pStyle w:val="Compact"/>
              <w:jc w:val="left"/>
            </w:pPr>
            <w:r>
              <w:t xml:space="preserve">D-1</w:t>
            </w:r>
          </w:p>
        </w:tc>
        <w:tc>
          <w:tcPr/>
          <w:p>
            <w:pPr>
              <w:pStyle w:val="Compact"/>
              <w:jc w:val="left"/>
            </w:pPr>
            <w:r>
              <w:t xml:space="preserve">Emergency-tow readiness</w:t>
            </w:r>
          </w:p>
        </w:tc>
        <w:tc>
          <w:tcPr/>
          <w:p>
            <w:pPr>
              <w:pStyle w:val="Compact"/>
              <w:jc w:val="left"/>
            </w:pPr>
            <w:r>
              <w:t xml:space="preserve">A shared, updated list of tow-capable vessels available on each side, with response-time estimates</w:t>
            </w:r>
          </w:p>
        </w:tc>
        <w:tc>
          <w:tcPr/>
          <w:p>
            <w:pPr>
              <w:pStyle w:val="Compact"/>
              <w:jc w:val="left"/>
            </w:pPr>
            <w:r>
              <w:t xml:space="preserve">Updated daily</w:t>
            </w:r>
          </w:p>
        </w:tc>
      </w:tr>
      <w:tr>
        <w:tc>
          <w:tcPr/>
          <w:p>
            <w:pPr>
              <w:pStyle w:val="Compact"/>
              <w:jc w:val="left"/>
            </w:pPr>
            <w:r>
              <w:t xml:space="preserve">D-2</w:t>
            </w:r>
          </w:p>
        </w:tc>
        <w:tc>
          <w:tcPr/>
          <w:p>
            <w:pPr>
              <w:pStyle w:val="Compact"/>
              <w:jc w:val="left"/>
            </w:pPr>
            <w:r>
              <w:t xml:space="preserve">Shared tug-dispatch</w:t>
            </w:r>
          </w:p>
        </w:tc>
        <w:tc>
          <w:tcPr/>
          <w:p>
            <w:pPr>
              <w:pStyle w:val="Compact"/>
              <w:jc w:val="left"/>
            </w:pPr>
            <w:r>
              <w:t xml:space="preserve">A coordination protocol for which Party’s tug responds first to a disabled vessel, based on proximity rather than nationality of the vessel in distress</w:t>
            </w:r>
          </w:p>
        </w:tc>
        <w:tc>
          <w:tcPr/>
          <w:p>
            <w:pPr>
              <w:pStyle w:val="Compact"/>
              <w:jc w:val="left"/>
            </w:pPr>
            <w:r>
              <w:t xml:space="preserve">Standing protocol, tested in Exercise D-9</w:t>
            </w:r>
          </w:p>
        </w:tc>
      </w:tr>
      <w:tr>
        <w:tc>
          <w:tcPr/>
          <w:p>
            <w:pPr>
              <w:pStyle w:val="Compact"/>
              <w:jc w:val="left"/>
            </w:pPr>
            <w:r>
              <w:t xml:space="preserve">D-3</w:t>
            </w:r>
          </w:p>
        </w:tc>
        <w:tc>
          <w:tcPr/>
          <w:p>
            <w:pPr>
              <w:pStyle w:val="Compact"/>
              <w:jc w:val="left"/>
            </w:pPr>
            <w:r>
              <w:t xml:space="preserve">Micro-SAR coordination</w:t>
            </w:r>
          </w:p>
        </w:tc>
        <w:tc>
          <w:tcPr/>
          <w:p>
            <w:pPr>
              <w:pStyle w:val="Compact"/>
              <w:jc w:val="left"/>
            </w:pPr>
            <w:r>
              <w:t xml:space="preserve">A daily exchange of each Party’s search-and-rescue asset readiness status</w:t>
            </w:r>
          </w:p>
        </w:tc>
        <w:tc>
          <w:tcPr/>
          <w:p>
            <w:pPr>
              <w:pStyle w:val="Compact"/>
              <w:jc w:val="left"/>
            </w:pPr>
            <w:r>
              <w:t xml:space="preserve">Daily, 0600 local</w:t>
            </w:r>
          </w:p>
        </w:tc>
      </w:tr>
      <w:tr>
        <w:tc>
          <w:tcPr/>
          <w:p>
            <w:pPr>
              <w:pStyle w:val="Compact"/>
              <w:jc w:val="left"/>
            </w:pPr>
            <w:r>
              <w:t xml:space="preserve">D-4</w:t>
            </w:r>
          </w:p>
        </w:tc>
        <w:tc>
          <w:tcPr/>
          <w:p>
            <w:pPr>
              <w:pStyle w:val="Compact"/>
              <w:jc w:val="left"/>
            </w:pPr>
            <w:r>
              <w:t xml:space="preserve">Micro-SAR drill</w:t>
            </w:r>
          </w:p>
        </w:tc>
        <w:tc>
          <w:tcPr/>
          <w:p>
            <w:pPr>
              <w:pStyle w:val="Compact"/>
              <w:jc w:val="left"/>
            </w:pPr>
            <w:r>
              <w:t xml:space="preserve">A fifteen-minute joint search-and-rescue radio drill, simulating a man-overboard scenario, conducted without live asset deployment</w:t>
            </w:r>
          </w:p>
        </w:tc>
        <w:tc>
          <w:tcPr/>
          <w:p>
            <w:pPr>
              <w:pStyle w:val="Compact"/>
              <w:jc w:val="left"/>
            </w:pPr>
            <w:r>
              <w:t xml:space="preserve">Every third day during Layer 0</w:t>
            </w:r>
          </w:p>
        </w:tc>
      </w:tr>
      <w:tr>
        <w:tc>
          <w:tcPr/>
          <w:p>
            <w:pPr>
              <w:pStyle w:val="Compact"/>
              <w:jc w:val="left"/>
            </w:pPr>
            <w:r>
              <w:t xml:space="preserve">D-5</w:t>
            </w:r>
          </w:p>
        </w:tc>
        <w:tc>
          <w:tcPr/>
          <w:p>
            <w:pPr>
              <w:pStyle w:val="Compact"/>
              <w:jc w:val="left"/>
            </w:pPr>
            <w:r>
              <w:t xml:space="preserve">Shared repair-ship list</w:t>
            </w:r>
          </w:p>
        </w:tc>
        <w:tc>
          <w:tcPr/>
          <w:p>
            <w:pPr>
              <w:pStyle w:val="Compact"/>
              <w:jc w:val="left"/>
            </w:pPr>
            <w:r>
              <w:t xml:space="preserve">A list of vessels in the Governance Area capable of providing emergency repair services to a disabled third-party vessel</w:t>
            </w:r>
          </w:p>
        </w:tc>
        <w:tc>
          <w:tcPr/>
          <w:p>
            <w:pPr>
              <w:pStyle w:val="Compact"/>
              <w:jc w:val="left"/>
            </w:pPr>
            <w:r>
              <w:t xml:space="preserve">Updated weekly</w:t>
            </w:r>
          </w:p>
        </w:tc>
      </w:tr>
      <w:tr>
        <w:tc>
          <w:tcPr/>
          <w:p>
            <w:pPr>
              <w:pStyle w:val="Compact"/>
              <w:jc w:val="left"/>
            </w:pPr>
            <w:r>
              <w:t xml:space="preserve">D-6</w:t>
            </w:r>
          </w:p>
        </w:tc>
        <w:tc>
          <w:tcPr/>
          <w:p>
            <w:pPr>
              <w:pStyle w:val="Compact"/>
              <w:jc w:val="left"/>
            </w:pPr>
            <w:r>
              <w:t xml:space="preserve">Shared repair-crew roster</w:t>
            </w:r>
          </w:p>
        </w:tc>
        <w:tc>
          <w:tcPr/>
          <w:p>
            <w:pPr>
              <w:pStyle w:val="Compact"/>
              <w:jc w:val="left"/>
            </w:pPr>
            <w:r>
              <w:t xml:space="preserve">Availability windows for each Party’s shore-based repair crews</w:t>
            </w:r>
          </w:p>
        </w:tc>
        <w:tc>
          <w:tcPr/>
          <w:p>
            <w:pPr>
              <w:pStyle w:val="Compact"/>
              <w:jc w:val="left"/>
            </w:pPr>
            <w:r>
              <w:t xml:space="preserve">Updated daily</w:t>
            </w:r>
          </w:p>
        </w:tc>
      </w:tr>
      <w:tr>
        <w:tc>
          <w:tcPr/>
          <w:p>
            <w:pPr>
              <w:pStyle w:val="Compact"/>
              <w:jc w:val="left"/>
            </w:pPr>
            <w:r>
              <w:t xml:space="preserve">D-7</w:t>
            </w:r>
          </w:p>
        </w:tc>
        <w:tc>
          <w:tcPr/>
          <w:p>
            <w:pPr>
              <w:pStyle w:val="Compact"/>
              <w:jc w:val="left"/>
            </w:pPr>
            <w:r>
              <w:t xml:space="preserve">Shared repair-dock timing</w:t>
            </w:r>
          </w:p>
        </w:tc>
        <w:tc>
          <w:tcPr/>
          <w:p>
            <w:pPr>
              <w:pStyle w:val="Compact"/>
              <w:jc w:val="left"/>
            </w:pPr>
            <w:r>
              <w:t xml:space="preserve">Coordination of repair-dock access windows at Bandar Abbas and Khasab to avoid scheduling collisions for vessels needing either port</w:t>
            </w:r>
          </w:p>
        </w:tc>
        <w:tc>
          <w:tcPr/>
          <w:p>
            <w:pPr>
              <w:pStyle w:val="Compact"/>
              <w:jc w:val="left"/>
            </w:pPr>
            <w:r>
              <w:t xml:space="preserve">Updated weekly</w:t>
            </w:r>
          </w:p>
        </w:tc>
      </w:tr>
      <w:tr>
        <w:tc>
          <w:tcPr/>
          <w:p>
            <w:pPr>
              <w:pStyle w:val="Compact"/>
              <w:jc w:val="left"/>
            </w:pPr>
            <w:r>
              <w:t xml:space="preserve">D-8</w:t>
            </w:r>
          </w:p>
        </w:tc>
        <w:tc>
          <w:tcPr/>
          <w:p>
            <w:pPr>
              <w:pStyle w:val="Compact"/>
              <w:jc w:val="left"/>
            </w:pPr>
            <w:r>
              <w:t xml:space="preserve">Micro-repair coordination</w:t>
            </w:r>
          </w:p>
        </w:tc>
        <w:tc>
          <w:tcPr/>
          <w:p>
            <w:pPr>
              <w:pStyle w:val="Compact"/>
              <w:jc w:val="left"/>
            </w:pPr>
            <w:r>
              <w:t xml:space="preserve">A protocol for scheduling one repair operation per day for a third-party vessel, alternating priority between the two Parties’ facilities</w:t>
            </w:r>
          </w:p>
        </w:tc>
        <w:tc>
          <w:tcPr/>
          <w:p>
            <w:pPr>
              <w:pStyle w:val="Compact"/>
              <w:jc w:val="left"/>
            </w:pPr>
            <w:r>
              <w:t xml:space="preserve">Daily scheduling call, 1000 local</w:t>
            </w:r>
          </w:p>
        </w:tc>
      </w:tr>
      <w:tr>
        <w:tc>
          <w:tcPr/>
          <w:p>
            <w:pPr>
              <w:pStyle w:val="Compact"/>
              <w:jc w:val="left"/>
            </w:pPr>
            <w:r>
              <w:t xml:space="preserve">D-9</w:t>
            </w:r>
          </w:p>
        </w:tc>
        <w:tc>
          <w:tcPr/>
          <w:p>
            <w:pPr>
              <w:pStyle w:val="Compact"/>
              <w:jc w:val="left"/>
            </w:pPr>
            <w:r>
              <w:t xml:space="preserve">Joint drift-prediction exercise</w:t>
            </w:r>
          </w:p>
        </w:tc>
        <w:tc>
          <w:tcPr/>
          <w:p>
            <w:pPr>
              <w:pStyle w:val="Compact"/>
              <w:jc w:val="left"/>
            </w:pPr>
            <w:r>
              <w:t xml:space="preserve">A shared drift-prediction model, run jointly against a hypothetical disabled-vessel scenario to validate both Parties’ forecasting inputs against each other</w:t>
            </w:r>
          </w:p>
        </w:tc>
        <w:tc>
          <w:tcPr/>
          <w:p>
            <w:pPr>
              <w:pStyle w:val="Compact"/>
              <w:jc w:val="left"/>
            </w:pPr>
            <w:r>
              <w:t xml:space="preserve">Once during Layer 0, repeated at each Gate</w:t>
            </w:r>
          </w:p>
        </w:tc>
      </w:tr>
      <w:tr>
        <w:tc>
          <w:tcPr/>
          <w:p>
            <w:pPr>
              <w:pStyle w:val="Compact"/>
              <w:jc w:val="left"/>
            </w:pPr>
            <w:r>
              <w:t xml:space="preserve">D-10</w:t>
            </w:r>
          </w:p>
        </w:tc>
        <w:tc>
          <w:tcPr/>
          <w:p>
            <w:pPr>
              <w:pStyle w:val="Compact"/>
              <w:jc w:val="left"/>
            </w:pPr>
            <w:r>
              <w:t xml:space="preserve">Micro-collision review</w:t>
            </w:r>
          </w:p>
        </w:tc>
        <w:tc>
          <w:tcPr/>
          <w:p>
            <w:pPr>
              <w:pStyle w:val="Compact"/>
              <w:jc w:val="left"/>
            </w:pPr>
            <w:r>
              <w:t xml:space="preserve">A joint, blameless review process for any near-miss recorded under C-1, focused on procedure correction rather than attribution</w:t>
            </w:r>
          </w:p>
        </w:tc>
        <w:tc>
          <w:tcPr/>
          <w:p>
            <w:pPr>
              <w:pStyle w:val="Compact"/>
              <w:jc w:val="left"/>
            </w:pPr>
            <w:r>
              <w:t xml:space="preserve">Convened within twenty-four hours of any qualifying incident</w:t>
            </w:r>
          </w:p>
        </w:tc>
      </w:tr>
    </w:tbl>
    <w:p>
      <w:pPr>
        <w:pStyle w:val="BodyText"/>
      </w:pPr>
      <w:r>
        <w:t xml:space="preserve">15.2 Cluster D’s exercises produce the Lattice’s fourth deliverable: demonstrated joint capacity to get a disabled or distressed vessel to safety quickly, regardless of flag, without requiring either Party to place its assets under the other’s operational control.</w:t>
      </w:r>
    </w:p>
    <w:bookmarkEnd w:id="42"/>
    <w:bookmarkStart w:id="43" w:name="X17aedf55b7f7b95a0214c2e847cbcad392987ca"/>
    <w:p>
      <w:pPr>
        <w:pStyle w:val="Heading2"/>
      </w:pPr>
      <w:r>
        <w:t xml:space="preserve">Article 16: Cluster E – Micro-Governance and Simulation (Exercises E-1 through E-10)</w:t>
      </w:r>
    </w:p>
    <w:p>
      <w:pPr>
        <w:pStyle w:val="FirstParagraph"/>
      </w:pPr>
      <w:r>
        <w:t xml:space="preserve">16.1 Cluster E exercises are the smallest possible institutional pilots: they test whether joint bodies and joint financial concepts can function at all, before Layer 3 and Layer 4 ask either question to bear real weight.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Exercise</w:t>
            </w:r>
          </w:p>
        </w:tc>
        <w:tc>
          <w:tcPr/>
          <w:p>
            <w:pPr>
              <w:pStyle w:val="Compact"/>
              <w:jc w:val="left"/>
            </w:pPr>
            <w:r>
              <w:t xml:space="preserve">Operative content</w:t>
            </w:r>
          </w:p>
        </w:tc>
        <w:tc>
          <w:tcPr/>
          <w:p>
            <w:pPr>
              <w:pStyle w:val="Compact"/>
              <w:jc w:val="left"/>
            </w:pPr>
            <w:r>
              <w:t xml:space="preserve">Cadence</w:t>
            </w:r>
          </w:p>
        </w:tc>
      </w:tr>
      <w:tr>
        <w:tc>
          <w:tcPr/>
          <w:p>
            <w:pPr>
              <w:pStyle w:val="Compact"/>
              <w:jc w:val="left"/>
            </w:pPr>
            <w:r>
              <w:t xml:space="preserve">E-1</w:t>
            </w:r>
          </w:p>
        </w:tc>
        <w:tc>
          <w:tcPr/>
          <w:p>
            <w:pPr>
              <w:pStyle w:val="Compact"/>
              <w:jc w:val="left"/>
            </w:pPr>
            <w:r>
              <w:t xml:space="preserve">Shared logbook cell</w:t>
            </w:r>
          </w:p>
        </w:tc>
        <w:tc>
          <w:tcPr/>
          <w:p>
            <w:pPr>
              <w:pStyle w:val="Compact"/>
              <w:jc w:val="left"/>
            </w:pPr>
            <w:r>
              <w:t xml:space="preserve">The four-person Lattice Cell under Article 11.3 maintains one consolidated log of every exercise’s status</w:t>
            </w:r>
          </w:p>
        </w:tc>
        <w:tc>
          <w:tcPr/>
          <w:p>
            <w:pPr>
              <w:pStyle w:val="Compact"/>
              <w:jc w:val="left"/>
            </w:pPr>
            <w:r>
              <w:t xml:space="preserve">Continuous</w:t>
            </w:r>
          </w:p>
        </w:tc>
      </w:tr>
      <w:tr>
        <w:tc>
          <w:tcPr/>
          <w:p>
            <w:pPr>
              <w:pStyle w:val="Compact"/>
              <w:jc w:val="left"/>
            </w:pPr>
            <w:r>
              <w:t xml:space="preserve">E-2</w:t>
            </w:r>
          </w:p>
        </w:tc>
        <w:tc>
          <w:tcPr/>
          <w:p>
            <w:pPr>
              <w:pStyle w:val="Compact"/>
              <w:jc w:val="left"/>
            </w:pPr>
            <w:r>
              <w:t xml:space="preserve">Micro-training exchange</w:t>
            </w:r>
          </w:p>
        </w:tc>
        <w:tc>
          <w:tcPr/>
          <w:p>
            <w:pPr>
              <w:pStyle w:val="Compact"/>
              <w:jc w:val="left"/>
            </w:pPr>
            <w:r>
              <w:t xml:space="preserve">Each Party sends two personnel to observe, not operate, the other Party’s traffic-coordination desk for a four-hour session</w:t>
            </w:r>
          </w:p>
        </w:tc>
        <w:tc>
          <w:tcPr/>
          <w:p>
            <w:pPr>
              <w:pStyle w:val="Compact"/>
              <w:jc w:val="left"/>
            </w:pPr>
            <w:r>
              <w:t xml:space="preserve">Once during Layer 0</w:t>
            </w:r>
          </w:p>
        </w:tc>
      </w:tr>
      <w:tr>
        <w:tc>
          <w:tcPr/>
          <w:p>
            <w:pPr>
              <w:pStyle w:val="Compact"/>
              <w:jc w:val="left"/>
            </w:pPr>
            <w:r>
              <w:t xml:space="preserve">E-3</w:t>
            </w:r>
          </w:p>
        </w:tc>
        <w:tc>
          <w:tcPr/>
          <w:p>
            <w:pPr>
              <w:pStyle w:val="Compact"/>
              <w:jc w:val="left"/>
            </w:pPr>
            <w:r>
              <w:t xml:space="preserve">Radio-channel harmonization</w:t>
            </w:r>
          </w:p>
        </w:tc>
        <w:tc>
          <w:tcPr/>
          <w:p>
            <w:pPr>
              <w:pStyle w:val="Compact"/>
              <w:jc w:val="left"/>
            </w:pPr>
            <w:r>
              <w:t xml:space="preserve">Both Parties confirm use of a single shared emergency channel, designated under Article 20</w:t>
            </w:r>
          </w:p>
        </w:tc>
        <w:tc>
          <w:tcPr/>
          <w:p>
            <w:pPr>
              <w:pStyle w:val="Compact"/>
              <w:jc w:val="left"/>
            </w:pPr>
            <w:r>
              <w:t xml:space="preserve">Confirmed once; tested daily</w:t>
            </w:r>
          </w:p>
        </w:tc>
      </w:tr>
      <w:tr>
        <w:tc>
          <w:tcPr/>
          <w:p>
            <w:pPr>
              <w:pStyle w:val="Compact"/>
              <w:jc w:val="left"/>
            </w:pPr>
            <w:r>
              <w:t xml:space="preserve">E-4</w:t>
            </w:r>
          </w:p>
        </w:tc>
        <w:tc>
          <w:tcPr/>
          <w:p>
            <w:pPr>
              <w:pStyle w:val="Compact"/>
              <w:jc w:val="left"/>
            </w:pPr>
            <w:r>
              <w:t xml:space="preserve">Joint fog-horn protocol</w:t>
            </w:r>
          </w:p>
        </w:tc>
        <w:tc>
          <w:tcPr/>
          <w:p>
            <w:pPr>
              <w:pStyle w:val="Compact"/>
              <w:jc w:val="left"/>
            </w:pPr>
            <w:r>
              <w:t xml:space="preserve">Standardization of fog-signal patterns across both Parties’ vessel traffic services</w:t>
            </w:r>
          </w:p>
        </w:tc>
        <w:tc>
          <w:tcPr/>
          <w:p>
            <w:pPr>
              <w:pStyle w:val="Compact"/>
              <w:jc w:val="left"/>
            </w:pPr>
            <w:r>
              <w:t xml:space="preserve">Adopted once</w:t>
            </w:r>
          </w:p>
        </w:tc>
      </w:tr>
      <w:tr>
        <w:tc>
          <w:tcPr/>
          <w:p>
            <w:pPr>
              <w:pStyle w:val="Compact"/>
              <w:jc w:val="left"/>
            </w:pPr>
            <w:r>
              <w:t xml:space="preserve">E-5</w:t>
            </w:r>
          </w:p>
        </w:tc>
        <w:tc>
          <w:tcPr/>
          <w:p>
            <w:pPr>
              <w:pStyle w:val="Compact"/>
              <w:jc w:val="left"/>
            </w:pPr>
            <w:r>
              <w:t xml:space="preserve">Shared vessel-intent form</w:t>
            </w:r>
          </w:p>
        </w:tc>
        <w:tc>
          <w:tcPr/>
          <w:p>
            <w:pPr>
              <w:pStyle w:val="Compact"/>
              <w:jc w:val="left"/>
            </w:pPr>
            <w:r>
              <w:t xml:space="preserve">A pilot run of the voluntary notification form later formalized in Article 21, tested with a small sample of transiting vessels</w:t>
            </w:r>
          </w:p>
        </w:tc>
        <w:tc>
          <w:tcPr/>
          <w:p>
            <w:pPr>
              <w:pStyle w:val="Compact"/>
              <w:jc w:val="left"/>
            </w:pPr>
            <w:r>
              <w:t xml:space="preserve">Piloted with the first ten transiting vessels of Layer 0</w:t>
            </w:r>
          </w:p>
        </w:tc>
      </w:tr>
      <w:tr>
        <w:tc>
          <w:tcPr/>
          <w:p>
            <w:pPr>
              <w:pStyle w:val="Compact"/>
              <w:jc w:val="left"/>
            </w:pPr>
            <w:r>
              <w:t xml:space="preserve">E-6</w:t>
            </w:r>
          </w:p>
        </w:tc>
        <w:tc>
          <w:tcPr/>
          <w:p>
            <w:pPr>
              <w:pStyle w:val="Compact"/>
              <w:jc w:val="left"/>
            </w:pPr>
            <w:r>
              <w:t xml:space="preserve">Micro-fee simulation</w:t>
            </w:r>
          </w:p>
        </w:tc>
        <w:tc>
          <w:tcPr/>
          <w:p>
            <w:pPr>
              <w:pStyle w:val="Compact"/>
              <w:jc w:val="left"/>
            </w:pPr>
            <w:r>
              <w:t xml:space="preserve">A parallel, no-money-moves accounting exercise in which each Party models what a documented-service reimbursement would look like for one day’s traffic, without any actual invoice or payment</w:t>
            </w:r>
          </w:p>
        </w:tc>
        <w:tc>
          <w:tcPr/>
          <w:p>
            <w:pPr>
              <w:pStyle w:val="Compact"/>
              <w:jc w:val="left"/>
            </w:pPr>
            <w:r>
              <w:t xml:space="preserve">Run once, results shared between both Lattice Cell desks</w:t>
            </w:r>
          </w:p>
        </w:tc>
      </w:tr>
      <w:tr>
        <w:tc>
          <w:tcPr/>
          <w:p>
            <w:pPr>
              <w:pStyle w:val="Compact"/>
              <w:jc w:val="left"/>
            </w:pPr>
            <w:r>
              <w:t xml:space="preserve">E-7</w:t>
            </w:r>
          </w:p>
        </w:tc>
        <w:tc>
          <w:tcPr/>
          <w:p>
            <w:pPr>
              <w:pStyle w:val="Compact"/>
              <w:jc w:val="left"/>
            </w:pPr>
            <w:r>
              <w:t xml:space="preserve">Micro-oversight cell test</w:t>
            </w:r>
          </w:p>
        </w:tc>
        <w:tc>
          <w:tcPr/>
          <w:p>
            <w:pPr>
              <w:pStyle w:val="Compact"/>
              <w:jc w:val="left"/>
            </w:pPr>
            <w:r>
              <w:t xml:space="preserve">A trial run of the four-person Cell exercising its logging and recommendation function against a simulated dispute</w:t>
            </w:r>
          </w:p>
        </w:tc>
        <w:tc>
          <w:tcPr/>
          <w:p>
            <w:pPr>
              <w:pStyle w:val="Compact"/>
              <w:jc w:val="left"/>
            </w:pPr>
            <w:r>
              <w:t xml:space="preserve">Once during Layer 0</w:t>
            </w:r>
          </w:p>
        </w:tc>
      </w:tr>
      <w:tr>
        <w:tc>
          <w:tcPr/>
          <w:p>
            <w:pPr>
              <w:pStyle w:val="Compact"/>
              <w:jc w:val="left"/>
            </w:pPr>
            <w:r>
              <w:t xml:space="preserve">E-8</w:t>
            </w:r>
          </w:p>
        </w:tc>
        <w:tc>
          <w:tcPr/>
          <w:p>
            <w:pPr>
              <w:pStyle w:val="Compact"/>
              <w:jc w:val="left"/>
            </w:pPr>
            <w:r>
              <w:t xml:space="preserve">Micro-governance review</w:t>
            </w:r>
          </w:p>
        </w:tc>
        <w:tc>
          <w:tcPr/>
          <w:p>
            <w:pPr>
              <w:pStyle w:val="Compact"/>
              <w:jc w:val="left"/>
            </w:pPr>
            <w:r>
              <w:t xml:space="preserve">The Lattice Cell’s own after-action review of Cluster E’s first week</w:t>
            </w:r>
          </w:p>
        </w:tc>
        <w:tc>
          <w:tcPr/>
          <w:p>
            <w:pPr>
              <w:pStyle w:val="Compact"/>
              <w:jc w:val="left"/>
            </w:pPr>
            <w:r>
              <w:t xml:space="preserve">Once, at Hour 72</w:t>
            </w:r>
          </w:p>
        </w:tc>
      </w:tr>
      <w:tr>
        <w:tc>
          <w:tcPr/>
          <w:p>
            <w:pPr>
              <w:pStyle w:val="Compact"/>
              <w:jc w:val="left"/>
            </w:pPr>
            <w:r>
              <w:t xml:space="preserve">E-9</w:t>
            </w:r>
          </w:p>
        </w:tc>
        <w:tc>
          <w:tcPr/>
          <w:p>
            <w:pPr>
              <w:pStyle w:val="Compact"/>
              <w:jc w:val="left"/>
            </w:pPr>
            <w:r>
              <w:t xml:space="preserve">Pilot-compatibility audit</w:t>
            </w:r>
          </w:p>
        </w:tc>
        <w:tc>
          <w:tcPr/>
          <w:p>
            <w:pPr>
              <w:pStyle w:val="Compact"/>
              <w:jc w:val="left"/>
            </w:pPr>
            <w:r>
              <w:t xml:space="preserve">A check that Cluster B’s routing pilots and Cluster D’s response pilots are not generating conflicting instructions to the same vessel</w:t>
            </w:r>
          </w:p>
        </w:tc>
        <w:tc>
          <w:tcPr/>
          <w:p>
            <w:pPr>
              <w:pStyle w:val="Compact"/>
              <w:jc w:val="left"/>
            </w:pPr>
            <w:r>
              <w:t xml:space="preserve">Daily</w:t>
            </w:r>
          </w:p>
        </w:tc>
      </w:tr>
      <w:tr>
        <w:tc>
          <w:tcPr/>
          <w:p>
            <w:pPr>
              <w:pStyle w:val="Compact"/>
              <w:jc w:val="left"/>
            </w:pPr>
            <w:r>
              <w:t xml:space="preserve">E-10</w:t>
            </w:r>
          </w:p>
        </w:tc>
        <w:tc>
          <w:tcPr/>
          <w:p>
            <w:pPr>
              <w:pStyle w:val="Compact"/>
              <w:jc w:val="left"/>
            </w:pPr>
            <w:r>
              <w:t xml:space="preserve">Corridor-expansion test</w:t>
            </w:r>
          </w:p>
        </w:tc>
        <w:tc>
          <w:tcPr/>
          <w:p>
            <w:pPr>
              <w:pStyle w:val="Compact"/>
              <w:jc w:val="left"/>
            </w:pPr>
            <w:r>
              <w:t xml:space="preserve">A tabletop exercise, not a live deployment, modeling what a second corridor’s activation would require operationally</w:t>
            </w:r>
          </w:p>
        </w:tc>
        <w:tc>
          <w:tcPr/>
          <w:p>
            <w:pPr>
              <w:pStyle w:val="Compact"/>
              <w:jc w:val="left"/>
            </w:pPr>
            <w:r>
              <w:t xml:space="preserve">Once, near the close of Layer 0</w:t>
            </w:r>
          </w:p>
        </w:tc>
      </w:tr>
    </w:tbl>
    <w:p>
      <w:pPr>
        <w:pStyle w:val="BodyText"/>
      </w:pPr>
      <w:r>
        <w:t xml:space="preserve">16.2 Cluster E’s exercises produce the Lattice’s fifth and final deliverable: a working proof, still reversible and still unsigned, that the governance and financial concepts scaled up in Layers 3 and 4 are operationally sound before either Party is asked to notify them at scale.</w:t>
      </w:r>
    </w:p>
    <w:bookmarkEnd w:id="43"/>
    <w:bookmarkStart w:id="44" w:name="X81ed8a5e745049c6bb6b55a9f85684d84c067ad"/>
    <w:p>
      <w:pPr>
        <w:pStyle w:val="Heading2"/>
      </w:pPr>
      <w:r>
        <w:t xml:space="preserve">Article 17: Gate Zero – The First Stability Certification</w:t>
      </w:r>
    </w:p>
    <w:p>
      <w:pPr>
        <w:pStyle w:val="FirstParagraph"/>
      </w:pPr>
      <w:r>
        <w:t xml:space="preserve">17.1 Gate Zero certifies at Hour 72, or earlier if conditions permit, based on three objective criteria: zero attributable interdiction incidents inside the Governance Area during the certification window; at least forty of the fifty Lattice exercises reporting active status to the Lattice Cell; and joint confirmation that the Common Channel established under Article 20 has carried at least one exercise’s traffic without incident.</w:t>
      </w:r>
    </w:p>
    <w:p>
      <w:pPr>
        <w:pStyle w:val="BodyText"/>
      </w:pPr>
      <w:r>
        <w:t xml:space="preserve">17.2 Gate Zero certification proceeds without unanimous perfection across all fifty exercises; a cluster experiencing a paused exercise under Article 7.2 does not block certification, provided the cluster’s remaining exercises continue reporting active status.</w:t>
      </w:r>
    </w:p>
    <w:p>
      <w:pPr>
        <w:pStyle w:val="BodyText"/>
      </w:pPr>
      <w:r>
        <w:t xml:space="preserve">17.3 Certification of Gate Zero triggers Joint Notification of Layer 1’s elements under Article 8.3, without waiting for a separate, sequential activation step. This is the first application of the concurrent-activation principle stated in Article 8.</w:t>
      </w:r>
    </w:p>
    <w:p>
      <w:r>
        <w:pict>
          <v:rect style="width:0;height:1.5pt" o:hralign="center" o:hrstd="t" o:hr="t"/>
        </w:pict>
      </w:r>
    </w:p>
    <w:p>
      <w:r>
        <w:br w:type="page"/>
      </w:r>
    </w:p>
    <w:bookmarkEnd w:id="44"/>
    <w:bookmarkEnd w:id="45"/>
    <w:bookmarkStart w:id="51" w:name="X7bae5fa368c3aee5b4bd7cef37d5165f3cd8762"/>
    <w:p>
      <w:pPr>
        <w:pStyle w:val="Heading1"/>
      </w:pPr>
      <w:r>
        <w:t xml:space="preserve">PART III: LAYER 1 – THE MESO-PROTOCOLS (Day 1 to Day 7, running in parallel with Layer 0)</w:t>
      </w:r>
    </w:p>
    <w:bookmarkStart w:id="46" w:name="article-18-the-pilot-corridor-program"/>
    <w:p>
      <w:pPr>
        <w:pStyle w:val="Heading2"/>
      </w:pPr>
      <w:r>
        <w:t xml:space="preserve">Article 18: The Pilot Corridor Program</w:t>
      </w:r>
    </w:p>
    <w:p>
      <w:pPr>
        <w:pStyle w:val="FirstParagraph"/>
      </w:pPr>
      <w:r>
        <w:t xml:space="preserve">18.1 Upon Gate Zero certification, Corridor One, the Southern Assurance corridor described in Annex A.2, opens as a provisional, toll-free, Omani-administered lane, available to all commercial and permitted military transit without prior notification, consistent with the United States’ toll-free red line recorded in Article 10 and Annex F.</w:t>
      </w:r>
    </w:p>
    <w:p>
      <w:pPr>
        <w:pStyle w:val="BodyText"/>
      </w:pPr>
      <w:r>
        <w:t xml:space="preserve">18.2 Corridor One’s provisional opening under this Article does not depend on the completion of any other layer of this Pact; it stands on its own, under Article 7.1’s continuity guarantee, even in the event that no later layer ever activates.</w:t>
      </w:r>
    </w:p>
    <w:p>
      <w:pPr>
        <w:pStyle w:val="BodyText"/>
      </w:pPr>
      <w:r>
        <w:t xml:space="preserve">18.3 A provisional Corridor Two, the Northern Coordination corridor described in Annex A.3, opens on the same Joint Notification, administered by Iran, operating under the notification protocol later formalized in Article 44 rather than any permit requirement, and available immediately to any vessel electing to use it.</w:t>
      </w:r>
    </w:p>
    <w:p>
      <w:pPr>
        <w:pStyle w:val="BodyText"/>
      </w:pPr>
      <w:r>
        <w:t xml:space="preserve">18.4 The Pilot Corridor Program supersedes, from the moment of its Joint Notification, the temporary routing arrangements the two Parties have separately operated since the war began, including the temporary lane adjacent to Larak Island and the temporary Omani inshore route, consolidating both into the two-corridor structure described in this Article pending Corridor Three’s later activation under Article 42.</w:t>
      </w:r>
    </w:p>
    <w:p>
      <w:pPr>
        <w:pStyle w:val="BodyText"/>
      </w:pPr>
      <w:r>
        <w:t xml:space="preserve">18.5 The Pilot Corridor Program directly answers the reopening question this Pact exists to resolve: with Gate Zero certified, the Strait carries its first lawful, coordinated commercial traffic under this Pact within seventy-two hours of activation, not within a year.</w:t>
      </w:r>
    </w:p>
    <w:bookmarkEnd w:id="46"/>
    <w:bookmarkStart w:id="47" w:name="X06fb369410d9401658ab0816ba3af72ddbb4060"/>
    <w:p>
      <w:pPr>
        <w:pStyle w:val="Heading2"/>
      </w:pPr>
      <w:r>
        <w:t xml:space="preserve">Article 19: Routing Advisories and Calm-Sea Windows</w:t>
      </w:r>
    </w:p>
    <w:p>
      <w:pPr>
        <w:pStyle w:val="FirstParagraph"/>
      </w:pPr>
      <w:r>
        <w:t xml:space="preserve">19.1 The routing advisories piloted under Article 13’s Cluster B become standing features of both corridors, publicly available through the Open Water Bulletin established in Article 45, updated on the cadence set out in Cluster B’s exercise table.</w:t>
      </w:r>
    </w:p>
    <w:p>
      <w:pPr>
        <w:pStyle w:val="BodyText"/>
      </w:pPr>
      <w:r>
        <w:t xml:space="preserve">19.2 The Calm-Sea Window piloted as Exercise B-7 becomes a standing daily feature of both corridors, published twenty-four hours in advance, and remains advisory rather than mandatory, consistent with the reversibility principle of Article 4.3.</w:t>
      </w:r>
    </w:p>
    <w:bookmarkEnd w:id="47"/>
    <w:bookmarkStart w:id="48" w:name="Xcc499d38e7057537891970a55f97627eafef856"/>
    <w:p>
      <w:pPr>
        <w:pStyle w:val="Heading2"/>
      </w:pPr>
      <w:r>
        <w:t xml:space="preserve">Article 20: The Common Channel and the Signal Framework</w:t>
      </w:r>
    </w:p>
    <w:p>
      <w:pPr>
        <w:pStyle w:val="FirstParagraph"/>
      </w:pPr>
      <w:r>
        <w:t xml:space="preserve">20.1 Both Parties designate a single shared VHF channel and a secure telephone hotline, tested during Layer 0’s Cluster E exercises, as the Common Channel for all Governance Area traffic coordination, incident alerts, and Lattice Cell communication.</w:t>
      </w:r>
    </w:p>
    <w:p>
      <w:pPr>
        <w:pStyle w:val="BodyText"/>
      </w:pPr>
      <w:r>
        <w:t xml:space="preserve">20.2 The Signal Framework adopted under Exercise A-9 and Exercise B-6 governs all communication on the Common Channel, and both Parties commit their respective coast guard, navy, and vessel traffic service personnel to using it exclusively for Governance Area coordination from Layer 1 forward.</w:t>
      </w:r>
    </w:p>
    <w:p>
      <w:pPr>
        <w:pStyle w:val="BodyText"/>
      </w:pPr>
      <w:r>
        <w:t xml:space="preserve">20.3 The Common Channel operates under an explicit non-military-command principle: its use for navigational coordination does not extend to, and is not read as authorizing, any joint military command relationship between the Parties’ armed forces.</w:t>
      </w:r>
    </w:p>
    <w:bookmarkEnd w:id="48"/>
    <w:bookmarkStart w:id="49" w:name="X3c93ed088f6f90443059279fc44c7c56abe17fc"/>
    <w:p>
      <w:pPr>
        <w:pStyle w:val="Heading2"/>
      </w:pPr>
      <w:r>
        <w:t xml:space="preserve">Article 21: The Vessel-Intent Form and the Standing Logbook</w:t>
      </w:r>
    </w:p>
    <w:p>
      <w:pPr>
        <w:pStyle w:val="FirstParagraph"/>
      </w:pPr>
      <w:r>
        <w:t xml:space="preserve">21.1 The Vessel-Intent Form, piloted under Exercise E-5, becomes available to any vessel intending to transit the Governance Area, on a voluntary basis, collecting the vessel’s identity, cargo category, intended corridor, and estimated transit window.</w:t>
      </w:r>
    </w:p>
    <w:p>
      <w:pPr>
        <w:pStyle w:val="BodyText"/>
      </w:pPr>
      <w:r>
        <w:t xml:space="preserve">21.2 Submission of the Vessel-Intent Form carries no approval character. A vessel that transits without submitting the Form faces no penalty, delay, or differential treatment under this Pact; the Form exists to improve the traffic forecast under Exercise A-10 and the Authority’s later coordination function under Article 44, not to create a gatekeeping function of any kind.</w:t>
      </w:r>
    </w:p>
    <w:p>
      <w:pPr>
        <w:pStyle w:val="BodyText"/>
      </w:pPr>
      <w:r>
        <w:t xml:space="preserve">21.3 The Standing Logbook, maintained by the Lattice Cell and its successor bodies, records every submitted Form, every notification under Article 44, and every incident logged under Cluster C, as the single authoritative operational record of the Governance Area.</w:t>
      </w:r>
    </w:p>
    <w:bookmarkEnd w:id="49"/>
    <w:bookmarkStart w:id="50" w:name="X56667f94b050479c2864f3d420633eddd279869"/>
    <w:p>
      <w:pPr>
        <w:pStyle w:val="Heading2"/>
      </w:pPr>
      <w:r>
        <w:t xml:space="preserve">Article 22: Gate One – From Protocols to Systems</w:t>
      </w:r>
    </w:p>
    <w:p>
      <w:pPr>
        <w:pStyle w:val="FirstParagraph"/>
      </w:pPr>
      <w:r>
        <w:t xml:space="preserve">22.1 Gate One certifies at Day 7, or earlier, based on three criteria: continuous operation of both corridors under the Pilot Corridor Program without an interdiction incident; at least one hundred vessel transits recorded through either corridor; and confirmation that the Common Channel has carried Layer 1 traffic without a communication failure lasting longer than fifteen minutes.</w:t>
      </w:r>
    </w:p>
    <w:p>
      <w:pPr>
        <w:pStyle w:val="BodyText"/>
      </w:pPr>
      <w:r>
        <w:t xml:space="preserve">22.2 Certification of Gate One triggers Joint Notification of Layer 2’s elements, consistent with the concurrent-activation principle of Article 8.3; Layer 2’s elements may in practice begin operating before Day 7 where their own readiness criteria under Article 27 are independently met.</w:t>
      </w:r>
    </w:p>
    <w:p>
      <w:r>
        <w:pict>
          <v:rect style="width:0;height:1.5pt" o:hralign="center" o:hrstd="t" o:hr="t"/>
        </w:pict>
      </w:r>
    </w:p>
    <w:p>
      <w:r>
        <w:br w:type="page"/>
      </w:r>
    </w:p>
    <w:bookmarkEnd w:id="50"/>
    <w:bookmarkEnd w:id="51"/>
    <w:bookmarkStart w:id="57" w:name="X74a447f4a890bb3763745fb68c9ec499664b288"/>
    <w:p>
      <w:pPr>
        <w:pStyle w:val="Heading1"/>
      </w:pPr>
      <w:r>
        <w:t xml:space="preserve">PART IV: LAYER 2 – THE MESO-SYSTEMS (Day 3 to Day 10, running in parallel with Layers 0 and 1)</w:t>
      </w:r>
    </w:p>
    <w:bookmarkStart w:id="52" w:name="article-23-the-incident-alert-mesh"/>
    <w:p>
      <w:pPr>
        <w:pStyle w:val="Heading2"/>
      </w:pPr>
      <w:r>
        <w:t xml:space="preserve">Article 23: The Incident-Alert Mesh</w:t>
      </w:r>
    </w:p>
    <w:p>
      <w:pPr>
        <w:pStyle w:val="FirstParagraph"/>
      </w:pPr>
      <w:r>
        <w:t xml:space="preserve">23.1 The Incident-Alert Mesh consolidates the individual alert exercises of Cluster C into one integrated system: any alert logged under Exercises C-1 through C-9 feeds automatically into a single shared dashboard, visible in real time to both Parties’ traffic desks and to the Lattice Cell.</w:t>
      </w:r>
    </w:p>
    <w:p>
      <w:pPr>
        <w:pStyle w:val="BodyText"/>
      </w:pPr>
      <w:r>
        <w:t xml:space="preserve">23.2 The Mesh applies a standard escalation rule: three or more related alerts within a two-hour window inside the same one-nautical-mile grid cell automatically elevates the Flow State for that cell from Green to Amber under Article 45, without requiring a separate joint decision for each escalation.</w:t>
      </w:r>
    </w:p>
    <w:p>
      <w:pPr>
        <w:pStyle w:val="BodyText"/>
      </w:pPr>
      <w:r>
        <w:t xml:space="preserve">23.3 De-escalation from Amber back to Green occurs automatically thirty minutes after the alert rate returns below the threshold in 23.2, unless either Party’s traffic desk manually holds the Amber state and states its reason on the Common Channel.</w:t>
      </w:r>
    </w:p>
    <w:bookmarkEnd w:id="52"/>
    <w:bookmarkStart w:id="53" w:name="Xb7168ba5641d0fa6aae16aad88c4c8be40276fe"/>
    <w:p>
      <w:pPr>
        <w:pStyle w:val="Heading2"/>
      </w:pPr>
      <w:r>
        <w:t xml:space="preserve">Article 24: The Joint Drift-Prediction and Hazard Model</w:t>
      </w:r>
    </w:p>
    <w:p>
      <w:pPr>
        <w:pStyle w:val="FirstParagraph"/>
      </w:pPr>
      <w:r>
        <w:t xml:space="preserve">24.1 The drift-prediction model validated in Exercise D-9 becomes a standing operational tool, run jointly by both Parties’ meteorological desks whenever a disabled-vessel alert is logged under Exercise C-2 or C-3, producing a shared, time-stamped drift forecast available to both Parties’ response assets simultaneously.</w:t>
      </w:r>
    </w:p>
    <w:p>
      <w:pPr>
        <w:pStyle w:val="BodyText"/>
      </w:pPr>
      <w:r>
        <w:t xml:space="preserve">24.2 The Hazard Model extends the same joint methodology to floating debris reported under Exercise C-7 and drifting fishing gear reported under Exercise C-10, maintaining a single, continuously updated hazard layer over the Governance Area’s chart.</w:t>
      </w:r>
    </w:p>
    <w:bookmarkEnd w:id="53"/>
    <w:bookmarkStart w:id="54" w:name="article-25-the-response-mesh"/>
    <w:p>
      <w:pPr>
        <w:pStyle w:val="Heading2"/>
      </w:pPr>
      <w:r>
        <w:t xml:space="preserve">Article 25: The Response Mesh</w:t>
      </w:r>
    </w:p>
    <w:p>
      <w:pPr>
        <w:pStyle w:val="FirstParagraph"/>
      </w:pPr>
      <w:r>
        <w:t xml:space="preserve">25.1 The Response Mesh integrates the tow-dispatch protocol of Exercise D-2, the search-and-rescue readiness exchange of Exercise D-3, and the repair-coordination protocols of Exercises D-5 through D-8 into one standing operational system, coordinated through the Common Channel and logged in the Standing Logbook.</w:t>
      </w:r>
    </w:p>
    <w:p>
      <w:pPr>
        <w:pStyle w:val="BodyText"/>
      </w:pPr>
      <w:r>
        <w:t xml:space="preserve">25.2 Under the Response Mesh, the Party whose asset is nearest to a distress call responds first, regardless of the distressed vessel’s flag or ownership, with the other Party’s asset following as backup; this proximity-first principle applies symmetrically and creates no precedent regarding either Party’s jurisdiction over the incident location.</w:t>
      </w:r>
    </w:p>
    <w:p>
      <w:pPr>
        <w:pStyle w:val="BodyText"/>
      </w:pPr>
      <w:r>
        <w:t xml:space="preserve">25.3 The Response Mesh’s activation does not create a joint command structure. Each Party’s assets remain under that Party’s own operational control at all times; the Mesh coordinates timing and information, not command.</w:t>
      </w:r>
    </w:p>
    <w:bookmarkEnd w:id="54"/>
    <w:bookmarkStart w:id="55" w:name="X74f75d6c43ad034f93ae30b6020976e7cb27a06"/>
    <w:p>
      <w:pPr>
        <w:pStyle w:val="Heading2"/>
      </w:pPr>
      <w:r>
        <w:t xml:space="preserve">Article 26: The Shared Weather and Hazard Service</w:t>
      </w:r>
    </w:p>
    <w:p>
      <w:pPr>
        <w:pStyle w:val="FirstParagraph"/>
      </w:pPr>
      <w:r>
        <w:t xml:space="preserve">26.1 The Shared Weather and Hazard Service consolidates every Cluster A exercise into one standing, jointly branded service, publishing the daily hazard bulletin, the storm-threshold advisory, and the calm-sea window forecast through the Open Water Bulletin under Article 45.</w:t>
      </w:r>
    </w:p>
    <w:p>
      <w:pPr>
        <w:pStyle w:val="BodyText"/>
      </w:pPr>
      <w:r>
        <w:t xml:space="preserve">26.2 The Service operates from the Micro-Meteorology Desk established under Exercise A-8, staffed continuously from Layer 2 forward by rotating Iranian and Omani meteorological officers.</w:t>
      </w:r>
    </w:p>
    <w:bookmarkEnd w:id="55"/>
    <w:bookmarkStart w:id="56" w:name="Xd5dafaae79ae645896ca3a6e7a9fc2e7bfcf131"/>
    <w:p>
      <w:pPr>
        <w:pStyle w:val="Heading2"/>
      </w:pPr>
      <w:r>
        <w:t xml:space="preserve">Article 27: Gate Two – From Systems to Institutions</w:t>
      </w:r>
    </w:p>
    <w:p>
      <w:pPr>
        <w:pStyle w:val="FirstParagraph"/>
      </w:pPr>
      <w:r>
        <w:t xml:space="preserve">27.1 Gate Two certifies at Day 10, or earlier, based on three criteria: the Incident-Alert Mesh’s escalation and de-escalation rules operating without manual override for at least five consecutive days; at least one successful joint response coordinated through the Response Mesh, whether a drill or a live incident; and the Shared Weather and Hazard Service publishing without interruption for the full certification window.</w:t>
      </w:r>
    </w:p>
    <w:p>
      <w:pPr>
        <w:pStyle w:val="BodyText"/>
      </w:pPr>
      <w:r>
        <w:t xml:space="preserve">27.2 Certification of Gate Two triggers Joint Notification of Layer 3’s elements, again under the concurrent-activation principle.</w:t>
      </w:r>
    </w:p>
    <w:p>
      <w:r>
        <w:pict>
          <v:rect style="width:0;height:1.5pt" o:hralign="center" o:hrstd="t" o:hr="t"/>
        </w:pict>
      </w:r>
    </w:p>
    <w:p>
      <w:r>
        <w:br w:type="page"/>
      </w:r>
    </w:p>
    <w:bookmarkEnd w:id="56"/>
    <w:bookmarkEnd w:id="57"/>
    <w:bookmarkStart w:id="63" w:name="X31aa940ba93625c750ae00daa4c49204688e81c"/>
    <w:p>
      <w:pPr>
        <w:pStyle w:val="Heading1"/>
      </w:pPr>
      <w:r>
        <w:t xml:space="preserve">PART V: LAYER 3 – THE PROTO-GOVERNANCE (Day 7 to Day 14)</w:t>
      </w:r>
    </w:p>
    <w:bookmarkStart w:id="58" w:name="article-28-the-calm-waters-cell"/>
    <w:p>
      <w:pPr>
        <w:pStyle w:val="Heading2"/>
      </w:pPr>
      <w:r>
        <w:t xml:space="preserve">Article 28: The Calm Waters Cell</w:t>
      </w:r>
    </w:p>
    <w:p>
      <w:pPr>
        <w:pStyle w:val="FirstParagraph"/>
      </w:pPr>
      <w:r>
        <w:t xml:space="preserve">28.1 The Calm Waters Cell succeeds the Lattice Cell of Article 11.3, expanding from four to eight members, four designated by Iran and four by Oman, at least half of each delegation drawn from civilian maritime authorities rather than naval personnel.</w:t>
      </w:r>
    </w:p>
    <w:p>
      <w:pPr>
        <w:pStyle w:val="BodyText"/>
      </w:pPr>
      <w:r>
        <w:t xml:space="preserve">28.2 The Cell holds three functions and no others: it consolidates the Standing Logbook into a single weekly report; it certifies each subsequent Gate under this Part and the Parts that follow, applying the objective criteria each Gate Article states; and it recommends, without binding either Party, adjustments to any corridor, advisory, or protocol operating under Layers 0 through 2.</w:t>
      </w:r>
    </w:p>
    <w:p>
      <w:pPr>
        <w:pStyle w:val="BodyText"/>
      </w:pPr>
      <w:r>
        <w:t xml:space="preserve">28.3 The Cell holds no enforcement authority, no permitting authority, and no power to direct any vessel’s movement. Its recommendations under 28.2 take effect only when both Parties separately confirm them through Joint Notification.</w:t>
      </w:r>
    </w:p>
    <w:p>
      <w:pPr>
        <w:pStyle w:val="BodyText"/>
      </w:pPr>
      <w:r>
        <w:t xml:space="preserve">28.4 Personnel serving on the Cell hold civilian maritime credentials; the Cell’s charter excludes Islamic Revolutionary Guard Corps personnel from any operational role on the Cell, a limitation that applies symmetrically as an architectural feature of the Cell’s civilian character rather than as a restriction imposed on Iran alone, consistent with the framing principle of Article 4.5.</w:t>
      </w:r>
    </w:p>
    <w:bookmarkEnd w:id="58"/>
    <w:bookmarkStart w:id="59" w:name="article-29-the-joint-coordination-desk"/>
    <w:p>
      <w:pPr>
        <w:pStyle w:val="Heading2"/>
      </w:pPr>
      <w:r>
        <w:t xml:space="preserve">Article 29: The Joint Coordination Desk</w:t>
      </w:r>
    </w:p>
    <w:p>
      <w:pPr>
        <w:pStyle w:val="FirstParagraph"/>
      </w:pPr>
      <w:r>
        <w:t xml:space="preserve">29.1 The Joint Coordination Desk operationalizes the Common Channel and the Vessel-Intent Form into a twenty-four-hour staffed function, receiving voluntary notifications, publishing the Open Water Bulletin, and relaying Flow State changes to shipping industry contacts registered with either Party’s maritime authority.</w:t>
      </w:r>
    </w:p>
    <w:p>
      <w:pPr>
        <w:pStyle w:val="BodyText"/>
      </w:pPr>
      <w:r>
        <w:t xml:space="preserve">29.2 The Desk functions as a Maritime Traffic Coordination Center, not a permission-granting body: it receives information and provides information, and no vessel’s transit depends on any response from the Desk. This distinction is the operative core of Article 44 and the legal foundation for the United States’ ability to endorse the Desk’s function under Article 2.2 without breaching its own sanctions posture toward Iranian entities.</w:t>
      </w:r>
    </w:p>
    <w:p>
      <w:pPr>
        <w:pStyle w:val="BodyText"/>
      </w:pPr>
      <w:r>
        <w:t xml:space="preserve">29.3 The Desk operates from two co-located watch floors, one in Bandar Abbas and one in Muscat, connected continuously by the Common Channel, so that neither Party’s watch floor holds informational advantage over the other.</w:t>
      </w:r>
    </w:p>
    <w:bookmarkEnd w:id="59"/>
    <w:bookmarkStart w:id="60" w:name="article-30-the-accelerated-review-cycle"/>
    <w:p>
      <w:pPr>
        <w:pStyle w:val="Heading2"/>
      </w:pPr>
      <w:r>
        <w:t xml:space="preserve">Article 30: The Accelerated Review Cycle</w:t>
      </w:r>
    </w:p>
    <w:p>
      <w:pPr>
        <w:pStyle w:val="FirstParagraph"/>
      </w:pPr>
      <w:r>
        <w:t xml:space="preserve">30.1 The Calm Waters Cell convenes a full review of every active layer every fourteen days, a substantially accelerated cadence from the quarterly cycle contemplated in earlier drafts of this architecture, reflecting the compressed timeline this Pact adopts throughout.</w:t>
      </w:r>
    </w:p>
    <w:p>
      <w:pPr>
        <w:pStyle w:val="BodyText"/>
      </w:pPr>
      <w:r>
        <w:t xml:space="preserve">30.2 Each Review produces a public summary, published through the Open Water Bulletin, stating which elements remain active, which are paused under Article 7.2, and which the Cell recommends for the next Gate.</w:t>
      </w:r>
    </w:p>
    <w:p>
      <w:pPr>
        <w:pStyle w:val="BodyText"/>
      </w:pPr>
      <w:r>
        <w:t xml:space="preserve">30.3 Either Party may request an out-of-cycle Review at any time, convened within forty-eight hours of the request, without prejudice to the standing fourteen-day cycle.</w:t>
      </w:r>
    </w:p>
    <w:bookmarkEnd w:id="60"/>
    <w:bookmarkStart w:id="61" w:name="article-31-crisis-mode-coordination"/>
    <w:p>
      <w:pPr>
        <w:pStyle w:val="Heading2"/>
      </w:pPr>
      <w:r>
        <w:t xml:space="preserve">Article 31: Crisis-Mode Coordination</w:t>
      </w:r>
    </w:p>
    <w:p>
      <w:pPr>
        <w:pStyle w:val="FirstParagraph"/>
      </w:pPr>
      <w:r>
        <w:t xml:space="preserve">31.1 Crisis-Mode Coordination activates automatically when the Flow State for any zone reaches Red under Article 45, or when either Party’s Common Channel desk declares a mass-casualty or multi-vessel incident.</w:t>
      </w:r>
    </w:p>
    <w:p>
      <w:pPr>
        <w:pStyle w:val="BodyText"/>
      </w:pPr>
      <w:r>
        <w:t xml:space="preserve">31.2 Under Crisis-Mode Coordination, the Calm Waters Cell convenes continuously rather than on its standing cadence, the Response Mesh under Article 25 operates at maximum readiness, and both Parties’ traffic desks issue joint situation updates on the Common Channel at thirty-minute intervals until the Flow State returns to Amber or Green.</w:t>
      </w:r>
    </w:p>
    <w:p>
      <w:pPr>
        <w:pStyle w:val="BodyText"/>
      </w:pPr>
      <w:r>
        <w:t xml:space="preserve">31.3 Crisis-Mode Coordination is temporary and self-terminating: it ends automatically when the triggering condition under 31.1 resolves, without requiring a separate deactivation decision by either Party, consistent with the automatic-logic-trigger principle applied throughout this Pact.</w:t>
      </w:r>
    </w:p>
    <w:bookmarkEnd w:id="61"/>
    <w:bookmarkStart w:id="62" w:name="X4c38ea46ec0e80b428a5b185df8e37ffb863893"/>
    <w:p>
      <w:pPr>
        <w:pStyle w:val="Heading2"/>
      </w:pPr>
      <w:r>
        <w:t xml:space="preserve">Article 32: Gate Three – From Institutions to Simulation</w:t>
      </w:r>
    </w:p>
    <w:p>
      <w:pPr>
        <w:pStyle w:val="FirstParagraph"/>
      </w:pPr>
      <w:r>
        <w:t xml:space="preserve">32.1 Gate Three certifies at Day 14, or earlier, based on three criteria: the Calm Waters Cell completing at least one full Review cycle under Article 30; the Joint Coordination Desk operating continuously on both watch floors for the full certification window; and no unresolved Crisis-Mode Coordination episode pending at the time of certification.</w:t>
      </w:r>
    </w:p>
    <w:p>
      <w:pPr>
        <w:pStyle w:val="BodyText"/>
      </w:pPr>
      <w:r>
        <w:t xml:space="preserve">32.2 Certification of Gate Three triggers Joint Notification of Layer 4’s elements, which in practice have already been running in parallel since Day 10 under the concurrent-activation principle, formalizing their standing.</w:t>
      </w:r>
    </w:p>
    <w:p>
      <w:r>
        <w:pict>
          <v:rect style="width:0;height:1.5pt" o:hralign="center" o:hrstd="t" o:hr="t"/>
        </w:pict>
      </w:r>
    </w:p>
    <w:p>
      <w:r>
        <w:br w:type="page"/>
      </w:r>
    </w:p>
    <w:bookmarkEnd w:id="62"/>
    <w:bookmarkEnd w:id="63"/>
    <w:bookmarkStart w:id="69" w:name="Xf995cf1232cfa34e0489d7e2875bd476171e7aa"/>
    <w:p>
      <w:pPr>
        <w:pStyle w:val="Heading1"/>
      </w:pPr>
      <w:r>
        <w:t xml:space="preserve">PART VI: LAYER 4 – THE SIMULATION LAYER (Day 10 to Day 18, running in parallel with Layer 3)</w:t>
      </w:r>
    </w:p>
    <w:bookmarkStart w:id="64" w:name="article-33-the-simulation-rule"/>
    <w:p>
      <w:pPr>
        <w:pStyle w:val="Heading2"/>
      </w:pPr>
      <w:r>
        <w:t xml:space="preserve">Article 33: The Simulation Rule</w:t>
      </w:r>
    </w:p>
    <w:p>
      <w:pPr>
        <w:pStyle w:val="FirstParagraph"/>
      </w:pPr>
      <w:r>
        <w:t xml:space="preserve">33.1 Every exercise in this Part is a simulation: no money moves, no corridor expands, no insurance policy binds, and no obligation of any kind arises from any result the simulations produce. A simulation exists to let both Parties see a possible future before either commits to it.</w:t>
      </w:r>
    </w:p>
    <w:p>
      <w:pPr>
        <w:pStyle w:val="BodyText"/>
      </w:pPr>
      <w:r>
        <w:t xml:space="preserve">33.2 A simulation’s results feed directly into the drafting of the corresponding operative Article in Part VIII, the Final Charter, but the Charter’s actual terms are set by the Parties’ negotiation at signature, not automatically by any simulation’s output.</w:t>
      </w:r>
    </w:p>
    <w:bookmarkEnd w:id="64"/>
    <w:bookmarkStart w:id="65" w:name="Xd87acc4946fcc23db517a10935077e5d710c660"/>
    <w:p>
      <w:pPr>
        <w:pStyle w:val="Heading2"/>
      </w:pPr>
      <w:r>
        <w:t xml:space="preserve">Article 34: The Fee and Reimbursement Simulation</w:t>
      </w:r>
    </w:p>
    <w:p>
      <w:pPr>
        <w:pStyle w:val="FirstParagraph"/>
      </w:pPr>
      <w:r>
        <w:t xml:space="preserve">34.1 Building on the small-scale test run as Exercise E-6, both Parties, with the Swiss Depositary acting as neutral calculation agent, run a full parallel model of the reimbursement architecture set out in Article 51 and Annex C, applying the rate card in Annex C.2 against the actual, anonymized traffic volume recorded through Layer 1 and Layer 2.</w:t>
      </w:r>
    </w:p>
    <w:p>
      <w:pPr>
        <w:pStyle w:val="BodyText"/>
      </w:pPr>
      <w:r>
        <w:t xml:space="preserve">34.2 The Simulation produces a projected reimbursement figure for Iran and a projected reimbursement figure for Oman, each broken out by service category, published to both Parties and to the International Maritime Organization observer, without any actual invoice issuing and without any actual payment moving.</w:t>
      </w:r>
    </w:p>
    <w:p>
      <w:pPr>
        <w:pStyle w:val="BodyText"/>
      </w:pPr>
      <w:r>
        <w:t xml:space="preserve">34.3 The Simulation directly tests the central financial proposition of this Pact: that a documented-service reimbursement model can generate a revenue stream for the coastal states comparable to what a toll regime would have generated, without ever charging a toll. Annex C.2’s rate card is calibrated, and recalibrated after this Simulation runs, to keep that proposition true.</w:t>
      </w:r>
    </w:p>
    <w:bookmarkEnd w:id="65"/>
    <w:bookmarkStart w:id="66" w:name="Xd3b70a0f1445311c1078a37949cc8bf5c9e82bc"/>
    <w:p>
      <w:pPr>
        <w:pStyle w:val="Heading2"/>
      </w:pPr>
      <w:r>
        <w:t xml:space="preserve">Article 35: The Corridor-Expansion and Traffic Simulations</w:t>
      </w:r>
    </w:p>
    <w:p>
      <w:pPr>
        <w:pStyle w:val="FirstParagraph"/>
      </w:pPr>
      <w:r>
        <w:t xml:space="preserve">35.1 The tabletop exercise conducted as Exercise E-10 becomes a full simulation, modeling Corridor Three’s activation under Article 42 against the actual traffic patterns observed in Corridor One and Corridor Two during Layers 1 and 2.</w:t>
      </w:r>
    </w:p>
    <w:p>
      <w:pPr>
        <w:pStyle w:val="BodyText"/>
      </w:pPr>
      <w:r>
        <w:t xml:space="preserve">35.2 The Traffic Simulation projects congestion, waiting-area demand, and pilot-boat load under a scenario in which Corridor Three opens on the Final Charter’s signature date, informing the Authority’s initial staffing and equipment plan under Article 49.</w:t>
      </w:r>
    </w:p>
    <w:bookmarkEnd w:id="66"/>
    <w:bookmarkStart w:id="67" w:name="X9e4ac0fcfe9a56d96e73a64616721cf25c0ff16"/>
    <w:p>
      <w:pPr>
        <w:pStyle w:val="Heading2"/>
      </w:pPr>
      <w:r>
        <w:t xml:space="preserve">Article 36: The Insurance and Market-Impact Model</w:t>
      </w:r>
    </w:p>
    <w:p>
      <w:pPr>
        <w:pStyle w:val="FirstParagraph"/>
      </w:pPr>
      <w:r>
        <w:t xml:space="preserve">36.1 Both Parties, with technical support from the International Maritime Organization observer, model the effect of the Zero-Toll Rule and the reimbursement architecture on war-risk insurance premiums for vessels transiting the Governance Area, using premium data already public from the period since February 2026.</w:t>
      </w:r>
    </w:p>
    <w:p>
      <w:pPr>
        <w:pStyle w:val="BodyText"/>
      </w:pPr>
      <w:r>
        <w:t xml:space="preserve">36.2 The Model’s output informs the Route Assurance service described in Annex C.2, under which insurers may voluntarily pay for real-time safety certification distinct from any transit charge, consistent with the legal distinction in Article 3.3.</w:t>
      </w:r>
    </w:p>
    <w:bookmarkEnd w:id="67"/>
    <w:bookmarkStart w:id="68" w:name="Xeeac8b02a292c3d694bbcd7e97a1417af92919d"/>
    <w:p>
      <w:pPr>
        <w:pStyle w:val="Heading2"/>
      </w:pPr>
      <w:r>
        <w:t xml:space="preserve">Article 37: Gate Four – From Simulation to Integration</w:t>
      </w:r>
    </w:p>
    <w:p>
      <w:pPr>
        <w:pStyle w:val="FirstParagraph"/>
      </w:pPr>
      <w:r>
        <w:t xml:space="preserve">37.1 Gate Four certifies at Day 18, or earlier, based on three criteria: completion of the Fee and Reimbursement Simulation with a published result; completion of the Corridor-Expansion and Traffic Simulations with a published result; and Cell confirmation that no simulation’s projected figures fall outside the range either Party’s negotiating team can accept as a starting point for Charter drafting.</w:t>
      </w:r>
    </w:p>
    <w:p>
      <w:pPr>
        <w:pStyle w:val="BodyText"/>
      </w:pPr>
      <w:r>
        <w:t xml:space="preserve">37.2 Certification of Gate Four triggers Joint Notification of Layer 5’s elements.</w:t>
      </w:r>
    </w:p>
    <w:p>
      <w:r>
        <w:pict>
          <v:rect style="width:0;height:1.5pt" o:hralign="center" o:hrstd="t" o:hr="t"/>
        </w:pict>
      </w:r>
    </w:p>
    <w:p>
      <w:r>
        <w:br w:type="page"/>
      </w:r>
    </w:p>
    <w:bookmarkEnd w:id="68"/>
    <w:bookmarkEnd w:id="69"/>
    <w:bookmarkStart w:id="74" w:name="Xb06a0b0612c2f9a18b6b9a637720e3648147c20"/>
    <w:p>
      <w:pPr>
        <w:pStyle w:val="Heading1"/>
      </w:pPr>
      <w:r>
        <w:t xml:space="preserve">PART VII: LAYER 5 – THE INTEGRATION LAYER (Day 14 to Day 21)</w:t>
      </w:r>
    </w:p>
    <w:bookmarkStart w:id="70" w:name="article-38-the-five-integrations"/>
    <w:p>
      <w:pPr>
        <w:pStyle w:val="Heading2"/>
      </w:pPr>
      <w:r>
        <w:t xml:space="preserve">Article 38: The Five Integrations</w:t>
      </w:r>
    </w:p>
    <w:p>
      <w:pPr>
        <w:pStyle w:val="FirstParagraph"/>
      </w:pPr>
      <w:r>
        <w:t xml:space="preserve">38.1 The Integration Layer merges the separate systems built in Layers 0 through 4 into five coherent operating units, each combining elements that have already proven themselves individually:</w:t>
      </w:r>
    </w:p>
    <w:p>
      <w:pPr>
        <w:pStyle w:val="BodyText"/>
      </w:pPr>
      <w:r>
        <w:t xml:space="preserve">38.2 The Safety Mesh Integration combines the Pilot Corridor Program, the Incident-Alert Mesh, and the Response Mesh into one continuously operating navigational safety system.</w:t>
      </w:r>
    </w:p>
    <w:p>
      <w:pPr>
        <w:pStyle w:val="BodyText"/>
      </w:pPr>
      <w:r>
        <w:t xml:space="preserve">38.3 The Visibility Integration combines the Shared Weather and Hazard Service, the AIS snapshot exchange, and the hazard bulletins into one continuously published operating picture.</w:t>
      </w:r>
    </w:p>
    <w:p>
      <w:pPr>
        <w:pStyle w:val="BodyText"/>
      </w:pPr>
      <w:r>
        <w:t xml:space="preserve">38.4 The Response Integration combines search-and-rescue readiness, tow-dispatch, and repair coordination into one standing joint response capability.</w:t>
      </w:r>
    </w:p>
    <w:p>
      <w:pPr>
        <w:pStyle w:val="BodyText"/>
      </w:pPr>
      <w:r>
        <w:t xml:space="preserve">38.5 The Governance Integration combines the Calm Waters Cell, the accelerated Review Cycle, and the Simulation Layer’s published results into one coherent institutional and financial baseline, ready to be codified in the Final Charter.</w:t>
      </w:r>
    </w:p>
    <w:p>
      <w:pPr>
        <w:pStyle w:val="BodyText"/>
      </w:pPr>
      <w:r>
        <w:t xml:space="preserve">38.6 The Predictability Integration combines the corridor structure, the calm-sea windows, and the notification data into one forecasting function, publicly available through the Open Water Bulletin.</w:t>
      </w:r>
    </w:p>
    <w:p>
      <w:pPr>
        <w:pStyle w:val="BodyText"/>
      </w:pPr>
      <w:r>
        <w:t xml:space="preserve">38.7 Each Integration activates by Joint Notification once its component elements have each independently passed their respective Gate under Parts II through VI; no Integration activates on a component that has not yet certified.</w:t>
      </w:r>
    </w:p>
    <w:bookmarkEnd w:id="70"/>
    <w:bookmarkStart w:id="71" w:name="X0d45bf79db7ed0148854185ba2e57be85c452e4"/>
    <w:p>
      <w:pPr>
        <w:pStyle w:val="Heading2"/>
      </w:pPr>
      <w:r>
        <w:t xml:space="preserve">Article 39: The Synchronized Indivisible Event</w:t>
      </w:r>
    </w:p>
    <w:p>
      <w:pPr>
        <w:pStyle w:val="FirstParagraph"/>
      </w:pPr>
      <w:r>
        <w:t xml:space="preserve">39.1 The Synchronized Indivisible Event is the compression engine of this Pact: a single published hour in which multiple elements, each independently ready, activate simultaneously rather than in sequence, on a single published script agreed by both Parties and the Endorsing Guarantor Party in advance.</w:t>
      </w:r>
    </w:p>
    <w:p>
      <w:pPr>
        <w:pStyle w:val="BodyText"/>
      </w:pPr>
      <w:r>
        <w:t xml:space="preserve">39.2 The Event’s published script, once the Five Integrations under Article 38 are ready, includes at minimum: formal certification of the Five Integrations; Corridor Three’s provisional activation alongside Corridors One and Two; the first synchronized step of the naval blockade drawdown and the first tranche of the sanctions relief and frozen-asset release described in Article 58, executed by the United States in the same published hour; and the Calm Waters Cell’s transition into the fuller Authority structure of Article 49, pending only signature of the Final Charter to make that transition permanent.</w:t>
      </w:r>
    </w:p>
    <w:p>
      <w:pPr>
        <w:pStyle w:val="BodyText"/>
      </w:pPr>
      <w:r>
        <w:t xml:space="preserve">39.3 Synchronization exists because a skilled negotiator does not ask either Party to move first and wait. Iran’s corridor and governance steps and the United States’ relief steps execute in the same hour, on the same published clock, so that neither side’s public position of</w:t>
      </w:r>
      <w:r>
        <w:t xml:space="preserve"> </w:t>
      </w:r>
      <w:r>
        <w:t xml:space="preserve">“</w:t>
      </w:r>
      <w:r>
        <w:t xml:space="preserve">we gave nothing away for free</w:t>
      </w:r>
      <w:r>
        <w:t xml:space="preserve">”</w:t>
      </w:r>
      <w:r>
        <w:t xml:space="preserve"> </w:t>
      </w:r>
      <w:r>
        <w:t xml:space="preserve">is contradicted by the sequence of events.</w:t>
      </w:r>
    </w:p>
    <w:p>
      <w:pPr>
        <w:pStyle w:val="BodyText"/>
      </w:pPr>
      <w:r>
        <w:t xml:space="preserve">39.4 The Event does not itself constitute signature of the Final Charter. It is the last non-signature act of this Pact, and it produces the fully proven, fully integrated system that the Final Charter then codifies in binding form.</w:t>
      </w:r>
    </w:p>
    <w:bookmarkEnd w:id="71"/>
    <w:bookmarkStart w:id="72" w:name="article-40-the-open-strait-package"/>
    <w:p>
      <w:pPr>
        <w:pStyle w:val="Heading2"/>
      </w:pPr>
      <w:r>
        <w:t xml:space="preserve">Article 40: The Open Strait Package</w:t>
      </w:r>
    </w:p>
    <w:p>
      <w:pPr>
        <w:pStyle w:val="FirstParagraph"/>
      </w:pPr>
      <w:r>
        <w:t xml:space="preserve">40.1 The Open Strait Package is the public framing both Parties adopt for the outcome of the Synchronized Indivisible Event: predictable corridors, a shared hazard and weather system, joint response readiness, a functioning oversight cell, and a transparent, simulation-tested reimbursement model, achieved entirely through reversible, minimal steps that at no point required either Party to concede a red line recorded in Annex F.</w:t>
      </w:r>
    </w:p>
    <w:p>
      <w:pPr>
        <w:pStyle w:val="BodyText"/>
      </w:pPr>
      <w:r>
        <w:t xml:space="preserve">40.2 Each Party retains full discretion over how it characterizes the Package domestically; this Pact does not prescribe language for either Party’s public statements, consistent with the sovereignty principle of Article 4.4.</w:t>
      </w:r>
    </w:p>
    <w:bookmarkEnd w:id="72"/>
    <w:bookmarkStart w:id="73" w:name="article-41-gate-five-the-stability-audit"/>
    <w:p>
      <w:pPr>
        <w:pStyle w:val="Heading2"/>
      </w:pPr>
      <w:r>
        <w:t xml:space="preserve">Article 41: Gate Five – The Stability Audit</w:t>
      </w:r>
    </w:p>
    <w:p>
      <w:pPr>
        <w:pStyle w:val="FirstParagraph"/>
      </w:pPr>
      <w:r>
        <w:t xml:space="preserve">41.1 The Stability Audit is the final certification before the Final Charter becomes signature-ready. It examines, over the seven days following the Synchronized Indivisible Event, five criteria: zero attributable interdiction incidents; corridor throughput within the range projected by the Traffic Simulation under Article 35; the reimbursement architecture’s simulated figures remaining consistent with the actual figures the Fee Simulation would now project against real traffic; no unresolved Crisis-Mode Coordination episode; and confirmation from the International Maritime Organization observer that the corridor geometry in current operation matches Annex A.</w:t>
      </w:r>
    </w:p>
    <w:p>
      <w:pPr>
        <w:pStyle w:val="BodyText"/>
      </w:pPr>
      <w:r>
        <w:t xml:space="preserve">41.2 The Stability Audit’s criteria are published in full in Annex E.5, in numeric and auditable form, so that certification is a matter of measurement, not negotiation.</w:t>
      </w:r>
    </w:p>
    <w:p>
      <w:pPr>
        <w:pStyle w:val="BodyText"/>
      </w:pPr>
      <w:r>
        <w:t xml:space="preserve">41.3 Passage of the Stability Audit does not itself bind either Party to sign the Final Charter; it certifies that the Charter, if signed, codifies an architecture already proven to work. Signature remains a separate, deliberate act under Article 61.</w:t>
      </w:r>
    </w:p>
    <w:p>
      <w:r>
        <w:pict>
          <v:rect style="width:0;height:1.5pt" o:hralign="center" o:hrstd="t" o:hr="t"/>
        </w:pict>
      </w:r>
    </w:p>
    <w:p>
      <w:r>
        <w:br w:type="page"/>
      </w:r>
    </w:p>
    <w:bookmarkEnd w:id="73"/>
    <w:bookmarkEnd w:id="74"/>
    <w:bookmarkStart w:id="96" w:name="part-viii-layer-6-the-final-charter"/>
    <w:p>
      <w:pPr>
        <w:pStyle w:val="Heading1"/>
      </w:pPr>
      <w:r>
        <w:t xml:space="preserve">PART VIII: LAYER 6 – THE FINAL CHARTER</w:t>
      </w:r>
    </w:p>
    <w:bookmarkStart w:id="75" w:name="X2ff2564cab14475f1bf909ac2ba084e16a4bd6c"/>
    <w:p>
      <w:pPr>
        <w:pStyle w:val="Heading3"/>
      </w:pPr>
      <w:r>
        <w:t xml:space="preserve">Signature attaches to this Part alone. Every Article below codifies an element already proven, in miniature, under Layers 0 through 5.</w:t>
      </w:r>
    </w:p>
    <w:bookmarkEnd w:id="75"/>
    <w:bookmarkStart w:id="76" w:name="Xe8ee6fe27b080ae99257aa54cf79e12338f0027"/>
    <w:p>
      <w:pPr>
        <w:pStyle w:val="Heading2"/>
      </w:pPr>
      <w:r>
        <w:t xml:space="preserve">Article 42: The Three-Corridor System and Coordinates</w:t>
      </w:r>
    </w:p>
    <w:p>
      <w:pPr>
        <w:pStyle w:val="FirstParagraph"/>
      </w:pPr>
      <w:r>
        <w:t xml:space="preserve">42.1 The Charter establishes three corridors within the Governance Area, superseding the provisional two-corridor Pilot Program of Article 18 and formalizing the geometry detailed in full in Annex A.</w:t>
      </w:r>
    </w:p>
    <w:p>
      <w:pPr>
        <w:pStyle w:val="BodyText"/>
      </w:pPr>
      <w:r>
        <w:t xml:space="preserve">42.2 Corridor One, Southern Assurance, runs through Omani territorial waters north of the Musandam Peninsula, aligned with the historical Traffic Separation Scheme referenced in Article 3.2, administered by Oman, toll-free and open to all commercial and permitted military transit without notification.</w:t>
      </w:r>
    </w:p>
    <w:p>
      <w:pPr>
        <w:pStyle w:val="BodyText"/>
      </w:pPr>
      <w:r>
        <w:t xml:space="preserve">42.3 Corridor Two, Northern Coordination, runs through Iranian-adjacent waters between Qeshm Island and Larak Island, administered by Iran, toll-free, operating under the notification protocol of Article 44 rather than any permit requirement.</w:t>
      </w:r>
    </w:p>
    <w:p>
      <w:pPr>
        <w:pStyle w:val="BodyText"/>
      </w:pPr>
      <w:r>
        <w:t xml:space="preserve">42.4 Corridor Three, the Central Assurance Lane, activates on the Charter’s entry into force as a two-way lane positioned along the median line of the Governance Area, jointly administered by the Authority established under Article 49, available to vessels seeking the shortest transit distance and to vessels the Authority’s traffic model identifies as best served by the central route during peak-flow periods.</w:t>
      </w:r>
    </w:p>
    <w:p>
      <w:pPr>
        <w:pStyle w:val="BodyText"/>
      </w:pPr>
      <w:r>
        <w:t xml:space="preserve">42.5 Annex A.5 designates anchorages, the exercise zones carried over from Layer 0, and the survey zones described in Article 47, as permanent features of the Governance Area’s chart from the Charter’s entry into force forward.</w:t>
      </w:r>
    </w:p>
    <w:bookmarkEnd w:id="76"/>
    <w:bookmarkStart w:id="77" w:name="X8bc5681facc72bbefc902d3b59eb0b98ea6a69c"/>
    <w:p>
      <w:pPr>
        <w:pStyle w:val="Heading2"/>
      </w:pPr>
      <w:r>
        <w:t xml:space="preserve">Article 43: Vessel Classification and Passage Rules</w:t>
      </w:r>
    </w:p>
    <w:p>
      <w:pPr>
        <w:pStyle w:val="FirstParagraph"/>
      </w:pPr>
      <w:r>
        <w:t xml:space="preserve">43.1 Vessels transiting the Governance Area fall into three classes for informational purposes only, none of which affects a vessel’s right to transit: commercial vessels, permitted military vessels transiting under the standoff geometry of Article 48, and vessels the Authority’s hazard model flags for voluntary enhanced coordination based on cargo type, such as vessels carrying hazardous materials.</w:t>
      </w:r>
    </w:p>
    <w:p>
      <w:pPr>
        <w:pStyle w:val="BodyText"/>
      </w:pPr>
      <w:r>
        <w:t xml:space="preserve">43.2 Passage rules apply identically across all three vessel classes with respect to the absolute non-interdiction protocol of Article 46; classification affects only which advisory services the Authority actively offers a given vessel, never whether that vessel may transit.</w:t>
      </w:r>
    </w:p>
    <w:p>
      <w:pPr>
        <w:pStyle w:val="BodyText"/>
      </w:pPr>
      <w:r>
        <w:t xml:space="preserve">43.3 No vessel’s flag state, ownership, or cargo origin affects its right to transit the Governance Area under this Charter; the two-track national-treatment concept floated during the crisis, under which vessels from politically favored states would receive preferential passage, finds no place in this instrument, because differential treatment by flag is the single fastest route back to the zero-sum dynamic this Pact exists to end.</w:t>
      </w:r>
    </w:p>
    <w:bookmarkEnd w:id="77"/>
    <w:bookmarkStart w:id="78" w:name="article-44-the-notification-protocol"/>
    <w:p>
      <w:pPr>
        <w:pStyle w:val="Heading2"/>
      </w:pPr>
      <w:r>
        <w:t xml:space="preserve">Article 44: The Notification Protocol</w:t>
      </w:r>
    </w:p>
    <w:p>
      <w:pPr>
        <w:pStyle w:val="FirstParagraph"/>
      </w:pPr>
      <w:r>
        <w:t xml:space="preserve">44.1 The Notification Protocol formalizes the Vessel-Intent Form of Article 21 as the Charter’s standing mechanism: a vessel transiting Corridor Two or Corridor Three submits its intended transit plan to the Joint Coordination Desk on a voluntary basis, receiving in return real-time traffic, hazard, and weather data.</w:t>
      </w:r>
    </w:p>
    <w:p>
      <w:pPr>
        <w:pStyle w:val="BodyText"/>
      </w:pPr>
      <w:r>
        <w:t xml:space="preserve">44.2 Submission carries no approval character and no permit character. The Desk’s function under this Article is coordination, not permission: it receives a plan and returns information, and at no point does the Desk’s silence, delay, or response condition a vessel’s right to proceed.</w:t>
      </w:r>
    </w:p>
    <w:p>
      <w:pPr>
        <w:pStyle w:val="BodyText"/>
      </w:pPr>
      <w:r>
        <w:t xml:space="preserve">44.3 This Article’s drafting is deliberate and legally load-bearing: it is the mechanism by which the Authority’s Iranian personnel provide traffic data as an exercise of Iran’s recognized right as a coastal state to inform navigation in its adjacent waters, rather than as a gatekeeper issuing permission, and it is the distinction that allows the Endorsing Guarantor Party to treat interaction with the Desk as compliant with its own sanctions framework once the Authority’s structure under Article 49 and the transition under Article 54 are complete.</w:t>
      </w:r>
    </w:p>
    <w:bookmarkEnd w:id="78"/>
    <w:bookmarkStart w:id="79" w:name="X33322819d532a786f6cb5e4718ee37b89737dc5"/>
    <w:p>
      <w:pPr>
        <w:pStyle w:val="Heading2"/>
      </w:pPr>
      <w:r>
        <w:t xml:space="preserve">Article 45: Flow States and the Open Water Bulletin</w:t>
      </w:r>
    </w:p>
    <w:p>
      <w:pPr>
        <w:pStyle w:val="FirstParagraph"/>
      </w:pPr>
      <w:r>
        <w:t xml:space="preserve">45.1 The Governance Area operates under one of three published Flow States at any time, applied by geographic cell rather than to the Strait as a whole: Green, unrestricted transit; Amber, advisory caution following the automatic escalation rule of Article 23.2; and Red, a temporary hazard closure of the specific cell affected, never a closure of the entire Governance Area absent a jointly declared emergency under Article 31.</w:t>
      </w:r>
    </w:p>
    <w:p>
      <w:pPr>
        <w:pStyle w:val="BodyText"/>
      </w:pPr>
      <w:r>
        <w:t xml:space="preserve">45.2 The Open Water Bulletin, published continuously by the Joint Coordination Desk, states the current Flow State for every cell, the calm-sea window, any active hazard bulletin, and any Notification Protocol backlog, in a single, publicly accessible format for the international shipping industry.</w:t>
      </w:r>
    </w:p>
    <w:p>
      <w:pPr>
        <w:pStyle w:val="BodyText"/>
      </w:pPr>
      <w:r>
        <w:t xml:space="preserve">45.3 A Red Flow State for any cell reverts automatically to Amber under the same de-escalation logic set out in Article 23.3, and no Party unilaterally extends a Red state beyond the triggering hazard’s actual duration.</w:t>
      </w:r>
    </w:p>
    <w:bookmarkEnd w:id="79"/>
    <w:bookmarkStart w:id="80" w:name="X10f727d50927a54130ff1439557dfee28dd9042"/>
    <w:p>
      <w:pPr>
        <w:pStyle w:val="Heading2"/>
      </w:pPr>
      <w:r>
        <w:t xml:space="preserve">Article 46: The Absolute Non-Interdiction Protocol</w:t>
      </w:r>
    </w:p>
    <w:p>
      <w:pPr>
        <w:pStyle w:val="FirstParagraph"/>
      </w:pPr>
      <w:r>
        <w:t xml:space="preserve">46.1 The framework architecture of this Charter excludes interdiction, boarding, seizure, or forced diversion of any commercial vessel transiting the Governance Area in compliance with the applicable corridor’s passage rules, absent a specific, individualized suspicion of activity unrelated to ordinary commercial transit and communicated in real time on the Common Channel to the other Party before any action is taken.</w:t>
      </w:r>
    </w:p>
    <w:p>
      <w:pPr>
        <w:pStyle w:val="BodyText"/>
      </w:pPr>
      <w:r>
        <w:t xml:space="preserve">46.2 This protocol operates as a mutual structural feature of the Governance Area, binding both Parties’ naval and coast guard assets symmetrically; it is not a unilateral restraint accepted by either Party for the other’s benefit, and each Party’s compliance is independently verifiable through the Compliance Engine of Article 56.</w:t>
      </w:r>
    </w:p>
    <w:p>
      <w:pPr>
        <w:pStyle w:val="BodyText"/>
      </w:pPr>
      <w:r>
        <w:t xml:space="preserve">46.3 The naval blockade the United States has maintained around Iranian ports since the crisis escalated stands outside this Article’s scope, as a matter between Iran and the United States addressed directly in Article 58; this Article governs conduct inside the Governance Area itself.</w:t>
      </w:r>
    </w:p>
    <w:bookmarkEnd w:id="80"/>
    <w:bookmarkStart w:id="81" w:name="X7ddb93125507a0882310a58a67afddbf1813ba1"/>
    <w:p>
      <w:pPr>
        <w:pStyle w:val="Heading2"/>
      </w:pPr>
      <w:r>
        <w:t xml:space="preserve">Article 47: The Mine Exclusion and the Joint Survey</w:t>
      </w:r>
    </w:p>
    <w:p>
      <w:pPr>
        <w:pStyle w:val="FirstParagraph"/>
      </w:pPr>
      <w:r>
        <w:t xml:space="preserve">47.1 Both Parties commit their mine-countermeasure assets to a Joint Survey of the Governance Area, conducted in coordinated but separately controlled sweeps, each Party surveying its own territorial waters and Corridor Three’s central zone surveyed jointly under Authority coordination.</w:t>
      </w:r>
    </w:p>
    <w:p>
      <w:pPr>
        <w:pStyle w:val="BodyText"/>
      </w:pPr>
      <w:r>
        <w:t xml:space="preserve">47.2 Any area the Joint Survey flags as unswept or of uncertain hazard status carries a standing Red Flow State for that specific cell until resurvey clears it, published immediately through the Open Water Bulletin.</w:t>
      </w:r>
    </w:p>
    <w:p>
      <w:pPr>
        <w:pStyle w:val="BodyText"/>
      </w:pPr>
      <w:r>
        <w:t xml:space="preserve">47.3 Neither Party lays, or authorizes any third party to lay, a mine or mine-like hazard inside the Governance Area from the Charter’s entry into force forward; this exclusion binds both Parties symmetrically as a structural feature of the Governance Area rather than as a concession by either side.</w:t>
      </w:r>
    </w:p>
    <w:bookmarkEnd w:id="81"/>
    <w:bookmarkStart w:id="82" w:name="X0805dbd3c2e552036a33f24d3b0e356c8766072"/>
    <w:p>
      <w:pPr>
        <w:pStyle w:val="Heading2"/>
      </w:pPr>
      <w:r>
        <w:t xml:space="preserve">Article 48: Standoff Geometry and De-confliction</w:t>
      </w:r>
    </w:p>
    <w:p>
      <w:pPr>
        <w:pStyle w:val="FirstParagraph"/>
      </w:pPr>
      <w:r>
        <w:t xml:space="preserve">48.1 Military vessels of any state transiting the Governance Area under the customary transit-passage regime maintain a minimum standoff distance of one nautical mile from any commercial vessel not under that military vessel’s own flag, absent an active Response Mesh coordination under Article 25.</w:t>
      </w:r>
    </w:p>
    <w:p>
      <w:pPr>
        <w:pStyle w:val="BodyText"/>
      </w:pPr>
      <w:r>
        <w:t xml:space="preserve">48.2 Iranian and United States naval assets operating in or adjacent to the Governance Area maintain communication through the Common Channel during any period of simultaneous presence, applying the bridge-to-bridge protocols already standard under international maritime practice, to reduce the miscalculation risk that has produced dangerous encounters since February 2026.</w:t>
      </w:r>
    </w:p>
    <w:p>
      <w:pPr>
        <w:pStyle w:val="BodyText"/>
      </w:pPr>
      <w:r>
        <w:t xml:space="preserve">48.3 This Article creates no joint command relationship and no obligation for either Iran or the United States to coordinate military posture beyond the specific de-confliction communications described in 48.1 and 48.2.</w:t>
      </w:r>
    </w:p>
    <w:bookmarkEnd w:id="82"/>
    <w:bookmarkStart w:id="83" w:name="Xdb0068946c5b7c6c911012d572418ebb360d4ce"/>
    <w:p>
      <w:pPr>
        <w:pStyle w:val="Heading2"/>
      </w:pPr>
      <w:r>
        <w:t xml:space="preserve">Article 49: The Institutions of the Charter</w:t>
      </w:r>
    </w:p>
    <w:p>
      <w:pPr>
        <w:pStyle w:val="FirstParagraph"/>
      </w:pPr>
      <w:r>
        <w:t xml:space="preserve">49.1 The Charter establishes the Hormuz Calm Waters Authority as the successor to the Calm Waters Cell of Article 28, structured as a Maritime Traffic Coordination Center, not a permission-granting body, consistent with Article 44.</w:t>
      </w:r>
    </w:p>
    <w:p>
      <w:pPr>
        <w:pStyle w:val="BodyText"/>
      </w:pPr>
      <w:r>
        <w:t xml:space="preserve">49.2 The Authority’s Steering Council seats two Iranian and two Omani members, plus the International Maritime Organization’s non-voting Technical Observer under Article 2.5, holding strategic oversight, budget approval under Annex C, and first-instance dispute resolution under Article 60.</w:t>
      </w:r>
    </w:p>
    <w:p>
      <w:pPr>
        <w:pStyle w:val="BodyText"/>
      </w:pPr>
      <w:r>
        <w:t xml:space="preserve">49.3 The Authority’s Technical Directorate, staffed jointly and co-equally by Iranian and Omani maritime professionals, handles day-to-day traffic coordination, hazard bulletin publication, and Notification Protocol processing.</w:t>
      </w:r>
    </w:p>
    <w:p>
      <w:pPr>
        <w:pStyle w:val="BodyText"/>
      </w:pPr>
      <w:r>
        <w:t xml:space="preserve">49.4 The Authority’s charter excludes Islamic Revolutionary Guard Corps personnel from any operational or Steering Council role, structured as an architectural feature of the Authority’s civilian character under the framing principle of Article 4.5, addressing directly the sanctions concern recorded in Annex F.</w:t>
      </w:r>
    </w:p>
    <w:p>
      <w:pPr>
        <w:pStyle w:val="BodyText"/>
      </w:pPr>
      <w:r>
        <w:t xml:space="preserve">49.5 The Authority holds legal personality as a joint Iran-Oman body operating under International Maritime Organization technical observation, distinct in law from any single Party’s state organs, a status that gives it standing independent of any future designation action targeting either Party individually.</w:t>
      </w:r>
    </w:p>
    <w:bookmarkEnd w:id="83"/>
    <w:bookmarkStart w:id="84" w:name="article-50-the-twin-key-rule"/>
    <w:p>
      <w:pPr>
        <w:pStyle w:val="Heading2"/>
      </w:pPr>
      <w:r>
        <w:t xml:space="preserve">Article 50: The Twin-Key Rule</w:t>
      </w:r>
    </w:p>
    <w:p>
      <w:pPr>
        <w:pStyle w:val="FirstParagraph"/>
      </w:pPr>
      <w:r>
        <w:t xml:space="preserve">50.1 Every decision within the Authority’s Steering Council requiring more than routine administrative action activates only on the joint affirmative vote of both the Iranian and the Omani delegation; neither delegation’s vote alone binds the Authority.</w:t>
      </w:r>
    </w:p>
    <w:p>
      <w:pPr>
        <w:pStyle w:val="BodyText"/>
      </w:pPr>
      <w:r>
        <w:t xml:space="preserve">50.2 Where the Steering Council reaches deadlock on a proposed action, the default outcome is the status quo: the last certified, operating configuration of the relevant corridor, protocol, or system continues unchanged until the deadlock resolves, rather than any action proceeding on a majority or casting-vote basis.</w:t>
      </w:r>
    </w:p>
    <w:p>
      <w:pPr>
        <w:pStyle w:val="BodyText"/>
      </w:pPr>
      <w:r>
        <w:t xml:space="preserve">50.3 The Twin-Key Rule protects both Parties equally: neither Iran nor Oman can be outvoted into an outcome its delegation opposes, which is the structural guarantee that makes joint administration politically survivable for both capitals.</w:t>
      </w:r>
    </w:p>
    <w:bookmarkEnd w:id="84"/>
    <w:bookmarkStart w:id="85" w:name="X2a6ceb098d3bfdf3a3482e0e52cdde339b636bf"/>
    <w:p>
      <w:pPr>
        <w:pStyle w:val="Heading2"/>
      </w:pPr>
      <w:r>
        <w:t xml:space="preserve">Article 51: The Zero-Toll Rule and the Service Distinction</w:t>
      </w:r>
    </w:p>
    <w:p>
      <w:pPr>
        <w:pStyle w:val="FirstParagraph"/>
      </w:pPr>
      <w:r>
        <w:t xml:space="preserve">51.1 No Party, no Authority organ, and no entity operating under this Charter’s authority charges, collects, or accepts any payment conditioned on a vessel’s right to transit the Governance Area, at any time, in any corridor, under any circumstance. This rule is absolute and admits no exception; it is the Charter’s answer to the single sharpest dispute of the crisis, and it resolves that dispute by removing the toll from the architecture entirely rather than by negotiating its size.</w:t>
      </w:r>
    </w:p>
    <w:p>
      <w:pPr>
        <w:pStyle w:val="BodyText"/>
      </w:pPr>
      <w:r>
        <w:t xml:space="preserve">51.2 The Authority, and Iran and Oman individually in their coastal-state capacity, receive compensation exclusively through the reimbursement mechanism of Annex C, applying to specific, documented, auditable services actually rendered, consistent with the legal distinction of Article 3.3.</w:t>
      </w:r>
    </w:p>
    <w:p>
      <w:pPr>
        <w:pStyle w:val="BodyText"/>
      </w:pPr>
      <w:r>
        <w:t xml:space="preserve">51.3 The distinction between a toll on passage, which this Charter prohibits absolutely, and a reimbursement for service, which this Charter enables transparently, is not semantic. Annex C’s audit function, administered by the Swiss Depositary, exists specifically to keep the distinction real: an invoice with no corresponding documented service does not clear the audit and does not draw from the Fund.</w:t>
      </w:r>
    </w:p>
    <w:p>
      <w:pPr>
        <w:pStyle w:val="BodyText"/>
      </w:pPr>
      <w:r>
        <w:t xml:space="preserve">51.4 The insurance requirement Iran’s Persian Gulf Strait Authority introduced in June 2026 transitions, on the Charter’s entry into force, into the Route Assurance service described in Annex C.2: a voluntary, separately priced product an operator or its insurer may purchase for real-time safety certification, never a condition of transit itself, and never mandatory for any vessel electing to transit without it.</w:t>
      </w:r>
    </w:p>
    <w:bookmarkEnd w:id="85"/>
    <w:bookmarkStart w:id="86" w:name="article-52-the-calm-waters-fund"/>
    <w:p>
      <w:pPr>
        <w:pStyle w:val="Heading2"/>
      </w:pPr>
      <w:r>
        <w:t xml:space="preserve">Article 52: The Calm Waters Fund</w:t>
      </w:r>
    </w:p>
    <w:p>
      <w:pPr>
        <w:pStyle w:val="FirstParagraph"/>
      </w:pPr>
      <w:r>
        <w:t xml:space="preserve">52.1 The Calm Waters Fund is a trust fund administered under International Maritime Organization auspices, with the Swiss Confederation serving as independent auditor, built on the precedent of the Cooperative Mechanism operating in the Strait of Malacca and Singapore since 2007.</w:t>
      </w:r>
    </w:p>
    <w:p>
      <w:pPr>
        <w:pStyle w:val="BodyText"/>
      </w:pPr>
      <w:r>
        <w:t xml:space="preserve">52.2 The Fund receives contributions from three sources, none of which constitutes a per-transit toll: voluntary contributions from shipping companies and industry associations, calibrated as membership-style participation rather than per-vessel charges; voluntary Route Assurance purchases under Article 51.4; and, where a flag state elects to participate structurally, a standing annual contribution rather than a per-transit charge.</w:t>
      </w:r>
    </w:p>
    <w:p>
      <w:pPr>
        <w:pStyle w:val="BodyText"/>
      </w:pPr>
      <w:r>
        <w:t xml:space="preserve">52.3 Iran and Oman submit quarterly invoices to the Fund for documented services, including pilotage, traffic monitoring, environmental protection, search-and-rescue readiness, and the Authority’s Technical Directorate operating costs, each invoice independently audited before reimbursement.</w:t>
      </w:r>
    </w:p>
    <w:p>
      <w:pPr>
        <w:pStyle w:val="BodyText"/>
      </w:pPr>
      <w:r>
        <w:t xml:space="preserve">52.4 Annex C.2 sets out the Fund’s initial rate card, reviewed and adjusted every six months by the Authority’s Steering Council under the Twin-Key Rule, informed by the actual cost data the Fee and Reimbursement Simulation of Article 34 first modeled.</w:t>
      </w:r>
    </w:p>
    <w:p>
      <w:pPr>
        <w:pStyle w:val="BodyText"/>
      </w:pPr>
      <w:r>
        <w:t xml:space="preserve">52.5 The Fund’s structure directly answers the scale of the dispute: Iranian officials have estimated a toll regime could generate on the order of forty billion dollars annually, a figure that made the toll question existential for Tehran’s negotiating position. The reimbursement model does not promise that figure, because it is not a toll; it promises a transparent, audited, growing revenue stream tied to real services, verifiable by every Party and by the shipping industry that ultimately funds it, which is a more durable proposition than a toll regime that international law does not recognize and that the United States has stated plainly it will not accept in any form.</w:t>
      </w:r>
    </w:p>
    <w:bookmarkEnd w:id="86"/>
    <w:bookmarkStart w:id="87" w:name="X86f6572eb3d4295e8fbb1bdaf76dd9dd5f52f3f"/>
    <w:p>
      <w:pPr>
        <w:pStyle w:val="Heading2"/>
      </w:pPr>
      <w:r>
        <w:t xml:space="preserve">Article 53: The Sanctions-Compliance Firewall and Anti-Circumvention</w:t>
      </w:r>
    </w:p>
    <w:p>
      <w:pPr>
        <w:pStyle w:val="FirstParagraph"/>
      </w:pPr>
      <w:r>
        <w:t xml:space="preserve">53.1 The Authority’s structure under Article 49, the Notification Protocol’s non-permission character under Article 44, and the Fund’s reimbursement character under Article 51 together constitute the Sanctions-Compliance Firewall: the legal and structural basis on which United States persons and entities interact with the Authority and the Fund without breaching the sanctions framework applicable to Iranian state entities.</w:t>
      </w:r>
    </w:p>
    <w:p>
      <w:pPr>
        <w:pStyle w:val="BodyText"/>
      </w:pPr>
      <w:r>
        <w:t xml:space="preserve">53.2 No payment under this Charter flows directly from any shipper to Iran; every payment flows through the audited Fund, structured as reimbursement for documented service rather than as consideration for passage or permission, consistent with Article 51.3.</w:t>
      </w:r>
    </w:p>
    <w:p>
      <w:pPr>
        <w:pStyle w:val="BodyText"/>
      </w:pPr>
      <w:r>
        <w:t xml:space="preserve">53.3 The Firewall’s anti-circumvention rule excludes any arrangement, however labeled, that functions as a disguised per-transit charge, a disguised permission fee, or a disguised payment to a sanctioned entity outside the Fund’s audited structure; the Authority’s Steering Council reviews any novel payment arrangement proposed under Annex C against this rule before authorizing it.</w:t>
      </w:r>
    </w:p>
    <w:p>
      <w:pPr>
        <w:pStyle w:val="BodyText"/>
      </w:pPr>
      <w:r>
        <w:t xml:space="preserve">53.4 The Firewall does not itself lift any sanction; sanctions relief proceeds exclusively through the synchronized track of Article 58, on the schedule that Article sets out, independent of the Firewall’s ongoing compliance function.</w:t>
      </w:r>
    </w:p>
    <w:bookmarkEnd w:id="87"/>
    <w:bookmarkStart w:id="88" w:name="article-54-the-pgsa-transition"/>
    <w:p>
      <w:pPr>
        <w:pStyle w:val="Heading2"/>
      </w:pPr>
      <w:r>
        <w:t xml:space="preserve">Article 54: The PGSA Transition</w:t>
      </w:r>
    </w:p>
    <w:p>
      <w:pPr>
        <w:pStyle w:val="FirstParagraph"/>
      </w:pPr>
      <w:r>
        <w:t xml:space="preserve">54.1 The Charter transforms the Persian Gulf Strait Authority, established by Iran’s Supreme National Security Council in June 2026, into the Iranian delegation’s technical component within the Hormuz Calm Waters Authority’s Technical Directorate under Article 49.3, rather than abolishing it.</w:t>
      </w:r>
    </w:p>
    <w:p>
      <w:pPr>
        <w:pStyle w:val="BodyText"/>
      </w:pPr>
      <w:r>
        <w:t xml:space="preserve">54.2 The transformation is functional, not merely nominal: the Authority’s Iranian technical staff continue performing navigational data, hazard bulletin, and traffic-coordination functions, now under the Authority’s joint, civilian, internationally observed structure, and no longer under a unilateral Iranian permitting structure.</w:t>
      </w:r>
    </w:p>
    <w:p>
      <w:pPr>
        <w:pStyle w:val="BodyText"/>
      </w:pPr>
      <w:r>
        <w:t xml:space="preserve">54.3 The transformation gives Iran what its establishment of the original Authority sought: international recognition of a formal Iranian administrative role in the Strait, now durable and treaty-based rather than unilateral and contested.</w:t>
      </w:r>
    </w:p>
    <w:p>
      <w:pPr>
        <w:pStyle w:val="BodyText"/>
      </w:pPr>
      <w:r>
        <w:t xml:space="preserve">54.4 The transformation gives the United States what its objection to the original Authority sought: a body functionally and structurally separated from the Islamic Revolutionary Guard Corps, operating under international technical observation, whose permit-issuing function under the original Authority’s charter no longer exists, replaced entirely by the non-permission Notification Protocol of Article 44.</w:t>
      </w:r>
    </w:p>
    <w:p>
      <w:pPr>
        <w:pStyle w:val="BodyText"/>
      </w:pPr>
      <w:r>
        <w:t xml:space="preserve">54.5 Both outcomes in 54.3 and 54.4 are simultaneously true because the underlying legal problem was never the existence of an Iranian coastal-state administrative function; it was the specific combination of unilateral control, permit-issuing power, and Revolutionary Guard linkage. This Article removes that combination while preserving the function both Parties actually need.</w:t>
      </w:r>
    </w:p>
    <w:bookmarkEnd w:id="88"/>
    <w:bookmarkStart w:id="89" w:name="X16742265730c2b57c69fde02eda945c9d21228d"/>
    <w:p>
      <w:pPr>
        <w:pStyle w:val="Heading2"/>
      </w:pPr>
      <w:r>
        <w:t xml:space="preserve">Article 55: Verification: The Human Anchor and the Convergence Standard</w:t>
      </w:r>
    </w:p>
    <w:p>
      <w:pPr>
        <w:pStyle w:val="FirstParagraph"/>
      </w:pPr>
      <w:r>
        <w:t xml:space="preserve">55.1 Verification of this Charter’s operation rests on two complementary mechanisms: the Human Anchor, meaning the physical, continuous, co-located presence of Iranian and Omani personnel on both watch floors of the Joint Coordination Desk under Article 29.3, and the Convergence Standard, meaning that any technical data feed, whether AIS, radar, or weather, is cross-checked against the other Party’s independent feed before being published in the Open Water Bulletin.</w:t>
      </w:r>
    </w:p>
    <w:p>
      <w:pPr>
        <w:pStyle w:val="BodyText"/>
      </w:pPr>
      <w:r>
        <w:t xml:space="preserve">55.2 The Human Anchor exists because a data feed alone can be spoofed, degraded, or disputed; a person from each Party, physically present and personally accountable, watching the same screen, is a verification layer no single-sourced technical system replaces.</w:t>
      </w:r>
    </w:p>
    <w:p>
      <w:pPr>
        <w:pStyle w:val="BodyText"/>
      </w:pPr>
      <w:r>
        <w:t xml:space="preserve">55.3 Any discrepancy the Convergence Standard identifies between the two Parties’ independent feeds triggers immediate joint review by the watch floor personnel before either feed’s data enters the public Bulletin, rather than either Party’s data being published unilaterally.</w:t>
      </w:r>
    </w:p>
    <w:bookmarkEnd w:id="89"/>
    <w:bookmarkStart w:id="90" w:name="article-56-the-compliance-engine"/>
    <w:p>
      <w:pPr>
        <w:pStyle w:val="Heading2"/>
      </w:pPr>
      <w:r>
        <w:t xml:space="preserve">Article 56: The Compliance Engine</w:t>
      </w:r>
    </w:p>
    <w:p>
      <w:pPr>
        <w:pStyle w:val="FirstParagraph"/>
      </w:pPr>
      <w:r>
        <w:t xml:space="preserve">56.1 A violation of the Absolute Non-Interdiction Protocol, the Mine Exclusion, or the Zero-Toll Rule triggers, automatically and without a separate enforcement decision, the specific consequence recorded against that violation type in the Consequence Schedule of Annex E.4.</w:t>
      </w:r>
    </w:p>
    <w:p>
      <w:pPr>
        <w:pStyle w:val="BodyText"/>
      </w:pPr>
      <w:r>
        <w:t xml:space="preserve">56.2 The Compliance Engine’s consequences operate on a graduated scale: a first-tier response is diplomatic, consisting of an automatic Steering Council review convened within twenty-four hours; a second-tier response, triggered by a repeated or severe violation, is operational, consisting of an automatic Amber Flow State for the affected cell pending review; the framework architecture of this Charter excludes any third-tier kinetic or military response as an automatic consequence under this Engine, reserving any such response entirely to each Party’s own sovereign decision-making outside this instrument.</w:t>
      </w:r>
    </w:p>
    <w:p>
      <w:pPr>
        <w:pStyle w:val="BodyText"/>
      </w:pPr>
      <w:r>
        <w:t xml:space="preserve">56.3 The Compliance Engine applies symmetrically to both Parties and, with respect to the naval blockade and sanctions provisions, to the Endorsing Guarantor Party, with the Steering Council’s review function extended to include the Guarantor Party’s representative when a Guarantor Party obligation under Article 58 is at issue.</w:t>
      </w:r>
    </w:p>
    <w:bookmarkEnd w:id="90"/>
    <w:bookmarkStart w:id="91" w:name="Xf50583a737d947c11ca3fdf708e8f4d44a917ea"/>
    <w:p>
      <w:pPr>
        <w:pStyle w:val="Heading2"/>
      </w:pPr>
      <w:r>
        <w:t xml:space="preserve">Article 57: Spoiler and Shock Hardening: The Stillwater Watch</w:t>
      </w:r>
    </w:p>
    <w:p>
      <w:pPr>
        <w:pStyle w:val="FirstParagraph"/>
      </w:pPr>
      <w:r>
        <w:t xml:space="preserve">57.1 The Stillwater Watch is this Charter’s standing contingency function against disruption by an actor outside this instrument, including but not limited to attacks attributed to non-state actors operating in the wider region, which the crisis since February 2026 has demonstrated is a real and recurring risk to any Governance Area arrangement.</w:t>
      </w:r>
    </w:p>
    <w:p>
      <w:pPr>
        <w:pStyle w:val="BodyText"/>
      </w:pPr>
      <w:r>
        <w:t xml:space="preserve">57.2 An attack attributable to a party outside this Charter does not automatically suspend any layer of this Pact or trigger the Compliance Engine against either Iran or Oman; the Calm Waters Cell or the Authority, as applicable, convenes within two hours of any such attack to assess whether a temporary, cell-specific Red Flow State under Article 45 is warranted, without treating the attack as either Party’s breach.</w:t>
      </w:r>
    </w:p>
    <w:p>
      <w:pPr>
        <w:pStyle w:val="BodyText"/>
      </w:pPr>
      <w:r>
        <w:t xml:space="preserve">57.3 The Stillwater Watch commits both Parties to sharing, on the Common Channel, any threat information each independently receives regarding a planned attack by an outside actor against a vessel in or approaching the Governance Area, on a best-effort, non-attributed basis that leaves the source of either Party’s intelligence undisclosed.</w:t>
      </w:r>
    </w:p>
    <w:bookmarkEnd w:id="91"/>
    <w:bookmarkStart w:id="92" w:name="Xdd82b6ba5a2cb5048e7722514326525588ef3dd"/>
    <w:p>
      <w:pPr>
        <w:pStyle w:val="Heading2"/>
      </w:pPr>
      <w:r>
        <w:t xml:space="preserve">Article 58: Synchronized Relief and the Regional Interface</w:t>
      </w:r>
    </w:p>
    <w:p>
      <w:pPr>
        <w:pStyle w:val="FirstParagraph"/>
      </w:pPr>
      <w:r>
        <w:t xml:space="preserve">58.1 This Article opens a synchronized track, running on the same clock as this Pact’s layers, addressing the naval blockade, sanctions posture, frozen assets, and compensation questions that Article 6 excludes from this instrument’s direct scope, in recognition that the Strait’s reopening and these broader questions are politically linked even though they are legally and instrumentally separate.</w:t>
      </w:r>
    </w:p>
    <w:p>
      <w:pPr>
        <w:pStyle w:val="BodyText"/>
      </w:pPr>
      <w:r>
        <w:t xml:space="preserve">58.2 The naval blockade drawdown proceeds in three tranches, each tranche synchronized to a specific Gate certification under this Pact: the first tranche, a reduction in United States naval interdiction posture around Iranian commercial ports not directly tied to military cargo, executes inside the Synchronized Indivisible Event of Article 39; the second tranche executes upon the Stability Audit’s certification under Article 41; the third and final tranche executes upon the Final Charter’s entry into force under Article 61.</w:t>
      </w:r>
    </w:p>
    <w:p>
      <w:pPr>
        <w:pStyle w:val="BodyText"/>
      </w:pPr>
      <w:r>
        <w:t xml:space="preserve">58.3 Sanctions relief proceeds on the same three-tranche structure, beginning with maritime-sector and humanitarian-trade-specific relief directly tied to the Authority’s and the Fund’s operation, expanding at the second tranche to cover the Calm Waters Fund’s own financial channel explicitly, and reaching its full scope, as separately negotiated, upon Charter entry into force.</w:t>
      </w:r>
    </w:p>
    <w:p>
      <w:pPr>
        <w:pStyle w:val="BodyText"/>
      </w:pPr>
      <w:r>
        <w:t xml:space="preserve">58.4 Frozen-asset access follows a parallel, capped-tranche structure: a first tranche, sized to cover documented humanitarian and shipping-sector needs, releases at the Synchronized Indivisible Event; further tranches release on the same synchronized schedule as sanctions relief, under a formula negotiated between Iran and the United States outside this instrument but calendared against this Pact’s Gates.</w:t>
      </w:r>
    </w:p>
    <w:p>
      <w:pPr>
        <w:pStyle w:val="BodyText"/>
      </w:pPr>
      <w:r>
        <w:t xml:space="preserve">58.5 Compensation claims, raised by Iran for war damage and by the United States for casualties and damage it attributes to Iranian-linked action, route to a Hormuz Claims Commission, seated at The Hague and modeled directly on the Iran-United States Claims Tribunal established under the 1981 Algiers Accords, a real and durable precedent for resolving exactly this category of mutual claim between these two states outside any single bilateral negotiation. The Commission’s jurisdiction, composition, and procedure are set out in full in Annex G, and its findings do not bind or delay the Strait’s reopening under this Pact.</w:t>
      </w:r>
    </w:p>
    <w:p>
      <w:pPr>
        <w:pStyle w:val="BodyText"/>
      </w:pPr>
      <w:r>
        <w:t xml:space="preserve">58.6 The Regional Interface names the mechanism by which the Cooperation Council for the Arab States of the Gulf and its individual member states receive standing consultation rights, exercised through the accession and observer provisions of Article 59, regarding any element of the Synchronized Relief track that affects regional shipping or security posture.</w:t>
      </w:r>
    </w:p>
    <w:p>
      <w:pPr>
        <w:pStyle w:val="BodyText"/>
      </w:pPr>
      <w:r>
        <w:t xml:space="preserve">58.7 This Article’s separation of the Strait’s reopening from the broader relief and claims questions is the structural core of this Pact’s realism: the Strait reopens on this Pact’s own near-term clock, in full, regardless of whether the parallel track in this Article ever reaches a final, comprehensive settlement, because conditioning the Strait’s safety on the resolution of a decades-deep grievance would guarantee that neither ever happens.</w:t>
      </w:r>
    </w:p>
    <w:bookmarkEnd w:id="92"/>
    <w:bookmarkStart w:id="93" w:name="Xb38474a6cdf3392d3c941ca40b2553652b04f18"/>
    <w:p>
      <w:pPr>
        <w:pStyle w:val="Heading2"/>
      </w:pPr>
      <w:r>
        <w:t xml:space="preserve">Article 59: Accession, Observer Status, and Endorsing Stakeholders</w:t>
      </w:r>
    </w:p>
    <w:p>
      <w:pPr>
        <w:pStyle w:val="FirstParagraph"/>
      </w:pPr>
      <w:r>
        <w:t xml:space="preserve">59.1 The United Arab Emirates, the State of Qatar, the Kingdom of Bahrain, the State of Kuwait, the Kingdom of Saudi Arabia, and the Republic of Iraq each hold a standing invitation to accede to Observer Status under this Charter, granting a non-voting seat on the Authority’s Steering Council and standing consultation rights under the Regional Interface of Article 58.6.</w:t>
      </w:r>
    </w:p>
    <w:p>
      <w:pPr>
        <w:pStyle w:val="BodyText"/>
      </w:pPr>
      <w:r>
        <w:t xml:space="preserve">59.2 An acceding state’s Observer Status stands independently of that state’s endorsement of any other Party’s position on any subject Article 6 excludes from this Pact’s scope; accession covers strictly the maritime-governance subject matter of this Charter and nothing beyond it.</w:t>
      </w:r>
    </w:p>
    <w:p>
      <w:pPr>
        <w:pStyle w:val="BodyText"/>
      </w:pPr>
      <w:r>
        <w:t xml:space="preserve">59.3 The Cooperation Council for the Arab States of the Gulf holds standing Institutional Observer status, distinct from and additional to its individual member states’ Observer Status under 59.1, reflecting its collective interest in Gulf shipping security.</w:t>
      </w:r>
    </w:p>
    <w:p>
      <w:pPr>
        <w:pStyle w:val="BodyText"/>
      </w:pPr>
      <w:r>
        <w:t xml:space="preserve">59.4 The International Maritime Organization’s Technical Observer status under Article 2.5 continues without change upon the Charter’s entry into force, and the Organization’s certification function under Article 41.1 continues as a standing feature of the Authority’s operations.</w:t>
      </w:r>
    </w:p>
    <w:bookmarkEnd w:id="93"/>
    <w:bookmarkStart w:id="94" w:name="article-60-dispute-resolution"/>
    <w:p>
      <w:pPr>
        <w:pStyle w:val="Heading2"/>
      </w:pPr>
      <w:r>
        <w:t xml:space="preserve">Article 60: Dispute Resolution</w:t>
      </w:r>
    </w:p>
    <w:p>
      <w:pPr>
        <w:pStyle w:val="FirstParagraph"/>
      </w:pPr>
      <w:r>
        <w:t xml:space="preserve">60.1 A dispute concerning the interpretation or operation of this Charter proceeds first to the Authority’s Steering Council under the Twin-Key Rule of Article 50; a dispute the Council cannot resolve within fourteen days escalates to a three-member Technical Panel, one member appointed by each Party and one jointly agreed neutral chair, drawn from a standing roster the Swiss Depositary maintains.</w:t>
      </w:r>
    </w:p>
    <w:p>
      <w:pPr>
        <w:pStyle w:val="BodyText"/>
      </w:pPr>
      <w:r>
        <w:t xml:space="preserve">60.2 The Technical Panel’s jurisdiction is strictly limited to this Charter’s maritime-governance subject matter; consistent with Article 6.2, the Panel declines jurisdiction over any argument premised on a subject this Pact excludes from scope.</w:t>
      </w:r>
    </w:p>
    <w:p>
      <w:pPr>
        <w:pStyle w:val="BodyText"/>
      </w:pPr>
      <w:r>
        <w:t xml:space="preserve">60.3 The Technical Panel’s findings are advisory rather than binding on either Party’s ultimate sovereign decision, but a Party’s persistent disregard of a Panel finding is itself a factor the Steering Council weighs in any subsequent Gate or Review under Articles 30 and 41.</w:t>
      </w:r>
    </w:p>
    <w:p>
      <w:pPr>
        <w:pStyle w:val="BodyText"/>
      </w:pPr>
      <w:r>
        <w:t xml:space="preserve">60.4 Nothing in this Article displaces either Party’s access to any other international dispute-resolution forum for a matter outside this Charter’s scope, including the Hormuz Claims Commission under Article 58.5.</w:t>
      </w:r>
    </w:p>
    <w:bookmarkEnd w:id="94"/>
    <w:bookmarkStart w:id="95" w:name="Xa4a234ed47f7a68094a8cd677dbcebc231a89ff"/>
    <w:p>
      <w:pPr>
        <w:pStyle w:val="Heading2"/>
      </w:pPr>
      <w:r>
        <w:t xml:space="preserve">Article 61: Continuity, Dormancy, Amendment, Withdrawal, and Entry into Force</w:t>
      </w:r>
    </w:p>
    <w:p>
      <w:pPr>
        <w:pStyle w:val="FirstParagraph"/>
      </w:pPr>
      <w:r>
        <w:t xml:space="preserve">61.1 This Charter enters into force upon signature by the Islamic Republic of Iran and the Sultanate of Oman as Founding Parties and endorsement by the United States of America as Endorsing Guarantor Party, following certification of the Stability Audit under Article 41.</w:t>
      </w:r>
    </w:p>
    <w:p>
      <w:pPr>
        <w:pStyle w:val="BodyText"/>
      </w:pPr>
      <w:r>
        <w:t xml:space="preserve">61.2 Any Party may invoke dormancy for a specific element of this Charter, following the same element-by-element procedure set out in Article 7.2 for the layers below the Charter, without dormancy of one element suspending any other element.</w:t>
      </w:r>
    </w:p>
    <w:p>
      <w:pPr>
        <w:pStyle w:val="BodyText"/>
      </w:pPr>
      <w:r>
        <w:t xml:space="preserve">61.3 Amendment of this Charter proceeds by the joint written proposal of both Founding Parties, subject to the Perimeter Test of Article 10.2, and takes effect upon Joint Notification to the Swiss Depositary of both Parties’ adoption.</w:t>
      </w:r>
    </w:p>
    <w:p>
      <w:pPr>
        <w:pStyle w:val="BodyText"/>
      </w:pPr>
      <w:r>
        <w:t xml:space="preserve">61.4 A Founding Party electing to withdraw from this Charter provides ninety days’ written notice to the Swiss Depositary and to the other Founding Party; withdrawal does not automatically terminate the layers below the Charter, which continue under their own Article 7 continuity guarantee unless separately and specifically withdrawn.</w:t>
      </w:r>
    </w:p>
    <w:p>
      <w:pPr>
        <w:pStyle w:val="BodyText"/>
      </w:pPr>
      <w:r>
        <w:t xml:space="preserve">61.5 This Charter carries no fixed expiry date; it continues in force under the Standing Continuity Guarantee of Article 7 until superseded by mutual agreement or terminated under the withdrawal procedure of 61.4.</w:t>
      </w:r>
    </w:p>
    <w:p>
      <w:r>
        <w:pict>
          <v:rect style="width:0;height:1.5pt" o:hralign="center" o:hrstd="t" o:hr="t"/>
        </w:pict>
      </w:r>
    </w:p>
    <w:p>
      <w:r>
        <w:br w:type="page"/>
      </w:r>
    </w:p>
    <w:bookmarkEnd w:id="95"/>
    <w:bookmarkEnd w:id="96"/>
    <w:bookmarkStart w:id="97" w:name="signature-and-endorsement"/>
    <w:p>
      <w:pPr>
        <w:pStyle w:val="Heading1"/>
      </w:pPr>
      <w:r>
        <w:t xml:space="preserve">SIGNATURE AND ENDORSEMENT</w:t>
      </w:r>
    </w:p>
    <w:p>
      <w:pPr>
        <w:pStyle w:val="FirstParagraph"/>
      </w:pPr>
      <w:r>
        <w:rPr>
          <w:iCs/>
          <w:i/>
        </w:rPr>
        <w:t xml:space="preserve">This section is presented in template form for negotiator use. This is a negotiating draft; no signature below is executed, and the names shown reflect current officeholders for reference only.</w:t>
      </w:r>
    </w:p>
    <w:p>
      <w:pPr>
        <w:pStyle w:val="BodyText"/>
      </w:pPr>
      <w:r>
        <w:rPr>
          <w:bCs/>
          <w:b/>
        </w:rPr>
        <w:t xml:space="preserve">For the Islamic Republic of Iran</w:t>
      </w:r>
      <w:r>
        <w:t xml:space="preserve">, as a Founding Party, binding Layer 6 of this Pact upon signature:</w:t>
      </w:r>
    </w:p>
    <w:p>
      <w:pPr>
        <w:pStyle w:val="BodyText"/>
      </w:pPr>
      <w:r>
        <w:t xml:space="preserve">Signature: _______________________ Name and title: _______________________ Date: _______________________</w:t>
      </w:r>
    </w:p>
    <w:p>
      <w:pPr>
        <w:pStyle w:val="BodyText"/>
      </w:pPr>
      <w:r>
        <w:rPr>
          <w:bCs/>
          <w:b/>
        </w:rPr>
        <w:t xml:space="preserve">For the Sultanate of Oman</w:t>
      </w:r>
      <w:r>
        <w:t xml:space="preserve">, as a Founding Party, binding Layer 6 of this Pact upon signature:</w:t>
      </w:r>
    </w:p>
    <w:p>
      <w:pPr>
        <w:pStyle w:val="BodyText"/>
      </w:pPr>
      <w:r>
        <w:t xml:space="preserve">Signature: _______________________ Name and title: _______________________ Date: _______________________</w:t>
      </w:r>
    </w:p>
    <w:p>
      <w:pPr>
        <w:pStyle w:val="BodyText"/>
      </w:pPr>
      <w:r>
        <w:rPr>
          <w:bCs/>
          <w:b/>
        </w:rPr>
        <w:t xml:space="preserve">For the United States of America</w:t>
      </w:r>
      <w:r>
        <w:t xml:space="preserve">, as Endorsing Guarantor Party, binding Articles 46, 51, 53, and 58 upon endorsement:</w:t>
      </w:r>
    </w:p>
    <w:p>
      <w:pPr>
        <w:pStyle w:val="BodyText"/>
      </w:pPr>
      <w:r>
        <w:t xml:space="preserve">Signature: _______________________ Name and title: _______________________ Date: _______________________</w:t>
      </w:r>
    </w:p>
    <w:p>
      <w:pPr>
        <w:pStyle w:val="BodyText"/>
      </w:pPr>
      <w:r>
        <w:rPr>
          <w:bCs/>
          <w:b/>
        </w:rPr>
        <w:t xml:space="preserve">Witnessed and facilitated by:</w:t>
      </w:r>
    </w:p>
    <w:p>
      <w:pPr>
        <w:pStyle w:val="BodyText"/>
      </w:pPr>
      <w:r>
        <w:t xml:space="preserve">The Sultanate of Oman, Mediator of Record: _______________________</w:t>
      </w:r>
    </w:p>
    <w:p>
      <w:pPr>
        <w:pStyle w:val="BodyText"/>
      </w:pPr>
      <w:r>
        <w:t xml:space="preserve">The Swiss Confederation, Neutral Administrator and Depositary: _______________________</w:t>
      </w:r>
    </w:p>
    <w:p>
      <w:pPr>
        <w:pStyle w:val="BodyText"/>
      </w:pPr>
      <w:r>
        <w:t xml:space="preserve">The Islamic Republic of Pakistan, Facilitator: _______________________</w:t>
      </w:r>
    </w:p>
    <w:p>
      <w:pPr>
        <w:pStyle w:val="BodyText"/>
      </w:pPr>
      <w:r>
        <w:t xml:space="preserve">The State of Qatar, Facilitator: _______________________</w:t>
      </w:r>
    </w:p>
    <w:p>
      <w:pPr>
        <w:pStyle w:val="BodyText"/>
      </w:pPr>
      <w:r>
        <w:rPr>
          <w:bCs/>
          <w:b/>
        </w:rPr>
        <w:t xml:space="preserve">Technical Observer:</w:t>
      </w:r>
      <w:r>
        <w:t xml:space="preserve"> </w:t>
      </w:r>
      <w:r>
        <w:t xml:space="preserve">The International Maritime Organization: _______________________</w:t>
      </w:r>
    </w:p>
    <w:p>
      <w:pPr>
        <w:pStyle w:val="BodyText"/>
      </w:pPr>
      <w:r>
        <w:t xml:space="preserve">Done in Muscat and Geneva, in the English, Arabic, and Persian languages, each text equally authentic, the Swiss Confederation retaining the original for deposit.</w:t>
      </w:r>
    </w:p>
    <w:p>
      <w:r>
        <w:pict>
          <v:rect style="width:0;height:1.5pt" o:hralign="center" o:hrstd="t" o:hr="t"/>
        </w:pict>
      </w:r>
    </w:p>
    <w:p>
      <w:r>
        <w:br w:type="page"/>
      </w:r>
    </w:p>
    <w:bookmarkEnd w:id="97"/>
    <w:bookmarkStart w:id="134" w:name="annexes"/>
    <w:p>
      <w:pPr>
        <w:pStyle w:val="Heading1"/>
      </w:pPr>
      <w:r>
        <w:t xml:space="preserve">ANNEXES</w:t>
      </w:r>
    </w:p>
    <w:bookmarkStart w:id="104" w:name="Xfb4b137ccbd77f162f9a6b4fa46152189d750a8"/>
    <w:p>
      <w:pPr>
        <w:pStyle w:val="Heading2"/>
      </w:pPr>
      <w:r>
        <w:t xml:space="preserve">Annex A: Corridor Geometry and Coordinates</w:t>
      </w:r>
    </w:p>
    <w:p>
      <w:pPr>
        <w:pStyle w:val="FirstParagraph"/>
      </w:pPr>
      <w:r>
        <w:rPr>
          <w:iCs/>
          <w:i/>
        </w:rPr>
        <w:t xml:space="preserve">Note on method: the reference points below are real, charted geographic features of the Strait of Hormuz. The corridor boxes built from them are this Pact’s own proposed working geometry, drafted for negotiator use and consistent with the historical 1968 Traffic Separation Scheme and the routes reported in the Iran-Oman technical talks of July and August 2026. Final promulgation of exact corridor boundaries requires each coastal state’s Notice to Mariners and confirmation by the International Maritime Organization under Article 3.2, a step the Authority initiates upon Charter entry into force.</w:t>
      </w:r>
    </w:p>
    <w:bookmarkStart w:id="98" w:name="a.1-the-governance-area"/>
    <w:p>
      <w:pPr>
        <w:pStyle w:val="Heading3"/>
      </w:pPr>
      <w:r>
        <w:t xml:space="preserve">A.1 The Governance Area</w:t>
      </w:r>
    </w:p>
    <w:p>
      <w:pPr>
        <w:pStyle w:val="FirstParagraph"/>
      </w:pPr>
      <w:r>
        <w:t xml:space="preserve">The Governance Area is bounded by the following reference box, encompassing the Strait of Hormuz and its immediate approaches: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Corner</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Northwest</w:t>
            </w:r>
          </w:p>
        </w:tc>
        <w:tc>
          <w:tcPr/>
          <w:p>
            <w:pPr>
              <w:pStyle w:val="Compact"/>
              <w:jc w:val="left"/>
            </w:pPr>
            <w:r>
              <w:t xml:space="preserve">27°10’ N</w:t>
            </w:r>
          </w:p>
        </w:tc>
        <w:tc>
          <w:tcPr/>
          <w:p>
            <w:pPr>
              <w:pStyle w:val="Compact"/>
              <w:jc w:val="left"/>
            </w:pPr>
            <w:r>
              <w:t xml:space="preserve">55°45’ E</w:t>
            </w:r>
          </w:p>
        </w:tc>
        <w:tc>
          <w:tcPr/>
          <w:p>
            <w:pPr>
              <w:pStyle w:val="Compact"/>
              <w:jc w:val="left"/>
            </w:pPr>
            <w:r>
              <w:t xml:space="preserve">Persian Gulf approach, off Bandar Abbas</w:t>
            </w:r>
          </w:p>
        </w:tc>
      </w:tr>
      <w:tr>
        <w:tc>
          <w:tcPr/>
          <w:p>
            <w:pPr>
              <w:pStyle w:val="Compact"/>
              <w:jc w:val="left"/>
            </w:pPr>
            <w:r>
              <w:t xml:space="preserve">Northeast</w:t>
            </w:r>
          </w:p>
        </w:tc>
        <w:tc>
          <w:tcPr/>
          <w:p>
            <w:pPr>
              <w:pStyle w:val="Compact"/>
              <w:jc w:val="left"/>
            </w:pPr>
            <w:r>
              <w:t xml:space="preserve">27°10’ N</w:t>
            </w:r>
          </w:p>
        </w:tc>
        <w:tc>
          <w:tcPr/>
          <w:p>
            <w:pPr>
              <w:pStyle w:val="Compact"/>
              <w:jc w:val="left"/>
            </w:pPr>
            <w:r>
              <w:t xml:space="preserve">57°00’ E</w:t>
            </w:r>
          </w:p>
        </w:tc>
        <w:tc>
          <w:tcPr/>
          <w:p>
            <w:pPr>
              <w:pStyle w:val="Compact"/>
              <w:jc w:val="left"/>
            </w:pPr>
            <w:r>
              <w:t xml:space="preserve">Gulf of Oman approach, Iranian side</w:t>
            </w:r>
          </w:p>
        </w:tc>
      </w:tr>
      <w:tr>
        <w:tc>
          <w:tcPr/>
          <w:p>
            <w:pPr>
              <w:pStyle w:val="Compact"/>
              <w:jc w:val="left"/>
            </w:pPr>
            <w:r>
              <w:t xml:space="preserve">Southeast</w:t>
            </w:r>
          </w:p>
        </w:tc>
        <w:tc>
          <w:tcPr/>
          <w:p>
            <w:pPr>
              <w:pStyle w:val="Compact"/>
              <w:jc w:val="left"/>
            </w:pPr>
            <w:r>
              <w:t xml:space="preserve">25°30’ N</w:t>
            </w:r>
          </w:p>
        </w:tc>
        <w:tc>
          <w:tcPr/>
          <w:p>
            <w:pPr>
              <w:pStyle w:val="Compact"/>
              <w:jc w:val="left"/>
            </w:pPr>
            <w:r>
              <w:t xml:space="preserve">57°00’ E</w:t>
            </w:r>
          </w:p>
        </w:tc>
        <w:tc>
          <w:tcPr/>
          <w:p>
            <w:pPr>
              <w:pStyle w:val="Compact"/>
              <w:jc w:val="left"/>
            </w:pPr>
            <w:r>
              <w:t xml:space="preserve">Gulf of Oman approach, off Fujairah / Musandam</w:t>
            </w:r>
          </w:p>
        </w:tc>
      </w:tr>
      <w:tr>
        <w:tc>
          <w:tcPr/>
          <w:p>
            <w:pPr>
              <w:pStyle w:val="Compact"/>
              <w:jc w:val="left"/>
            </w:pPr>
            <w:r>
              <w:t xml:space="preserve">Southwest</w:t>
            </w:r>
          </w:p>
        </w:tc>
        <w:tc>
          <w:tcPr/>
          <w:p>
            <w:pPr>
              <w:pStyle w:val="Compact"/>
              <w:jc w:val="left"/>
            </w:pPr>
            <w:r>
              <w:t xml:space="preserve">25°30’ N</w:t>
            </w:r>
          </w:p>
        </w:tc>
        <w:tc>
          <w:tcPr/>
          <w:p>
            <w:pPr>
              <w:pStyle w:val="Compact"/>
              <w:jc w:val="left"/>
            </w:pPr>
            <w:r>
              <w:t xml:space="preserve">55°45’ E</w:t>
            </w:r>
          </w:p>
        </w:tc>
        <w:tc>
          <w:tcPr/>
          <w:p>
            <w:pPr>
              <w:pStyle w:val="Compact"/>
              <w:jc w:val="left"/>
            </w:pPr>
            <w:r>
              <w:t xml:space="preserve">Persian Gulf approach, off Ras al-Khaimah</w:t>
            </w:r>
          </w:p>
        </w:tc>
      </w:tr>
    </w:tbl>
    <w:p>
      <w:pPr>
        <w:pStyle w:val="BodyText"/>
      </w:pPr>
      <w:r>
        <w:t xml:space="preserve">Central reference point of the Strait itself: 26°36’ N, 56°30’ E, the long-standing charted center of the Strait of Hormuz.</w:t>
      </w:r>
    </w:p>
    <w:bookmarkEnd w:id="98"/>
    <w:bookmarkStart w:id="99" w:name="X30bc4f3a4a08c50b8ea4ea7c9150753b2c3172a"/>
    <w:p>
      <w:pPr>
        <w:pStyle w:val="Heading3"/>
      </w:pPr>
      <w:r>
        <w:t xml:space="preserve">A.2 Corridor One: Southern Assurance (toll-free, Omani-administered)</w:t>
      </w:r>
    </w:p>
    <w:p>
      <w:pPr>
        <w:pStyle w:val="FirstParagraph"/>
      </w:pPr>
      <w:r>
        <w:t xml:space="preserve">Corridor One follows the historical Traffic Separation Scheme lying within Omani territorial waters north of the Musandam Peninsula, using Great Quoin Island as its principal waypoint.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Note</w:t>
            </w:r>
          </w:p>
        </w:tc>
      </w:tr>
      <w:tr>
        <w:tc>
          <w:tcPr/>
          <w:p>
            <w:pPr>
              <w:pStyle w:val="Compact"/>
              <w:jc w:val="left"/>
            </w:pPr>
            <w:r>
              <w:t xml:space="preserve">Quoin Island reference</w:t>
            </w:r>
          </w:p>
        </w:tc>
        <w:tc>
          <w:tcPr/>
          <w:p>
            <w:pPr>
              <w:pStyle w:val="Compact"/>
              <w:jc w:val="left"/>
            </w:pPr>
            <w:r>
              <w:t xml:space="preserve">26°30’13” N</w:t>
            </w:r>
          </w:p>
        </w:tc>
        <w:tc>
          <w:tcPr/>
          <w:p>
            <w:pPr>
              <w:pStyle w:val="Compact"/>
              <w:jc w:val="left"/>
            </w:pPr>
            <w:r>
              <w:t xml:space="preserve">56°30’42” E</w:t>
            </w:r>
          </w:p>
        </w:tc>
        <w:tc>
          <w:tcPr/>
          <w:p>
            <w:pPr>
              <w:pStyle w:val="Compact"/>
              <w:jc w:val="left"/>
            </w:pPr>
            <w:r>
              <w:t xml:space="preserve">Traditional Gulf entry/exit waypoint (</w:t>
            </w:r>
            <w:r>
              <w:t xml:space="preserve">“</w:t>
            </w:r>
            <w:r>
              <w:t xml:space="preserve">Passed Quoin Inbound / Outbound</w:t>
            </w:r>
            <w:r>
              <w:t xml:space="preserve">”</w:t>
            </w:r>
            <w:r>
              <w:t xml:space="preserve">)</w:t>
            </w:r>
          </w:p>
        </w:tc>
      </w:tr>
      <w:tr>
        <w:tc>
          <w:tcPr/>
          <w:p>
            <w:pPr>
              <w:pStyle w:val="Compact"/>
              <w:jc w:val="left"/>
            </w:pPr>
            <w:r>
              <w:t xml:space="preserve">Corridor One, inbound lane centerline</w:t>
            </w:r>
          </w:p>
        </w:tc>
        <w:tc>
          <w:tcPr/>
          <w:p>
            <w:pPr>
              <w:pStyle w:val="Compact"/>
              <w:jc w:val="left"/>
            </w:pPr>
            <w:r>
              <w:t xml:space="preserve">26°33’ N</w:t>
            </w:r>
          </w:p>
        </w:tc>
        <w:tc>
          <w:tcPr/>
          <w:p>
            <w:pPr>
              <w:pStyle w:val="Compact"/>
              <w:jc w:val="left"/>
            </w:pPr>
            <w:r>
              <w:t xml:space="preserve">56°22’ E to 26°28’ N</w:t>
            </w:r>
          </w:p>
        </w:tc>
        <w:tc>
          <w:tcPr/>
          <w:p>
            <w:pPr>
              <w:pStyle w:val="Compact"/>
              <w:jc w:val="left"/>
            </w:pPr>
            <w:r>
              <w:t xml:space="preserve">56°48’ E, two nautical miles wide</w:t>
            </w:r>
          </w:p>
        </w:tc>
      </w:tr>
      <w:tr>
        <w:tc>
          <w:tcPr/>
          <w:p>
            <w:pPr>
              <w:pStyle w:val="Compact"/>
              <w:jc w:val="left"/>
            </w:pPr>
            <w:r>
              <w:t xml:space="preserve">Corridor One, outbound lane centerline</w:t>
            </w:r>
          </w:p>
        </w:tc>
        <w:tc>
          <w:tcPr/>
          <w:p>
            <w:pPr>
              <w:pStyle w:val="Compact"/>
              <w:jc w:val="left"/>
            </w:pPr>
            <w:r>
              <w:t xml:space="preserve">26°29’ N</w:t>
            </w:r>
          </w:p>
        </w:tc>
        <w:tc>
          <w:tcPr/>
          <w:p>
            <w:pPr>
              <w:pStyle w:val="Compact"/>
              <w:jc w:val="left"/>
            </w:pPr>
            <w:r>
              <w:t xml:space="preserve">56°22’ E to 26°24’ N</w:t>
            </w:r>
          </w:p>
        </w:tc>
        <w:tc>
          <w:tcPr/>
          <w:p>
            <w:pPr>
              <w:pStyle w:val="Compact"/>
              <w:jc w:val="left"/>
            </w:pPr>
            <w:r>
              <w:t xml:space="preserve">56°48’ E, two nautical miles wide, separated from the inbound lane by a two-nautical-mile median</w:t>
            </w:r>
          </w:p>
        </w:tc>
      </w:tr>
      <w:tr>
        <w:tc>
          <w:tcPr/>
          <w:p>
            <w:pPr>
              <w:pStyle w:val="Compact"/>
              <w:jc w:val="left"/>
            </w:pPr>
            <w:r>
              <w:t xml:space="preserve">Khasab reference (Omani administrative seat)</w:t>
            </w:r>
          </w:p>
        </w:tc>
        <w:tc>
          <w:tcPr/>
          <w:p>
            <w:pPr>
              <w:pStyle w:val="Compact"/>
              <w:jc w:val="left"/>
            </w:pPr>
            <w:r>
              <w:t xml:space="preserve">26°11’ N</w:t>
            </w:r>
          </w:p>
        </w:tc>
        <w:tc>
          <w:tcPr/>
          <w:p>
            <w:pPr>
              <w:pStyle w:val="Compact"/>
              <w:jc w:val="left"/>
            </w:pPr>
            <w:r>
              <w:t xml:space="preserve">56°15’ E</w:t>
            </w:r>
          </w:p>
        </w:tc>
        <w:tc>
          <w:tcPr/>
          <w:p>
            <w:pPr>
              <w:pStyle w:val="Compact"/>
              <w:jc w:val="left"/>
            </w:pPr>
            <w:r>
              <w:t xml:space="preserve">Port of Khasab, seat of the Omani watch floor</w:t>
            </w:r>
          </w:p>
        </w:tc>
      </w:tr>
    </w:tbl>
    <w:bookmarkEnd w:id="99"/>
    <w:bookmarkStart w:id="100" w:name="X8d118d917a53064e2ca2dae70a0ae0e16db5e8c"/>
    <w:p>
      <w:pPr>
        <w:pStyle w:val="Heading3"/>
      </w:pPr>
      <w:r>
        <w:t xml:space="preserve">A.3 Corridor Two: Northern Coordination (toll-free, Iranian-administered)</w:t>
      </w:r>
    </w:p>
    <w:p>
      <w:pPr>
        <w:pStyle w:val="FirstParagraph"/>
      </w:pPr>
      <w:r>
        <w:t xml:space="preserve">Corridor Two runs between Qeshm Island and Larak Island, the route already reported in Iran-Oman technical talks as the northern lane.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Note</w:t>
            </w:r>
          </w:p>
        </w:tc>
      </w:tr>
      <w:tr>
        <w:tc>
          <w:tcPr/>
          <w:p>
            <w:pPr>
              <w:pStyle w:val="Compact"/>
              <w:jc w:val="left"/>
            </w:pPr>
            <w:r>
              <w:t xml:space="preserve">Qeshm Island (eastern reference)</w:t>
            </w:r>
          </w:p>
        </w:tc>
        <w:tc>
          <w:tcPr/>
          <w:p>
            <w:pPr>
              <w:pStyle w:val="Compact"/>
              <w:jc w:val="left"/>
            </w:pPr>
            <w:r>
              <w:t xml:space="preserve">26°46’03” N</w:t>
            </w:r>
          </w:p>
        </w:tc>
        <w:tc>
          <w:tcPr/>
          <w:p>
            <w:pPr>
              <w:pStyle w:val="Compact"/>
              <w:jc w:val="left"/>
            </w:pPr>
            <w:r>
              <w:t xml:space="preserve">55°46’21” E</w:t>
            </w:r>
          </w:p>
        </w:tc>
        <w:tc>
          <w:tcPr/>
          <w:p>
            <w:pPr>
              <w:pStyle w:val="Compact"/>
              <w:jc w:val="left"/>
            </w:pPr>
            <w:r>
              <w:t xml:space="preserve">Larger Iranian island forming the corridor’s western shoulder</w:t>
            </w:r>
          </w:p>
        </w:tc>
      </w:tr>
      <w:tr>
        <w:tc>
          <w:tcPr/>
          <w:p>
            <w:pPr>
              <w:pStyle w:val="Compact"/>
              <w:jc w:val="left"/>
            </w:pPr>
            <w:r>
              <w:t xml:space="preserve">Larak Island</w:t>
            </w:r>
          </w:p>
        </w:tc>
        <w:tc>
          <w:tcPr/>
          <w:p>
            <w:pPr>
              <w:pStyle w:val="Compact"/>
              <w:jc w:val="left"/>
            </w:pPr>
            <w:r>
              <w:t xml:space="preserve">26°51’12” N</w:t>
            </w:r>
          </w:p>
        </w:tc>
        <w:tc>
          <w:tcPr/>
          <w:p>
            <w:pPr>
              <w:pStyle w:val="Compact"/>
              <w:jc w:val="left"/>
            </w:pPr>
            <w:r>
              <w:t xml:space="preserve">56°21’20” E</w:t>
            </w:r>
          </w:p>
        </w:tc>
        <w:tc>
          <w:tcPr/>
          <w:p>
            <w:pPr>
              <w:pStyle w:val="Compact"/>
              <w:jc w:val="left"/>
            </w:pPr>
            <w:r>
              <w:t xml:space="preserve">Iranian island forming the corridor’s eastern shoulder and lighthouse waypoint</w:t>
            </w:r>
          </w:p>
        </w:tc>
      </w:tr>
      <w:tr>
        <w:tc>
          <w:tcPr/>
          <w:p>
            <w:pPr>
              <w:pStyle w:val="Compact"/>
              <w:jc w:val="left"/>
            </w:pPr>
            <w:r>
              <w:t xml:space="preserve">Corridor Two, inbound lane centerline</w:t>
            </w:r>
          </w:p>
        </w:tc>
        <w:tc>
          <w:tcPr/>
          <w:p>
            <w:pPr>
              <w:pStyle w:val="Compact"/>
              <w:jc w:val="left"/>
            </w:pPr>
            <w:r>
              <w:t xml:space="preserve">26°49’ N</w:t>
            </w:r>
          </w:p>
        </w:tc>
        <w:tc>
          <w:tcPr/>
          <w:p>
            <w:pPr>
              <w:pStyle w:val="Compact"/>
              <w:jc w:val="left"/>
            </w:pPr>
            <w:r>
              <w:t xml:space="preserve">55°55’ E to 26°44’ N</w:t>
            </w:r>
          </w:p>
        </w:tc>
        <w:tc>
          <w:tcPr/>
          <w:p>
            <w:pPr>
              <w:pStyle w:val="Compact"/>
              <w:jc w:val="left"/>
            </w:pPr>
            <w:r>
              <w:t xml:space="preserve">56°35’ E, two nautical miles wide</w:t>
            </w:r>
          </w:p>
        </w:tc>
      </w:tr>
      <w:tr>
        <w:tc>
          <w:tcPr/>
          <w:p>
            <w:pPr>
              <w:pStyle w:val="Compact"/>
              <w:jc w:val="left"/>
            </w:pPr>
            <w:r>
              <w:t xml:space="preserve">Corridor Two, outbound lane centerline</w:t>
            </w:r>
          </w:p>
        </w:tc>
        <w:tc>
          <w:tcPr/>
          <w:p>
            <w:pPr>
              <w:pStyle w:val="Compact"/>
              <w:jc w:val="left"/>
            </w:pPr>
            <w:r>
              <w:t xml:space="preserve">26°45’ N</w:t>
            </w:r>
          </w:p>
        </w:tc>
        <w:tc>
          <w:tcPr/>
          <w:p>
            <w:pPr>
              <w:pStyle w:val="Compact"/>
              <w:jc w:val="left"/>
            </w:pPr>
            <w:r>
              <w:t xml:space="preserve">55°55’ E to 26°40’ N</w:t>
            </w:r>
          </w:p>
        </w:tc>
        <w:tc>
          <w:tcPr/>
          <w:p>
            <w:pPr>
              <w:pStyle w:val="Compact"/>
              <w:jc w:val="left"/>
            </w:pPr>
            <w:r>
              <w:t xml:space="preserve">56°35’ E, two nautical miles wide, separated by a two-nautical-mile median, running just south of Larak Island consistent with routes Iran has used operationally since April 2026</w:t>
            </w:r>
          </w:p>
        </w:tc>
      </w:tr>
      <w:tr>
        <w:tc>
          <w:tcPr/>
          <w:p>
            <w:pPr>
              <w:pStyle w:val="Compact"/>
              <w:jc w:val="left"/>
            </w:pPr>
            <w:r>
              <w:t xml:space="preserve">Bandar Abbas reference (Iranian administrative seat)</w:t>
            </w:r>
          </w:p>
        </w:tc>
        <w:tc>
          <w:tcPr/>
          <w:p>
            <w:pPr>
              <w:pStyle w:val="Compact"/>
              <w:jc w:val="left"/>
            </w:pPr>
            <w:r>
              <w:t xml:space="preserve">27°11’ N</w:t>
            </w:r>
          </w:p>
        </w:tc>
        <w:tc>
          <w:tcPr/>
          <w:p>
            <w:pPr>
              <w:pStyle w:val="Compact"/>
              <w:jc w:val="left"/>
            </w:pPr>
            <w:r>
              <w:t xml:space="preserve">56°17’ E</w:t>
            </w:r>
          </w:p>
        </w:tc>
        <w:tc>
          <w:tcPr/>
          <w:p>
            <w:pPr>
              <w:pStyle w:val="Compact"/>
              <w:jc w:val="left"/>
            </w:pPr>
            <w:r>
              <w:t xml:space="preserve">Principal Iranian port, seat of the Iranian watch floor</w:t>
            </w:r>
          </w:p>
        </w:tc>
      </w:tr>
    </w:tbl>
    <w:bookmarkEnd w:id="100"/>
    <w:bookmarkStart w:id="101" w:name="X0132d6fee5b09a4a3933b695443267941378747"/>
    <w:p>
      <w:pPr>
        <w:pStyle w:val="Heading3"/>
      </w:pPr>
      <w:r>
        <w:t xml:space="preserve">A.4 Corridor Three: Central Assurance Lane (two-way, activates at Charter entry into force)</w:t>
      </w:r>
    </w:p>
    <w:p>
      <w:pPr>
        <w:pStyle w:val="FirstParagraph"/>
      </w:pPr>
      <w:r>
        <w:t xml:space="preserve">Corridor Three runs along the median line of the Governance Area, jointly administered, offered as the shortest-distance route and for peak-flow relief.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Note</w:t>
            </w:r>
          </w:p>
        </w:tc>
      </w:tr>
      <w:tr>
        <w:tc>
          <w:tcPr/>
          <w:p>
            <w:pPr>
              <w:pStyle w:val="Compact"/>
              <w:jc w:val="left"/>
            </w:pPr>
            <w:r>
              <w:t xml:space="preserve">Western terminus</w:t>
            </w:r>
          </w:p>
        </w:tc>
        <w:tc>
          <w:tcPr/>
          <w:p>
            <w:pPr>
              <w:pStyle w:val="Compact"/>
              <w:jc w:val="left"/>
            </w:pPr>
            <w:r>
              <w:t xml:space="preserve">26°42’ N</w:t>
            </w:r>
          </w:p>
        </w:tc>
        <w:tc>
          <w:tcPr/>
          <w:p>
            <w:pPr>
              <w:pStyle w:val="Compact"/>
              <w:jc w:val="left"/>
            </w:pPr>
            <w:r>
              <w:t xml:space="preserve">56°05’ E</w:t>
            </w:r>
          </w:p>
        </w:tc>
        <w:tc>
          <w:tcPr/>
          <w:p>
            <w:pPr>
              <w:pStyle w:val="Compact"/>
              <w:jc w:val="left"/>
            </w:pPr>
            <w:r>
              <w:t xml:space="preserve">Persian Gulf entry to the central lane</w:t>
            </w:r>
          </w:p>
        </w:tc>
      </w:tr>
      <w:tr>
        <w:tc>
          <w:tcPr/>
          <w:p>
            <w:pPr>
              <w:pStyle w:val="Compact"/>
              <w:jc w:val="left"/>
            </w:pPr>
            <w:r>
              <w:t xml:space="preserve">Median control point</w:t>
            </w:r>
          </w:p>
        </w:tc>
        <w:tc>
          <w:tcPr/>
          <w:p>
            <w:pPr>
              <w:pStyle w:val="Compact"/>
              <w:jc w:val="left"/>
            </w:pPr>
            <w:r>
              <w:t xml:space="preserve">26°38’ N</w:t>
            </w:r>
          </w:p>
        </w:tc>
        <w:tc>
          <w:tcPr/>
          <w:p>
            <w:pPr>
              <w:pStyle w:val="Compact"/>
              <w:jc w:val="left"/>
            </w:pPr>
            <w:r>
              <w:t xml:space="preserve">56°28’ E</w:t>
            </w:r>
          </w:p>
        </w:tc>
        <w:tc>
          <w:tcPr/>
          <w:p>
            <w:pPr>
              <w:pStyle w:val="Compact"/>
              <w:jc w:val="left"/>
            </w:pPr>
            <w:r>
              <w:t xml:space="preserve">Approximate geometric center of the Strait</w:t>
            </w:r>
          </w:p>
        </w:tc>
      </w:tr>
      <w:tr>
        <w:tc>
          <w:tcPr/>
          <w:p>
            <w:pPr>
              <w:pStyle w:val="Compact"/>
              <w:jc w:val="left"/>
            </w:pPr>
            <w:r>
              <w:t xml:space="preserve">Eastern terminus</w:t>
            </w:r>
          </w:p>
        </w:tc>
        <w:tc>
          <w:tcPr/>
          <w:p>
            <w:pPr>
              <w:pStyle w:val="Compact"/>
              <w:jc w:val="left"/>
            </w:pPr>
            <w:r>
              <w:t xml:space="preserve">26°28’ N</w:t>
            </w:r>
          </w:p>
        </w:tc>
        <w:tc>
          <w:tcPr/>
          <w:p>
            <w:pPr>
              <w:pStyle w:val="Compact"/>
              <w:jc w:val="left"/>
            </w:pPr>
            <w:r>
              <w:t xml:space="preserve">56°55’ E</w:t>
            </w:r>
          </w:p>
        </w:tc>
        <w:tc>
          <w:tcPr/>
          <w:p>
            <w:pPr>
              <w:pStyle w:val="Compact"/>
              <w:jc w:val="left"/>
            </w:pPr>
            <w:r>
              <w:t xml:space="preserve">Gulf of Oman entry to the central lane</w:t>
            </w:r>
          </w:p>
        </w:tc>
      </w:tr>
    </w:tbl>
    <w:bookmarkEnd w:id="101"/>
    <w:bookmarkStart w:id="102" w:name="X31e98a76d308601892f84d3f526fda6ed48106a"/>
    <w:p>
      <w:pPr>
        <w:pStyle w:val="Heading3"/>
      </w:pPr>
      <w:r>
        <w:t xml:space="preserve">A.5 Anchorages, Exercise Zones, and Survey Zones</w:t>
      </w:r>
    </w:p>
    <w:p>
      <w:pPr>
        <w:pStyle w:val="FirstParagraph"/>
      </w:pPr>
      <w:r>
        <w:t xml:space="preserve">The Micro-Anchorage Zone piloted under Exercise B-4 sits in deeper water east of the Quoin Island group, centered near 26°28’ N, 56°38’ E, holding depths generally exceeding 60 meters. The Joint Survey Zones of Article 47 cover the full width of all three corridors plus a one-nautical-mile buffer on each side, resurveyed on the cadence the Authority’s Technical Directorate sets following the Charter’s entry into force. The evacuation and waiting-area precedent already in use by the International Maritime Organization, centered at 26°16.17’ N, 55°46.52’ E, continues as a standing waiting area for vessels pending a routing window.</w:t>
      </w:r>
    </w:p>
    <w:bookmarkEnd w:id="102"/>
    <w:bookmarkStart w:id="103" w:name="X7fa23b758ec4a977f1d574dd9d2a2fb0a9150ac"/>
    <w:p>
      <w:pPr>
        <w:pStyle w:val="Heading3"/>
      </w:pPr>
      <w:r>
        <w:t xml:space="preserve">A.6 Light Characteristics of Principal Navigation Marks</w:t>
      </w:r>
    </w:p>
    <w:p>
      <w:pPr>
        <w:pStyle w:val="FirstParagraph"/>
      </w:pPr>
      <w:r>
        <w:t xml:space="preserve">Larak Island light: a cylindrical concrete tower, unpainted, focal height 40 meters, characteristic Fl(2) W 10s, range 18 nautical miles, remains the principal eastern approach mark for Corridor Two. Little Quoin (Didamar) light, the northernmost light in Oman, remains the principal mark for vessels approaching Corridor One from the Gulf of Oman side. Both lights continue operating under each Party’s existing national maintenance responsibility, unchanged by this Pact.</w:t>
      </w:r>
    </w:p>
    <w:bookmarkEnd w:id="103"/>
    <w:bookmarkEnd w:id="104"/>
    <w:bookmarkStart w:id="105" w:name="annex-b-the-micro-exercise-master-index"/>
    <w:p>
      <w:pPr>
        <w:pStyle w:val="Heading2"/>
      </w:pPr>
      <w:r>
        <w:t xml:space="preserve">Annex B: The Micro-Exercise Master Index</w:t>
      </w:r>
    </w:p>
    <w:p>
      <w:pPr>
        <w:pStyle w:val="FirstParagraph"/>
      </w:pPr>
      <w:r>
        <w:t xml:space="preserve">The table below cross-references all fifty Layer 0 exercises detailed in full in Articles 12 through 16, for quick operational reference.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Exercise range</w:t>
            </w:r>
          </w:p>
        </w:tc>
        <w:tc>
          <w:tcPr/>
          <w:p>
            <w:pPr>
              <w:pStyle w:val="Compact"/>
              <w:jc w:val="left"/>
            </w:pPr>
            <w:r>
              <w:t xml:space="preserve">Governing Article</w:t>
            </w:r>
          </w:p>
        </w:tc>
        <w:tc>
          <w:tcPr/>
          <w:p>
            <w:pPr>
              <w:pStyle w:val="Compact"/>
              <w:jc w:val="left"/>
            </w:pPr>
            <w:r>
              <w:t xml:space="preserve">Theme</w:t>
            </w:r>
          </w:p>
        </w:tc>
        <w:tc>
          <w:tcPr/>
          <w:p>
            <w:pPr>
              <w:pStyle w:val="Compact"/>
              <w:jc w:val="left"/>
            </w:pPr>
            <w:r>
              <w:t xml:space="preserve">Activation window</w:t>
            </w:r>
          </w:p>
        </w:tc>
      </w:tr>
      <w:tr>
        <w:tc>
          <w:tcPr/>
          <w:p>
            <w:pPr>
              <w:pStyle w:val="Compact"/>
              <w:jc w:val="left"/>
            </w:pPr>
            <w:r>
              <w:t xml:space="preserve">A</w:t>
            </w:r>
          </w:p>
        </w:tc>
        <w:tc>
          <w:tcPr/>
          <w:p>
            <w:pPr>
              <w:pStyle w:val="Compact"/>
              <w:jc w:val="left"/>
            </w:pPr>
            <w:r>
              <w:t xml:space="preserve">A-1 to A-10</w:t>
            </w:r>
          </w:p>
        </w:tc>
        <w:tc>
          <w:tcPr/>
          <w:p>
            <w:pPr>
              <w:pStyle w:val="Compact"/>
              <w:jc w:val="left"/>
            </w:pPr>
            <w:r>
              <w:t xml:space="preserve">Article 12</w:t>
            </w:r>
          </w:p>
        </w:tc>
        <w:tc>
          <w:tcPr/>
          <w:p>
            <w:pPr>
              <w:pStyle w:val="Compact"/>
              <w:jc w:val="left"/>
            </w:pPr>
            <w:r>
              <w:t xml:space="preserve">Visibility and Predictability</w:t>
            </w:r>
          </w:p>
        </w:tc>
        <w:tc>
          <w:tcPr/>
          <w:p>
            <w:pPr>
              <w:pStyle w:val="Compact"/>
              <w:jc w:val="left"/>
            </w:pPr>
            <w:r>
              <w:t xml:space="preserve">Hour 0 to Hour 12</w:t>
            </w:r>
          </w:p>
        </w:tc>
      </w:tr>
      <w:tr>
        <w:tc>
          <w:tcPr/>
          <w:p>
            <w:pPr>
              <w:pStyle w:val="Compact"/>
              <w:jc w:val="left"/>
            </w:pPr>
            <w:r>
              <w:t xml:space="preserve">B</w:t>
            </w:r>
          </w:p>
        </w:tc>
        <w:tc>
          <w:tcPr/>
          <w:p>
            <w:pPr>
              <w:pStyle w:val="Compact"/>
              <w:jc w:val="left"/>
            </w:pPr>
            <w:r>
              <w:t xml:space="preserve">B-1 to B-10</w:t>
            </w:r>
          </w:p>
        </w:tc>
        <w:tc>
          <w:tcPr/>
          <w:p>
            <w:pPr>
              <w:pStyle w:val="Compact"/>
              <w:jc w:val="left"/>
            </w:pPr>
            <w:r>
              <w:t xml:space="preserve">Article 13</w:t>
            </w:r>
          </w:p>
        </w:tc>
        <w:tc>
          <w:tcPr/>
          <w:p>
            <w:pPr>
              <w:pStyle w:val="Compact"/>
              <w:jc w:val="left"/>
            </w:pPr>
            <w:r>
              <w:t xml:space="preserve">Micro-Routing and Movement Safety</w:t>
            </w:r>
          </w:p>
        </w:tc>
        <w:tc>
          <w:tcPr/>
          <w:p>
            <w:pPr>
              <w:pStyle w:val="Compact"/>
              <w:jc w:val="left"/>
            </w:pPr>
            <w:r>
              <w:t xml:space="preserve">Hour 0 to Hour 24</w:t>
            </w:r>
          </w:p>
        </w:tc>
      </w:tr>
      <w:tr>
        <w:tc>
          <w:tcPr/>
          <w:p>
            <w:pPr>
              <w:pStyle w:val="Compact"/>
              <w:jc w:val="left"/>
            </w:pPr>
            <w:r>
              <w:t xml:space="preserve">C</w:t>
            </w:r>
          </w:p>
        </w:tc>
        <w:tc>
          <w:tcPr/>
          <w:p>
            <w:pPr>
              <w:pStyle w:val="Compact"/>
              <w:jc w:val="left"/>
            </w:pPr>
            <w:r>
              <w:t xml:space="preserve">C-1 to C-10</w:t>
            </w:r>
          </w:p>
        </w:tc>
        <w:tc>
          <w:tcPr/>
          <w:p>
            <w:pPr>
              <w:pStyle w:val="Compact"/>
              <w:jc w:val="left"/>
            </w:pPr>
            <w:r>
              <w:t xml:space="preserve">Article 14</w:t>
            </w:r>
          </w:p>
        </w:tc>
        <w:tc>
          <w:tcPr/>
          <w:p>
            <w:pPr>
              <w:pStyle w:val="Compact"/>
              <w:jc w:val="left"/>
            </w:pPr>
            <w:r>
              <w:t xml:space="preserve">Micro-Alerts and Incident Reduction</w:t>
            </w:r>
          </w:p>
        </w:tc>
        <w:tc>
          <w:tcPr/>
          <w:p>
            <w:pPr>
              <w:pStyle w:val="Compact"/>
              <w:jc w:val="left"/>
            </w:pPr>
            <w:r>
              <w:t xml:space="preserve">Hour 0 to Hour 24</w:t>
            </w:r>
          </w:p>
        </w:tc>
      </w:tr>
      <w:tr>
        <w:tc>
          <w:tcPr/>
          <w:p>
            <w:pPr>
              <w:pStyle w:val="Compact"/>
              <w:jc w:val="left"/>
            </w:pPr>
            <w:r>
              <w:t xml:space="preserve">D</w:t>
            </w:r>
          </w:p>
        </w:tc>
        <w:tc>
          <w:tcPr/>
          <w:p>
            <w:pPr>
              <w:pStyle w:val="Compact"/>
              <w:jc w:val="left"/>
            </w:pPr>
            <w:r>
              <w:t xml:space="preserve">D-1 to D-10</w:t>
            </w:r>
          </w:p>
        </w:tc>
        <w:tc>
          <w:tcPr/>
          <w:p>
            <w:pPr>
              <w:pStyle w:val="Compact"/>
              <w:jc w:val="left"/>
            </w:pPr>
            <w:r>
              <w:t xml:space="preserve">Article 15</w:t>
            </w:r>
          </w:p>
        </w:tc>
        <w:tc>
          <w:tcPr/>
          <w:p>
            <w:pPr>
              <w:pStyle w:val="Compact"/>
              <w:jc w:val="left"/>
            </w:pPr>
            <w:r>
              <w:t xml:space="preserve">Micro-Response and Repair Coordination</w:t>
            </w:r>
          </w:p>
        </w:tc>
        <w:tc>
          <w:tcPr/>
          <w:p>
            <w:pPr>
              <w:pStyle w:val="Compact"/>
              <w:jc w:val="left"/>
            </w:pPr>
            <w:r>
              <w:t xml:space="preserve">Hour 12 to Hour 48</w:t>
            </w:r>
          </w:p>
        </w:tc>
      </w:tr>
      <w:tr>
        <w:tc>
          <w:tcPr/>
          <w:p>
            <w:pPr>
              <w:pStyle w:val="Compact"/>
              <w:jc w:val="left"/>
            </w:pPr>
            <w:r>
              <w:t xml:space="preserve">E</w:t>
            </w:r>
          </w:p>
        </w:tc>
        <w:tc>
          <w:tcPr/>
          <w:p>
            <w:pPr>
              <w:pStyle w:val="Compact"/>
              <w:jc w:val="left"/>
            </w:pPr>
            <w:r>
              <w:t xml:space="preserve">E-1 to E-10</w:t>
            </w:r>
          </w:p>
        </w:tc>
        <w:tc>
          <w:tcPr/>
          <w:p>
            <w:pPr>
              <w:pStyle w:val="Compact"/>
              <w:jc w:val="left"/>
            </w:pPr>
            <w:r>
              <w:t xml:space="preserve">Article 16</w:t>
            </w:r>
          </w:p>
        </w:tc>
        <w:tc>
          <w:tcPr/>
          <w:p>
            <w:pPr>
              <w:pStyle w:val="Compact"/>
              <w:jc w:val="left"/>
            </w:pPr>
            <w:r>
              <w:t xml:space="preserve">Micro-Governance and Simulation</w:t>
            </w:r>
          </w:p>
        </w:tc>
        <w:tc>
          <w:tcPr/>
          <w:p>
            <w:pPr>
              <w:pStyle w:val="Compact"/>
              <w:jc w:val="left"/>
            </w:pPr>
            <w:r>
              <w:t xml:space="preserve">Hour 24 to Hour 72</w:t>
            </w:r>
          </w:p>
        </w:tc>
      </w:tr>
    </w:tbl>
    <w:p>
      <w:pPr>
        <w:pStyle w:val="BodyText"/>
      </w:pPr>
      <w:r>
        <w:t xml:space="preserve">All fifty exercises report status to the Lattice Cell continuously; Gate Zero under Article 17 certifies once at least forty of the fifty report active status.</w:t>
      </w:r>
    </w:p>
    <w:bookmarkEnd w:id="105"/>
    <w:bookmarkStart w:id="110" w:name="X8a0f0f89e28cc479d52cb7a32edd70bd9423114"/>
    <w:p>
      <w:pPr>
        <w:pStyle w:val="Heading2"/>
      </w:pPr>
      <w:r>
        <w:t xml:space="preserve">Annex C: The Calm Waters Fund Charter and Rate Card</w:t>
      </w:r>
    </w:p>
    <w:bookmarkStart w:id="106" w:name="c.1-charter-essentials"/>
    <w:p>
      <w:pPr>
        <w:pStyle w:val="Heading3"/>
      </w:pPr>
      <w:r>
        <w:t xml:space="preserve">C.1 Charter Essentials</w:t>
      </w:r>
    </w:p>
    <w:p>
      <w:pPr>
        <w:pStyle w:val="FirstParagraph"/>
      </w:pPr>
      <w:r>
        <w:t xml:space="preserve">The Calm Waters Fund is established under International Maritime Organization administrative auspices, with the Swiss Confederation as independent auditor and the Authority’s Steering Council as budget approver under the Twin-Key Rule. The Fund’s governing account sits with a neutral Swiss financial institution designated by the Depositary, structurally separated from any Iranian or United States banking channel, so that no single Party’s domestic financial system is the transmission point for any contribution or reimbursement.</w:t>
      </w:r>
    </w:p>
    <w:p>
      <w:pPr>
        <w:pStyle w:val="BodyText"/>
      </w:pPr>
      <w:r>
        <w:t xml:space="preserve">The Fund’s purpose is narrow and stated here without qualification: it reimburses Iran and Oman for documented, auditable maritime services rendered in the Governance Area. It does not, under any circumstance described in this Annex, collect or disburse any payment conditioned on a vessel’s right to transit, consistent with the absolute rule of Article 51.1.</w:t>
      </w:r>
    </w:p>
    <w:bookmarkEnd w:id="106"/>
    <w:bookmarkStart w:id="107" w:name="X299e347989a3f857ef24af73dabb0d908b52e6b"/>
    <w:p>
      <w:pPr>
        <w:pStyle w:val="Heading3"/>
      </w:pPr>
      <w:r>
        <w:t xml:space="preserve">C.2 Rate Card (cost-based, reviewed every six months)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 category</w:t>
            </w:r>
          </w:p>
        </w:tc>
        <w:tc>
          <w:tcPr/>
          <w:p>
            <w:pPr>
              <w:pStyle w:val="Compact"/>
              <w:jc w:val="left"/>
            </w:pPr>
            <w:r>
              <w:t xml:space="preserve">Basis for reimbursement</w:t>
            </w:r>
          </w:p>
        </w:tc>
        <w:tc>
          <w:tcPr/>
          <w:p>
            <w:pPr>
              <w:pStyle w:val="Compact"/>
              <w:jc w:val="left"/>
            </w:pPr>
            <w:r>
              <w:t xml:space="preserve">Indicative rate</w:t>
            </w:r>
          </w:p>
        </w:tc>
        <w:tc>
          <w:tcPr/>
          <w:p>
            <w:pPr>
              <w:pStyle w:val="Compact"/>
              <w:jc w:val="left"/>
            </w:pPr>
            <w:r>
              <w:t xml:space="preserve">Reviewing authority</w:t>
            </w:r>
          </w:p>
        </w:tc>
      </w:tr>
      <w:tr>
        <w:tc>
          <w:tcPr/>
          <w:p>
            <w:pPr>
              <w:pStyle w:val="Compact"/>
              <w:jc w:val="left"/>
            </w:pPr>
            <w:r>
              <w:t xml:space="preserve">Traffic monitoring and Notification Protocol processing</w:t>
            </w:r>
          </w:p>
        </w:tc>
        <w:tc>
          <w:tcPr/>
          <w:p>
            <w:pPr>
              <w:pStyle w:val="Compact"/>
              <w:jc w:val="left"/>
            </w:pPr>
            <w:r>
              <w:t xml:space="preserve">Per vessel-transit processed through the Joint Coordination Desk</w:t>
            </w:r>
          </w:p>
        </w:tc>
        <w:tc>
          <w:tcPr/>
          <w:p>
            <w:pPr>
              <w:pStyle w:val="Compact"/>
              <w:jc w:val="left"/>
            </w:pPr>
            <w:r>
              <w:t xml:space="preserve">350 to 600 USD equivalent per transit, cost-based</w:t>
            </w:r>
          </w:p>
        </w:tc>
        <w:tc>
          <w:tcPr/>
          <w:p>
            <w:pPr>
              <w:pStyle w:val="Compact"/>
              <w:jc w:val="left"/>
            </w:pPr>
            <w:r>
              <w:t xml:space="preserve">Steering Council, six-month cycle</w:t>
            </w:r>
          </w:p>
        </w:tc>
      </w:tr>
      <w:tr>
        <w:tc>
          <w:tcPr/>
          <w:p>
            <w:pPr>
              <w:pStyle w:val="Compact"/>
              <w:jc w:val="left"/>
            </w:pPr>
            <w:r>
              <w:t xml:space="preserve">Pilotage services (where requested)</w:t>
            </w:r>
          </w:p>
        </w:tc>
        <w:tc>
          <w:tcPr/>
          <w:p>
            <w:pPr>
              <w:pStyle w:val="Compact"/>
              <w:jc w:val="left"/>
            </w:pPr>
            <w:r>
              <w:t xml:space="preserve">Per pilotage assignment actually performed</w:t>
            </w:r>
          </w:p>
        </w:tc>
        <w:tc>
          <w:tcPr/>
          <w:p>
            <w:pPr>
              <w:pStyle w:val="Compact"/>
              <w:jc w:val="left"/>
            </w:pPr>
            <w:r>
              <w:t xml:space="preserve">Set at each Party’s documented, audited cost of service</w:t>
            </w:r>
          </w:p>
        </w:tc>
        <w:tc>
          <w:tcPr/>
          <w:p>
            <w:pPr>
              <w:pStyle w:val="Compact"/>
              <w:jc w:val="left"/>
            </w:pPr>
            <w:r>
              <w:t xml:space="preserve">Steering Council, six-month cycle</w:t>
            </w:r>
          </w:p>
        </w:tc>
      </w:tr>
      <w:tr>
        <w:tc>
          <w:tcPr/>
          <w:p>
            <w:pPr>
              <w:pStyle w:val="Compact"/>
              <w:jc w:val="left"/>
            </w:pPr>
            <w:r>
              <w:t xml:space="preserve">Environmental protection and pollution-response readiness</w:t>
            </w:r>
          </w:p>
        </w:tc>
        <w:tc>
          <w:tcPr/>
          <w:p>
            <w:pPr>
              <w:pStyle w:val="Compact"/>
              <w:jc w:val="left"/>
            </w:pPr>
            <w:r>
              <w:t xml:space="preserve">Pro-rated share of standing readiness cost, allocated across total Governance Area traffic</w:t>
            </w:r>
          </w:p>
        </w:tc>
        <w:tc>
          <w:tcPr/>
          <w:p>
            <w:pPr>
              <w:pStyle w:val="Compact"/>
              <w:jc w:val="left"/>
            </w:pPr>
            <w:r>
              <w:t xml:space="preserve">Allocated quarterly against audited readiness expenditure</w:t>
            </w:r>
          </w:p>
        </w:tc>
        <w:tc>
          <w:tcPr/>
          <w:p>
            <w:pPr>
              <w:pStyle w:val="Compact"/>
              <w:jc w:val="left"/>
            </w:pPr>
            <w:r>
              <w:t xml:space="preserve">Steering Council, six-month cycle</w:t>
            </w:r>
          </w:p>
        </w:tc>
      </w:tr>
      <w:tr>
        <w:tc>
          <w:tcPr/>
          <w:p>
            <w:pPr>
              <w:pStyle w:val="Compact"/>
              <w:jc w:val="left"/>
            </w:pPr>
            <w:r>
              <w:t xml:space="preserve">Search-and-rescue readiness</w:t>
            </w:r>
          </w:p>
        </w:tc>
        <w:tc>
          <w:tcPr/>
          <w:p>
            <w:pPr>
              <w:pStyle w:val="Compact"/>
              <w:jc w:val="left"/>
            </w:pPr>
            <w:r>
              <w:t xml:space="preserve">Pro-rated share of standing readiness cost</w:t>
            </w:r>
          </w:p>
        </w:tc>
        <w:tc>
          <w:tcPr/>
          <w:p>
            <w:pPr>
              <w:pStyle w:val="Compact"/>
              <w:jc w:val="left"/>
            </w:pPr>
            <w:r>
              <w:t xml:space="preserve">Allocated quarterly against audited readiness expenditure</w:t>
            </w:r>
          </w:p>
        </w:tc>
        <w:tc>
          <w:tcPr/>
          <w:p>
            <w:pPr>
              <w:pStyle w:val="Compact"/>
              <w:jc w:val="left"/>
            </w:pPr>
            <w:r>
              <w:t xml:space="preserve">Steering Council, six-month cycle</w:t>
            </w:r>
          </w:p>
        </w:tc>
      </w:tr>
      <w:tr>
        <w:tc>
          <w:tcPr/>
          <w:p>
            <w:pPr>
              <w:pStyle w:val="Compact"/>
              <w:jc w:val="left"/>
            </w:pPr>
            <w:r>
              <w:t xml:space="preserve">Route Assurance data service (voluntary)</w:t>
            </w:r>
          </w:p>
        </w:tc>
        <w:tc>
          <w:tcPr/>
          <w:p>
            <w:pPr>
              <w:pStyle w:val="Compact"/>
              <w:jc w:val="left"/>
            </w:pPr>
            <w:r>
              <w:t xml:space="preserve">Per-subscription, purchased directly by insurers or operators electing enhanced real-time certification</w:t>
            </w:r>
          </w:p>
        </w:tc>
        <w:tc>
          <w:tcPr/>
          <w:p>
            <w:pPr>
              <w:pStyle w:val="Compact"/>
              <w:jc w:val="left"/>
            </w:pPr>
            <w:r>
              <w:t xml:space="preserve">Market-set, disclosed publicly, never bundled with any mandatory service</w:t>
            </w:r>
          </w:p>
        </w:tc>
        <w:tc>
          <w:tcPr/>
          <w:p>
            <w:pPr>
              <w:pStyle w:val="Compact"/>
              <w:jc w:val="left"/>
            </w:pPr>
            <w:r>
              <w:t xml:space="preserve">Steering Council reviews for anti-circumvention compliance under Article 53.3</w:t>
            </w:r>
          </w:p>
        </w:tc>
      </w:tr>
      <w:tr>
        <w:tc>
          <w:tcPr/>
          <w:p>
            <w:pPr>
              <w:pStyle w:val="Compact"/>
              <w:jc w:val="left"/>
            </w:pPr>
            <w:r>
              <w:t xml:space="preserve">Authority Technical Directorate operating costs</w:t>
            </w:r>
          </w:p>
        </w:tc>
        <w:tc>
          <w:tcPr/>
          <w:p>
            <w:pPr>
              <w:pStyle w:val="Compact"/>
              <w:jc w:val="left"/>
            </w:pPr>
            <w:r>
              <w:t xml:space="preserve">Allocated across total Governance Area traffic on a pro-rated basis</w:t>
            </w:r>
          </w:p>
        </w:tc>
        <w:tc>
          <w:tcPr/>
          <w:p>
            <w:pPr>
              <w:pStyle w:val="Compact"/>
              <w:jc w:val="left"/>
            </w:pPr>
            <w:r>
              <w:t xml:space="preserve">Set annually against the Directorate’s audited budget</w:t>
            </w:r>
          </w:p>
        </w:tc>
        <w:tc>
          <w:tcPr/>
          <w:p>
            <w:pPr>
              <w:pStyle w:val="Compact"/>
              <w:jc w:val="left"/>
            </w:pPr>
            <w:r>
              <w:t xml:space="preserve">Steering Council, annual budget cycle</w:t>
            </w:r>
          </w:p>
        </w:tc>
      </w:tr>
    </w:tbl>
    <w:bookmarkEnd w:id="107"/>
    <w:bookmarkStart w:id="108" w:name="c.3-the-development-windows"/>
    <w:p>
      <w:pPr>
        <w:pStyle w:val="Heading3"/>
      </w:pPr>
      <w:r>
        <w:t xml:space="preserve">C.3 The Development Windows</w:t>
      </w:r>
    </w:p>
    <w:p>
      <w:pPr>
        <w:pStyle w:val="FirstParagraph"/>
      </w:pPr>
      <w:r>
        <w:t xml:space="preserve">For the first ninety days following Charter entry into force, the Fund applies a Development Window discount of fifty percent against the standard rate card, recognizing the Authority’s initial low fixed-cost base and easing shipping-industry adjustment to the new reimbursement architecture; the discount phases out linearly over the following ninety days, reaching full rate-card pricing by Day 180 after Charter entry into force.</w:t>
      </w:r>
    </w:p>
    <w:bookmarkEnd w:id="108"/>
    <w:bookmarkStart w:id="109" w:name="c.4-payment-flow"/>
    <w:p>
      <w:pPr>
        <w:pStyle w:val="Heading3"/>
      </w:pPr>
      <w:r>
        <w:t xml:space="preserve">C.4 Payment Flow</w:t>
      </w:r>
    </w:p>
    <w:p>
      <w:pPr>
        <w:pStyle w:val="FirstParagraph"/>
      </w:pPr>
      <w:r>
        <w:t xml:space="preserve">A contributing shipping company or industry association pays into the Fund’s neutral Swiss account. Iran and Oman each submit a quarterly, itemized invoice, specifying the service category, the volume of service delivered, and supporting documentation, to the Swiss Depositary’s audit function. The Depositary’s independent auditor confirms each invoice against the Standing Logbook and the Open Water Bulletin’s published record before authorizing disbursement. Disbursement issues directly from the Fund’s neutral account to each Party’s designated civilian maritime-authority account, never through any military or Revolutionary-Guard-linked channel, consistent with the Sanctions-Compliance Firewall of Article 53.</w:t>
      </w:r>
    </w:p>
    <w:bookmarkEnd w:id="109"/>
    <w:bookmarkEnd w:id="110"/>
    <w:bookmarkStart w:id="118" w:name="X590d129f7c77e150c087e038d13b82ed7533a26"/>
    <w:p>
      <w:pPr>
        <w:pStyle w:val="Heading2"/>
      </w:pPr>
      <w:r>
        <w:t xml:space="preserve">Annex D: Communications, Formats, and Protocols</w:t>
      </w:r>
    </w:p>
    <w:bookmarkStart w:id="111" w:name="d.1-radio-plan"/>
    <w:p>
      <w:pPr>
        <w:pStyle w:val="Heading3"/>
      </w:pPr>
      <w:r>
        <w:t xml:space="preserve">D.1 Radio Plan</w:t>
      </w:r>
    </w:p>
    <w:p>
      <w:pPr>
        <w:pStyle w:val="FirstParagraph"/>
      </w:pPr>
      <w:r>
        <w:t xml:space="preserve">The Common Channel operates on a designated VHF working channel, confirmed jointly at Layer 0 activation and published in the Open Water Bulletin, supplemented by a secure satellite-phone hotline connecting the Bandar Abbas and Muscat watch floors directly, bypassing any public network.</w:t>
      </w:r>
    </w:p>
    <w:bookmarkEnd w:id="111"/>
    <w:bookmarkStart w:id="112" w:name="d.2-hotline-protocol"/>
    <w:p>
      <w:pPr>
        <w:pStyle w:val="Heading3"/>
      </w:pPr>
      <w:r>
        <w:t xml:space="preserve">D.2 Hotline Protocol</w:t>
      </w:r>
    </w:p>
    <w:p>
      <w:pPr>
        <w:pStyle w:val="FirstParagraph"/>
      </w:pPr>
      <w:r>
        <w:t xml:space="preserve">The hotline tests every six hours during Layer 0 and Layer 1, and twice daily thereafter, with each test logged in the Standing Logbook; a missed test triggers an automatic Steering Council notification if two consecutive scheduled tests fail.</w:t>
      </w:r>
    </w:p>
    <w:bookmarkEnd w:id="112"/>
    <w:bookmarkStart w:id="113" w:name="d.3-the-incident-ladder"/>
    <w:p>
      <w:pPr>
        <w:pStyle w:val="Heading3"/>
      </w:pPr>
      <w:r>
        <w:t xml:space="preserve">D.3 The Incident Ladder</w:t>
      </w:r>
    </w:p>
    <w:p>
      <w:pPr>
        <w:pStyle w:val="FirstParagraph"/>
      </w:pPr>
      <w:r>
        <w:t xml:space="preserve">An incident logged under Cluster C escalates through four rungs: Rung One, logged and monitored, no action; Rung Two, Common Channel alert issued to both watch floors; Rung Three, Calm Waters Cell or Authority convened for review within the window set by Article 31; Rung Four, Crisis-Mode Coordination activated under Article 31.1.</w:t>
      </w:r>
    </w:p>
    <w:bookmarkEnd w:id="113"/>
    <w:bookmarkStart w:id="114" w:name="d.4-the-alert-formats"/>
    <w:p>
      <w:pPr>
        <w:pStyle w:val="Heading3"/>
      </w:pPr>
      <w:r>
        <w:t xml:space="preserve">D.4 The Alert Formats</w:t>
      </w:r>
    </w:p>
    <w:p>
      <w:pPr>
        <w:pStyle w:val="FirstParagraph"/>
      </w:pPr>
      <w:r>
        <w:t xml:space="preserve">Every alert under Cluster C uses a standard five-field format: time, position, category (mechanical, drift, hazmat, debris, or small-craft), source Party, and recommended action if any, transmitted on the Common Channel and logged simultaneously in the Standing Logbook.</w:t>
      </w:r>
    </w:p>
    <w:bookmarkEnd w:id="114"/>
    <w:bookmarkStart w:id="115" w:name="d.5-the-standing-agendas"/>
    <w:p>
      <w:pPr>
        <w:pStyle w:val="Heading3"/>
      </w:pPr>
      <w:r>
        <w:t xml:space="preserve">D.5 The Standing Agendas</w:t>
      </w:r>
    </w:p>
    <w:p>
      <w:pPr>
        <w:pStyle w:val="FirstParagraph"/>
      </w:pPr>
      <w:r>
        <w:t xml:space="preserve">The Lattice Cell’s daily call follows a standing agenda: exercise status review, overnight incident review, weather and hazard bulletin confirmation, and any items either Party raises. The Calm Waters Cell’s fourteen-day Review follows a standing agenda set out in Article 30.2.</w:t>
      </w:r>
    </w:p>
    <w:bookmarkEnd w:id="115"/>
    <w:bookmarkStart w:id="116" w:name="d.6-identity-and-hospitality"/>
    <w:p>
      <w:pPr>
        <w:pStyle w:val="Heading3"/>
      </w:pPr>
      <w:r>
        <w:t xml:space="preserve">D.6 Identity and Hospitality</w:t>
      </w:r>
    </w:p>
    <w:p>
      <w:pPr>
        <w:pStyle w:val="FirstParagraph"/>
      </w:pPr>
      <w:r>
        <w:t xml:space="preserve">Personnel rotating through the co-located watch floors under Article 29.3 carry joint identification credentials issued by the Authority, recognized by both Parties’ port and security services, and each Party extends standard diplomatic-mission courtesies to the other’s rotating personnel for the duration of their posting.</w:t>
      </w:r>
    </w:p>
    <w:bookmarkEnd w:id="116"/>
    <w:bookmarkStart w:id="117" w:name="d.7-the-mariners-handbook"/>
    <w:p>
      <w:pPr>
        <w:pStyle w:val="Heading3"/>
      </w:pPr>
      <w:r>
        <w:t xml:space="preserve">D.7 The Mariners’ Handbook</w:t>
      </w:r>
    </w:p>
    <w:p>
      <w:pPr>
        <w:pStyle w:val="FirstParagraph"/>
      </w:pPr>
      <w:r>
        <w:t xml:space="preserve">The Authority publishes, within thirty days of Charter entry into force, a single Mariners’ Handbook consolidating the Notification Protocol, the corridor geometry, the Flow State system, and the hazard-symbol vocabulary into one reference document distributed through standard maritime channels, including flag-state maritime authorities and the major protection-and-indemnity clubs.</w:t>
      </w:r>
    </w:p>
    <w:bookmarkEnd w:id="117"/>
    <w:bookmarkEnd w:id="118"/>
    <w:bookmarkStart w:id="124" w:name="Xbc3e77c8463182a22795fbc29408b4f821f65a3"/>
    <w:p>
      <w:pPr>
        <w:pStyle w:val="Heading2"/>
      </w:pPr>
      <w:r>
        <w:t xml:space="preserve">Annex E: The Master Timeline, Gating Thresholds, and Consequence Schedule</w:t>
      </w:r>
    </w:p>
    <w:bookmarkStart w:id="119" w:name="e.1-the-master-timeline"/>
    <w:p>
      <w:pPr>
        <w:pStyle w:val="Heading3"/>
      </w:pPr>
      <w:r>
        <w:t xml:space="preserve">E.1 The Master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Timing</w:t>
            </w:r>
          </w:p>
        </w:tc>
        <w:tc>
          <w:tcPr/>
          <w:p>
            <w:pPr>
              <w:pStyle w:val="Compact"/>
              <w:jc w:val="left"/>
            </w:pPr>
            <w:r>
              <w:t xml:space="preserve">Signature required</w:t>
            </w:r>
          </w:p>
        </w:tc>
      </w:tr>
      <w:tr>
        <w:tc>
          <w:tcPr/>
          <w:p>
            <w:pPr>
              <w:pStyle w:val="Compact"/>
              <w:jc w:val="left"/>
            </w:pPr>
            <w:r>
              <w:t xml:space="preserve">Joint Notification of Layer 0 (Micro-Exercise Lattice)</w:t>
            </w:r>
          </w:p>
        </w:tc>
        <w:tc>
          <w:tcPr/>
          <w:p>
            <w:pPr>
              <w:pStyle w:val="Compact"/>
              <w:jc w:val="left"/>
            </w:pPr>
            <w:r>
              <w:t xml:space="preserve">Hour 0</w:t>
            </w:r>
          </w:p>
        </w:tc>
        <w:tc>
          <w:tcPr/>
          <w:p>
            <w:pPr>
              <w:pStyle w:val="Compact"/>
              <w:jc w:val="left"/>
            </w:pPr>
            <w:r>
              <w:t xml:space="preserve">No</w:t>
            </w:r>
          </w:p>
        </w:tc>
      </w:tr>
      <w:tr>
        <w:tc>
          <w:tcPr/>
          <w:p>
            <w:pPr>
              <w:pStyle w:val="Compact"/>
              <w:jc w:val="left"/>
            </w:pPr>
            <w:r>
              <w:t xml:space="preserve">Gate Zero certification</w:t>
            </w:r>
          </w:p>
        </w:tc>
        <w:tc>
          <w:tcPr/>
          <w:p>
            <w:pPr>
              <w:pStyle w:val="Compact"/>
              <w:jc w:val="left"/>
            </w:pPr>
            <w:r>
              <w:t xml:space="preserve">Hour 72</w:t>
            </w:r>
          </w:p>
        </w:tc>
        <w:tc>
          <w:tcPr/>
          <w:p>
            <w:pPr>
              <w:pStyle w:val="Compact"/>
              <w:jc w:val="left"/>
            </w:pPr>
            <w:r>
              <w:t xml:space="preserve">No</w:t>
            </w:r>
          </w:p>
        </w:tc>
      </w:tr>
      <w:tr>
        <w:tc>
          <w:tcPr/>
          <w:p>
            <w:pPr>
              <w:pStyle w:val="Compact"/>
              <w:jc w:val="left"/>
            </w:pPr>
            <w:r>
              <w:t xml:space="preserve">Corridor One and Corridor Two provisional opening (Pilot Corridor Program)</w:t>
            </w:r>
          </w:p>
        </w:tc>
        <w:tc>
          <w:tcPr/>
          <w:p>
            <w:pPr>
              <w:pStyle w:val="Compact"/>
              <w:jc w:val="left"/>
            </w:pPr>
            <w:r>
              <w:t xml:space="preserve">Hour 72 to Day 1</w:t>
            </w:r>
          </w:p>
        </w:tc>
        <w:tc>
          <w:tcPr/>
          <w:p>
            <w:pPr>
              <w:pStyle w:val="Compact"/>
              <w:jc w:val="left"/>
            </w:pPr>
            <w:r>
              <w:t xml:space="preserve">No</w:t>
            </w:r>
          </w:p>
        </w:tc>
      </w:tr>
      <w:tr>
        <w:tc>
          <w:tcPr/>
          <w:p>
            <w:pPr>
              <w:pStyle w:val="Compact"/>
              <w:jc w:val="left"/>
            </w:pPr>
            <w:r>
              <w:t xml:space="preserve">Gate One certification</w:t>
            </w:r>
          </w:p>
        </w:tc>
        <w:tc>
          <w:tcPr/>
          <w:p>
            <w:pPr>
              <w:pStyle w:val="Compact"/>
              <w:jc w:val="left"/>
            </w:pPr>
            <w:r>
              <w:t xml:space="preserve">Day 7</w:t>
            </w:r>
          </w:p>
        </w:tc>
        <w:tc>
          <w:tcPr/>
          <w:p>
            <w:pPr>
              <w:pStyle w:val="Compact"/>
              <w:jc w:val="left"/>
            </w:pPr>
            <w:r>
              <w:t xml:space="preserve">No</w:t>
            </w:r>
          </w:p>
        </w:tc>
      </w:tr>
      <w:tr>
        <w:tc>
          <w:tcPr/>
          <w:p>
            <w:pPr>
              <w:pStyle w:val="Compact"/>
              <w:jc w:val="left"/>
            </w:pPr>
            <w:r>
              <w:t xml:space="preserve">Gate Two certification</w:t>
            </w:r>
          </w:p>
        </w:tc>
        <w:tc>
          <w:tcPr/>
          <w:p>
            <w:pPr>
              <w:pStyle w:val="Compact"/>
              <w:jc w:val="left"/>
            </w:pPr>
            <w:r>
              <w:t xml:space="preserve">Day 10</w:t>
            </w:r>
          </w:p>
        </w:tc>
        <w:tc>
          <w:tcPr/>
          <w:p>
            <w:pPr>
              <w:pStyle w:val="Compact"/>
              <w:jc w:val="left"/>
            </w:pPr>
            <w:r>
              <w:t xml:space="preserve">No</w:t>
            </w:r>
          </w:p>
        </w:tc>
      </w:tr>
      <w:tr>
        <w:tc>
          <w:tcPr/>
          <w:p>
            <w:pPr>
              <w:pStyle w:val="Compact"/>
              <w:jc w:val="left"/>
            </w:pPr>
            <w:r>
              <w:t xml:space="preserve">Gate Three certification</w:t>
            </w:r>
          </w:p>
        </w:tc>
        <w:tc>
          <w:tcPr/>
          <w:p>
            <w:pPr>
              <w:pStyle w:val="Compact"/>
              <w:jc w:val="left"/>
            </w:pPr>
            <w:r>
              <w:t xml:space="preserve">Day 14</w:t>
            </w:r>
          </w:p>
        </w:tc>
        <w:tc>
          <w:tcPr/>
          <w:p>
            <w:pPr>
              <w:pStyle w:val="Compact"/>
              <w:jc w:val="left"/>
            </w:pPr>
            <w:r>
              <w:t xml:space="preserve">No</w:t>
            </w:r>
          </w:p>
        </w:tc>
      </w:tr>
      <w:tr>
        <w:tc>
          <w:tcPr/>
          <w:p>
            <w:pPr>
              <w:pStyle w:val="Compact"/>
              <w:jc w:val="left"/>
            </w:pPr>
            <w:r>
              <w:t xml:space="preserve">Gate Four certification</w:t>
            </w:r>
          </w:p>
        </w:tc>
        <w:tc>
          <w:tcPr/>
          <w:p>
            <w:pPr>
              <w:pStyle w:val="Compact"/>
              <w:jc w:val="left"/>
            </w:pPr>
            <w:r>
              <w:t xml:space="preserve">Day 18</w:t>
            </w:r>
          </w:p>
        </w:tc>
        <w:tc>
          <w:tcPr/>
          <w:p>
            <w:pPr>
              <w:pStyle w:val="Compact"/>
              <w:jc w:val="left"/>
            </w:pPr>
            <w:r>
              <w:t xml:space="preserve">No</w:t>
            </w:r>
          </w:p>
        </w:tc>
      </w:tr>
      <w:tr>
        <w:tc>
          <w:tcPr/>
          <w:p>
            <w:pPr>
              <w:pStyle w:val="Compact"/>
              <w:jc w:val="left"/>
            </w:pPr>
            <w:r>
              <w:t xml:space="preserve">Synchronized Indivisible Event (Five Integrations, Corridor Three provisional activation, first relief tranche)</w:t>
            </w:r>
          </w:p>
        </w:tc>
        <w:tc>
          <w:tcPr/>
          <w:p>
            <w:pPr>
              <w:pStyle w:val="Compact"/>
              <w:jc w:val="left"/>
            </w:pPr>
            <w:r>
              <w:t xml:space="preserve">Day 21</w:t>
            </w:r>
          </w:p>
        </w:tc>
        <w:tc>
          <w:tcPr/>
          <w:p>
            <w:pPr>
              <w:pStyle w:val="Compact"/>
              <w:jc w:val="left"/>
            </w:pPr>
            <w:r>
              <w:t xml:space="preserve">No</w:t>
            </w:r>
          </w:p>
        </w:tc>
      </w:tr>
      <w:tr>
        <w:tc>
          <w:tcPr/>
          <w:p>
            <w:pPr>
              <w:pStyle w:val="Compact"/>
              <w:jc w:val="left"/>
            </w:pPr>
            <w:r>
              <w:t xml:space="preserve">Stability Audit (Gate Five)</w:t>
            </w:r>
          </w:p>
        </w:tc>
        <w:tc>
          <w:tcPr/>
          <w:p>
            <w:pPr>
              <w:pStyle w:val="Compact"/>
              <w:jc w:val="left"/>
            </w:pPr>
            <w:r>
              <w:t xml:space="preserve">Day 21 to Day 28</w:t>
            </w:r>
          </w:p>
        </w:tc>
        <w:tc>
          <w:tcPr/>
          <w:p>
            <w:pPr>
              <w:pStyle w:val="Compact"/>
              <w:jc w:val="left"/>
            </w:pPr>
            <w:r>
              <w:t xml:space="preserve">No</w:t>
            </w:r>
          </w:p>
        </w:tc>
      </w:tr>
      <w:tr>
        <w:tc>
          <w:tcPr/>
          <w:p>
            <w:pPr>
              <w:pStyle w:val="Compact"/>
              <w:jc w:val="left"/>
            </w:pPr>
            <w:r>
              <w:t xml:space="preserve">Final Charter signature-ready</w:t>
            </w:r>
          </w:p>
        </w:tc>
        <w:tc>
          <w:tcPr/>
          <w:p>
            <w:pPr>
              <w:pStyle w:val="Compact"/>
              <w:jc w:val="left"/>
            </w:pPr>
            <w:r>
              <w:t xml:space="preserve">Day 28 to Day 30</w:t>
            </w:r>
          </w:p>
        </w:tc>
        <w:tc>
          <w:tcPr/>
          <w:p>
            <w:pPr>
              <w:pStyle w:val="Compact"/>
              <w:jc w:val="left"/>
            </w:pPr>
            <w:r>
              <w:t xml:space="preserve">Yes, this milestone only</w:t>
            </w:r>
          </w:p>
        </w:tc>
      </w:tr>
      <w:tr>
        <w:tc>
          <w:tcPr/>
          <w:p>
            <w:pPr>
              <w:pStyle w:val="Compact"/>
              <w:jc w:val="left"/>
            </w:pPr>
            <w:r>
              <w:t xml:space="preserve">Charter entry into force</w:t>
            </w:r>
          </w:p>
        </w:tc>
        <w:tc>
          <w:tcPr/>
          <w:p>
            <w:pPr>
              <w:pStyle w:val="Compact"/>
              <w:jc w:val="left"/>
            </w:pPr>
            <w:r>
              <w:t xml:space="preserve">Upon signature, no later than Day 30 target</w:t>
            </w:r>
          </w:p>
        </w:tc>
        <w:tc>
          <w:tcPr/>
          <w:p>
            <w:pPr>
              <w:pStyle w:val="Compact"/>
              <w:jc w:val="left"/>
            </w:pPr>
            <w:r>
              <w:t xml:space="preserve">Yes</w:t>
            </w:r>
          </w:p>
        </w:tc>
      </w:tr>
      <w:tr>
        <w:tc>
          <w:tcPr/>
          <w:p>
            <w:pPr>
              <w:pStyle w:val="Compact"/>
              <w:jc w:val="left"/>
            </w:pPr>
            <w:r>
              <w:t xml:space="preserve">Second relief tranche</w:t>
            </w:r>
          </w:p>
        </w:tc>
        <w:tc>
          <w:tcPr/>
          <w:p>
            <w:pPr>
              <w:pStyle w:val="Compact"/>
              <w:jc w:val="left"/>
            </w:pPr>
            <w:r>
              <w:t xml:space="preserve">Concurrent with Stability Audit certification</w:t>
            </w:r>
          </w:p>
        </w:tc>
        <w:tc>
          <w:tcPr/>
          <w:p>
            <w:pPr>
              <w:pStyle w:val="Compact"/>
              <w:jc w:val="left"/>
            </w:pPr>
            <w:r>
              <w:t xml:space="preserve">N/A (Guarantor Party action)</w:t>
            </w:r>
          </w:p>
        </w:tc>
      </w:tr>
      <w:tr>
        <w:tc>
          <w:tcPr/>
          <w:p>
            <w:pPr>
              <w:pStyle w:val="Compact"/>
              <w:jc w:val="left"/>
            </w:pPr>
            <w:r>
              <w:t xml:space="preserve">Third relief tranche</w:t>
            </w:r>
          </w:p>
        </w:tc>
        <w:tc>
          <w:tcPr/>
          <w:p>
            <w:pPr>
              <w:pStyle w:val="Compact"/>
              <w:jc w:val="left"/>
            </w:pPr>
            <w:r>
              <w:t xml:space="preserve">Concurrent with Charter entry into force</w:t>
            </w:r>
          </w:p>
        </w:tc>
        <w:tc>
          <w:tcPr/>
          <w:p>
            <w:pPr>
              <w:pStyle w:val="Compact"/>
              <w:jc w:val="left"/>
            </w:pPr>
            <w:r>
              <w:t xml:space="preserve">N/A (Guarantor Party action)</w:t>
            </w:r>
          </w:p>
        </w:tc>
      </w:tr>
    </w:tbl>
    <w:bookmarkEnd w:id="119"/>
    <w:bookmarkStart w:id="120" w:name="e.2-the-gating-table"/>
    <w:p>
      <w:pPr>
        <w:pStyle w:val="Heading3"/>
      </w:pPr>
      <w:r>
        <w:t xml:space="preserve">E.2 The Gating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Certifying Article</w:t>
            </w:r>
          </w:p>
        </w:tc>
        <w:tc>
          <w:tcPr/>
          <w:p>
            <w:pPr>
              <w:pStyle w:val="Compact"/>
              <w:jc w:val="left"/>
            </w:pPr>
            <w:r>
              <w:t xml:space="preserve">Core criteria</w:t>
            </w:r>
          </w:p>
        </w:tc>
      </w:tr>
      <w:tr>
        <w:tc>
          <w:tcPr/>
          <w:p>
            <w:pPr>
              <w:pStyle w:val="Compact"/>
              <w:jc w:val="left"/>
            </w:pPr>
            <w:r>
              <w:t xml:space="preserve">Gate Zero</w:t>
            </w:r>
          </w:p>
        </w:tc>
        <w:tc>
          <w:tcPr/>
          <w:p>
            <w:pPr>
              <w:pStyle w:val="Compact"/>
              <w:jc w:val="left"/>
            </w:pPr>
            <w:r>
              <w:t xml:space="preserve">Article 17</w:t>
            </w:r>
          </w:p>
        </w:tc>
        <w:tc>
          <w:tcPr/>
          <w:p>
            <w:pPr>
              <w:pStyle w:val="Compact"/>
              <w:jc w:val="left"/>
            </w:pPr>
            <w:r>
              <w:t xml:space="preserve">Zero interdiction incidents; forty of fifty exercises active; Common Channel operating</w:t>
            </w:r>
          </w:p>
        </w:tc>
      </w:tr>
      <w:tr>
        <w:tc>
          <w:tcPr/>
          <w:p>
            <w:pPr>
              <w:pStyle w:val="Compact"/>
              <w:jc w:val="left"/>
            </w:pPr>
            <w:r>
              <w:t xml:space="preserve">Gate One</w:t>
            </w:r>
          </w:p>
        </w:tc>
        <w:tc>
          <w:tcPr/>
          <w:p>
            <w:pPr>
              <w:pStyle w:val="Compact"/>
              <w:jc w:val="left"/>
            </w:pPr>
            <w:r>
              <w:t xml:space="preserve">Article 22</w:t>
            </w:r>
          </w:p>
        </w:tc>
        <w:tc>
          <w:tcPr/>
          <w:p>
            <w:pPr>
              <w:pStyle w:val="Compact"/>
              <w:jc w:val="left"/>
            </w:pPr>
            <w:r>
              <w:t xml:space="preserve">Both corridors operating without interdiction; at least one hundred transits; Common Channel reliability</w:t>
            </w:r>
          </w:p>
        </w:tc>
      </w:tr>
      <w:tr>
        <w:tc>
          <w:tcPr/>
          <w:p>
            <w:pPr>
              <w:pStyle w:val="Compact"/>
              <w:jc w:val="left"/>
            </w:pPr>
            <w:r>
              <w:t xml:space="preserve">Gate Two</w:t>
            </w:r>
          </w:p>
        </w:tc>
        <w:tc>
          <w:tcPr/>
          <w:p>
            <w:pPr>
              <w:pStyle w:val="Compact"/>
              <w:jc w:val="left"/>
            </w:pPr>
            <w:r>
              <w:t xml:space="preserve">Article 27</w:t>
            </w:r>
          </w:p>
        </w:tc>
        <w:tc>
          <w:tcPr/>
          <w:p>
            <w:pPr>
              <w:pStyle w:val="Compact"/>
              <w:jc w:val="left"/>
            </w:pPr>
            <w:r>
              <w:t xml:space="preserve">Incident-Alert Mesh stable five days; one successful joint response; uninterrupted weather service</w:t>
            </w:r>
          </w:p>
        </w:tc>
      </w:tr>
      <w:tr>
        <w:tc>
          <w:tcPr/>
          <w:p>
            <w:pPr>
              <w:pStyle w:val="Compact"/>
              <w:jc w:val="left"/>
            </w:pPr>
            <w:r>
              <w:t xml:space="preserve">Gate Three</w:t>
            </w:r>
          </w:p>
        </w:tc>
        <w:tc>
          <w:tcPr/>
          <w:p>
            <w:pPr>
              <w:pStyle w:val="Compact"/>
              <w:jc w:val="left"/>
            </w:pPr>
            <w:r>
              <w:t xml:space="preserve">Article 32</w:t>
            </w:r>
          </w:p>
        </w:tc>
        <w:tc>
          <w:tcPr/>
          <w:p>
            <w:pPr>
              <w:pStyle w:val="Compact"/>
              <w:jc w:val="left"/>
            </w:pPr>
            <w:r>
              <w:t xml:space="preserve">One Review cycle complete; both watch floors continuously staffed; no unresolved crisis episode</w:t>
            </w:r>
          </w:p>
        </w:tc>
      </w:tr>
      <w:tr>
        <w:tc>
          <w:tcPr/>
          <w:p>
            <w:pPr>
              <w:pStyle w:val="Compact"/>
              <w:jc w:val="left"/>
            </w:pPr>
            <w:r>
              <w:t xml:space="preserve">Gate Four</w:t>
            </w:r>
          </w:p>
        </w:tc>
        <w:tc>
          <w:tcPr/>
          <w:p>
            <w:pPr>
              <w:pStyle w:val="Compact"/>
              <w:jc w:val="left"/>
            </w:pPr>
            <w:r>
              <w:t xml:space="preserve">Article 37</w:t>
            </w:r>
          </w:p>
        </w:tc>
        <w:tc>
          <w:tcPr/>
          <w:p>
            <w:pPr>
              <w:pStyle w:val="Compact"/>
              <w:jc w:val="left"/>
            </w:pPr>
            <w:r>
              <w:t xml:space="preserve">Fee Simulation complete; Traffic Simulation complete; results within both Parties’ acceptable range</w:t>
            </w:r>
          </w:p>
        </w:tc>
      </w:tr>
      <w:tr>
        <w:tc>
          <w:tcPr/>
          <w:p>
            <w:pPr>
              <w:pStyle w:val="Compact"/>
              <w:jc w:val="left"/>
            </w:pPr>
            <w:r>
              <w:t xml:space="preserve">Gate Five (Stability Audit)</w:t>
            </w:r>
          </w:p>
        </w:tc>
        <w:tc>
          <w:tcPr/>
          <w:p>
            <w:pPr>
              <w:pStyle w:val="Compact"/>
              <w:jc w:val="left"/>
            </w:pPr>
            <w:r>
              <w:t xml:space="preserve">Article 41</w:t>
            </w:r>
          </w:p>
        </w:tc>
        <w:tc>
          <w:tcPr/>
          <w:p>
            <w:pPr>
              <w:pStyle w:val="Compact"/>
              <w:jc w:val="left"/>
            </w:pPr>
            <w:r>
              <w:t xml:space="preserve">Zero interdiction incidents; throughput within projected range; reimbursement figures consistent; no unresolved crisis episode; IMO geometry confirmation</w:t>
            </w:r>
          </w:p>
        </w:tc>
      </w:tr>
    </w:tbl>
    <w:bookmarkEnd w:id="120"/>
    <w:bookmarkStart w:id="121" w:name="X4423eac0ab956673355151ca1eb1cd7fdc8ab8f"/>
    <w:p>
      <w:pPr>
        <w:pStyle w:val="Heading3"/>
      </w:pPr>
      <w:r>
        <w:t xml:space="preserve">E.3 The Event Script (Synchronized Indivisible Hour, Day 21)</w:t>
      </w:r>
    </w:p>
    <w:p>
      <w:pPr>
        <w:pStyle w:val="FirstParagraph"/>
      </w:pPr>
      <w:r>
        <w:t xml:space="preserve">Minute 0: Joint Notification of the Five Integrations transmitted simultaneously by Iran and Oman to the Depositary. Minute 5: Corridor Three provisional activation confirmed on the Common Channel and published in the Open Water Bulletin. Minute 10: Calm Waters Cell formally transitions to the expanded Authority structure pending Charter signature. Minute 15: United States confirms, through its own channel, the first tranche of naval blockade drawdown under Article 58.2. Minute 20: United States confirms the first tranche of sanctions relief under Article 58.3. Minute 25: United States confirms the first tranche of frozen-asset release under Article 58.4. Minute 30: Joint public statement issued simultaneously by Iran, Oman, and the United States, each using its own domestically calibrated language, framing the Open Strait Package under Article 40. Minute 45: International Maritime Organization issues its own confirming statement as Technical Observer. Minute 60: Stability Audit window formally opens under Article 41.</w:t>
      </w:r>
    </w:p>
    <w:bookmarkEnd w:id="121"/>
    <w:bookmarkStart w:id="122" w:name="e.4-the-consequence-schedule"/>
    <w:p>
      <w:pPr>
        <w:pStyle w:val="Heading3"/>
      </w:pPr>
      <w:r>
        <w:t xml:space="preserve">E.4 The Consequence 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Violation type</w:t>
            </w:r>
          </w:p>
        </w:tc>
        <w:tc>
          <w:tcPr/>
          <w:p>
            <w:pPr>
              <w:pStyle w:val="Compact"/>
              <w:jc w:val="left"/>
            </w:pPr>
            <w:r>
              <w:t xml:space="preserve">First-tier response</w:t>
            </w:r>
          </w:p>
        </w:tc>
        <w:tc>
          <w:tcPr/>
          <w:p>
            <w:pPr>
              <w:pStyle w:val="Compact"/>
              <w:jc w:val="left"/>
            </w:pPr>
            <w:r>
              <w:t xml:space="preserve">Second-tier response</w:t>
            </w:r>
          </w:p>
        </w:tc>
      </w:tr>
      <w:tr>
        <w:tc>
          <w:tcPr/>
          <w:p>
            <w:pPr>
              <w:pStyle w:val="Compact"/>
              <w:jc w:val="left"/>
            </w:pPr>
            <w:r>
              <w:t xml:space="preserve">Interdiction of a compliant commercial vessel</w:t>
            </w:r>
          </w:p>
        </w:tc>
        <w:tc>
          <w:tcPr/>
          <w:p>
            <w:pPr>
              <w:pStyle w:val="Compact"/>
              <w:jc w:val="left"/>
            </w:pPr>
            <w:r>
              <w:t xml:space="preserve">Automatic Steering Council review within 24 hours</w:t>
            </w:r>
          </w:p>
        </w:tc>
        <w:tc>
          <w:tcPr/>
          <w:p>
            <w:pPr>
              <w:pStyle w:val="Compact"/>
              <w:jc w:val="left"/>
            </w:pPr>
            <w:r>
              <w:t xml:space="preserve">Automatic Amber Flow State for the affected cell pending review</w:t>
            </w:r>
          </w:p>
        </w:tc>
      </w:tr>
      <w:tr>
        <w:tc>
          <w:tcPr/>
          <w:p>
            <w:pPr>
              <w:pStyle w:val="Compact"/>
              <w:jc w:val="left"/>
            </w:pPr>
            <w:r>
              <w:t xml:space="preserve">Mine-exclusion breach</w:t>
            </w:r>
          </w:p>
        </w:tc>
        <w:tc>
          <w:tcPr/>
          <w:p>
            <w:pPr>
              <w:pStyle w:val="Compact"/>
              <w:jc w:val="left"/>
            </w:pPr>
            <w:r>
              <w:t xml:space="preserve">Automatic Steering Council review within 24 hours</w:t>
            </w:r>
          </w:p>
        </w:tc>
        <w:tc>
          <w:tcPr/>
          <w:p>
            <w:pPr>
              <w:pStyle w:val="Compact"/>
              <w:jc w:val="left"/>
            </w:pPr>
            <w:r>
              <w:t xml:space="preserve">Automatic Red Flow State for the affected cell until resurvey</w:t>
            </w:r>
          </w:p>
        </w:tc>
      </w:tr>
      <w:tr>
        <w:tc>
          <w:tcPr/>
          <w:p>
            <w:pPr>
              <w:pStyle w:val="Compact"/>
              <w:jc w:val="left"/>
            </w:pPr>
            <w:r>
              <w:t xml:space="preserve">Toll or fee charged in violation of Article 51</w:t>
            </w:r>
          </w:p>
        </w:tc>
        <w:tc>
          <w:tcPr/>
          <w:p>
            <w:pPr>
              <w:pStyle w:val="Compact"/>
              <w:jc w:val="left"/>
            </w:pPr>
            <w:r>
              <w:t xml:space="preserve">Automatic Steering Council review within 24 hours</w:t>
            </w:r>
          </w:p>
        </w:tc>
        <w:tc>
          <w:tcPr/>
          <w:p>
            <w:pPr>
              <w:pStyle w:val="Compact"/>
              <w:jc w:val="left"/>
            </w:pPr>
            <w:r>
              <w:t xml:space="preserve">Suspension of the offending invoice from Fund processing pending review</w:t>
            </w:r>
          </w:p>
        </w:tc>
      </w:tr>
      <w:tr>
        <w:tc>
          <w:tcPr/>
          <w:p>
            <w:pPr>
              <w:pStyle w:val="Compact"/>
              <w:jc w:val="left"/>
            </w:pPr>
            <w:r>
              <w:t xml:space="preserve">Sanctions-Compliance Firewall circumvention attempt</w:t>
            </w:r>
          </w:p>
        </w:tc>
        <w:tc>
          <w:tcPr/>
          <w:p>
            <w:pPr>
              <w:pStyle w:val="Compact"/>
              <w:jc w:val="left"/>
            </w:pPr>
            <w:r>
              <w:t xml:space="preserve">Automatic Steering Council review within 24 hours</w:t>
            </w:r>
          </w:p>
        </w:tc>
        <w:tc>
          <w:tcPr/>
          <w:p>
            <w:pPr>
              <w:pStyle w:val="Compact"/>
              <w:jc w:val="left"/>
            </w:pPr>
            <w:r>
              <w:t xml:space="preserve">Suspension of the specific payment arrangement pending review</w:t>
            </w:r>
          </w:p>
        </w:tc>
      </w:tr>
      <w:tr>
        <w:tc>
          <w:tcPr/>
          <w:p>
            <w:pPr>
              <w:pStyle w:val="Compact"/>
              <w:jc w:val="left"/>
            </w:pPr>
            <w:r>
              <w:t xml:space="preserve">Common Channel non-response exceeding fifteen minutes during an active incident</w:t>
            </w:r>
          </w:p>
        </w:tc>
        <w:tc>
          <w:tcPr/>
          <w:p>
            <w:pPr>
              <w:pStyle w:val="Compact"/>
              <w:jc w:val="left"/>
            </w:pPr>
            <w:r>
              <w:t xml:space="preserve">Automatic Lattice Cell or Calm Waters Cell notation</w:t>
            </w:r>
          </w:p>
        </w:tc>
        <w:tc>
          <w:tcPr/>
          <w:p>
            <w:pPr>
              <w:pStyle w:val="Compact"/>
              <w:jc w:val="left"/>
            </w:pPr>
            <w:r>
              <w:t xml:space="preserve">Escalation to Crisis-Mode Coordination if unresolved within one hour</w:t>
            </w:r>
          </w:p>
        </w:tc>
      </w:tr>
    </w:tbl>
    <w:bookmarkEnd w:id="122"/>
    <w:bookmarkStart w:id="123" w:name="e.5-stability-audit-thresholds"/>
    <w:p>
      <w:pPr>
        <w:pStyle w:val="Heading3"/>
      </w:pPr>
      <w:r>
        <w:t xml:space="preserve">E.5 Stability Audit Thresholds</w:t>
      </w:r>
    </w:p>
    <w:p>
      <w:pPr>
        <w:pStyle w:val="FirstParagraph"/>
      </w:pPr>
      <w:r>
        <w:t xml:space="preserve">Zero attributable interdiction incidents over the audit window. Corridor throughput within fifteen percent of the range the Traffic Simulation of Article 35 projected. Reimbursement figures within twenty percent of the Fee Simulation’s projection under Article 34. No Crisis-Mode Coordination episode open at the close of the window. International Maritime Organization written confirmation that operating corridor geometry matches Annex A within charted tolerance.</w:t>
      </w:r>
    </w:p>
    <w:bookmarkEnd w:id="123"/>
    <w:bookmarkEnd w:id="124"/>
    <w:bookmarkStart w:id="125" w:name="annex-f-the-red-lines-register-full"/>
    <w:p>
      <w:pPr>
        <w:pStyle w:val="Heading2"/>
      </w:pPr>
      <w:r>
        <w:t xml:space="preserve">Annex F: The Red Lines Register (Full)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Party</w:t>
            </w:r>
          </w:p>
        </w:tc>
        <w:tc>
          <w:tcPr/>
          <w:p>
            <w:pPr>
              <w:pStyle w:val="Compact"/>
              <w:jc w:val="left"/>
            </w:pPr>
            <w:r>
              <w:t xml:space="preserve">Red line, stated in full</w:t>
            </w:r>
          </w:p>
        </w:tc>
        <w:tc>
          <w:tcPr/>
          <w:p>
            <w:pPr>
              <w:pStyle w:val="Compact"/>
              <w:jc w:val="left"/>
            </w:pPr>
            <w:r>
              <w:t xml:space="preserve">Source</w:t>
            </w:r>
          </w:p>
        </w:tc>
        <w:tc>
          <w:tcPr/>
          <w:p>
            <w:pPr>
              <w:pStyle w:val="Compact"/>
              <w:jc w:val="left"/>
            </w:pPr>
            <w:r>
              <w:t xml:space="preserve">Honored by</w:t>
            </w:r>
          </w:p>
        </w:tc>
      </w:tr>
      <w:tr>
        <w:tc>
          <w:tcPr/>
          <w:p>
            <w:pPr>
              <w:pStyle w:val="Compact"/>
              <w:jc w:val="left"/>
            </w:pPr>
            <w:r>
              <w:t xml:space="preserve">United States</w:t>
            </w:r>
          </w:p>
        </w:tc>
        <w:tc>
          <w:tcPr/>
          <w:p>
            <w:pPr>
              <w:pStyle w:val="Compact"/>
              <w:jc w:val="left"/>
            </w:pPr>
            <w:r>
              <w:t xml:space="preserve">No toll, fee, or charge of any kind attaches to the right of passage through the Strait, for any vessel, at any time</w:t>
            </w:r>
          </w:p>
        </w:tc>
        <w:tc>
          <w:tcPr/>
          <w:p>
            <w:pPr>
              <w:pStyle w:val="Compact"/>
              <w:jc w:val="left"/>
            </w:pPr>
            <w:r>
              <w:t xml:space="preserve">Secretary of State and presidential statements, June to August 2026</w:t>
            </w:r>
          </w:p>
        </w:tc>
        <w:tc>
          <w:tcPr/>
          <w:p>
            <w:pPr>
              <w:pStyle w:val="Compact"/>
              <w:jc w:val="left"/>
            </w:pPr>
            <w:r>
              <w:t xml:space="preserve">Article 51.1, Article 53</w:t>
            </w:r>
          </w:p>
        </w:tc>
      </w:tr>
      <w:tr>
        <w:tc>
          <w:tcPr/>
          <w:p>
            <w:pPr>
              <w:pStyle w:val="Compact"/>
              <w:jc w:val="left"/>
            </w:pPr>
            <w:r>
              <w:t xml:space="preserve">United States</w:t>
            </w:r>
          </w:p>
        </w:tc>
        <w:tc>
          <w:tcPr/>
          <w:p>
            <w:pPr>
              <w:pStyle w:val="Compact"/>
              <w:jc w:val="left"/>
            </w:pPr>
            <w:r>
              <w:t xml:space="preserve">No US person or entity may receive a</w:t>
            </w:r>
            <w:r>
              <w:t xml:space="preserve"> </w:t>
            </w:r>
            <w:r>
              <w:t xml:space="preserve">“</w:t>
            </w:r>
            <w:r>
              <w:t xml:space="preserve">guarantee of safe passage</w:t>
            </w:r>
            <w:r>
              <w:t xml:space="preserve">”</w:t>
            </w:r>
            <w:r>
              <w:t xml:space="preserve"> </w:t>
            </w:r>
            <w:r>
              <w:t xml:space="preserve">as a service from an Iranian entity, including where no payment is involved</w:t>
            </w:r>
          </w:p>
        </w:tc>
        <w:tc>
          <w:tcPr/>
          <w:p>
            <w:pPr>
              <w:pStyle w:val="Compact"/>
              <w:jc w:val="left"/>
            </w:pPr>
            <w:r>
              <w:t xml:space="preserve">OFAC guidance accompanying the PGSA’s Specially Designated National listing</w:t>
            </w:r>
          </w:p>
        </w:tc>
        <w:tc>
          <w:tcPr/>
          <w:p>
            <w:pPr>
              <w:pStyle w:val="Compact"/>
              <w:jc w:val="left"/>
            </w:pPr>
            <w:r>
              <w:t xml:space="preserve">Article 44.2, Article 49.4, Article 54</w:t>
            </w:r>
          </w:p>
        </w:tc>
      </w:tr>
      <w:tr>
        <w:tc>
          <w:tcPr/>
          <w:p>
            <w:pPr>
              <w:pStyle w:val="Compact"/>
              <w:jc w:val="left"/>
            </w:pPr>
            <w:r>
              <w:t xml:space="preserve">United States</w:t>
            </w:r>
          </w:p>
        </w:tc>
        <w:tc>
          <w:tcPr/>
          <w:p>
            <w:pPr>
              <w:pStyle w:val="Compact"/>
              <w:jc w:val="left"/>
            </w:pPr>
            <w:r>
              <w:t xml:space="preserve">The Strait’s governance may not appear to legitimize unilateral Iranian sovereign control over an international waterway</w:t>
            </w:r>
          </w:p>
        </w:tc>
        <w:tc>
          <w:tcPr/>
          <w:p>
            <w:pPr>
              <w:pStyle w:val="Compact"/>
              <w:jc w:val="left"/>
            </w:pPr>
            <w:r>
              <w:t xml:space="preserve">Repeated US statements insisting on freedom-of-navigation principles</w:t>
            </w:r>
          </w:p>
        </w:tc>
        <w:tc>
          <w:tcPr/>
          <w:p>
            <w:pPr>
              <w:pStyle w:val="Compact"/>
              <w:jc w:val="left"/>
            </w:pPr>
            <w:r>
              <w:t xml:space="preserve">Article 3.1, Article 42, Article 46</w:t>
            </w:r>
          </w:p>
        </w:tc>
      </w:tr>
      <w:tr>
        <w:tc>
          <w:tcPr/>
          <w:p>
            <w:pPr>
              <w:pStyle w:val="Compact"/>
              <w:jc w:val="left"/>
            </w:pPr>
            <w:r>
              <w:t xml:space="preserve">Islamic Republic of Iran</w:t>
            </w:r>
          </w:p>
        </w:tc>
        <w:tc>
          <w:tcPr/>
          <w:p>
            <w:pPr>
              <w:pStyle w:val="Compact"/>
              <w:jc w:val="left"/>
            </w:pPr>
            <w:r>
              <w:t xml:space="preserve">The Strait’s governance does not revert to the pre-conflict arrangement in which Iran held no formal administrative role</w:t>
            </w:r>
          </w:p>
        </w:tc>
        <w:tc>
          <w:tcPr/>
          <w:p>
            <w:pPr>
              <w:pStyle w:val="Compact"/>
              <w:jc w:val="left"/>
            </w:pPr>
            <w:r>
              <w:t xml:space="preserve">Deputy Foreign Minister Gharibabadi, August 2026</w:t>
            </w:r>
          </w:p>
        </w:tc>
        <w:tc>
          <w:tcPr/>
          <w:p>
            <w:pPr>
              <w:pStyle w:val="Compact"/>
              <w:jc w:val="left"/>
            </w:pPr>
            <w:r>
              <w:t xml:space="preserve">Article 49.1, Article 54.3</w:t>
            </w:r>
          </w:p>
        </w:tc>
      </w:tr>
      <w:tr>
        <w:tc>
          <w:tcPr/>
          <w:p>
            <w:pPr>
              <w:pStyle w:val="Compact"/>
              <w:jc w:val="left"/>
            </w:pPr>
            <w:r>
              <w:t xml:space="preserve">Islamic Republic of Iran</w:t>
            </w:r>
          </w:p>
        </w:tc>
        <w:tc>
          <w:tcPr/>
          <w:p>
            <w:pPr>
              <w:pStyle w:val="Compact"/>
              <w:jc w:val="left"/>
            </w:pPr>
            <w:r>
              <w:t xml:space="preserve">Iran receives compensation for the coastal-state services it provides</w:t>
            </w:r>
          </w:p>
        </w:tc>
        <w:tc>
          <w:tcPr/>
          <w:p>
            <w:pPr>
              <w:pStyle w:val="Compact"/>
              <w:jc w:val="left"/>
            </w:pPr>
            <w:r>
              <w:t xml:space="preserve">Iranian officials’ repeated statements on service-based fees, June to August 2026</w:t>
            </w:r>
          </w:p>
        </w:tc>
        <w:tc>
          <w:tcPr/>
          <w:p>
            <w:pPr>
              <w:pStyle w:val="Compact"/>
              <w:jc w:val="left"/>
            </w:pPr>
            <w:r>
              <w:t xml:space="preserve">Article 51.2, Annex C</w:t>
            </w:r>
          </w:p>
        </w:tc>
      </w:tr>
      <w:tr>
        <w:tc>
          <w:tcPr/>
          <w:p>
            <w:pPr>
              <w:pStyle w:val="Compact"/>
              <w:jc w:val="left"/>
            </w:pPr>
            <w:r>
              <w:t xml:space="preserve">Islamic Republic of Iran</w:t>
            </w:r>
          </w:p>
        </w:tc>
        <w:tc>
          <w:tcPr/>
          <w:p>
            <w:pPr>
              <w:pStyle w:val="Compact"/>
              <w:jc w:val="left"/>
            </w:pPr>
            <w:r>
              <w:t xml:space="preserve">No element of any Strait arrangement functions as a vehicle for nuclear disarmament, uranium surrender, or political transformation</w:t>
            </w:r>
          </w:p>
        </w:tc>
        <w:tc>
          <w:tcPr/>
          <w:p>
            <w:pPr>
              <w:pStyle w:val="Compact"/>
              <w:jc w:val="left"/>
            </w:pPr>
            <w:r>
              <w:t xml:space="preserve">Iranian rejection of any linkage between Strait governance and internal political change</w:t>
            </w:r>
          </w:p>
        </w:tc>
        <w:tc>
          <w:tcPr/>
          <w:p>
            <w:pPr>
              <w:pStyle w:val="Compact"/>
              <w:jc w:val="left"/>
            </w:pPr>
            <w:r>
              <w:t xml:space="preserve">Article 6</w:t>
            </w:r>
          </w:p>
        </w:tc>
      </w:tr>
      <w:tr>
        <w:tc>
          <w:tcPr/>
          <w:p>
            <w:pPr>
              <w:pStyle w:val="Compact"/>
              <w:jc w:val="left"/>
            </w:pPr>
            <w:r>
              <w:t xml:space="preserve">Islamic Republic of Iran</w:t>
            </w:r>
          </w:p>
        </w:tc>
        <w:tc>
          <w:tcPr/>
          <w:p>
            <w:pPr>
              <w:pStyle w:val="Compact"/>
              <w:jc w:val="left"/>
            </w:pPr>
            <w:r>
              <w:t xml:space="preserve">The naval blockade lifts, sanctions ease, and frozen assets release before or alongside any durable Strait arrangement</w:t>
            </w:r>
          </w:p>
        </w:tc>
        <w:tc>
          <w:tcPr/>
          <w:p>
            <w:pPr>
              <w:pStyle w:val="Compact"/>
              <w:jc w:val="left"/>
            </w:pPr>
            <w:r>
              <w:t xml:space="preserve">Supreme National Security Council’s six preconditions, 9 August 2026</w:t>
            </w:r>
          </w:p>
        </w:tc>
        <w:tc>
          <w:tcPr/>
          <w:p>
            <w:pPr>
              <w:pStyle w:val="Compact"/>
              <w:jc w:val="left"/>
            </w:pPr>
            <w:r>
              <w:t xml:space="preserve">Article 58</w:t>
            </w:r>
          </w:p>
        </w:tc>
      </w:tr>
      <w:tr>
        <w:tc>
          <w:tcPr/>
          <w:p>
            <w:pPr>
              <w:pStyle w:val="Compact"/>
              <w:jc w:val="left"/>
            </w:pPr>
            <w:r>
              <w:t xml:space="preserve">Sultanate of Oman</w:t>
            </w:r>
          </w:p>
        </w:tc>
        <w:tc>
          <w:tcPr/>
          <w:p>
            <w:pPr>
              <w:pStyle w:val="Compact"/>
              <w:jc w:val="left"/>
            </w:pPr>
            <w:r>
              <w:t xml:space="preserve">Oman’s territorial waters and its administration of the southern corridor remain fully under Omani control</w:t>
            </w:r>
          </w:p>
        </w:tc>
        <w:tc>
          <w:tcPr/>
          <w:p>
            <w:pPr>
              <w:pStyle w:val="Compact"/>
              <w:jc w:val="left"/>
            </w:pPr>
            <w:r>
              <w:t xml:space="preserve">Longstanding Omani position, reaffirmed throughout 2026 talks</w:t>
            </w:r>
          </w:p>
        </w:tc>
        <w:tc>
          <w:tcPr/>
          <w:p>
            <w:pPr>
              <w:pStyle w:val="Compact"/>
              <w:jc w:val="left"/>
            </w:pPr>
            <w:r>
              <w:t xml:space="preserve">Article 42.2</w:t>
            </w:r>
          </w:p>
        </w:tc>
      </w:tr>
      <w:tr>
        <w:tc>
          <w:tcPr/>
          <w:p>
            <w:pPr>
              <w:pStyle w:val="Compact"/>
              <w:jc w:val="left"/>
            </w:pPr>
            <w:r>
              <w:t xml:space="preserve">Sultanate of Oman</w:t>
            </w:r>
          </w:p>
        </w:tc>
        <w:tc>
          <w:tcPr/>
          <w:p>
            <w:pPr>
              <w:pStyle w:val="Compact"/>
              <w:jc w:val="left"/>
            </w:pPr>
            <w:r>
              <w:t xml:space="preserve">Any financial mechanism is voluntary and service-based, never a mandatory toll</w:t>
            </w:r>
          </w:p>
        </w:tc>
        <w:tc>
          <w:tcPr/>
          <w:p>
            <w:pPr>
              <w:pStyle w:val="Compact"/>
              <w:jc w:val="left"/>
            </w:pPr>
            <w:r>
              <w:t xml:space="preserve">Foreign Minister Badr al-Busaidi’s public statements, June 2026</w:t>
            </w:r>
          </w:p>
        </w:tc>
        <w:tc>
          <w:tcPr/>
          <w:p>
            <w:pPr>
              <w:pStyle w:val="Compact"/>
              <w:jc w:val="left"/>
            </w:pPr>
            <w:r>
              <w:t xml:space="preserve">Annex C.2</w:t>
            </w:r>
          </w:p>
        </w:tc>
      </w:tr>
      <w:tr>
        <w:tc>
          <w:tcPr/>
          <w:p>
            <w:pPr>
              <w:pStyle w:val="Compact"/>
              <w:jc w:val="left"/>
            </w:pPr>
            <w:r>
              <w:t xml:space="preserve">Gulf Cooperation Council states</w:t>
            </w:r>
          </w:p>
        </w:tc>
        <w:tc>
          <w:tcPr/>
          <w:p>
            <w:pPr>
              <w:pStyle w:val="Compact"/>
              <w:jc w:val="left"/>
            </w:pPr>
            <w:r>
              <w:t xml:space="preserve">No arrangement excludes the broader Gulf littoral and near-littoral states from consultation on matters affecting regional shipping</w:t>
            </w:r>
          </w:p>
        </w:tc>
        <w:tc>
          <w:tcPr/>
          <w:p>
            <w:pPr>
              <w:pStyle w:val="Compact"/>
              <w:jc w:val="left"/>
            </w:pPr>
            <w:r>
              <w:t xml:space="preserve">GCC and individual member-state statements throughout 2026</w:t>
            </w:r>
          </w:p>
        </w:tc>
        <w:tc>
          <w:tcPr/>
          <w:p>
            <w:pPr>
              <w:pStyle w:val="Compact"/>
              <w:jc w:val="left"/>
            </w:pPr>
            <w:r>
              <w:t xml:space="preserve">Article 58.6, Article 59</w:t>
            </w:r>
          </w:p>
        </w:tc>
      </w:tr>
    </w:tbl>
    <w:bookmarkEnd w:id="125"/>
    <w:bookmarkStart w:id="133" w:name="X9896190ad96d5e9e6f214b9c70ea7fd788a8201"/>
    <w:p>
      <w:pPr>
        <w:pStyle w:val="Heading2"/>
      </w:pPr>
      <w:r>
        <w:t xml:space="preserve">Annex G: The Synchronized Relief and Claims Track</w:t>
      </w:r>
    </w:p>
    <w:bookmarkStart w:id="126" w:name="g.1-purpose"/>
    <w:p>
      <w:pPr>
        <w:pStyle w:val="Heading3"/>
      </w:pPr>
      <w:r>
        <w:t xml:space="preserve">G.1 Purpose</w:t>
      </w:r>
    </w:p>
    <w:p>
      <w:pPr>
        <w:pStyle w:val="FirstParagraph"/>
      </w:pPr>
      <w:r>
        <w:t xml:space="preserve">This Annex elaborates Article 58’s synchronized relief track and establishes the Hormuz Claims Commission referenced in Article 58.5, addressing the compensation, sanctions, blockade, and frozen-asset questions this Pact deliberately routes outside the Strait’s own governance architecture.</w:t>
      </w:r>
    </w:p>
    <w:bookmarkEnd w:id="126"/>
    <w:bookmarkStart w:id="127" w:name="Xdd734c22d34e70ab3e5a50eda3e5ac33eb9dc87"/>
    <w:p>
      <w:pPr>
        <w:pStyle w:val="Heading3"/>
      </w:pPr>
      <w:r>
        <w:t xml:space="preserve">G.2 The Naval Blockade Drawdown, in Detail</w:t>
      </w:r>
    </w:p>
    <w:p>
      <w:pPr>
        <w:pStyle w:val="FirstParagraph"/>
      </w:pPr>
      <w:r>
        <w:t xml:space="preserve">Tranche One, executed inside the Synchronized Indivisible Event of Article 39: the United States confirms a reduction in interdiction posture around Iranian commercial ports handling non-military cargo, verified through the Compliance Engine’s transparency mechanisms. Tranche Two, executed upon Stability Audit certification: further reduction, scoped to a level negotiated directly between Iran and the United States and calendared against this Pact’s own Gates rather than against a separately negotiated timeline. Tranche Three, executed upon Charter entry into force: full drawdown to the posture in place before the crisis, absent a specific, individualized security exception either side documents and communicates through diplomatic channels.</w:t>
      </w:r>
    </w:p>
    <w:bookmarkEnd w:id="127"/>
    <w:bookmarkStart w:id="128" w:name="g.3-sanctions-relief-in-detail"/>
    <w:p>
      <w:pPr>
        <w:pStyle w:val="Heading3"/>
      </w:pPr>
      <w:r>
        <w:t xml:space="preserve">G.3 Sanctions Relief, in Detail</w:t>
      </w:r>
    </w:p>
    <w:p>
      <w:pPr>
        <w:pStyle w:val="FirstParagraph"/>
      </w:pPr>
      <w:r>
        <w:t xml:space="preserve">The maritime and humanitarian-trade relief of Tranche One and the Fund-channel-specific relief of Tranche Two proceed under the same synchronized calendar as the blockade drawdown. Comprehensive sanctions relief at Tranche Three proceeds under terms negotiated directly between Iran and the United States as part of the broader settlement process the Islamabad Memorandum of Understanding’s remaining articles govern, a process this Pact supports by demonstrating the Strait’s stability but does not purport to conduct itself.</w:t>
      </w:r>
    </w:p>
    <w:bookmarkEnd w:id="128"/>
    <w:bookmarkStart w:id="129" w:name="g.4-frozen-assets"/>
    <w:p>
      <w:pPr>
        <w:pStyle w:val="Heading3"/>
      </w:pPr>
      <w:r>
        <w:t xml:space="preserve">G.4 Frozen Assets</w:t>
      </w:r>
    </w:p>
    <w:p>
      <w:pPr>
        <w:pStyle w:val="FirstParagraph"/>
      </w:pPr>
      <w:r>
        <w:t xml:space="preserve">A first tranche, capped at a level sized to documented humanitarian and shipping-sector need, releases at the Synchronized Indivisible Event through an escrow mechanism the Swiss Depositary administers, structurally similar to the escrow arrangements used in prior sanctions-relief episodes. Subsequent tranches follow the sanctions-relief calendar of G.3, under a formula Iran and the United States negotiate directly.</w:t>
      </w:r>
    </w:p>
    <w:bookmarkEnd w:id="129"/>
    <w:bookmarkStart w:id="130" w:name="g.5-the-hormuz-claims-commission"/>
    <w:p>
      <w:pPr>
        <w:pStyle w:val="Heading3"/>
      </w:pPr>
      <w:r>
        <w:t xml:space="preserve">G.5 The Hormuz Claims Commission</w:t>
      </w:r>
    </w:p>
    <w:p>
      <w:pPr>
        <w:pStyle w:val="FirstParagraph"/>
      </w:pPr>
      <w:r>
        <w:t xml:space="preserve">The Commission seats at The Hague, structured on the precedent of the Iran-United States Claims Tribunal established under the 1981 Algiers Accords, a body that has operated continuously for over four decades resolving claims between these same two states. The Commission receives claims from Iran for documented war damage and from the United States for documented casualties and damage attributed to Iranian-linked action, appoints arbitrators on the same tripartite model the 1981 precedent uses, one panel member named by each side and a third-country chair, and issues findings on its own procedural timeline, independent of and without delaying this Pact’s own Strait-reopening clock.</w:t>
      </w:r>
    </w:p>
    <w:bookmarkEnd w:id="130"/>
    <w:bookmarkStart w:id="131" w:name="g.6-the-regional-interface-in-detail"/>
    <w:p>
      <w:pPr>
        <w:pStyle w:val="Heading3"/>
      </w:pPr>
      <w:r>
        <w:t xml:space="preserve">G.6 The Regional Interface, in Detail</w:t>
      </w:r>
    </w:p>
    <w:p>
      <w:pPr>
        <w:pStyle w:val="FirstParagraph"/>
      </w:pPr>
      <w:r>
        <w:t xml:space="preserve">The Cooperation Council for the Arab States of the Gulf and each acceding member state under Article 59 receive quarterly briefings from the Authority’s Steering Council on the Synchronized Relief track’s progress, and hold standing consultation rights regarding any element of the track that affects regional shipping lanes or basing arrangements, exercised through the Institutional Observer channel of Article 59.3.</w:t>
      </w:r>
    </w:p>
    <w:bookmarkEnd w:id="131"/>
    <w:bookmarkStart w:id="132" w:name="g.7-why-the-track-is-separate"/>
    <w:p>
      <w:pPr>
        <w:pStyle w:val="Heading3"/>
      </w:pPr>
      <w:r>
        <w:t xml:space="preserve">G.7 Why the Track Is Separate</w:t>
      </w:r>
    </w:p>
    <w:p>
      <w:pPr>
        <w:pStyle w:val="FirstParagraph"/>
      </w:pPr>
      <w:r>
        <w:t xml:space="preserve">A negotiator reading this Annex sees the reasoning plainly: bundling the Strait’s reopening with a full settlement of the war’s broader grievances would have made this Pact hostage to the hardest problem in the entire crisis. Separating them lets the Strait reopen on its own near-term clock while giving both Iran and the United States a real, structured, calendared track for the questions that matter enormously to each of them but that a shipping instrument was never going to resolve on its own.</w:t>
      </w:r>
    </w:p>
    <w:bookmarkEnd w:id="132"/>
    <w:bookmarkEnd w:id="133"/>
    <w:bookmarkEnd w:id="134"/>
    <w:sectPr>
      <w:footerReference w:type="default" r:id="rId9"/>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Hormuz Tranquility Pact v1.0  ·  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mbria" w:cs="Cambria" w:hAnsi="Cambria"/>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jc w:val="left"/>
    </w:pPr>
    <w:rPr>
      <w:rFonts w:ascii="Cambria" w:asciiTheme="majorHAnsi" w:cs="Cambria" w:cstheme="majorBidi" w:eastAsiaTheme="majorEastAsia" w:hAnsi="Cambria" w:hAnsiTheme="majorHAnsi"/>
      <w:b/>
      <w:bCs/>
      <w:color w:val="1F3A5F"/>
      <w:sz w:val="52"/>
      <w:szCs w:val="36"/>
    </w:rPr>
  </w:style>
  <w:style w:styleId="Subtitle" w:type="paragraph">
    <w:name w:val="Subtitle"/>
    <w:basedOn w:val="Title"/>
    <w:next w:val="BodyText"/>
    <w:qFormat/>
    <w:pPr>
      <w:keepNext/>
      <w:keepLines/>
      <w:spacing w:after="240" w:before="240"/>
      <w:jc w:val="center"/>
    </w:pPr>
    <w:rPr>
      <w:rFonts w:ascii="Cambria" w:cs="Cambria" w:hAnsi="Cambria"/>
      <w:i/>
      <w:color w:val="40404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80" w:before="80"/>
      <w:outlineLvl w:val="0"/>
      <w:pBdr>
        <w:bottom w:color="1F3A5F" w:space="4" w:sz="12" w:val="single"/>
      </w:pBdr>
    </w:pPr>
    <w:rPr>
      <w:rFonts w:ascii="Cambria" w:asciiTheme="majorHAnsi" w:cs="Cambria" w:cstheme="majorBidi" w:eastAsiaTheme="majorEastAsia" w:hAnsi="Cambria" w:hAnsiTheme="majorHAnsi"/>
      <w:b/>
      <w:bCs/>
      <w:color w:val="1F3A5F"/>
      <w:sz w:val="36"/>
      <w:szCs w:val="32"/>
    </w:rPr>
  </w:style>
  <w:style w:styleId="Heading2" w:type="paragraph">
    <w:name w:val="Heading 2"/>
    <w:basedOn w:val="Normal"/>
    <w:next w:val="BodyText"/>
    <w:uiPriority w:val="9"/>
    <w:unhideWhenUsed/>
    <w:qFormat/>
    <w:pPr>
      <w:keepNext/>
      <w:keepLines/>
      <w:spacing w:after="120" w:before="280"/>
      <w:outlineLvl w:val="1"/>
    </w:pPr>
    <w:rPr>
      <w:rFonts w:ascii="Cambria" w:asciiTheme="majorHAnsi" w:cs="Cambria" w:cstheme="majorBidi" w:eastAsiaTheme="majorEastAsia" w:hAnsi="Cambria" w:hAnsiTheme="majorHAnsi"/>
      <w:b/>
      <w:bCs/>
      <w:color w:val="1F3A5F"/>
      <w:sz w:val="27"/>
      <w:szCs w:val="28"/>
    </w:rPr>
  </w:style>
  <w:style w:styleId="Heading3" w:type="paragraph">
    <w:name w:val="Heading 3"/>
    <w:basedOn w:val="Normal"/>
    <w:next w:val="BodyText"/>
    <w:uiPriority w:val="9"/>
    <w:unhideWhenUsed/>
    <w:qFormat/>
    <w:pPr>
      <w:keepNext/>
      <w:keepLines/>
      <w:spacing w:after="80" w:before="200"/>
      <w:outlineLvl w:val="2"/>
    </w:pPr>
    <w:rPr>
      <w:rFonts w:ascii="Cambria" w:asciiTheme="majorHAnsi" w:cs="Cambria" w:cstheme="majorBidi" w:eastAsiaTheme="majorEastAsia" w:hAnsi="Cambria" w:hAnsiTheme="majorHAnsi"/>
      <w:b/>
      <w:bCs/>
      <w:i/>
      <w:color w:val="6B1F1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mbria" w:cs="Cambria" w:hAnsi="Cambria"/>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asciiTheme="majorHAnsi" w:cs="Cambria" w:cstheme="majorBidi" w:eastAsiaTheme="majorEastAsia" w:hAnsi="Cambria" w:hAnsiTheme="majorHAnsi"/>
      <w:b/>
      <w:bCs w:val="0"/>
      <w:color w:val="1F3A5F"/>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2026-08-11T10:11:07Z</dcterms:created>
  <dcterms:modified xsi:type="dcterms:W3CDTF">2026-08-11T10:11:07Z</dcterms:modified>
</cp:coreProperties>
</file>

<file path=docProps/custom.xml><?xml version="1.0" encoding="utf-8"?>
<Properties xmlns="http://schemas.openxmlformats.org/officeDocument/2006/custom-properties" xmlns:vt="http://schemas.openxmlformats.org/officeDocument/2006/docPropsVTypes"/>
</file>