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0" w:after="0"/>
        <w:jc w:val="center"/>
      </w:pPr>
    </w:p>
    <w:p>
      <w:pPr>
        <w:spacing w:after="300"/>
        <w:jc w:val="center"/>
      </w:pPr>
      <w:r>
        <w:rPr>
          <w:rFonts w:ascii="Calibri" w:eastAsia="Calibri" w:hAnsi="Calibri" w:cs="Calibri"/>
          <w:b/>
          <w:color w:val="37474F"/>
          <w:spacing w:val="60"/>
          <w:sz w:val="56"/>
          <w:szCs w:val="56"/>
        </w:rPr>
        <w:t xml:space="preserve">THE ISLAMABAD FINAL GOVERNANCE COMPACT</w:t>
      </w:r>
    </w:p>
    <w:p>
      <w:pPr>
        <w:spacing w:after="480"/>
        <w:jc w:val="center"/>
      </w:pPr>
      <w:r>
        <w:rPr>
          <w:rFonts w:ascii="Calibri" w:eastAsia="Calibri" w:hAnsi="Calibri" w:cs="Calibri"/>
          <w:i/>
          <w:color w:val="546E7A"/>
          <w:sz w:val="27"/>
          <w:szCs w:val="27"/>
        </w:rPr>
        <w:t xml:space="preserve">The Layered Final Agreement Ending the 2026 Conflict and Establishing the Permanent Governance of the Strait of Hormuz</w:t>
      </w:r>
    </w:p>
    <w:p>
      <w:pPr>
        <w:spacing w:after="480"/>
        <w:jc w:val="center"/>
        <w:pBdr>
          <w:bottom w:val="single" w:sz="6" w:space="1" w:color="546E7A"/>
        </w:pBdr>
        <w:ind w:left="2400" w:right="2400"/>
      </w:pPr>
    </w:p>
    <w:p>
      <w:pPr>
        <w:spacing w:after="160"/>
        <w:jc w:val="center"/>
      </w:pPr>
      <w:r>
        <w:rPr>
          <w:rFonts w:ascii="Calibri" w:eastAsia="Calibri" w:hAnsi="Calibri" w:cs="Calibri"/>
          <w:color w:val="000000"/>
          <w:sz w:val="24"/>
          <w:szCs w:val="24"/>
        </w:rPr>
        <w:t xml:space="preserve">Version 1.0  ·  August 2026</w:t>
      </w:r>
    </w:p>
    <w:p>
      <w:pPr>
        <w:spacing w:after="160"/>
        <w:jc w:val="center"/>
      </w:pPr>
      <w:r>
        <w:rPr>
          <w:rFonts w:ascii="Calibri" w:eastAsia="Calibri" w:hAnsi="Calibri" w:cs="Calibri"/>
          <w:color w:val="546E7A"/>
          <w:sz w:val="22"/>
          <w:szCs w:val="22"/>
        </w:rPr>
        <w:t xml:space="preserve">Final Consolidated Draft for Authorized Participants</w:t>
      </w:r>
    </w:p>
    <w:p>
      <w:pPr>
        <w:spacing w:after="1700"/>
        <w:jc w:val="center"/>
      </w:pPr>
      <w:r>
        <w:rPr>
          <w:rFonts w:ascii="Calibri" w:eastAsia="Calibri" w:hAnsi="Calibri" w:cs="Calibri"/>
          <w:color w:val="546E7A"/>
          <w:sz w:val="22"/>
          <w:szCs w:val="22"/>
        </w:rPr>
        <w:t xml:space="preserve">Privileged Negotiating Text</w:t>
      </w:r>
    </w:p>
    <w:p>
      <w:pPr>
        <w:spacing w:after="1700"/>
        <w:jc w:val="center"/>
      </w:pPr>
      <w:r>
        <w:rPr>
          <w:rFonts w:ascii="Calibri" w:eastAsia="Calibri" w:hAnsi="Calibri" w:cs="Calibri"/>
          <w:i/>
          <w:color w:val="78909C"/>
          <w:sz w:val="20"/>
          <w:szCs w:val="20"/>
        </w:rPr>
        <w:t xml:space="preserve">Drafted in strict adherence to the Immutable Present-Tense Matrix</w:t>
      </w:r>
    </w:p>
    <w:p>
      <w:pPr>
        <w:spacing w:after="160"/>
        <w:jc w:val="center"/>
      </w:pPr>
      <w:r>
        <w:rPr>
          <w:rFonts w:ascii="Calibri" w:eastAsia="Calibri" w:hAnsi="Calibri" w:cs="Calibri"/>
          <w:b/>
          <w:color w:val="37474F"/>
          <w:sz w:val="22"/>
          <w:szCs w:val="22"/>
        </w:rPr>
        <w:t xml:space="preserve">The Islamic Republic of Iran  ·  The United States of America</w:t>
      </w:r>
    </w:p>
    <w:p>
      <w:pPr>
        <w:spacing w:after="160"/>
        <w:jc w:val="center"/>
      </w:pPr>
      <w:r>
        <w:rPr>
          <w:rFonts w:ascii="Calibri" w:eastAsia="Calibri" w:hAnsi="Calibri" w:cs="Calibri"/>
          <w:color w:val="546E7A"/>
          <w:sz w:val="20"/>
          <w:szCs w:val="20"/>
        </w:rPr>
        <w:t xml:space="preserve">with the Sultanate of Oman, the State of Qatar, the Swiss Confederation, and the Gulf Cooperation Council</w:t>
      </w:r>
    </w:p>
    <w:p>
      <w:pPr>
        <w:spacing w:after="160"/>
        <w:jc w:val="center"/>
      </w:pPr>
      <w:r>
        <w:rPr>
          <w:rFonts w:ascii="Calibri" w:eastAsia="Calibri" w:hAnsi="Calibri" w:cs="Calibri"/>
          <w:color w:val="546E7A"/>
          <w:sz w:val="20"/>
          <w:szCs w:val="20"/>
        </w:rPr>
        <w:t xml:space="preserve">Mediator of Record: The Sultanate of Oman   ·   Neutral Facilitator: The Swiss Confederation   ·   Escrow Agent: The Qatar Central Bank</w:t>
      </w:r>
    </w:p>
    <w:p>
      <w:pPr>
        <w:spacing w:after="320"/>
        <w:jc w:val="center"/>
      </w:pPr>
      <w:r>
        <w:rPr>
          <w:rFonts w:ascii="Calibri" w:eastAsia="Calibri" w:hAnsi="Calibri" w:cs="Calibri"/>
          <w:color w:val="546E7A"/>
          <w:sz w:val="20"/>
          <w:szCs w:val="20"/>
        </w:rPr>
        <w:t xml:space="preserve">Technical Authorities: The International Atomic Energy Agency, the World Bank, and the International Maritime Organization</w:t>
      </w:r>
    </w:p>
    <w:p>
      <w:pPr>
        <w:spacing w:after="0"/>
        <w:jc w:val="center"/>
      </w:pPr>
      <w:r>
        <w:rPr>
          <w:rFonts w:ascii="Calibri" w:eastAsia="Calibri" w:hAnsi="Calibri" w:cs="Calibri"/>
          <w:i/>
          <w:color w:val="78909C"/>
          <w:sz w:val="18"/>
          <w:szCs w:val="18"/>
        </w:rPr>
        <w:t xml:space="preserve">Negotiated under the auspices of the Islamic Republic of Pakistan at Islamabad, pursuant to the Islamabad Memorandum of Understanding of June 2026</w:t>
      </w:r>
    </w:p>
    <w:p>
      <w:pPr>
        <w:spacing w:after="0"/>
        <w:sectPr>
          <w:pgSz w:w="11906" w:h="16838"/>
          <w:pgMar w:top="1134" w:right="1134" w:bottom="1134" w:left="1134" w:header="720" w:footer="720" w:gutter="0"/>
          <w:pgBorders>
            <w:top w:val="double" w:sz="6" w:space="28" w:color="37474F"/>
            <w:left w:val="double" w:sz="6" w:space="28" w:color="37474F"/>
            <w:bottom w:val="double" w:sz="6" w:space="28" w:color="37474F"/>
            <w:right w:val="double" w:sz="6" w:space="28" w:color="37474F"/>
          </w:pgBorders>
          <w:cols w:space="720"/>
        </w:sectPr>
      </w:pPr>
    </w:p>
    <w:p>
      <w:pPr>
        <w:keepNext/>
        <w:spacing w:after="360"/>
      </w:pPr>
      <w:r>
        <w:rPr>
          <w:rFonts w:ascii="Calibri" w:eastAsia="Calibri" w:hAnsi="Calibri" w:cs="Calibri"/>
          <w:b/>
          <w:caps/>
          <w:color w:val="37474F"/>
          <w:sz w:val="32"/>
          <w:szCs w:val="32"/>
        </w:rPr>
        <w:t xml:space="preserve">Table of Contents</w:t>
      </w:r>
    </w:p>
    <w:p>
      <w:pPr>
        <w:spacing w:after="120"/>
        <w:tabs>
          <w:tab w:val="right" w:leader="dot" w:pos="9026"/>
        </w:tabs>
      </w:pPr>
      <w:r>
        <w:rPr>
          <w:rFonts w:ascii="Calibri" w:eastAsia="Calibri" w:hAnsi="Calibri" w:cs="Calibri"/>
          <w:b/>
          <w:color w:val="37474F"/>
          <w:sz w:val="22"/>
          <w:szCs w:val="22"/>
        </w:rPr>
        <w:t xml:space="preserve">LAYER ZERO: THE POLITICAL LAYER</w:t>
      </w:r>
      <w:r>
        <w:tab/>
      </w:r>
      <w:r>
        <w:rPr>
          <w:rFonts w:ascii="Calibri" w:eastAsia="Calibri" w:hAnsi="Calibri" w:cs="Calibri"/>
          <w:b/>
          <w:color w:val="37474F"/>
          <w:sz w:val="22"/>
          <w:szCs w:val="22"/>
        </w:rPr>
        <w:t xml:space="preserve">5</w:t>
      </w:r>
    </w:p>
    <w:p>
      <w:pPr>
        <w:spacing w:after="120"/>
        <w:tabs>
          <w:tab w:val="right" w:leader="dot" w:pos="9026"/>
        </w:tabs>
        <w:ind w:left="240"/>
      </w:pPr>
      <w:r>
        <w:rPr>
          <w:rFonts w:ascii="Calibri" w:eastAsia="Calibri" w:hAnsi="Calibri" w:cs="Calibri"/>
          <w:color w:val="000000"/>
          <w:sz w:val="22"/>
          <w:szCs w:val="22"/>
        </w:rPr>
        <w:t xml:space="preserve">Article 0.1: Purpose of the Political Layer</w:t>
      </w:r>
      <w:r>
        <w:tab/>
      </w:r>
      <w:r>
        <w:rPr>
          <w:rFonts w:ascii="Calibri" w:eastAsia="Calibri" w:hAnsi="Calibri" w:cs="Calibri"/>
          <w:color w:val="000000"/>
          <w:sz w:val="22"/>
          <w:szCs w:val="22"/>
        </w:rPr>
        <w:t xml:space="preserve">5</w:t>
      </w:r>
    </w:p>
    <w:p>
      <w:pPr>
        <w:spacing w:after="120"/>
        <w:tabs>
          <w:tab w:val="right" w:leader="dot" w:pos="9026"/>
        </w:tabs>
        <w:ind w:left="240"/>
      </w:pPr>
      <w:r>
        <w:rPr>
          <w:rFonts w:ascii="Calibri" w:eastAsia="Calibri" w:hAnsi="Calibri" w:cs="Calibri"/>
          <w:color w:val="000000"/>
          <w:sz w:val="22"/>
          <w:szCs w:val="22"/>
        </w:rPr>
        <w:t xml:space="preserve">Article 0.2: The Common Facts Register</w:t>
      </w:r>
      <w:r>
        <w:tab/>
      </w:r>
      <w:r>
        <w:rPr>
          <w:rFonts w:ascii="Calibri" w:eastAsia="Calibri" w:hAnsi="Calibri" w:cs="Calibri"/>
          <w:color w:val="000000"/>
          <w:sz w:val="22"/>
          <w:szCs w:val="22"/>
        </w:rPr>
        <w:t xml:space="preserve">5</w:t>
      </w:r>
    </w:p>
    <w:p>
      <w:pPr>
        <w:spacing w:after="120"/>
        <w:tabs>
          <w:tab w:val="right" w:leader="dot" w:pos="9026"/>
        </w:tabs>
        <w:ind w:left="240"/>
      </w:pPr>
      <w:r>
        <w:rPr>
          <w:rFonts w:ascii="Calibri" w:eastAsia="Calibri" w:hAnsi="Calibri" w:cs="Calibri"/>
          <w:color w:val="000000"/>
          <w:sz w:val="22"/>
          <w:szCs w:val="22"/>
        </w:rPr>
        <w:t xml:space="preserve">Article 0.3: The Dual-Narrative Protocol</w:t>
      </w:r>
      <w:r>
        <w:tab/>
      </w:r>
      <w:r>
        <w:rPr>
          <w:rFonts w:ascii="Calibri" w:eastAsia="Calibri" w:hAnsi="Calibri" w:cs="Calibri"/>
          <w:color w:val="000000"/>
          <w:sz w:val="22"/>
          <w:szCs w:val="22"/>
        </w:rPr>
        <w:t xml:space="preserve">6</w:t>
      </w:r>
    </w:p>
    <w:p>
      <w:pPr>
        <w:spacing w:after="120"/>
        <w:tabs>
          <w:tab w:val="right" w:leader="dot" w:pos="9026"/>
        </w:tabs>
        <w:ind w:left="240"/>
      </w:pPr>
      <w:r>
        <w:rPr>
          <w:rFonts w:ascii="Calibri" w:eastAsia="Calibri" w:hAnsi="Calibri" w:cs="Calibri"/>
          <w:color w:val="000000"/>
          <w:sz w:val="22"/>
          <w:szCs w:val="22"/>
        </w:rPr>
        <w:t xml:space="preserve">Article 0.4: The Asymmetric-Respect Guarantee</w:t>
      </w:r>
      <w:r>
        <w:tab/>
      </w:r>
      <w:r>
        <w:rPr>
          <w:rFonts w:ascii="Calibri" w:eastAsia="Calibri" w:hAnsi="Calibri" w:cs="Calibri"/>
          <w:color w:val="000000"/>
          <w:sz w:val="22"/>
          <w:szCs w:val="22"/>
        </w:rPr>
        <w:t xml:space="preserve">6</w:t>
      </w:r>
    </w:p>
    <w:p>
      <w:pPr>
        <w:spacing w:after="120"/>
        <w:tabs>
          <w:tab w:val="right" w:leader="dot" w:pos="9026"/>
        </w:tabs>
      </w:pPr>
      <w:r>
        <w:rPr>
          <w:rFonts w:ascii="Calibri" w:eastAsia="Calibri" w:hAnsi="Calibri" w:cs="Calibri"/>
          <w:b/>
          <w:color w:val="37474F"/>
          <w:sz w:val="22"/>
          <w:szCs w:val="22"/>
        </w:rPr>
        <w:t xml:space="preserve">LAYER ONE: THE FINAL STATUS TREATY</w:t>
      </w:r>
      <w:r>
        <w:tab/>
      </w:r>
      <w:r>
        <w:rPr>
          <w:rFonts w:ascii="Calibri" w:eastAsia="Calibri" w:hAnsi="Calibri" w:cs="Calibri"/>
          <w:b/>
          <w:color w:val="37474F"/>
          <w:sz w:val="22"/>
          <w:szCs w:val="22"/>
        </w:rPr>
        <w:t xml:space="preserve">7</w:t>
      </w:r>
    </w:p>
    <w:p>
      <w:pPr>
        <w:spacing w:after="120"/>
        <w:tabs>
          <w:tab w:val="right" w:leader="dot" w:pos="9026"/>
        </w:tabs>
        <w:ind w:left="240"/>
      </w:pPr>
      <w:r>
        <w:rPr>
          <w:rFonts w:ascii="Calibri" w:eastAsia="Calibri" w:hAnsi="Calibri" w:cs="Calibri"/>
          <w:color w:val="000000"/>
          <w:sz w:val="22"/>
          <w:szCs w:val="22"/>
        </w:rPr>
        <w:t xml:space="preserve">Preamble</w:t>
      </w:r>
      <w:r>
        <w:tab/>
      </w:r>
      <w:r>
        <w:rPr>
          <w:rFonts w:ascii="Calibri" w:eastAsia="Calibri" w:hAnsi="Calibri" w:cs="Calibri"/>
          <w:color w:val="000000"/>
          <w:sz w:val="22"/>
          <w:szCs w:val="22"/>
        </w:rPr>
        <w:t xml:space="preserve">7</w:t>
      </w:r>
    </w:p>
    <w:p>
      <w:pPr>
        <w:spacing w:after="120"/>
        <w:tabs>
          <w:tab w:val="right" w:leader="dot" w:pos="9026"/>
        </w:tabs>
        <w:ind w:left="240"/>
      </w:pPr>
      <w:r>
        <w:rPr>
          <w:rFonts w:ascii="Calibri" w:eastAsia="Calibri" w:hAnsi="Calibri" w:cs="Calibri"/>
          <w:color w:val="000000"/>
          <w:sz w:val="22"/>
          <w:szCs w:val="22"/>
        </w:rPr>
        <w:t xml:space="preserve">Title I: Permanent Cessation of Hostilities, Non-Aggression, and Sovereignty</w:t>
      </w:r>
      <w:r>
        <w:tab/>
      </w:r>
      <w:r>
        <w:rPr>
          <w:rFonts w:ascii="Calibri" w:eastAsia="Calibri" w:hAnsi="Calibri" w:cs="Calibri"/>
          <w:color w:val="000000"/>
          <w:sz w:val="22"/>
          <w:szCs w:val="22"/>
        </w:rPr>
        <w:t xml:space="preserve">8</w:t>
      </w:r>
    </w:p>
    <w:p>
      <w:pPr>
        <w:spacing w:after="120"/>
        <w:tabs>
          <w:tab w:val="right" w:leader="dot" w:pos="9026"/>
        </w:tabs>
        <w:ind w:left="240"/>
      </w:pPr>
      <w:r>
        <w:rPr>
          <w:rFonts w:ascii="Calibri" w:eastAsia="Calibri" w:hAnsi="Calibri" w:cs="Calibri"/>
          <w:color w:val="000000"/>
          <w:sz w:val="22"/>
          <w:szCs w:val="22"/>
        </w:rPr>
        <w:t xml:space="preserve">Title II: Permanent Governance of the Strait of Hormuz and the 72-Hour Accelerated Reopening</w:t>
      </w:r>
      <w:r>
        <w:tab/>
      </w:r>
      <w:r>
        <w:rPr>
          <w:rFonts w:ascii="Calibri" w:eastAsia="Calibri" w:hAnsi="Calibri" w:cs="Calibri"/>
          <w:color w:val="000000"/>
          <w:sz w:val="22"/>
          <w:szCs w:val="22"/>
        </w:rPr>
        <w:t xml:space="preserve">9</w:t>
      </w:r>
    </w:p>
    <w:p>
      <w:pPr>
        <w:spacing w:after="120"/>
        <w:tabs>
          <w:tab w:val="right" w:leader="dot" w:pos="9026"/>
        </w:tabs>
        <w:ind w:left="240"/>
      </w:pPr>
      <w:r>
        <w:rPr>
          <w:rFonts w:ascii="Calibri" w:eastAsia="Calibri" w:hAnsi="Calibri" w:cs="Calibri"/>
          <w:color w:val="000000"/>
          <w:sz w:val="22"/>
          <w:szCs w:val="22"/>
        </w:rPr>
        <w:t xml:space="preserve">Title III: The Financial Architecture of the Strait (Resolution of the Fees Question)</w:t>
      </w:r>
      <w:r>
        <w:tab/>
      </w:r>
      <w:r>
        <w:rPr>
          <w:rFonts w:ascii="Calibri" w:eastAsia="Calibri" w:hAnsi="Calibri" w:cs="Calibri"/>
          <w:color w:val="000000"/>
          <w:sz w:val="22"/>
          <w:szCs w:val="22"/>
        </w:rPr>
        <w:t xml:space="preserve">12</w:t>
      </w:r>
    </w:p>
    <w:p>
      <w:pPr>
        <w:spacing w:after="120"/>
        <w:tabs>
          <w:tab w:val="right" w:leader="dot" w:pos="9026"/>
        </w:tabs>
        <w:ind w:left="240"/>
      </w:pPr>
      <w:r>
        <w:rPr>
          <w:rFonts w:ascii="Calibri" w:eastAsia="Calibri" w:hAnsi="Calibri" w:cs="Calibri"/>
          <w:color w:val="000000"/>
          <w:sz w:val="22"/>
          <w:szCs w:val="22"/>
        </w:rPr>
        <w:t xml:space="preserve">Title IV: The Nuclear Final Settlement</w:t>
      </w:r>
      <w:r>
        <w:tab/>
      </w:r>
      <w:r>
        <w:rPr>
          <w:rFonts w:ascii="Calibri" w:eastAsia="Calibri" w:hAnsi="Calibri" w:cs="Calibri"/>
          <w:color w:val="000000"/>
          <w:sz w:val="22"/>
          <w:szCs w:val="22"/>
        </w:rPr>
        <w:t xml:space="preserve">15</w:t>
      </w:r>
    </w:p>
    <w:p>
      <w:pPr>
        <w:spacing w:after="120"/>
        <w:tabs>
          <w:tab w:val="right" w:leader="dot" w:pos="9026"/>
        </w:tabs>
        <w:ind w:left="240"/>
      </w:pPr>
      <w:r>
        <w:rPr>
          <w:rFonts w:ascii="Calibri" w:eastAsia="Calibri" w:hAnsi="Calibri" w:cs="Calibri"/>
          <w:color w:val="000000"/>
          <w:sz w:val="22"/>
          <w:szCs w:val="22"/>
        </w:rPr>
        <w:t xml:space="preserve">Title V: Sanctions Termination and the Frozen Assets Resolution</w:t>
      </w:r>
      <w:r>
        <w:tab/>
      </w:r>
      <w:r>
        <w:rPr>
          <w:rFonts w:ascii="Calibri" w:eastAsia="Calibri" w:hAnsi="Calibri" w:cs="Calibri"/>
          <w:color w:val="000000"/>
          <w:sz w:val="22"/>
          <w:szCs w:val="22"/>
        </w:rPr>
        <w:t xml:space="preserve">17</w:t>
      </w:r>
    </w:p>
    <w:p>
      <w:pPr>
        <w:spacing w:after="120"/>
        <w:tabs>
          <w:tab w:val="right" w:leader="dot" w:pos="9026"/>
        </w:tabs>
        <w:ind w:left="240"/>
      </w:pPr>
      <w:r>
        <w:rPr>
          <w:rFonts w:ascii="Calibri" w:eastAsia="Calibri" w:hAnsi="Calibri" w:cs="Calibri"/>
          <w:color w:val="000000"/>
          <w:sz w:val="22"/>
          <w:szCs w:val="22"/>
        </w:rPr>
        <w:t xml:space="preserve">Title VI: Regional De-escalation and the Third-Party Guarantor Architecture</w:t>
      </w:r>
      <w:r>
        <w:tab/>
      </w:r>
      <w:r>
        <w:rPr>
          <w:rFonts w:ascii="Calibri" w:eastAsia="Calibri" w:hAnsi="Calibri" w:cs="Calibri"/>
          <w:color w:val="000000"/>
          <w:sz w:val="22"/>
          <w:szCs w:val="22"/>
        </w:rPr>
        <w:t xml:space="preserve">19</w:t>
      </w:r>
    </w:p>
    <w:p>
      <w:pPr>
        <w:spacing w:after="120"/>
        <w:tabs>
          <w:tab w:val="right" w:leader="dot" w:pos="9026"/>
        </w:tabs>
        <w:ind w:left="240"/>
      </w:pPr>
      <w:r>
        <w:rPr>
          <w:rFonts w:ascii="Calibri" w:eastAsia="Calibri" w:hAnsi="Calibri" w:cs="Calibri"/>
          <w:color w:val="000000"/>
          <w:sz w:val="22"/>
          <w:szCs w:val="22"/>
        </w:rPr>
        <w:t xml:space="preserve">Title VII: Military Posture and Withdrawal Protocol</w:t>
      </w:r>
      <w:r>
        <w:tab/>
      </w:r>
      <w:r>
        <w:rPr>
          <w:rFonts w:ascii="Calibri" w:eastAsia="Calibri" w:hAnsi="Calibri" w:cs="Calibri"/>
          <w:color w:val="000000"/>
          <w:sz w:val="22"/>
          <w:szCs w:val="22"/>
        </w:rPr>
        <w:t xml:space="preserve">20</w:t>
      </w:r>
    </w:p>
    <w:p>
      <w:pPr>
        <w:spacing w:after="120"/>
        <w:tabs>
          <w:tab w:val="right" w:leader="dot" w:pos="9026"/>
        </w:tabs>
        <w:ind w:left="240"/>
      </w:pPr>
      <w:r>
        <w:rPr>
          <w:rFonts w:ascii="Calibri" w:eastAsia="Calibri" w:hAnsi="Calibri" w:cs="Calibri"/>
          <w:color w:val="000000"/>
          <w:sz w:val="22"/>
          <w:szCs w:val="22"/>
        </w:rPr>
        <w:t xml:space="preserve">Title VIII: Verification (The Cothrom Verification Method)</w:t>
      </w:r>
      <w:r>
        <w:tab/>
      </w:r>
      <w:r>
        <w:rPr>
          <w:rFonts w:ascii="Calibri" w:eastAsia="Calibri" w:hAnsi="Calibri" w:cs="Calibri"/>
          <w:color w:val="000000"/>
          <w:sz w:val="22"/>
          <w:szCs w:val="22"/>
        </w:rPr>
        <w:t xml:space="preserve">21</w:t>
      </w:r>
    </w:p>
    <w:p>
      <w:pPr>
        <w:spacing w:after="120"/>
        <w:tabs>
          <w:tab w:val="right" w:leader="dot" w:pos="9026"/>
        </w:tabs>
        <w:ind w:left="240"/>
      </w:pPr>
      <w:r>
        <w:rPr>
          <w:rFonts w:ascii="Calibri" w:eastAsia="Calibri" w:hAnsi="Calibri" w:cs="Calibri"/>
          <w:color w:val="000000"/>
          <w:sz w:val="22"/>
          <w:szCs w:val="22"/>
        </w:rPr>
        <w:t xml:space="preserve">Title IX: Reconstruction and Development (Incorporation of Annex RDF)</w:t>
      </w:r>
      <w:r>
        <w:tab/>
      </w:r>
      <w:r>
        <w:rPr>
          <w:rFonts w:ascii="Calibri" w:eastAsia="Calibri" w:hAnsi="Calibri" w:cs="Calibri"/>
          <w:color w:val="000000"/>
          <w:sz w:val="22"/>
          <w:szCs w:val="22"/>
        </w:rPr>
        <w:t xml:space="preserve">24</w:t>
      </w:r>
    </w:p>
    <w:p>
      <w:pPr>
        <w:spacing w:after="120"/>
        <w:tabs>
          <w:tab w:val="right" w:leader="dot" w:pos="9026"/>
        </w:tabs>
        <w:ind w:left="240"/>
      </w:pPr>
      <w:r>
        <w:rPr>
          <w:rFonts w:ascii="Calibri" w:eastAsia="Calibri" w:hAnsi="Calibri" w:cs="Calibri"/>
          <w:color w:val="000000"/>
          <w:sz w:val="22"/>
          <w:szCs w:val="22"/>
        </w:rPr>
        <w:t xml:space="preserve">Title X: Humanitarian Protections and Seafarer Repatriation</w:t>
      </w:r>
      <w:r>
        <w:tab/>
      </w:r>
      <w:r>
        <w:rPr>
          <w:rFonts w:ascii="Calibri" w:eastAsia="Calibri" w:hAnsi="Calibri" w:cs="Calibri"/>
          <w:color w:val="000000"/>
          <w:sz w:val="22"/>
          <w:szCs w:val="22"/>
        </w:rPr>
        <w:t xml:space="preserve">26</w:t>
      </w:r>
    </w:p>
    <w:p>
      <w:pPr>
        <w:spacing w:after="120"/>
        <w:tabs>
          <w:tab w:val="right" w:leader="dot" w:pos="9026"/>
        </w:tabs>
        <w:ind w:left="240"/>
      </w:pPr>
      <w:r>
        <w:rPr>
          <w:rFonts w:ascii="Calibri" w:eastAsia="Calibri" w:hAnsi="Calibri" w:cs="Calibri"/>
          <w:color w:val="000000"/>
          <w:sz w:val="22"/>
          <w:szCs w:val="22"/>
        </w:rPr>
        <w:t xml:space="preserve">Title XI: Institutional Architecture and Implementation Bodies</w:t>
      </w:r>
      <w:r>
        <w:tab/>
      </w:r>
      <w:r>
        <w:rPr>
          <w:rFonts w:ascii="Calibri" w:eastAsia="Calibri" w:hAnsi="Calibri" w:cs="Calibri"/>
          <w:color w:val="000000"/>
          <w:sz w:val="22"/>
          <w:szCs w:val="22"/>
        </w:rPr>
        <w:t xml:space="preserve">27</w:t>
      </w:r>
    </w:p>
    <w:p>
      <w:pPr>
        <w:spacing w:after="120"/>
        <w:tabs>
          <w:tab w:val="right" w:leader="dot" w:pos="9026"/>
        </w:tabs>
        <w:ind w:left="240"/>
      </w:pPr>
      <w:r>
        <w:rPr>
          <w:rFonts w:ascii="Calibri" w:eastAsia="Calibri" w:hAnsi="Calibri" w:cs="Calibri"/>
          <w:color w:val="000000"/>
          <w:sz w:val="22"/>
          <w:szCs w:val="22"/>
        </w:rPr>
        <w:t xml:space="preserve">Title XII: Ratification, International Legal Force, Entry into Force, and Dispute Resolution</w:t>
      </w:r>
      <w:r>
        <w:tab/>
      </w:r>
      <w:r>
        <w:rPr>
          <w:rFonts w:ascii="Calibri" w:eastAsia="Calibri" w:hAnsi="Calibri" w:cs="Calibri"/>
          <w:color w:val="000000"/>
          <w:sz w:val="22"/>
          <w:szCs w:val="22"/>
        </w:rPr>
        <w:t xml:space="preserve">28</w:t>
      </w:r>
    </w:p>
    <w:p>
      <w:pPr>
        <w:spacing w:after="120"/>
        <w:tabs>
          <w:tab w:val="right" w:leader="dot" w:pos="9026"/>
        </w:tabs>
      </w:pPr>
      <w:r>
        <w:rPr>
          <w:rFonts w:ascii="Calibri" w:eastAsia="Calibri" w:hAnsi="Calibri" w:cs="Calibri"/>
          <w:b/>
          <w:color w:val="37474F"/>
          <w:sz w:val="22"/>
          <w:szCs w:val="22"/>
        </w:rPr>
        <w:t xml:space="preserve">LAYER TWO: THE OPERATIVE ANNEXES</w:t>
      </w:r>
      <w:r>
        <w:tab/>
      </w:r>
      <w:r>
        <w:rPr>
          <w:rFonts w:ascii="Calibri" w:eastAsia="Calibri" w:hAnsi="Calibri" w:cs="Calibri"/>
          <w:b/>
          <w:color w:val="37474F"/>
          <w:sz w:val="22"/>
          <w:szCs w:val="22"/>
        </w:rPr>
        <w:t xml:space="preserve">30</w:t>
      </w:r>
    </w:p>
    <w:p>
      <w:pPr>
        <w:spacing w:after="120"/>
        <w:tabs>
          <w:tab w:val="right" w:leader="dot" w:pos="9026"/>
        </w:tabs>
      </w:pPr>
      <w:r>
        <w:rPr>
          <w:rFonts w:ascii="Calibri" w:eastAsia="Calibri" w:hAnsi="Calibri" w:cs="Calibri"/>
          <w:b/>
          <w:color w:val="37474F"/>
          <w:sz w:val="22"/>
          <w:szCs w:val="22"/>
        </w:rPr>
        <w:t xml:space="preserve">ANNEX A: CORRIDOR COORDINATES, ROUTING, AND TRAFFIC MANAGEMENT PROTOCOL</w:t>
      </w:r>
      <w:r>
        <w:tab/>
      </w:r>
      <w:r>
        <w:rPr>
          <w:rFonts w:ascii="Calibri" w:eastAsia="Calibri" w:hAnsi="Calibri" w:cs="Calibri"/>
          <w:b/>
          <w:color w:val="37474F"/>
          <w:sz w:val="22"/>
          <w:szCs w:val="22"/>
        </w:rPr>
        <w:t xml:space="preserve">30</w:t>
      </w:r>
    </w:p>
    <w:p>
      <w:pPr>
        <w:spacing w:after="120"/>
        <w:tabs>
          <w:tab w:val="right" w:leader="dot" w:pos="9026"/>
        </w:tabs>
        <w:ind w:left="240"/>
      </w:pPr>
      <w:r>
        <w:rPr>
          <w:rFonts w:ascii="Calibri" w:eastAsia="Calibri" w:hAnsi="Calibri" w:cs="Calibri"/>
          <w:color w:val="000000"/>
          <w:sz w:val="22"/>
          <w:szCs w:val="22"/>
        </w:rPr>
        <w:t xml:space="preserve">A.1 Corridor Alignments</w:t>
      </w:r>
      <w:r>
        <w:tab/>
      </w:r>
      <w:r>
        <w:rPr>
          <w:rFonts w:ascii="Calibri" w:eastAsia="Calibri" w:hAnsi="Calibri" w:cs="Calibri"/>
          <w:color w:val="000000"/>
          <w:sz w:val="22"/>
          <w:szCs w:val="22"/>
        </w:rPr>
        <w:t xml:space="preserve">30</w:t>
      </w:r>
    </w:p>
    <w:p>
      <w:pPr>
        <w:spacing w:after="120"/>
        <w:tabs>
          <w:tab w:val="right" w:leader="dot" w:pos="9026"/>
        </w:tabs>
        <w:ind w:left="240"/>
      </w:pPr>
      <w:r>
        <w:rPr>
          <w:rFonts w:ascii="Calibri" w:eastAsia="Calibri" w:hAnsi="Calibri" w:cs="Calibri"/>
          <w:color w:val="000000"/>
          <w:sz w:val="22"/>
          <w:szCs w:val="22"/>
        </w:rPr>
        <w:t xml:space="preserve">A.2 Traffic Management Rules</w:t>
      </w:r>
      <w:r>
        <w:tab/>
      </w:r>
      <w:r>
        <w:rPr>
          <w:rFonts w:ascii="Calibri" w:eastAsia="Calibri" w:hAnsi="Calibri" w:cs="Calibri"/>
          <w:color w:val="000000"/>
          <w:sz w:val="22"/>
          <w:szCs w:val="22"/>
        </w:rPr>
        <w:t xml:space="preserve">30</w:t>
      </w:r>
    </w:p>
    <w:p>
      <w:pPr>
        <w:spacing w:after="120"/>
        <w:tabs>
          <w:tab w:val="right" w:leader="dot" w:pos="9026"/>
        </w:tabs>
        <w:ind w:left="240"/>
      </w:pPr>
      <w:r>
        <w:rPr>
          <w:rFonts w:ascii="Calibri" w:eastAsia="Calibri" w:hAnsi="Calibri" w:cs="Calibri"/>
          <w:color w:val="000000"/>
          <w:sz w:val="22"/>
          <w:szCs w:val="22"/>
        </w:rPr>
        <w:t xml:space="preserve">A.3 Military Conduct Norms</w:t>
      </w:r>
      <w:r>
        <w:tab/>
      </w:r>
      <w:r>
        <w:rPr>
          <w:rFonts w:ascii="Calibri" w:eastAsia="Calibri" w:hAnsi="Calibri" w:cs="Calibri"/>
          <w:color w:val="000000"/>
          <w:sz w:val="22"/>
          <w:szCs w:val="22"/>
        </w:rPr>
        <w:t xml:space="preserve">31</w:t>
      </w:r>
    </w:p>
    <w:p>
      <w:pPr>
        <w:spacing w:after="120"/>
        <w:tabs>
          <w:tab w:val="right" w:leader="dot" w:pos="9026"/>
        </w:tabs>
        <w:ind w:left="240"/>
      </w:pPr>
      <w:r>
        <w:rPr>
          <w:rFonts w:ascii="Calibri" w:eastAsia="Calibri" w:hAnsi="Calibri" w:cs="Calibri"/>
          <w:color w:val="000000"/>
          <w:sz w:val="22"/>
          <w:szCs w:val="22"/>
        </w:rPr>
        <w:t xml:space="preserve">A.4 Environmental Protection Protocol</w:t>
      </w:r>
      <w:r>
        <w:tab/>
      </w:r>
      <w:r>
        <w:rPr>
          <w:rFonts w:ascii="Calibri" w:eastAsia="Calibri" w:hAnsi="Calibri" w:cs="Calibri"/>
          <w:color w:val="000000"/>
          <w:sz w:val="22"/>
          <w:szCs w:val="22"/>
        </w:rPr>
        <w:t xml:space="preserve">31</w:t>
      </w:r>
    </w:p>
    <w:p>
      <w:pPr>
        <w:spacing w:after="120"/>
        <w:tabs>
          <w:tab w:val="right" w:leader="dot" w:pos="9026"/>
        </w:tabs>
      </w:pPr>
      <w:r>
        <w:rPr>
          <w:rFonts w:ascii="Calibri" w:eastAsia="Calibri" w:hAnsi="Calibri" w:cs="Calibri"/>
          <w:b/>
          <w:color w:val="37474F"/>
          <w:sz w:val="22"/>
          <w:szCs w:val="22"/>
        </w:rPr>
        <w:t xml:space="preserve">ANNEX B: THE HORMUZ MARITIME SERVICES FUND (FEES ARCHITECTURE IN FULL)</w:t>
      </w:r>
      <w:r>
        <w:tab/>
      </w:r>
      <w:r>
        <w:rPr>
          <w:rFonts w:ascii="Calibri" w:eastAsia="Calibri" w:hAnsi="Calibri" w:cs="Calibri"/>
          <w:b/>
          <w:color w:val="37474F"/>
          <w:sz w:val="22"/>
          <w:szCs w:val="22"/>
        </w:rPr>
        <w:t xml:space="preserve">31</w:t>
      </w:r>
    </w:p>
    <w:p>
      <w:pPr>
        <w:spacing w:after="120"/>
        <w:tabs>
          <w:tab w:val="right" w:leader="dot" w:pos="9026"/>
        </w:tabs>
        <w:ind w:left="240"/>
      </w:pPr>
      <w:r>
        <w:rPr>
          <w:rFonts w:ascii="Calibri" w:eastAsia="Calibri" w:hAnsi="Calibri" w:cs="Calibri"/>
          <w:color w:val="000000"/>
          <w:sz w:val="22"/>
          <w:szCs w:val="22"/>
        </w:rPr>
        <w:t xml:space="preserve">B.1 Legal Structure</w:t>
      </w:r>
      <w:r>
        <w:tab/>
      </w:r>
      <w:r>
        <w:rPr>
          <w:rFonts w:ascii="Calibri" w:eastAsia="Calibri" w:hAnsi="Calibri" w:cs="Calibri"/>
          <w:color w:val="000000"/>
          <w:sz w:val="22"/>
          <w:szCs w:val="22"/>
        </w:rPr>
        <w:t xml:space="preserve">31</w:t>
      </w:r>
    </w:p>
    <w:p>
      <w:pPr>
        <w:spacing w:after="120"/>
        <w:tabs>
          <w:tab w:val="right" w:leader="dot" w:pos="9026"/>
        </w:tabs>
        <w:ind w:left="240"/>
      </w:pPr>
      <w:r>
        <w:rPr>
          <w:rFonts w:ascii="Calibri" w:eastAsia="Calibri" w:hAnsi="Calibri" w:cs="Calibri"/>
          <w:color w:val="000000"/>
          <w:sz w:val="22"/>
          <w:szCs w:val="22"/>
        </w:rPr>
        <w:t xml:space="preserve">B.2 Revenue Schedule</w:t>
      </w:r>
      <w:r>
        <w:tab/>
      </w:r>
      <w:r>
        <w:rPr>
          <w:rFonts w:ascii="Calibri" w:eastAsia="Calibri" w:hAnsi="Calibri" w:cs="Calibri"/>
          <w:color w:val="000000"/>
          <w:sz w:val="22"/>
          <w:szCs w:val="22"/>
        </w:rPr>
        <w:t xml:space="preserve">32</w:t>
      </w:r>
    </w:p>
    <w:p>
      <w:pPr>
        <w:spacing w:after="120"/>
        <w:tabs>
          <w:tab w:val="right" w:leader="dot" w:pos="9026"/>
        </w:tabs>
        <w:ind w:left="240"/>
      </w:pPr>
      <w:r>
        <w:rPr>
          <w:rFonts w:ascii="Calibri" w:eastAsia="Calibri" w:hAnsi="Calibri" w:cs="Calibri"/>
          <w:color w:val="000000"/>
          <w:sz w:val="22"/>
          <w:szCs w:val="22"/>
        </w:rPr>
        <w:t xml:space="preserve">B.3 Disbursement and Sharing</w:t>
      </w:r>
      <w:r>
        <w:tab/>
      </w:r>
      <w:r>
        <w:rPr>
          <w:rFonts w:ascii="Calibri" w:eastAsia="Calibri" w:hAnsi="Calibri" w:cs="Calibri"/>
          <w:color w:val="000000"/>
          <w:sz w:val="22"/>
          <w:szCs w:val="22"/>
        </w:rPr>
        <w:t xml:space="preserve">32</w:t>
      </w:r>
    </w:p>
    <w:p>
      <w:pPr>
        <w:spacing w:after="120"/>
        <w:tabs>
          <w:tab w:val="right" w:leader="dot" w:pos="9026"/>
        </w:tabs>
        <w:ind w:left="240"/>
      </w:pPr>
      <w:r>
        <w:rPr>
          <w:rFonts w:ascii="Calibri" w:eastAsia="Calibri" w:hAnsi="Calibri" w:cs="Calibri"/>
          <w:color w:val="000000"/>
          <w:sz w:val="22"/>
          <w:szCs w:val="22"/>
        </w:rPr>
        <w:t xml:space="preserve">B.4 The Fallback Guarantee</w:t>
      </w:r>
      <w:r>
        <w:tab/>
      </w:r>
      <w:r>
        <w:rPr>
          <w:rFonts w:ascii="Calibri" w:eastAsia="Calibri" w:hAnsi="Calibri" w:cs="Calibri"/>
          <w:color w:val="000000"/>
          <w:sz w:val="22"/>
          <w:szCs w:val="22"/>
        </w:rPr>
        <w:t xml:space="preserve">32</w:t>
      </w:r>
    </w:p>
    <w:p>
      <w:pPr>
        <w:spacing w:after="120"/>
        <w:tabs>
          <w:tab w:val="right" w:leader="dot" w:pos="9026"/>
        </w:tabs>
      </w:pPr>
      <w:r>
        <w:rPr>
          <w:rFonts w:ascii="Calibri" w:eastAsia="Calibri" w:hAnsi="Calibri" w:cs="Calibri"/>
          <w:b/>
          <w:color w:val="37474F"/>
          <w:sz w:val="22"/>
          <w:szCs w:val="22"/>
        </w:rPr>
        <w:t xml:space="preserve">ANNEX C: NUCLEAR VERIFICATION AND STOCKPILE DISPOSITION PROTOCOL</w:t>
      </w:r>
      <w:r>
        <w:tab/>
      </w:r>
      <w:r>
        <w:rPr>
          <w:rFonts w:ascii="Calibri" w:eastAsia="Calibri" w:hAnsi="Calibri" w:cs="Calibri"/>
          <w:b/>
          <w:color w:val="37474F"/>
          <w:sz w:val="22"/>
          <w:szCs w:val="22"/>
        </w:rPr>
        <w:t xml:space="preserve">33</w:t>
      </w:r>
    </w:p>
    <w:p>
      <w:pPr>
        <w:spacing w:after="120"/>
        <w:tabs>
          <w:tab w:val="right" w:leader="dot" w:pos="9026"/>
        </w:tabs>
        <w:ind w:left="240"/>
      </w:pPr>
      <w:r>
        <w:rPr>
          <w:rFonts w:ascii="Calibri" w:eastAsia="Calibri" w:hAnsi="Calibri" w:cs="Calibri"/>
          <w:color w:val="000000"/>
          <w:sz w:val="22"/>
          <w:szCs w:val="22"/>
        </w:rPr>
        <w:t xml:space="preserve">C.1 Inventory and Access</w:t>
      </w:r>
      <w:r>
        <w:tab/>
      </w:r>
      <w:r>
        <w:rPr>
          <w:rFonts w:ascii="Calibri" w:eastAsia="Calibri" w:hAnsi="Calibri" w:cs="Calibri"/>
          <w:color w:val="000000"/>
          <w:sz w:val="22"/>
          <w:szCs w:val="22"/>
        </w:rPr>
        <w:t xml:space="preserve">33</w:t>
      </w:r>
    </w:p>
    <w:p>
      <w:pPr>
        <w:spacing w:after="120"/>
        <w:tabs>
          <w:tab w:val="right" w:leader="dot" w:pos="9026"/>
        </w:tabs>
        <w:ind w:left="240"/>
      </w:pPr>
      <w:r>
        <w:rPr>
          <w:rFonts w:ascii="Calibri" w:eastAsia="Calibri" w:hAnsi="Calibri" w:cs="Calibri"/>
          <w:color w:val="000000"/>
          <w:sz w:val="22"/>
          <w:szCs w:val="22"/>
        </w:rPr>
        <w:t xml:space="preserve">C.2 Down-Blending Protocol</w:t>
      </w:r>
      <w:r>
        <w:tab/>
      </w:r>
      <w:r>
        <w:rPr>
          <w:rFonts w:ascii="Calibri" w:eastAsia="Calibri" w:hAnsi="Calibri" w:cs="Calibri"/>
          <w:color w:val="000000"/>
          <w:sz w:val="22"/>
          <w:szCs w:val="22"/>
        </w:rPr>
        <w:t xml:space="preserve">33</w:t>
      </w:r>
    </w:p>
    <w:p>
      <w:pPr>
        <w:spacing w:after="120"/>
        <w:tabs>
          <w:tab w:val="right" w:leader="dot" w:pos="9026"/>
        </w:tabs>
        <w:ind w:left="240"/>
      </w:pPr>
      <w:r>
        <w:rPr>
          <w:rFonts w:ascii="Calibri" w:eastAsia="Calibri" w:hAnsi="Calibri" w:cs="Calibri"/>
          <w:color w:val="000000"/>
          <w:sz w:val="22"/>
          <w:szCs w:val="22"/>
        </w:rPr>
        <w:t xml:space="preserve">C.3 Permanent Ceilings and the Breakout Geometry</w:t>
      </w:r>
      <w:r>
        <w:tab/>
      </w:r>
      <w:r>
        <w:rPr>
          <w:rFonts w:ascii="Calibri" w:eastAsia="Calibri" w:hAnsi="Calibri" w:cs="Calibri"/>
          <w:color w:val="000000"/>
          <w:sz w:val="22"/>
          <w:szCs w:val="22"/>
        </w:rPr>
        <w:t xml:space="preserve">33</w:t>
      </w:r>
    </w:p>
    <w:p>
      <w:pPr>
        <w:spacing w:after="120"/>
        <w:tabs>
          <w:tab w:val="right" w:leader="dot" w:pos="9026"/>
        </w:tabs>
        <w:ind w:left="240"/>
      </w:pPr>
      <w:r>
        <w:rPr>
          <w:rFonts w:ascii="Calibri" w:eastAsia="Calibri" w:hAnsi="Calibri" w:cs="Calibri"/>
          <w:color w:val="000000"/>
          <w:sz w:val="22"/>
          <w:szCs w:val="22"/>
        </w:rPr>
        <w:t xml:space="preserve">C.4 The Challenge Inspection Procedure</w:t>
      </w:r>
      <w:r>
        <w:tab/>
      </w:r>
      <w:r>
        <w:rPr>
          <w:rFonts w:ascii="Calibri" w:eastAsia="Calibri" w:hAnsi="Calibri" w:cs="Calibri"/>
          <w:color w:val="000000"/>
          <w:sz w:val="22"/>
          <w:szCs w:val="22"/>
        </w:rPr>
        <w:t xml:space="preserve">34</w:t>
      </w:r>
    </w:p>
    <w:p>
      <w:pPr>
        <w:spacing w:after="120"/>
        <w:tabs>
          <w:tab w:val="right" w:leader="dot" w:pos="9026"/>
        </w:tabs>
        <w:ind w:left="240"/>
      </w:pPr>
      <w:r>
        <w:rPr>
          <w:rFonts w:ascii="Calibri" w:eastAsia="Calibri" w:hAnsi="Calibri" w:cs="Calibri"/>
          <w:color w:val="000000"/>
          <w:sz w:val="22"/>
          <w:szCs w:val="22"/>
        </w:rPr>
        <w:t xml:space="preserve">C.5 Past Activities Closure</w:t>
      </w:r>
      <w:r>
        <w:tab/>
      </w:r>
      <w:r>
        <w:rPr>
          <w:rFonts w:ascii="Calibri" w:eastAsia="Calibri" w:hAnsi="Calibri" w:cs="Calibri"/>
          <w:color w:val="000000"/>
          <w:sz w:val="22"/>
          <w:szCs w:val="22"/>
        </w:rPr>
        <w:t xml:space="preserve">34</w:t>
      </w:r>
    </w:p>
    <w:p>
      <w:pPr>
        <w:spacing w:after="120"/>
        <w:tabs>
          <w:tab w:val="right" w:leader="dot" w:pos="9026"/>
        </w:tabs>
        <w:ind w:left="240"/>
      </w:pPr>
      <w:r>
        <w:rPr>
          <w:rFonts w:ascii="Calibri" w:eastAsia="Calibri" w:hAnsi="Calibri" w:cs="Calibri"/>
          <w:color w:val="000000"/>
          <w:sz w:val="22"/>
          <w:szCs w:val="22"/>
        </w:rPr>
        <w:t xml:space="preserve">C.6 Fuel Supply Guarantee and Scientific Reintegration</w:t>
      </w:r>
      <w:r>
        <w:tab/>
      </w:r>
      <w:r>
        <w:rPr>
          <w:rFonts w:ascii="Calibri" w:eastAsia="Calibri" w:hAnsi="Calibri" w:cs="Calibri"/>
          <w:color w:val="000000"/>
          <w:sz w:val="22"/>
          <w:szCs w:val="22"/>
        </w:rPr>
        <w:t xml:space="preserve">34</w:t>
      </w:r>
    </w:p>
    <w:p>
      <w:pPr>
        <w:spacing w:after="120"/>
        <w:tabs>
          <w:tab w:val="right" w:leader="dot" w:pos="9026"/>
        </w:tabs>
      </w:pPr>
      <w:r>
        <w:rPr>
          <w:rFonts w:ascii="Calibri" w:eastAsia="Calibri" w:hAnsi="Calibri" w:cs="Calibri"/>
          <w:b/>
          <w:color w:val="37474F"/>
          <w:sz w:val="22"/>
          <w:szCs w:val="22"/>
        </w:rPr>
        <w:t xml:space="preserve">ANNEX D: THE COTHROM VERIFICATION METHOD (INCORPORATED TEXT AND OPERATING SCHEDULE)</w:t>
      </w:r>
      <w:r>
        <w:tab/>
      </w:r>
      <w:r>
        <w:rPr>
          <w:rFonts w:ascii="Calibri" w:eastAsia="Calibri" w:hAnsi="Calibri" w:cs="Calibri"/>
          <w:b/>
          <w:color w:val="37474F"/>
          <w:sz w:val="22"/>
          <w:szCs w:val="22"/>
        </w:rPr>
        <w:t xml:space="preserve">34</w:t>
      </w:r>
    </w:p>
    <w:p>
      <w:pPr>
        <w:spacing w:after="120"/>
        <w:tabs>
          <w:tab w:val="right" w:leader="dot" w:pos="9026"/>
        </w:tabs>
        <w:ind w:left="240"/>
      </w:pPr>
      <w:r>
        <w:rPr>
          <w:rFonts w:ascii="Calibri" w:eastAsia="Calibri" w:hAnsi="Calibri" w:cs="Calibri"/>
          <w:color w:val="000000"/>
          <w:sz w:val="22"/>
          <w:szCs w:val="22"/>
        </w:rPr>
        <w:t xml:space="preserve">D.1 Incorporation</w:t>
      </w:r>
      <w:r>
        <w:tab/>
      </w:r>
      <w:r>
        <w:rPr>
          <w:rFonts w:ascii="Calibri" w:eastAsia="Calibri" w:hAnsi="Calibri" w:cs="Calibri"/>
          <w:color w:val="000000"/>
          <w:sz w:val="22"/>
          <w:szCs w:val="22"/>
        </w:rPr>
        <w:t xml:space="preserve">34</w:t>
      </w:r>
    </w:p>
    <w:p>
      <w:pPr>
        <w:spacing w:after="120"/>
        <w:tabs>
          <w:tab w:val="right" w:leader="dot" w:pos="9026"/>
        </w:tabs>
        <w:ind w:left="240"/>
      </w:pPr>
      <w:r>
        <w:rPr>
          <w:rFonts w:ascii="Calibri" w:eastAsia="Calibri" w:hAnsi="Calibri" w:cs="Calibri"/>
          <w:color w:val="000000"/>
          <w:sz w:val="22"/>
          <w:szCs w:val="22"/>
        </w:rPr>
        <w:t xml:space="preserve">D.2 Operating Schedule for the Compact’s Phases</w:t>
      </w:r>
      <w:r>
        <w:tab/>
      </w:r>
      <w:r>
        <w:rPr>
          <w:rFonts w:ascii="Calibri" w:eastAsia="Calibri" w:hAnsi="Calibri" w:cs="Calibri"/>
          <w:color w:val="000000"/>
          <w:sz w:val="22"/>
          <w:szCs w:val="22"/>
        </w:rPr>
        <w:t xml:space="preserve">34</w:t>
      </w:r>
    </w:p>
    <w:p>
      <w:pPr>
        <w:spacing w:after="120"/>
        <w:tabs>
          <w:tab w:val="right" w:leader="dot" w:pos="9026"/>
        </w:tabs>
        <w:ind w:left="240"/>
      </w:pPr>
      <w:r>
        <w:rPr>
          <w:rFonts w:ascii="Calibri" w:eastAsia="Calibri" w:hAnsi="Calibri" w:cs="Calibri"/>
          <w:color w:val="000000"/>
          <w:sz w:val="22"/>
          <w:szCs w:val="22"/>
        </w:rPr>
        <w:t xml:space="preserve">D.3 Adversarial Verification Architecture</w:t>
      </w:r>
      <w:r>
        <w:tab/>
      </w:r>
      <w:r>
        <w:rPr>
          <w:rFonts w:ascii="Calibri" w:eastAsia="Calibri" w:hAnsi="Calibri" w:cs="Calibri"/>
          <w:color w:val="000000"/>
          <w:sz w:val="22"/>
          <w:szCs w:val="22"/>
        </w:rPr>
        <w:t xml:space="preserve">35</w:t>
      </w:r>
    </w:p>
    <w:p>
      <w:pPr>
        <w:spacing w:after="120"/>
        <w:tabs>
          <w:tab w:val="right" w:leader="dot" w:pos="9026"/>
        </w:tabs>
        <w:ind w:left="240"/>
      </w:pPr>
      <w:r>
        <w:rPr>
          <w:rFonts w:ascii="Calibri" w:eastAsia="Calibri" w:hAnsi="Calibri" w:cs="Calibri"/>
          <w:color w:val="000000"/>
          <w:sz w:val="22"/>
          <w:szCs w:val="22"/>
        </w:rPr>
        <w:t xml:space="preserve">D.4 The Step-Back and Earn-Back Engine</w:t>
      </w:r>
      <w:r>
        <w:tab/>
      </w:r>
      <w:r>
        <w:rPr>
          <w:rFonts w:ascii="Calibri" w:eastAsia="Calibri" w:hAnsi="Calibri" w:cs="Calibri"/>
          <w:color w:val="000000"/>
          <w:sz w:val="22"/>
          <w:szCs w:val="22"/>
        </w:rPr>
        <w:t xml:space="preserve">35</w:t>
      </w:r>
    </w:p>
    <w:p>
      <w:pPr>
        <w:spacing w:after="120"/>
        <w:tabs>
          <w:tab w:val="right" w:leader="dot" w:pos="9026"/>
        </w:tabs>
        <w:ind w:left="240"/>
      </w:pPr>
      <w:r>
        <w:rPr>
          <w:rFonts w:ascii="Calibri" w:eastAsia="Calibri" w:hAnsi="Calibri" w:cs="Calibri"/>
          <w:color w:val="000000"/>
          <w:sz w:val="22"/>
          <w:szCs w:val="22"/>
        </w:rPr>
        <w:t xml:space="preserve">D.5 Declassification</w:t>
      </w:r>
      <w:r>
        <w:tab/>
      </w:r>
      <w:r>
        <w:rPr>
          <w:rFonts w:ascii="Calibri" w:eastAsia="Calibri" w:hAnsi="Calibri" w:cs="Calibri"/>
          <w:color w:val="000000"/>
          <w:sz w:val="22"/>
          <w:szCs w:val="22"/>
        </w:rPr>
        <w:t xml:space="preserve">36</w:t>
      </w:r>
    </w:p>
    <w:p>
      <w:pPr>
        <w:spacing w:after="120"/>
        <w:tabs>
          <w:tab w:val="right" w:leader="dot" w:pos="9026"/>
        </w:tabs>
        <w:ind w:left="240"/>
      </w:pPr>
      <w:r>
        <w:rPr>
          <w:rFonts w:ascii="Calibri" w:eastAsia="Calibri" w:hAnsi="Calibri" w:cs="Calibri"/>
          <w:color w:val="000000"/>
          <w:sz w:val="22"/>
          <w:szCs w:val="22"/>
        </w:rPr>
        <w:t xml:space="preserve">D.6 Full Incorporated Operative Text of the Cothrom Verification Method</w:t>
      </w:r>
      <w:r>
        <w:tab/>
      </w:r>
      <w:r>
        <w:rPr>
          <w:rFonts w:ascii="Calibri" w:eastAsia="Calibri" w:hAnsi="Calibri" w:cs="Calibri"/>
          <w:color w:val="000000"/>
          <w:sz w:val="22"/>
          <w:szCs w:val="22"/>
        </w:rPr>
        <w:t xml:space="preserve">36</w:t>
      </w:r>
    </w:p>
    <w:p>
      <w:pPr>
        <w:spacing w:after="120"/>
        <w:tabs>
          <w:tab w:val="right" w:leader="dot" w:pos="9026"/>
        </w:tabs>
        <w:ind w:left="240"/>
      </w:pPr>
      <w:r>
        <w:rPr>
          <w:rFonts w:ascii="Calibri" w:eastAsia="Calibri" w:hAnsi="Calibri" w:cs="Calibri"/>
          <w:color w:val="000000"/>
          <w:sz w:val="22"/>
          <w:szCs w:val="22"/>
        </w:rPr>
        <w:t xml:space="preserve">PREAMBLE: THE COTHROM PRINCIPLE</w:t>
      </w:r>
      <w:r>
        <w:tab/>
      </w:r>
      <w:r>
        <w:rPr>
          <w:rFonts w:ascii="Calibri" w:eastAsia="Calibri" w:hAnsi="Calibri" w:cs="Calibri"/>
          <w:color w:val="000000"/>
          <w:sz w:val="22"/>
          <w:szCs w:val="22"/>
        </w:rPr>
        <w:t xml:space="preserve">36</w:t>
      </w:r>
    </w:p>
    <w:p>
      <w:pPr>
        <w:spacing w:after="120"/>
        <w:tabs>
          <w:tab w:val="right" w:leader="dot" w:pos="9026"/>
        </w:tabs>
        <w:ind w:left="240"/>
      </w:pPr>
      <w:r>
        <w:rPr>
          <w:rFonts w:ascii="Calibri" w:eastAsia="Calibri" w:hAnsi="Calibri" w:cs="Calibri"/>
          <w:color w:val="000000"/>
          <w:sz w:val="22"/>
          <w:szCs w:val="22"/>
        </w:rPr>
        <w:t xml:space="preserve">Part I: Data Infrastructure And Anomaly Detection</w:t>
      </w:r>
      <w:r>
        <w:tab/>
      </w:r>
      <w:r>
        <w:rPr>
          <w:rFonts w:ascii="Calibri" w:eastAsia="Calibri" w:hAnsi="Calibri" w:cs="Calibri"/>
          <w:color w:val="000000"/>
          <w:sz w:val="22"/>
          <w:szCs w:val="22"/>
        </w:rPr>
        <w:t xml:space="preserve">37</w:t>
      </w:r>
    </w:p>
    <w:p>
      <w:pPr>
        <w:spacing w:after="120"/>
        <w:tabs>
          <w:tab w:val="right" w:leader="dot" w:pos="9026"/>
        </w:tabs>
        <w:ind w:left="240"/>
      </w:pPr>
      <w:r>
        <w:rPr>
          <w:rFonts w:ascii="Calibri" w:eastAsia="Calibri" w:hAnsi="Calibri" w:cs="Calibri"/>
          <w:color w:val="000000"/>
          <w:sz w:val="22"/>
          <w:szCs w:val="22"/>
        </w:rPr>
        <w:t xml:space="preserve">Part Ii: Adversarial Claim Verification</w:t>
      </w:r>
      <w:r>
        <w:tab/>
      </w:r>
      <w:r>
        <w:rPr>
          <w:rFonts w:ascii="Calibri" w:eastAsia="Calibri" w:hAnsi="Calibri" w:cs="Calibri"/>
          <w:color w:val="000000"/>
          <w:sz w:val="22"/>
          <w:szCs w:val="22"/>
        </w:rPr>
        <w:t xml:space="preserve">40</w:t>
      </w:r>
    </w:p>
    <w:p>
      <w:pPr>
        <w:spacing w:after="120"/>
        <w:tabs>
          <w:tab w:val="right" w:leader="dot" w:pos="9026"/>
        </w:tabs>
        <w:ind w:left="240"/>
      </w:pPr>
      <w:r>
        <w:rPr>
          <w:rFonts w:ascii="Calibri" w:eastAsia="Calibri" w:hAnsi="Calibri" w:cs="Calibri"/>
          <w:color w:val="000000"/>
          <w:sz w:val="22"/>
          <w:szCs w:val="22"/>
        </w:rPr>
        <w:t xml:space="preserve">Part Iii: The Step-Back And Earn-Back Compliance Engine</w:t>
      </w:r>
      <w:r>
        <w:tab/>
      </w:r>
      <w:r>
        <w:rPr>
          <w:rFonts w:ascii="Calibri" w:eastAsia="Calibri" w:hAnsi="Calibri" w:cs="Calibri"/>
          <w:color w:val="000000"/>
          <w:sz w:val="22"/>
          <w:szCs w:val="22"/>
        </w:rPr>
        <w:t xml:space="preserve">45</w:t>
      </w:r>
    </w:p>
    <w:p>
      <w:pPr>
        <w:spacing w:after="120"/>
        <w:tabs>
          <w:tab w:val="right" w:leader="dot" w:pos="9026"/>
        </w:tabs>
        <w:ind w:left="240"/>
      </w:pPr>
      <w:r>
        <w:rPr>
          <w:rFonts w:ascii="Calibri" w:eastAsia="Calibri" w:hAnsi="Calibri" w:cs="Calibri"/>
          <w:color w:val="000000"/>
          <w:sz w:val="22"/>
          <w:szCs w:val="22"/>
        </w:rPr>
        <w:t xml:space="preserve">Part Iv: Protective Architecture</w:t>
      </w:r>
      <w:r>
        <w:tab/>
      </w:r>
      <w:r>
        <w:rPr>
          <w:rFonts w:ascii="Calibri" w:eastAsia="Calibri" w:hAnsi="Calibri" w:cs="Calibri"/>
          <w:color w:val="000000"/>
          <w:sz w:val="22"/>
          <w:szCs w:val="22"/>
        </w:rPr>
        <w:t xml:space="preserve">48</w:t>
      </w:r>
    </w:p>
    <w:p>
      <w:pPr>
        <w:spacing w:after="120"/>
        <w:tabs>
          <w:tab w:val="right" w:leader="dot" w:pos="9026"/>
        </w:tabs>
        <w:ind w:left="240"/>
      </w:pPr>
      <w:r>
        <w:rPr>
          <w:rFonts w:ascii="Calibri" w:eastAsia="Calibri" w:hAnsi="Calibri" w:cs="Calibri"/>
          <w:color w:val="000000"/>
          <w:sz w:val="22"/>
          <w:szCs w:val="22"/>
        </w:rPr>
        <w:t xml:space="preserve">Part V: Operational Supplements</w:t>
      </w:r>
      <w:r>
        <w:tab/>
      </w:r>
      <w:r>
        <w:rPr>
          <w:rFonts w:ascii="Calibri" w:eastAsia="Calibri" w:hAnsi="Calibri" w:cs="Calibri"/>
          <w:color w:val="000000"/>
          <w:sz w:val="22"/>
          <w:szCs w:val="22"/>
        </w:rPr>
        <w:t xml:space="preserve">50</w:t>
      </w:r>
    </w:p>
    <w:p>
      <w:pPr>
        <w:spacing w:after="120"/>
        <w:tabs>
          <w:tab w:val="right" w:leader="dot" w:pos="9026"/>
        </w:tabs>
        <w:ind w:left="240"/>
      </w:pPr>
      <w:r>
        <w:rPr>
          <w:rFonts w:ascii="Calibri" w:eastAsia="Calibri" w:hAnsi="Calibri" w:cs="Calibri"/>
          <w:color w:val="000000"/>
          <w:sz w:val="22"/>
          <w:szCs w:val="22"/>
        </w:rPr>
        <w:t xml:space="preserve">Closing</w:t>
      </w:r>
      <w:r>
        <w:tab/>
      </w:r>
      <w:r>
        <w:rPr>
          <w:rFonts w:ascii="Calibri" w:eastAsia="Calibri" w:hAnsi="Calibri" w:cs="Calibri"/>
          <w:color w:val="000000"/>
          <w:sz w:val="22"/>
          <w:szCs w:val="22"/>
        </w:rPr>
        <w:t xml:space="preserve">54</w:t>
      </w:r>
    </w:p>
    <w:p>
      <w:pPr>
        <w:spacing w:after="120"/>
        <w:tabs>
          <w:tab w:val="right" w:leader="dot" w:pos="9026"/>
        </w:tabs>
      </w:pPr>
      <w:r>
        <w:rPr>
          <w:rFonts w:ascii="Calibri" w:eastAsia="Calibri" w:hAnsi="Calibri" w:cs="Calibri"/>
          <w:b/>
          <w:color w:val="37474F"/>
          <w:sz w:val="22"/>
          <w:szCs w:val="22"/>
        </w:rPr>
        <w:t xml:space="preserve">ANNEX E: THE RECONSTRUCTION AND DEVELOPMENT FUND PROTOCOL (ANNEX RDF, INCORPORATED)</w:t>
      </w:r>
      <w:r>
        <w:tab/>
      </w:r>
      <w:r>
        <w:rPr>
          <w:rFonts w:ascii="Calibri" w:eastAsia="Calibri" w:hAnsi="Calibri" w:cs="Calibri"/>
          <w:b/>
          <w:color w:val="37474F"/>
          <w:sz w:val="22"/>
          <w:szCs w:val="22"/>
        </w:rPr>
        <w:t xml:space="preserve">54</w:t>
      </w:r>
    </w:p>
    <w:p>
      <w:pPr>
        <w:spacing w:after="120"/>
        <w:tabs>
          <w:tab w:val="right" w:leader="dot" w:pos="9026"/>
        </w:tabs>
        <w:ind w:left="240"/>
      </w:pPr>
      <w:r>
        <w:rPr>
          <w:rFonts w:ascii="Calibri" w:eastAsia="Calibri" w:hAnsi="Calibri" w:cs="Calibri"/>
          <w:color w:val="000000"/>
          <w:sz w:val="22"/>
          <w:szCs w:val="22"/>
        </w:rPr>
        <w:t xml:space="preserve">E.1 Incorporation</w:t>
      </w:r>
      <w:r>
        <w:tab/>
      </w:r>
      <w:r>
        <w:rPr>
          <w:rFonts w:ascii="Calibri" w:eastAsia="Calibri" w:hAnsi="Calibri" w:cs="Calibri"/>
          <w:color w:val="000000"/>
          <w:sz w:val="22"/>
          <w:szCs w:val="22"/>
        </w:rPr>
        <w:t xml:space="preserve">54</w:t>
      </w:r>
    </w:p>
    <w:p>
      <w:pPr>
        <w:spacing w:after="120"/>
        <w:tabs>
          <w:tab w:val="right" w:leader="dot" w:pos="9026"/>
        </w:tabs>
        <w:ind w:left="240"/>
      </w:pPr>
      <w:r>
        <w:rPr>
          <w:rFonts w:ascii="Calibri" w:eastAsia="Calibri" w:hAnsi="Calibri" w:cs="Calibri"/>
          <w:color w:val="000000"/>
          <w:sz w:val="22"/>
          <w:szCs w:val="22"/>
        </w:rPr>
        <w:t xml:space="preserve">E.2 Capital Architecture Summary</w:t>
      </w:r>
      <w:r>
        <w:tab/>
      </w:r>
      <w:r>
        <w:rPr>
          <w:rFonts w:ascii="Calibri" w:eastAsia="Calibri" w:hAnsi="Calibri" w:cs="Calibri"/>
          <w:color w:val="000000"/>
          <w:sz w:val="22"/>
          <w:szCs w:val="22"/>
        </w:rPr>
        <w:t xml:space="preserve">55</w:t>
      </w:r>
    </w:p>
    <w:p>
      <w:pPr>
        <w:spacing w:after="120"/>
        <w:tabs>
          <w:tab w:val="right" w:leader="dot" w:pos="9026"/>
        </w:tabs>
        <w:ind w:left="240"/>
      </w:pPr>
      <w:r>
        <w:rPr>
          <w:rFonts w:ascii="Calibri" w:eastAsia="Calibri" w:hAnsi="Calibri" w:cs="Calibri"/>
          <w:color w:val="000000"/>
          <w:sz w:val="22"/>
          <w:szCs w:val="22"/>
        </w:rPr>
        <w:t xml:space="preserve">E.3 Governance</w:t>
      </w:r>
      <w:r>
        <w:tab/>
      </w:r>
      <w:r>
        <w:rPr>
          <w:rFonts w:ascii="Calibri" w:eastAsia="Calibri" w:hAnsi="Calibri" w:cs="Calibri"/>
          <w:color w:val="000000"/>
          <w:sz w:val="22"/>
          <w:szCs w:val="22"/>
        </w:rPr>
        <w:t xml:space="preserve">55</w:t>
      </w:r>
    </w:p>
    <w:p>
      <w:pPr>
        <w:spacing w:after="120"/>
        <w:tabs>
          <w:tab w:val="right" w:leader="dot" w:pos="9026"/>
        </w:tabs>
        <w:ind w:left="240"/>
      </w:pPr>
      <w:r>
        <w:rPr>
          <w:rFonts w:ascii="Calibri" w:eastAsia="Calibri" w:hAnsi="Calibri" w:cs="Calibri"/>
          <w:color w:val="000000"/>
          <w:sz w:val="22"/>
          <w:szCs w:val="22"/>
        </w:rPr>
        <w:t xml:space="preserve">E.4 Protections</w:t>
      </w:r>
      <w:r>
        <w:tab/>
      </w:r>
      <w:r>
        <w:rPr>
          <w:rFonts w:ascii="Calibri" w:eastAsia="Calibri" w:hAnsi="Calibri" w:cs="Calibri"/>
          <w:color w:val="000000"/>
          <w:sz w:val="22"/>
          <w:szCs w:val="22"/>
        </w:rPr>
        <w:t xml:space="preserve">55</w:t>
      </w:r>
    </w:p>
    <w:p>
      <w:pPr>
        <w:spacing w:after="120"/>
        <w:tabs>
          <w:tab w:val="right" w:leader="dot" w:pos="9026"/>
        </w:tabs>
        <w:ind w:left="240"/>
      </w:pPr>
      <w:r>
        <w:rPr>
          <w:rFonts w:ascii="Calibri" w:eastAsia="Calibri" w:hAnsi="Calibri" w:cs="Calibri"/>
          <w:color w:val="000000"/>
          <w:sz w:val="22"/>
          <w:szCs w:val="22"/>
        </w:rPr>
        <w:t xml:space="preserve">E.5 Full Incorporated Operative Text of the Reconstruction and Development Fund Protocol</w:t>
      </w:r>
      <w:r>
        <w:tab/>
      </w:r>
      <w:r>
        <w:rPr>
          <w:rFonts w:ascii="Calibri" w:eastAsia="Calibri" w:hAnsi="Calibri" w:cs="Calibri"/>
          <w:color w:val="000000"/>
          <w:sz w:val="22"/>
          <w:szCs w:val="22"/>
        </w:rPr>
        <w:t xml:space="preserve">56</w:t>
      </w:r>
    </w:p>
    <w:p>
      <w:pPr>
        <w:spacing w:after="120"/>
        <w:tabs>
          <w:tab w:val="right" w:leader="dot" w:pos="9026"/>
        </w:tabs>
      </w:pPr>
      <w:r>
        <w:rPr>
          <w:rFonts w:ascii="Calibri" w:eastAsia="Calibri" w:hAnsi="Calibri" w:cs="Calibri"/>
          <w:b/>
          <w:color w:val="37474F"/>
          <w:sz w:val="22"/>
          <w:szCs w:val="22"/>
        </w:rPr>
        <w:t xml:space="preserve">ANNEX F: THE POLITICAL LAYER MESSAGING REGISTER AND SEQUENCED PUBLIC COMMUNICATIONS</w:t>
      </w:r>
      <w:r>
        <w:tab/>
      </w:r>
      <w:r>
        <w:rPr>
          <w:rFonts w:ascii="Calibri" w:eastAsia="Calibri" w:hAnsi="Calibri" w:cs="Calibri"/>
          <w:b/>
          <w:color w:val="37474F"/>
          <w:sz w:val="22"/>
          <w:szCs w:val="22"/>
        </w:rPr>
        <w:t xml:space="preserve">130</w:t>
      </w:r>
    </w:p>
    <w:p>
      <w:pPr>
        <w:spacing w:after="120"/>
        <w:tabs>
          <w:tab w:val="right" w:leader="dot" w:pos="9026"/>
        </w:tabs>
        <w:ind w:left="240"/>
      </w:pPr>
      <w:r>
        <w:rPr>
          <w:rFonts w:ascii="Calibri" w:eastAsia="Calibri" w:hAnsi="Calibri" w:cs="Calibri"/>
          <w:color w:val="000000"/>
          <w:sz w:val="22"/>
          <w:szCs w:val="22"/>
        </w:rPr>
        <w:t xml:space="preserve">F.1 The Agreed Silence Windows</w:t>
      </w:r>
      <w:r>
        <w:tab/>
      </w:r>
      <w:r>
        <w:rPr>
          <w:rFonts w:ascii="Calibri" w:eastAsia="Calibri" w:hAnsi="Calibri" w:cs="Calibri"/>
          <w:color w:val="000000"/>
          <w:sz w:val="22"/>
          <w:szCs w:val="22"/>
        </w:rPr>
        <w:t xml:space="preserve">130</w:t>
      </w:r>
    </w:p>
    <w:p>
      <w:pPr>
        <w:spacing w:after="120"/>
        <w:tabs>
          <w:tab w:val="right" w:leader="dot" w:pos="9026"/>
        </w:tabs>
        <w:ind w:left="240"/>
      </w:pPr>
      <w:r>
        <w:rPr>
          <w:rFonts w:ascii="Calibri" w:eastAsia="Calibri" w:hAnsi="Calibri" w:cs="Calibri"/>
          <w:color w:val="000000"/>
          <w:sz w:val="22"/>
          <w:szCs w:val="22"/>
        </w:rPr>
        <w:t xml:space="preserve">F.2 The Parallel Announcement Texts</w:t>
      </w:r>
      <w:r>
        <w:tab/>
      </w:r>
      <w:r>
        <w:rPr>
          <w:rFonts w:ascii="Calibri" w:eastAsia="Calibri" w:hAnsi="Calibri" w:cs="Calibri"/>
          <w:color w:val="000000"/>
          <w:sz w:val="22"/>
          <w:szCs w:val="22"/>
        </w:rPr>
        <w:t xml:space="preserve">130</w:t>
      </w:r>
    </w:p>
    <w:p>
      <w:pPr>
        <w:spacing w:after="120"/>
        <w:tabs>
          <w:tab w:val="right" w:leader="dot" w:pos="9026"/>
        </w:tabs>
        <w:ind w:left="240"/>
      </w:pPr>
      <w:r>
        <w:rPr>
          <w:rFonts w:ascii="Calibri" w:eastAsia="Calibri" w:hAnsi="Calibri" w:cs="Calibri"/>
          <w:color w:val="000000"/>
          <w:sz w:val="22"/>
          <w:szCs w:val="22"/>
        </w:rPr>
        <w:t xml:space="preserve">F.3 The Response Protocol for Hostile Characterization</w:t>
      </w:r>
      <w:r>
        <w:tab/>
      </w:r>
      <w:r>
        <w:rPr>
          <w:rFonts w:ascii="Calibri" w:eastAsia="Calibri" w:hAnsi="Calibri" w:cs="Calibri"/>
          <w:color w:val="000000"/>
          <w:sz w:val="22"/>
          <w:szCs w:val="22"/>
        </w:rPr>
        <w:t xml:space="preserve">131</w:t>
      </w:r>
    </w:p>
    <w:p>
      <w:pPr>
        <w:spacing w:after="120"/>
        <w:tabs>
          <w:tab w:val="right" w:leader="dot" w:pos="9026"/>
        </w:tabs>
      </w:pPr>
      <w:r>
        <w:rPr>
          <w:rFonts w:ascii="Calibri" w:eastAsia="Calibri" w:hAnsi="Calibri" w:cs="Calibri"/>
          <w:b/>
          <w:color w:val="37474F"/>
          <w:sz w:val="22"/>
          <w:szCs w:val="22"/>
        </w:rPr>
        <w:t xml:space="preserve">ANNEX G: DEFINITIONS, INTERPRETATION, AND SEVERABILITY</w:t>
      </w:r>
      <w:r>
        <w:tab/>
      </w:r>
      <w:r>
        <w:rPr>
          <w:rFonts w:ascii="Calibri" w:eastAsia="Calibri" w:hAnsi="Calibri" w:cs="Calibri"/>
          <w:b/>
          <w:color w:val="37474F"/>
          <w:sz w:val="22"/>
          <w:szCs w:val="22"/>
        </w:rPr>
        <w:t xml:space="preserve">131</w:t>
      </w:r>
    </w:p>
    <w:p>
      <w:pPr>
        <w:spacing w:after="120"/>
        <w:tabs>
          <w:tab w:val="right" w:leader="dot" w:pos="9026"/>
        </w:tabs>
        <w:ind w:left="240"/>
      </w:pPr>
      <w:r>
        <w:rPr>
          <w:rFonts w:ascii="Calibri" w:eastAsia="Calibri" w:hAnsi="Calibri" w:cs="Calibri"/>
          <w:color w:val="000000"/>
          <w:sz w:val="22"/>
          <w:szCs w:val="22"/>
        </w:rPr>
        <w:t xml:space="preserve">G.1 Definitions</w:t>
      </w:r>
      <w:r>
        <w:tab/>
      </w:r>
      <w:r>
        <w:rPr>
          <w:rFonts w:ascii="Calibri" w:eastAsia="Calibri" w:hAnsi="Calibri" w:cs="Calibri"/>
          <w:color w:val="000000"/>
          <w:sz w:val="22"/>
          <w:szCs w:val="22"/>
        </w:rPr>
        <w:t xml:space="preserve">131</w:t>
      </w:r>
    </w:p>
    <w:p>
      <w:pPr>
        <w:spacing w:after="120"/>
        <w:tabs>
          <w:tab w:val="right" w:leader="dot" w:pos="9026"/>
        </w:tabs>
        <w:ind w:left="240"/>
      </w:pPr>
      <w:r>
        <w:rPr>
          <w:rFonts w:ascii="Calibri" w:eastAsia="Calibri" w:hAnsi="Calibri" w:cs="Calibri"/>
          <w:color w:val="000000"/>
          <w:sz w:val="22"/>
          <w:szCs w:val="22"/>
        </w:rPr>
        <w:t xml:space="preserve">G.2 Interpretation</w:t>
      </w:r>
      <w:r>
        <w:tab/>
      </w:r>
      <w:r>
        <w:rPr>
          <w:rFonts w:ascii="Calibri" w:eastAsia="Calibri" w:hAnsi="Calibri" w:cs="Calibri"/>
          <w:color w:val="000000"/>
          <w:sz w:val="22"/>
          <w:szCs w:val="22"/>
        </w:rPr>
        <w:t xml:space="preserve">131</w:t>
      </w:r>
    </w:p>
    <w:p>
      <w:pPr>
        <w:spacing w:after="120"/>
        <w:tabs>
          <w:tab w:val="right" w:leader="dot" w:pos="9026"/>
        </w:tabs>
        <w:ind w:left="240"/>
      </w:pPr>
      <w:r>
        <w:rPr>
          <w:rFonts w:ascii="Calibri" w:eastAsia="Calibri" w:hAnsi="Calibri" w:cs="Calibri"/>
          <w:color w:val="000000"/>
          <w:sz w:val="22"/>
          <w:szCs w:val="22"/>
        </w:rPr>
        <w:t xml:space="preserve">G.3 Severability and the Partial Success Doctrine</w:t>
      </w:r>
      <w:r>
        <w:tab/>
      </w:r>
      <w:r>
        <w:rPr>
          <w:rFonts w:ascii="Calibri" w:eastAsia="Calibri" w:hAnsi="Calibri" w:cs="Calibri"/>
          <w:color w:val="000000"/>
          <w:sz w:val="22"/>
          <w:szCs w:val="22"/>
        </w:rPr>
        <w:t xml:space="preserve">132</w:t>
      </w:r>
    </w:p>
    <w:p>
      <w:pPr>
        <w:spacing w:after="120"/>
        <w:tabs>
          <w:tab w:val="right" w:leader="dot" w:pos="9026"/>
        </w:tabs>
      </w:pPr>
      <w:r>
        <w:rPr>
          <w:rFonts w:ascii="Calibri" w:eastAsia="Calibri" w:hAnsi="Calibri" w:cs="Calibri"/>
          <w:b/>
          <w:color w:val="37474F"/>
          <w:sz w:val="22"/>
          <w:szCs w:val="22"/>
        </w:rPr>
        <w:t xml:space="preserve">ANNEX H: SIGNATURE INSTRUMENTS, DEPOSITARY PROCEDURES, AND UNSC ENDORSEMENT DRAFT</w:t>
      </w:r>
      <w:r>
        <w:tab/>
      </w:r>
      <w:r>
        <w:rPr>
          <w:rFonts w:ascii="Calibri" w:eastAsia="Calibri" w:hAnsi="Calibri" w:cs="Calibri"/>
          <w:b/>
          <w:color w:val="37474F"/>
          <w:sz w:val="22"/>
          <w:szCs w:val="22"/>
        </w:rPr>
        <w:t xml:space="preserve">132</w:t>
      </w:r>
    </w:p>
    <w:p>
      <w:pPr>
        <w:spacing w:after="120"/>
        <w:tabs>
          <w:tab w:val="right" w:leader="dot" w:pos="9026"/>
        </w:tabs>
        <w:ind w:left="240"/>
      </w:pPr>
      <w:r>
        <w:rPr>
          <w:rFonts w:ascii="Calibri" w:eastAsia="Calibri" w:hAnsi="Calibri" w:cs="Calibri"/>
          <w:color w:val="000000"/>
          <w:sz w:val="22"/>
          <w:szCs w:val="22"/>
        </w:rPr>
        <w:t xml:space="preserve">H.1 Depositary</w:t>
      </w:r>
      <w:r>
        <w:tab/>
      </w:r>
      <w:r>
        <w:rPr>
          <w:rFonts w:ascii="Calibri" w:eastAsia="Calibri" w:hAnsi="Calibri" w:cs="Calibri"/>
          <w:color w:val="000000"/>
          <w:sz w:val="22"/>
          <w:szCs w:val="22"/>
        </w:rPr>
        <w:t xml:space="preserve">132</w:t>
      </w:r>
    </w:p>
    <w:p>
      <w:pPr>
        <w:spacing w:after="120"/>
        <w:tabs>
          <w:tab w:val="right" w:leader="dot" w:pos="9026"/>
        </w:tabs>
        <w:ind w:left="240"/>
      </w:pPr>
      <w:r>
        <w:rPr>
          <w:rFonts w:ascii="Calibri" w:eastAsia="Calibri" w:hAnsi="Calibri" w:cs="Calibri"/>
          <w:color w:val="000000"/>
          <w:sz w:val="22"/>
          <w:szCs w:val="22"/>
        </w:rPr>
        <w:t xml:space="preserve">H.2 Draft United Nations Security Council Resolution (Operative Elements)</w:t>
      </w:r>
      <w:r>
        <w:tab/>
      </w:r>
      <w:r>
        <w:rPr>
          <w:rFonts w:ascii="Calibri" w:eastAsia="Calibri" w:hAnsi="Calibri" w:cs="Calibri"/>
          <w:color w:val="000000"/>
          <w:sz w:val="22"/>
          <w:szCs w:val="22"/>
        </w:rPr>
        <w:t xml:space="preserve">132</w:t>
      </w:r>
    </w:p>
    <w:p>
      <w:pPr>
        <w:spacing w:after="120"/>
        <w:tabs>
          <w:tab w:val="right" w:leader="dot" w:pos="9026"/>
        </w:tabs>
        <w:ind w:left="240"/>
      </w:pPr>
      <w:r>
        <w:rPr>
          <w:rFonts w:ascii="Calibri" w:eastAsia="Calibri" w:hAnsi="Calibri" w:cs="Calibri"/>
          <w:color w:val="000000"/>
          <w:sz w:val="22"/>
          <w:szCs w:val="22"/>
        </w:rPr>
        <w:t xml:space="preserve">H.3 Signature</w:t>
      </w:r>
      <w:r>
        <w:tab/>
      </w:r>
      <w:r>
        <w:rPr>
          <w:rFonts w:ascii="Calibri" w:eastAsia="Calibri" w:hAnsi="Calibri" w:cs="Calibri"/>
          <w:color w:val="000000"/>
          <w:sz w:val="22"/>
          <w:szCs w:val="22"/>
        </w:rPr>
        <w:t xml:space="preserve">132</w:t>
      </w:r>
    </w:p>
    <w:p>
      <w:pPr>
        <w:spacing w:after="120"/>
        <w:tabs>
          <w:tab w:val="right" w:leader="dot" w:pos="9026"/>
        </w:tabs>
      </w:pPr>
      <w:r>
        <w:rPr>
          <w:rFonts w:ascii="Calibri" w:eastAsia="Calibri" w:hAnsi="Calibri" w:cs="Calibri"/>
          <w:b/>
          <w:color w:val="37474F"/>
          <w:sz w:val="22"/>
          <w:szCs w:val="22"/>
        </w:rPr>
        <w:t xml:space="preserve">NEGOTIATOR’S MEMORANDUM (NON-BINDING EXPLANATORY RECORD)</w:t>
      </w:r>
      <w:r>
        <w:tab/>
      </w:r>
      <w:r>
        <w:rPr>
          <w:rFonts w:ascii="Calibri" w:eastAsia="Calibri" w:hAnsi="Calibri" w:cs="Calibri"/>
          <w:b/>
          <w:color w:val="37474F"/>
          <w:sz w:val="22"/>
          <w:szCs w:val="22"/>
        </w:rPr>
        <w:t xml:space="preserve">133</w:t>
      </w:r>
    </w:p>
    <w:p>
      <w:pPr>
        <w:spacing w:after="120"/>
        <w:tabs>
          <w:tab w:val="right" w:leader="dot" w:pos="9026"/>
        </w:tabs>
        <w:ind w:left="240"/>
      </w:pPr>
      <w:r>
        <w:rPr>
          <w:rFonts w:ascii="Calibri" w:eastAsia="Calibri" w:hAnsi="Calibri" w:cs="Calibri"/>
          <w:color w:val="000000"/>
          <w:sz w:val="22"/>
          <w:szCs w:val="22"/>
        </w:rPr>
        <w:t xml:space="preserve">M.1 The Demand Map, Answered</w:t>
      </w:r>
      <w:r>
        <w:tab/>
      </w:r>
      <w:r>
        <w:rPr>
          <w:rFonts w:ascii="Calibri" w:eastAsia="Calibri" w:hAnsi="Calibri" w:cs="Calibri"/>
          <w:color w:val="000000"/>
          <w:sz w:val="22"/>
          <w:szCs w:val="22"/>
        </w:rPr>
        <w:t xml:space="preserve">133</w:t>
      </w:r>
    </w:p>
    <w:p>
      <w:pPr>
        <w:spacing w:after="120"/>
        <w:tabs>
          <w:tab w:val="right" w:leader="dot" w:pos="9026"/>
        </w:tabs>
        <w:ind w:left="240"/>
      </w:pPr>
      <w:r>
        <w:rPr>
          <w:rFonts w:ascii="Calibri" w:eastAsia="Calibri" w:hAnsi="Calibri" w:cs="Calibri"/>
          <w:color w:val="000000"/>
          <w:sz w:val="22"/>
          <w:szCs w:val="22"/>
        </w:rPr>
        <w:t xml:space="preserve">M.2 The Red-Line Ledger</w:t>
      </w:r>
      <w:r>
        <w:tab/>
      </w:r>
      <w:r>
        <w:rPr>
          <w:rFonts w:ascii="Calibri" w:eastAsia="Calibri" w:hAnsi="Calibri" w:cs="Calibri"/>
          <w:color w:val="000000"/>
          <w:sz w:val="22"/>
          <w:szCs w:val="22"/>
        </w:rPr>
        <w:t xml:space="preserve">134</w:t>
      </w:r>
    </w:p>
    <w:p>
      <w:pPr>
        <w:spacing w:after="120"/>
        <w:tabs>
          <w:tab w:val="right" w:leader="dot" w:pos="9026"/>
        </w:tabs>
        <w:ind w:left="240"/>
      </w:pPr>
      <w:r>
        <w:rPr>
          <w:rFonts w:ascii="Calibri" w:eastAsia="Calibri" w:hAnsi="Calibri" w:cs="Calibri"/>
          <w:color w:val="000000"/>
          <w:sz w:val="22"/>
          <w:szCs w:val="22"/>
        </w:rPr>
        <w:t xml:space="preserve">M.3 Why This Holds</w:t>
      </w:r>
      <w:r>
        <w:tab/>
      </w:r>
      <w:r>
        <w:rPr>
          <w:rFonts w:ascii="Calibri" w:eastAsia="Calibri" w:hAnsi="Calibri" w:cs="Calibri"/>
          <w:color w:val="000000"/>
          <w:sz w:val="22"/>
          <w:szCs w:val="22"/>
        </w:rPr>
        <w:t xml:space="preserve">134</w:t>
      </w:r>
    </w:p>
    <w:bookmarkStart w:id="21" w:name="the-islamabad-final-governance-compact"/>
    <w:bookmarkStart w:id="20" w:name="X0b6c970554715cd3e61daa5753a3a2cb9f909ca"/>
    <w:bookmarkEnd w:id="20"/>
    <w:bookmarkEnd w:id="21"/>
    <w:bookmarkStart w:id="22" w:name="master-table-of-contents"/>
    <w:p>
      <w:pPr>
        <w:pStyle w:val="Heading1"/>
      </w:pPr>
      <w:r>
        <w:t>STRUCTURAL OVERVIEW OF THE COMPACT</w:t>
      </w:r>
    </w:p>
    <w:p>
      <w:pPr>
        <w:pStyle w:val="FirstParagraph"/>
      </w:pPr>
      <w:r>
        <w:rPr>
          <w:bCs/>
          <w:b/>
        </w:rPr>
        <w:t xml:space="preserve">LAYER ZERO: THE POLITICAL LAYER (THE COMMON FACTS REGISTER AND DUAL-NARRATIVE PROTOCOL)</w:t>
      </w:r>
    </w:p>
    <w:p>
      <w:pPr>
        <w:pStyle w:val="BodyText"/>
      </w:pPr>
      <w:r>
        <w:rPr>
          <w:bCs/>
          <w:b/>
        </w:rPr>
        <w:t xml:space="preserve">LAYER ONE: THE FINAL STATUS TREATY (MASTER INSTRUMENT)</w:t>
      </w:r>
    </w:p>
    <w:p>
      <w:pPr>
        <w:numPr>
          <w:ilvl w:val="0"/>
          <w:numId w:val="1001"/>
        </w:numPr>
        <w:pStyle w:val="Compact"/>
      </w:pPr>
      <w:r>
        <w:t xml:space="preserve">Title I: Permanent Cessation of Hostilities, Non-Aggression, and Sovereignty</w:t>
      </w:r>
    </w:p>
    <w:p>
      <w:pPr>
        <w:numPr>
          <w:ilvl w:val="0"/>
          <w:numId w:val="1001"/>
        </w:numPr>
        <w:pStyle w:val="Compact"/>
      </w:pPr>
      <w:r>
        <w:t xml:space="preserve">Title II: Permanent Governance of the Strait of Hormuz and the 72-Hour Accelerated Reopening</w:t>
      </w:r>
    </w:p>
    <w:p>
      <w:pPr>
        <w:numPr>
          <w:ilvl w:val="0"/>
          <w:numId w:val="1001"/>
        </w:numPr>
        <w:pStyle w:val="Compact"/>
      </w:pPr>
      <w:r>
        <w:t xml:space="preserve">Title III: The Financial Architecture of the Strait (Resolution of the Fees Question)</w:t>
      </w:r>
    </w:p>
    <w:p>
      <w:pPr>
        <w:numPr>
          <w:ilvl w:val="0"/>
          <w:numId w:val="1001"/>
        </w:numPr>
        <w:pStyle w:val="Compact"/>
      </w:pPr>
      <w:r>
        <w:t xml:space="preserve">Title IV: The Nuclear Final Settlement</w:t>
      </w:r>
    </w:p>
    <w:p>
      <w:pPr>
        <w:numPr>
          <w:ilvl w:val="0"/>
          <w:numId w:val="1001"/>
        </w:numPr>
        <w:pStyle w:val="Compact"/>
      </w:pPr>
      <w:r>
        <w:t xml:space="preserve">Title V: Sanctions Termination and the Frozen Assets Resolution</w:t>
      </w:r>
    </w:p>
    <w:p>
      <w:pPr>
        <w:numPr>
          <w:ilvl w:val="0"/>
          <w:numId w:val="1001"/>
        </w:numPr>
        <w:pStyle w:val="Compact"/>
      </w:pPr>
      <w:r>
        <w:t xml:space="preserve">Title VI: Regional De-escalation and the Third-Party Guarantor Architecture</w:t>
      </w:r>
    </w:p>
    <w:p>
      <w:pPr>
        <w:numPr>
          <w:ilvl w:val="0"/>
          <w:numId w:val="1001"/>
        </w:numPr>
        <w:pStyle w:val="Compact"/>
      </w:pPr>
      <w:r>
        <w:t xml:space="preserve">Title VII: Military Posture and Withdrawal Protocol</w:t>
      </w:r>
    </w:p>
    <w:p>
      <w:pPr>
        <w:numPr>
          <w:ilvl w:val="0"/>
          <w:numId w:val="1001"/>
        </w:numPr>
        <w:pStyle w:val="Compact"/>
      </w:pPr>
      <w:r>
        <w:t xml:space="preserve">Title VIII: Verification (The Cothrom Verification Method)</w:t>
      </w:r>
    </w:p>
    <w:p>
      <w:pPr>
        <w:numPr>
          <w:ilvl w:val="0"/>
          <w:numId w:val="1001"/>
        </w:numPr>
        <w:pStyle w:val="Compact"/>
      </w:pPr>
      <w:r>
        <w:t xml:space="preserve">Title IX: Reconstruction and Development (Incorporation of Annex RDF)</w:t>
      </w:r>
    </w:p>
    <w:p>
      <w:pPr>
        <w:numPr>
          <w:ilvl w:val="0"/>
          <w:numId w:val="1001"/>
        </w:numPr>
        <w:pStyle w:val="Compact"/>
      </w:pPr>
      <w:r>
        <w:t xml:space="preserve">Title X: Humanitarian Protections and Seafarer Repatriation</w:t>
      </w:r>
    </w:p>
    <w:p>
      <w:pPr>
        <w:numPr>
          <w:ilvl w:val="0"/>
          <w:numId w:val="1001"/>
        </w:numPr>
        <w:pStyle w:val="Compact"/>
      </w:pPr>
      <w:r>
        <w:t xml:space="preserve">Title XI: Institutional Architecture and Implementation Bodies</w:t>
      </w:r>
    </w:p>
    <w:p>
      <w:pPr>
        <w:numPr>
          <w:ilvl w:val="0"/>
          <w:numId w:val="1001"/>
        </w:numPr>
        <w:pStyle w:val="Compact"/>
      </w:pPr>
      <w:r>
        <w:t xml:space="preserve">Title XII: Ratification, International Legal Force, Entry into Force, and Dispute Resolution</w:t>
      </w:r>
    </w:p>
    <w:p>
      <w:pPr>
        <w:pStyle w:val="FirstParagraph"/>
      </w:pPr>
      <w:r>
        <w:rPr>
          <w:bCs/>
          <w:b/>
        </w:rPr>
        <w:t xml:space="preserve">LAYER TWO: THE OPERATIVE ANNEXES (BINDING TECHNICAL PROTOCOLS)</w:t>
      </w:r>
    </w:p>
    <w:p>
      <w:pPr>
        <w:numPr>
          <w:ilvl w:val="0"/>
          <w:numId w:val="1002"/>
        </w:numPr>
        <w:pStyle w:val="Compact"/>
      </w:pPr>
      <w:r>
        <w:t xml:space="preserve">Annex A: Corridor Coordinates, Routing, and Traffic Management Protocol</w:t>
      </w:r>
    </w:p>
    <w:p>
      <w:pPr>
        <w:numPr>
          <w:ilvl w:val="0"/>
          <w:numId w:val="1002"/>
        </w:numPr>
        <w:pStyle w:val="Compact"/>
      </w:pPr>
      <w:r>
        <w:t xml:space="preserve">Annex B: The Hormuz Maritime Services Fund (Fees Architecture in Full)</w:t>
      </w:r>
    </w:p>
    <w:p>
      <w:pPr>
        <w:numPr>
          <w:ilvl w:val="0"/>
          <w:numId w:val="1002"/>
        </w:numPr>
        <w:pStyle w:val="Compact"/>
      </w:pPr>
      <w:r>
        <w:t xml:space="preserve">Annex C: Nuclear Verification and Stockpile Disposition Protocol</w:t>
      </w:r>
    </w:p>
    <w:p>
      <w:pPr>
        <w:numPr>
          <w:ilvl w:val="0"/>
          <w:numId w:val="1002"/>
        </w:numPr>
        <w:pStyle w:val="Compact"/>
      </w:pPr>
      <w:r>
        <w:t xml:space="preserve">Annex D: The Cothrom Verification Method (Incorporated Text and Operating Schedule)</w:t>
      </w:r>
    </w:p>
    <w:p>
      <w:pPr>
        <w:numPr>
          <w:ilvl w:val="0"/>
          <w:numId w:val="1002"/>
        </w:numPr>
        <w:pStyle w:val="Compact"/>
      </w:pPr>
      <w:r>
        <w:t xml:space="preserve">Annex E: The Reconstruction and Development Fund Protocol (Annex RDF, Incorporated)</w:t>
      </w:r>
    </w:p>
    <w:p>
      <w:pPr>
        <w:numPr>
          <w:ilvl w:val="0"/>
          <w:numId w:val="1002"/>
        </w:numPr>
        <w:pStyle w:val="Compact"/>
      </w:pPr>
      <w:r>
        <w:t xml:space="preserve">Annex F: The Political Layer Messaging Register and Sequenced Public Communications</w:t>
      </w:r>
    </w:p>
    <w:p>
      <w:pPr>
        <w:numPr>
          <w:ilvl w:val="0"/>
          <w:numId w:val="1002"/>
        </w:numPr>
        <w:pStyle w:val="Compact"/>
      </w:pPr>
      <w:r>
        <w:t xml:space="preserve">Annex G: Definitions, Interpretation, and Severability</w:t>
      </w:r>
    </w:p>
    <w:p>
      <w:pPr>
        <w:numPr>
          <w:ilvl w:val="0"/>
          <w:numId w:val="1002"/>
        </w:numPr>
        <w:pStyle w:val="Compact"/>
      </w:pPr>
      <w:r>
        <w:t xml:space="preserve">Annex H: Signature Instruments, Depositary Procedures, and UNSC Endorsement Draft</w:t>
      </w:r>
    </w:p>
    <w:p>
      <w:r>
        <w:pict>
          <v:rect style="width:0;height:1.5pt" o:hralign="center" o:hrstd="t" o:hr="t"/>
        </w:pict>
      </w:r>
    </w:p>
    <w:bookmarkEnd w:id="22"/>
    <w:bookmarkStart w:id="27" w:name="layer-zero-the-political-layer"/>
    <w:p>
      <w:pPr>
        <w:pStyle w:val="Heading1"/>
      </w:pPr>
      <w:r>
        <w:t xml:space="preserve">LAYER ZERO: THE POLITICAL LAYER</w:t>
      </w:r>
    </w:p>
    <w:bookmarkStart w:id="23" w:name="X39f33260793f313e55b2205369fa03ad90e5afc"/>
    <w:p>
      <w:pPr>
        <w:pStyle w:val="Heading2"/>
      </w:pPr>
      <w:r>
        <w:t xml:space="preserve">Article 0.1: Purpose of the Political Layer</w:t>
      </w:r>
    </w:p>
    <w:p>
      <w:pPr>
        <w:pStyle w:val="FirstParagraph"/>
      </w:pPr>
      <w:r>
        <w:t xml:space="preserve">0.1.1 This Compact opens with a political layer because no final agreement between the Islamic Republic of Iran and the United States of America survives its first week unless both governments present the identical text to their respective domestic audiences as a victory. The framework architecture therefore separates fact from presentation. The Compact establishes a single, binding Common Facts Register, and it grants each Party an explicit, unlimited, and protected right to characterize those facts in whatever political language its domestic environment demands.</w:t>
      </w:r>
    </w:p>
    <w:p>
      <w:pPr>
        <w:pStyle w:val="BodyText"/>
      </w:pPr>
      <w:r>
        <w:t xml:space="preserve">0.1.2 The political layer rests on one discovery from the negotiating record: the two Parties do not disagree about the physical world. They disagree about the story of the physical world. The Compact resolves the physical world in Layers One and Two, and it leaves the story deliberately, structurally, and permanently open.</w:t>
      </w:r>
    </w:p>
    <w:bookmarkEnd w:id="23"/>
    <w:bookmarkStart w:id="24" w:name="article-0.2-the-common-facts-register"/>
    <w:p>
      <w:pPr>
        <w:pStyle w:val="Heading2"/>
      </w:pPr>
      <w:r>
        <w:t xml:space="preserve">Article 0.2: The Common Facts Register</w:t>
      </w:r>
    </w:p>
    <w:p>
      <w:pPr>
        <w:pStyle w:val="FirstParagraph"/>
      </w:pPr>
      <w:r>
        <w:t xml:space="preserve">0.2.1 The Compact establishes the Common Facts Register as the exclusive factual baseline of the framework. The Register contains only objectively verifiable states of the world. Each entry states a fact, its verification source, and its timestamp. The Register excludes all characterization, attribution of motive, and evaluative language.</w:t>
      </w:r>
    </w:p>
    <w:p>
      <w:pPr>
        <w:pStyle w:val="BodyText"/>
      </w:pPr>
      <w:r>
        <w:t xml:space="preserve">0.2.2 The Common Facts Register records, inter alia, the following categories of fact:</w:t>
      </w:r>
    </w:p>
    <w:p>
      <w:pPr>
        <w:numPr>
          <w:ilvl w:val="0"/>
          <w:numId w:val="1003"/>
        </w:numPr>
      </w:pPr>
      <w:r>
        <w:t xml:space="preserve">Military posture facts: positions, movements, and status of forces as verified by the Joint Monitoring Cell and satellite telemetry.</w:t>
      </w:r>
    </w:p>
    <w:p>
      <w:pPr>
        <w:numPr>
          <w:ilvl w:val="0"/>
          <w:numId w:val="1003"/>
        </w:numPr>
      </w:pPr>
      <w:r>
        <w:t xml:space="preserve">Maritime facts: vessel tracks, corridor status, transit counts, incident logs, and mine clearance certifications as logged in the Shared Digital Registry.</w:t>
      </w:r>
    </w:p>
    <w:p>
      <w:pPr>
        <w:numPr>
          <w:ilvl w:val="0"/>
          <w:numId w:val="1003"/>
        </w:numPr>
      </w:pPr>
      <w:r>
        <w:t xml:space="preserve">Nuclear facts: stockpile quantities, enrichment levels, dilution progress, and inspection results as certified by the International Atomic Energy Agency.</w:t>
      </w:r>
    </w:p>
    <w:p>
      <w:pPr>
        <w:numPr>
          <w:ilvl w:val="0"/>
          <w:numId w:val="1003"/>
        </w:numPr>
      </w:pPr>
      <w:r>
        <w:t xml:space="preserve">Financial facts: escrow balances, tranche releases, contribution deposits, and disbursement records as certified by the Qatar Central Bank, the Swiss facilitator, and the World Bank.</w:t>
      </w:r>
    </w:p>
    <w:p>
      <w:pPr>
        <w:numPr>
          <w:ilvl w:val="0"/>
          <w:numId w:val="1003"/>
        </w:numPr>
      </w:pPr>
      <w:r>
        <w:t xml:space="preserve">Compliance facts: verification scores, tier classifications, step-back events, and earn-back completions as computed under the Cothrom Verification Method in Annex D.</w:t>
      </w:r>
    </w:p>
    <w:p>
      <w:pPr>
        <w:pStyle w:val="FirstParagraph"/>
      </w:pPr>
      <w:r>
        <w:t xml:space="preserve">0.2.3 No Party disputes an entry in the Common Facts Register through public statement. Dispute over a Register entry follows exclusively the Technical Truth Escalation Chain of the Cothrom Method (Annex D, Section 2.3). Public political characterization of undisputed Register entries remains entirely free.</w:t>
      </w:r>
    </w:p>
    <w:bookmarkEnd w:id="24"/>
    <w:bookmarkStart w:id="25" w:name="article-0.3-the-dual-narrative-protocol"/>
    <w:p>
      <w:pPr>
        <w:pStyle w:val="Heading2"/>
      </w:pPr>
      <w:r>
        <w:t xml:space="preserve">Article 0.3: The Dual-Narrative Protocol</w:t>
      </w:r>
    </w:p>
    <w:p>
      <w:pPr>
        <w:pStyle w:val="FirstParagraph"/>
      </w:pPr>
      <w:r>
        <w:t xml:space="preserve">0.3.1 Each Party publishes, characterizes, and frames the Compact for its domestic audience in its own language, through its own institutions, and with its own emphasis. The framework architecture imposes no obligation on either Party to adopt, repeat, endorse, or refrain from contradicting the other Party’s characterization.</w:t>
      </w:r>
    </w:p>
    <w:p>
      <w:pPr>
        <w:pStyle w:val="BodyText"/>
      </w:pPr>
      <w:r>
        <w:t xml:space="preserve">0.3.2 Illustrative applications of the Dual-Narrative Protocol, recorded here for clarity and without binding force:</w:t>
      </w:r>
    </w:p>
    <w:p>
      <w:pPr>
        <w:numPr>
          <w:ilvl w:val="0"/>
          <w:numId w:val="1004"/>
        </w:numPr>
      </w:pPr>
      <w:r>
        <w:t xml:space="preserve">The United States presents the reopening of the Strait as the restoration of toll-free navigation, the permanent end of the Iranian nuclear weapons pathway, and the lifting of its own naval blockade as a sovereign decision executed on its own timetable. All three statements are consistent with the Common Facts Register.</w:t>
      </w:r>
    </w:p>
    <w:p>
      <w:pPr>
        <w:numPr>
          <w:ilvl w:val="0"/>
          <w:numId w:val="1004"/>
        </w:numPr>
      </w:pPr>
      <w:r>
        <w:t xml:space="preserve">The Islamic Republic of Iran presents the same instruments as international recognition of its recognized role as co-steward of the Strait, the removal of the blockade as the end of an act of coercion, the establishment of the Hormuz Maritime Services Fund as a revenue-bearing stewardship institution, and the reconstruction package as a right won, not a gift received. All four statements are consistent with the Common Facts Register.</w:t>
      </w:r>
    </w:p>
    <w:p>
      <w:pPr>
        <w:numPr>
          <w:ilvl w:val="0"/>
          <w:numId w:val="1004"/>
        </w:numPr>
      </w:pPr>
      <w:r>
        <w:t xml:space="preserve">The Sultanate of Oman presents the Compact as the institutionalization of its co-management role and its emergence as the indispensable maritime state of the Gulf. The Gulf Cooperation Council states present the Compact as the end of the war premium on their exports and the beginning of a GCC-led security architecture. All are consistent with the Common Facts Register.</w:t>
      </w:r>
    </w:p>
    <w:p>
      <w:pPr>
        <w:pStyle w:val="FirstParagraph"/>
      </w:pPr>
      <w:r>
        <w:t xml:space="preserve">0.3.3 The Dual-Narrative Protocol protects domestic political coverage in both directions. Neither Party’s domestic characterization creates, modifies, or extinguishes any obligation under this Compact. Operative text governs. Annexe F supplies the sequenced public communications calendar and the agreed silence windows that protect the first seventy-two hours of implementation from narrative turbulence.</w:t>
      </w:r>
    </w:p>
    <w:p>
      <w:pPr>
        <w:pStyle w:val="BodyText"/>
      </w:pPr>
      <w:r>
        <w:t xml:space="preserve">0.3.4 The framework architecture excludes any obligation of mutual praise. It equally excludes any prohibition of mutual criticism, provided that criticism does not take the form of a Material Breach as defined in Annex D, Section 22. Words are free. Actions are bound.</w:t>
      </w:r>
    </w:p>
    <w:bookmarkEnd w:id="25"/>
    <w:bookmarkStart w:id="26" w:name="X2dfbf66f45dd973b8b85969a0c7ef1565e4222b"/>
    <w:p>
      <w:pPr>
        <w:pStyle w:val="Heading2"/>
      </w:pPr>
      <w:r>
        <w:t xml:space="preserve">Article 0.4: The Asymmetric-Respect Guarantee</w:t>
      </w:r>
    </w:p>
    <w:p>
      <w:pPr>
        <w:pStyle w:val="FirstParagraph"/>
      </w:pPr>
      <w:r>
        <w:t xml:space="preserve">0.4.1 The Compact protects four red lines through architecture rather than through restraint language:</w:t>
      </w:r>
    </w:p>
    <w:p>
      <w:pPr>
        <w:numPr>
          <w:ilvl w:val="0"/>
          <w:numId w:val="1005"/>
        </w:numPr>
      </w:pPr>
      <w:r>
        <w:t xml:space="preserve">The Iranian red line against regime change: the framework architecture contains no provision, instrument, or institution directed at the internal political order of the Islamic Republic of Iran. The Compact governs conduct between states, not the composition of any state. The Political Discretion Fund excludes any use inconsistent with this guarantee.</w:t>
      </w:r>
    </w:p>
    <w:p>
      <w:pPr>
        <w:numPr>
          <w:ilvl w:val="0"/>
          <w:numId w:val="1005"/>
        </w:numPr>
      </w:pPr>
      <w:r>
        <w:t xml:space="preserve">The American red line against any nuclear weapon for Iran: the framework architecture permanently forecloses the weapons pathway through the physical disposition of the stockpile, permanent enrichment ceilings, and the verification architecture of Title IV and Annex C. The guarantee operates through physics and verification, not through trust.</w:t>
      </w:r>
    </w:p>
    <w:p>
      <w:pPr>
        <w:numPr>
          <w:ilvl w:val="0"/>
          <w:numId w:val="1005"/>
        </w:numPr>
      </w:pPr>
      <w:r>
        <w:t xml:space="preserve">The Iranian red line of sovereign dignity: every mechanism of this Compact operates symmetrically or through neutral intermediaries. Iran interacts with the Joint Hormuz Authority, the escrow, the Fund, and the IAEA as a sovereign participant, never as a supervised party.</w:t>
      </w:r>
    </w:p>
    <w:p>
      <w:pPr>
        <w:numPr>
          <w:ilvl w:val="0"/>
          <w:numId w:val="1005"/>
        </w:numPr>
      </w:pPr>
      <w:r>
        <w:t xml:space="preserve">The American red line against tolls on passage: no vessel pays any charge, fee, toll, levy, or contribution of any kind as a condition of transit passage through the Strait of Hormuz, in either direction, at any time, under any label. Title III delivers Iran’s stewardship revenue through channels entirely separate from the act of transit.</w:t>
      </w:r>
    </w:p>
    <w:p>
      <w:pPr>
        <w:pStyle w:val="FirstParagraph"/>
      </w:pPr>
      <w:r>
        <w:t xml:space="preserve">0.4.2 The framework architecture treats these four guarantees as mutually reinforcing load-bearing walls. Removal of any one destabilizes the whole. They therefore bind permanently and survive any partial suspension of any other Title.</w:t>
      </w:r>
    </w:p>
    <w:p>
      <w:r>
        <w:pict>
          <v:rect style="width:0;height:1.5pt" o:hralign="center" o:hrstd="t" o:hr="t"/>
        </w:pict>
      </w:r>
    </w:p>
    <w:bookmarkEnd w:id="26"/>
    <w:bookmarkEnd w:id="27"/>
    <w:bookmarkStart w:id="92" w:name="layer-one-the-final-status-treaty"/>
    <w:p>
      <w:pPr>
        <w:pStyle w:val="Heading1"/>
      </w:pPr>
      <w:r>
        <w:t xml:space="preserve">LAYER ONE: THE FINAL STATUS TREATY</w:t>
      </w:r>
    </w:p>
    <w:bookmarkStart w:id="28" w:name="preamble"/>
    <w:p>
      <w:pPr>
        <w:pStyle w:val="Heading2"/>
      </w:pPr>
      <w:r>
        <w:t xml:space="preserve">Preamble</w:t>
      </w:r>
    </w:p>
    <w:p>
      <w:pPr>
        <w:pStyle w:val="FirstParagraph"/>
      </w:pPr>
      <w:r>
        <w:t xml:space="preserve">The Islamic Republic of Iran and the United States of America (the Parties), with the participation of the Sultanate of Oman, the State of Qatar, the Swiss Confederation, and the Gulf Cooperation Council, and with the technical partnership of the International Atomic Energy Agency, the World Bank, and the International Maritime Organization:</w:t>
      </w:r>
    </w:p>
    <w:p>
      <w:pPr>
        <w:pStyle w:val="BodyText"/>
      </w:pPr>
      <w:r>
        <w:t xml:space="preserve">Recalling the Islamabad Memorandum of Understanding of June 2026 and its fourteen-point framework, the sixty-day negotiation period it established, and its requirement that the final agreement receive endorsement through a binding resolution of the United Nations Security Council;</w:t>
      </w:r>
    </w:p>
    <w:p>
      <w:pPr>
        <w:pStyle w:val="BodyText"/>
      </w:pPr>
      <w:r>
        <w:t xml:space="preserve">Acknowledging the human cost of the 2026 conflict, including the approximately twenty thousand seafarers stranded aboard more than three thousand vessels, the damage to civilian infrastructure across the region, and the global economic dislocation caused by the disruption of the Strait of Hormuz;</w:t>
      </w:r>
    </w:p>
    <w:p>
      <w:pPr>
        <w:pStyle w:val="BodyText"/>
      </w:pPr>
      <w:r>
        <w:t xml:space="preserve">Determined to convert the temporary cessation of hostilities into a permanent settlement, to reopen the Strait of Hormuz on an accelerated seventy-two-hour timeline, to resolve permanently the questions of nuclear assurance, sanctions, frozen assets, reconstruction, and Strait governance, and to build institutions that render the Strait of Hormuz boring, predictable, and permanently calm;</w:t>
      </w:r>
    </w:p>
    <w:p>
      <w:pPr>
        <w:pStyle w:val="BodyText"/>
      </w:pPr>
      <w:r>
        <w:t xml:space="preserve">Adopting the principle of cothrom, meaning equal, balanced, level, and fair, as the governing philosophy of verification and compliance within this Compact;</w:t>
      </w:r>
    </w:p>
    <w:p>
      <w:pPr>
        <w:pStyle w:val="BodyText"/>
      </w:pPr>
      <w:r>
        <w:t xml:space="preserve">Agree as follows.</w:t>
      </w:r>
    </w:p>
    <w:bookmarkEnd w:id="28"/>
    <w:bookmarkStart w:id="33" w:name="X38ebdd7f1336766bd88da78a7f2fc7310859271"/>
    <w:p>
      <w:pPr>
        <w:pStyle w:val="Heading2"/>
      </w:pPr>
      <w:r>
        <w:t xml:space="preserve">Title I: Permanent Cessation of Hostilities, Non-Aggression, and Sovereignty</w:t>
      </w:r>
    </w:p>
    <w:bookmarkStart w:id="29" w:name="X1cf816a2ee0d5200a93eac20b776da1188eeffd"/>
    <w:p>
      <w:pPr>
        <w:pStyle w:val="Heading3"/>
      </w:pPr>
      <w:r>
        <w:t xml:space="preserve">Article 1.1: Permanent Cessation of Hostilities</w:t>
      </w:r>
    </w:p>
    <w:p>
      <w:pPr>
        <w:pStyle w:val="FirstParagraph"/>
      </w:pPr>
      <w:r>
        <w:t xml:space="preserve">1.1.1 The state of hostilities between the Parties terminates permanently upon entry into force of this Compact. This termination covers all fronts, all domains, and all geography, including land, sea, air, space, and cyberspace, and including the Lebanese, Syrian, Yemeni, Iraqi, and Palestinian theaters as provided in Title VI.</w:t>
      </w:r>
    </w:p>
    <w:p>
      <w:pPr>
        <w:pStyle w:val="BodyText"/>
      </w:pPr>
      <w:r>
        <w:t xml:space="preserve">1.1.2 The framework architecture excludes the threat or use of force between the Parties as an instrument of dispute resolution. All disputes between the Parties route exclusively through the mechanisms of Title XI, Title XII, and Annex D.</w:t>
      </w:r>
    </w:p>
    <w:p>
      <w:pPr>
        <w:pStyle w:val="BodyText"/>
      </w:pPr>
      <w:r>
        <w:t xml:space="preserve">1.1.3 The No Automatic Military Escalation Clause of Annex D, Section 15.6 binds this Title absolutely: no compliance event, verification finding, tier classification, or step-back penalty under this Compact authorizes, triggers, or justifies military action by either Party. Military action requires a separate, explicit decision by the respective head of government under constitutional procedures. This separation between the compliance architecture and any military authorization is absolute and non-waivable.</w:t>
      </w:r>
    </w:p>
    <w:bookmarkEnd w:id="29"/>
    <w:bookmarkStart w:id="30" w:name="X43c7aa5794096005912e810f2d5e6c222d1d480"/>
    <w:p>
      <w:pPr>
        <w:pStyle w:val="Heading3"/>
      </w:pPr>
      <w:r>
        <w:t xml:space="preserve">Article 1.2: Non-Aggression and Non-Interference</w:t>
      </w:r>
    </w:p>
    <w:p>
      <w:pPr>
        <w:pStyle w:val="FirstParagraph"/>
      </w:pPr>
      <w:r>
        <w:t xml:space="preserve">1.2.1 The framework architecture permanently excludes military aggression by either Party against the other. This exclusion operates as a structural feature of the shared framework binding both Parties equally, not as a unilateral restraint by either Party for the other’s benefit.</w:t>
      </w:r>
    </w:p>
    <w:p>
      <w:pPr>
        <w:pStyle w:val="BodyText"/>
      </w:pPr>
      <w:r>
        <w:t xml:space="preserve">1.2.2 The framework architecture excludes interference in the internal affairs of either Party. It contains no provision regarding the internal political order, leadership, constitution, or governing institutions of either Party, and it creates no instrument capable of such interference.</w:t>
      </w:r>
    </w:p>
    <w:p>
      <w:pPr>
        <w:pStyle w:val="BodyText"/>
      </w:pPr>
      <w:r>
        <w:t xml:space="preserve">1.2.3 Each Party respects the sovereignty and territorial integrity of the other. This respect is mutual, simultaneous, and structurally identical in both directions.</w:t>
      </w:r>
    </w:p>
    <w:bookmarkEnd w:id="30"/>
    <w:bookmarkStart w:id="31" w:name="article-1.3-the-status-quo-freeze"/>
    <w:p>
      <w:pPr>
        <w:pStyle w:val="Heading3"/>
      </w:pPr>
      <w:r>
        <w:t xml:space="preserve">Article 1.3: The Status Quo Freeze</w:t>
      </w:r>
    </w:p>
    <w:p>
      <w:pPr>
        <w:pStyle w:val="FirstParagraph"/>
      </w:pPr>
      <w:r>
        <w:t xml:space="preserve">1.3.1 Military postures in and around the Strait of Hormuz freeze at their positions as of entry into force, pending the Withdrawal Protocol of Title VII. No new naval deployments, force posture changes, or live-fire exercises occur within fifty nautical miles of the Strait during the freeze.</w:t>
      </w:r>
    </w:p>
    <w:p>
      <w:pPr>
        <w:pStyle w:val="BodyText"/>
      </w:pPr>
      <w:r>
        <w:t xml:space="preserve">1.3.2 The framework architecture excludes new sanctions designations by either Party against the other from the date of signature. The sanctions that exist at signature exist only to be terminated on the schedule of Title V.</w:t>
      </w:r>
    </w:p>
    <w:bookmarkEnd w:id="31"/>
    <w:bookmarkStart w:id="32" w:name="article-1.4-the-deconfliction-spine"/>
    <w:p>
      <w:pPr>
        <w:pStyle w:val="Heading3"/>
      </w:pPr>
      <w:r>
        <w:t xml:space="preserve">Article 1.4: The Deconfliction Spine</w:t>
      </w:r>
    </w:p>
    <w:p>
      <w:pPr>
        <w:pStyle w:val="FirstParagraph"/>
      </w:pPr>
      <w:r>
        <w:t xml:space="preserve">1.4.1 A permanent 24/7 deconfliction hotline connects Iranian, Omani, American (Fifth Fleet), and IMO liaison officers, with a fifteen-minute answer standard and satellite fallback. The hotline survives every dispute, suspension, and step-back under this Compact. It never closes.</w:t>
      </w:r>
    </w:p>
    <w:p>
      <w:pPr>
        <w:pStyle w:val="BodyText"/>
      </w:pPr>
      <w:r>
        <w:t xml:space="preserve">1.4.2 An incident in or near the Strait activates the Anomaly Response Playbook of Annex D, Section 2.2: automatic notification within five minutes, pre-vetted stand-down of forces in the vicinity, and an emergency video conference within thirty minutes.</w:t>
      </w:r>
    </w:p>
    <w:p>
      <w:pPr>
        <w:pStyle w:val="BodyText"/>
      </w:pPr>
      <w:r>
        <w:t xml:space="preserve">1.4.3 The False Flag Attack Protocol of Annex D, Section 15.7 governs all unattributed incidents: both Parties operate under a presumption of good faith, a forty-eight-hour attribution deferral window applies before any penalty assignment, forensic investigation precedes any breach classification, and rogue actors and false-flag operations stand explicitly excluded from bilateral penalties.</w:t>
      </w:r>
    </w:p>
    <w:bookmarkEnd w:id="32"/>
    <w:bookmarkEnd w:id="33"/>
    <w:bookmarkStart w:id="39" w:name="X621b63fca33d56d27ce643ea29b4828a4c8b43a"/>
    <w:p>
      <w:pPr>
        <w:pStyle w:val="Heading2"/>
      </w:pPr>
      <w:r>
        <w:t xml:space="preserve">Title II: Permanent Governance of the Strait of Hormuz and the 72-Hour Accelerated Reopening</w:t>
      </w:r>
    </w:p>
    <w:bookmarkStart w:id="34" w:name="X86bd3ce960e49543c3f6d0a9b6b1d30c67a1f14"/>
    <w:p>
      <w:pPr>
        <w:pStyle w:val="Heading3"/>
      </w:pPr>
      <w:r>
        <w:t xml:space="preserve">Article 2.1: The 72-Hour Reopening Protocol</w:t>
      </w:r>
    </w:p>
    <w:p>
      <w:pPr>
        <w:pStyle w:val="FirstParagraph"/>
      </w:pPr>
      <w:r>
        <w:t xml:space="preserve">2.1.1 The Strait of Hormuz reopens to full commercial transit within seventy-two hours of entry into force of this Compact. The reopening operates on the following accelerated clock, which runs concurrently with, and independently of, every other implementation track in this Compact:</w:t>
      </w:r>
    </w:p>
    <w:p>
      <w:pPr>
        <w:numPr>
          <w:ilvl w:val="0"/>
          <w:numId w:val="1006"/>
        </w:numPr>
      </w:pPr>
      <w:r>
        <w:t xml:space="preserve">Hour 0: Entry into force. The Common Facts Register activates. The deconfliction hotline of Article 1.4 confirms operational status. The Joint Monitoring Cell convenes at its standing host location in Muscat. The Temporary Operational Corridors of the interim period convert automatically into the Fast-Track Corridor.</w:t>
      </w:r>
    </w:p>
    <w:p>
      <w:pPr>
        <w:numPr>
          <w:ilvl w:val="0"/>
          <w:numId w:val="1006"/>
        </w:numPr>
      </w:pPr>
      <w:r>
        <w:t xml:space="preserve">Hour 0 to 24: The Fast-Track Corridor opens as a toll-free lane along the Southern Assurance alignment (Corridor One, Annex A), administered by Oman, available to all commercial traffic under a file-and-acknowledge notification protocol. No permit requirement attaches. The multinational Mine Countermeasure Task Group begins its certification sweep of the Corridor One alignment. The IMO issues Notice to Mariners Number One, publishing the corridor coordinates agreed between Iran and Oman.</w:t>
      </w:r>
    </w:p>
    <w:p>
      <w:pPr>
        <w:numPr>
          <w:ilvl w:val="0"/>
          <w:numId w:val="1006"/>
        </w:numPr>
      </w:pPr>
      <w:r>
        <w:t xml:space="preserve">Hour 24 to 48: Corridor One operates continuously. The Mine Countermeasure Task Group certifies Corridor One as mine-free. Insurance and P&amp;I club notification packages transmit automatically to the standing maritime industry distribution list, enabling the recalibration of war-risk premiums. The first humanitarian-priority vessels, carrying food, medicine, and fertilizer, transit under the UN-coordinated humanitarian desk.</w:t>
      </w:r>
    </w:p>
    <w:p>
      <w:pPr>
        <w:numPr>
          <w:ilvl w:val="0"/>
          <w:numId w:val="1006"/>
        </w:numPr>
      </w:pPr>
      <w:r>
        <w:t xml:space="preserve">Hour 48 to 72: The Northern Corridor (Corridor Two, Annex A) opens for inbound traffic under Iranian administration, operating under the identical file-and-acknowledge protocol and the identical absolute prohibition on charges of any kind as a condition of transit. Full bidirectional commercial transit resumes. The reopening certifies as complete upon the Joint Monitoring Cell’s confirmation of seventy-two consecutive hours of incident-free bidirectional transit, and the Central Buffer Corridor enters its operational test phase.</w:t>
      </w:r>
    </w:p>
    <w:p>
      <w:pPr>
        <w:pStyle w:val="FirstParagraph"/>
      </w:pPr>
      <w:r>
        <w:t xml:space="preserve">2.1.2 The seventy-two-hour clock is self-executing. No vote, signature, certification, or political act intervenes between entry into force and the completion of reopening. Delay attributable to either Party constitutes a Level 4 anomaly under Annex D and routes through the response protocol, never through retaliation.</w:t>
      </w:r>
    </w:p>
    <w:p>
      <w:pPr>
        <w:pStyle w:val="BodyText"/>
      </w:pPr>
      <w:r>
        <w:t xml:space="preserve">2.1.3 The reopening is complete and permanent. The framework architecture excludes re-closure of the Strait as an instrument available to either Party, to any Guarantor, or to any institution created by this Compact. Compliance disputes route through the Cothrom engine of Annex D. The Strait stays open through every dispute, precisely as the Suez and Malacca waterways stay open through the disputes of their bordering states.</w:t>
      </w:r>
    </w:p>
    <w:bookmarkEnd w:id="34"/>
    <w:bookmarkStart w:id="35" w:name="article-2.2-the-three-corridor-system"/>
    <w:p>
      <w:pPr>
        <w:pStyle w:val="Heading3"/>
      </w:pPr>
      <w:r>
        <w:t xml:space="preserve">Article 2.2: The Three-Corridor System</w:t>
      </w:r>
    </w:p>
    <w:p>
      <w:pPr>
        <w:pStyle w:val="FirstParagraph"/>
      </w:pPr>
      <w:r>
        <w:t xml:space="preserve">2.2.1 Permanent governance of the Strait operates through the three-corridor system, built on the coordinates already agreed between the Islamic Republic of Iran and the Sultanate of Oman during the 2026 technical negotiations:</w:t>
      </w:r>
    </w:p>
    <w:p>
      <w:pPr>
        <w:numPr>
          <w:ilvl w:val="0"/>
          <w:numId w:val="1007"/>
        </w:numPr>
      </w:pPr>
      <w:r>
        <w:t xml:space="preserve">Corridor One (Southern Assurance Corridor): outbound and through-traffic transiting Omani waters, administered by Oman. Administration includes vessel traffic services, pilotage coordination, navigational aids, and search-and-rescue coordination within the corridor.</w:t>
      </w:r>
    </w:p>
    <w:p>
      <w:pPr>
        <w:numPr>
          <w:ilvl w:val="0"/>
          <w:numId w:val="1007"/>
        </w:numPr>
      </w:pPr>
      <w:r>
        <w:t xml:space="preserve">Corridor Two (Northern Assurance Corridor): inbound traffic transiting Iranian waters, administered by Iran, under the same service catalogue and the same binding standards as Corridor One.</w:t>
      </w:r>
    </w:p>
    <w:p>
      <w:pPr>
        <w:numPr>
          <w:ilvl w:val="0"/>
          <w:numId w:val="1007"/>
        </w:numPr>
      </w:pPr>
      <w:r>
        <w:t xml:space="preserve">Corridor Three (Central Buffer Corridor): the deconfliction zone between the two flows, jointly administered by Iran and Oman through the Joint Hormuz Authority, hosting the shared VTS data exchange, the emergency diversion procedures, and the mine-risk response coordination.</w:t>
      </w:r>
    </w:p>
    <w:p>
      <w:pPr>
        <w:pStyle w:val="FirstParagraph"/>
      </w:pPr>
      <w:r>
        <w:t xml:space="preserve">2.2.2 Every corridor operates under the absolute non-interdiction protocol: commercial transit proceeds without interdiction, boarding, detention, diversion, or delay by any state actor, except under the narrow safety and environmental authorities of Annex A, exercised on a non-discriminatory basis and subject to immediate review by the Joint Hormuz Authority.</w:t>
      </w:r>
    </w:p>
    <w:p>
      <w:pPr>
        <w:pStyle w:val="BodyText"/>
      </w:pPr>
      <w:r>
        <w:t xml:space="preserve">2.2.3 The file-and-acknowledge protocol governs all transit: a vessel files its transit plan with the Joint Hormuz Authority traffic desk, the system acknowledges automatically, and the vessel transits. No permit, approval, or consent requirement attaches to transit in any corridor. The framework architecture excludes prior-approval regimes for commercial passage.</w:t>
      </w:r>
    </w:p>
    <w:bookmarkEnd w:id="35"/>
    <w:bookmarkStart w:id="36" w:name="article-2.3-the-joint-hormuz-authority"/>
    <w:p>
      <w:pPr>
        <w:pStyle w:val="Heading3"/>
      </w:pPr>
      <w:r>
        <w:t xml:space="preserve">Article 2.3: The Joint Hormuz Authority</w:t>
      </w:r>
    </w:p>
    <w:p>
      <w:pPr>
        <w:pStyle w:val="FirstParagraph"/>
      </w:pPr>
      <w:r>
        <w:t xml:space="preserve">2.3.1 The Compact establishes the Joint Hormuz Authority (JHA) as a permanent international body with legal personality, seated in Muscat, Sultanate of Oman. The JHA succeeds and absorbs the Iran-Oman joint working group of June 2026, converting it from a transitional crisis channel into the permanent governance institution of the Strait.</w:t>
      </w:r>
    </w:p>
    <w:p>
      <w:pPr>
        <w:pStyle w:val="BodyText"/>
      </w:pPr>
      <w:r>
        <w:t xml:space="preserve">2.3.2 Composition: Iran and Oman hold the two executive seats as co-administering coastal states. The Gulf Cooperation Council holds one seat. The International Maritime Organization holds one technical seat. The United States, the European Union, China, India, Japan, and the Republic of Korea hold observer seats with full information rights and no vote. A small professional Secretariat, headed by a Secretary-General nominated by Oman and confirmed by consensus of the voting members, maintains continuity across political cycles.</w:t>
      </w:r>
    </w:p>
    <w:p>
      <w:pPr>
        <w:pStyle w:val="BodyText"/>
      </w:pPr>
      <w:r>
        <w:t xml:space="preserve">2.3.3 The Twin-Key Rule governs every consequential action of the JHA: no routing change, closure recommendation, fee-schedule adjustment for services, or rule amendment takes effect without the concurrence of both executive seats. Each coastal state holds one key. The system opens only when both keys turn. The Twin-Key Rule converts control into a shared administrative function and renders unilateral action by either coastal state structurally impossible within the framework.</w:t>
      </w:r>
    </w:p>
    <w:p>
      <w:pPr>
        <w:pStyle w:val="BodyText"/>
      </w:pPr>
      <w:r>
        <w:t xml:space="preserve">2.3.4 The JHA mandate covers navigation safety, routing, traffic management, environmental protection, search and rescue, aids to navigation, and the administration of the services catalogue of Annex B. The JHA mandate excludes cargo content, sanctions policy, military alliances, and the internal waters and territorial jurisdiction of any state beyond the agreed corridors.</w:t>
      </w:r>
    </w:p>
    <w:p>
      <w:pPr>
        <w:pStyle w:val="BodyText"/>
      </w:pPr>
      <w:r>
        <w:t xml:space="preserve">2.3.5 The JHA publishes a monthly Strait Performance Report covering transit counts, average transit times, incident statistics, and service performance, distributed to all Parties, Guarantors, P&amp;I clubs, and flag states. The governance of the Strait succeeds precisely when this report becomes boring.</w:t>
      </w:r>
    </w:p>
    <w:bookmarkEnd w:id="36"/>
    <w:bookmarkStart w:id="37" w:name="Xb1d7fec80ab1398c343e624820c99eff8404ad9"/>
    <w:p>
      <w:pPr>
        <w:pStyle w:val="Heading3"/>
      </w:pPr>
      <w:r>
        <w:t xml:space="preserve">Article 2.4: Legal Basis and Relationship to International Law</w:t>
      </w:r>
    </w:p>
    <w:p>
      <w:pPr>
        <w:pStyle w:val="FirstParagraph"/>
      </w:pPr>
      <w:r>
        <w:t xml:space="preserve">2.4.1 This Title operates in conformity with the principles of the United Nations Convention on the Law of the Sea regarding transit passage through straits used for international navigation, and with customary international law. Nothing in this Compact suspends, conditions, or charges the right of transit passage.</w:t>
      </w:r>
    </w:p>
    <w:p>
      <w:pPr>
        <w:pStyle w:val="BodyText"/>
      </w:pPr>
      <w:r>
        <w:t xml:space="preserve">2.4.2 The Service Boundary Doctrine, elaborated in Title III and Annex B, maintains the distinction that international law draws between a charge on passage, which the framework architecture excludes absolutely, and a charge for specific services actually rendered, which international law permits. All revenue mechanisms of this Compact sit exclusively on the services side of that boundary.</w:t>
      </w:r>
    </w:p>
    <w:p>
      <w:pPr>
        <w:pStyle w:val="BodyText"/>
      </w:pPr>
      <w:r>
        <w:t xml:space="preserve">2.4.3 Disputes concerning the interpretation of this Title route to the tiered dispute architecture of Title XII: JHA mediation first, arbitration under the agreed rules second, and recourse to the agreed international forum third.</w:t>
      </w:r>
    </w:p>
    <w:bookmarkEnd w:id="37"/>
    <w:bookmarkStart w:id="38" w:name="Xe2aec0bbb0e04811e409cd702ce973b5564178b"/>
    <w:p>
      <w:pPr>
        <w:pStyle w:val="Heading3"/>
      </w:pPr>
      <w:r>
        <w:t xml:space="preserve">Article 2.5: Mine Clearance and Environmental Protection</w:t>
      </w:r>
    </w:p>
    <w:p>
      <w:pPr>
        <w:pStyle w:val="FirstParagraph"/>
      </w:pPr>
      <w:r>
        <w:t xml:space="preserve">2.5.1 The multinational Mine Countermeasure Task Group, built from pre-identified naval and civilian mine-clearance assets contributed by Oman, the GCC states, France, the United Kingdom, Japan, and the Netherlands, and coordinated by the JHA, clears and certifies each corridor on the schedule of Article 2.1. Iranian and Omani liaison officers embed in the Task Group’s coordination cell.</w:t>
      </w:r>
    </w:p>
    <w:p>
      <w:pPr>
        <w:pStyle w:val="BodyText"/>
      </w:pPr>
      <w:r>
        <w:t xml:space="preserve">2.5.2 Upon certification, continuous mine surveillance operates through the sonar and telemetry network of Annex D, with anomalies routed through the standard alert severity classification.</w:t>
      </w:r>
    </w:p>
    <w:p>
      <w:pPr>
        <w:pStyle w:val="BodyText"/>
      </w:pPr>
      <w:r>
        <w:t xml:space="preserve">2.5.3 The Environmental Protection Protocol of Annex A establishes joint oil-spill response, pollution reporting, and ballast and waste standards across all corridors, funded through the Hormuz Maritime Services Fund of Title III.</w:t>
      </w:r>
    </w:p>
    <w:bookmarkEnd w:id="38"/>
    <w:bookmarkEnd w:id="39"/>
    <w:bookmarkStart w:id="44" w:name="Xed3c3ea3eb6cb7ee5a13e3623eda4cc6fc1a4df"/>
    <w:p>
      <w:pPr>
        <w:pStyle w:val="Heading2"/>
      </w:pPr>
      <w:r>
        <w:t xml:space="preserve">Title III: The Financial Architecture of the Strait (Resolution of the Fees Question)</w:t>
      </w:r>
    </w:p>
    <w:bookmarkStart w:id="40" w:name="X9c6e65f637dd9bc27d52d47aa850e6b42b2315a"/>
    <w:p>
      <w:pPr>
        <w:pStyle w:val="Heading3"/>
      </w:pPr>
      <w:r>
        <w:t xml:space="preserve">Article 3.1: The Gordian Knot, Cut by Structure</w:t>
      </w:r>
    </w:p>
    <w:p>
      <w:pPr>
        <w:pStyle w:val="FirstParagraph"/>
      </w:pPr>
      <w:r>
        <w:t xml:space="preserve">3.1.1 The Parties acknowledge that the fees question presented the sharpest single point of the standoff: Iran requires recognition of its stewardship role and a durable revenue stream to fund the services that safe passage consumes; the United States treats any mandatory payment as an unlawful toll on an international waterway and a dangerous precedent; and Oman and the Gulf states require predictability and non-discrimination. This Title resolves the question not by choosing among these positions but by restructuring the financial flow so that every position is simultaneously satisfied.</w:t>
      </w:r>
    </w:p>
    <w:p>
      <w:pPr>
        <w:pStyle w:val="BodyText"/>
      </w:pPr>
      <w:r>
        <w:t xml:space="preserve">3.1.2 The resolution rests on five structural moves, which operate together and bind permanently:</w:t>
      </w:r>
    </w:p>
    <w:p>
      <w:pPr>
        <w:numPr>
          <w:ilvl w:val="0"/>
          <w:numId w:val="1008"/>
        </w:numPr>
      </w:pPr>
      <w:r>
        <w:t xml:space="preserve">The absolute prohibition: no vessel pays anything as a condition of transit, ever, under any label. This satisfies the American red line in full and permanently.</w:t>
      </w:r>
    </w:p>
    <w:p>
      <w:pPr>
        <w:numPr>
          <w:ilvl w:val="0"/>
          <w:numId w:val="1008"/>
        </w:numPr>
      </w:pPr>
      <w:r>
        <w:t xml:space="preserve">The services economy: Iran and Oman operate a genuine, priced, commercial services economy in the Strait, covering pilotage, tug services, bunkering, port services, environmental services, route assurance data, and emergency response, all provided on request and priced on a published, non-discriminatory schedule.</w:t>
      </w:r>
    </w:p>
    <w:p>
      <w:pPr>
        <w:numPr>
          <w:ilvl w:val="0"/>
          <w:numId w:val="1008"/>
        </w:numPr>
      </w:pPr>
      <w:r>
        <w:t xml:space="preserve">The multilateral fund: the Hormuz Maritime Services Fund, modeled on the cooperative mechanism of the Strait of Malacca and capitalized by user states, Gulf states, and the shipping industry, funds the public-good layer of Strait governance: navigational aids, the shared VTS, search and rescue, mine surveillance, and environmental protection.</w:t>
      </w:r>
    </w:p>
    <w:p>
      <w:pPr>
        <w:numPr>
          <w:ilvl w:val="0"/>
          <w:numId w:val="1008"/>
        </w:numPr>
      </w:pPr>
      <w:r>
        <w:t xml:space="preserve">The insurance channel: a modest surcharge within the existing war-risk and transit insurance premium structure, collected by insurers and remitted to the Fund, converts the security value of the framework into revenue for its stewards without any charge at the point of transit.</w:t>
      </w:r>
    </w:p>
    <w:p>
      <w:pPr>
        <w:numPr>
          <w:ilvl w:val="0"/>
          <w:numId w:val="1008"/>
        </w:numPr>
      </w:pPr>
      <w:r>
        <w:t xml:space="preserve">The development conversion: the investments-for-transit mechanism of Title IX channels large-scale reconstruction and coastal development capital to Iran, delivering economic value that dwarfs any conceivable toll revenue, and rendering the toll question economically obsolete.</w:t>
      </w:r>
    </w:p>
    <w:bookmarkEnd w:id="40"/>
    <w:bookmarkStart w:id="41" w:name="Xd0f36419ab0a678eb88aaeb8daa73d9fa290140"/>
    <w:p>
      <w:pPr>
        <w:pStyle w:val="Heading3"/>
      </w:pPr>
      <w:r>
        <w:t xml:space="preserve">Article 3.2: The Hormuz Maritime Services Fund</w:t>
      </w:r>
    </w:p>
    <w:p>
      <w:pPr>
        <w:pStyle w:val="FirstParagraph"/>
      </w:pPr>
      <w:r>
        <w:t xml:space="preserve">3.2.1 The Compact establishes the Hormuz Maritime Services Fund (the Fund), administered by the Joint Hormuz Authority under the fiduciary management of the Qatar Central Bank as neutral escrow agent, with World Bank technical audit support. The Fund holds legal personality and operates under the sanctions firewall of Title V.</w:t>
      </w:r>
    </w:p>
    <w:p>
      <w:pPr>
        <w:pStyle w:val="BodyText"/>
      </w:pPr>
      <w:r>
        <w:t xml:space="preserve">3.2.2 Fund revenue sources, each voluntary or commercial in character, none conditioned on transit:</w:t>
      </w:r>
    </w:p>
    <w:p>
      <w:pPr>
        <w:numPr>
          <w:ilvl w:val="0"/>
          <w:numId w:val="1009"/>
        </w:numPr>
      </w:pPr>
      <w:r>
        <w:t xml:space="preserve">User-state contributions: annual contributions by the principal user states of the Strait, computed on the basis of transited energy volumes, under a published formula adopted by the JHA. Contributions are obligations of states, not charges on ships.</w:t>
      </w:r>
    </w:p>
    <w:p>
      <w:pPr>
        <w:numPr>
          <w:ilvl w:val="0"/>
          <w:numId w:val="1009"/>
        </w:numPr>
      </w:pPr>
      <w:r>
        <w:t xml:space="preserve">Industry contributions: contributions by shipping lines, charterers, and energy majors under the voluntary Malacca-style mechanism, with contributor recognition, service priority, and the green discount schedule of Annex B.</w:t>
      </w:r>
    </w:p>
    <w:p>
      <w:pPr>
        <w:numPr>
          <w:ilvl w:val="0"/>
          <w:numId w:val="1009"/>
        </w:numPr>
      </w:pPr>
      <w:r>
        <w:t xml:space="preserve">The insurance channel: insurers offering war-risk and transit coverage for Hormuz voyages remit an agreed percentage of the premium to the Fund. As the framework’s verified safety record lengthens, premiums fall; the Fund’s percentage of a falling premium rises by formula, so steward revenue stays stable while shippers’ costs fall. The framework thereby converts peace into a compound dividend for everyone at once.</w:t>
      </w:r>
    </w:p>
    <w:p>
      <w:pPr>
        <w:numPr>
          <w:ilvl w:val="0"/>
          <w:numId w:val="1009"/>
        </w:numPr>
      </w:pPr>
      <w:r>
        <w:t xml:space="preserve">Route Assurance Data Service: the JHA operates a commercial subscription service providing verified corridor status, anomaly data, and transit assurance certification to shippers, charterers, and insurers. Subscriptions are commercial products purchased for value, entirely separate from passage.</w:t>
      </w:r>
    </w:p>
    <w:p>
      <w:pPr>
        <w:numPr>
          <w:ilvl w:val="0"/>
          <w:numId w:val="1009"/>
        </w:numPr>
      </w:pPr>
      <w:r>
        <w:t xml:space="preserve">The assurance escrow: performance bonds posted by participating shipping lines under the bond model of Annex B, with the investment income of the bond pool accruing to the Fund.</w:t>
      </w:r>
    </w:p>
    <w:p>
      <w:pPr>
        <w:pStyle w:val="FirstParagraph"/>
      </w:pPr>
      <w:r>
        <w:t xml:space="preserve">3.2.3 Fund disbursement: the Fund covers the operating costs of the JHA, the shared VTS, navigational aids, mine surveillance, search and rescue, and environmental response. The Fund distributes its annual surplus between the two co-administering coastal states under the published sharing formula of Annex B, with Iran’s share reflecting its corridor administration, its coastline, and its service provision. The Qatar Central Bank executes all distributions through the neutral escrow, with World Bank audit.</w:t>
      </w:r>
    </w:p>
    <w:p>
      <w:pPr>
        <w:pStyle w:val="BodyText"/>
      </w:pPr>
      <w:r>
        <w:t xml:space="preserve">3.2.4 The Good Behavior Escalator governs the sharing formula across the first five years: Iran’s surplus share begins at the Annex B floor and rises by formula with each successive quarter of verified incident-free operation, reaching the ceiling share at twenty consecutive clean quarters. Stability literally pays, and it pays automatically, through architecture rather than through negotiation.</w:t>
      </w:r>
    </w:p>
    <w:bookmarkEnd w:id="41"/>
    <w:bookmarkStart w:id="42" w:name="Xab23ad625c4fc4d62d5615219d51f7b196749a7"/>
    <w:p>
      <w:pPr>
        <w:pStyle w:val="Heading3"/>
      </w:pPr>
      <w:r>
        <w:t xml:space="preserve">Article 3.3: The Services Catalogue and the Service Boundary</w:t>
      </w:r>
    </w:p>
    <w:p>
      <w:pPr>
        <w:pStyle w:val="FirstParagraph"/>
      </w:pPr>
      <w:r>
        <w:t xml:space="preserve">3.3.1 Iran and Oman publish a joint Services Catalogue covering: pilotage, deep-draft pilotage, tug escort, bunkering, fresh water and provisioning, ship repair anchorage services, sewage and waste reception, environmental compliance certification, route assurance data, emergency towage, and search and rescue standby. Every service is optional. Every price is published. Every price is non-discriminatory as to flag, cargo, origin, and destination.</w:t>
      </w:r>
    </w:p>
    <w:p>
      <w:pPr>
        <w:pStyle w:val="BodyText"/>
      </w:pPr>
      <w:r>
        <w:t xml:space="preserve">3.3.2 The Service Boundary Test, administered by the JHA legal desk with IMO technical support, reviews every charge in the catalogue annually against three criteria: the charge attaches to a service actually rendered; the service was requested or accepted by the vessel; and the charge bears a reasonable relationship to the cost of the service. Any charge failing any criterion converts automatically into a prohibited exaction and voids. This test keeps the entire revenue architecture permanently on the lawful side of the boundary that international law draws.</w:t>
      </w:r>
    </w:p>
    <w:p>
      <w:pPr>
        <w:pStyle w:val="BodyText"/>
      </w:pPr>
      <w:r>
        <w:t xml:space="preserve">3.3.3 The Heavy-User Cap guarantees predictability: no single operator’s aggregate annual service charges exceed the cap set in Annex B, computed as a fixed sum indexed to transit volume. The cap converts an open-ended political fear into a bounded commercial parameter.</w:t>
      </w:r>
    </w:p>
    <w:bookmarkEnd w:id="42"/>
    <w:bookmarkStart w:id="43" w:name="Xb8268eb34375cafe5bcaadab72988f4b86ced5a"/>
    <w:p>
      <w:pPr>
        <w:pStyle w:val="Heading3"/>
      </w:pPr>
      <w:r>
        <w:t xml:space="preserve">Article 3.4: The Political Settlement of the Fees Question</w:t>
      </w:r>
    </w:p>
    <w:p>
      <w:pPr>
        <w:pStyle w:val="FirstParagraph"/>
      </w:pPr>
      <w:r>
        <w:t xml:space="preserve">3.3.4 For the purposes of the Dual-Narrative Protocol, the following statements are all simultaneously true and each Party deploys whichever serves its audience:</w:t>
      </w:r>
    </w:p>
    <w:p>
      <w:pPr>
        <w:numPr>
          <w:ilvl w:val="0"/>
          <w:numId w:val="1010"/>
        </w:numPr>
      </w:pPr>
      <w:r>
        <w:t xml:space="preserve">No tolls exist on the Strait of Hormuz. Passage is free, unconditional, and permanent. (United States framing.)</w:t>
      </w:r>
    </w:p>
    <w:p>
      <w:pPr>
        <w:numPr>
          <w:ilvl w:val="0"/>
          <w:numId w:val="1010"/>
        </w:numPr>
      </w:pPr>
      <w:r>
        <w:t xml:space="preserve">Iran’s stewardship of its corridor and its service economy receive permanent institutional recognition and a durable, growing revenue stream. (Iranian framing.)</w:t>
      </w:r>
    </w:p>
    <w:p>
      <w:pPr>
        <w:numPr>
          <w:ilvl w:val="0"/>
          <w:numId w:val="1010"/>
        </w:numPr>
      </w:pPr>
      <w:r>
        <w:t xml:space="preserve">The Strait operates under the same cooperative financial model as the Strait of Malacca, funded by its users and its beneficiaries, not by exactions on passage. (Omani and Gulf framing.)</w:t>
      </w:r>
    </w:p>
    <w:p>
      <w:pPr>
        <w:numPr>
          <w:ilvl w:val="0"/>
          <w:numId w:val="1010"/>
        </w:numPr>
      </w:pPr>
      <w:r>
        <w:t xml:space="preserve">The insurance market, not any government, prices the security of the Strait, and the framework makes that price fall year on year. (Industry framing.)</w:t>
      </w:r>
    </w:p>
    <w:p>
      <w:pPr>
        <w:pStyle w:val="FirstParagraph"/>
      </w:pPr>
      <w:r>
        <w:t xml:space="preserve">3.3.5 The fees question, so resolved, does not return. Any proposal to introduce a charge conditioned on transit constitutes a Tier 3 event under Annex D. The architecture itself, not any party’s vigilance, keeps the knot cut.</w:t>
      </w:r>
    </w:p>
    <w:bookmarkEnd w:id="43"/>
    <w:bookmarkEnd w:id="44"/>
    <w:bookmarkStart w:id="50" w:name="title-iv-the-nuclear-final-settlement"/>
    <w:p>
      <w:pPr>
        <w:pStyle w:val="Heading2"/>
      </w:pPr>
      <w:r>
        <w:t xml:space="preserve">Title IV: The Nuclear Final Settlement</w:t>
      </w:r>
    </w:p>
    <w:bookmarkStart w:id="45" w:name="X9d2ea9685ec8950a8a6df2e414d649025352eb8"/>
    <w:p>
      <w:pPr>
        <w:pStyle w:val="Heading3"/>
      </w:pPr>
      <w:r>
        <w:t xml:space="preserve">Article 4.1: The Permanent Foreclosure of the Weapons Pathway</w:t>
      </w:r>
    </w:p>
    <w:p>
      <w:pPr>
        <w:pStyle w:val="FirstParagraph"/>
      </w:pPr>
      <w:r>
        <w:t xml:space="preserve">4.1.1 The framework architecture permanently forecloses the development, acquisition, possession, or pursuit of nuclear weapons by the Islamic Republic of Iran. This foreclosure operates through three independent and mutually reinforcing mechanisms: the physical disposition of the existing stockpile, permanent verified ceilings on the enrichment program, and a verification architecture more stringent than any predecessor regime. The commitment reaffirmed in the Islamabad Memorandum of Understanding here acquires permanent, verifiable, and irreversible operational content.</w:t>
      </w:r>
    </w:p>
    <w:p>
      <w:pPr>
        <w:pStyle w:val="BodyText"/>
      </w:pPr>
      <w:r>
        <w:t xml:space="preserve">4.1.2 This Title resolves the two clashing demands that defined the nuclear file: the American demand that the enriched material leave Iranian control and face destruction, and the Iranian red line that no material leaves Iranian territory. The resolution, adopted from the negotiating record, is down-blending on site under continuous international supervision: the material’s weapons utility is destroyed absolutely and irreversibly, while no material crosses an Iranian border. Physics satisfies Washington. Geography satisfies Tehran.</w:t>
      </w:r>
    </w:p>
    <w:bookmarkEnd w:id="45"/>
    <w:bookmarkStart w:id="46" w:name="article-4.2-the-440-kilogram-protocol"/>
    <w:p>
      <w:pPr>
        <w:pStyle w:val="Heading3"/>
      </w:pPr>
      <w:r>
        <w:t xml:space="preserve">Article 4.2: The 440 Kilogram Protocol</w:t>
      </w:r>
    </w:p>
    <w:p>
      <w:pPr>
        <w:pStyle w:val="FirstParagraph"/>
      </w:pPr>
      <w:r>
        <w:t xml:space="preserve">4.2.1 Within seventy-two hours of entry into force, IAEA inspectors arrive at Natanz, Fordow, and Isfahan and begin continuous presence. Access activates at signature, not after implementation. The inspectors’ first task is the complete verified inventory of all enriched uranium in all chemical and physical forms, at all locations, declared and discovered, including any material dispersed during the conflict.</w:t>
      </w:r>
    </w:p>
    <w:p>
      <w:pPr>
        <w:pStyle w:val="BodyText"/>
      </w:pPr>
      <w:r>
        <w:t xml:space="preserve">4.2.2 Within thirty days of entry into force, the entire stockpile of uranium enriched above twenty percent, including the full inventory of approximately 440 kilograms of material enriched to sixty percent, undergoes down-blending on site to below 3.67 percent U-235, under continuous IAEA containment and surveillance, with the process logged in the Shared Digital Registry. Down-blending, once complete, is physically irreversible in any militarily relevant timeframe.</w:t>
      </w:r>
    </w:p>
    <w:p>
      <w:pPr>
        <w:pStyle w:val="BodyText"/>
      </w:pPr>
      <w:r>
        <w:t xml:space="preserve">4.2.3 The IAEA certifies completion of the down-blending, and the certification transmits simultaneously to both Parties, the Guarantor Matrix, and the UN Security Council. This certification activates the corresponding tranche of the synchronized relief schedule of Title V automatically.</w:t>
      </w:r>
    </w:p>
    <w:bookmarkEnd w:id="46"/>
    <w:bookmarkStart w:id="47" w:name="article-4.3-the-permanent-ceiling"/>
    <w:p>
      <w:pPr>
        <w:pStyle w:val="Heading3"/>
      </w:pPr>
      <w:r>
        <w:t xml:space="preserve">Article 4.3: The Permanent Ceiling</w:t>
      </w:r>
    </w:p>
    <w:p>
      <w:pPr>
        <w:pStyle w:val="FirstParagraph"/>
      </w:pPr>
      <w:r>
        <w:t xml:space="preserve">4.3.4 From completion of the down-blending, the following ceilings bind permanently, without sunset:</w:t>
      </w:r>
    </w:p>
    <w:p>
      <w:pPr>
        <w:numPr>
          <w:ilvl w:val="0"/>
          <w:numId w:val="1011"/>
        </w:numPr>
      </w:pPr>
      <w:r>
        <w:t xml:space="preserve">Enrichment level: a permanent ceiling of 3.67 percent U-235 for all enrichment activity, sized to the fuel requirements of the Bushehr reactor and the Tehran Research Reactor, as verified by the IAEA.</w:t>
      </w:r>
    </w:p>
    <w:p>
      <w:pPr>
        <w:numPr>
          <w:ilvl w:val="0"/>
          <w:numId w:val="1011"/>
        </w:numPr>
      </w:pPr>
      <w:r>
        <w:t xml:space="preserve">Stockpile: a permanent ceiling of 300 kilograms of UF6 enriched to 3.67 percent, consistent with the civilian fuel cycle.</w:t>
      </w:r>
    </w:p>
    <w:p>
      <w:pPr>
        <w:numPr>
          <w:ilvl w:val="0"/>
          <w:numId w:val="1011"/>
        </w:numPr>
      </w:pPr>
      <w:r>
        <w:t xml:space="preserve">Capacity: enrichment capacity operates within a verified envelope of installed IR-1 centrifuges at Natanz sized to the ceiling, with all excess centrifuges and all advanced centrifuge cascades placed under IAEA-monitored storage, and Fordow converted permanently to a non-enrichment research, medical isotope, and stable isotope production center under IAEA monitoring.</w:t>
      </w:r>
    </w:p>
    <w:p>
      <w:pPr>
        <w:numPr>
          <w:ilvl w:val="0"/>
          <w:numId w:val="1011"/>
        </w:numPr>
      </w:pPr>
      <w:r>
        <w:t xml:space="preserve">Breakout geometry: the ceiling geometry maintains a verified breakout estimate of not less than twelve months at all times, computed continuously by the IAEA from live monitoring data and published to both Parties simultaneously.</w:t>
      </w:r>
    </w:p>
    <w:p>
      <w:pPr>
        <w:pStyle w:val="FirstParagraph"/>
      </w:pPr>
      <w:r>
        <w:t xml:space="preserve">4.3.5 Iran’s right to the peaceful uses of nuclear energy under Article IV of the Treaty on the Non-Proliferation of Nuclear Weapons stands affirmed in full, including enrichment within the ceilings of this Article. The framework architecture regulates quantity and purity, never the principle of the right itself.</w:t>
      </w:r>
    </w:p>
    <w:bookmarkEnd w:id="47"/>
    <w:bookmarkStart w:id="48" w:name="X3a3f80f84ddf4f73d60185c36952d0379fdf6bd"/>
    <w:p>
      <w:pPr>
        <w:pStyle w:val="Heading3"/>
      </w:pPr>
      <w:r>
        <w:t xml:space="preserve">Article 4.4: The Verification Architecture</w:t>
      </w:r>
    </w:p>
    <w:p>
      <w:pPr>
        <w:pStyle w:val="FirstParagraph"/>
      </w:pPr>
      <w:r>
        <w:t xml:space="preserve">4.4.1 Iran ratifies and implements the Additional Protocol on a permanent basis, and implements the verification enhancements of Annex C, which together exceed every predecessor regime:</w:t>
      </w:r>
    </w:p>
    <w:p>
      <w:pPr>
        <w:numPr>
          <w:ilvl w:val="0"/>
          <w:numId w:val="1012"/>
        </w:numPr>
      </w:pPr>
      <w:r>
        <w:t xml:space="preserve">Continuous IAEA presence at all declared nuclear sites, with online enrichment monitors, surveillance, and unattended verification systems transmitting to the golden record of Annex D.</w:t>
      </w:r>
    </w:p>
    <w:p>
      <w:pPr>
        <w:numPr>
          <w:ilvl w:val="0"/>
          <w:numId w:val="1012"/>
        </w:numPr>
      </w:pPr>
      <w:r>
        <w:t xml:space="preserve">Managed access to any location, declared or undeclared, within twenty-four hours of an IAEA request, under the challenge inspection procedure of Annex C, with the Technical Truth Escalation Chain resolving any access dispute within five days.</w:t>
      </w:r>
    </w:p>
    <w:p>
      <w:pPr>
        <w:numPr>
          <w:ilvl w:val="0"/>
          <w:numId w:val="1012"/>
        </w:numPr>
      </w:pPr>
      <w:r>
        <w:t xml:space="preserve">Permanent monitoring of the uranium ore concentrate supply chain, centrifuge manufacturing, and heavy water production.</w:t>
      </w:r>
    </w:p>
    <w:p>
      <w:pPr>
        <w:pStyle w:val="FirstParagraph"/>
      </w:pPr>
      <w:r>
        <w:t xml:space="preserve">4.4.2 All outstanding safeguards questions, including those concerning past activities, resolve through the structured process of Annex C, Section 9: Iran provides the agreed technical explanations and access, the IAEA issues its closure assessment, and the file closes by a defined date. Closure of the past is a precondition of nothing; it proceeds in parallel with everything, and it concludes on its own clock within one hundred eighty days.</w:t>
      </w:r>
    </w:p>
    <w:p>
      <w:pPr>
        <w:pStyle w:val="BodyText"/>
      </w:pPr>
      <w:r>
        <w:t xml:space="preserve">4.4.3 The verification systems of this Title feed the Cothrom compliance engine of Annex D. Nuclear compliance events classify and respond through the three-tier system, the graduated step-back, and the guaranteed earn-back, exactly as every other module. No snapback exists anywhere in this Compact.</w:t>
      </w:r>
    </w:p>
    <w:bookmarkEnd w:id="48"/>
    <w:bookmarkStart w:id="49" w:name="Xa1b4b7464b39b2429b9b0f67b7c1cd505400422"/>
    <w:p>
      <w:pPr>
        <w:pStyle w:val="Heading3"/>
      </w:pPr>
      <w:r>
        <w:t xml:space="preserve">Article 4.5: Fuel Cycle Assurance and International Partnership</w:t>
      </w:r>
    </w:p>
    <w:p>
      <w:pPr>
        <w:pStyle w:val="FirstParagraph"/>
      </w:pPr>
      <w:r>
        <w:t xml:space="preserve">4.5.1 An international fuel supply guarantee, underwritten by the IAEA, Russia, and the supplier consortium of Annex C, guarantees fuel for the Bushehr reactor and the Tehran Research Reactor at market terms for the life of this Compact, removing any technical rationale for exceeding the ceilings.</w:t>
      </w:r>
    </w:p>
    <w:p>
      <w:pPr>
        <w:pStyle w:val="BodyText"/>
      </w:pPr>
      <w:r>
        <w:t xml:space="preserve">4.5.2 The framework architecture includes a nuclear cooperation window: IAEA technical cooperation, medical isotope production support at the converted Fordow facility, and participation in the international fusion and advanced reactor research programs, reintegrating Iran’s scientific community into the global civilian nuclear enterprise.</w:t>
      </w:r>
    </w:p>
    <w:bookmarkEnd w:id="49"/>
    <w:bookmarkEnd w:id="50"/>
    <w:bookmarkStart w:id="55" w:name="X84c72d748fec86602bd5a0f1ff4c558fe3a13d0"/>
    <w:p>
      <w:pPr>
        <w:pStyle w:val="Heading2"/>
      </w:pPr>
      <w:r>
        <w:t xml:space="preserve">Title V: Sanctions Termination and the Frozen Assets Resolution</w:t>
      </w:r>
    </w:p>
    <w:bookmarkStart w:id="51" w:name="article-5.1-the-termination-schedule"/>
    <w:p>
      <w:pPr>
        <w:pStyle w:val="Heading3"/>
      </w:pPr>
      <w:r>
        <w:t xml:space="preserve">Article 5.1: The Termination Schedule</w:t>
      </w:r>
    </w:p>
    <w:p>
      <w:pPr>
        <w:pStyle w:val="FirstParagraph"/>
      </w:pPr>
      <w:r>
        <w:t xml:space="preserve">5.1.1 The Compact terminates all sanctions against Iran on the following performance-synchronized schedule, executed through the Reciprocity Ledger of Annex D so that no step executes alone:</w:t>
      </w:r>
    </w:p>
    <w:p>
      <w:pPr>
        <w:numPr>
          <w:ilvl w:val="0"/>
          <w:numId w:val="1013"/>
        </w:numPr>
      </w:pPr>
      <w:r>
        <w:t xml:space="preserve">Tranche One, at Hour 72 (reopening certification): termination of the naval blockade measures in full; humanitarian, maritime-sector, aviation safety, and agricultural sanctions relief; issuance of the OFAC general license covering the Hormuz Maritime Services Fund, the escrow architecture, and the Multilateral Reconstruction Fund.</w:t>
      </w:r>
    </w:p>
    <w:p>
      <w:pPr>
        <w:numPr>
          <w:ilvl w:val="0"/>
          <w:numId w:val="1013"/>
        </w:numPr>
      </w:pPr>
      <w:r>
        <w:t xml:space="preserve">Tranche Two, at Day 14 (inventory certification): oil and petrochemical export waivers, covering Iranian crude, petroleum products, and associated banking, insurance, and transportation services; reconnection of designated Iranian banks to the international financial messaging system.</w:t>
      </w:r>
    </w:p>
    <w:p>
      <w:pPr>
        <w:numPr>
          <w:ilvl w:val="0"/>
          <w:numId w:val="1013"/>
        </w:numPr>
      </w:pPr>
      <w:r>
        <w:t xml:space="preserve">Tranche Three, at Day 30 (down-blending certification): termination of the secondary sanctions architecture for the energy, shipping, and insurance sectors; unblocking of the first scheduled tranche of frozen assets under Article 5.3.</w:t>
      </w:r>
    </w:p>
    <w:p>
      <w:pPr>
        <w:numPr>
          <w:ilvl w:val="0"/>
          <w:numId w:val="1013"/>
        </w:numPr>
      </w:pPr>
      <w:r>
        <w:t xml:space="preserve">Tranche Four, at Day 180 (sustained compliance certification): termination of the remaining primary and secondary nuclear-related sanctions; corresponding actions at the UN Security Council and the IAEA Board of Governors closing the prior resolutions file; frozen assets fully released per the schedule of Article 5.3.</w:t>
      </w:r>
    </w:p>
    <w:p>
      <w:pPr>
        <w:pStyle w:val="FirstParagraph"/>
      </w:pPr>
      <w:r>
        <w:t xml:space="preserve">5.1.2 The schedule is automatic upon certification. Each certification, once logged in the Common Facts Register, activates its tranche without further political action. The Reciprocity Ledger records each paired step publicly to both Parties.</w:t>
      </w:r>
    </w:p>
    <w:bookmarkEnd w:id="51"/>
    <w:bookmarkStart w:id="52" w:name="Xa9e52254113b65e7e736371696c49be234b3371"/>
    <w:p>
      <w:pPr>
        <w:pStyle w:val="Heading3"/>
      </w:pPr>
      <w:r>
        <w:t xml:space="preserve">Article 5.2: The Congressional Path and the Sunset Conversion</w:t>
      </w:r>
    </w:p>
    <w:p>
      <w:pPr>
        <w:pStyle w:val="FirstParagraph"/>
      </w:pPr>
      <w:r>
        <w:t xml:space="preserve">5.2.1 The Parties acknowledge that certain sanctions rest on statutes of the United States Congress, which the President terminates through legislative repeal rather than executive action alone. The United States commits its executive branch to actively seek congressional repeal of the statutory sanctions within twelve months of entry into force, and to transmit this Compact to Congress with a formal recommendation for the required legislative action.</w:t>
      </w:r>
    </w:p>
    <w:p>
      <w:pPr>
        <w:pStyle w:val="BodyText"/>
      </w:pPr>
      <w:r>
        <w:t xml:space="preserve">5.2.2 The Sunset Conversion Clause operates as the fail-safe: if congressional repeal of any statutory sanction has not occurred within twelve months, the executive branch’s obligation converts automatically into a permanent, non-revocable, self-executing waiver of that sanction for all transactions consistent with this Compact, renewed in perpetuity and accompanied by a standing certification to all foreign financial institutions that transactions within the framework carry no sanctions exposure. International commerce thereby receives legal certainty regardless of the legislative calendar.</w:t>
      </w:r>
    </w:p>
    <w:p>
      <w:pPr>
        <w:pStyle w:val="BodyText"/>
      </w:pPr>
      <w:r>
        <w:t xml:space="preserve">5.2.3 No new sanctions: the framework architecture excludes the imposition of new sanctions of any kind by either Party against the other for any conduct addressed by this Compact. Conduct outside this Compact remains outside this Compact; it creates no license to reopen what this Compact closes.</w:t>
      </w:r>
    </w:p>
    <w:bookmarkEnd w:id="52"/>
    <w:bookmarkStart w:id="53" w:name="article-5.3-the-frozen-assets-resolution"/>
    <w:p>
      <w:pPr>
        <w:pStyle w:val="Heading3"/>
      </w:pPr>
      <w:r>
        <w:t xml:space="preserve">Article 5.3: The Frozen Assets Resolution</w:t>
      </w:r>
    </w:p>
    <w:p>
      <w:pPr>
        <w:pStyle w:val="FirstParagraph"/>
      </w:pPr>
      <w:r>
        <w:t xml:space="preserve">5.3.1 All frozen Iranian assets held abroad release on the following architecture, building on the twelve billion dollar tranche released under the Memorandum of Understanding:</w:t>
      </w:r>
    </w:p>
    <w:p>
      <w:pPr>
        <w:numPr>
          <w:ilvl w:val="0"/>
          <w:numId w:val="1014"/>
        </w:numPr>
      </w:pPr>
      <w:r>
        <w:t xml:space="preserve">The assets move into the Swiss-administered escrow in four scheduled tranches synchronized with the relief schedule of Article 5.1, each tranche activated by its certification, each tranche final and irrevocable upon release. The framework architecture excludes clawback, re-freezing, and rescission of released assets under all circumstances.</w:t>
      </w:r>
    </w:p>
    <w:p>
      <w:pPr>
        <w:numPr>
          <w:ilvl w:val="0"/>
          <w:numId w:val="1014"/>
        </w:numPr>
      </w:pPr>
      <w:r>
        <w:t xml:space="preserve">The first tranche operates the Agricultural Window: a dedicated channel within the escrow through which Iranian funds purchase food, medicine, and agricultural commodities on international markets, including from American producers where Iran elects, with payment flowing directly to suppliers. Iran’s procurement choices remain sovereign under the non-directed purchasing guarantee of Title IX. The window exists as an option and an early confidence measure, not as a condition.</w:t>
      </w:r>
    </w:p>
    <w:p>
      <w:pPr>
        <w:numPr>
          <w:ilvl w:val="0"/>
          <w:numId w:val="1014"/>
        </w:numPr>
      </w:pPr>
      <w:r>
        <w:t xml:space="preserve">Assets held in third states convert under the Frozen Asset Conversion and Debt-for-Infrastructure Swap Protocol of Annex E: frozen oil payments, trade credits, and energy receivables held in the Republic of Korea, Japan, India, and elsewhere convert directly into reconstruction contracts executed by contractors of the holding state, unlocking between six and ten billion dollars of immediately productive capital without new appropriations anywhere.</w:t>
      </w:r>
    </w:p>
    <w:p>
      <w:pPr>
        <w:pStyle w:val="FirstParagraph"/>
      </w:pPr>
      <w:r>
        <w:t xml:space="preserve">5.3.2 The compensation question, raised in maximalist form by both sides during the conflict, resolves through the architecture of Title IX rather than through cash transfers between the Parties: reconstruction capital flows to Iran through multilateral channels; no Party pays the other; no Party’s taxpayers fund the other; and the question closes permanently. The framework architecture contains no reparations mechanism in either direction.</w:t>
      </w:r>
    </w:p>
    <w:bookmarkEnd w:id="53"/>
    <w:bookmarkStart w:id="54" w:name="article-5.4-the-sanctions-firewall"/>
    <w:p>
      <w:pPr>
        <w:pStyle w:val="Heading3"/>
      </w:pPr>
      <w:r>
        <w:t xml:space="preserve">Article 5.4: The Sanctions Firewall</w:t>
      </w:r>
    </w:p>
    <w:p>
      <w:pPr>
        <w:pStyle w:val="FirstParagraph"/>
      </w:pPr>
      <w:r>
        <w:t xml:space="preserve">5.4.1 Every financial mechanism of this Compact, including the escrow, the Hormuz Maritime Services Fund, the Multilateral Reconstruction Fund, the Political Discretion Fund, and all their transactions, participants, banks, insurers, contractors, and suppliers, operates under a standing OFAC general license and its equivalents in other jurisdictions. Participation in the framework carries zero sanctions exposure. This firewall is permanent and self-executing.</w:t>
      </w:r>
    </w:p>
    <w:bookmarkEnd w:id="54"/>
    <w:bookmarkEnd w:id="55"/>
    <w:bookmarkStart w:id="60" w:name="X89a070f87ba9b028031469c1e67f90a9cf4865d"/>
    <w:p>
      <w:pPr>
        <w:pStyle w:val="Heading2"/>
      </w:pPr>
      <w:r>
        <w:t xml:space="preserve">Title VI: Regional De-escalation and the Third-Party Guarantor Architecture</w:t>
      </w:r>
    </w:p>
    <w:bookmarkStart w:id="56" w:name="Xef32ec62160bc5aeb8ff18c5d5676e947182717"/>
    <w:p>
      <w:pPr>
        <w:pStyle w:val="Heading3"/>
      </w:pPr>
      <w:r>
        <w:t xml:space="preserve">Article 6.1: The Permanent Regional Ceasefire</w:t>
      </w:r>
    </w:p>
    <w:p>
      <w:pPr>
        <w:pStyle w:val="FirstParagraph"/>
      </w:pPr>
      <w:r>
        <w:t xml:space="preserve">6.1.1 The cessation of hostilities of Title I extends to all fronts: Lebanon, Syria, Yemen, Iraq, and the Palestinian territories. The framework architecture addresses the structural gap identified throughout the negotiation, namely that Israel is not a signatory to this Compact, through the Third-Party Guarantor Clause of Article 6.2 rather than through any pretense of direct obligation.</w:t>
      </w:r>
    </w:p>
    <w:p>
      <w:pPr>
        <w:pStyle w:val="BodyText"/>
      </w:pPr>
      <w:r>
        <w:t xml:space="preserve">6.1.2 The regional ceasefire operates through a chain of matched, verified commitments recorded in the Common Facts Register:</w:t>
      </w:r>
    </w:p>
    <w:p>
      <w:pPr>
        <w:numPr>
          <w:ilvl w:val="0"/>
          <w:numId w:val="1015"/>
        </w:numPr>
      </w:pPr>
      <w:r>
        <w:t xml:space="preserve">All cross-border attacks, rocket fire, drone operations, and armed incursions across the Lebanese-Israeli frontier cease permanently.</w:t>
      </w:r>
    </w:p>
    <w:p>
      <w:pPr>
        <w:numPr>
          <w:ilvl w:val="0"/>
          <w:numId w:val="1015"/>
        </w:numPr>
      </w:pPr>
      <w:r>
        <w:t xml:space="preserve">The provisions of United Nations Security Council Resolution 1701 enter full implementation in southern Lebanon, with the Lebanese state extending its authority throughout its territory.</w:t>
      </w:r>
    </w:p>
    <w:p>
      <w:pPr>
        <w:numPr>
          <w:ilvl w:val="0"/>
          <w:numId w:val="1015"/>
        </w:numPr>
      </w:pPr>
      <w:r>
        <w:t xml:space="preserve">Attacks on shipping in the Red Sea and the Gulf of Aden cease permanently, and the maritime deconfliction architecture of Title II extends its hotline and playbook coverage to those waterways.</w:t>
      </w:r>
    </w:p>
    <w:p>
      <w:pPr>
        <w:numPr>
          <w:ilvl w:val="0"/>
          <w:numId w:val="1015"/>
        </w:numPr>
      </w:pPr>
      <w:r>
        <w:t xml:space="preserve">Military operations against the territory and forces of the Parties’ regional partners cease, matched by the stand-down of operations against Iran and its regional allies.</w:t>
      </w:r>
    </w:p>
    <w:bookmarkEnd w:id="56"/>
    <w:bookmarkStart w:id="57" w:name="X514990aedf0c2a19054be2fcf53f52b82f90d2a"/>
    <w:p>
      <w:pPr>
        <w:pStyle w:val="Heading3"/>
      </w:pPr>
      <w:r>
        <w:t xml:space="preserve">Article 6.2: The Third-Party Guarantor Clause (Resolving the Lebanon Paradox)</w:t>
      </w:r>
    </w:p>
    <w:p>
      <w:pPr>
        <w:pStyle w:val="FirstParagraph"/>
      </w:pPr>
      <w:r>
        <w:t xml:space="preserve">6.2.1 The Lebanon file presents the structural paradox that defined the final weeks of negotiation: Iran treats the Lebanese front as non-negotiable, Israel claims freedom of action, and neither sits at this table. The Compact resolves the paradox triangularly rather than bilaterally.</w:t>
      </w:r>
    </w:p>
    <w:p>
      <w:pPr>
        <w:pStyle w:val="BodyText"/>
      </w:pPr>
      <w:r>
        <w:t xml:space="preserve">6.2.2 The United States, as the ally of Israel, formally guarantees that it deploys its full diplomatic and security leverage to prevent strikes originating from or directed at Lebanese territory inconsistent with the ceasefire architecture, and to maintain the Lebanese-Israeli de-escalation channel at standing readiness. This is a guarantee of effort and posture, recorded in the Common Facts Register as a commitment of the United States to this Compact, not a commitment of Israel.</w:t>
      </w:r>
    </w:p>
    <w:p>
      <w:pPr>
        <w:pStyle w:val="BodyText"/>
      </w:pPr>
      <w:r>
        <w:t xml:space="preserve">6.2.3 The Islamic Republic of Iran formally codifies its support for the full implementation of Resolution 1701, including the disarmament of non-state armed groups in southern Lebanon, and records its commitment to use its relationships to that end. Both commitments enter the Common Facts Register as symmetric facts, verified by the same telemetry and reporting architecture, and reviewable by the Guarantor Matrix.</w:t>
      </w:r>
    </w:p>
    <w:p>
      <w:pPr>
        <w:pStyle w:val="BodyText"/>
      </w:pPr>
      <w:r>
        <w:t xml:space="preserve">6.2.4 The Guarantor Matrix reviews the Lebanese file quarterly. A breach of the Lebanese ceasefire does not cascade: under the Cross-Module Spillover Protection of Annex D, Section 14, the Lebanon module and the maritime, nuclear, and financial modules operate as independent tracks. The framework architecture protects the Strait, the stockpile, and the funds from every regional storm.</w:t>
      </w:r>
    </w:p>
    <w:bookmarkEnd w:id="57"/>
    <w:bookmarkStart w:id="58" w:name="X92b6813bcf1ea36afccae8b447982664727f088"/>
    <w:p>
      <w:pPr>
        <w:pStyle w:val="Heading3"/>
      </w:pPr>
      <w:r>
        <w:t xml:space="preserve">Article 6.3: The Cyber Non-Interference Protocol</w:t>
      </w:r>
    </w:p>
    <w:p>
      <w:pPr>
        <w:pStyle w:val="FirstParagraph"/>
      </w:pPr>
      <w:r>
        <w:t xml:space="preserve">6.3.1 The framework architecture excludes state-directed cyber operations against the critical infrastructure of the other Party, including power grids, water systems, nuclear facilities, financial networks, and maritime systems. The Memorandum of Understanding neglected this domain; the Compact closes the gap.</w:t>
      </w:r>
    </w:p>
    <w:p>
      <w:pPr>
        <w:pStyle w:val="BodyText"/>
      </w:pPr>
      <w:r>
        <w:t xml:space="preserve">6.3.2 Attribution of cyber incidents follows the False Flag Attack Protocol: a forty-eight-hour attribution deferral, forensic investigation by a joint technical team with neutral expert participation from the Annex D expert pool, and no penalty assignment before forensic conclusion.</w:t>
      </w:r>
    </w:p>
    <w:p>
      <w:pPr>
        <w:pStyle w:val="BodyText"/>
      </w:pPr>
      <w:r>
        <w:t xml:space="preserve">6.3.3 A standing Cyber Deconfliction Channel operates alongside the deconfliction hotline, staffed by designated technical points of contact of both Parties, with the Swiss facilitator as convener of record.</w:t>
      </w:r>
    </w:p>
    <w:bookmarkEnd w:id="58"/>
    <w:bookmarkStart w:id="59" w:name="X38c2a17cc0de605ac23a95bc196b4720d552426"/>
    <w:p>
      <w:pPr>
        <w:pStyle w:val="Heading3"/>
      </w:pPr>
      <w:r>
        <w:t xml:space="preserve">Article 6.4: Conventional Forces and the Missile Question</w:t>
      </w:r>
    </w:p>
    <w:p>
      <w:pPr>
        <w:pStyle w:val="FirstParagraph"/>
      </w:pPr>
      <w:r>
        <w:t xml:space="preserve">6.4.1 The Parties acknowledge the maximalist positions taken on missiles and regional force structure during the conflict, and acknowledge equally that the Memorandum of Understanding excluded those questions from the agenda. The Compact addresses them through confidence measures rather than through disarmament demands that no Party accepts:</w:t>
      </w:r>
    </w:p>
    <w:p>
      <w:pPr>
        <w:numPr>
          <w:ilvl w:val="0"/>
          <w:numId w:val="1016"/>
        </w:numPr>
      </w:pPr>
      <w:r>
        <w:t xml:space="preserve">Iran notifies major missile tests and large-scale exercises to the Shared Digital Registry fourteen days in advance, matched by American notification of major naval exercises within the Gulf and the Gulf of Oman on the same terms. Notification is symmetrical, technical, and devoid of political meaning under the non-imputability principle of Annex D.</w:t>
      </w:r>
    </w:p>
    <w:p>
      <w:pPr>
        <w:numPr>
          <w:ilvl w:val="0"/>
          <w:numId w:val="1016"/>
        </w:numPr>
      </w:pPr>
      <w:r>
        <w:t xml:space="preserve">The framework architecture excludes the deployment of either Party’s forces for the purpose of attacking the other, and the telemetry architecture of Annex D makes any contrary preparation visible to both Parties simultaneously.</w:t>
      </w:r>
    </w:p>
    <w:p>
      <w:pPr>
        <w:pStyle w:val="FirstParagraph"/>
      </w:pPr>
      <w:r>
        <w:t xml:space="preserve">6.4.2 A Standing Regional Security Dialogue convenes quarterly under Omani chairmanship, with Iran, the GCC states, Iraq, and the United States, to address conventional posture, maritime security, and regional confidence building. The Dialogue owns the long runway; the Compact owns the immediate settlement.</w:t>
      </w:r>
    </w:p>
    <w:bookmarkEnd w:id="59"/>
    <w:bookmarkEnd w:id="60"/>
    <w:bookmarkStart w:id="64" w:name="X686a35967edc1618512fa56c729b2f409958bb1"/>
    <w:p>
      <w:pPr>
        <w:pStyle w:val="Heading2"/>
      </w:pPr>
      <w:r>
        <w:t xml:space="preserve">Title VII: Military Posture and Withdrawal Protocol</w:t>
      </w:r>
    </w:p>
    <w:bookmarkStart w:id="61" w:name="article-7.1-the-blockade"/>
    <w:p>
      <w:pPr>
        <w:pStyle w:val="Heading3"/>
      </w:pPr>
      <w:r>
        <w:t xml:space="preserve">Article 7.1: The Blockade</w:t>
      </w:r>
    </w:p>
    <w:p>
      <w:pPr>
        <w:pStyle w:val="FirstParagraph"/>
      </w:pPr>
      <w:r>
        <w:t xml:space="preserve">7.1.1 The naval blockade of Iranian ports and the interdiction measures against Iranian shipping terminate in full upon certification of the seventy-two-hour reopening under Article 2.1. The blockade’s termination is a fact recorded in the Common Facts Register, verified by AIS and satellite telemetry, and visible to the entire world.</w:t>
      </w:r>
    </w:p>
    <w:p>
      <w:pPr>
        <w:pStyle w:val="BodyText"/>
      </w:pPr>
      <w:r>
        <w:t xml:space="preserve">7.1.2 The framework architecture excludes the reimposition of blockade or interdiction measures as a compliance remedy. Step-back under Annex D is economic and diplomatic only, per the No Automatic Military Escalation Clause.</w:t>
      </w:r>
    </w:p>
    <w:bookmarkEnd w:id="61"/>
    <w:bookmarkStart w:id="62" w:name="article-7.2-the-withdrawal-schedule"/>
    <w:p>
      <w:pPr>
        <w:pStyle w:val="Heading3"/>
      </w:pPr>
      <w:r>
        <w:t xml:space="preserve">Article 7.2: The Withdrawal Schedule</w:t>
      </w:r>
    </w:p>
    <w:p>
      <w:pPr>
        <w:pStyle w:val="FirstParagraph"/>
      </w:pPr>
      <w:r>
        <w:t xml:space="preserve">7.2.1 United States forces withdraw from the proximity of Iran within thirty days of entry into force, on the following verified schedule:</w:t>
      </w:r>
    </w:p>
    <w:p>
      <w:pPr>
        <w:numPr>
          <w:ilvl w:val="0"/>
          <w:numId w:val="1017"/>
        </w:numPr>
      </w:pPr>
      <w:r>
        <w:t xml:space="preserve">Days 1 to 10: carrier strike group presence in the Gulf of Oman reduces to one; withdrawal of the additional air defense and strike packages deployed during the 2026 escalation; notification of movement logged in the Shared Digital Registry.</w:t>
      </w:r>
    </w:p>
    <w:p>
      <w:pPr>
        <w:numPr>
          <w:ilvl w:val="0"/>
          <w:numId w:val="1017"/>
        </w:numPr>
      </w:pPr>
      <w:r>
        <w:t xml:space="preserve">Days 11 to 20: withdrawal of expeditionary strike assets from Bahrain, Kuwait, and Jordan surge postures to their pre-crisis baselines; base postures return to pre-crisis status as verified by overhead imagery.</w:t>
      </w:r>
    </w:p>
    <w:p>
      <w:pPr>
        <w:numPr>
          <w:ilvl w:val="0"/>
          <w:numId w:val="1017"/>
        </w:numPr>
      </w:pPr>
      <w:r>
        <w:t xml:space="preserve">Days 21 to 30: completion of the return to pre-crisis regional posture; the Joint Monitoring Cell certifies completion; the certification enters the Common Facts Register and transmits to the Guarantor Matrix and the UN Security Council.</w:t>
      </w:r>
    </w:p>
    <w:p>
      <w:pPr>
        <w:pStyle w:val="FirstParagraph"/>
      </w:pPr>
      <w:r>
        <w:t xml:space="preserve">7.2.2 The withdrawal is verified, not announced: satellite feeds, port call records, and deployment data flow to both Parties through the Shared Digital Registry with identical latency, under the simultaneity standard of Annex D, Section 1.2.</w:t>
      </w:r>
    </w:p>
    <w:p>
      <w:pPr>
        <w:pStyle w:val="BodyText"/>
      </w:pPr>
      <w:r>
        <w:t xml:space="preserve">7.2.3 The residual American regional posture, at its pre-crisis baselines, operates under the behavioral norms of Annex A: no interference with lawful transit, notification of large-scale exercises, and avoidance of close-in maneuvers near commercial traffic. The framework architecture regulates conduct, not presence.</w:t>
      </w:r>
    </w:p>
    <w:bookmarkEnd w:id="62"/>
    <w:bookmarkStart w:id="63" w:name="article-7.3-iranian-posture-commitments"/>
    <w:p>
      <w:pPr>
        <w:pStyle w:val="Heading3"/>
      </w:pPr>
      <w:r>
        <w:t xml:space="preserve">Article 7.3: Iranian Posture Commitments</w:t>
      </w:r>
    </w:p>
    <w:p>
      <w:pPr>
        <w:pStyle w:val="FirstParagraph"/>
      </w:pPr>
      <w:r>
        <w:t xml:space="preserve">7.3.1 Symmetrically, Iranian naval and coastal forces in the Strait approaches operate under the same behavioral norms: transit interdiction capability stands down to peacetime readiness, fast-attack craft patrols follow published patterns notified to the JHA, and live-fire exercises within fifty nautical miles of the corridors require fourteen-day notice.</w:t>
      </w:r>
    </w:p>
    <w:p>
      <w:pPr>
        <w:pStyle w:val="BodyText"/>
      </w:pPr>
      <w:r>
        <w:t xml:space="preserve">7.3.2 The symmetry of this Title is structural: the same Registry, the same telemetry, the same verification standards, and the same compliance engine govern both Parties’ forces. Verification is reciprocal. Both Parties invest; both Parties verify; both Parties recover.</w:t>
      </w:r>
    </w:p>
    <w:bookmarkEnd w:id="63"/>
    <w:bookmarkEnd w:id="64"/>
    <w:bookmarkStart w:id="72" w:name="X12e7a2eb5eda7e1a9ae63113d1078aa985ef774"/>
    <w:p>
      <w:pPr>
        <w:pStyle w:val="Heading2"/>
      </w:pPr>
      <w:r>
        <w:t xml:space="preserve">Title VIII: Verification (The Cothrom Verification Method)</w:t>
      </w:r>
    </w:p>
    <w:bookmarkStart w:id="65" w:name="X027692e6e032b54955289f3fb62db197139ad9d"/>
    <w:p>
      <w:pPr>
        <w:pStyle w:val="Heading3"/>
      </w:pPr>
      <w:r>
        <w:t xml:space="preserve">Article 8.1: Adoption of the Cothrom Method</w:t>
      </w:r>
    </w:p>
    <w:p>
      <w:pPr>
        <w:pStyle w:val="FirstParagraph"/>
      </w:pPr>
      <w:r>
        <w:t xml:space="preserve">8.1.1 The Compact adopts the Cothrom Verification Method as its exclusive verification and compliance architecture. The full operative text stands incorporated as Annex D, and its key provisions bind the Parties as treaty obligations. Cothrom, from the Irish for equal, balanced, level, and fair, treats verification not as surveillance of one Party by another but as a reciprocal architecture in which both Parties invest, both Parties verify, and both Parties recover.</w:t>
      </w:r>
    </w:p>
    <w:p>
      <w:pPr>
        <w:pStyle w:val="BodyText"/>
      </w:pPr>
      <w:r>
        <w:t xml:space="preserve">8.1.2 The Cothrom principle replaces snapback with a graduated, reversible, proportionate compliance engine. Snapback kills agreements: it converts every minor infraction into an existential crisis and incentivizes escalation over remediation.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bookmarkEnd w:id="65"/>
    <w:bookmarkStart w:id="66" w:name="article-8.2-the-data-infrastructure"/>
    <w:p>
      <w:pPr>
        <w:pStyle w:val="Heading3"/>
      </w:pPr>
      <w:r>
        <w:t xml:space="preserve">Article 8.2: The Data Infrastructure</w:t>
      </w:r>
    </w:p>
    <w:p>
      <w:pPr>
        <w:pStyle w:val="FirstParagraph"/>
      </w:pPr>
      <w:r>
        <w:t xml:space="preserve">8.2.1 Upon signature, the monitoring systems of Annex D, Section 1 activate immediately and operate continuously: primary telemetry feeds (satellite, radar, sensor networks), coastal and territorial sensor integration, the Joint Monitoring Cell convening in Muscat within seventy-two hours for continuous operation, the Shared Digital Registry logging all tracks, anomalies, and verification packages with cryptographic chain of custody, the Compliance Dashboard publishing non-classified metrics, and the Third-Party Telemetry Tie-Breaker, an independent commercial provider under contract to the Swiss facilitator, activating automatically upon any conflict between primary feeds.</w:t>
      </w:r>
    </w:p>
    <w:p>
      <w:pPr>
        <w:pStyle w:val="BodyText"/>
      </w:pPr>
      <w:r>
        <w:t xml:space="preserve">8.2.2 All data conforms to the five standards: simultaneous (identical latency to both Parties), unalterable (no Party modifies, deletes, or redacts logged data), transparent (accessible to both Parties, the Guarantor Matrix, and the Joint Monitoring Cell), non-attributable for political purposes, and retained for independent forensic audit for five years, with the Swiss facilitator selecting the auditor from the Third-Party Expert Pool.</w:t>
      </w:r>
    </w:p>
    <w:p>
      <w:pPr>
        <w:pStyle w:val="BodyText"/>
      </w:pPr>
      <w:r>
        <w:t xml:space="preserve">8.2.3 Data is data. No political meaning attaches to its collection or sharing. Neither Party’s participation in data collection constitutes endorsement of the political character or legal status of any monitoring system. This non-imputability principle permits both governments to defend participation at home without conceding anything abroad.</w:t>
      </w:r>
    </w:p>
    <w:bookmarkEnd w:id="66"/>
    <w:bookmarkStart w:id="67" w:name="X25e2feb3f6757ca89b0d16af74e8579636fd89f"/>
    <w:p>
      <w:pPr>
        <w:pStyle w:val="Heading3"/>
      </w:pPr>
      <w:r>
        <w:t xml:space="preserve">Article 8.3: Anomaly Detection and Response</w:t>
      </w:r>
    </w:p>
    <w:p>
      <w:pPr>
        <w:pStyle w:val="FirstParagraph"/>
      </w:pPr>
      <w:r>
        <w:t xml:space="preserve">8.3.1 The alert system filters noise from genuine compliance events through four severity levels. Levels 1 through 3, covering maintenance, downtime, and anomalous readings, route through technical channels without penalty. Only Level 4, indicating evidence of tampering, deliberate disablement, or material diversion, triggers potential step-back consideration, and only after executive consultation.</w:t>
      </w:r>
    </w:p>
    <w:p>
      <w:pPr>
        <w:pStyle w:val="BodyText"/>
      </w:pPr>
      <w:r>
        <w:t xml:space="preserve">8.3.2 The Anomaly Response Playbook binds both Parties from signature: automated notification within five minutes, pre-vetted operational stand-down of forces in the vicinity, and an emergency video conference within thirty minutes. Neither Party deviates from the Playbook without written mutual agreement.</w:t>
      </w:r>
    </w:p>
    <w:p>
      <w:pPr>
        <w:pStyle w:val="BodyText"/>
      </w:pPr>
      <w:r>
        <w:t xml:space="preserve">8.3.3 The Technical Truth Escalation Chain resolves every data fidelity dispute on a binding clock: Joint Monitoring Cell preliminary finding within twenty-four hours, Technical Working Group corroboration by Day 3, and binding determination by the standing panel of three neutral technical experts by Day 5. The determination is final. A twenty-four-hour Technical Dispute Hold freezes all operational responses while the chain runs.</w:t>
      </w:r>
    </w:p>
    <w:p>
      <w:pPr>
        <w:pStyle w:val="BodyText"/>
      </w:pPr>
      <w:r>
        <w:t xml:space="preserve">8.3.4 Automatic Suspension for Monitoring Failure is the sole exception to the human-in-the-loop requirement: if telemetry from a verification-relevant facility is unavailable for forty-eight consecutive hours and the Technical Working Group certifies the unavailability is not equipment failure, framework benefits related to that facility suspend automatically and lift immediately upon certified restoration. No human veto overrides this suspension. It is the architecture’s hard floor.</w:t>
      </w:r>
    </w:p>
    <w:bookmarkEnd w:id="67"/>
    <w:bookmarkStart w:id="68" w:name="X48ac4f51c39900b6a1cea1f86ea8c8a1022b6b4"/>
    <w:p>
      <w:pPr>
        <w:pStyle w:val="Heading3"/>
      </w:pPr>
      <w:r>
        <w:t xml:space="preserve">Article 8.4: The Three-Tier Breach Classification and Graduated Step-Back</w:t>
      </w:r>
    </w:p>
    <w:p>
      <w:pPr>
        <w:pStyle w:val="FirstParagraph"/>
      </w:pPr>
      <w:r>
        <w:t xml:space="preserve">8.4.1 All compliance events sort into three tiers. Tier 1 (Technical Dispute, de minimis) carries no benefit reduction and resolves quietly through technical channels within fourteen days, confidentially, without public disclosure. Tier 2 (Material Disruption) triggers graduated reduction of non-humanitarian benefits, from ten percent in the first week to twenty-five percent after thirty days, with humanitarian tranches, the Political Discretion Fund, hotlines, and escrowed funds absolutely protected. Tier 3 (Deliberate Hostile Violation) triggers reductions of twenty-five to fifty percent graduated by remediation speed, with a ninety-day remediation window and Guarantor Matrix convening within forty-eight hours.</w:t>
      </w:r>
    </w:p>
    <w:p>
      <w:pPr>
        <w:pStyle w:val="BodyText"/>
      </w:pPr>
      <w:r>
        <w:t xml:space="preserve">8.4.2 Penalties obey the proportionality formula: base tier penalty multiplied by duration multiplier, scaled from 0.4 for correction within twenty-four hours to 1.0 for an uncured remediation window, multiplied by the remediation factor of 0.5 for full remediation. Minor technical glitches never produce disproportionate economic punishment.</w:t>
      </w:r>
    </w:p>
    <w:p>
      <w:pPr>
        <w:pStyle w:val="BodyText"/>
      </w:pPr>
      <w:r>
        <w:t xml:space="preserve">8.4.3 Step-back impacts sequence in exact order: discretionary measures first, commercial financial benefits second, core relief tranches third, core constraints last, and humanitarian tranches, released escrowed funds, and deconfliction protocols never. The human-in-the-loop requirement governs every activation: artificial intelligence flags anomalies, duty officers review evidence packages, senior officials confer within a mandatory forty-eight-hour cooling-off period, and executive consultation confirms classification before any penalty applies.</w:t>
      </w:r>
    </w:p>
    <w:bookmarkEnd w:id="68"/>
    <w:bookmarkStart w:id="69" w:name="article-8.5-the-earn-back-guarantee"/>
    <w:p>
      <w:pPr>
        <w:pStyle w:val="Heading3"/>
      </w:pPr>
      <w:r>
        <w:t xml:space="preserve">Article 8.5: The Earn-Back Guarantee</w:t>
      </w:r>
    </w:p>
    <w:p>
      <w:pPr>
        <w:pStyle w:val="FirstParagraph"/>
      </w:pPr>
      <w:r>
        <w:t xml:space="preserve">8.5.1 Earn-back is not a privilege. It is a structural feature. Every step-back penalty carries an automatic, defined earn-back route, and no penalty is permanent. Tier 2 earn-back completes after fourteen days of clean compliance following remediation; Tier 3 after ninety days of sustained clean compliance with clean certification and majority confirmation. Over-compliance credits accelerate both by up to twenty-five percent.</w:t>
      </w:r>
    </w:p>
    <w:p>
      <w:pPr>
        <w:pStyle w:val="BodyText"/>
      </w:pPr>
      <w:r>
        <w:t xml:space="preserve">8.5.2 Earn-back never requires admission of guilt, payment of damages, political concessions, or renegotiation. It requires verified compliance and sustained compliance. A Party returns to full status by doing, not by confessing. This design preserves both governments’ dignity and makes recovery always cheaper than escalation.</w:t>
      </w:r>
    </w:p>
    <w:bookmarkEnd w:id="69"/>
    <w:bookmarkStart w:id="70" w:name="article-8.6-protective-architecture"/>
    <w:p>
      <w:pPr>
        <w:pStyle w:val="Heading3"/>
      </w:pPr>
      <w:r>
        <w:t xml:space="preserve">Article 8.6: Protective Architecture</w:t>
      </w:r>
    </w:p>
    <w:p>
      <w:pPr>
        <w:pStyle w:val="FirstParagraph"/>
      </w:pPr>
      <w:r>
        <w:t xml:space="preserve">8.6.1 The Compact incorporates the full protective architecture of Annex D, Part IV: the mandatory forty-eight-hour cooling-off before any penalty; the Consensus Minus One decision rule for all contested classifications, with automatic referral to the Guarantor Matrix on failure; Temporary Operational Suspension of up to fourteen days per invocation as a safety valve for domestic political crises; the Good Faith Reset preventing irreversible negative spirals; Mutual Consent Escalation permitting both Parties jointly to override score-based outcomes; the No Automatic Military Escalation Clause; the False Flag Attack Protocol; and the fifty-million-dollar Political Discretion Fund, capitalized equally by both Parties, exempt from all step-back penalties, and disbursable only by unanimous agreement of both heads of government and the Swiss facilitator for goodwill projects and confidence building.</w:t>
      </w:r>
    </w:p>
    <w:p>
      <w:pPr>
        <w:pStyle w:val="BodyText"/>
      </w:pPr>
      <w:r>
        <w:t xml:space="preserve">8.6.2 Cross-module spillover protection: step-back applies only within the module where a violation occurred. Spillover across modules requires certification by two-thirds majority under Consensus Minus One. The partial success doctrine binds interpretation: no single unresolved module invalidates the remainder of the framework. The Compact endures even when individual modules lag.</w:t>
      </w:r>
    </w:p>
    <w:bookmarkEnd w:id="70"/>
    <w:bookmarkStart w:id="71" w:name="article-8.7-verification-of-verification"/>
    <w:p>
      <w:pPr>
        <w:pStyle w:val="Heading3"/>
      </w:pPr>
      <w:r>
        <w:t xml:space="preserve">Article 8.7: Verification of Verification</w:t>
      </w:r>
    </w:p>
    <w:p>
      <w:pPr>
        <w:pStyle w:val="FirstParagraph"/>
      </w:pPr>
      <w:r>
        <w:t xml:space="preserve">8.7.1 The Joint Monitoring Cell maintains a standing Red Team probing the monitoring system for weakness, reporting every seven days to both Parties. Performance benchmarks govern the architecture itself: telemetry uptime above ninety-five percent, data latency differential under thirty seconds, Registry gaps under fifteen minutes. The Annual Human-in-the-Loop Audit verifies that no autonomous system makes penalty decisions.</w:t>
      </w:r>
    </w:p>
    <w:p>
      <w:pPr>
        <w:pStyle w:val="BodyText"/>
      </w:pPr>
      <w:r>
        <w:t xml:space="preserve">8.7.2 The verification architecture declassifies automatically on the first anniversary of this Compact, extendable twice by one year on joint agreement. The Compact operates in daylight. Secrecy is the enemy of trust; the framework schedules trust’s arrival.</w:t>
      </w:r>
    </w:p>
    <w:bookmarkEnd w:id="71"/>
    <w:bookmarkEnd w:id="72"/>
    <w:bookmarkStart w:id="78" w:name="Xacf6af0bcb68377d0381e6d80dd11a13a280901"/>
    <w:p>
      <w:pPr>
        <w:pStyle w:val="Heading2"/>
      </w:pPr>
      <w:r>
        <w:t xml:space="preserve">Title IX: Reconstruction and Development (Incorporation of Annex RDF)</w:t>
      </w:r>
    </w:p>
    <w:bookmarkStart w:id="73" w:name="Xc1aec078a663f95aa709399bfe74ab320b0a73e"/>
    <w:p>
      <w:pPr>
        <w:pStyle w:val="Heading3"/>
      </w:pPr>
      <w:r>
        <w:t xml:space="preserve">Article 9.1: Incorporation of the Reconstruction and Development Fund Protocol</w:t>
      </w:r>
    </w:p>
    <w:p>
      <w:pPr>
        <w:pStyle w:val="FirstParagraph"/>
      </w:pPr>
      <w:r>
        <w:t xml:space="preserve">9.1.1 The Compact incorporates the Annex RDF Reconstruction and Development Fund Protocol in full as Annex E. The Multilateral Reconstruction Fund (MRF) therein established operates as the permanent reconstruction architecture of this Compact, with its full target capitalization, its sectoral sub-funds, its governance, and its protections. The Parties record their shared objective of international financing for Iran’s reconstruction and economic development at a scale of at least three hundred billion dollars over the ten-year horizon, through the MRF’s modular architecture and its supplementary facilities.</w:t>
      </w:r>
    </w:p>
    <w:p>
      <w:pPr>
        <w:pStyle w:val="BodyText"/>
      </w:pPr>
      <w:r>
        <w:t xml:space="preserve">9.1.2 The MRF resolves the political impossibility that blocked reconstruction throughout the negotiation: the United States does not pay for Iranian reconstruction, and Iran does not accept visible American payment. The MRF therefore routes third-party capital through neutral channels. The Qatar Central Bank serves as primary escrow agent. The World Bank exercises a strictly technical fiduciary role. No contribution passes through the United States or any United States-controlled financial institution. American participation takes the form of technical assistance, regulatory facilitation through the sanctions firewall, diplomatic encouragement of third-party contributions, and the private sector safe harbor and in-kind contribution window, targeting five to ten billion dollars of equipment and services over the decade.</w:t>
      </w:r>
    </w:p>
    <w:bookmarkEnd w:id="73"/>
    <w:bookmarkStart w:id="74" w:name="article-9.2-the-sectoral-architecture"/>
    <w:p>
      <w:pPr>
        <w:pStyle w:val="Heading3"/>
      </w:pPr>
      <w:r>
        <w:t xml:space="preserve">Article 9.2: The Sectoral Architecture</w:t>
      </w:r>
    </w:p>
    <w:p>
      <w:pPr>
        <w:pStyle w:val="FirstParagraph"/>
      </w:pPr>
      <w:r>
        <w:t xml:space="preserve">9.2.1 The MRF divides into seven independent sub-funds: MRF-Energy at eighty billion dollars, MRF-Transport at fifty billion, MRF-Water at forty billion, MRF-Housing at thirty-five billion, MRF-Health at twenty-five billion, MRF-Education at twenty billion, and MRF-Agriculture at twenty billion, totaling two hundred seventy billion dollars of target capitalization, supplemented by the bilateral programs, grant facilities, SDR channeling window, carbon credit pre-financing facility, and frozen asset conversion protocol catalogued in Annex E, which together carry the architecture to the three-hundred-billion-dollar objective.</w:t>
      </w:r>
    </w:p>
    <w:p>
      <w:pPr>
        <w:pStyle w:val="BodyText"/>
      </w:pPr>
      <w:r>
        <w:t xml:space="preserve">9.2.2 Modularity is load-bearing: failure or delay in one sub-fund never affects the others. The framework’s partial success doctrine applies to money exactly as it applies to compliance.</w:t>
      </w:r>
    </w:p>
    <w:p>
      <w:pPr>
        <w:pStyle w:val="BodyText"/>
      </w:pPr>
      <w:r>
        <w:t xml:space="preserve">9.2.3 The Iranian National Development Fund co-financing match requires projects above one hundred million dollars to carry twenty percent local co-financing, stretching international capital, demonstrating Iranian commitment to donors, and aligning incentives across both funding streams.</w:t>
      </w:r>
    </w:p>
    <w:bookmarkEnd w:id="74"/>
    <w:bookmarkStart w:id="75" w:name="X790a12e12d4a64676a5935f30c5fa882dfad6ae"/>
    <w:p>
      <w:pPr>
        <w:pStyle w:val="Heading3"/>
      </w:pPr>
      <w:r>
        <w:t xml:space="preserve">Article 9.3: Iranian Sovereignty Over Reconstruction</w:t>
      </w:r>
    </w:p>
    <w:p>
      <w:pPr>
        <w:pStyle w:val="FirstParagraph"/>
      </w:pPr>
      <w:r>
        <w:t xml:space="preserve">9.3.1 Iran retains full sovereign authority over reconstruction priorities and project selection. The Reconstruction Steering Committee does not impose projects, dictate location or design, interfere with procurement, or condition funding on political concessions. Iran proposes; the architecture verifies; the escrow disburses.</w:t>
      </w:r>
    </w:p>
    <w:p>
      <w:pPr>
        <w:pStyle w:val="BodyText"/>
      </w:pPr>
      <w:r>
        <w:t xml:space="preserve">9.3.2 The non-directed purchasing guarantee of Annex E binds this Compact absolutely: Iran holds no obligation, express or implied, to purchase goods or services from the United States or from any particular country, entity, or channel. Iran procures from any country of its choosing. The public statement of the Governor of the Central Bank of Iran to this effect stands incorporated as a binding interpretive understanding. No unilateral statement by any official of any Party creates any obligation on Iran.</w:t>
      </w:r>
    </w:p>
    <w:bookmarkEnd w:id="75"/>
    <w:bookmarkStart w:id="76" w:name="Xc4bb3484e9157f54f32c1ae4d79099de7953a4e"/>
    <w:p>
      <w:pPr>
        <w:pStyle w:val="Heading3"/>
      </w:pPr>
      <w:r>
        <w:t xml:space="preserve">Article 9.4: Performance-Based Disbursement and Integrity Protections</w:t>
      </w:r>
    </w:p>
    <w:p>
      <w:pPr>
        <w:pStyle w:val="FirstParagraph"/>
      </w:pPr>
      <w:r>
        <w:t xml:space="preserve">9.4.1 MRF funds disburse in tranches tied to verified milestones: Iranian self-certification, World Bank independent audit, Technical Advisory Group assessment, and Reconstruction Steering Committee authorization. Disbursed funds are never subject to clawback, re-freezing, or rescission under any circumstances, including project discontinuation, cost overruns, political disputes, or termination of any instrument.</w:t>
      </w:r>
    </w:p>
    <w:p>
      <w:pPr>
        <w:pStyle w:val="BodyText"/>
      </w:pPr>
      <w:r>
        <w:t xml:space="preserve">9.4.2 The integrity architecture includes: the Political Risk Insurance Pool administered by MIGA and ICIEC with mandatory coverage for all Supporting Tier private capital; the Hard Currency Convertibility and Repatriation Guarantee maintained by the Qatar Central Bank with a two-billion-dollar reserve; sub-fund contingency reserves of five percent; the Cost Overrun Escrow Buffer of three percent of total capitalization; contractor performance bonds of ten percent; quarterly independent auditor site visits; the public transparency dashboard in English, Farsi, and Arabic; the whistleblower protection and anti-fraud hotline; and the Iranian Civil Society Observer seat on the Reconstruction Steering Committee.</w:t>
      </w:r>
    </w:p>
    <w:p>
      <w:pPr>
        <w:pStyle w:val="BodyText"/>
      </w:pPr>
      <w:r>
        <w:t xml:space="preserve">9.4.3 The Force Majeure and Sanctions Reimposition Fallback Protocol of Annex E protects every dollar: disbursed funds are untouchable, undisbursed funds remain in segregated trust earning interest, reattachment by creditors stands excluded, and reactivation follows a defined thirty-day sequence upon resolution.</w:t>
      </w:r>
    </w:p>
    <w:bookmarkEnd w:id="76"/>
    <w:bookmarkStart w:id="77" w:name="X029aa09db5f32a462236bafb670ca62a0f8d101"/>
    <w:p>
      <w:pPr>
        <w:pStyle w:val="Heading3"/>
      </w:pPr>
      <w:r>
        <w:t xml:space="preserve">Article 9.5: The Peace Dividend Sequencing</w:t>
      </w:r>
    </w:p>
    <w:p>
      <w:pPr>
        <w:pStyle w:val="FirstParagraph"/>
      </w:pPr>
      <w:r>
        <w:t xml:space="preserve">9.5.1 The first MRF capital deposits synchronize with the reopening clock: anchor contributor deposits begin within sixty days of entry into force, the first accelerated-approval bundled projects in water, health, and housing move within ninety days, and the transparency dashboard publishes every movement. The Iranian public sees reconstruction begin while the diplomats are still debating commas. That visibility is itself a compliance mechanism: peace that delivers becomes peace that lasts.</w:t>
      </w:r>
    </w:p>
    <w:bookmarkEnd w:id="77"/>
    <w:bookmarkEnd w:id="78"/>
    <w:bookmarkStart w:id="82" w:name="Xd0cfbae11f73b28dd8d366edd832eb907c203a5"/>
    <w:p>
      <w:pPr>
        <w:pStyle w:val="Heading2"/>
      </w:pPr>
      <w:r>
        <w:t xml:space="preserve">Title X: Humanitarian Protections and Seafarer Repatriation</w:t>
      </w:r>
    </w:p>
    <w:bookmarkStart w:id="79" w:name="article-10.1-the-seafarer-settlement"/>
    <w:p>
      <w:pPr>
        <w:pStyle w:val="Heading3"/>
      </w:pPr>
      <w:r>
        <w:t xml:space="preserve">Article 10.1: The Seafarer Settlement</w:t>
      </w:r>
    </w:p>
    <w:p>
      <w:pPr>
        <w:pStyle w:val="FirstParagraph"/>
      </w:pPr>
      <w:r>
        <w:t xml:space="preserve">10.1.1 The Compact closes the humanitarian file of the 2026 crisis permanently. The phased evacuation and repatriation of stranded seafarers, begun under the IMO coordination framework with UKMTO and the MICA Center, completes within fourteen days of entry into force, sequenced by medical emergency, length of confinement, and physical danger, with repatriation costs borne by flag states and the IMO emergency fund.</w:t>
      </w:r>
    </w:p>
    <w:p>
      <w:pPr>
        <w:pStyle w:val="BodyText"/>
      </w:pPr>
      <w:r>
        <w:t xml:space="preserve">10.1.2 Consular access operates unconditionally: flag states hold consular access to their crews within twenty-four hours of request. No seafarer faces detention, interrogation, or prosecution solely for transiting the Strait during the conflict. This amnesty is mutual, complete, and recorded in the Common Facts Register.</w:t>
      </w:r>
    </w:p>
    <w:p>
      <w:pPr>
        <w:pStyle w:val="BodyText"/>
      </w:pPr>
      <w:r>
        <w:t xml:space="preserve">10.1.3 Crew welfare provisions continue under JHA oversight: the twenty-four-hour medical hotline, facilitated crew changes at designated regional hubs, mental health support for crews affected by prolonged confinement, and the spare-parts and technician access mechanism preventing environmental incidents from vessels under prolonged layup.</w:t>
      </w:r>
    </w:p>
    <w:bookmarkEnd w:id="79"/>
    <w:bookmarkStart w:id="80" w:name="X1e41007080c0ee5afed932f80cdb0f8c8c623c2"/>
    <w:p>
      <w:pPr>
        <w:pStyle w:val="Heading3"/>
      </w:pPr>
      <w:r>
        <w:t xml:space="preserve">Article 10.2: The Humanitarian Corridor, Made Permanent</w:t>
      </w:r>
    </w:p>
    <w:p>
      <w:pPr>
        <w:pStyle w:val="FirstParagraph"/>
      </w:pPr>
      <w:r>
        <w:t xml:space="preserve">10.2.1 The dedicated humanitarian and agricultural lane established during the crisis converts into a permanent institution of the Strait: a standing priority channel for vessels carrying food, medicine, medical equipment, and fertilizer, operating under the Maritime Labour Convention and SOLAS frameworks, coordinated by the JHA humanitarian desk as single point of contact.</w:t>
      </w:r>
    </w:p>
    <w:p>
      <w:pPr>
        <w:pStyle w:val="BodyText"/>
      </w:pPr>
      <w:r>
        <w:t xml:space="preserve">10.2.2 Humanitarian flows are sacred under this Compact. No step-back, suspension, dispute, or breach event under any Title touches humanitarian tranches, humanitarian transit, or humanitarian funds. This protection is absolute and non-waivable, and it survives every other provision of this Compact.</w:t>
      </w:r>
    </w:p>
    <w:bookmarkEnd w:id="80"/>
    <w:bookmarkStart w:id="81" w:name="article-10.3-detained-vessels-and-cargo"/>
    <w:p>
      <w:pPr>
        <w:pStyle w:val="Heading3"/>
      </w:pPr>
      <w:r>
        <w:t xml:space="preserve">Article 10.3: Detained Vessels and Cargo</w:t>
      </w:r>
    </w:p>
    <w:p>
      <w:pPr>
        <w:pStyle w:val="FirstParagraph"/>
      </w:pPr>
      <w:r>
        <w:t xml:space="preserve">10.3.1 All vessels detained during the conflict release within fourteen days of entry into force, with their cargoes, against a published schedule administered by the JHA. Claims for damage to shipping during the conflict route to the commercial arbitration channel of Title XII, funded where appropriate through the insurance mechanisms of Annex B, and never through the frozen assets of any Party, consistent with the positions stated by all Parties during the negotiation.</w:t>
      </w:r>
    </w:p>
    <w:bookmarkEnd w:id="81"/>
    <w:bookmarkEnd w:id="82"/>
    <w:bookmarkStart w:id="86" w:name="X56a6f7dbe633788a2a66480b4d270bb49518e53"/>
    <w:p>
      <w:pPr>
        <w:pStyle w:val="Heading2"/>
      </w:pPr>
      <w:r>
        <w:t xml:space="preserve">Title XI: Institutional Architecture and Implementation Bodies</w:t>
      </w:r>
    </w:p>
    <w:bookmarkStart w:id="83" w:name="X87cd34d26acbdaf69ea11a04883e22c894a93d2"/>
    <w:p>
      <w:pPr>
        <w:pStyle w:val="Heading3"/>
      </w:pPr>
      <w:r>
        <w:t xml:space="preserve">Article 11.1: The Institutions of the Compact</w:t>
      </w:r>
    </w:p>
    <w:p>
      <w:pPr>
        <w:pStyle w:val="FirstParagraph"/>
      </w:pPr>
      <w:r>
        <w:t xml:space="preserve">11.1.1 The Compact establishes and maintains the following permanent bodies, whose composition, powers, and procedures this Article and the Annexes define:</w:t>
      </w:r>
    </w:p>
    <w:p>
      <w:pPr>
        <w:numPr>
          <w:ilvl w:val="0"/>
          <w:numId w:val="1018"/>
        </w:numPr>
      </w:pPr>
      <w:r>
        <w:t xml:space="preserve">The Joint Hormuz Authority (Article 2.3): permanent governance of the Strait, seated in Muscat, operating under the Twin-Key Rule.</w:t>
      </w:r>
    </w:p>
    <w:p>
      <w:pPr>
        <w:numPr>
          <w:ilvl w:val="0"/>
          <w:numId w:val="1018"/>
        </w:numPr>
      </w:pPr>
      <w:r>
        <w:t xml:space="preserve">The Joint Monitoring Cell (Annex D): the standing technical verification body, operating continuously, staffed by pre-accredited personnel of both Parties and neutral experts, hosted in Muscat with liaison offices in Tehran and at the Fifth Fleet coordination facility.</w:t>
      </w:r>
    </w:p>
    <w:p>
      <w:pPr>
        <w:numPr>
          <w:ilvl w:val="0"/>
          <w:numId w:val="1018"/>
        </w:numPr>
      </w:pPr>
      <w:r>
        <w:t xml:space="preserve">The Permanent Coordination Council: the political-level body of the Compact, comprising one senior representative of each Party, the Omani chair, the Qatari escrow representative, and the Swiss facilitator, meeting monthly in Muscat or Doha and in emergency session within seventy-two hours of any Guarantor Matrix referral.</w:t>
      </w:r>
    </w:p>
    <w:p>
      <w:pPr>
        <w:numPr>
          <w:ilvl w:val="0"/>
          <w:numId w:val="1018"/>
        </w:numPr>
      </w:pPr>
      <w:r>
        <w:t xml:space="preserve">The Guarantor Matrix: the political assurance body, comprising Oman, Qatar, Pakistan, Switzerland, and the Gulf Cooperation Council troika, convening within forty-eight hours of any Tier 3 classification, any failed Consensus Minus One vote, or any Material Breach confirmation, and issuing final political judgment where the technical architecture requires escalation.</w:t>
      </w:r>
    </w:p>
    <w:p>
      <w:pPr>
        <w:numPr>
          <w:ilvl w:val="0"/>
          <w:numId w:val="1018"/>
        </w:numPr>
      </w:pPr>
      <w:r>
        <w:t xml:space="preserve">The Swiss Facilitator: the neutral operational spine of the Compact, administering the verification escrow, accrediting the Third-Party Expert Pool, convening consultations, and executing the technical corrections protocol.</w:t>
      </w:r>
    </w:p>
    <w:p>
      <w:pPr>
        <w:numPr>
          <w:ilvl w:val="0"/>
          <w:numId w:val="1018"/>
        </w:numPr>
      </w:pPr>
      <w:r>
        <w:t xml:space="preserve">The Qatar Central Bank: escrow agent of record for all financial mechanisms, operating under the World Bank’s technical audit.</w:t>
      </w:r>
    </w:p>
    <w:p>
      <w:pPr>
        <w:numPr>
          <w:ilvl w:val="0"/>
          <w:numId w:val="1018"/>
        </w:numPr>
      </w:pPr>
      <w:r>
        <w:t xml:space="preserve">The Reconstruction Steering Committee and the Technical Advisory Group (Annex E): governance and technical verification of the reconstruction architecture.</w:t>
      </w:r>
    </w:p>
    <w:p>
      <w:pPr>
        <w:pStyle w:val="FirstParagraph"/>
      </w:pPr>
      <w:r>
        <w:t xml:space="preserve">11.1.2 Every institution of this Compact operates on the simultaneity principle: information reaches both Parties with identical latency, decisions publish to both Parties at the same moment, and no back channel carries operational content. The framework architecture has no inside track.</w:t>
      </w:r>
    </w:p>
    <w:bookmarkEnd w:id="83"/>
    <w:bookmarkStart w:id="84" w:name="Xd5f8b1c6f55deeecf5cfc6b8a8df04a9eff2bfc"/>
    <w:p>
      <w:pPr>
        <w:pStyle w:val="Heading3"/>
      </w:pPr>
      <w:r>
        <w:t xml:space="preserve">Article 11.2: Staffing, Funding, and Continuity</w:t>
      </w:r>
    </w:p>
    <w:p>
      <w:pPr>
        <w:pStyle w:val="FirstParagraph"/>
      </w:pPr>
      <w:r>
        <w:t xml:space="preserve">11.2.1 The operating costs of the Joint Monitoring Cell, the Permanent Coordination Council secretariat, and the Swiss facilitation infrastructure draw on the verification escrow established under Annex D, Section 4, capitalized by both Parties equally, with the contingency reserve and budget continuity provisions of that Annex protecting operations through every political stalemate.</w:t>
      </w:r>
    </w:p>
    <w:p>
      <w:pPr>
        <w:pStyle w:val="BodyText"/>
      </w:pPr>
      <w:r>
        <w:t xml:space="preserve">11.2.2 Institutional continuity provisions: every body adopts standing rules of procedure within thirty days of entry into force; every key office carries a designated deputy with full interim authority; and the Technical Corrections Protocol of Annex D, Section 23 maintains the operative text free of non-material error without reopening substance.</w:t>
      </w:r>
    </w:p>
    <w:bookmarkEnd w:id="84"/>
    <w:bookmarkStart w:id="85" w:name="article-11.3-the-reciprocity-ledger"/>
    <w:p>
      <w:pPr>
        <w:pStyle w:val="Heading3"/>
      </w:pPr>
      <w:r>
        <w:t xml:space="preserve">Article 11.3: The Reciprocity Ledger</w:t>
      </w:r>
    </w:p>
    <w:p>
      <w:pPr>
        <w:pStyle w:val="FirstParagraph"/>
      </w:pPr>
      <w:r>
        <w:t xml:space="preserve">11.3.1 The Reciprocity Ledger records every paired step of this Compact: each relief tranche against its certification, each corridor opening against its telemetry, each disbursement against its milestone. The Ledger publishes to both Parties and the Guarantor Matrix continuously. No step executes alone; no step hides. The Ledger is the Compact’s memory, and it never forgets, in either direction.</w:t>
      </w:r>
    </w:p>
    <w:bookmarkEnd w:id="85"/>
    <w:bookmarkEnd w:id="86"/>
    <w:bookmarkStart w:id="91" w:name="Xf9fb1a1162d3e3c1a5728bf8be1d7d92fa47c03"/>
    <w:p>
      <w:pPr>
        <w:pStyle w:val="Heading2"/>
      </w:pPr>
      <w:r>
        <w:t xml:space="preserve">Title XII: Ratification, International Legal Force, Entry into Force, and Dispute Resolution</w:t>
      </w:r>
    </w:p>
    <w:bookmarkStart w:id="87" w:name="Xc1778987db5a3dfafdcc276f18ba351b7de7694"/>
    <w:p>
      <w:pPr>
        <w:pStyle w:val="Heading3"/>
      </w:pPr>
      <w:r>
        <w:t xml:space="preserve">Article 12.1: Signature and Entry into Force</w:t>
      </w:r>
    </w:p>
    <w:p>
      <w:pPr>
        <w:pStyle w:val="FirstParagraph"/>
      </w:pPr>
      <w:r>
        <w:t xml:space="preserve">12.1.1 This Compact opens for signature at Islamabad. Signature by the Islamic Republic of Iran and the United States of America, with the Sultanate of Oman and the State of Qatar as coastal-state and escrow signatories, and the Swiss Confederation as facilitator signatory, triggers provisional application of Title II (the 72-hour reopening), Title X (humanitarian provisions), and the data infrastructure of Title VIII immediately upon signature, in advance of full ratification. The seventy-two-hour clock runs from signature.</w:t>
      </w:r>
    </w:p>
    <w:p>
      <w:pPr>
        <w:pStyle w:val="BodyText"/>
      </w:pPr>
      <w:r>
        <w:t xml:space="preserve">12.1.2 Full entry into force occurs upon completion of both Parties’ domestic ratification procedures. The United States transmits this Compact to the Congress with the recommendation of Article 5.2. The Islamic Republic of Iran completes ratification through its constitutional procedures. Provisional application continues without interruption pending entry into force, and the framework architecture excludes any gap between signature and full force.</w:t>
      </w:r>
    </w:p>
    <w:bookmarkEnd w:id="87"/>
    <w:bookmarkStart w:id="88" w:name="Xdc5c44b5b304d01e6e8512f3f39b04d26160d35"/>
    <w:p>
      <w:pPr>
        <w:pStyle w:val="Heading3"/>
      </w:pPr>
      <w:r>
        <w:t xml:space="preserve">Article 12.2: United Nations Security Council Endorsement</w:t>
      </w:r>
    </w:p>
    <w:p>
      <w:pPr>
        <w:pStyle w:val="FirstParagraph"/>
      </w:pPr>
      <w:r>
        <w:t xml:space="preserve">12.2.1 Consistent with the Memorandum of Understanding, this Compact transmits to the United Nations Security Council for endorsement by a binding resolution adopted under the framework the Parties have agreed. The draft resolution stands at Annex H. The resolution endorses the Compact, welcomes the restoration of navigation, calls upon all states to support implementation, and recognizes the dispute resolution architecture of this Title as the agreed channel for Compact-related matters.</w:t>
      </w:r>
    </w:p>
    <w:p>
      <w:pPr>
        <w:pStyle w:val="BodyText"/>
      </w:pPr>
      <w:r>
        <w:t xml:space="preserve">12.2.2 The endorsement architecture deliberately contains no snapback. Compliance within the Compact operates exclusively through the Cothrom engine of Annex D. The Security Council’s role is legitimating, not executory. This design honors both Parties’ insistence on binding international legal force while honoring both Parties’ refusal to hand the other a unilateral trigger.</w:t>
      </w:r>
    </w:p>
    <w:bookmarkEnd w:id="88"/>
    <w:bookmarkStart w:id="89" w:name="article-12.3-dispute-resolution"/>
    <w:p>
      <w:pPr>
        <w:pStyle w:val="Heading3"/>
      </w:pPr>
      <w:r>
        <w:t xml:space="preserve">Article 12.3: Dispute Resolution</w:t>
      </w:r>
    </w:p>
    <w:p>
      <w:pPr>
        <w:pStyle w:val="FirstParagraph"/>
      </w:pPr>
      <w:r>
        <w:t xml:space="preserve">12.3.1 Disputes under this Compact route through the following tiered architecture, each tier time-bound, none optional, and none displacing the ongoing operation of the framework:</w:t>
      </w:r>
    </w:p>
    <w:p>
      <w:pPr>
        <w:numPr>
          <w:ilvl w:val="0"/>
          <w:numId w:val="1019"/>
        </w:numPr>
      </w:pPr>
      <w:r>
        <w:t xml:space="preserve">Tier One: technical disputes route to the Technical Truth Escalation Chain of Annex D (Days 1, 3, and 5).</w:t>
      </w:r>
    </w:p>
    <w:p>
      <w:pPr>
        <w:numPr>
          <w:ilvl w:val="0"/>
          <w:numId w:val="1019"/>
        </w:numPr>
      </w:pPr>
      <w:r>
        <w:t xml:space="preserve">Tier Two: JHA mediation for Strait governance disputes (thirty days); Reconstruction Steering Committee procedures for MRF disputes per Annex E; ICC fast-track arbitration in Geneva for all project-level contractual disputes (sixty days, final and binding).</w:t>
      </w:r>
    </w:p>
    <w:p>
      <w:pPr>
        <w:numPr>
          <w:ilvl w:val="0"/>
          <w:numId w:val="1019"/>
        </w:numPr>
      </w:pPr>
      <w:r>
        <w:t xml:space="preserve">Tier Three: Permanent Coordination Council emergency session for political disputes (seventy-two hours to convene).</w:t>
      </w:r>
    </w:p>
    <w:p>
      <w:pPr>
        <w:numPr>
          <w:ilvl w:val="0"/>
          <w:numId w:val="1019"/>
        </w:numPr>
      </w:pPr>
      <w:r>
        <w:t xml:space="preserve">Tier Four: Guarantor Matrix final political judgment for escalated classifications and failed consensus events.</w:t>
      </w:r>
    </w:p>
    <w:p>
      <w:pPr>
        <w:numPr>
          <w:ilvl w:val="0"/>
          <w:numId w:val="1019"/>
        </w:numPr>
      </w:pPr>
      <w:r>
        <w:t xml:space="preserve">Tier Five: recourse to the agreed international adjudicative forum for disputes concerning the interpretation of this Compact that exhaust all prior tiers, by mutual designation of the forum at the time of referral.</w:t>
      </w:r>
    </w:p>
    <w:p>
      <w:pPr>
        <w:pStyle w:val="FirstParagraph"/>
      </w:pPr>
      <w:r>
        <w:t xml:space="preserve">12.3.2 Pendency of any dispute at any tier suspends nothing. The Strait stays open, the corridors operate, the funds disburse against certified milestones, the down-blending proceeds, and the telemetry flows. The framework architecture resolves disputes inside a running system, never by stopping the system. That is the deepest lesson the 2026 crisis taught, and this Compact writes it into law.</w:t>
      </w:r>
    </w:p>
    <w:bookmarkEnd w:id="89"/>
    <w:bookmarkStart w:id="90" w:name="X271dd1fc2fe20334fbb13148b79be30d84b8834"/>
    <w:p>
      <w:pPr>
        <w:pStyle w:val="Heading3"/>
      </w:pPr>
      <w:r>
        <w:t xml:space="preserve">Article 12.4: Duration, Review, and Amendment</w:t>
      </w:r>
    </w:p>
    <w:p>
      <w:pPr>
        <w:pStyle w:val="FirstParagraph"/>
      </w:pPr>
      <w:r>
        <w:t xml:space="preserve">12.4.1 This Compact is permanent. It contains no sunset clause. Its ceilings, prohibitions, and guarantees bind without expiry.</w:t>
      </w:r>
    </w:p>
    <w:p>
      <w:pPr>
        <w:pStyle w:val="BodyText"/>
      </w:pPr>
      <w:r>
        <w:t xml:space="preserve">12.4.2 The Permanent Coordination Council conducts a formal review of the whole Compact at the first anniversary and every five years thereafter, publishing a Review Report to both Parties, the Guarantor Matrix, and the United Nations Secretary-General. Review evaluates performance; it reopens nothing without mutual consent.</w:t>
      </w:r>
    </w:p>
    <w:p>
      <w:pPr>
        <w:pStyle w:val="BodyText"/>
      </w:pPr>
      <w:r>
        <w:t xml:space="preserve">12.4.3 Amendment requires the written agreement of both Parties and the concurrence of the coastal-state signatories for any amendment touching Title II or Title III. Technical corrections follow Annex D, Section 23.</w:t>
      </w:r>
    </w:p>
    <w:p>
      <w:pPr>
        <w:pStyle w:val="BodyText"/>
      </w:pPr>
      <w:r>
        <w:t xml:space="preserve">12.4.4 Temporary Operational Suspension, the Good Faith Reset, and the protective architecture of Annex D supply every legitimate safety valve. Withdrawal from this Compact constitutes the gravest act available under it: it requires twelve months’ written notice to the Depositary and the Guarantor Matrix, a mandatory Guarantor Matrix summit within thirty days of notice, and the continued operation of the humanitarian and non-interdiction provisions through the notice period. The framework architecture makes exit slow, visible, and expensive in reputation, and makes recovery always easier than exit.</w:t>
      </w:r>
    </w:p>
    <w:p>
      <w:r>
        <w:pict>
          <v:rect style="width:0;height:1.5pt" o:hralign="center" o:hrstd="t" o:hr="t"/>
        </w:pict>
      </w:r>
    </w:p>
    <w:bookmarkEnd w:id="90"/>
    <w:bookmarkEnd w:id="91"/>
    <w:bookmarkEnd w:id="92"/>
    <w:bookmarkStart w:id="93" w:name="layer-two-the-operative-annexes"/>
    <w:p>
      <w:pPr>
        <w:pStyle w:val="Heading1"/>
      </w:pPr>
      <w:r>
        <w:t xml:space="preserve">LAYER TWO: THE OPERATIVE ANNEXES</w:t>
      </w:r>
    </w:p>
    <w:bookmarkEnd w:id="93"/>
    <w:bookmarkStart w:id="98" w:name="Xb7d4517f88510cc1986b7b2f3d5093fbdaa88b7"/>
    <w:p>
      <w:pPr>
        <w:pStyle w:val="Heading1"/>
      </w:pPr>
      <w:r>
        <w:t xml:space="preserve">ANNEX A: CORRIDOR COORDINATES, ROUTING, AND TRAFFIC MANAGEMENT PROTOCOL</w:t>
      </w:r>
    </w:p>
    <w:bookmarkStart w:id="94" w:name="a.1-corridor-alignments"/>
    <w:p>
      <w:pPr>
        <w:pStyle w:val="Heading2"/>
      </w:pPr>
      <w:r>
        <w:t xml:space="preserve">A.1 Corridor Alignments</w:t>
      </w:r>
    </w:p>
    <w:p>
      <w:pPr>
        <w:pStyle w:val="FirstParagraph"/>
      </w:pPr>
      <w:r>
        <w:t xml:space="preserve">A.1.1 The corridor alignments adopt the coordinates agreed between the Islamic Republic of Iran and the Sultanate of Oman during the June and July 2026 technical sessions, as logged in the JHA Coordinate Register. The Coordinate Register constitutes the authoritative record; publication to the IMO occurs upon entry into force for issuance as the standing Notice to Mariners series.</w:t>
      </w:r>
    </w:p>
    <w:p>
      <w:pPr>
        <w:pStyle w:val="BodyText"/>
      </w:pPr>
      <w:r>
        <w:t xml:space="preserve">A.1.2 Corridor One (Southern Assurance Corridor) follows the Omani-side alignment from the eastern approach buoy field through the agreed outbound lane to the Gulf-side exit points, with the Traffic Separation Scheme as re-certified by the IMO following the Mine Countermeasure Task Group certification sweep.</w:t>
      </w:r>
    </w:p>
    <w:p>
      <w:pPr>
        <w:pStyle w:val="BodyText"/>
      </w:pPr>
      <w:r>
        <w:t xml:space="preserve">A.1.3 Corridor Two (Northern Assurance Corridor) follows the Iranian-side inbound alignment on the agreed coordinates, with entry and exit points as aligned in the bilateral technical record.</w:t>
      </w:r>
    </w:p>
    <w:p>
      <w:pPr>
        <w:pStyle w:val="BodyText"/>
      </w:pPr>
      <w:r>
        <w:t xml:space="preserve">A.1.4 Corridor Three (Central Buffer Corridor) occupies the agreed deconfliction band between the flows, hosting the shared VTS exchange, the emergency diversion anchorages, and the joint incident response stations.</w:t>
      </w:r>
    </w:p>
    <w:bookmarkEnd w:id="94"/>
    <w:bookmarkStart w:id="95" w:name="a.2-traffic-management-rules"/>
    <w:p>
      <w:pPr>
        <w:pStyle w:val="Heading2"/>
      </w:pPr>
      <w:r>
        <w:t xml:space="preserve">A.2 Traffic Management Rules</w:t>
      </w:r>
    </w:p>
    <w:p>
      <w:pPr>
        <w:pStyle w:val="FirstParagraph"/>
      </w:pPr>
      <w:r>
        <w:t xml:space="preserve">A.2.1 All vessels file transit plans through the JHA digital traffic desk. The system acknowledges automatically. Acknowledgment constitutes the entirety of the procedure. No approval step exists.</w:t>
      </w:r>
    </w:p>
    <w:p>
      <w:pPr>
        <w:pStyle w:val="BodyText"/>
      </w:pPr>
      <w:r>
        <w:t xml:space="preserve">A.2.2 Speed, separation, and reporting standards follow the IMO-adopted scheme for the Strait as updated. Deep-draft vessels receive scheduled pilotage windows on request through the Services Catalogue. Convoy windows operate as a commercial service of the Catalogue for operators electing scheduled, escorted transit; standard transit proceeds unescorted at no charge.</w:t>
      </w:r>
    </w:p>
    <w:p>
      <w:pPr>
        <w:pStyle w:val="BodyText"/>
      </w:pPr>
      <w:r>
        <w:t xml:space="preserve">A.2.3 Emergency diversion: any vessel declaring an emergency receives immediate routing to the nearest diversion anchorage, with the JHA coordinating response assets from both coastal states under the joint search-and-rescue framework. Distress overrides every other rule of this Annex, always, for every vessel, regardless of flag.</w:t>
      </w:r>
    </w:p>
    <w:bookmarkEnd w:id="95"/>
    <w:bookmarkStart w:id="96" w:name="a.3-military-conduct-norms"/>
    <w:p>
      <w:pPr>
        <w:pStyle w:val="Heading2"/>
      </w:pPr>
      <w:r>
        <w:t xml:space="preserve">A.3 Military Conduct Norms</w:t>
      </w:r>
    </w:p>
    <w:p>
      <w:pPr>
        <w:pStyle w:val="FirstParagraph"/>
      </w:pPr>
      <w:r>
        <w:t xml:space="preserve">A.3.1 Military and state vessels transiting the corridors file under the same protocol as commercial traffic. Naval forces operating in the approaches observe the behavioral norms: no interference with lawful transit, fourteen-day notification of large-scale exercises, no live fire within fifty nautical miles of the corridors, and no close-in maneuvering against commercial traffic.</w:t>
      </w:r>
    </w:p>
    <w:p>
      <w:pPr>
        <w:pStyle w:val="BodyText"/>
      </w:pPr>
      <w:r>
        <w:t xml:space="preserve">A.3.2 Boarding, inspection, or detention of any commercial vessel within the corridors occurs only under the narrow safety and environmental authorities, on a non-discriminatory basis, with immediate notification to the JHA and automatic review within twenty-four hours. Arbitrary interdiction constitutes a Tier 3 event under Annex D.</w:t>
      </w:r>
    </w:p>
    <w:bookmarkEnd w:id="96"/>
    <w:bookmarkStart w:id="97" w:name="a.4-environmental-protection-protocol"/>
    <w:p>
      <w:pPr>
        <w:pStyle w:val="Heading2"/>
      </w:pPr>
      <w:r>
        <w:t xml:space="preserve">A.4 Environmental Protection Protocol</w:t>
      </w:r>
    </w:p>
    <w:p>
      <w:pPr>
        <w:pStyle w:val="FirstParagraph"/>
      </w:pPr>
      <w:r>
        <w:t xml:space="preserve">A.4.1 The joint oil-spill response framework maintains standing response capacity at Bandar Abbas and Muscat, with pre-positioned equipment, a four-hour mobilization standard, and joint command procedures. Pollution incidents activate the expedited verification track of Annex D, Section 19.</w:t>
      </w:r>
    </w:p>
    <w:p>
      <w:pPr>
        <w:pStyle w:val="BodyText"/>
      </w:pPr>
      <w:r>
        <w:t xml:space="preserve">A.4.2 Waste reception, ballast management, and emissions standards apply per the published schedule, funded by the Hormuz Maritime Services Fund. The green discount schedule rewards vessels exceeding the standards with reduced services pricing and priority pilotage windows.</w:t>
      </w:r>
    </w:p>
    <w:bookmarkEnd w:id="97"/>
    <w:bookmarkEnd w:id="98"/>
    <w:bookmarkStart w:id="103" w:name="X3344c2b60ed4b9e80cfd03277fe3f1113014db0"/>
    <w:p>
      <w:pPr>
        <w:pStyle w:val="Heading1"/>
      </w:pPr>
      <w:r>
        <w:t xml:space="preserve">ANNEX B: THE HORMUZ MARITIME SERVICES FUND (FEES ARCHITECTURE IN FULL)</w:t>
      </w:r>
    </w:p>
    <w:bookmarkStart w:id="99" w:name="b.1-legal-structure"/>
    <w:p>
      <w:pPr>
        <w:pStyle w:val="Heading2"/>
      </w:pPr>
      <w:r>
        <w:t xml:space="preserve">B.1 Legal Structure</w:t>
      </w:r>
    </w:p>
    <w:p>
      <w:pPr>
        <w:pStyle w:val="FirstParagraph"/>
      </w:pPr>
      <w:r>
        <w:t xml:space="preserve">B.1.1 The Hormuz Maritime Services Fund operates as an international fund with legal personality, administered by the Joint Hormuz Authority, with fiduciary management by the Qatar Central Bank and technical audit by the World Bank. The Fund, its transactions, its contributors, and its beneficiaries operate under the permanent sanctions firewall of Title V, Article 5.4.</w:t>
      </w:r>
    </w:p>
    <w:p>
      <w:pPr>
        <w:pStyle w:val="BodyText"/>
      </w:pPr>
      <w:r>
        <w:t xml:space="preserve">B.1.2 The Fund’s charter incorporates the Service Boundary Doctrine: the Fund collects nothing as a condition of transit, from anyone, ever. Every rial, dollar, and euro in the Fund arrives through contribution, subscription, insurance remittance, commercial service payment, or investment income. The architecture makes the prohibited toll not merely banned but structurally impossible: no collection point, no invoice mechanism, and no enforcement lever connects payment to passage.</w:t>
      </w:r>
    </w:p>
    <w:bookmarkEnd w:id="99"/>
    <w:bookmarkStart w:id="100" w:name="b.2-revenue-schedule"/>
    <w:p>
      <w:pPr>
        <w:pStyle w:val="Heading2"/>
      </w:pPr>
      <w:r>
        <w:t xml:space="preserve">B.2 Revenue Schedule</w:t>
      </w:r>
    </w:p>
    <w:p>
      <w:pPr>
        <w:pStyle w:val="FirstParagraph"/>
      </w:pPr>
      <w:r>
        <w:t xml:space="preserve">B.2.1 User-state contributions: the principal energy-importing user states contribute annually per the published formula of one-tenth of one percent of the landed value of their Hormuz-transited energy imports, capped per state, paid by states as states, and scaled by the agreed banding. Indicative first-year target: four hundred million dollars, exceeding the Malacca cooperative mechanism’s scale by a factor reflecting Hormuz volumes.</w:t>
      </w:r>
    </w:p>
    <w:p>
      <w:pPr>
        <w:pStyle w:val="BodyText"/>
      </w:pPr>
      <w:r>
        <w:t xml:space="preserve">B.2.2 Industry contributions: the voluntary contributor program offers shipping lines, charterers, and energy majors the published benefit package: contributor recognition, priority service windows, the route assurance data subscription bundle, green discount eligibility, and seats on the JHA industry advisory panel. The program operates on the Malacca precedent with the opt-in structure proven in that waterway.</w:t>
      </w:r>
    </w:p>
    <w:p>
      <w:pPr>
        <w:pStyle w:val="BodyText"/>
      </w:pPr>
      <w:r>
        <w:t xml:space="preserve">B.2.3 The insurance channel: participating insurers remit eight percent of Hormuz transit war-risk premiums to the Fund, rising by formula to twelve percent as the verified incident-free record lengthens and premiums fall. Insurers gain the golden record data feed of Annex D as underwriting input, a commercial benefit worth more than the remittance.</w:t>
      </w:r>
    </w:p>
    <w:p>
      <w:pPr>
        <w:pStyle w:val="BodyText"/>
      </w:pPr>
      <w:r>
        <w:t xml:space="preserve">B.2.4 The Route Assurance Data Service: annual subscriptions at the published rate card deliver verified corridor status, anomaly feeds, and transit certification. Charter parties and insurers already price this assurance informally; the JHA formalizes it as a product.</w:t>
      </w:r>
    </w:p>
    <w:p>
      <w:pPr>
        <w:pStyle w:val="BodyText"/>
      </w:pPr>
      <w:r>
        <w:t xml:space="preserve">B.2.5 Performance bonds: participating lines post refundable annual surety bonds to the bond pool administered by the Qatar Central Bank; investment income accrues to the Fund; bonds return in full absent drawn claims.</w:t>
      </w:r>
    </w:p>
    <w:bookmarkEnd w:id="100"/>
    <w:bookmarkStart w:id="101" w:name="b.3-disbursement-and-sharing"/>
    <w:p>
      <w:pPr>
        <w:pStyle w:val="Heading2"/>
      </w:pPr>
      <w:r>
        <w:t xml:space="preserve">B.3 Disbursement and Sharing</w:t>
      </w:r>
    </w:p>
    <w:p>
      <w:pPr>
        <w:pStyle w:val="FirstParagraph"/>
      </w:pPr>
      <w:r>
        <w:t xml:space="preserve">B.3.1 Operating costs of the JHA, the shared VTS, navigational aids, mine surveillance, search and rescue, and environmental response draw first on the Fund. The annual audited surplus distributes: fifty percent to the coastal-state stewards jointly, and within that share, the Good Behavior Escalator allocates between Iran and Oman per the published formula reflecting corridor administration and service provision, with Iran’s share rising from fifty-five percent toward sixty-five percent across twenty consecutive verified clean quarters.</w:t>
      </w:r>
    </w:p>
    <w:p>
      <w:pPr>
        <w:pStyle w:val="BodyText"/>
      </w:pPr>
      <w:r>
        <w:t xml:space="preserve">B.3.2 The Heavy-User Cap bounds every operator’s aggregate annual service charges at the published ceiling, indexed to transit volume. The cap publishes with the rate card and never changes without Twin-Key concurrence and one hundred eighty days’ notice to the industry advisory panel.</w:t>
      </w:r>
    </w:p>
    <w:p>
      <w:pPr>
        <w:pStyle w:val="BodyText"/>
      </w:pPr>
      <w:r>
        <w:t xml:space="preserve">B.3.3 Audit and transparency: the World Bank audits the Fund annually; the Qatar Central Bank publishes quarterly statements; the transparency dashboard carries balances, distributions, and the sharing formula computation in English, Farsi, and Arabic.</w:t>
      </w:r>
    </w:p>
    <w:bookmarkEnd w:id="101"/>
    <w:bookmarkStart w:id="102" w:name="b.4-the-fallback-guarantee"/>
    <w:p>
      <w:pPr>
        <w:pStyle w:val="Heading2"/>
      </w:pPr>
      <w:r>
        <w:t xml:space="preserve">B.4 The Fallback Guarantee</w:t>
      </w:r>
    </w:p>
    <w:p>
      <w:pPr>
        <w:pStyle w:val="FirstParagraph"/>
      </w:pPr>
      <w:r>
        <w:t xml:space="preserve">B.4.1 If Fund revenue in any year falls below the published floor, the difference draws on the reconstruction architecture’s coastal development window of Annex E, so that the stewards’ revenue never depends on extracting payment at the chokepoint. The Strait’s stewards prosper with the Strait’s traffic, never at its expense.</w:t>
      </w:r>
    </w:p>
    <w:bookmarkEnd w:id="102"/>
    <w:bookmarkEnd w:id="103"/>
    <w:bookmarkStart w:id="110" w:name="X5f3315f214ab4fe4c9abb408f3cb73fecad1c3c"/>
    <w:p>
      <w:pPr>
        <w:pStyle w:val="Heading1"/>
      </w:pPr>
      <w:r>
        <w:t xml:space="preserve">ANNEX C: NUCLEAR VERIFICATION AND STOCKPILE DISPOSITION PROTOCOL</w:t>
      </w:r>
    </w:p>
    <w:bookmarkStart w:id="104" w:name="c.1-inventory-and-access"/>
    <w:p>
      <w:pPr>
        <w:pStyle w:val="Heading2"/>
      </w:pPr>
      <w:r>
        <w:t xml:space="preserve">C.1 Inventory and Access</w:t>
      </w:r>
    </w:p>
    <w:p>
      <w:pPr>
        <w:pStyle w:val="FirstParagraph"/>
      </w:pPr>
      <w:r>
        <w:t xml:space="preserve">C.1.1 IAEA inspectors arrive at Natanz, Fordow, and Isfahan within seventy-two hours of signature and establish continuous presence. The complete verified inventory of all enriched uranium, in all forms and at all locations, completes within fourteen days, including reconciliation of material dispersed during the conflict, with the inventory logged to the golden record of Annex D.</w:t>
      </w:r>
    </w:p>
    <w:p>
      <w:pPr>
        <w:pStyle w:val="BodyText"/>
      </w:pPr>
      <w:r>
        <w:t xml:space="preserve">C.1.2 The inventory methodology: environmental sampling, accountancy verification, cascade header verification, and container inventory with seal continuity, per the IAEA technical annex transmitted at signature.</w:t>
      </w:r>
    </w:p>
    <w:bookmarkEnd w:id="104"/>
    <w:bookmarkStart w:id="105" w:name="c.2-down-blending-protocol"/>
    <w:p>
      <w:pPr>
        <w:pStyle w:val="Heading2"/>
      </w:pPr>
      <w:r>
        <w:t xml:space="preserve">C.2 Down-Blending Protocol</w:t>
      </w:r>
    </w:p>
    <w:p>
      <w:pPr>
        <w:pStyle w:val="FirstParagraph"/>
      </w:pPr>
      <w:r>
        <w:t xml:space="preserve">C.2.1 The entire stockpile enriched above twenty percent, including the approximately 440 kilograms at sixty percent, down-blends on site to below 3.67 percent U-235 within thirty days of entry into force, at the designated down-blending lines at Natanz and Isfahan, under continuous IAEA containment and surveillance with dual camera coverage, flow measurement, and product sampling at each stage.</w:t>
      </w:r>
    </w:p>
    <w:p>
      <w:pPr>
        <w:pStyle w:val="BodyText"/>
      </w:pPr>
      <w:r>
        <w:t xml:space="preserve">C.2.2 The down-blended product stores under IAEA seal at the declared storage location pending its processing into fuel assemblies or its disposition under the fuel cycle program, at Iran’s sovereign election, within the ceilings of Title IV.</w:t>
      </w:r>
    </w:p>
    <w:p>
      <w:pPr>
        <w:pStyle w:val="BodyText"/>
      </w:pPr>
      <w:r>
        <w:t xml:space="preserve">C.2.3 The IAEA Director General certifies completion and transmits the certification simultaneously to both Parties, the Guarantor Matrix, and the UN Security Council. Certification activates Tranche Three of the relief schedule automatically.</w:t>
      </w:r>
    </w:p>
    <w:bookmarkEnd w:id="105"/>
    <w:bookmarkStart w:id="106" w:name="X2c45bb171cd41e4e8e22b3e6cfd392cea4a9753"/>
    <w:p>
      <w:pPr>
        <w:pStyle w:val="Heading2"/>
      </w:pPr>
      <w:r>
        <w:t xml:space="preserve">C.3 Permanent Ceilings and the Breakout Geometry</w:t>
      </w:r>
    </w:p>
    <w:p>
      <w:pPr>
        <w:pStyle w:val="FirstParagraph"/>
      </w:pPr>
      <w:r>
        <w:t xml:space="preserve">C.3.1 The ceilings of Title IV, Article 4.3 bind permanently: 3.67 percent enrichment ceiling; 300 kilograms UF6 stockpile ceiling; the verified centrifuge envelope; Fordow’s permanent conversion to non-enrichment research and isotope production; and the continuous twelve-month breakout floor computed from live data and published to both Parties simultaneously.</w:t>
      </w:r>
    </w:p>
    <w:p>
      <w:pPr>
        <w:pStyle w:val="BodyText"/>
      </w:pPr>
      <w:r>
        <w:t xml:space="preserve">C.3.2 Excess centrifuges and cascades enter IAEA-monitored storage under continuous surveillance. Manufacturing of centrifuge components operates under the monitored supply chain provisions, with the IAEA verifying production rates against declared civilian needs.</w:t>
      </w:r>
    </w:p>
    <w:bookmarkEnd w:id="106"/>
    <w:bookmarkStart w:id="107" w:name="c.4-the-challenge-inspection-procedure"/>
    <w:p>
      <w:pPr>
        <w:pStyle w:val="Heading2"/>
      </w:pPr>
      <w:r>
        <w:t xml:space="preserve">C.4 The Challenge Inspection Procedure</w:t>
      </w:r>
    </w:p>
    <w:p>
      <w:pPr>
        <w:pStyle w:val="FirstParagraph"/>
      </w:pPr>
      <w:r>
        <w:t xml:space="preserve">C.4.1 The IAEA requests access to any location, declared or undeclared, with twenty-four hours’ notice. Access occurs. Where Iran raises a managed-access concern, the Technical Truth Escalation Chain resolves the concern within five days, with the neutral expert panel’s determination final. Persistent denial of access classifies under the tier system of Annex D like any other compliance event: proportionately, reversibly, and with earn-back always open.</w:t>
      </w:r>
    </w:p>
    <w:bookmarkEnd w:id="107"/>
    <w:bookmarkStart w:id="108" w:name="c.5-past-activities-closure"/>
    <w:p>
      <w:pPr>
        <w:pStyle w:val="Heading2"/>
      </w:pPr>
      <w:r>
        <w:t xml:space="preserve">C.5 Past Activities Closure</w:t>
      </w:r>
    </w:p>
    <w:p>
      <w:pPr>
        <w:pStyle w:val="FirstParagraph"/>
      </w:pPr>
      <w:r>
        <w:t xml:space="preserve">C.5.1 The structured closure process for outstanding safeguards questions runs on its own parallel clock: Iran provides the agreed technical explanations and access within ninety days; the IAEA issues its closure assessment within one hundred eighty days; the Board of Governors closes the file. Closure of the past blocks nothing in the present.</w:t>
      </w:r>
    </w:p>
    <w:bookmarkEnd w:id="108"/>
    <w:bookmarkStart w:id="109" w:name="X0f06ea2c25ef77288c9365080cbb92e746e6811"/>
    <w:p>
      <w:pPr>
        <w:pStyle w:val="Heading2"/>
      </w:pPr>
      <w:r>
        <w:t xml:space="preserve">C.6 Fuel Supply Guarantee and Scientific Reintegration</w:t>
      </w:r>
    </w:p>
    <w:p>
      <w:pPr>
        <w:pStyle w:val="FirstParagraph"/>
      </w:pPr>
      <w:r>
        <w:t xml:space="preserve">C.6.1 The international fuel supply consortium, underwritten by the IAEA with Russian and European supplier participation, guarantees Bushehr and Tehran Research Reactor fuel at market terms for the life of this Compact, with payment through the escrow architecture under the sanctions firewall.</w:t>
      </w:r>
    </w:p>
    <w:p>
      <w:pPr>
        <w:pStyle w:val="BodyText"/>
      </w:pPr>
      <w:r>
        <w:t xml:space="preserve">C.6.2 The scientific reintegration window opens IAEA technical cooperation, medical isotope collaboration at the converted Fordow center, and joint research participation, on the published schedule of the technical annex.</w:t>
      </w:r>
    </w:p>
    <w:bookmarkEnd w:id="109"/>
    <w:bookmarkEnd w:id="110"/>
    <w:bookmarkStart w:id="149" w:name="X0532f738ff900da102694a4b9e4b927f2e41c7f"/>
    <w:p>
      <w:pPr>
        <w:pStyle w:val="Heading1"/>
      </w:pPr>
      <w:r>
        <w:t xml:space="preserve">ANNEX D: THE COTHROM VERIFICATION METHOD (INCORPORATED TEXT AND OPERATING SCHEDULE)</w:t>
      </w:r>
    </w:p>
    <w:bookmarkStart w:id="111" w:name="d.1-incorporation"/>
    <w:p>
      <w:pPr>
        <w:pStyle w:val="Heading2"/>
      </w:pPr>
      <w:r>
        <w:t xml:space="preserve">D.1 Incorporation</w:t>
      </w:r>
    </w:p>
    <w:p>
      <w:pPr>
        <w:pStyle w:val="FirstParagraph"/>
      </w:pPr>
      <w:r>
        <w:t xml:space="preserve">D.1.1 The Cothrom Verification Method, Version 1.0, as negotiated and consolidated by the technical working groups, stands incorporated into this Compact in its entirety as this Annex D. Title VIII states its governing principles; this Annex supplies the operative detail. In any conflict between the summary of Title VIII and this Annex, this Annex governs.</w:t>
      </w:r>
    </w:p>
    <w:p>
      <w:pPr>
        <w:pStyle w:val="BodyText"/>
      </w:pPr>
      <w:r>
        <w:t xml:space="preserve">D.1.2 The Method’s twelve summary operating principles bind interpretation throughout this Compact: proportionality governs everything; human judgment sits above automation; earn-back is always available; humanitarian flows are sacred; modules fire independently; cooling-off prevents heat-of-moment escalation; monitoring gaps trigger automatic protection; partial success survives; military escalation stands structurally decoupled; the framework presumes good faith; data is data; verification is reciprocal.</w:t>
      </w:r>
    </w:p>
    <w:bookmarkEnd w:id="111"/>
    <w:bookmarkStart w:id="112" w:name="X26d17e5f016a0487c918dfb0bd7bbe54ebf4ed6"/>
    <w:p>
      <w:pPr>
        <w:pStyle w:val="Heading2"/>
      </w:pPr>
      <w:r>
        <w:t xml:space="preserve">D.2 Operating Schedule for the Compact’s Phases</w:t>
      </w:r>
    </w:p>
    <w:p>
      <w:pPr>
        <w:pStyle w:val="FirstParagraph"/>
      </w:pPr>
      <w:r>
        <w:t xml:space="preserve">D.2.1 The Method’s phase architecture maps onto this Compact as follows:</w:t>
      </w:r>
    </w:p>
    <w:p>
      <w:pPr>
        <w:numPr>
          <w:ilvl w:val="0"/>
          <w:numId w:val="1020"/>
        </w:numPr>
      </w:pPr>
      <w:r>
        <w:t xml:space="preserve">Activation Phase (Hour 0 to Hour 72): systems activation, Joint Monitoring Cell convening, corridor reopening certification, first telemetry publication.</w:t>
      </w:r>
    </w:p>
    <w:p>
      <w:pPr>
        <w:numPr>
          <w:ilvl w:val="0"/>
          <w:numId w:val="1020"/>
        </w:numPr>
      </w:pPr>
      <w:r>
        <w:t xml:space="preserve">Testing Phase (Days 1 to 14): claim submission and adversarial verification under the pacing limits of three claims and two challenges per day, rising to five and three in the final four days; verification bonds of two hundred credits deposited by each Party with the Swiss facilitator; the fifty-credit threshold governing progression.</w:t>
      </w:r>
    </w:p>
    <w:p>
      <w:pPr>
        <w:numPr>
          <w:ilvl w:val="0"/>
          <w:numId w:val="1020"/>
        </w:numPr>
      </w:pPr>
      <w:r>
        <w:t xml:space="preserve">Cooling-Off Period (Days 15 to 44): sustained verification at the reduced pacing of two claims and two challenges per day; scores carry forward as base scores.</w:t>
      </w:r>
    </w:p>
    <w:p>
      <w:pPr>
        <w:numPr>
          <w:ilvl w:val="0"/>
          <w:numId w:val="1020"/>
        </w:numPr>
      </w:pPr>
      <w:r>
        <w:t xml:space="preserve">Decision Point (Days 45 to 51): scores freeze and publish; the score-based pathway matrix of the Method determines progression, extension, or fallback, subject always to Mutual Consent Escalation.</w:t>
      </w:r>
    </w:p>
    <w:p>
      <w:pPr>
        <w:pStyle w:val="FirstParagraph"/>
      </w:pPr>
      <w:r>
        <w:t xml:space="preserve">D.2.2 Credit values bind as negotiated: primary monitoring at five credits per day, secondary observation at eight per incident, environmental or hazard response at six per incident, infrastructure clearance at ten per linear kilometer, with rapid-confirmation bonuses and the partial credit award system operating per the incorporated text.</w:t>
      </w:r>
    </w:p>
    <w:bookmarkEnd w:id="112"/>
    <w:bookmarkStart w:id="113" w:name="X5a24e23bc89cfbb53d7ebe7ed0deff8a7a2d9f7"/>
    <w:p>
      <w:pPr>
        <w:pStyle w:val="Heading2"/>
      </w:pPr>
      <w:r>
        <w:t xml:space="preserve">D.3 Adversarial Verification Architecture</w:t>
      </w:r>
    </w:p>
    <w:p>
      <w:pPr>
        <w:pStyle w:val="FirstParagraph"/>
      </w:pPr>
      <w:r>
        <w:t xml:space="preserve">D.3.1 The claim, challenge, and adjudication machinery operates per the incorporated text: the forty-eight-hour challenge window; the challenge cost schedule (acceptance at zero, technical review at five credits, full objection at twenty credits, each subject to the confirmation-level multiplier); the frivolous review escalation ladder with its three-strike structure and bad-faith designation; the Anonymous Review Protocol depersonalizing every challenge; the Escrow Reserve for high-value claims; and the Counter-Evidence Review closing every inconclusive claim.</w:t>
      </w:r>
    </w:p>
    <w:p>
      <w:pPr>
        <w:pStyle w:val="BodyText"/>
      </w:pPr>
      <w:r>
        <w:t xml:space="preserve">D.3.2 The Third-Party Expert Pool stands accredited by the Swiss facilitator: the coordinator from Switzerland, the telemetry expert from Japan, the regional operations expert from the United Arab Emirates, the maritime traffic systems expert from Singapore, and one rotating expert from a state not party to this framework, selected by mutual agreement. The Second Opinion mechanism operates with its ten-credit procedural discipline.</w:t>
      </w:r>
    </w:p>
    <w:bookmarkEnd w:id="113"/>
    <w:bookmarkStart w:id="114" w:name="d.4-the-step-back-and-earn-back-engine"/>
    <w:p>
      <w:pPr>
        <w:pStyle w:val="Heading2"/>
      </w:pPr>
      <w:r>
        <w:t xml:space="preserve">D.4 The Step-Back and Earn-Back Engine</w:t>
      </w:r>
    </w:p>
    <w:p>
      <w:pPr>
        <w:pStyle w:val="FirstParagraph"/>
      </w:pPr>
      <w:r>
        <w:t xml:space="preserve">D.4.1 The three-tier classification, the proportionality formula, the sequenced impact order, the human-in-the-loop requirement, and the earn-back schedules operate as stated in Title VIII and in full in the incorporated text. The Automatic Suspension for Monitoring Failure (forty-eight-hour telemetry rule) operates as the sole automatic penalty, with no human override in either direction.</w:t>
      </w:r>
    </w:p>
    <w:p>
      <w:pPr>
        <w:pStyle w:val="BodyText"/>
      </w:pPr>
      <w:r>
        <w:t xml:space="preserve">D.4.2 Material Breach protocol: deliberate jamming of feeds, refusal to transmit data, Joint Monitoring Cell staffing failure beyond seventy-two hours, or persistent data quality violation activates logging, Chief Technical Officer confirmation within forty-eight hours, and Permanent Coordination Council emergency mediation within seventy-two hours. Technical monitoring continues through every Material Breach dispute. Neither Party suspends data transmission or withdraws personnel during any dispute.</w:t>
      </w:r>
    </w:p>
    <w:bookmarkEnd w:id="114"/>
    <w:bookmarkStart w:id="115" w:name="d.5-declassification"/>
    <w:p>
      <w:pPr>
        <w:pStyle w:val="Heading2"/>
      </w:pPr>
      <w:r>
        <w:t xml:space="preserve">D.5 Declassification</w:t>
      </w:r>
    </w:p>
    <w:p>
      <w:pPr>
        <w:pStyle w:val="FirstParagraph"/>
      </w:pPr>
      <w:r>
        <w:t xml:space="preserve">D.5.1 This Annex and all Registry data declassify automatically on the first anniversary of this Compact, extendable twice by one year on joint written notice, with redaction of personal identifying information completed by the Swiss facilitator within thirty days of the trigger.</w:t>
      </w:r>
    </w:p>
    <w:bookmarkEnd w:id="115"/>
    <w:bookmarkStart w:id="116" w:name="X076b33aba469f190bc7665a21f7a207ccc7c549"/>
    <w:p>
      <w:pPr>
        <w:pStyle w:val="Heading2"/>
      </w:pPr>
      <w:r>
        <w:t xml:space="preserve">D.6 Full Incorporated Operative Text of the Cothrom Verification Method</w:t>
      </w:r>
    </w:p>
    <w:p>
      <w:pPr>
        <w:pStyle w:val="FirstParagraph"/>
      </w:pPr>
      <w:r>
        <w:t xml:space="preserve">The following text constitutes the complete incorporated operative text of the Cothrom Verification Method, Version 1.0, binding in its entirety.</w:t>
      </w:r>
    </w:p>
    <w:p>
      <w:pPr>
        <w:pStyle w:val="BodyText"/>
      </w:pPr>
      <w:r>
        <w:t xml:space="preserve">THE COTHROM VERIFICATION METHOD</w:t>
      </w:r>
      <w:r>
        <w:t xml:space="preserve"> </w:t>
      </w:r>
      <w:r>
        <w:t xml:space="preserve">A Unified, Balanced Verification Architecture for Complex Stabilization Frameworks</w:t>
      </w:r>
      <w:r>
        <w:t xml:space="preserve"> </w:t>
      </w:r>
      <w:r>
        <w:t xml:space="preserve">Version 1.0 , Integrated from HITP Adversarial Verification Architecture v1.8 and Step-Back/Earn-Back Proportional Compliance Engine v1.8</w:t>
      </w:r>
    </w:p>
    <w:p>
      <w:pPr>
        <w:pStyle w:val="BodyText"/>
      </w:pPr>
      <w:r>
        <w:t xml:space="preserve">Cothrom (Irish): Equal, balanced, level, fair.</w:t>
      </w:r>
      <w:r>
        <w:t xml:space="preserve"> </w:t>
      </w:r>
      <w:r>
        <w:t xml:space="preserve">This method treats verification not as surveillance but as a reciprocal architecture where both parties invest, both parties verify, and both parties recover.</w:t>
      </w:r>
    </w:p>
    <w:bookmarkEnd w:id="116"/>
    <w:bookmarkStart w:id="117" w:name="preamble-the-cothrom-principle"/>
    <w:p>
      <w:pPr>
        <w:pStyle w:val="Heading2"/>
      </w:pPr>
      <w:r>
        <w:t xml:space="preserve">PREAMBLE: THE COTHROM PRINCIPLE</w:t>
      </w:r>
    </w:p>
    <w:p>
      <w:pPr>
        <w:pStyle w:val="FirstParagraph"/>
      </w:pPr>
      <w:r>
        <w:t xml:space="preserve">Snapback kills agreements. It converts every minor infraction into an existential crisis, incentivizes the accused party to escalate rather than remediate, and destroys the trust that stabilization requires. Binary collapse dynamics produce binary collapse outcomes.</w:t>
      </w:r>
    </w:p>
    <w:p>
      <w:pPr>
        <w:pStyle w:val="BodyText"/>
      </w:pPr>
      <w:r>
        <w:t xml:space="preserve">The Cothrom Method replaces snapback with a graduated, reversible, proportionate compliance engine. It combines the operational infrastructure of adversarial claim verification with the philosophical architecture of proportional penalty and guaranteed recuperation.</w:t>
      </w:r>
    </w:p>
    <w:p>
      <w:pPr>
        <w:pStyle w:val="BodyText"/>
      </w:pPr>
      <w:r>
        <w:t xml:space="preserve">Core operating principle: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p>
      <w:pPr>
        <w:pStyle w:val="BodyText"/>
      </w:pPr>
      <w:r>
        <w:t xml:space="preserve">The Cothrom Method achieves the following objectives: it incentivizes accurate claim submission by the Claimant Party; it enables rigorous but fair review by the Verifier Party; it prevents frivolous submissions through forfeit risk; it prevents frivolous objections through escalating penalty ladders; it protects both Parties from information asymmetry; it provides neutral third-party expert oversight; it generates objective, auditable verification scores; it ensures proportionate penalties for breaches; and it guarantees defined earn-back pathways for every penalty.</w:t>
      </w:r>
    </w:p>
    <w:bookmarkEnd w:id="117"/>
    <w:bookmarkStart w:id="121" w:name="X20d7e921e184af2670663951d0c997a510f745b"/>
    <w:p>
      <w:pPr>
        <w:pStyle w:val="Heading2"/>
      </w:pPr>
      <w:r>
        <w:t xml:space="preserve">Part I: Data Infrastructure And Anomaly Detection</w:t>
      </w:r>
    </w:p>
    <w:bookmarkStart w:id="118" w:name="X46335c0679ba0cc97072e1587d9ac0b89c97896"/>
    <w:p>
      <w:pPr>
        <w:pStyle w:val="Heading3"/>
      </w:pPr>
      <w:r>
        <w:t xml:space="preserve">Section 1: Monitoring Systems And Data Standards</w:t>
      </w:r>
    </w:p>
    <w:p>
      <w:pPr>
        <w:pStyle w:val="FirstParagraph"/>
      </w:pPr>
      <w:r>
        <w:t xml:space="preserve">1.1 System Activation</w:t>
      </w:r>
      <w:r>
        <w:t xml:space="preserve"> </w:t>
      </w:r>
      <w:r>
        <w:t xml:space="preserve">Upon signature, the following monitoring systems activate immediately and operate on a continuous basis:</w:t>
      </w:r>
    </w:p>
    <w:p>
      <w:pPr>
        <w:pStyle w:val="BodyText"/>
      </w:pPr>
      <w:r>
        <w:t xml:space="preserve">System: Primary telemetry feeds (satellite, radar, sensor networks)</w:t>
      </w:r>
      <w:r>
        <w:t xml:space="preserve"> </w:t>
      </w:r>
      <w:r>
        <w:t xml:space="preserve">Activation: Primary and secondary feeds begin continuous data collection</w:t>
      </w:r>
      <w:r>
        <w:t xml:space="preserve"> </w:t>
      </w:r>
      <w:r>
        <w:t xml:space="preserve">Data Recipients: Joint Monitoring Cell, both Parties, Shared Digital Registry</w:t>
      </w:r>
    </w:p>
    <w:p>
      <w:pPr>
        <w:pStyle w:val="BodyText"/>
      </w:pPr>
      <w:r>
        <w:t xml:space="preserve">System: Coastal and territorial sensor integration</w:t>
      </w:r>
      <w:r>
        <w:t xml:space="preserve"> </w:t>
      </w:r>
      <w:r>
        <w:t xml:space="preserve">Activation: All designated sensor stations begin data transmission</w:t>
      </w:r>
      <w:r>
        <w:t xml:space="preserve"> </w:t>
      </w:r>
      <w:r>
        <w:t xml:space="preserve">Data Recipients: Joint Monitoring Cell, both Parties, Shared Digital Registry</w:t>
      </w:r>
    </w:p>
    <w:p>
      <w:pPr>
        <w:pStyle w:val="BodyText"/>
      </w:pPr>
      <w:r>
        <w:t xml:space="preserve">System: Joint Monitoring Cell</w:t>
      </w:r>
      <w:r>
        <w:t xml:space="preserve"> </w:t>
      </w:r>
      <w:r>
        <w:t xml:space="preserve">Activation: Pre-accredited JMC personnel convene at the designated host location within 72 hours of signature and begin 24/7 operations</w:t>
      </w:r>
      <w:r>
        <w:t xml:space="preserve"> </w:t>
      </w:r>
      <w:r>
        <w:t xml:space="preserve">Data Recipients: Joint Monitoring Cell, both Parties, Permanent Coordination Council</w:t>
      </w:r>
    </w:p>
    <w:p>
      <w:pPr>
        <w:pStyle w:val="BodyText"/>
      </w:pPr>
      <w:r>
        <w:t xml:space="preserve">System: Shared Digital Registry</w:t>
      </w:r>
      <w:r>
        <w:t xml:space="preserve"> </w:t>
      </w:r>
      <w:r>
        <w:t xml:space="preserve">Activation: The Registry begins logging all tracks, anomaly alerts, and verification packages</w:t>
      </w:r>
      <w:r>
        <w:t xml:space="preserve"> </w:t>
      </w:r>
      <w:r>
        <w:t xml:space="preserve">Data Recipients: All Parties, Guarantor Matrix</w:t>
      </w:r>
    </w:p>
    <w:p>
      <w:pPr>
        <w:pStyle w:val="BodyText"/>
      </w:pPr>
      <w:r>
        <w:t xml:space="preserve">System: Compliance Dashboard</w:t>
      </w:r>
      <w:r>
        <w:t xml:space="preserve"> </w:t>
      </w:r>
      <w:r>
        <w:t xml:space="preserve">Activation: The dashboard publishes and becomes accessible to all Parties and accredited observers</w:t>
      </w:r>
      <w:r>
        <w:t xml:space="preserve"> </w:t>
      </w:r>
      <w:r>
        <w:t xml:space="preserve">Data Recipients: Public (non-classified metrics)</w:t>
      </w:r>
    </w:p>
    <w:p>
      <w:pPr>
        <w:pStyle w:val="BodyText"/>
      </w:pPr>
      <w:r>
        <w:t xml:space="preserve">System: Third-Party Telemetry Tie-Breaker</w:t>
      </w:r>
      <w:r>
        <w:t xml:space="preserve"> </w:t>
      </w:r>
      <w:r>
        <w:t xml:space="preserve">Activation: An independent commercial provider, under contract to the Swiss facilitator, provides independent telemetry. This source activates automatically upon detection of a data conflict between the primary Party feeds.</w:t>
      </w:r>
      <w:r>
        <w:t xml:space="preserve"> </w:t>
      </w:r>
      <w:r>
        <w:t xml:space="preserve">Data Recipients: Joint Monitoring Cell, Swiss Facilitator, Permanent Coordination Council</w:t>
      </w:r>
    </w:p>
    <w:p>
      <w:pPr>
        <w:pStyle w:val="BodyText"/>
      </w:pPr>
      <w:r>
        <w:t xml:space="preserve">1.2 Data Collection Standards</w:t>
      </w:r>
      <w:r>
        <w:t xml:space="preserve"> </w:t>
      </w:r>
      <w:r>
        <w:t xml:space="preserve">All data collected under this Method conforms to the following standards:</w:t>
      </w:r>
    </w:p>
    <w:p>
      <w:pPr>
        <w:pStyle w:val="BodyText"/>
      </w:pPr>
      <w:r>
        <w:t xml:space="preserve">Simultaneous: The framework architecture transmits all data to both Parties with identical latency. Neither Party receives preferential access, earlier notification, or exclusive data feeds.</w:t>
      </w:r>
    </w:p>
    <w:p>
      <w:pPr>
        <w:pStyle w:val="BodyText"/>
      </w:pPr>
      <w:r>
        <w:t xml:space="preserve">Unalterable: The Shared Digital Registry logs all data with cryptographic chain-of-custody. No Party modifies, deletes, or redacts logged data.</w:t>
      </w:r>
    </w:p>
    <w:p>
      <w:pPr>
        <w:pStyle w:val="BodyText"/>
      </w:pPr>
      <w:r>
        <w:t xml:space="preserve">Transparent: All data is accessible to both Parties, the Guarantor Matrix, and the Joint Monitoring Cell through the secure data portal.</w:t>
      </w:r>
    </w:p>
    <w:p>
      <w:pPr>
        <w:pStyle w:val="BodyText"/>
      </w:pPr>
      <w:r>
        <w:t xml:space="preserve">Non-attributable for political purposes: The framework architecture collects and shares data for technical verification only. It does not constitute recognition of any Party’s legal position.</w:t>
      </w:r>
    </w:p>
    <w:p>
      <w:pPr>
        <w:pStyle w:val="BodyText"/>
      </w:pPr>
      <w:r>
        <w:t xml:space="preserve">Non-imputability: Neither Party’s participation in data collection, transmission, or receipt constitutes endorsement of the political character, legal status, or governance implications of any monitoring system or data product. Data serves technical verification exclusively. No political meaning attaches to its collection or sharing.</w:t>
      </w:r>
    </w:p>
    <w:p>
      <w:pPr>
        <w:pStyle w:val="BodyText"/>
      </w:pPr>
      <w:r>
        <w:t xml:space="preserve">Retention and audit: The Shared Digital Registry retains all logged data for a minimum of five years from the date of logging. Either Party requests an independent forensic audit of any data segment. The Swiss facilitator selects the auditor from the Third-Party Expert Pool. The auditor completes the review within 30 days of request. The requesting Party bears the audit cost. If the audit reveals material data manipulation, the manipulating Party bears all costs including the requesting Party’s costs.</w:t>
      </w:r>
    </w:p>
    <w:p>
      <w:pPr>
        <w:pStyle w:val="BodyText"/>
      </w:pPr>
      <w:r>
        <w:t xml:space="preserve">1.3 Data Quality and Anti-Dumping Standards</w:t>
      </w:r>
      <w:r>
        <w:t xml:space="preserve"> </w:t>
      </w:r>
      <w:r>
        <w:t xml:space="preserve">The framework architecture enforces the following data quality standards for all telemetry transmitted by either Party:</w:t>
      </w:r>
    </w:p>
    <w:p>
      <w:pPr>
        <w:pStyle w:val="BodyText"/>
      </w:pPr>
      <w:r>
        <w:t xml:space="preserve">Signal-to-noise ratio: Each Party maintains a signal-to-noise ratio above the minimum threshold defined in the technical annexes, across all data feeds. Consistent transmission below this threshold constitutes a technical failure.</w:t>
      </w:r>
    </w:p>
    <w:p>
      <w:pPr>
        <w:pStyle w:val="BodyText"/>
      </w:pPr>
      <w:r>
        <w:t xml:space="preserve">Format compliance: Each Party transmits data in the format specified in the shared protocol. Data in an incorrect format triggers an automatic formatting alert in the Shared Digital Registry.</w:t>
      </w:r>
    </w:p>
    <w:p>
      <w:pPr>
        <w:pStyle w:val="BodyText"/>
      </w:pPr>
      <w:r>
        <w:t xml:space="preserve">The framework architecture treats persistent data quality failures as a breach of the Simultaneous and Transparent requirements. Persistent failure means three or more consecutive formatting alerts or signal-to-noise violations within any seventy-two-hour period.</w:t>
      </w:r>
    </w:p>
    <w:bookmarkEnd w:id="118"/>
    <w:bookmarkStart w:id="119" w:name="section-2-anomaly-detection-and-response"/>
    <w:p>
      <w:pPr>
        <w:pStyle w:val="Heading3"/>
      </w:pPr>
      <w:r>
        <w:t xml:space="preserve">Section 2: Anomaly Detection And Response</w:t>
      </w:r>
    </w:p>
    <w:p>
      <w:pPr>
        <w:pStyle w:val="FirstParagraph"/>
      </w:pPr>
      <w:r>
        <w:t xml:space="preserve">2.1 Alert Severity Classification</w:t>
      </w:r>
      <w:r>
        <w:t xml:space="preserve"> </w:t>
      </w:r>
      <w:r>
        <w:t xml:space="preserve">Not every anomaly triggers enforcement. The alert system filters noise from genuine compliance events.</w:t>
      </w:r>
    </w:p>
    <w:p>
      <w:pPr>
        <w:pStyle w:val="BodyText"/>
      </w:pPr>
      <w:r>
        <w:t xml:space="preserve">Level 1 (Informational): Sensor maintenance, scheduled downtime, minor data transmission interruption. The framework architecture needs no further action. The Joint Monitoring Cell issues no notification.</w:t>
      </w:r>
    </w:p>
    <w:p>
      <w:pPr>
        <w:pStyle w:val="BodyText"/>
      </w:pPr>
      <w:r>
        <w:t xml:space="preserve">Level 2 (Technical Review): Unscheduled downtime under 4 hours, single anomalous reading without pattern. The Joint Monitoring Cell technical review occurs within 7 days. No penalty attaches.</w:t>
      </w:r>
    </w:p>
    <w:p>
      <w:pPr>
        <w:pStyle w:val="BodyText"/>
      </w:pPr>
      <w:r>
        <w:t xml:space="preserve">Level 3 (Compliance Review): Unscheduled downtime over 4 hours, pattern of anomalous readings. Enhanced inspection occurs within 72 hours. Potential Tier 1 classification applies if the issue remains unresolved within 14 days.</w:t>
      </w:r>
    </w:p>
    <w:p>
      <w:pPr>
        <w:pStyle w:val="BodyText"/>
      </w:pPr>
      <w:r>
        <w:t xml:space="preserve">Level 4 (Breach Indicator): Evidence of tampering, deliberate disablement, or material diversion. This triggers Tier 2 step-back consideration. The Joint Monitoring Cell convenes within 24 hours. Executive consultation is mandatory before any penalty activates.</w:t>
      </w:r>
    </w:p>
    <w:p>
      <w:pPr>
        <w:pStyle w:val="BodyText"/>
      </w:pPr>
      <w:r>
        <w:t xml:space="preserve">Only Level 4 triggers potential step-back. Levels 1 through 3 are managed through technical channels without penalty.</w:t>
      </w:r>
    </w:p>
    <w:p>
      <w:pPr>
        <w:pStyle w:val="BodyText"/>
      </w:pPr>
      <w:r>
        <w:t xml:space="preserve">2.2 Anomaly Response Protocol</w:t>
      </w:r>
      <w:r>
        <w:t xml:space="preserve"> </w:t>
      </w:r>
      <w:r>
        <w:t xml:space="preserve">Upon automatic generation of a Level 3 or Level 4 anomaly alert, the following response protocol activates immediately:</w:t>
      </w:r>
    </w:p>
    <w:p>
      <w:pPr>
        <w:pStyle w:val="BodyText"/>
      </w:pPr>
      <w:r>
        <w:t xml:space="preserve">Step 1: The Joint Monitoring Cell Duty Officer transmits an automated communication to both Parties within five minutes of alert generation. The communication contains the anomaly classification, identifier, and deviation type.</w:t>
      </w:r>
    </w:p>
    <w:p>
      <w:pPr>
        <w:pStyle w:val="BodyText"/>
      </w:pPr>
      <w:r>
        <w:t xml:space="preserve">Step 2: Both Parties implement a pre-vetted operational stand-down order for any forces in the vicinity of the alert location. The stand-down order remains active until the Joint Monitoring Cell Chief Technical Officer confirms resolution or upgrades the alert.</w:t>
      </w:r>
    </w:p>
    <w:p>
      <w:pPr>
        <w:pStyle w:val="BodyText"/>
      </w:pPr>
      <w:r>
        <w:t xml:space="preserve">Step 3: The Joint Monitoring Cell convenes an emergency video-conference between both Parties’ designated technical representatives within thirty minutes of alert generation. The Shared Digital Registry logs all communications and stand-down confirmations.</w:t>
      </w:r>
    </w:p>
    <w:p>
      <w:pPr>
        <w:pStyle w:val="BodyText"/>
      </w:pPr>
      <w:r>
        <w:t xml:space="preserve">The framework architecture designates this response as the Anomaly Response Playbook. The Playbook binds both Parties from the moment of signature. Neither Party deviates from the Playbook without written mutual agreement.</w:t>
      </w:r>
    </w:p>
    <w:p>
      <w:pPr>
        <w:pStyle w:val="BodyText"/>
      </w:pPr>
      <w:r>
        <w:t xml:space="preserve">2.3 Technical Truth Escalation Chain</w:t>
      </w:r>
      <w:r>
        <w:t xml:space="preserve"> </w:t>
      </w:r>
      <w:r>
        <w:t xml:space="preserve">The framework architecture includes a binding, time-bound escalation chain for all data fidelity disputes. The chain operates automatically upon registration of a discrepancy in the Shared Digital Registry.</w:t>
      </w:r>
    </w:p>
    <w:p>
      <w:pPr>
        <w:pStyle w:val="BodyText"/>
      </w:pPr>
      <w:r>
        <w:t xml:space="preserve">Day 1: The Joint Monitoring Cell Chief Technical Officer reviews the raw data feeds, source telemetry, and chain-of-custody records for the disputed data point. The Officer issues a preliminary technical finding within 24 hours of dispute registration.</w:t>
      </w:r>
    </w:p>
    <w:p>
      <w:pPr>
        <w:pStyle w:val="BodyText"/>
      </w:pPr>
      <w:r>
        <w:t xml:space="preserve">Day 3: Either Party escalates the unresolved dispute to the Technical Working Group. The Technical Working Group convenes within 48 hours, reviews the full data package, and issues a corroboration report.</w:t>
      </w:r>
    </w:p>
    <w:p>
      <w:pPr>
        <w:pStyle w:val="BodyText"/>
      </w:pPr>
      <w:r>
        <w:t xml:space="preserve">Day 5: Either Party escalates the unresolved dispute to a pre-selected panel of three neutral technical experts. The Swiss facilitator maintains these experts under standing accreditation. The panel reviews all evidence and issues a binding determination on data fidelity. This determination is final. Neither Party appeals it.</w:t>
      </w:r>
    </w:p>
    <w:p>
      <w:pPr>
        <w:pStyle w:val="BodyText"/>
      </w:pPr>
      <w:r>
        <w:t xml:space="preserve">The Shared Digital Registry logs every escalation step automatically. The framework architecture freezes all operational responses to the disputed event for 24 hours upon registration of a technical dispute. This Technical Dispute Hold remains in effect pending Technical Working Group resolution or panel determination. The framework architecture lifts the hold automatically upon resolution.</w:t>
      </w:r>
    </w:p>
    <w:p>
      <w:pPr>
        <w:pStyle w:val="BodyText"/>
      </w:pPr>
      <w:r>
        <w:t xml:space="preserve">2.4 Automatic Suspension for Monitoring Failure</w:t>
      </w:r>
      <w:r>
        <w:t xml:space="preserve"> </w:t>
      </w:r>
      <w:r>
        <w:t xml:space="preserve">This is the sole exception to the human-in-the-loop requirement: a purely technical, automatic trigger.</w:t>
      </w:r>
    </w:p>
    <w:p>
      <w:pPr>
        <w:pStyle w:val="BodyText"/>
      </w:pPr>
      <w:r>
        <w:t xml:space="preserve">Trigger: If telemetry from a verification-relevant facility is unavailable for 48 consecutive hours, and the Technical Working Group certifies that this unavailability is not due to equipment failure or maintenance:</w:t>
      </w:r>
    </w:p>
    <w:p>
      <w:pPr>
        <w:pStyle w:val="BodyText"/>
      </w:pPr>
      <w:r>
        <w:t xml:space="preserve">All framework benefits related to that facility suspend automatically. No human veto overrides this suspension. The suspension lifts immediately upon Technical Working Group certification that telemetry restores and verifies as authentic. This automatic suspension is the only penalty that activates without executive consultation.</w:t>
      </w:r>
    </w:p>
    <w:bookmarkEnd w:id="119"/>
    <w:bookmarkStart w:id="120" w:name="section-3-notification-protocol"/>
    <w:p>
      <w:pPr>
        <w:pStyle w:val="Heading3"/>
      </w:pPr>
      <w:r>
        <w:t xml:space="preserve">Section 3: Notification Protocol</w:t>
      </w:r>
    </w:p>
    <w:p>
      <w:pPr>
        <w:pStyle w:val="FirstParagraph"/>
      </w:pPr>
      <w:r>
        <w:t xml:space="preserve">All formal notifications required under this Method transmit through the Shared Digital Registry. The Registry distributes notifications automatically to all relevant recipients according to the following routing hierarchy:</w:t>
      </w:r>
    </w:p>
    <w:p>
      <w:pPr>
        <w:pStyle w:val="BodyText"/>
      </w:pPr>
      <w:r>
        <w:t xml:space="preserve">Operational notifications: Anomalies, data disputes, and technical findings route to the Joint Monitoring Cell and both Parties.</w:t>
      </w:r>
    </w:p>
    <w:p>
      <w:pPr>
        <w:pStyle w:val="BodyText"/>
      </w:pPr>
      <w:r>
        <w:t xml:space="preserve">Political notifications: Extension requests, pilot exit notices, and consent to final arrangements route to the Permanent Coordination Council, both Parties, and the Guarantor Matrix.</w:t>
      </w:r>
    </w:p>
    <w:p>
      <w:pPr>
        <w:pStyle w:val="BodyText"/>
      </w:pPr>
      <w:r>
        <w:t xml:space="preserve">Financial notifications: Payments, bond releases, and audit requests route to the Swiss facilitator, the Joint Monitoring Cell, and both Parties.</w:t>
      </w:r>
    </w:p>
    <w:p>
      <w:pPr>
        <w:pStyle w:val="BodyText"/>
      </w:pPr>
      <w:r>
        <w:t xml:space="preserve">The Shared Digital Registry timestamps every notification at transmission. The framework architecture deems a notification received by all required recipients at the moment of transmission.</w:t>
      </w:r>
    </w:p>
    <w:p>
      <w:pPr>
        <w:pStyle w:val="BodyText"/>
      </w:pPr>
      <w:r>
        <w:t xml:space="preserve">Either Party requests confirmation of delivery for any notification. The Joint Monitoring Cell Duty Officer confirms delivery within 4 hours of the request. Failed delivery triggers automatic escalation to the Swiss facilitator for alternative routing.</w:t>
      </w:r>
    </w:p>
    <w:bookmarkEnd w:id="120"/>
    <w:bookmarkEnd w:id="121"/>
    <w:bookmarkStart w:id="129" w:name="part-ii-adversarial-claim-verification"/>
    <w:p>
      <w:pPr>
        <w:pStyle w:val="Heading2"/>
      </w:pPr>
      <w:r>
        <w:t xml:space="preserve">Part Ii: Adversarial Claim Verification</w:t>
      </w:r>
    </w:p>
    <w:bookmarkStart w:id="122" w:name="Xdadf0b029be8d9f9f0ffe78d1c24b3518d7353c"/>
    <w:p>
      <w:pPr>
        <w:pStyle w:val="Heading3"/>
      </w:pPr>
      <w:r>
        <w:t xml:space="preserve">Section 4: Verification Bond And Financial Architecture</w:t>
      </w:r>
    </w:p>
    <w:p>
      <w:pPr>
        <w:pStyle w:val="FirstParagraph"/>
      </w:pPr>
      <w:r>
        <w:t xml:space="preserve">4.1 Verification Bond</w:t>
      </w:r>
      <w:r>
        <w:t xml:space="preserve"> </w:t>
      </w:r>
      <w:r>
        <w:t xml:space="preserve">Both Parties deposit a Verification Bond with the Swiss facilitator before the Testing Phase commences. The framework architecture treats the bond as a performance stake, not a fee. Neither Party recovers its bond automatically. Recovery depends on demonstrated good faith participation.</w:t>
      </w:r>
    </w:p>
    <w:p>
      <w:pPr>
        <w:pStyle w:val="BodyText"/>
      </w:pPr>
      <w:r>
        <w:t xml:space="preserve">Party: Claimant Party</w:t>
      </w:r>
      <w:r>
        <w:t xml:space="preserve"> </w:t>
      </w:r>
      <w:r>
        <w:t xml:space="preserve">Bond Amount: 200 credits</w:t>
      </w:r>
      <w:r>
        <w:t xml:space="preserve"> </w:t>
      </w:r>
      <w:r>
        <w:t xml:space="preserve">Release Condition: The Claimant Party accumulates 50 or more verified credits</w:t>
      </w:r>
      <w:r>
        <w:t xml:space="preserve"> </w:t>
      </w:r>
      <w:r>
        <w:t xml:space="preserve">Forfeit Condition: The Claimant Party submits zero verifiable claims during the Testing Phase</w:t>
      </w:r>
    </w:p>
    <w:p>
      <w:pPr>
        <w:pStyle w:val="BodyText"/>
      </w:pPr>
      <w:r>
        <w:t xml:space="preserve">Party: Verifier Party</w:t>
      </w:r>
      <w:r>
        <w:t xml:space="preserve"> </w:t>
      </w:r>
      <w:r>
        <w:t xml:space="preserve">Bond Amount: 200 credits</w:t>
      </w:r>
      <w:r>
        <w:t xml:space="preserve"> </w:t>
      </w:r>
      <w:r>
        <w:t xml:space="preserve">Release Condition: Verifier objections achieve 50 percent or greater upheld rate</w:t>
      </w:r>
      <w:r>
        <w:t xml:space="preserve"> </w:t>
      </w:r>
      <w:r>
        <w:t xml:space="preserve">Forfeit Condition: Frivolous objection rate exceeds 30 percent</w:t>
      </w:r>
    </w:p>
    <w:p>
      <w:pPr>
        <w:pStyle w:val="BodyText"/>
      </w:pPr>
      <w:r>
        <w:t xml:space="preserve">The Swiss facilitator holds both bonds in a dedicated sub-account of the escrow. The framework architecture releases each bond automatically upon satisfaction of the release condition. The framework architecture forfeits each bond automatically upon satisfaction of the forfeit condition. Bond status appears on the Compliance Dashboard at all times.</w:t>
      </w:r>
    </w:p>
    <w:p>
      <w:pPr>
        <w:pStyle w:val="BodyText"/>
      </w:pPr>
      <w:r>
        <w:t xml:space="preserve">4.2 Contingency Reserve</w:t>
      </w:r>
      <w:r>
        <w:t xml:space="preserve"> </w:t>
      </w:r>
      <w:r>
        <w:t xml:space="preserve">The escrow mechanism maintains a contingency reserve equal to 10 percent of the total Testing Phase and Cooling-Off Period allocation. The Swiss facilitator releases this reserve only upon joint written request from both Parties or upon certification by the Joint Monitoring Cell Chief Technical Officer that operational costs exceed the released tranches by more than 10 percent. The Shared Digital Registry logs all contingency releases with supporting justification. The contingency reserve protects against minor cost overruns without creating a political dispute.</w:t>
      </w:r>
    </w:p>
    <w:p>
      <w:pPr>
        <w:pStyle w:val="BodyText"/>
      </w:pPr>
      <w:r>
        <w:t xml:space="preserve">4.3 Budget Continuity</w:t>
      </w:r>
      <w:r>
        <w:t xml:space="preserve"> </w:t>
      </w:r>
      <w:r>
        <w:t xml:space="preserve">All escrow budget tranches released prior to fallback activation remain fully available during any fallback or extension period. The Swiss facilitator maintains the escrow accounts and disbursement mechanisms without interruption. Neither Party renegotiates or recalls released funds solely because of fallback activation. Budget continuity ensures that monitoring operations continue without funding gaps during political stalemate.</w:t>
      </w:r>
    </w:p>
    <w:bookmarkEnd w:id="122"/>
    <w:bookmarkStart w:id="123" w:name="section-5-claim-submission-and-bundling"/>
    <w:p>
      <w:pPr>
        <w:pStyle w:val="Heading3"/>
      </w:pPr>
      <w:r>
        <w:t xml:space="preserve">Section 5: Claim Submission And Bundling</w:t>
      </w:r>
    </w:p>
    <w:p>
      <w:pPr>
        <w:pStyle w:val="FirstParagraph"/>
      </w:pPr>
      <w:r>
        <w:t xml:space="preserve">5.1 Claim Submission Requirements</w:t>
      </w:r>
      <w:r>
        <w:t xml:space="preserve"> </w:t>
      </w:r>
      <w:r>
        <w:t xml:space="preserve">The Claimant Party submits a service claim through the Shared Digital Registry. Every claim requires primary evidence, supporting documentation, and certification by the Claimant Party’s Joint Monitoring Cell liaison.</w:t>
      </w:r>
    </w:p>
    <w:p>
      <w:pPr>
        <w:pStyle w:val="BodyText"/>
      </w:pPr>
      <w:r>
        <w:t xml:space="preserve">Primary evidence: Telemetry, radar data, operational logs, or equivalent objective recordings. Time limit: 24 hours from service delivery.</w:t>
      </w:r>
    </w:p>
    <w:p>
      <w:pPr>
        <w:pStyle w:val="BodyText"/>
      </w:pPr>
      <w:r>
        <w:t xml:space="preserve">Supporting documentation: Time-stamped operational logs with chain-of-custody records. Time limit: 24 hours from service delivery.</w:t>
      </w:r>
    </w:p>
    <w:p>
      <w:pPr>
        <w:pStyle w:val="BodyText"/>
      </w:pPr>
      <w:r>
        <w:t xml:space="preserve">Joint Monitoring Cell liaison certification: Signed attestation by the accredited national representative. Time limit: 24 hours from service delivery.</w:t>
      </w:r>
    </w:p>
    <w:p>
      <w:pPr>
        <w:pStyle w:val="BodyText"/>
      </w:pPr>
      <w:r>
        <w:t xml:space="preserve">The Joint Monitoring Cell timestamps every claim upon receipt. The timestamp determines the claim’s position in the review queue and its eligibility for the rapid-response bonus. Claims arriving without all three components return to the Claimant Party automatically. The Claimant Party corrects and resubmits the claim within the original 24-hour window.</w:t>
      </w:r>
    </w:p>
    <w:p>
      <w:pPr>
        <w:pStyle w:val="BodyText"/>
      </w:pPr>
      <w:r>
        <w:t xml:space="preserve">5.2 Bundled Claims</w:t>
      </w:r>
      <w:r>
        <w:t xml:space="preserve"> </w:t>
      </w:r>
      <w:r>
        <w:t xml:space="preserve">The Claimant Party submits bundled claims for repetitive services in a single submission. A bundle covers multiple instances of the same service type across a defined period. The bundle includes all required evidence for each instance. The Joint Monitoring Cell verifies the bundle as a single claim for purposes of pacing limits and credit calculation. The credit value for a bundle equals the sum of the individual instance credits. Bundling reduces administrative burden for routine services and allows the Joint Monitoring Cell to focus on higher-value or contested claims.</w:t>
      </w:r>
    </w:p>
    <w:bookmarkEnd w:id="123"/>
    <w:bookmarkStart w:id="124" w:name="X14923836bed244b46c88681ec3227a4c9e344d9"/>
    <w:p>
      <w:pPr>
        <w:pStyle w:val="Heading3"/>
      </w:pPr>
      <w:r>
        <w:t xml:space="preserve">Section 6: Initial Verification And The Verification Fund</w:t>
      </w:r>
    </w:p>
    <w:p>
      <w:pPr>
        <w:pStyle w:val="FirstParagraph"/>
      </w:pPr>
      <w:r>
        <w:t xml:space="preserve">6.1 Confirmation Levels</w:t>
      </w:r>
      <w:r>
        <w:t xml:space="preserve"> </w:t>
      </w:r>
      <w:r>
        <w:t xml:space="preserve">The Technical Working Group assesses every submitted claim against the objective data in the Shared Digital Registry. The Group compares the Claimant Party’s evidence against the golden record: the unalterable, cryptographically sealed data stream that both Parties contribute to continuously.</w:t>
      </w:r>
    </w:p>
    <w:p>
      <w:pPr>
        <w:pStyle w:val="BodyText"/>
      </w:pPr>
      <w:r>
        <w:t xml:space="preserve">The Technical Working Group assigns a confirmation level to every claim:</w:t>
      </w:r>
    </w:p>
    <w:p>
      <w:pPr>
        <w:pStyle w:val="BodyText"/>
      </w:pPr>
      <w:r>
        <w:t xml:space="preserve">Full confirmation: 100 percent data alignment between claim and golden record. Effect: Verifier challenge cost multiplies by 1.5 times.</w:t>
      </w:r>
    </w:p>
    <w:p>
      <w:pPr>
        <w:pStyle w:val="BodyText"/>
      </w:pPr>
      <w:r>
        <w:t xml:space="preserve">Partial confirmation: 50 to 99 percent data alignment. Effect: Verifier challenge cost remains at standard rate.</w:t>
      </w:r>
    </w:p>
    <w:p>
      <w:pPr>
        <w:pStyle w:val="BodyText"/>
      </w:pPr>
      <w:r>
        <w:t xml:space="preserve">No confirmation: Below 50 percent data alignment. Effect: Verifier challenge cost reduces to 0.5 times.</w:t>
      </w:r>
    </w:p>
    <w:p>
      <w:pPr>
        <w:pStyle w:val="BodyText"/>
      </w:pPr>
      <w:r>
        <w:t xml:space="preserve">6.2 Credit Accumulation</w:t>
      </w:r>
      <w:r>
        <w:t xml:space="preserve"> </w:t>
      </w:r>
      <w:r>
        <w:t xml:space="preserve">Upon confirmation by the Technical Working Group, the claim enters the Verification Fund. Credits accumulate according to the following schedule:</w:t>
      </w:r>
    </w:p>
    <w:p>
      <w:pPr>
        <w:pStyle w:val="BodyText"/>
      </w:pPr>
      <w:r>
        <w:t xml:space="preserve">Service Type: Primary monitoring (per day)</w:t>
      </w:r>
      <w:r>
        <w:t xml:space="preserve"> </w:t>
      </w:r>
      <w:r>
        <w:t xml:space="preserve">Base Credit Value: 5 credits</w:t>
      </w:r>
      <w:r>
        <w:t xml:space="preserve"> </w:t>
      </w:r>
      <w:r>
        <w:t xml:space="preserve">Rapid-Confirmation Bonus (within 12 hours): +1 credit</w:t>
      </w:r>
    </w:p>
    <w:p>
      <w:pPr>
        <w:pStyle w:val="BodyText"/>
      </w:pPr>
      <w:r>
        <w:t xml:space="preserve">Service Type: Secondary observation (per incident)</w:t>
      </w:r>
      <w:r>
        <w:t xml:space="preserve"> </w:t>
      </w:r>
      <w:r>
        <w:t xml:space="preserve">Base Credit Value: 8 credits</w:t>
      </w:r>
      <w:r>
        <w:t xml:space="preserve"> </w:t>
      </w:r>
      <w:r>
        <w:t xml:space="preserve">Rapid-Confirmation Bonus (within 12 hours): +1 credit</w:t>
      </w:r>
    </w:p>
    <w:p>
      <w:pPr>
        <w:pStyle w:val="BodyText"/>
      </w:pPr>
      <w:r>
        <w:t xml:space="preserve">Service Type: Environmental or hazard response (per incident)</w:t>
      </w:r>
      <w:r>
        <w:t xml:space="preserve"> </w:t>
      </w:r>
      <w:r>
        <w:t xml:space="preserve">Base Credit Value: 6 credits</w:t>
      </w:r>
      <w:r>
        <w:t xml:space="preserve"> </w:t>
      </w:r>
      <w:r>
        <w:t xml:space="preserve">Rapid-Confirmation Bonus (within 12 hours): +1 credit</w:t>
      </w:r>
    </w:p>
    <w:p>
      <w:pPr>
        <w:pStyle w:val="BodyText"/>
      </w:pPr>
      <w:r>
        <w:t xml:space="preserve">Service Type: Infrastructure clearance (per linear kilometer)</w:t>
      </w:r>
      <w:r>
        <w:t xml:space="preserve"> </w:t>
      </w:r>
      <w:r>
        <w:t xml:space="preserve">Base Credit Value: 10 credits</w:t>
      </w:r>
      <w:r>
        <w:t xml:space="preserve"> </w:t>
      </w:r>
      <w:r>
        <w:t xml:space="preserve">Rapid-Confirmation Bonus (within 12 hours): +2 credits</w:t>
      </w:r>
    </w:p>
    <w:p>
      <w:pPr>
        <w:pStyle w:val="BodyText"/>
      </w:pPr>
      <w:r>
        <w:t xml:space="preserve">The framework architecture awards the rapid-confirmation bonus automatically when the Technical Working Group confirms the claim within 12 hours of submission. The bonus rewards prompt, well-documented claims and accelerates the verification pipeline.</w:t>
      </w:r>
    </w:p>
    <w:p>
      <w:pPr>
        <w:pStyle w:val="BodyText"/>
      </w:pPr>
      <w:r>
        <w:t xml:space="preserve">The 50-credit threshold determines the Testing Phase outcome. Accumulation of 50 or more verified credits triggers automatic progression to the Cooling-Off Period with positive momentum designation. The framework architecture fixes this threshold. No Party renegotiates it.</w:t>
      </w:r>
    </w:p>
    <w:bookmarkEnd w:id="124"/>
    <w:bookmarkStart w:id="125" w:name="X4f41582927ba43c7e194d565879e37082d65f1a"/>
    <w:p>
      <w:pPr>
        <w:pStyle w:val="Heading3"/>
      </w:pPr>
      <w:r>
        <w:t xml:space="preserve">Section 7: Adversarial Review And Challenge Phase</w:t>
      </w:r>
    </w:p>
    <w:p>
      <w:pPr>
        <w:pStyle w:val="FirstParagraph"/>
      </w:pPr>
      <w:r>
        <w:t xml:space="preserve">7.1 Challenge Types and Costs</w:t>
      </w:r>
      <w:r>
        <w:t xml:space="preserve"> </w:t>
      </w:r>
      <w:r>
        <w:t xml:space="preserve">The Verifier Party possesses a 48-hour challenge window following Joint Monitoring Cell confirmation of any claim. The Verifier Party exercises this window by submitting a formal objection notice through the Shared Digital Registry. Every objection specifies the exact evidence in dispute and pays the applicable challenge cost from the Verifier Party’s Verification Fund.</w:t>
      </w:r>
    </w:p>
    <w:p>
      <w:pPr>
        <w:pStyle w:val="BodyText"/>
      </w:pPr>
      <w:r>
        <w:t xml:space="preserve">Acceptance: The Verifier Party accepts the confirmation without objection. Cost: 0 credits. Penalty if wrong: None; claim stands; reimbursement proceeds.</w:t>
      </w:r>
    </w:p>
    <w:p>
      <w:pPr>
        <w:pStyle w:val="BodyText"/>
      </w:pPr>
      <w:r>
        <w:t xml:space="preserve">Technical review request: The Verifier Party requests panel review of specific evidence elements. Cost: 5 credits (subject to Joint Monitoring Cell multiplier). Penalty if wrong: 10-credit penalty to Verifier Fund if review confirms claim.</w:t>
      </w:r>
    </w:p>
    <w:p>
      <w:pPr>
        <w:pStyle w:val="BodyText"/>
      </w:pPr>
      <w:r>
        <w:t xml:space="preserve">Full objection: The Verifier Party asserts the claim is false and provides counter-evidence. Cost: 20 credits (subject to Joint Monitoring Cell multiplier). Penalty if wrong: Twice the reimbursement value if objection fails.</w:t>
      </w:r>
    </w:p>
    <w:p>
      <w:pPr>
        <w:pStyle w:val="BodyText"/>
      </w:pPr>
      <w:r>
        <w:t xml:space="preserve">The Technical Review Panel convenes within 24 hours of challenge receipt. Both Parties present evidence to the Panel. The Panel bases its decision solely on the unalterable data in the Shared Digital Registry. The Panel issues a binding determination. The Shared Digital Registry logs the determination with a verification score.</w:t>
      </w:r>
    </w:p>
    <w:p>
      <w:pPr>
        <w:pStyle w:val="BodyText"/>
      </w:pPr>
      <w:r>
        <w:t xml:space="preserve">7.2 Frivolous Review Escalation Ladder</w:t>
      </w:r>
      <w:r>
        <w:t xml:space="preserve"> </w:t>
      </w:r>
      <w:r>
        <w:t xml:space="preserve">The framework architecture treats repeated failed challenges as a systemic risk. A three-strike escalation system applies to failed challenges by either Party. The escalation ladder resets at the start of each new phase.</w:t>
      </w:r>
    </w:p>
    <w:p>
      <w:pPr>
        <w:pStyle w:val="BodyText"/>
      </w:pPr>
      <w:r>
        <w:t xml:space="preserve">First failure: Standard penalty (loss of challenge cost). No procedural consequence.</w:t>
      </w:r>
    </w:p>
    <w:p>
      <w:pPr>
        <w:pStyle w:val="BodyText"/>
      </w:pPr>
      <w:r>
        <w:t xml:space="preserve">Second failure: Double penalty (twice the challenge cost). Procedural consequence: 24-hour challenge moratorium.</w:t>
      </w:r>
    </w:p>
    <w:p>
      <w:pPr>
        <w:pStyle w:val="BodyText"/>
      </w:pPr>
      <w:r>
        <w:t xml:space="preserve">Third failure: Quadruple penalty (four times the challenge cost). Procedural consequence: 72-hour challenge moratorium plus mandatory Permanent Coordination Council review.</w:t>
      </w:r>
    </w:p>
    <w:p>
      <w:pPr>
        <w:pStyle w:val="BodyText"/>
      </w:pPr>
      <w:r>
        <w:t xml:space="preserve">Fourth and subsequent: Quadruple penalty continues. Procedural consequence: Automatic bad-faith designation; all claims by the opposing Party receive automatic verification for 7 days.</w:t>
      </w:r>
    </w:p>
    <w:p>
      <w:pPr>
        <w:pStyle w:val="BodyText"/>
      </w:pPr>
      <w:r>
        <w:t xml:space="preserve">The bad-faith designation is the highest procedural sanction under this Method. It activates automatically upon the fourth failed challenge within a single phase. During the 7-day automatic verification period, claims by the protected Party skip the challenge phase entirely and enter the Verification Fund immediately upon Joint Monitoring Cell confirmation. The Shared Digital Registry publishes the bad-faith designation and its trigger history to both Parties.</w:t>
      </w:r>
    </w:p>
    <w:p>
      <w:pPr>
        <w:pStyle w:val="BodyText"/>
      </w:pPr>
      <w:r>
        <w:t xml:space="preserve">7.3 Anonymous Review Protocol</w:t>
      </w:r>
      <w:r>
        <w:t xml:space="preserve"> </w:t>
      </w:r>
      <w:r>
        <w:t xml:space="preserve">All challenges submit anonymously to the Joint Monitoring Cell. The framework architecture treats the review process as data-driven, not accusatory. Anonymity depersonalizes verification and prevents challenges from becoming diplomatic incidents.</w:t>
      </w:r>
    </w:p>
    <w:p>
      <w:pPr>
        <w:pStyle w:val="BodyText"/>
      </w:pPr>
      <w:r>
        <w:t xml:space="preserve">Challenge submission: The challenged Party receives notice:</w:t>
      </w:r>
      <w:r>
        <w:t xml:space="preserve"> </w:t>
      </w:r>
      <w:r>
        <w:t xml:space="preserve">“</w:t>
      </w:r>
      <w:r>
        <w:t xml:space="preserve">Your claim has been challenged. Submit supporting evidence by [date].</w:t>
      </w:r>
      <w:r>
        <w:t xml:space="preserve">”</w:t>
      </w:r>
      <w:r>
        <w:t xml:space="preserve"> </w:t>
      </w:r>
      <w:r>
        <w:t xml:space="preserve">The challenging Party’s identity remains concealed.</w:t>
      </w:r>
    </w:p>
    <w:p>
      <w:pPr>
        <w:pStyle w:val="BodyText"/>
      </w:pPr>
      <w:r>
        <w:t xml:space="preserve">Adjudication: Both Parties submit evidence to the Panel but do not see each other’s evidence during the review process.</w:t>
      </w:r>
    </w:p>
    <w:p>
      <w:pPr>
        <w:pStyle w:val="BodyText"/>
      </w:pPr>
      <w:r>
        <w:t xml:space="preserve">Upheld claim: The challenger remains anonymous. No Party learns the challenging Party’s identity.</w:t>
      </w:r>
    </w:p>
    <w:p>
      <w:pPr>
        <w:pStyle w:val="BodyText"/>
      </w:pPr>
      <w:r>
        <w:t xml:space="preserve">Overturned claim: The Panel reveals the challenger only to the challenged Party, not publicly. The revelation occurs through secure diplomatic channels, not the Shared Digital Registry.</w:t>
      </w:r>
    </w:p>
    <w:p>
      <w:pPr>
        <w:pStyle w:val="BodyText"/>
      </w:pPr>
      <w:r>
        <w:t xml:space="preserve">The Anonymous Review Protocol protects the integrity of the verification process. A Party that identifies the challenger through evidence patterns bears no penalty for that identification. The framework architecture treats anonymity as a procedural guarantee, not a permanent concealment mechanism.</w:t>
      </w:r>
    </w:p>
    <w:bookmarkEnd w:id="125"/>
    <w:bookmarkStart w:id="126" w:name="X88581e7c852f6144d49054d1b1b7a20e54e3fee"/>
    <w:p>
      <w:pPr>
        <w:pStyle w:val="Heading3"/>
      </w:pPr>
      <w:r>
        <w:t xml:space="preserve">Section 8: Adjudication And Partial Credit</w:t>
      </w:r>
    </w:p>
    <w:p>
      <w:pPr>
        <w:pStyle w:val="FirstParagraph"/>
      </w:pPr>
      <w:r>
        <w:t xml:space="preserve">8.1 Partial Credit Award System</w:t>
      </w:r>
      <w:r>
        <w:t xml:space="preserve"> </w:t>
      </w:r>
      <w:r>
        <w:t xml:space="preserve">The Technical Review Panel awards partial credit when a claim contains both accurate and inaccurate elements. The all-or-nothing approach creates inflation incentives. Partial credit rewards precision and penalizes exaggeration proportionally.</w:t>
      </w:r>
    </w:p>
    <w:p>
      <w:pPr>
        <w:pStyle w:val="BodyText"/>
      </w:pPr>
      <w:r>
        <w:t xml:space="preserve">90 to 100 percent accuracy: Full credit plus rapid-confirmation bonus. 100 percent reimbursement.</w:t>
      </w:r>
    </w:p>
    <w:p>
      <w:pPr>
        <w:pStyle w:val="BodyText"/>
      </w:pPr>
      <w:r>
        <w:t xml:space="preserve">70 to 89 percent accuracy: 75 percent of base credit. 75 percent reimbursement.</w:t>
      </w:r>
    </w:p>
    <w:p>
      <w:pPr>
        <w:pStyle w:val="BodyText"/>
      </w:pPr>
      <w:r>
        <w:t xml:space="preserve">50 to 69 percent accuracy: 50 percent of base credit. 50 percent reimbursement.</w:t>
      </w:r>
    </w:p>
    <w:p>
      <w:pPr>
        <w:pStyle w:val="BodyText"/>
      </w:pPr>
      <w:r>
        <w:t xml:space="preserve">Below 50 percent accuracy: 0 credit; claim rejection. No reimbursement; penalty applies per the Frivolous Review Escalation Ladder.</w:t>
      </w:r>
    </w:p>
    <w:p>
      <w:pPr>
        <w:pStyle w:val="BodyText"/>
      </w:pPr>
      <w:r>
        <w:t xml:space="preserve">The Panel determines accuracy percentage by comparing the claim’s scope, location, timing, and outcome against the golden record. The Panel publishes its percentage calculation methodology with every determination.</w:t>
      </w:r>
    </w:p>
    <w:p>
      <w:pPr>
        <w:pStyle w:val="BodyText"/>
      </w:pPr>
      <w:r>
        <w:t xml:space="preserve">8.2 Escrow Reserve for High-Value Claims</w:t>
      </w:r>
      <w:r>
        <w:t xml:space="preserve"> </w:t>
      </w:r>
      <w:r>
        <w:t xml:space="preserve">High-value claims carry disproportionate score risk. A single rejected major claim eliminates a Party’s accumulated progress. The Escrow Reserve reduces this risk by holding a portion of the claim’s credit value in suspense until adjudication completes.</w:t>
      </w:r>
    </w:p>
    <w:p>
      <w:pPr>
        <w:pStyle w:val="BodyText"/>
      </w:pPr>
      <w:r>
        <w:t xml:space="preserve">0 to 20 credits: No reserve. Full credit value enters the Verification Fund immediately upon confirmation.</w:t>
      </w:r>
    </w:p>
    <w:p>
      <w:pPr>
        <w:pStyle w:val="BodyText"/>
      </w:pPr>
      <w:r>
        <w:t xml:space="preserve">21 to 50 credits: 50 percent held in reserve. 50 percent enters the Fund upon confirmation; remaining 50 percent releases upon final adjudication.</w:t>
      </w:r>
    </w:p>
    <w:p>
      <w:pPr>
        <w:pStyle w:val="BodyText"/>
      </w:pPr>
      <w:r>
        <w:t xml:space="preserve">51 credits and above: 75 percent held in reserve. 25 percent enters the Fund upon confirmation; remaining 75 percent releases upon final adjudication.</w:t>
      </w:r>
    </w:p>
    <w:p>
      <w:pPr>
        <w:pStyle w:val="BodyText"/>
      </w:pPr>
      <w:r>
        <w:t xml:space="preserve">The framework architecture releases reserved credits automatically upon claim verification. The framework architecture forfeits reserved credits automatically upon claim rejection. The Escrow Reserve protects the Claimant Party from catastrophic score loss while maintaining the Verifier Party’s incentive to challenge inflated claims.</w:t>
      </w:r>
    </w:p>
    <w:bookmarkEnd w:id="126"/>
    <w:bookmarkStart w:id="127" w:name="section-9-third-party-expert-oversight"/>
    <w:p>
      <w:pPr>
        <w:pStyle w:val="Heading3"/>
      </w:pPr>
      <w:r>
        <w:t xml:space="preserve">Section 9: Third-Party Expert Oversight</w:t>
      </w:r>
    </w:p>
    <w:p>
      <w:pPr>
        <w:pStyle w:val="FirstParagraph"/>
      </w:pPr>
      <w:r>
        <w:t xml:space="preserve">9.1 Expert Pool</w:t>
      </w:r>
      <w:r>
        <w:t xml:space="preserve"> </w:t>
      </w:r>
      <w:r>
        <w:t xml:space="preserve">The framework architecture maintains a standing pool of five neutral technical experts. The Swiss facilitator accredits all five experts before the Testing Phase begins. Each expert holds technical qualifications in telemetry, data forensics, or a related field. No expert holds nationality from either Party.</w:t>
      </w:r>
    </w:p>
    <w:p>
      <w:pPr>
        <w:pStyle w:val="BodyText"/>
      </w:pPr>
      <w:r>
        <w:t xml:space="preserve">Pool coordinator and tie-breaker: Switzerland</w:t>
      </w:r>
      <w:r>
        <w:t xml:space="preserve"> </w:t>
      </w:r>
      <w:r>
        <w:t xml:space="preserve">Telemetry and sensor expert: Japan</w:t>
      </w:r>
      <w:r>
        <w:t xml:space="preserve"> </w:t>
      </w:r>
      <w:r>
        <w:t xml:space="preserve">Regional operations expert: United Arab Emirates</w:t>
      </w:r>
      <w:r>
        <w:t xml:space="preserve"> </w:t>
      </w:r>
      <w:r>
        <w:t xml:space="preserve">Maritime traffic systems expert: Singapore</w:t>
      </w:r>
      <w:r>
        <w:t xml:space="preserve"> </w:t>
      </w:r>
      <w:r>
        <w:t xml:space="preserve">Rotating expert: A state not party to this framework, selected by mutual agreement</w:t>
      </w:r>
    </w:p>
    <w:p>
      <w:pPr>
        <w:pStyle w:val="BodyText"/>
      </w:pPr>
      <w:r>
        <w:t xml:space="preserve">9.2 Second Opinion Mechanism</w:t>
      </w:r>
      <w:r>
        <w:t xml:space="preserve"> </w:t>
      </w:r>
      <w:r>
        <w:t xml:space="preserve">Either Party challenges a Panel determination by requesting a Second Opinion. The Swiss facilitator randomly selects one expert from the pool. The selected expert reviews all evidence independently and issues a Second Opinion within 72 hours.</w:t>
      </w:r>
    </w:p>
    <w:p>
      <w:pPr>
        <w:pStyle w:val="BodyText"/>
      </w:pPr>
      <w:r>
        <w:t xml:space="preserve">Second Opinion confirms the Panel determination: The challenging Party loses 10 credits from its Verification Fund as a procedural penalty.</w:t>
      </w:r>
    </w:p>
    <w:p>
      <w:pPr>
        <w:pStyle w:val="BodyText"/>
      </w:pPr>
      <w:r>
        <w:t xml:space="preserve">Second Opinion overturns the Panel determination: The Panel’s decision vacates automatically; the claim re-adjudicates with the Second Opinion as the authoritative finding; the vacated Panel members rotate out and the Swiss facilitator appoints replacements within 14 days.</w:t>
      </w:r>
    </w:p>
    <w:p>
      <w:pPr>
        <w:pStyle w:val="BodyText"/>
      </w:pPr>
      <w:r>
        <w:t xml:space="preserve">The Second Opinion mechanism provides a check on Panel error without paralyzing the verification pipeline. The 10-credit penalty for a failed Second Opinion request prevents frivolous appeals. The automatic Panel rotation ensures accountability without personalizing the outcome.</w:t>
      </w:r>
    </w:p>
    <w:bookmarkEnd w:id="127"/>
    <w:bookmarkStart w:id="128" w:name="section-10-pacing-buffer"/>
    <w:p>
      <w:pPr>
        <w:pStyle w:val="Heading3"/>
      </w:pPr>
      <w:r>
        <w:t xml:space="preserve">Section 10: Pacing Buffer</w:t>
      </w:r>
    </w:p>
    <w:p>
      <w:pPr>
        <w:pStyle w:val="FirstParagraph"/>
      </w:pPr>
      <w:r>
        <w:t xml:space="preserve">The framework architecture enforces pacing limits that prevent either Party from flooding the system with claims or challenges. The limits scale by phase and prioritize quality over volume.</w:t>
      </w:r>
    </w:p>
    <w:p>
      <w:pPr>
        <w:pStyle w:val="BodyText"/>
      </w:pPr>
      <w:r>
        <w:t xml:space="preserve">Days 1 through 10 (Testing Phase): Maximum 3 claims per day, 2 challenges per day.</w:t>
      </w:r>
      <w:r>
        <w:t xml:space="preserve"> </w:t>
      </w:r>
      <w:r>
        <w:t xml:space="preserve">Days 11 through 14 (Testing Phase): Maximum 5 claims per day, 3 challenges per day.</w:t>
      </w:r>
      <w:r>
        <w:t xml:space="preserve"> </w:t>
      </w:r>
      <w:r>
        <w:t xml:space="preserve">Days 15 through 44 (Cooling-Off Period): Maximum 2 claims per day, 2 challenges per day.</w:t>
      </w:r>
      <w:r>
        <w:t xml:space="preserve"> </w:t>
      </w:r>
      <w:r>
        <w:t xml:space="preserve">Final 5 days before Decision Point: Maximum 1 claim per day, 1 challenge per day.</w:t>
      </w:r>
    </w:p>
    <w:p>
      <w:pPr>
        <w:pStyle w:val="BodyText"/>
      </w:pPr>
      <w:r>
        <w:t xml:space="preserve">The Joint Monitoring Cell enforces pacing limits automatically. Claims or challenges exceeding the daily limit queue for the next available day. The Shared Digital Registry displays the current day’s utilization status for both Parties. Neither Party gains priority from queue position.</w:t>
      </w:r>
    </w:p>
    <w:bookmarkEnd w:id="128"/>
    <w:bookmarkEnd w:id="129"/>
    <w:bookmarkStart w:id="134" w:name="Xc155d0a42b3ea0b62fbfca09058bc64eaabd17a"/>
    <w:p>
      <w:pPr>
        <w:pStyle w:val="Heading2"/>
      </w:pPr>
      <w:r>
        <w:t xml:space="preserve">Part Iii: The Step-Back And Earn-Back Compliance Engine</w:t>
      </w:r>
    </w:p>
    <w:bookmarkStart w:id="130" w:name="X61666d0b2631ca29184bdcc3d35442a3808a731"/>
    <w:p>
      <w:pPr>
        <w:pStyle w:val="Heading3"/>
      </w:pPr>
      <w:r>
        <w:t xml:space="preserve">Section 11: Three-Tier Breach Classification</w:t>
      </w:r>
    </w:p>
    <w:p>
      <w:pPr>
        <w:pStyle w:val="FirstParagraph"/>
      </w:pPr>
      <w:r>
        <w:t xml:space="preserve">All compliance events sort into one of three tiers based on severity, intent, and material impact. This classification determines every subsequent response.</w:t>
      </w:r>
    </w:p>
    <w:p>
      <w:pPr>
        <w:pStyle w:val="BodyText"/>
      </w:pPr>
      <w:r>
        <w:t xml:space="preserve">11.1 Tier 1: Technical Dispute (De Minimis)</w:t>
      </w:r>
      <w:r>
        <w:t xml:space="preserve"> </w:t>
      </w:r>
      <w:r>
        <w:t xml:space="preserve">Telemetry signature: Verification readings measure less than 0.5 percent above the agreed ceiling. Two or fewer verification elements found outside agreed status. Reporting delays of 48 hours or less attributable to administrative or technical causes. Minor sensor data transmission interruptions with documented cause. Scheduled sensor maintenance within the 48-hour advance notice window.</w:t>
      </w:r>
    </w:p>
    <w:p>
      <w:pPr>
        <w:pStyle w:val="BodyText"/>
      </w:pPr>
      <w:r>
        <w:t xml:space="preserve">Base response: No benefit reduction. No step-back triggers. The Joint Monitoring Cell provides technical assistance within 72 hours. Engineering resolution window: 14 days. Confidential handling. No public disclosure. Quiet compliance correction through standard technical channels.</w:t>
      </w:r>
    </w:p>
    <w:p>
      <w:pPr>
        <w:pStyle w:val="BodyText"/>
      </w:pPr>
      <w:r>
        <w:t xml:space="preserve">De minimis thresholds: Tier 1 events do not accumulate toward Tier 2. Each Tier 1 event resolves independently.</w:t>
      </w:r>
    </w:p>
    <w:p>
      <w:pPr>
        <w:pStyle w:val="BodyText"/>
      </w:pPr>
      <w:r>
        <w:t xml:space="preserve">11.2 Tier 2: Material Disruption</w:t>
      </w:r>
      <w:r>
        <w:t xml:space="preserve"> </w:t>
      </w:r>
      <w:r>
        <w:t xml:space="preserve">Telemetry signature: Verification readings exceed 0.5 percent above ceiling. More than 2 verification elements outside agreed status. More than 72 hours of Joint Monitoring Cell obstruction or denied access. Unscheduled sensor downtime exceeding 4 hours without documented cause. Pattern of anomalous readings suggesting systematic data manipulation. Confirmed evidence of sensor tampering, deliberate disablement, or material diversion. Falsified telemetry data submission. Any discovered backdoor in cryptographic systems.</w:t>
      </w:r>
    </w:p>
    <w:p>
      <w:pPr>
        <w:pStyle w:val="BodyText"/>
      </w:pPr>
      <w:r>
        <w:t xml:space="preserve">Base response (graduated by duration):</w:t>
      </w:r>
      <w:r>
        <w:t xml:space="preserve"> </w:t>
      </w:r>
      <w:r>
        <w:t xml:space="preserve">Days 1 through 7 of disruption: 10 percent reduction in non-humanitarian benefits.</w:t>
      </w:r>
      <w:r>
        <w:t xml:space="preserve"> </w:t>
      </w:r>
      <w:r>
        <w:t xml:space="preserve">Days 7 through 14 of disruption: 15 percent reduction in non-humanitarian benefits.</w:t>
      </w:r>
      <w:r>
        <w:t xml:space="preserve"> </w:t>
      </w:r>
      <w:r>
        <w:t xml:space="preserve">Days 15 through 30 of disruption: 25 percent reduction in non-humanitarian benefits.</w:t>
      </w:r>
      <w:r>
        <w:t xml:space="preserve"> </w:t>
      </w:r>
      <w:r>
        <w:t xml:space="preserve">After 30 days: 25 percent reduction plus mandatory referral to the Guarantor Matrix.</w:t>
      </w:r>
    </w:p>
    <w:p>
      <w:pPr>
        <w:pStyle w:val="BodyText"/>
      </w:pPr>
      <w:r>
        <w:t xml:space="preserve">Protections during Tier 2: Humanitarian tranches remain fully protected at all times. No Tier 2 penalty touches food, medicine, medical equipment, or safety payments. The Political Discretion Fund remains exempt from all Tier 2 reductions. The Joint Monitoring Cell convenes within 24 hours of Tier 2 classification. A 30-day remediation window opens automatically. Executive consultation occurs before any penalty activates.</w:t>
      </w:r>
    </w:p>
    <w:p>
      <w:pPr>
        <w:pStyle w:val="BodyText"/>
      </w:pPr>
      <w:r>
        <w:t xml:space="preserve">11.3 Tier 3: Deliberate Hostile Violation</w:t>
      </w:r>
      <w:r>
        <w:t xml:space="preserve"> </w:t>
      </w:r>
      <w:r>
        <w:t xml:space="preserve">Telemetry signature: Prohibited weapons activity detected. Fissile or hazardous material diversion confirmed. Physical attack on inspectors or facilities. Confirmed deliberate compromise of framework sensors that undermines the entire verification architecture. Submission of deliberately falsified telemetry data that, if believed, would have triggered automatic step-back or military response. Systematic pattern of Tier 2 violations demonstrating institutional bad faith.</w:t>
      </w:r>
    </w:p>
    <w:p>
      <w:pPr>
        <w:pStyle w:val="BodyText"/>
      </w:pPr>
      <w:r>
        <w:t xml:space="preserve">Base response (graduated by response speed):</w:t>
      </w:r>
      <w:r>
        <w:t xml:space="preserve"> </w:t>
      </w:r>
      <w:r>
        <w:t xml:space="preserve">Immediate remediation begins within 72 hours of detection: 25 percent reduction in benefits.</w:t>
      </w:r>
      <w:r>
        <w:t xml:space="preserve"> </w:t>
      </w:r>
      <w:r>
        <w:t xml:space="preserve">After 72 hours without remediation: 35 percent reduction in benefits.</w:t>
      </w:r>
      <w:r>
        <w:t xml:space="preserve"> </w:t>
      </w:r>
      <w:r>
        <w:t xml:space="preserve">After 30 days without remediation: 50 percent reduction in benefits.</w:t>
      </w:r>
    </w:p>
    <w:p>
      <w:pPr>
        <w:pStyle w:val="BodyText"/>
      </w:pPr>
      <w:r>
        <w:t xml:space="preserve">Additional Tier 3 measures: All Tier 3-classified modules enter hold status. The framework architecture mandates a 90-day remediation window. The Guarantor Matrix convenes within 48 hours. Full earn-back requires 90 consecutive days of sustained clean compliance plus clean certification plus majority confirmation.</w:t>
      </w:r>
    </w:p>
    <w:bookmarkEnd w:id="130"/>
    <w:bookmarkStart w:id="131" w:name="Xa1de678f2d08c469c5c63ee4a3645eda46179de"/>
    <w:p>
      <w:pPr>
        <w:pStyle w:val="Heading3"/>
      </w:pPr>
      <w:r>
        <w:t xml:space="preserve">Section 12: The Graduated Step-Back Mechanism</w:t>
      </w:r>
    </w:p>
    <w:p>
      <w:pPr>
        <w:pStyle w:val="FirstParagraph"/>
      </w:pPr>
      <w:r>
        <w:t xml:space="preserve">The step-back mechanism operates on three principles:</w:t>
      </w:r>
    </w:p>
    <w:p>
      <w:pPr>
        <w:pStyle w:val="BodyText"/>
      </w:pPr>
      <w:r>
        <w:t xml:space="preserve">12.1 Proportionality</w:t>
      </w:r>
      <w:r>
        <w:t xml:space="preserve"> </w:t>
      </w:r>
      <w:r>
        <w:t xml:space="preserve">Step-back reductions match the severity and duration of the breach. Minor or quickly-cured violations trigger reduced penalties. Full reductions apply only after the remediation window expires without compliance. This proportionality rule prevents minor technical glitches from producing disproportionate economic punishment.</w:t>
      </w:r>
    </w:p>
    <w:p>
      <w:pPr>
        <w:pStyle w:val="BodyText"/>
      </w:pPr>
      <w:r>
        <w:t xml:space="preserve">Penalty formula: Penalty equals Base Tier Penalty multiplied by Duration Multiplier multiplied by Remediation Factor.</w:t>
      </w:r>
    </w:p>
    <w:p>
      <w:pPr>
        <w:pStyle w:val="BodyText"/>
      </w:pPr>
      <w:r>
        <w:t xml:space="preserve">Duration Multiplier scales from 0.4 (corrected within 24 hours) to 1.0 (remediation window expires uncured).</w:t>
      </w:r>
      <w:r>
        <w:t xml:space="preserve"> </w:t>
      </w:r>
      <w:r>
        <w:t xml:space="preserve">Remediation Factor: Full remediation completed equals 0.5. Partial remediation equals 0.75. No remediation equals 1.0.</w:t>
      </w:r>
    </w:p>
    <w:p>
      <w:pPr>
        <w:pStyle w:val="BodyText"/>
      </w:pPr>
      <w:r>
        <w:t xml:space="preserve">12.2 Sequenced Impact</w:t>
      </w:r>
      <w:r>
        <w:t xml:space="preserve"> </w:t>
      </w:r>
      <w:r>
        <w:t xml:space="preserve">When step-back activates, benefits pause in this exact sequence:</w:t>
      </w:r>
    </w:p>
    <w:p>
      <w:pPr>
        <w:pStyle w:val="BodyText"/>
      </w:pPr>
      <w:r>
        <w:t xml:space="preserve">First affected: Discretionary measures (reconstruction credits, over-compliance credits, bonus funds).</w:t>
      </w:r>
      <w:r>
        <w:t xml:space="preserve"> </w:t>
      </w:r>
      <w:r>
        <w:t xml:space="preserve">Second affected: Commercial financial benefits (expanded access, export licenses, non-humanitarian trade facilitation).</w:t>
      </w:r>
      <w:r>
        <w:t xml:space="preserve"> </w:t>
      </w:r>
      <w:r>
        <w:t xml:space="preserve">Third affected: Core relief tranches (frozen asset releases, general license renewals).</w:t>
      </w:r>
      <w:r>
        <w:t xml:space="preserve"> </w:t>
      </w:r>
      <w:r>
        <w:t xml:space="preserve">Last affected: Core constraints and verification obligations (custody protocols, monitoring freeze agreements).</w:t>
      </w:r>
      <w:r>
        <w:t xml:space="preserve"> </w:t>
      </w:r>
      <w:r>
        <w:t xml:space="preserve">Never affected: Humanitarian tranches (food, medicine, medical equipment, safety), escrowed funds already released, hotline and deconfliction protocols.</w:t>
      </w:r>
    </w:p>
    <w:p>
      <w:pPr>
        <w:pStyle w:val="BodyText"/>
      </w:pPr>
      <w:r>
        <w:t xml:space="preserve">12.3 Human-in-the-Loop Requirement</w:t>
      </w:r>
      <w:r>
        <w:t xml:space="preserve"> </w:t>
      </w:r>
      <w:r>
        <w:t xml:space="preserve">Before any step-back penalty activates:</w:t>
      </w:r>
    </w:p>
    <w:p>
      <w:pPr>
        <w:pStyle w:val="BodyText"/>
      </w:pPr>
      <w:r>
        <w:t xml:space="preserve">AI systems flag anomalies and present evidence packages within 6 hours of detection.</w:t>
      </w:r>
      <w:r>
        <w:t xml:space="preserve"> </w:t>
      </w:r>
      <w:r>
        <w:t xml:space="preserve">Joint Monitoring Cell duty officer reviews the evidence package within 12 hours.</w:t>
      </w:r>
      <w:r>
        <w:t xml:space="preserve"> </w:t>
      </w:r>
      <w:r>
        <w:t xml:space="preserve">Senior officials from both Parties confer within 48 hours (mandatory cooling-off period).</w:t>
      </w:r>
      <w:r>
        <w:t xml:space="preserve"> </w:t>
      </w:r>
      <w:r>
        <w:t xml:space="preserve">Executive consultation confirms the tier classification before penalties apply.</w:t>
      </w:r>
      <w:r>
        <w:t xml:space="preserve"> </w:t>
      </w:r>
      <w:r>
        <w:t xml:space="preserve">The Annual Human-in-the-Loop Audit verifies that AI systems are not making autonomous penalty decisions and that human review occurs within 24 hours of all AI flags.</w:t>
      </w:r>
      <w:r>
        <w:t xml:space="preserve"> </w:t>
      </w:r>
      <w:r>
        <w:t xml:space="preserve">If any audit criterion is not met, the Joint Monitoring Cell recalibrates the AI system within 30 days.</w:t>
      </w:r>
    </w:p>
    <w:bookmarkEnd w:id="131"/>
    <w:bookmarkStart w:id="132" w:name="section-13-the-earn-back-pathway"/>
    <w:p>
      <w:pPr>
        <w:pStyle w:val="Heading3"/>
      </w:pPr>
      <w:r>
        <w:t xml:space="preserve">Section 13: The Earn-Back Pathway</w:t>
      </w:r>
    </w:p>
    <w:p>
      <w:pPr>
        <w:pStyle w:val="FirstParagraph"/>
      </w:pPr>
      <w:r>
        <w:t xml:space="preserve">Earn-back is not a privilege. It is a structural feature of the Method. Every step-back penalty carries an automatic, defined earn-back route. No penalty is permanent.</w:t>
      </w:r>
    </w:p>
    <w:p>
      <w:pPr>
        <w:pStyle w:val="BodyText"/>
      </w:pPr>
      <w:r>
        <w:t xml:space="preserve">13.1 Earn-Back Schedule</w:t>
      </w:r>
      <w:r>
        <w:t xml:space="preserve"> </w:t>
      </w:r>
      <w:r>
        <w:t xml:space="preserve">Tier 1: No earn-back requirement exists. Resolution within 14 days returns the Party to full status automatically.</w:t>
      </w:r>
    </w:p>
    <w:p>
      <w:pPr>
        <w:pStyle w:val="BodyText"/>
      </w:pPr>
      <w:r>
        <w:t xml:space="preserve">Tier 2: Full earn-back is available after 14 days of clean compliance following remediation completion.</w:t>
      </w:r>
      <w:r>
        <w:t xml:space="preserve"> </w:t>
      </w:r>
      <w:r>
        <w:t xml:space="preserve">Day 1 through 14 post-remediation: Monitoring period. Enhanced verification occurs.</w:t>
      </w:r>
      <w:r>
        <w:t xml:space="preserve"> </w:t>
      </w:r>
      <w:r>
        <w:t xml:space="preserve">Day 15: If clean certification issues, full benefits restore automatically.</w:t>
      </w:r>
      <w:r>
        <w:t xml:space="preserve"> </w:t>
      </w:r>
      <w:r>
        <w:t xml:space="preserve">Acceleration: Over-compliance credit reduces the 14-day monitoring period by up to 25 percent (minimum 11 days).</w:t>
      </w:r>
    </w:p>
    <w:p>
      <w:pPr>
        <w:pStyle w:val="BodyText"/>
      </w:pPr>
      <w:r>
        <w:t xml:space="preserve">Tier 3: Full earn-back is available after 90 days of sustained clean compliance.</w:t>
      </w:r>
      <w:r>
        <w:t xml:space="preserve"> </w:t>
      </w:r>
      <w:r>
        <w:t xml:space="preserve">Days 1 through 30: Intensive monitoring period. Inspections occur at 72-hour intervals.</w:t>
      </w:r>
      <w:r>
        <w:t xml:space="preserve"> </w:t>
      </w:r>
      <w:r>
        <w:t xml:space="preserve">Days 31 through 60: Standard monitoring period. Weekly verification occurs.</w:t>
      </w:r>
      <w:r>
        <w:t xml:space="preserve"> </w:t>
      </w:r>
      <w:r>
        <w:t xml:space="preserve">Days 61 through 90: Reduced monitoring period. Bi-weekly verification occurs.</w:t>
      </w:r>
      <w:r>
        <w:t xml:space="preserve"> </w:t>
      </w:r>
      <w:r>
        <w:t xml:space="preserve">Day 91: If clean certification issues AND majority confirmation arrives, full benefits restore automatically.</w:t>
      </w:r>
      <w:r>
        <w:t xml:space="preserve"> </w:t>
      </w:r>
      <w:r>
        <w:t xml:space="preserve">Acceleration: Over-compliance credit reduces the 90-day period by up to 25 percent (minimum 68 days).</w:t>
      </w:r>
    </w:p>
    <w:p>
      <w:pPr>
        <w:pStyle w:val="BodyText"/>
      </w:pPr>
      <w:r>
        <w:t xml:space="preserve">13.2 Earn-Back Conditions</w:t>
      </w:r>
      <w:r>
        <w:t xml:space="preserve"> </w:t>
      </w:r>
      <w:r>
        <w:t xml:space="preserve">Earn-back does not require: admission of guilt or formal acknowledgment of violation; payment of penalties or liquidated damages; political concessions beyond returning to compliance; or re-negotiation of the underlying commitment.</w:t>
      </w:r>
    </w:p>
    <w:p>
      <w:pPr>
        <w:pStyle w:val="BodyText"/>
      </w:pPr>
      <w:r>
        <w:t xml:space="preserve">Earn-back does require: verified compliance with the breached obligation; sustained compliance for the defined monitoring period; technical confirmation (Tier 2) or majority confirmation (Tier 3); and no new Tier 2 or Tier 3 violations during the earn-back monitoring period.</w:t>
      </w:r>
    </w:p>
    <w:p>
      <w:pPr>
        <w:pStyle w:val="BodyText"/>
      </w:pPr>
      <w:r>
        <w:t xml:space="preserve">13.3 Earn-Back Credit System</w:t>
      </w:r>
      <w:r>
        <w:t xml:space="preserve"> </w:t>
      </w:r>
      <w:r>
        <w:t xml:space="preserve">If a Party completes a milestone ahead of schedule and maintains verified compliance during the accelerated period, the corresponding tranche releases proportionally earlier. Over-compliance credits accrue and apply to future conditions or to accelerate earn-back timelines.</w:t>
      </w:r>
    </w:p>
    <w:p>
      <w:pPr>
        <w:pStyle w:val="BodyText"/>
      </w:pPr>
      <w:r>
        <w:t xml:space="preserve">Banked credits reduce the earn-back monitoring period:</w:t>
      </w:r>
      <w:r>
        <w:t xml:space="preserve"> </w:t>
      </w:r>
      <w:r>
        <w:t xml:space="preserve">Tier 2 earn-back: Up to 25 percent reduction (14 days becomes minimum 11 days).</w:t>
      </w:r>
      <w:r>
        <w:t xml:space="preserve"> </w:t>
      </w:r>
      <w:r>
        <w:t xml:space="preserve">Tier 3 earn-back: Up to 25 percent reduction (90 days becomes minimum 68 days).</w:t>
      </w:r>
    </w:p>
    <w:p>
      <w:pPr>
        <w:pStyle w:val="BodyText"/>
      </w:pPr>
      <w:r>
        <w:t xml:space="preserve">Credit accrual formula: Each month of sustained compliance beyond baseline requirements accrues 1 credit week. Credits apply only to future earn-back periods, not to active penalties.</w:t>
      </w:r>
    </w:p>
    <w:bookmarkEnd w:id="132"/>
    <w:bookmarkStart w:id="133" w:name="X62cb8deef22b1103534eeb6349f6ef265f3424a"/>
    <w:p>
      <w:pPr>
        <w:pStyle w:val="Heading3"/>
      </w:pPr>
      <w:r>
        <w:t xml:space="preserve">Section 14: Cross-Module Spillover Protection</w:t>
      </w:r>
    </w:p>
    <w:p>
      <w:pPr>
        <w:pStyle w:val="FirstParagraph"/>
      </w:pPr>
      <w:r>
        <w:t xml:space="preserve">The framework architecture operates as a modular system. Failure in one module does not cascade into others unless explicitly certified.</w:t>
      </w:r>
    </w:p>
    <w:p>
      <w:pPr>
        <w:pStyle w:val="BodyText"/>
      </w:pPr>
      <w:r>
        <w:t xml:space="preserve">Default rule: Step-back reductions apply ONLY within the module where the violation occurred. A Tier 2 verification violation triggers step-back only on verification-related tranches, not on unrelated benefits or access.</w:t>
      </w:r>
    </w:p>
    <w:p>
      <w:pPr>
        <w:pStyle w:val="BodyText"/>
      </w:pPr>
      <w:r>
        <w:t xml:space="preserve">Exception: Cross-module spillover requires certification by a two-thirds majority vote that the violation directly and materially undermines a different module. The framework architecture excludes the affected Party’s vote (Consensus Minus One rule).</w:t>
      </w:r>
    </w:p>
    <w:p>
      <w:pPr>
        <w:pStyle w:val="BodyText"/>
      </w:pPr>
      <w:r>
        <w:t xml:space="preserve">Partial success doctrine: No single unresolved module invalidates the remainder of the framework. Each module operates as an independent contractual track. Progress, compliance, or failure in one track does not automatically determine the status of any other track. This doctrine is binding and interpretive.</w:t>
      </w:r>
    </w:p>
    <w:bookmarkEnd w:id="133"/>
    <w:bookmarkEnd w:id="134"/>
    <w:bookmarkStart w:id="136" w:name="part-iv-protective-architecture"/>
    <w:p>
      <w:pPr>
        <w:pStyle w:val="Heading2"/>
      </w:pPr>
      <w:r>
        <w:t xml:space="preserve">Part Iv: Protective Architecture</w:t>
      </w:r>
    </w:p>
    <w:bookmarkStart w:id="135" w:name="X5e3d0f3e09d555a72c46369170241e52b2dac64"/>
    <w:p>
      <w:pPr>
        <w:pStyle w:val="Heading3"/>
      </w:pPr>
      <w:r>
        <w:t xml:space="preserve">Section 15: Safeguards Against Abuse And Escalation</w:t>
      </w:r>
    </w:p>
    <w:p>
      <w:pPr>
        <w:pStyle w:val="FirstParagraph"/>
      </w:pPr>
      <w:r>
        <w:t xml:space="preserve">15.1 Mandatory Cooling-Off Architecture (48-Hour Rule)</w:t>
      </w:r>
      <w:r>
        <w:t xml:space="preserve"> </w:t>
      </w:r>
      <w:r>
        <w:t xml:space="preserve">Before any step-back penalty activates, a 48-hour cooling-off period applies. During this period: no penalties accrue; both Parties’ senior officials confer directly; the Swiss facilitator proposes de-escalation measures; the cooling-off period extends up to 72 hours by mutual agreement. This prevents heat-of-moment reactions to technical anomalies or intelligence reports.</w:t>
      </w:r>
    </w:p>
    <w:p>
      <w:pPr>
        <w:pStyle w:val="BodyText"/>
      </w:pPr>
      <w:r>
        <w:t xml:space="preserve">15.2 Consensus Minus One Decision Rule</w:t>
      </w:r>
      <w:r>
        <w:t xml:space="preserve"> </w:t>
      </w:r>
      <w:r>
        <w:t xml:space="preserve">For all Tier 2 and Tier 3 determinations, cross-module spillover certifications, and gaming pattern findings: if the decision concerns one Party’s conduct, the framework architecture excludes that Party’s vote. All other oversight members agree. If consensus minus one fails to be achieved, automatic referral to the Guarantor Matrix occurs for final political judgment.</w:t>
      </w:r>
    </w:p>
    <w:p>
      <w:pPr>
        <w:pStyle w:val="BodyText"/>
      </w:pPr>
      <w:r>
        <w:t xml:space="preserve">15.3 Temporary Operational Suspension</w:t>
      </w:r>
      <w:r>
        <w:t xml:space="preserve"> </w:t>
      </w:r>
      <w:r>
        <w:t xml:space="preserve">Either Party invokes Temporary Operational Suspension for up to 14 days per invocation, maximum 3 invocations per calendar year. Temporary Operational Suspension freezes all new obligations but preserves verification custody, the hotline, humanitarian corridors, and escrowed funds. Temporary Operational Suspension is not a breach. It is a safety valve for domestic political crises, leadership transitions, or regional spillover events. Temporary Operational Suspension suspends the step-back clock: earn-back timelines do not advance during suspension, but neither do penalty durations.</w:t>
      </w:r>
    </w:p>
    <w:p>
      <w:pPr>
        <w:pStyle w:val="BodyText"/>
      </w:pPr>
      <w:r>
        <w:t xml:space="preserve">15.4 Good Faith Reset</w:t>
      </w:r>
      <w:r>
        <w:t xml:space="preserve"> </w:t>
      </w:r>
      <w:r>
        <w:t xml:space="preserve">The framework architecture includes a Good Faith Reset mechanism that prevents either Party from entering an irreversible negative spiral. A Party whose Verification Fund score falls to negative 20 or below invokes the reset once per phase.</w:t>
      </w:r>
    </w:p>
    <w:p>
      <w:pPr>
        <w:pStyle w:val="BodyText"/>
      </w:pPr>
      <w:r>
        <w:t xml:space="preserve">Score at negative 20 or below: Score resets to 0 automatically.</w:t>
      </w:r>
      <w:r>
        <w:t xml:space="preserve"> </w:t>
      </w:r>
      <w:r>
        <w:t xml:space="preserve">Written acknowledgment of errors: Reset activates immediately; the acknowledgment appears in the Shared Digital Registry.</w:t>
      </w:r>
      <w:r>
        <w:t xml:space="preserve"> </w:t>
      </w:r>
      <w:r>
        <w:t xml:space="preserve">Commitment to enhanced cooperation for 7 days: Enhanced cooperation means daily Joint Monitoring Cell liaison contact and same-day response to all verification queries.</w:t>
      </w:r>
      <w:r>
        <w:t xml:space="preserve"> </w:t>
      </w:r>
      <w:r>
        <w:t xml:space="preserve">No reset invoked in the previous phase: Reset approves automatically without Permanent Coordination Council review.</w:t>
      </w:r>
    </w:p>
    <w:p>
      <w:pPr>
        <w:pStyle w:val="BodyText"/>
      </w:pPr>
      <w:r>
        <w:t xml:space="preserve">The Good Faith Reset is a safety valve, not a free pass. The once-per-phase limit prevents abuse. The written acknowledgment requirement preserves accountability. The enhanced cooperation commitment demonstrates genuine intent to improve. A Party that invokes the reset in one phase and still achieves negative 20 in the next phase faces the full consequences without further protection.</w:t>
      </w:r>
    </w:p>
    <w:p>
      <w:pPr>
        <w:pStyle w:val="BodyText"/>
      </w:pPr>
      <w:r>
        <w:t xml:space="preserve">15.5 Mutual Consent Escalation</w:t>
      </w:r>
      <w:r>
        <w:t xml:space="preserve"> </w:t>
      </w:r>
      <w:r>
        <w:t xml:space="preserve">The framework architecture treats the verification score as advisory, not mandatory. Both Parties retain the right to override score-based outcomes through joint agreement.</w:t>
      </w:r>
    </w:p>
    <w:p>
      <w:pPr>
        <w:pStyle w:val="BodyText"/>
      </w:pPr>
      <w:r>
        <w:t xml:space="preserve">Both Parties agree the score does not reflect operational reality: The Decision Point defers for 5 days; the Permanent Coordination Council conducts a joint review of raw telemetry data.</w:t>
      </w:r>
    </w:p>
    <w:p>
      <w:pPr>
        <w:pStyle w:val="BodyText"/>
      </w:pPr>
      <w:r>
        <w:t xml:space="preserve">Both Parties agree the system malfunctioned: The score recalculates using raw golden record data, bypassing the algorithmic scoring system.</w:t>
      </w:r>
    </w:p>
    <w:p>
      <w:pPr>
        <w:pStyle w:val="BodyText"/>
      </w:pPr>
      <w:r>
        <w:t xml:space="preserve">Both Parties agree to proceed despite a low score: Proceeds; the score is advisory and carries no binding pathway determination.</w:t>
      </w:r>
    </w:p>
    <w:p>
      <w:pPr>
        <w:pStyle w:val="BodyText"/>
      </w:pPr>
      <w:r>
        <w:t xml:space="preserve">Mutual Consent Escalation requires written agreement from both Parties, transmitted simultaneously to the Joint Monitoring Cell. Either Party withdraws its consent within 24 hours without penalty. If one Party withdraws consent, the original score-based pathway determination resumes automatically.</w:t>
      </w:r>
    </w:p>
    <w:p>
      <w:pPr>
        <w:pStyle w:val="BodyText"/>
      </w:pPr>
      <w:r>
        <w:t xml:space="preserve">15.6 No Automatic Military Escalation Clause</w:t>
      </w:r>
      <w:r>
        <w:t xml:space="preserve"> </w:t>
      </w:r>
      <w:r>
        <w:t xml:space="preserve">Under no circumstances does a compliance dispute, Tier 2 or Tier 3 violation, step-back penalty, or framework suspension automatically authorize, trigger, or justify the use of military force by either Party. The step-back architecture is purely economic and diplomatic. Military action requires separate, explicit decision by the respective head of government under constitutional procedures. This separation between economic penalties and military authorization is absolute and non-waivable.</w:t>
      </w:r>
    </w:p>
    <w:p>
      <w:pPr>
        <w:pStyle w:val="BodyText"/>
      </w:pPr>
      <w:r>
        <w:t xml:space="preserve">15.7 False Flag Attack Protocol</w:t>
      </w:r>
      <w:r>
        <w:t xml:space="preserve"> </w:t>
      </w:r>
      <w:r>
        <w:t xml:space="preserve">In the event of attacks by unknown actors: both Parties operate under a presumption of good faith; a 48-hour attribution deferral window applies before any penalty assignment; forensic investigation precedes any breach classification; rogue actors and false-flag operations are explicitly excluded from bilateral penalties.</w:t>
      </w:r>
    </w:p>
    <w:p>
      <w:pPr>
        <w:pStyle w:val="BodyText"/>
      </w:pPr>
      <w:r>
        <w:t xml:space="preserve">15.8 Political Discretion Fund</w:t>
      </w:r>
      <w:r>
        <w:t xml:space="preserve"> </w:t>
      </w:r>
      <w:r>
        <w:t xml:space="preserve">The Political Discretion Fund operates outside the step-back system entirely. Fund size: 50 million dollars, capitalized equally by both Parties (25 million dollars each). Held in a dedicated sub-account of the Swiss escrow. Exempt from ALL step-back penalties: No Tier 2 or Tier 3 penalty reduces, freezes, or delays disbursement. Disbursement requires unanimous agreement of both heads of government plus the Swiss facilitator. Permitted uses: Goodwill projects, partial compliance rewards, confidence-building measures. Prohibited uses: Military purposes, intelligence activities, payment of penalties, any purpose violating the No Regime Change Objective.</w:t>
      </w:r>
    </w:p>
    <w:bookmarkEnd w:id="135"/>
    <w:bookmarkEnd w:id="136"/>
    <w:bookmarkStart w:id="147" w:name="part-v-operational-supplements"/>
    <w:p>
      <w:pPr>
        <w:pStyle w:val="Heading2"/>
      </w:pPr>
      <w:r>
        <w:t xml:space="preserve">Part V: Operational Supplements</w:t>
      </w:r>
    </w:p>
    <w:bookmarkStart w:id="137" w:name="section-16-red-team-review"/>
    <w:p>
      <w:pPr>
        <w:pStyle w:val="Heading3"/>
      </w:pPr>
      <w:r>
        <w:t xml:space="preserve">Section 16: Red Team Review</w:t>
      </w:r>
    </w:p>
    <w:p>
      <w:pPr>
        <w:pStyle w:val="FirstParagraph"/>
      </w:pPr>
      <w:r>
        <w:t xml:space="preserve">The Joint Monitoring Cell maintains a standing Red Team. This team operates continuously during the Testing Phase and the Cooling-Off Period. The Red Team identifies weaknesses in the monitoring system, tests data integrity, and probes for vulnerabilities in the telemetry chain.</w:t>
      </w:r>
    </w:p>
    <w:p>
      <w:pPr>
        <w:pStyle w:val="BodyText"/>
      </w:pPr>
      <w:r>
        <w:t xml:space="preserve">The Red Team produces a findings report every seven days. The Joint Monitoring Cell distributes this report automatically to both Parties within 24 hours of completion. The report contains: identified system weaknesses; recommended corrective actions; and verification of data integrity across all feeds.</w:t>
      </w:r>
    </w:p>
    <w:p>
      <w:pPr>
        <w:pStyle w:val="BodyText"/>
      </w:pPr>
      <w:r>
        <w:t xml:space="preserve">Both Parties review the Red Team findings and implement corrective actions through the Joint Monitoring Cell. The Shared Digital Registry logs all findings and corrective actions. The Red Team verifies implementation of all corrective actions in its subsequent report.</w:t>
      </w:r>
    </w:p>
    <w:bookmarkEnd w:id="137"/>
    <w:bookmarkStart w:id="138" w:name="section-17-performance-benchmarks"/>
    <w:p>
      <w:pPr>
        <w:pStyle w:val="Heading3"/>
      </w:pPr>
      <w:r>
        <w:t xml:space="preserve">Section 17: Performance Benchmarks</w:t>
      </w:r>
    </w:p>
    <w:p>
      <w:pPr>
        <w:pStyle w:val="FirstParagraph"/>
      </w:pPr>
      <w:r>
        <w:t xml:space="preserve">At the conclusion of the Testing Phase, the Joint Monitoring Cell issues a Testing Phase Report assessing the following performance benchmarks:</w:t>
      </w:r>
    </w:p>
    <w:p>
      <w:pPr>
        <w:pStyle w:val="BodyText"/>
      </w:pPr>
      <w:r>
        <w:t xml:space="preserve">System operability: All monitoring systems are operational and producing reliable data with uptime exceeding 95 percent across all feeds.</w:t>
      </w:r>
    </w:p>
    <w:p>
      <w:pPr>
        <w:pStyle w:val="BodyText"/>
      </w:pPr>
      <w:r>
        <w:t xml:space="preserve">Data sharing symmetry: Data transmission to both Parties occurs with latency differential of less than 30 seconds.</w:t>
      </w:r>
    </w:p>
    <w:p>
      <w:pPr>
        <w:pStyle w:val="BodyText"/>
      </w:pPr>
      <w:r>
        <w:t xml:space="preserve">Anomaly detection: Anomaly detection and verification procedures function correctly, with false positive rates below the defined thresholds.</w:t>
      </w:r>
    </w:p>
    <w:p>
      <w:pPr>
        <w:pStyle w:val="BodyText"/>
      </w:pPr>
      <w:r>
        <w:t xml:space="preserve">Joint Monitoring Cell functionality: The Cell operates 24/7 with full staffing and all communication channels functional.</w:t>
      </w:r>
    </w:p>
    <w:p>
      <w:pPr>
        <w:pStyle w:val="BodyText"/>
      </w:pPr>
      <w:r>
        <w:t xml:space="preserve">Shared Digital Registry integrity: The Registry logs all tracks, alerts, and verification packages without data gaps exceeding 15 minutes.</w:t>
      </w:r>
    </w:p>
    <w:p>
      <w:pPr>
        <w:pStyle w:val="BodyText"/>
      </w:pPr>
      <w:r>
        <w:t xml:space="preserve">The Testing Phase Report transmits simultaneously to both Parties and the Permanent Coordination Council. The Report is presumptive evidence of system functionality. Neither Party blocks, delays, or redacts the Report.</w:t>
      </w:r>
    </w:p>
    <w:bookmarkEnd w:id="138"/>
    <w:bookmarkStart w:id="139" w:name="section-18-phase-conclusion-assessment"/>
    <w:p>
      <w:pPr>
        <w:pStyle w:val="Heading3"/>
      </w:pPr>
      <w:r>
        <w:t xml:space="preserve">Section 18: Phase Conclusion Assessment</w:t>
      </w:r>
    </w:p>
    <w:p>
      <w:pPr>
        <w:pStyle w:val="FirstParagraph"/>
      </w:pPr>
      <w:r>
        <w:t xml:space="preserve">18.1 Score-Based Pathway Determination</w:t>
      </w:r>
      <w:r>
        <w:t xml:space="preserve"> </w:t>
      </w:r>
      <w:r>
        <w:t xml:space="preserve">At the conclusion of the Testing Phase, the Joint Monitoring Cell publishes the final Verification Scores. The scores determine the operational pathway through the following matrix:</w:t>
      </w:r>
    </w:p>
    <w:p>
      <w:pPr>
        <w:pStyle w:val="BodyText"/>
      </w:pPr>
      <w:r>
        <w:t xml:space="preserve">Claimant Fund Score: 50 credits or above / Verifier Fund Score: Any score / Outcome: Automatic progression to Cooling-Off Period; Testing Phase qualifies as success.</w:t>
      </w:r>
    </w:p>
    <w:p>
      <w:pPr>
        <w:pStyle w:val="BodyText"/>
      </w:pPr>
      <w:r>
        <w:t xml:space="preserve">Claimant Fund Score: 30 to 49 credits / Verifier Fund Score: Below Claimant score / Outcome: Automatic extension; Cooling-Off Period activates with positive momentum designation.</w:t>
      </w:r>
    </w:p>
    <w:p>
      <w:pPr>
        <w:pStyle w:val="BodyText"/>
      </w:pPr>
      <w:r>
        <w:t xml:space="preserve">Claimant Fund Score: 30 to 49 credits / Verifier Fund Score: Equal to or above Claimant score / Outcome: Extension with review; Cooling-Off Period activates with technical issues require resolution designation.</w:t>
      </w:r>
    </w:p>
    <w:p>
      <w:pPr>
        <w:pStyle w:val="BodyText"/>
      </w:pPr>
      <w:r>
        <w:t xml:space="preserve">Claimant Fund Score: Below 30 credits / Verifier Fund Score: Any score / Outcome: Fallback to Extended Phase I; Testing Phase does not qualify as success.</w:t>
      </w:r>
    </w:p>
    <w:p>
      <w:pPr>
        <w:pStyle w:val="BodyText"/>
      </w:pPr>
      <w:r>
        <w:t xml:space="preserve">18.2 Unified Assessment Checklist</w:t>
      </w:r>
      <w:r>
        <w:t xml:space="preserve"> </w:t>
      </w:r>
      <w:r>
        <w:t xml:space="preserve">The Phase Conclusion Assessment evaluates all performance indicators through a single unified checklist. The Assessment determines whether the following conditions are satisfied: performance benchmarks under Section 17 are met; zero persistent data quality failures under Section 1.3 occurred; the Claimant Party meets the verification score threshold under Section 18.1. Failure on any of these grounds produces a presumptive recommendation for fallback. Success on all grounds produces a presumptive recommendation for progression to a final arrangement or extension. The unified checklist replaces the need to consult multiple sections independently at the Decision Point.</w:t>
      </w:r>
    </w:p>
    <w:p>
      <w:pPr>
        <w:pStyle w:val="BodyText"/>
      </w:pPr>
      <w:r>
        <w:t xml:space="preserve">18.3 Score Publication Contents</w:t>
      </w:r>
      <w:r>
        <w:t xml:space="preserve"> </w:t>
      </w:r>
      <w:r>
        <w:t xml:space="preserve">Score publication includes: the total credit count for both Parties; the number of claims submitted, confirmed, challenged, and overturned; the average confirmation time; the challenge success rate; and any escalations, resets, or Second Opinions invoked. The Shared Digital Registry archives the full assessment permanently.</w:t>
      </w:r>
    </w:p>
    <w:bookmarkEnd w:id="139"/>
    <w:bookmarkStart w:id="140" w:name="section-19-expedited-verification"/>
    <w:p>
      <w:pPr>
        <w:pStyle w:val="Heading3"/>
      </w:pPr>
      <w:r>
        <w:t xml:space="preserve">Section 19: Expedited Verification</w:t>
      </w:r>
    </w:p>
    <w:p>
      <w:pPr>
        <w:pStyle w:val="FirstParagraph"/>
      </w:pPr>
      <w:r>
        <w:t xml:space="preserve">The framework architecture includes an expedited verification track for urgent incidents. Normal timelines compress automatically upon activation of the expedited track.</w:t>
      </w:r>
    </w:p>
    <w:p>
      <w:pPr>
        <w:pStyle w:val="BodyText"/>
      </w:pPr>
      <w:r>
        <w:t xml:space="preserve">Claim submission deadline: Standard 24 hours from service delivery; Expedited 4 hours from incident detection.</w:t>
      </w:r>
      <w:r>
        <w:t xml:space="preserve"> </w:t>
      </w:r>
      <w:r>
        <w:t xml:space="preserve">Verifier response window: Standard 48 hours from confirmation; Expedited 6 hours from confirmation.</w:t>
      </w:r>
      <w:r>
        <w:t xml:space="preserve"> </w:t>
      </w:r>
      <w:r>
        <w:t xml:space="preserve">Panel determination deadline: Standard 72 hours from challenge receipt; Expedited 12 hours from challenge receipt.</w:t>
      </w:r>
      <w:r>
        <w:t xml:space="preserve"> </w:t>
      </w:r>
      <w:r>
        <w:t xml:space="preserve">Credit multiplier: Standard base rate applies; Expedited double credit value for verified claims.</w:t>
      </w:r>
    </w:p>
    <w:p>
      <w:pPr>
        <w:pStyle w:val="BodyText"/>
      </w:pPr>
      <w:r>
        <w:t xml:space="preserve">The expedited track triggers automatically upon Joint Monitoring Cell classification of an incident as priority: potential interdiction, environmental emergency, or search-and-rescue activation. Either Party requests expedited classification by alerting the Joint Monitoring Cell Duty Officer. The Duty Officer confirms or denies the classification within 1 hour. Denial includes a written rationale logged in the Shared Digital Registry.</w:t>
      </w:r>
    </w:p>
    <w:bookmarkEnd w:id="140"/>
    <w:bookmarkStart w:id="141" w:name="section-20-counter-evidence-review"/>
    <w:p>
      <w:pPr>
        <w:pStyle w:val="Heading3"/>
      </w:pPr>
      <w:r>
        <w:t xml:space="preserve">Section 20: Counter-Evidence Review</w:t>
      </w:r>
    </w:p>
    <w:p>
      <w:pPr>
        <w:pStyle w:val="FirstParagraph"/>
      </w:pPr>
      <w:r>
        <w:t xml:space="preserve">When the Panel issues an inconclusive determination, the framework architecture activates a Counter-Evidence Review procedure. An inconclusive determination means the Panel finds the evidence insufficient to support either full verification or full rejection.</w:t>
      </w:r>
    </w:p>
    <w:p>
      <w:pPr>
        <w:pStyle w:val="BodyText"/>
      </w:pPr>
      <w:r>
        <w:t xml:space="preserve">The Counter-Evidence Review operates as follows: the Panel schedules a hearing within 48 hours of the inconclusive determination. The Claimant Party presents additional definitive evidence within 24 hours of the hearing notice. The Verifier Party presents counter-evidence within 24 hours of the hearing notice. The Panel reviews the supplemental evidence and issues a final determination within 24 hours of the hearing.</w:t>
      </w:r>
    </w:p>
    <w:p>
      <w:pPr>
        <w:pStyle w:val="BodyText"/>
      </w:pPr>
      <w:r>
        <w:t xml:space="preserve">Claimant Party’s new evidence confirms the claim and the Verifier Party fails to refute it: The claim verifies at double the standard credit value.</w:t>
      </w:r>
    </w:p>
    <w:p>
      <w:pPr>
        <w:pStyle w:val="BodyText"/>
      </w:pPr>
      <w:r>
        <w:t xml:space="preserve">Verifier Party’s counter-evidence definitively refutes the claim: The Panel rejects the claim permanently with double the standard penalty.</w:t>
      </w:r>
    </w:p>
    <w:p>
      <w:pPr>
        <w:pStyle w:val="BodyText"/>
      </w:pPr>
      <w:r>
        <w:t xml:space="preserve">Evidence remains inconclusive after Counter-Evidence Review: The claim receives 50 percent credit automatically; no Party receives bonus or penalty.</w:t>
      </w:r>
    </w:p>
    <w:p>
      <w:pPr>
        <w:pStyle w:val="BodyText"/>
      </w:pPr>
      <w:r>
        <w:t xml:space="preserve">The Counter-Evidence Review closes all claims. No claim returns for additional review after this procedure. The Shared Digital Registry logs the Panel’s final determination and all evidence submitted during the review. Both Parties receive identical copies of the complete record.</w:t>
      </w:r>
    </w:p>
    <w:bookmarkEnd w:id="141"/>
    <w:bookmarkStart w:id="142" w:name="X7592aaa2f21410ed435c4dccc717d059f9338b1"/>
    <w:p>
      <w:pPr>
        <w:pStyle w:val="Heading3"/>
      </w:pPr>
      <w:r>
        <w:t xml:space="preserve">Section 21: Score Reset And Phase Transitions</w:t>
      </w:r>
    </w:p>
    <w:p>
      <w:pPr>
        <w:pStyle w:val="FirstParagraph"/>
      </w:pPr>
      <w:r>
        <w:t xml:space="preserve">The framework architecture resets Verification Scores at phase boundaries according to the following schedule:</w:t>
      </w:r>
    </w:p>
    <w:p>
      <w:pPr>
        <w:pStyle w:val="BodyText"/>
      </w:pPr>
      <w:r>
        <w:t xml:space="preserve">Testing Phase (Days 1 through 14): Both Parties start at 0 credits. Scores carry forward to Cooling-Off Period as base scores on Day 15.</w:t>
      </w:r>
    </w:p>
    <w:p>
      <w:pPr>
        <w:pStyle w:val="BodyText"/>
      </w:pPr>
      <w:r>
        <w:t xml:space="preserve">Cooling-Off Period (Days 15 through 44): Testing Phase final scores become starting balances. Scores freeze and publish on Day 45; no further verification activity.</w:t>
      </w:r>
    </w:p>
    <w:p>
      <w:pPr>
        <w:pStyle w:val="BodyText"/>
      </w:pPr>
      <w:r>
        <w:t xml:space="preserve">Decision Point (Days 45 through 51): Scores are frozen and published. No further claims, challenges, or score changes; only political decision remains.</w:t>
      </w:r>
    </w:p>
    <w:p>
      <w:pPr>
        <w:pStyle w:val="BodyText"/>
      </w:pPr>
      <w:r>
        <w:t xml:space="preserve">The score reset between phases ensures that each phase begins with a clear baseline. Historical scores inform the phase assessment but do not predetermine the next phase’s outcome. The Good Faith Reset under Section 15.4 operates independently of the phase reset and applies within the current phase only.</w:t>
      </w:r>
    </w:p>
    <w:p>
      <w:pPr>
        <w:pStyle w:val="BodyText"/>
      </w:pPr>
      <w:r>
        <w:t xml:space="preserve">No Party re-litigates a claim after the phase in which the claim was submitted concludes. The Shared Digital Registry archives all claims, determinations, and scores permanently for audit purposes. The framework architecture treats historical verification data as the factual baseline for all future phase assessments.</w:t>
      </w:r>
    </w:p>
    <w:bookmarkEnd w:id="142"/>
    <w:bookmarkStart w:id="143" w:name="section-22-material-breach-protocol"/>
    <w:p>
      <w:pPr>
        <w:pStyle w:val="Heading3"/>
      </w:pPr>
      <w:r>
        <w:t xml:space="preserve">Section 22: Material Breach Protocol</w:t>
      </w:r>
    </w:p>
    <w:p>
      <w:pPr>
        <w:pStyle w:val="FirstParagraph"/>
      </w:pPr>
      <w:r>
        <w:t xml:space="preserve">The framework architecture recognizes the following actions as Material Breach: deliberate jamming or interference with satellite feeds or sensor data originating from a Party’s territory or assets; deliberate refusal to transmit data to the Shared Digital Registry after system activation; failure to maintain Joint Monitoring Cell staffing at the minimum defined level for more than 72 consecutive hours; persistent transmission of data below the signal-to-noise threshold or in a format that violates the shared protocol.</w:t>
      </w:r>
    </w:p>
    <w:p>
      <w:pPr>
        <w:pStyle w:val="BodyText"/>
      </w:pPr>
      <w:r>
        <w:t xml:space="preserve">A Material Breach activates the following framework response: the non-breaching Party logs the breach in the Shared Digital Registry with supporting telemetry; the Joint Monitoring Cell Chief Technical Officer confirms the breach classification within 48 hours; and the Permanent Coordination Council convenes an emergency mediation session within 72 hours of confirmation.</w:t>
      </w:r>
    </w:p>
    <w:p>
      <w:pPr>
        <w:pStyle w:val="BodyText"/>
      </w:pPr>
      <w:r>
        <w:t xml:space="preserve">The framework architecture continues all technical monitoring during a Material Breach dispute. Neither Party suspends data transmission or withdraws Joint Monitoring Cell personnel during a Material Breach dispute.</w:t>
      </w:r>
    </w:p>
    <w:bookmarkEnd w:id="143"/>
    <w:bookmarkStart w:id="144" w:name="Xd5148126fd04a8a03ccae604713a8bc5075f270"/>
    <w:p>
      <w:pPr>
        <w:pStyle w:val="Heading3"/>
      </w:pPr>
      <w:r>
        <w:t xml:space="preserve">Section 23: Technical Corrections Protocol</w:t>
      </w:r>
    </w:p>
    <w:p>
      <w:pPr>
        <w:pStyle w:val="FirstParagraph"/>
      </w:pPr>
      <w:r>
        <w:t xml:space="preserve">The Joint Monitoring Cell Chief Technical Officer, in consultation with the Swiss facilitator, issues technical corrections to this Method to address non-material errors. Technical corrections include typographical errors, incorrect cross-references, inconsistent numbering, and minor formatting inconsistencies. The Officer does not issue technical corrections that alter substantive obligations, rights, or timelines.</w:t>
      </w:r>
    </w:p>
    <w:p>
      <w:pPr>
        <w:pStyle w:val="BodyText"/>
      </w:pPr>
      <w:r>
        <w:t xml:space="preserve">Every technical correction follows this protocol: the Officer logs the correction in the Shared Digital Registry; the Officer notifies both Parties within 48 hours of logging; the correction takes effect immediately upon notification. Either Party objects to a technical correction within 7 days of notification. An objection suspends the correction pending mutual agreement or Permanent Coordination Council review. If no Party lodges an objection within 7 days, the correction becomes permanent.</w:t>
      </w:r>
    </w:p>
    <w:bookmarkEnd w:id="144"/>
    <w:bookmarkStart w:id="145" w:name="section-24-declassification-schedule"/>
    <w:p>
      <w:pPr>
        <w:pStyle w:val="Heading3"/>
      </w:pPr>
      <w:r>
        <w:t xml:space="preserve">Section 24: Declassification Schedule</w:t>
      </w:r>
    </w:p>
    <w:p>
      <w:pPr>
        <w:pStyle w:val="FirstParagraph"/>
      </w:pPr>
      <w:r>
        <w:t xml:space="preserve">This Method and all operational data logged in the Shared Digital Registry declassify automatically and enter the public domain on the first anniversary of the earlier of: signature of a Final Deal, or entry into Extended Phase I.</w:t>
      </w:r>
    </w:p>
    <w:p>
      <w:pPr>
        <w:pStyle w:val="BodyText"/>
      </w:pPr>
      <w:r>
        <w:t xml:space="preserve">Both Parties jointly agree to delay declassification for one additional year by written notice to the Permanent Coordination Council. The framework architecture permits no more than two such delays. The total maximum classification period is three years from the declassification trigger date.</w:t>
      </w:r>
    </w:p>
    <w:p>
      <w:pPr>
        <w:pStyle w:val="BodyText"/>
      </w:pPr>
      <w:r>
        <w:t xml:space="preserve">Redaction of personal identifying information of Joint Monitoring Cell staff and operational personnel occurs prior to public release. The Swiss facilitator completes redaction and releases the declassified material within 30 days of the declassification trigger date.</w:t>
      </w:r>
    </w:p>
    <w:bookmarkEnd w:id="145"/>
    <w:bookmarkStart w:id="146" w:name="section-25-summary-operating-principles"/>
    <w:p>
      <w:pPr>
        <w:pStyle w:val="Heading3"/>
      </w:pPr>
      <w:r>
        <w:t xml:space="preserve">Section 25: Summary Operating Principles</w:t>
      </w:r>
    </w:p>
    <w:p>
      <w:pPr>
        <w:numPr>
          <w:ilvl w:val="0"/>
          <w:numId w:val="1021"/>
        </w:numPr>
        <w:pStyle w:val="Compact"/>
      </w:pPr>
      <w:r>
        <w:t xml:space="preserve">Proportionality governs everything. The penalty fits the violation.</w:t>
      </w:r>
    </w:p>
    <w:p>
      <w:pPr>
        <w:numPr>
          <w:ilvl w:val="0"/>
          <w:numId w:val="1021"/>
        </w:numPr>
        <w:pStyle w:val="Compact"/>
      </w:pPr>
      <w:r>
        <w:t xml:space="preserve">Human judgment sits above automation. AI informs; humans decide.</w:t>
      </w:r>
    </w:p>
    <w:p>
      <w:pPr>
        <w:numPr>
          <w:ilvl w:val="0"/>
          <w:numId w:val="1021"/>
        </w:numPr>
        <w:pStyle w:val="Compact"/>
      </w:pPr>
      <w:r>
        <w:t xml:space="preserve">Earn-back is always available. No violation creates permanent exclusion.</w:t>
      </w:r>
    </w:p>
    <w:p>
      <w:pPr>
        <w:numPr>
          <w:ilvl w:val="0"/>
          <w:numId w:val="1021"/>
        </w:numPr>
        <w:pStyle w:val="Compact"/>
      </w:pPr>
      <w:r>
        <w:t xml:space="preserve">Humanitarian flows are sacred. No step-back touches food, medicine, or safety.</w:t>
      </w:r>
    </w:p>
    <w:p>
      <w:pPr>
        <w:numPr>
          <w:ilvl w:val="0"/>
          <w:numId w:val="1021"/>
        </w:numPr>
        <w:pStyle w:val="Compact"/>
      </w:pPr>
      <w:r>
        <w:t xml:space="preserve">Modules fire independently. Failure in one does not collapse the rest.</w:t>
      </w:r>
    </w:p>
    <w:p>
      <w:pPr>
        <w:numPr>
          <w:ilvl w:val="0"/>
          <w:numId w:val="1021"/>
        </w:numPr>
        <w:pStyle w:val="Compact"/>
      </w:pPr>
      <w:r>
        <w:t xml:space="preserve">Cooling-off prevents heat-of-moment escalation. Every penalty pauses for consultation.</w:t>
      </w:r>
    </w:p>
    <w:p>
      <w:pPr>
        <w:numPr>
          <w:ilvl w:val="0"/>
          <w:numId w:val="1021"/>
        </w:numPr>
        <w:pStyle w:val="Compact"/>
      </w:pPr>
      <w:r>
        <w:t xml:space="preserve">Monitoring gaps trigger automatic protection. The 48-hour telemetry rule has no human override.</w:t>
      </w:r>
    </w:p>
    <w:p>
      <w:pPr>
        <w:numPr>
          <w:ilvl w:val="0"/>
          <w:numId w:val="1021"/>
        </w:numPr>
        <w:pStyle w:val="Compact"/>
      </w:pPr>
      <w:r>
        <w:t xml:space="preserve">Partial success survives. The framework endures even when individual modules lag.</w:t>
      </w:r>
    </w:p>
    <w:p>
      <w:pPr>
        <w:numPr>
          <w:ilvl w:val="0"/>
          <w:numId w:val="1021"/>
        </w:numPr>
        <w:pStyle w:val="Compact"/>
      </w:pPr>
      <w:r>
        <w:t xml:space="preserve">Military escalation is structurally decoupled. Economic penalties never authorize force.</w:t>
      </w:r>
    </w:p>
    <w:p>
      <w:pPr>
        <w:numPr>
          <w:ilvl w:val="0"/>
          <w:numId w:val="1021"/>
        </w:numPr>
        <w:pStyle w:val="Compact"/>
      </w:pPr>
      <w:r>
        <w:t xml:space="preserve">The framework architecture presumes good faith. Attribution requires evidence. False flags are excluded.</w:t>
      </w:r>
    </w:p>
    <w:p>
      <w:pPr>
        <w:numPr>
          <w:ilvl w:val="0"/>
          <w:numId w:val="1021"/>
        </w:numPr>
        <w:pStyle w:val="Compact"/>
      </w:pPr>
      <w:r>
        <w:t xml:space="preserve">Data is data. No political meaning attaches to its collection or sharing.</w:t>
      </w:r>
    </w:p>
    <w:p>
      <w:pPr>
        <w:numPr>
          <w:ilvl w:val="0"/>
          <w:numId w:val="1021"/>
        </w:numPr>
        <w:pStyle w:val="Compact"/>
      </w:pPr>
      <w:r>
        <w:t xml:space="preserve">Verification is reciprocal. Both parties invest; both parties verify; both parties recover.</w:t>
      </w:r>
    </w:p>
    <w:bookmarkEnd w:id="146"/>
    <w:bookmarkEnd w:id="147"/>
    <w:bookmarkStart w:id="148" w:name="closing"/>
    <w:p>
      <w:pPr>
        <w:pStyle w:val="Heading2"/>
      </w:pPr>
      <w:r>
        <w:t xml:space="preserve">Closing</w:t>
      </w:r>
    </w:p>
    <w:p>
      <w:pPr>
        <w:pStyle w:val="FirstParagraph"/>
      </w:pPr>
      <w:r>
        <w:t xml:space="preserve">The Cothrom Verification Method converts compliance enforcement from a weapon of coercion into a mechanism of stabilization. It protects both parties from accidental collapse, preserves humanitarian flows through crises, creates clear and achievable pathways back to full compliance, and ensures that the framework outlives the inevitable imperfections of implementation. The framework architecture designs this Method not for a world of perfect compliance, but for a world of human fallibility, political friction, and the enduring possibility of recovery.</w:t>
      </w:r>
    </w:p>
    <w:p>
      <w:pPr>
        <w:pStyle w:val="BodyText"/>
      </w:pPr>
      <w:r>
        <w:t xml:space="preserve">“</w:t>
      </w:r>
      <w:r>
        <w:t xml:space="preserve">Cothrom</w:t>
      </w:r>
      <w:r>
        <w:t xml:space="preserve">”</w:t>
      </w:r>
      <w:r>
        <w:t xml:space="preserve"> </w:t>
      </w:r>
      <w:r>
        <w:t xml:space="preserve">means equal. Equal stakes. Equal scrutiny. Equal protection. Equal opportunity to recover. That is the architecture.</w:t>
      </w:r>
    </w:p>
    <w:bookmarkEnd w:id="148"/>
    <w:bookmarkEnd w:id="149"/>
    <w:bookmarkStart w:id="174" w:name="X1ff8aac88fabcf6d2414d6630b64ac388b771a7"/>
    <w:p>
      <w:pPr>
        <w:pStyle w:val="Heading1"/>
      </w:pPr>
      <w:r>
        <w:t xml:space="preserve">ANNEX E: THE RECONSTRUCTION AND DEVELOPMENT FUND PROTOCOL (ANNEX RDF, INCORPORATED)</w:t>
      </w:r>
    </w:p>
    <w:bookmarkStart w:id="150" w:name="e.1-incorporation"/>
    <w:p>
      <w:pPr>
        <w:pStyle w:val="Heading2"/>
      </w:pPr>
      <w:r>
        <w:t xml:space="preserve">E.1 Incorporation</w:t>
      </w:r>
    </w:p>
    <w:p>
      <w:pPr>
        <w:pStyle w:val="FirstParagraph"/>
      </w:pPr>
      <w:r>
        <w:t xml:space="preserve">E.1.1 The Annex RDF Reconstruction and Development Fund Protocol, Version 1.0 of June 2026, stands incorporated into this Compact in its entirety as this Annex E, with the status of a binding operative annex. Title IX states its governing principles; this Annex and the incorporated Protocol supply the operative detail, including the full appendices cataloguing contributor registries, regional funds, application pathways, and supplementary facilities, which the Reconstruction Steering Committee updates administratively without amendment to the operative Articles.</w:t>
      </w:r>
    </w:p>
    <w:bookmarkEnd w:id="150"/>
    <w:bookmarkStart w:id="151" w:name="e.2-capital-architecture-summary"/>
    <w:p>
      <w:pPr>
        <w:pStyle w:val="Heading2"/>
      </w:pPr>
      <w:r>
        <w:t xml:space="preserve">E.2 Capital Architecture Summary</w:t>
      </w:r>
    </w:p>
    <w:p>
      <w:pPr>
        <w:pStyle w:val="FirstParagraph"/>
      </w:pPr>
      <w:r>
        <w:t xml:space="preserve">E.2.1 The Multilateral Reconstruction Fund aggregates capital across the contribution tiers: Anchor contributors (GCC sovereign wealth funds, World Bank, Islamic Development Bank) at five billion dollars and above; Major contributors (regional development banks, EU member states, China, Japan) at one to five billion; Supporting contributors (private infrastructure funds, pension funds, insurers) at one hundred million to one billion; and Humanitarian contributors (UN agencies, ICRC, bilateral humanitarian offices) at fifty to five hundred million.</w:t>
      </w:r>
    </w:p>
    <w:p>
      <w:pPr>
        <w:pStyle w:val="BodyText"/>
      </w:pPr>
      <w:r>
        <w:t xml:space="preserve">E.2.2 Registered anchor commitments include the Qatar Investment Authority at fifteen billion dollars, the Saudi Public Investment Fund at ten billion, the Abu Dhabi Investment Authority at eight billion, the World Bank at five billion in concessional financing, and the Islamic Development Bank at four billion, with the Major and Supporting tiers catalogued in the incorporated appendices.</w:t>
      </w:r>
    </w:p>
    <w:p>
      <w:pPr>
        <w:pStyle w:val="BodyText"/>
      </w:pPr>
      <w:r>
        <w:t xml:space="preserve">E.2.3 Supplementary windows operate per the incorporated Protocol: the IMF Special Drawing Rights channeling window targeting three to five billion in concessional financing; the Frozen Asset Conversion Protocol unlocking six to ten billion; the Carbon Credit Pre-Financing Facility targeting two to five billion under Article 6 of the Paris Agreement; the United States private sector safe harbor and in-kind window targeting five to ten billion; and the bilateral programs of China, Russia, and India coordinated through the Reconstruction Steering Committee.</w:t>
      </w:r>
    </w:p>
    <w:bookmarkEnd w:id="151"/>
    <w:bookmarkStart w:id="152" w:name="e.3-governance"/>
    <w:p>
      <w:pPr>
        <w:pStyle w:val="Heading2"/>
      </w:pPr>
      <w:r>
        <w:t xml:space="preserve">E.3 Governance</w:t>
      </w:r>
    </w:p>
    <w:p>
      <w:pPr>
        <w:pStyle w:val="FirstParagraph"/>
      </w:pPr>
      <w:r>
        <w:t xml:space="preserve">E.3.1 The Reconstruction Steering Committee comprises Iran (two representatives), Qatar (one, as escrow agent), the World Bank (one, as fiduciary administrator), the GCC (one, rotating chair), with the United States, China, and the European Union as non-voting observers, plus the Iranian Civil Society Observer seat. Approval of projects requires consensus of the voting members. The Committee meets quarterly in Doha and publishes all reports on the transparency dashboard.</w:t>
      </w:r>
    </w:p>
    <w:p>
      <w:pPr>
        <w:pStyle w:val="BodyText"/>
      </w:pPr>
      <w:r>
        <w:t xml:space="preserve">E.3.2 The Technical Advisory Group, appointed by the World Bank, conducts technical review within thirty days, milestone verification, and technology transfer assessment, and publishes its assessments publicly.</w:t>
      </w:r>
    </w:p>
    <w:bookmarkEnd w:id="152"/>
    <w:bookmarkStart w:id="153" w:name="e.4-protections"/>
    <w:p>
      <w:pPr>
        <w:pStyle w:val="Heading2"/>
      </w:pPr>
      <w:r>
        <w:t xml:space="preserve">E.4 Protections</w:t>
      </w:r>
    </w:p>
    <w:p>
      <w:pPr>
        <w:pStyle w:val="FirstParagraph"/>
      </w:pPr>
      <w:r>
        <w:t xml:space="preserve">E.4.1 The full integrity architecture of the incorporated Protocol binds: performance-based disbursement per the sub-fund tranche tables; the absolute no-clawback guarantee; the Political Risk Insurance Pool; the Hard Currency Facility; the contingency reserves and cost overrun buffer; contractor performance bonds and the Contractor Performance Registry; quarterly auditor site visits; the whistleblower mechanism; and the Force Majeure and Sanctions Reimposition Fallback Protocol protecting both disbursed and undisbursed funds.</w:t>
      </w:r>
    </w:p>
    <w:p>
      <w:pPr>
        <w:pStyle w:val="BodyText"/>
      </w:pPr>
      <w:r>
        <w:t xml:space="preserve">E.4.2 The sovereign procurement and non-directed purchasing guarantee of Article 8 of the incorporated Protocol binds absolutely, including the incorporation of the Central Bank of Iran Governor’s statement as a binding interpretive understanding, and the severability and supremacy clause giving operative text priority over any public statement.</w:t>
      </w:r>
    </w:p>
    <w:bookmarkEnd w:id="153"/>
    <w:bookmarkStart w:id="173" w:name="X5bd7408d0f17495bf51b376513ddb54870abe6b"/>
    <w:p>
      <w:pPr>
        <w:pStyle w:val="Heading2"/>
      </w:pPr>
      <w:r>
        <w:t xml:space="preserve">E.5 Full Incorporated Operative Text of the Reconstruction and Development Fund Protocol</w:t>
      </w:r>
    </w:p>
    <w:p>
      <w:pPr>
        <w:pStyle w:val="FirstParagraph"/>
      </w:pPr>
      <w:r>
        <w:t xml:space="preserve">The following text constitutes the complete incorporated operative text of the Annex RDF Reconstruction and Development Fund Protocol, Version 1.0 of June 2026, binding in its entirety, including its appendices.</w:t>
      </w:r>
    </w:p>
    <w:p>
      <w:pPr>
        <w:pStyle w:val="BodyText"/>
      </w:pPr>
      <w:r>
        <w:t xml:space="preserve">ANNEX RDF</w:t>
      </w:r>
    </w:p>
    <w:p>
      <w:pPr>
        <w:pStyle w:val="BodyText"/>
      </w:pPr>
      <w:r>
        <w:t xml:space="preserve">Reconstruction and Development Fund Protocol</w:t>
      </w:r>
    </w:p>
    <w:p>
      <w:pPr>
        <w:pStyle w:val="BodyText"/>
      </w:pPr>
      <w:r>
        <w:t xml:space="preserve">A Multilateral, Modular Blueprint for Iran’s Reconstruction</w:t>
      </w:r>
    </w:p>
    <w:p>
      <w:pPr>
        <w:pStyle w:val="BodyText"/>
      </w:pPr>
      <w:r>
        <w:t xml:space="preserve">A Self-Contained · Incorporable by Reference Protocol</w:t>
      </w:r>
    </w:p>
    <w:p>
      <w:pPr>
        <w:pStyle w:val="BodyText"/>
      </w:pPr>
      <w:r>
        <w:t xml:space="preserve">For the Islamabad Accord</w:t>
      </w:r>
    </w:p>
    <w:p>
      <w:pPr>
        <w:pStyle w:val="BodyText"/>
      </w:pPr>
      <w:r>
        <w:t xml:space="preserve">Version 1.0 | June 2026</w:t>
      </w:r>
    </w:p>
    <w:p>
      <w:pPr>
        <w:pStyle w:val="BodyText"/>
      </w:pPr>
      <w:r>
        <w:t xml:space="preserve">Preamble</w:t>
      </w:r>
    </w:p>
    <w:p>
      <w:pPr>
        <w:pStyle w:val="BodyText"/>
      </w:pPr>
      <w:r>
        <w:t xml:space="preserve">This document reflects the capitalization status and prospective</w:t>
      </w:r>
      <w:r>
        <w:t xml:space="preserve"> </w:t>
      </w:r>
      <w:r>
        <w:t xml:space="preserve">contributor landscape as understood at the time of drafting. Figures,</w:t>
      </w:r>
      <w:r>
        <w:t xml:space="preserve"> </w:t>
      </w:r>
      <w:r>
        <w:t xml:space="preserve">participation, and timelines are indicative of the contemporaneous</w:t>
      </w:r>
      <w:r>
        <w:t xml:space="preserve"> </w:t>
      </w:r>
      <w:r>
        <w:t xml:space="preserve">negotiation environment and stands permitted to be updated by the Reconstruction</w:t>
      </w:r>
      <w:r>
        <w:t xml:space="preserve"> </w:t>
      </w:r>
      <w:r>
        <w:t xml:space="preserve">Steering Committee without amendment to the operative Articles of this</w:t>
      </w:r>
      <w:r>
        <w:t xml:space="preserve"> </w:t>
      </w:r>
      <w:r>
        <w:t xml:space="preserve">Protocol.</w:t>
      </w:r>
    </w:p>
    <w:p>
      <w:pPr>
        <w:pStyle w:val="BodyText"/>
      </w:pPr>
      <w:r>
        <w:t xml:space="preserve">The Parties acknowledge the extensive damage to Iranian civilian</w:t>
      </w:r>
      <w:r>
        <w:t xml:space="preserve"> </w:t>
      </w:r>
      <w:r>
        <w:t xml:space="preserve">infrastructure resulting from the 2026 conflict. Iranian officials</w:t>
      </w:r>
      <w:r>
        <w:t xml:space="preserve"> </w:t>
      </w:r>
      <w:r>
        <w:t xml:space="preserve">estimate total reconstruction costs at approximately $270 billion over a</w:t>
      </w:r>
      <w:r>
        <w:t xml:space="preserve"> </w:t>
      </w:r>
      <w:r>
        <w:t xml:space="preserve">ten-year horizon, encompassing:</w:t>
      </w:r>
    </w:p>
    <w:p>
      <w:pPr>
        <w:pStyle w:val="BodyText"/>
      </w:pPr>
      <w:r>
        <w:t xml:space="preserve">• Energy infrastructure (power plants, refineries, pipelines)</w:t>
      </w:r>
    </w:p>
    <w:p>
      <w:pPr>
        <w:pStyle w:val="BodyText"/>
      </w:pPr>
      <w:r>
        <w:t xml:space="preserve">• Transportation networks (roads, railways, ports, airports)</w:t>
      </w:r>
    </w:p>
    <w:p>
      <w:pPr>
        <w:pStyle w:val="BodyText"/>
      </w:pPr>
      <w:r>
        <w:t xml:space="preserve">• Water and sanitation systems</w:t>
      </w:r>
    </w:p>
    <w:p>
      <w:pPr>
        <w:pStyle w:val="BodyText"/>
      </w:pPr>
      <w:r>
        <w:t xml:space="preserve">• Healthcare facilities and medical supply chains</w:t>
      </w:r>
    </w:p>
    <w:p>
      <w:pPr>
        <w:pStyle w:val="BodyText"/>
      </w:pPr>
      <w:r>
        <w:t xml:space="preserve">• Educational institutions and research centers</w:t>
      </w:r>
    </w:p>
    <w:p>
      <w:pPr>
        <w:pStyle w:val="BodyText"/>
      </w:pPr>
      <w:r>
        <w:t xml:space="preserve">• Residential housing and urban reconstruction</w:t>
      </w:r>
    </w:p>
    <w:p>
      <w:pPr>
        <w:pStyle w:val="BodyText"/>
      </w:pPr>
      <w:r>
        <w:t xml:space="preserve">• Agricultural and food security infrastructure</w:t>
      </w:r>
    </w:p>
    <w:p>
      <w:pPr>
        <w:pStyle w:val="BodyText"/>
      </w:pPr>
      <w:r>
        <w:t xml:space="preserve">The Parties further recognize that direct U.S. financial aid or</w:t>
      </w:r>
      <w:r>
        <w:t xml:space="preserve"> </w:t>
      </w:r>
      <w:r>
        <w:t xml:space="preserve">un-vetted capital flows to Iran are politically impossible for</w:t>
      </w:r>
      <w:r>
        <w:t xml:space="preserve"> </w:t>
      </w:r>
      <w:r>
        <w:t xml:space="preserve">Washington. The United States cannot be seen as paying for Iranian</w:t>
      </w:r>
      <w:r>
        <w:t xml:space="preserve"> </w:t>
      </w:r>
      <w:r>
        <w:t xml:space="preserve">reconstruction without risking severe domestic political backlash and</w:t>
      </w:r>
      <w:r>
        <w:t xml:space="preserve"> </w:t>
      </w:r>
      <w:r>
        <w:t xml:space="preserve">accusations of rewarding aggression. Conversely, Iran cannot accept</w:t>
      </w:r>
      <w:r>
        <w:t xml:space="preserve"> </w:t>
      </w:r>
      <w:r>
        <w:t xml:space="preserve">direct U.S. funding without undermining its narrative of sovereign</w:t>
      </w:r>
      <w:r>
        <w:t xml:space="preserve"> </w:t>
      </w:r>
      <w:r>
        <w:t xml:space="preserve">resilience and resistance.</w:t>
      </w:r>
    </w:p>
    <w:p>
      <w:pPr>
        <w:pStyle w:val="BodyText"/>
      </w:pPr>
      <w:r>
        <w:t xml:space="preserve">This Annex therefore establishes the Multilateral Reconstruction Fund</w:t>
      </w:r>
      <w:r>
        <w:t xml:space="preserve"> </w:t>
      </w:r>
      <w:r>
        <w:t xml:space="preserve">(MRF) , a highly innovative, modular financial architecture that routes</w:t>
      </w:r>
      <w:r>
        <w:t xml:space="preserve"> </w:t>
      </w:r>
      <w:r>
        <w:t xml:space="preserve">third-party capital, humanitarian aid, and industrial investments</w:t>
      </w:r>
      <w:r>
        <w:t xml:space="preserve"> </w:t>
      </w:r>
      <w:r>
        <w:t xml:space="preserve">through neutral channels without requiring direct, high-visibility U.S.</w:t>
      </w:r>
      <w:r>
        <w:t xml:space="preserve"> </w:t>
      </w:r>
      <w:r>
        <w:t xml:space="preserve">state funding or triggering primary U.S. sanctions lines.</w:t>
      </w:r>
    </w:p>
    <w:p>
      <w:pPr>
        <w:pStyle w:val="BodyText"/>
      </w:pPr>
      <w:r>
        <w:t xml:space="preserve">The MRF operates on the following core principles:</w:t>
      </w:r>
    </w:p>
    <w:p>
      <w:pPr>
        <w:pStyle w:val="BodyText"/>
      </w:pPr>
      <w:r>
        <w:t xml:space="preserve">Third-Party Capital Aggregation</w:t>
      </w:r>
    </w:p>
    <w:p>
      <w:pPr>
        <w:pStyle w:val="BodyText"/>
      </w:pPr>
      <w:r>
        <w:t xml:space="preserve">The MRF aggregates contributions from multiple sources , sovereign</w:t>
      </w:r>
      <w:r>
        <w:t xml:space="preserve"> </w:t>
      </w:r>
      <w:r>
        <w:t xml:space="preserve">wealth funds, international development banks, private investors,</w:t>
      </w:r>
      <w:r>
        <w:t xml:space="preserve"> </w:t>
      </w:r>
      <w:r>
        <w:t xml:space="preserve">humanitarian organizations, and regional states , into a neutral escrow</w:t>
      </w:r>
      <w:r>
        <w:t xml:space="preserve"> </w:t>
      </w:r>
      <w:r>
        <w:t xml:space="preserve">administered by the State of Qatar and the World Bank.</w:t>
      </w:r>
    </w:p>
    <w:p>
      <w:pPr>
        <w:pStyle w:val="BodyText"/>
      </w:pPr>
      <w:r>
        <w:t xml:space="preserve">Iranian Sovereignty Over Project Selection</w:t>
      </w:r>
    </w:p>
    <w:p>
      <w:pPr>
        <w:pStyle w:val="BodyText"/>
      </w:pPr>
      <w:r>
        <w:t xml:space="preserve">Iran retains full sovereign authority over reconstruction priorities and</w:t>
      </w:r>
      <w:r>
        <w:t xml:space="preserve"> </w:t>
      </w:r>
      <w:r>
        <w:t xml:space="preserve">project selection. The MRF does not impose projects on Iran; Iran</w:t>
      </w:r>
      <w:r>
        <w:t xml:space="preserve"> </w:t>
      </w:r>
      <w:r>
        <w:t xml:space="preserve">proposes projects, and the MRF funds those that meet technical and</w:t>
      </w:r>
      <w:r>
        <w:t xml:space="preserve"> </w:t>
      </w:r>
      <w:r>
        <w:t xml:space="preserve">financial criteria.</w:t>
      </w:r>
    </w:p>
    <w:p>
      <w:pPr>
        <w:pStyle w:val="BodyText"/>
      </w:pPr>
      <w:r>
        <w:t xml:space="preserve">Neutral Channeling</w:t>
      </w:r>
    </w:p>
    <w:p>
      <w:pPr>
        <w:pStyle w:val="BodyText"/>
      </w:pPr>
      <w:r>
        <w:t xml:space="preserve">All funds flow through the Qatar Central Bank, the World Bank, or other</w:t>
      </w:r>
      <w:r>
        <w:t xml:space="preserve"> </w:t>
      </w:r>
      <w:r>
        <w:t xml:space="preserve">internationally recognized financial intermediaries. The United States</w:t>
      </w:r>
      <w:r>
        <w:t xml:space="preserve"> </w:t>
      </w:r>
      <w:r>
        <w:t xml:space="preserve">does not disburse funds directly to Iran, and no U.S. government funds</w:t>
      </w:r>
      <w:r>
        <w:t xml:space="preserve"> </w:t>
      </w:r>
      <w:r>
        <w:t xml:space="preserve">are co-mingled with MRF funds. U.S. contributions, if any, are limited</w:t>
      </w:r>
      <w:r>
        <w:t xml:space="preserve"> </w:t>
      </w:r>
      <w:r>
        <w:t xml:space="preserve">to technical assistance, project identification, or capacity building ,</w:t>
      </w:r>
      <w:r>
        <w:t xml:space="preserve"> </w:t>
      </w:r>
      <w:r>
        <w:t xml:space="preserve">never direct cash transfers.</w:t>
      </w:r>
    </w:p>
    <w:p>
      <w:pPr>
        <w:pStyle w:val="BodyText"/>
      </w:pPr>
      <w:r>
        <w:t xml:space="preserve">Modularity</w:t>
      </w:r>
    </w:p>
    <w:p>
      <w:pPr>
        <w:pStyle w:val="BodyText"/>
      </w:pPr>
      <w:r>
        <w:t xml:space="preserve">The MRF divides into independent sub-funds, each addressing a specific</w:t>
      </w:r>
      <w:r>
        <w:t xml:space="preserve"> </w:t>
      </w:r>
      <w:r>
        <w:t xml:space="preserve">sector (energy, water, transportation, healthcare, education, housing).</w:t>
      </w:r>
      <w:r>
        <w:t xml:space="preserve"> </w:t>
      </w:r>
      <w:r>
        <w:t xml:space="preserve">Failure or delay in one sub-fund does not affect others.</w:t>
      </w:r>
    </w:p>
    <w:p>
      <w:pPr>
        <w:pStyle w:val="BodyText"/>
      </w:pPr>
      <w:r>
        <w:t xml:space="preserve">Performance-Based Disbursement</w:t>
      </w:r>
    </w:p>
    <w:p>
      <w:pPr>
        <w:pStyle w:val="BodyText"/>
      </w:pPr>
      <w:r>
        <w:t xml:space="preserve">Like the Escrow Protocol, MRF disbursements are tied to verifiable</w:t>
      </w:r>
      <w:r>
        <w:t xml:space="preserve"> </w:t>
      </w:r>
      <w:r>
        <w:t xml:space="preserve">milestones , in this case, project completion, procurement</w:t>
      </w:r>
      <w:r>
        <w:t xml:space="preserve"> </w:t>
      </w:r>
      <w:r>
        <w:t xml:space="preserve">verification, and independent auditing.</w:t>
      </w:r>
    </w:p>
    <w:p>
      <w:pPr>
        <w:pStyle w:val="BodyText"/>
      </w:pPr>
      <w:r>
        <w:t xml:space="preserve">Sanctions Firewall</w:t>
      </w:r>
    </w:p>
    <w:p>
      <w:pPr>
        <w:pStyle w:val="BodyText"/>
      </w:pPr>
      <w:r>
        <w:t xml:space="preserve">MRF transactions are explicitly exempt from U.S. secondary sanctions.</w:t>
      </w:r>
      <w:r>
        <w:t xml:space="preserve"> </w:t>
      </w:r>
      <w:r>
        <w:t xml:space="preserve">Participating financial institutions receive a general license from OFAC</w:t>
      </w:r>
      <w:r>
        <w:t xml:space="preserve"> </w:t>
      </w:r>
      <w:r>
        <w:t xml:space="preserve">for all MRF-related activities.</w:t>
      </w:r>
    </w:p>
    <w:p>
      <w:pPr>
        <w:pStyle w:val="BodyText"/>
      </w:pPr>
      <w:r>
        <w:t xml:space="preserve">Index</w:t>
      </w:r>
    </w:p>
    <w:p>
      <w:pPr>
        <w:pStyle w:val="BodyText"/>
      </w:pPr>
      <w:r>
        <w:t xml:space="preserve">The following numbered index provides a complete guide to the articles,</w:t>
      </w:r>
      <w:r>
        <w:t xml:space="preserve"> </w:t>
      </w:r>
      <w:r>
        <w:t xml:space="preserve">appendices, and major sections of this Annex with their corresponding</w:t>
      </w:r>
      <w:r>
        <w:t xml:space="preserve"> </w:t>
      </w:r>
      <w:r>
        <w:t xml:space="preserve">page numbers.</w:t>
      </w:r>
    </w:p>
    <w:p>
      <w:pPr>
        <w:numPr>
          <w:ilvl w:val="0"/>
          <w:numId w:val="1022"/>
        </w:numPr>
      </w:pPr>
      <w:r>
        <w:t xml:space="preserve">Preamble ………………………………………………. 1</w:t>
      </w:r>
    </w:p>
    <w:p>
      <w:pPr>
        <w:numPr>
          <w:ilvl w:val="0"/>
          <w:numId w:val="1022"/>
        </w:numPr>
      </w:pPr>
      <w:r>
        <w:t xml:space="preserve">Article 1: Definitions …………………………………. 1</w:t>
      </w:r>
    </w:p>
    <w:p>
      <w:pPr>
        <w:numPr>
          <w:ilvl w:val="0"/>
          <w:numId w:val="1022"/>
        </w:numPr>
      </w:pPr>
      <w:r>
        <w:t xml:space="preserve">Article 2: Capital Aggregation and Escrow ………………… 9</w:t>
      </w:r>
    </w:p>
    <w:p>
      <w:pPr>
        <w:numPr>
          <w:ilvl w:val="0"/>
          <w:numId w:val="1022"/>
        </w:numPr>
      </w:pPr>
      <w:r>
        <w:t xml:space="preserve">Article 3: Project Proposal and Approval Process ………….. 12</w:t>
      </w:r>
    </w:p>
    <w:p>
      <w:pPr>
        <w:numPr>
          <w:ilvl w:val="0"/>
          <w:numId w:val="1022"/>
        </w:numPr>
      </w:pPr>
      <w:r>
        <w:t xml:space="preserve">Article 4: Disbursement and Verification …………………. 16</w:t>
      </w:r>
    </w:p>
    <w:p>
      <w:pPr>
        <w:numPr>
          <w:ilvl w:val="0"/>
          <w:numId w:val="1022"/>
        </w:numPr>
      </w:pPr>
      <w:r>
        <w:t xml:space="preserve">Article 5: Governance and Transparency …………………… 16</w:t>
      </w:r>
    </w:p>
    <w:p>
      <w:pPr>
        <w:numPr>
          <w:ilvl w:val="0"/>
          <w:numId w:val="1022"/>
        </w:numPr>
      </w:pPr>
      <w:r>
        <w:t xml:space="preserve">Article 6: Relationship to Other Annexes …………………. 20</w:t>
      </w:r>
    </w:p>
    <w:p>
      <w:pPr>
        <w:numPr>
          <w:ilvl w:val="0"/>
          <w:numId w:val="1022"/>
        </w:numPr>
      </w:pPr>
      <w:r>
        <w:t xml:space="preserve">Article 7: Duration and Supersession …………………….. 20</w:t>
      </w:r>
    </w:p>
    <w:p>
      <w:pPr>
        <w:numPr>
          <w:ilvl w:val="0"/>
          <w:numId w:val="1022"/>
        </w:numPr>
      </w:pPr>
      <w:r>
        <w:t xml:space="preserve">Article 8: Sovereign Procurement and Non-Directed Purchasing .. 24</w:t>
      </w:r>
    </w:p>
    <w:p>
      <w:pPr>
        <w:numPr>
          <w:ilvl w:val="0"/>
          <w:numId w:val="1022"/>
        </w:numPr>
      </w:pPr>
      <w:r>
        <w:t xml:space="preserve">Appendix A: Capital Contributor Registry …………………. 24</w:t>
      </w:r>
    </w:p>
    <w:p>
      <w:pPr>
        <w:numPr>
          <w:ilvl w:val="0"/>
          <w:numId w:val="1022"/>
        </w:numPr>
      </w:pPr>
      <w:r>
        <w:t xml:space="preserve">Appendix B: Regional Development Funds and Grant Programs ….. 28</w:t>
      </w:r>
    </w:p>
    <w:p>
      <w:pPr>
        <w:numPr>
          <w:ilvl w:val="0"/>
          <w:numId w:val="1022"/>
        </w:numPr>
      </w:pPr>
      <w:r>
        <w:t xml:space="preserve">Appendix C: The Multilateral Architecture ………………… 31</w:t>
      </w:r>
    </w:p>
    <w:p>
      <w:pPr>
        <w:numPr>
          <w:ilvl w:val="0"/>
          <w:numId w:val="1022"/>
        </w:numPr>
      </w:pPr>
      <w:r>
        <w:t xml:space="preserve">Appendix D: Supplementary Regional Programs ………………. 31</w:t>
      </w:r>
    </w:p>
    <w:p>
      <w:pPr>
        <w:numPr>
          <w:ilvl w:val="0"/>
          <w:numId w:val="1022"/>
        </w:numPr>
      </w:pPr>
      <w:r>
        <w:t xml:space="preserve">Appendix E: International Funding Sources and Application Pathways</w:t>
      </w:r>
      <w:r>
        <w:t xml:space="preserve"> </w:t>
      </w:r>
      <w:r>
        <w:t xml:space="preserve">…….. 35</w:t>
      </w:r>
    </w:p>
    <w:p>
      <w:pPr>
        <w:numPr>
          <w:ilvl w:val="0"/>
          <w:numId w:val="1022"/>
        </w:numPr>
      </w:pPr>
      <w:r>
        <w:t xml:space="preserve">Appendix F: Force Majeure and Sanctions Reimposition Fallback</w:t>
      </w:r>
      <w:r>
        <w:t xml:space="preserve"> </w:t>
      </w:r>
      <w:r>
        <w:t xml:space="preserve">Protocol … 43</w:t>
      </w:r>
    </w:p>
    <w:p>
      <w:pPr>
        <w:numPr>
          <w:ilvl w:val="0"/>
          <w:numId w:val="1022"/>
        </w:numPr>
      </w:pPr>
      <w:r>
        <w:t xml:space="preserve">Appendix G: Additional International Funding Sources ……….. 47</w:t>
      </w:r>
    </w:p>
    <w:p>
      <w:pPr>
        <w:numPr>
          <w:ilvl w:val="0"/>
          <w:numId w:val="1022"/>
        </w:numPr>
      </w:pPr>
      <w:r>
        <w:t xml:space="preserve">Appendix H: Global South, BRICS, and Regional Development Partners</w:t>
      </w:r>
      <w:r>
        <w:t xml:space="preserve"> </w:t>
      </w:r>
      <w:r>
        <w:t xml:space="preserve">…. 54</w:t>
      </w:r>
    </w:p>
    <w:p>
      <w:pPr>
        <w:numPr>
          <w:ilvl w:val="0"/>
          <w:numId w:val="1022"/>
        </w:numPr>
      </w:pPr>
      <w:r>
        <w:t xml:space="preserve">Appendix I: Country-by-Country Funding Sources ……………. 58</w:t>
      </w:r>
    </w:p>
    <w:bookmarkStart w:id="154" w:name="article-1-definitions"/>
    <w:p>
      <w:pPr>
        <w:pStyle w:val="Heading3"/>
      </w:pPr>
      <w:r>
        <w:t xml:space="preserve">Article 1: Definitions</w:t>
      </w:r>
    </w:p>
    <w:p>
      <w:pPr>
        <w:pStyle w:val="FirstParagraph"/>
      </w:pPr>
      <w:r>
        <w:t xml:space="preserve">1.1 Multilateral Reconstruction Fund (MRF)</w:t>
      </w:r>
    </w:p>
    <w:p>
      <w:pPr>
        <w:pStyle w:val="BodyText"/>
      </w:pPr>
      <w:r>
        <w:t xml:space="preserve">The MRF is the central vehicle for aggregating, administering, and</w:t>
      </w:r>
      <w:r>
        <w:t xml:space="preserve"> </w:t>
      </w:r>
      <w:r>
        <w:t xml:space="preserve">disbursing reconstruction capital. It consists of multiple sub-funds,</w:t>
      </w:r>
      <w:r>
        <w:t xml:space="preserve"> </w:t>
      </w:r>
      <w:r>
        <w:t xml:space="preserve">each dedicated to a specific sector.</w:t>
      </w:r>
    </w:p>
    <w:p>
      <w:pPr>
        <w:pStyle w:val="BodyText"/>
      </w:pPr>
      <w:r>
        <w:t xml:space="preserve">1.2 Sub-Funds</w:t>
      </w:r>
    </w:p>
    <w:p>
      <w:pPr>
        <w:pStyle w:val="BodyText"/>
      </w:pPr>
      <w:r>
        <w:t xml:space="preserve">The MRF comprises the following Sub-Funds, each with its own governance,</w:t>
      </w:r>
      <w:r>
        <w:t xml:space="preserve"> </w:t>
      </w:r>
      <w:r>
        <w:t xml:space="preserve">project pipeline, and disbursement schedule:</w:t>
      </w:r>
    </w:p>
    <w:p>
      <w:pPr>
        <w:pStyle w:val="BodyText"/>
      </w:pPr>
      <w:r>
        <w:t xml:space="preserve">, , , , , , , , , , , , , , , , , , , , , , , , , , , , , , , , , , , , -</w:t>
      </w:r>
      <w:r>
        <w:t xml:space="preserve"> </w:t>
      </w:r>
      <w:r>
        <w:t xml:space="preserve">Sub-Fund Sector Target</w:t>
      </w:r>
      <w:r>
        <w:t xml:space="preserve"> </w:t>
      </w:r>
      <w:r>
        <w:t xml:space="preserve">Capitalization</w:t>
      </w:r>
      <w:r>
        <w:t xml:space="preserve"> </w:t>
      </w:r>
      <w:r>
        <w:t xml:space="preserve">(10-Year)</w:t>
      </w:r>
      <w:r>
        <w:t xml:space="preserve"> </w:t>
      </w:r>
      <w:r>
        <w:t xml:space="preserve">, , , , , , , , - , , , , , , , , , , , , , , , , , , - , , , , , , , , -</w:t>
      </w:r>
      <w:r>
        <w:t xml:space="preserve"> </w:t>
      </w:r>
      <w:r>
        <w:t xml:space="preserve">MRF-Energy Power plants, refineries, renewable $80 billion</w:t>
      </w:r>
      <w:r>
        <w:t xml:space="preserve"> </w:t>
      </w:r>
      <w:r>
        <w:t xml:space="preserve">energy, grid modernization</w:t>
      </w:r>
    </w:p>
    <w:p>
      <w:pPr>
        <w:pStyle w:val="BodyText"/>
      </w:pPr>
      <w:r>
        <w:t xml:space="preserve">MRF-Water Water treatment, desalination, $40 billion</w:t>
      </w:r>
      <w:r>
        <w:t xml:space="preserve"> </w:t>
      </w:r>
      <w:r>
        <w:t xml:space="preserve">irrigation, sanitation</w:t>
      </w:r>
    </w:p>
    <w:p>
      <w:pPr>
        <w:pStyle w:val="BodyText"/>
      </w:pPr>
      <w:r>
        <w:t xml:space="preserve">MRF-Transport Roads, railways, ports, airports, $50 billion</w:t>
      </w:r>
      <w:r>
        <w:t xml:space="preserve"> </w:t>
      </w:r>
      <w:r>
        <w:t xml:space="preserve">urban transit</w:t>
      </w:r>
    </w:p>
    <w:p>
      <w:pPr>
        <w:pStyle w:val="BodyText"/>
      </w:pPr>
      <w:r>
        <w:t xml:space="preserve">MRF-Health Hospitals, clinics, medical supply $25 billion</w:t>
      </w:r>
      <w:r>
        <w:t xml:space="preserve"> </w:t>
      </w:r>
      <w:r>
        <w:t xml:space="preserve">chains, pandemic preparedness</w:t>
      </w:r>
    </w:p>
    <w:p>
      <w:pPr>
        <w:pStyle w:val="BodyText"/>
      </w:pPr>
      <w:r>
        <w:t xml:space="preserve">MRF-Education Schools, universities, research $20 billion</w:t>
      </w:r>
      <w:r>
        <w:t xml:space="preserve"> </w:t>
      </w:r>
      <w:r>
        <w:t xml:space="preserve">centers, vocational training</w:t>
      </w:r>
    </w:p>
    <w:p>
      <w:pPr>
        <w:pStyle w:val="BodyText"/>
      </w:pPr>
      <w:r>
        <w:t xml:space="preserve">MRF-Housing Urban reconstruction, $35 billion</w:t>
      </w:r>
      <w:r>
        <w:t xml:space="preserve"> </w:t>
      </w:r>
      <w:r>
        <w:t xml:space="preserve">earthquake-resistant housing, slum</w:t>
      </w:r>
      <w:r>
        <w:br/>
      </w:r>
      <w:r>
        <w:t xml:space="preserve">upgrading</w:t>
      </w:r>
    </w:p>
    <w:p>
      <w:pPr>
        <w:pStyle w:val="BodyText"/>
      </w:pPr>
      <w:r>
        <w:t xml:space="preserve">MRF-Agriculture Food security, irrigation, $20 billion</w:t>
      </w:r>
      <w:r>
        <w:t xml:space="preserve"> </w:t>
      </w:r>
      <w:r>
        <w:t xml:space="preserve">agricultural technology, rural</w:t>
      </w:r>
      <w:r>
        <w:br/>
      </w:r>
      <w:r>
        <w:t xml:space="preserve">development</w:t>
      </w:r>
    </w:p>
    <w:p>
      <w:pPr>
        <w:pStyle w:val="BodyText"/>
      </w:pPr>
      <w:r>
        <w:t xml:space="preserve">TOTAL All Sectors $270 billion</w:t>
      </w:r>
      <w:r>
        <w:t xml:space="preserve"> </w:t>
      </w:r>
      <w:r>
        <w:t xml:space="preserve">, , , , , , , , , , , , , , , , , , , , , , , , , , , , , , , , , , , , -</w:t>
      </w:r>
    </w:p>
    <w:p>
      <w:pPr>
        <w:pStyle w:val="BodyText"/>
      </w:pPr>
      <w:r>
        <w:t xml:space="preserve">1.2(b) Iranian National Development Fund Co-Financing Match</w:t>
      </w:r>
    </w:p>
    <w:p>
      <w:pPr>
        <w:pStyle w:val="BodyText"/>
      </w:pPr>
      <w:r>
        <w:t xml:space="preserve">All MRF projects above $100 million require a 20% local co-financing</w:t>
      </w:r>
      <w:r>
        <w:t xml:space="preserve"> </w:t>
      </w:r>
      <w:r>
        <w:t xml:space="preserve">contribution from Iran’s National Development Fund (NDF). The NDF, a</w:t>
      </w:r>
      <w:r>
        <w:t xml:space="preserve"> </w:t>
      </w:r>
      <w:r>
        <w:t xml:space="preserve">sovereign wealth fund derived from oil and gas revenues, provides the</w:t>
      </w:r>
      <w:r>
        <w:t xml:space="preserve"> </w:t>
      </w:r>
      <w:r>
        <w:t xml:space="preserve">local match in Iranian rial or in-kind land and resource concessions.</w:t>
      </w:r>
      <w:r>
        <w:t xml:space="preserve"> </w:t>
      </w:r>
      <w:r>
        <w:t xml:space="preserve">The co-financing structure operates as follows:</w:t>
      </w:r>
    </w:p>
    <w:p>
      <w:pPr>
        <w:pStyle w:val="BodyText"/>
      </w:pPr>
      <w:r>
        <w:t xml:space="preserve">• MRF international capital covers 80% of project cost.</w:t>
      </w:r>
    </w:p>
    <w:p>
      <w:pPr>
        <w:pStyle w:val="BodyText"/>
      </w:pPr>
      <w:r>
        <w:t xml:space="preserve">• The NDF covers 20% through direct cash, land allocation, mineral or</w:t>
      </w:r>
      <w:r>
        <w:t xml:space="preserve"> </w:t>
      </w:r>
      <w:r>
        <w:t xml:space="preserve">water rights concessions, or sovereign guarantees.</w:t>
      </w:r>
    </w:p>
    <w:p>
      <w:pPr>
        <w:pStyle w:val="BodyText"/>
      </w:pPr>
      <w:r>
        <w:t xml:space="preserve">• The RSC verifies NDF contributions through the same independent audit</w:t>
      </w:r>
      <w:r>
        <w:t xml:space="preserve"> </w:t>
      </w:r>
      <w:r>
        <w:t xml:space="preserve">mechanism applied to MRF disbursements.</w:t>
      </w:r>
    </w:p>
    <w:p>
      <w:pPr>
        <w:pStyle w:val="BodyText"/>
      </w:pPr>
      <w:r>
        <w:t xml:space="preserve">• NDF contributions are treated as pari passu with MRF capital for</w:t>
      </w:r>
      <w:r>
        <w:t xml:space="preserve"> </w:t>
      </w:r>
      <w:r>
        <w:t xml:space="preserve">milestone and disbursement purposes.</w:t>
      </w:r>
    </w:p>
    <w:p>
      <w:pPr>
        <w:pStyle w:val="BodyText"/>
      </w:pPr>
      <w:r>
        <w:t xml:space="preserve">This matching requirement stretches international dollars further,</w:t>
      </w:r>
      <w:r>
        <w:t xml:space="preserve"> </w:t>
      </w:r>
      <w:r>
        <w:t xml:space="preserve">demonstrates Iranian financial commitment to donors, and aligns project</w:t>
      </w:r>
      <w:r>
        <w:t xml:space="preserve"> </w:t>
      </w:r>
      <w:r>
        <w:t xml:space="preserve">incentives across both funding streams. The NDF co-financing match</w:t>
      </w:r>
      <w:r>
        <w:t xml:space="preserve"> </w:t>
      </w:r>
      <w:r>
        <w:t xml:space="preserve">potentially unlocks an additional $10 billion in domestic capital for</w:t>
      </w:r>
      <w:r>
        <w:t xml:space="preserve"> </w:t>
      </w:r>
      <w:r>
        <w:t xml:space="preserve">the $50 billion MRF Core Tier.</w:t>
      </w:r>
    </w:p>
    <w:p>
      <w:pPr>
        <w:pStyle w:val="BodyText"/>
      </w:pPr>
      <w:r>
        <w:t xml:space="preserve">1.2(a) Sub-Fund Application Process</w:t>
      </w:r>
    </w:p>
    <w:p>
      <w:pPr>
        <w:pStyle w:val="BodyText"/>
      </w:pPr>
      <w:r>
        <w:t xml:space="preserve">Each Sub-Fund maintains a distinct application pathway. Iran submits</w:t>
      </w:r>
      <w:r>
        <w:t xml:space="preserve"> </w:t>
      </w:r>
      <w:r>
        <w:t xml:space="preserve">project proposals through the RSC secretariat. The following steps apply</w:t>
      </w:r>
      <w:r>
        <w:t xml:space="preserve"> </w:t>
      </w:r>
      <w:r>
        <w:t xml:space="preserve">across all Sub-Funds:</w:t>
      </w:r>
    </w:p>
    <w:p>
      <w:pPr>
        <w:pStyle w:val="BodyText"/>
      </w:pPr>
      <w:r>
        <w:t xml:space="preserve">Step 1: Pre-Application Consultation</w:t>
      </w:r>
    </w:p>
    <w:p>
      <w:pPr>
        <w:pStyle w:val="BodyText"/>
      </w:pPr>
      <w:r>
        <w:t xml:space="preserve">Iran engages the TAG for preliminary technical consultation. The TAG</w:t>
      </w:r>
      <w:r>
        <w:t xml:space="preserve"> </w:t>
      </w:r>
      <w:r>
        <w:t xml:space="preserve">assesses project concept alignment with Sub-Fund objectives and advises</w:t>
      </w:r>
      <w:r>
        <w:t xml:space="preserve"> </w:t>
      </w:r>
      <w:r>
        <w:t xml:space="preserve">on feasibility study requirements. This consultation occurs within 14</w:t>
      </w:r>
      <w:r>
        <w:t xml:space="preserve"> </w:t>
      </w:r>
      <w:r>
        <w:t xml:space="preserve">days of initial contact.</w:t>
      </w:r>
    </w:p>
    <w:p>
      <w:pPr>
        <w:pStyle w:val="BodyText"/>
      </w:pPr>
      <w:r>
        <w:t xml:space="preserve">Step 2: Feasibility Study Preparation</w:t>
      </w:r>
    </w:p>
    <w:p>
      <w:pPr>
        <w:pStyle w:val="BodyText"/>
      </w:pPr>
      <w:r>
        <w:t xml:space="preserve">Iran commissions or prepares a feasibility study covering technical</w:t>
      </w:r>
      <w:r>
        <w:t xml:space="preserve"> </w:t>
      </w:r>
      <w:r>
        <w:t xml:space="preserve">design, cost estimation, environmental impact, and social safeguards.</w:t>
      </w:r>
      <w:r>
        <w:t xml:space="preserve"> </w:t>
      </w:r>
      <w:r>
        <w:t xml:space="preserve">The World Bank provides technical assistance for study preparation upon</w:t>
      </w:r>
      <w:r>
        <w:t xml:space="preserve"> </w:t>
      </w:r>
      <w:r>
        <w:t xml:space="preserve">request. Study completion typically requires 60-90 days.</w:t>
      </w:r>
    </w:p>
    <w:p>
      <w:pPr>
        <w:pStyle w:val="BodyText"/>
      </w:pPr>
      <w:r>
        <w:t xml:space="preserve">Step 3: Formal Submission to RSC</w:t>
      </w:r>
    </w:p>
    <w:p>
      <w:pPr>
        <w:pStyle w:val="BodyText"/>
      </w:pPr>
      <w:r>
        <w:t xml:space="preserve">Iran submits the complete Project Proposal package through the RSC</w:t>
      </w:r>
      <w:r>
        <w:t xml:space="preserve"> </w:t>
      </w:r>
      <w:r>
        <w:t xml:space="preserve">secretariat. The package includes: (a) completed project proposal form,</w:t>
      </w:r>
      <w:r>
        <w:t xml:space="preserve"> </w:t>
      </w:r>
      <w:r>
        <w:t xml:space="preserve">(b) feasibility study, (c) environmental and social impact assessment,</w:t>
      </w:r>
      <w:r>
        <w:t xml:space="preserve"> </w:t>
      </w:r>
      <w:r>
        <w:t xml:space="preserve">(d) procurement plan, (e) verification milestone schedule, and (f)</w:t>
      </w:r>
      <w:r>
        <w:t xml:space="preserve"> </w:t>
      </w:r>
      <w:r>
        <w:t xml:space="preserve">independent audit plan.</w:t>
      </w:r>
    </w:p>
    <w:p>
      <w:pPr>
        <w:pStyle w:val="BodyText"/>
      </w:pPr>
      <w:r>
        <w:t xml:space="preserve">Step 4: TAG Technical Review (30 Days)</w:t>
      </w:r>
    </w:p>
    <w:p>
      <w:pPr>
        <w:pStyle w:val="BodyText"/>
      </w:pPr>
      <w:r>
        <w:t xml:space="preserve">The TAG conducts a comprehensive technical review. The TAG evaluates:</w:t>
      </w:r>
      <w:r>
        <w:t xml:space="preserve"> </w:t>
      </w:r>
      <w:r>
        <w:t xml:space="preserve">technical feasibility, cost realism, environmental compliance, alignment</w:t>
      </w:r>
      <w:r>
        <w:t xml:space="preserve"> </w:t>
      </w:r>
      <w:r>
        <w:t xml:space="preserve">with Sub-Fund goals, and value for money. The TAG issues a written</w:t>
      </w:r>
      <w:r>
        <w:t xml:space="preserve"> </w:t>
      </w:r>
      <w:r>
        <w:t xml:space="preserve">recommendation to the RSC within 30 days.</w:t>
      </w:r>
    </w:p>
    <w:p>
      <w:pPr>
        <w:pStyle w:val="BodyText"/>
      </w:pPr>
      <w:r>
        <w:t xml:space="preserve">Step 5: RSC Approval (60 Days)</w:t>
      </w:r>
    </w:p>
    <w:p>
      <w:pPr>
        <w:pStyle w:val="BodyText"/>
      </w:pPr>
      <w:r>
        <w:t xml:space="preserve">The RSC reviews the TAG recommendation and the complete proposal</w:t>
      </w:r>
      <w:r>
        <w:t xml:space="preserve"> </w:t>
      </w:r>
      <w:r>
        <w:t xml:space="preserve">package. Approval requires consensus of all voting members and</w:t>
      </w:r>
      <w:r>
        <w:t xml:space="preserve"> </w:t>
      </w:r>
      <w:r>
        <w:t xml:space="preserve">confirmation of available capital in the relevant Sub-Fund. The RSC</w:t>
      </w:r>
      <w:r>
        <w:t xml:space="preserve"> </w:t>
      </w:r>
      <w:r>
        <w:t xml:space="preserve">issues an approval decision or requests revision within 60 days.</w:t>
      </w:r>
    </w:p>
    <w:p>
      <w:pPr>
        <w:pStyle w:val="BodyText"/>
      </w:pPr>
      <w:r>
        <w:t xml:space="preserve">Step 6: Milestone-Based Disbursement</w:t>
      </w:r>
    </w:p>
    <w:p>
      <w:pPr>
        <w:pStyle w:val="BodyText"/>
      </w:pPr>
      <w:r>
        <w:t xml:space="preserve">Upon approval, the Qatar Central Bank establishes a dedicated project</w:t>
      </w:r>
      <w:r>
        <w:t xml:space="preserve"> </w:t>
      </w:r>
      <w:r>
        <w:t xml:space="preserve">account. Funds disburse in tranches tied to verification milestones.</w:t>
      </w:r>
      <w:r>
        <w:t xml:space="preserve"> </w:t>
      </w:r>
      <w:r>
        <w:t xml:space="preserve">Each tranche release requires: (a) Iranian self-certification, (b) World</w:t>
      </w:r>
      <w:r>
        <w:t xml:space="preserve"> </w:t>
      </w:r>
      <w:r>
        <w:t xml:space="preserve">Bank independent audit, (c) TAG assessment, and (d) RSC authorization.</w:t>
      </w:r>
    </w:p>
    <w:p>
      <w:pPr>
        <w:pStyle w:val="BodyText"/>
      </w:pPr>
      <w:r>
        <w:t xml:space="preserve">Sub-Fund Specific Requirements</w:t>
      </w:r>
    </w:p>
    <w:p>
      <w:pPr>
        <w:pStyle w:val="BodyText"/>
      </w:pPr>
      <w:r>
        <w:t xml:space="preserve">MRF-Energy: Proposals require additional technical review by the</w:t>
      </w:r>
      <w:r>
        <w:t xml:space="preserve"> </w:t>
      </w:r>
      <w:r>
        <w:t xml:space="preserve">International Energy Agency (IEA) for grid integration assessments.</w:t>
      </w:r>
      <w:r>
        <w:t xml:space="preserve"> </w:t>
      </w:r>
      <w:r>
        <w:t xml:space="preserve">Renewable energy projects above $500 million require a separate grid</w:t>
      </w:r>
      <w:r>
        <w:t xml:space="preserve"> </w:t>
      </w:r>
      <w:r>
        <w:t xml:space="preserve">impact study.</w:t>
      </w:r>
    </w:p>
    <w:p>
      <w:pPr>
        <w:pStyle w:val="BodyText"/>
      </w:pPr>
      <w:r>
        <w:t xml:space="preserve">MRF-Water: All water infrastructure projects require a hydrological</w:t>
      </w:r>
      <w:r>
        <w:t xml:space="preserve"> </w:t>
      </w:r>
      <w:r>
        <w:t xml:space="preserve">assessment certified by the World Meteorological Organization (WMO) or</w:t>
      </w:r>
      <w:r>
        <w:t xml:space="preserve"> </w:t>
      </w:r>
      <w:r>
        <w:t xml:space="preserve">equivalent regional body. Desalination projects require environmental</w:t>
      </w:r>
      <w:r>
        <w:t xml:space="preserve"> </w:t>
      </w:r>
      <w:r>
        <w:t xml:space="preserve">impact certification from the Regional Organization for the Protection</w:t>
      </w:r>
      <w:r>
        <w:t xml:space="preserve"> </w:t>
      </w:r>
      <w:r>
        <w:t xml:space="preserve">of the Marine Environment (ROPME).</w:t>
      </w:r>
    </w:p>
    <w:p>
      <w:pPr>
        <w:pStyle w:val="BodyText"/>
      </w:pPr>
      <w:r>
        <w:t xml:space="preserve">MRF-Transport: Transport projects crossing international borders require</w:t>
      </w:r>
      <w:r>
        <w:t xml:space="preserve"> </w:t>
      </w:r>
      <w:r>
        <w:t xml:space="preserve">coordination letters from affected neighboring states. Port and airport</w:t>
      </w:r>
      <w:r>
        <w:t xml:space="preserve"> </w:t>
      </w:r>
      <w:r>
        <w:t xml:space="preserve">projects require International Maritime Organization (IMO) or</w:t>
      </w:r>
      <w:r>
        <w:t xml:space="preserve"> </w:t>
      </w:r>
      <w:r>
        <w:t xml:space="preserve">International Civil Aviation Organization (ICAO) compliance</w:t>
      </w:r>
      <w:r>
        <w:t xml:space="preserve"> </w:t>
      </w:r>
      <w:r>
        <w:t xml:space="preserve">certification.</w:t>
      </w:r>
    </w:p>
    <w:p>
      <w:pPr>
        <w:pStyle w:val="BodyText"/>
      </w:pPr>
      <w:r>
        <w:t xml:space="preserve">MRF-Health: Health facility projects require WHO technical standards</w:t>
      </w:r>
      <w:r>
        <w:t xml:space="preserve"> </w:t>
      </w:r>
      <w:r>
        <w:t xml:space="preserve">compliance certification. Medical supply chain projects require</w:t>
      </w:r>
      <w:r>
        <w:t xml:space="preserve"> </w:t>
      </w:r>
      <w:r>
        <w:t xml:space="preserve">verification of cold chain infrastructure and pharmaceutical regulatory</w:t>
      </w:r>
      <w:r>
        <w:t xml:space="preserve"> </w:t>
      </w:r>
      <w:r>
        <w:t xml:space="preserve">compliance.</w:t>
      </w:r>
    </w:p>
    <w:p>
      <w:pPr>
        <w:pStyle w:val="BodyText"/>
      </w:pPr>
      <w:r>
        <w:t xml:space="preserve">MRF-Education: Education projects involving curriculum development</w:t>
      </w:r>
      <w:r>
        <w:t xml:space="preserve"> </w:t>
      </w:r>
      <w:r>
        <w:t xml:space="preserve">require UNESCO alignment review. Vocational training centers require</w:t>
      </w:r>
      <w:r>
        <w:t xml:space="preserve"> </w:t>
      </w:r>
      <w:r>
        <w:t xml:space="preserve">International Labour Organization (ILO) standards compliance</w:t>
      </w:r>
      <w:r>
        <w:t xml:space="preserve"> </w:t>
      </w:r>
      <w:r>
        <w:t xml:space="preserve">certification.</w:t>
      </w:r>
    </w:p>
    <w:p>
      <w:pPr>
        <w:pStyle w:val="BodyText"/>
      </w:pPr>
      <w:r>
        <w:t xml:space="preserve">MRF-Housing: Housing projects in seismic zones require</w:t>
      </w:r>
      <w:r>
        <w:t xml:space="preserve"> </w:t>
      </w:r>
      <w:r>
        <w:t xml:space="preserve">earthquake-resistant design certification from an internationally</w:t>
      </w:r>
      <w:r>
        <w:t xml:space="preserve"> </w:t>
      </w:r>
      <w:r>
        <w:t xml:space="preserve">recognized engineering body. Slum upgrading projects require a social</w:t>
      </w:r>
      <w:r>
        <w:t xml:space="preserve"> </w:t>
      </w:r>
      <w:r>
        <w:t xml:space="preserve">impact assessment with community participation documentation.</w:t>
      </w:r>
    </w:p>
    <w:p>
      <w:pPr>
        <w:pStyle w:val="BodyText"/>
      </w:pPr>
      <w:r>
        <w:t xml:space="preserve">MRF-Agriculture: Agricultural projects require Food and Agriculture</w:t>
      </w:r>
      <w:r>
        <w:t xml:space="preserve"> </w:t>
      </w:r>
      <w:r>
        <w:t xml:space="preserve">Organization (FAO) technical review for sustainability standards.</w:t>
      </w:r>
      <w:r>
        <w:t xml:space="preserve"> </w:t>
      </w:r>
      <w:r>
        <w:t xml:space="preserve">Irrigation projects require water rights assessment and downstream</w:t>
      </w:r>
      <w:r>
        <w:t xml:space="preserve"> </w:t>
      </w:r>
      <w:r>
        <w:t xml:space="preserve">impact analysis.</w:t>
      </w:r>
    </w:p>
    <w:p>
      <w:pPr>
        <w:pStyle w:val="BodyText"/>
      </w:pPr>
      <w:r>
        <w:t xml:space="preserve">1.3 Capital Contributors</w:t>
      </w:r>
    </w:p>
    <w:p>
      <w:pPr>
        <w:pStyle w:val="BodyText"/>
      </w:pPr>
      <w:r>
        <w:t xml:space="preserve">Contributors include, but are not limited to:</w:t>
      </w:r>
    </w:p>
    <w:p>
      <w:pPr>
        <w:pStyle w:val="BodyText"/>
      </w:pPr>
      <w:r>
        <w:t xml:space="preserve">• Sovereign wealth funds of Gulf Cooperation Council (GCC) states</w:t>
      </w:r>
    </w:p>
    <w:p>
      <w:pPr>
        <w:pStyle w:val="BodyText"/>
      </w:pPr>
      <w:r>
        <w:t xml:space="preserve">• International financial institutions (World Bank, IMF, Islamic</w:t>
      </w:r>
      <w:r>
        <w:t xml:space="preserve"> </w:t>
      </w:r>
      <w:r>
        <w:t xml:space="preserve">Development Bank)</w:t>
      </w:r>
    </w:p>
    <w:p>
      <w:pPr>
        <w:pStyle w:val="BodyText"/>
      </w:pPr>
      <w:r>
        <w:t xml:space="preserve">• Regional development funds (Asian Infrastructure Investment Bank,</w:t>
      </w:r>
      <w:r>
        <w:t xml:space="preserve"> </w:t>
      </w:r>
      <w:r>
        <w:t xml:space="preserve">European Bank for Reconstruction and Development)</w:t>
      </w:r>
    </w:p>
    <w:p>
      <w:pPr>
        <w:pStyle w:val="BodyText"/>
      </w:pPr>
      <w:r>
        <w:t xml:space="preserve">• Private investors (infrastructure funds, pension funds, insurance</w:t>
      </w:r>
      <w:r>
        <w:t xml:space="preserve"> </w:t>
      </w:r>
      <w:r>
        <w:t xml:space="preserve">companies)</w:t>
      </w:r>
    </w:p>
    <w:p>
      <w:pPr>
        <w:pStyle w:val="BodyText"/>
      </w:pPr>
      <w:r>
        <w:t xml:space="preserve">• Humanitarian organizations (UN OCHA, ICRC, WHO)</w:t>
      </w:r>
    </w:p>
    <w:p>
      <w:pPr>
        <w:pStyle w:val="BodyText"/>
      </w:pPr>
      <w:r>
        <w:t xml:space="preserve">• Bilateral donors (EU member states, China, Russia, India, Japan,</w:t>
      </w:r>
      <w:r>
        <w:t xml:space="preserve"> </w:t>
      </w:r>
      <w:r>
        <w:t xml:space="preserve">South Korea)</w:t>
      </w:r>
    </w:p>
    <w:p>
      <w:pPr>
        <w:pStyle w:val="BodyText"/>
      </w:pPr>
      <w:r>
        <w:t xml:space="preserve">The following sections describe each contributor category, its</w:t>
      </w:r>
      <w:r>
        <w:t xml:space="preserve"> </w:t>
      </w:r>
      <w:r>
        <w:t xml:space="preserve">application pathway, and its coordination mechanism with the MRF.</w:t>
      </w:r>
    </w:p>
    <w:p>
      <w:pPr>
        <w:pStyle w:val="BodyText"/>
      </w:pPr>
      <w:r>
        <w:t xml:space="preserve">Sovereign Wealth Funds</w:t>
      </w:r>
    </w:p>
    <w:p>
      <w:pPr>
        <w:pStyle w:val="BodyText"/>
      </w:pPr>
      <w:r>
        <w:t xml:space="preserve">GCC sovereign wealth funds deposit pledged capital directly into the</w:t>
      </w:r>
      <w:r>
        <w:t xml:space="preserve"> </w:t>
      </w:r>
      <w:r>
        <w:t xml:space="preserve">Qatar Central Bank escrow. Each fund designates a liaison officer to</w:t>
      </w:r>
      <w:r>
        <w:t xml:space="preserve"> </w:t>
      </w:r>
      <w:r>
        <w:t xml:space="preserve">the RSC. Deposit confirmations trigger World Bank verification. No</w:t>
      </w:r>
      <w:r>
        <w:t xml:space="preserve"> </w:t>
      </w:r>
      <w:r>
        <w:t xml:space="preserve">fund deposits capital through U.S. financial institutions.</w:t>
      </w:r>
    </w:p>
    <w:p>
      <w:pPr>
        <w:pStyle w:val="BodyText"/>
      </w:pPr>
      <w:r>
        <w:t xml:space="preserve">International Financial Institutions</w:t>
      </w:r>
    </w:p>
    <w:p>
      <w:pPr>
        <w:pStyle w:val="BodyText"/>
      </w:pPr>
      <w:r>
        <w:t xml:space="preserve">The World Bank, IMF, and Islamic Development Bank contribute through</w:t>
      </w:r>
      <w:r>
        <w:t xml:space="preserve"> </w:t>
      </w:r>
      <w:r>
        <w:t xml:space="preserve">their standard lending and grant instruments. The World Bank</w:t>
      </w:r>
      <w:r>
        <w:t xml:space="preserve"> </w:t>
      </w:r>
      <w:r>
        <w:t xml:space="preserve">administers contributions through its IDA and IBRD windows. The IsDB</w:t>
      </w:r>
      <w:r>
        <w:t xml:space="preserve"> </w:t>
      </w:r>
      <w:r>
        <w:t xml:space="preserve">deploys Islamic financing instruments (Ijara, Istisna, Mudaraba). Each</w:t>
      </w:r>
      <w:r>
        <w:t xml:space="preserve"> </w:t>
      </w:r>
      <w:r>
        <w:t xml:space="preserve">institution coordinates through its respective representative on the</w:t>
      </w:r>
      <w:r>
        <w:t xml:space="preserve"> </w:t>
      </w:r>
      <w:r>
        <w:t xml:space="preserve">RSC.</w:t>
      </w:r>
    </w:p>
    <w:p>
      <w:pPr>
        <w:pStyle w:val="BodyText"/>
      </w:pPr>
      <w:r>
        <w:t xml:space="preserve">Regional Development Banks</w:t>
      </w:r>
    </w:p>
    <w:p>
      <w:pPr>
        <w:pStyle w:val="BodyText"/>
      </w:pPr>
      <w:r>
        <w:t xml:space="preserve">The AIIB and EBRD contribute through sovereign-backed project loans</w:t>
      </w:r>
      <w:r>
        <w:t xml:space="preserve"> </w:t>
      </w:r>
      <w:r>
        <w:t xml:space="preserve">and private sector financing. The AIIB focuses on transport and energy</w:t>
      </w:r>
      <w:r>
        <w:t xml:space="preserve"> </w:t>
      </w:r>
      <w:r>
        <w:t xml:space="preserve">infrastructure. The EBRD targets private sector development and SME</w:t>
      </w:r>
      <w:r>
        <w:t xml:space="preserve"> </w:t>
      </w:r>
      <w:r>
        <w:t xml:space="preserve">reconstruction. Both institutions coordinate project pipelines through</w:t>
      </w:r>
      <w:r>
        <w:t xml:space="preserve"> </w:t>
      </w:r>
      <w:r>
        <w:t xml:space="preserve">the TAG.</w:t>
      </w:r>
    </w:p>
    <w:p>
      <w:pPr>
        <w:pStyle w:val="BodyText"/>
      </w:pPr>
      <w:r>
        <w:t xml:space="preserve">Private Investors</w:t>
      </w:r>
    </w:p>
    <w:p>
      <w:pPr>
        <w:pStyle w:val="BodyText"/>
      </w:pPr>
      <w:r>
        <w:t xml:space="preserve">Infrastructure funds, pension funds, and insurance companies</w:t>
      </w:r>
      <w:r>
        <w:t xml:space="preserve"> </w:t>
      </w:r>
      <w:r>
        <w:t xml:space="preserve">participate through the MRF private investment window. The Qatar</w:t>
      </w:r>
      <w:r>
        <w:t xml:space="preserve"> </w:t>
      </w:r>
      <w:r>
        <w:t xml:space="preserve">Central Bank administers a separate private capital tranche. Investors</w:t>
      </w:r>
      <w:r>
        <w:t xml:space="preserve"> </w:t>
      </w:r>
      <w:r>
        <w:t xml:space="preserve">receive milestone-linked returns tied to project completion. The EBRD</w:t>
      </w:r>
      <w:r>
        <w:t xml:space="preserve"> </w:t>
      </w:r>
      <w:r>
        <w:t xml:space="preserve">provides credit enhancement for private investments.</w:t>
      </w:r>
    </w:p>
    <w:p>
      <w:pPr>
        <w:pStyle w:val="BodyText"/>
      </w:pPr>
      <w:r>
        <w:t xml:space="preserve">Humanitarian Organizations</w:t>
      </w:r>
    </w:p>
    <w:p>
      <w:pPr>
        <w:pStyle w:val="BodyText"/>
      </w:pPr>
      <w:r>
        <w:t xml:space="preserve">UN OCHA, ICRC, WHO, and other humanitarian agencies contribute through</w:t>
      </w:r>
      <w:r>
        <w:t xml:space="preserve"> </w:t>
      </w:r>
      <w:r>
        <w:t xml:space="preserve">their established grant mechanisms. Humanitarian contributions target</w:t>
      </w:r>
      <w:r>
        <w:t xml:space="preserve"> </w:t>
      </w:r>
      <w:r>
        <w:t xml:space="preserve">immediate relief and foundational reconstruction. Coordination occurs</w:t>
      </w:r>
      <w:r>
        <w:t xml:space="preserve"> </w:t>
      </w:r>
      <w:r>
        <w:t xml:space="preserve">through the MRF humanitarian corridor and the RSC secretariat.</w:t>
      </w:r>
    </w:p>
    <w:p>
      <w:pPr>
        <w:pStyle w:val="BodyText"/>
      </w:pPr>
      <w:r>
        <w:t xml:space="preserve">Bilateral Donors</w:t>
      </w:r>
    </w:p>
    <w:p>
      <w:pPr>
        <w:pStyle w:val="BodyText"/>
      </w:pPr>
      <w:r>
        <w:t xml:space="preserve">EU member states, China, Russia, India, Japan, and South Korea</w:t>
      </w:r>
      <w:r>
        <w:t xml:space="preserve"> </w:t>
      </w:r>
      <w:r>
        <w:t xml:space="preserve">contribute through their respective bilateral development agencies.</w:t>
      </w:r>
      <w:r>
        <w:t xml:space="preserve"> </w:t>
      </w:r>
      <w:r>
        <w:t xml:space="preserve">Each donor coordinates through its embassy in Tehran or Doha and</w:t>
      </w:r>
      <w:r>
        <w:t xml:space="preserve"> </w:t>
      </w:r>
      <w:r>
        <w:t xml:space="preserve">designates a representative to the RSC observer group. Bilateral</w:t>
      </w:r>
      <w:r>
        <w:t xml:space="preserve"> </w:t>
      </w:r>
      <w:r>
        <w:t xml:space="preserve">contributions flow through the Qatar Central Bank escrow.</w:t>
      </w:r>
    </w:p>
    <w:p>
      <w:pPr>
        <w:pStyle w:val="BodyText"/>
      </w:pPr>
      <w:r>
        <w:t xml:space="preserve">1.3(a) Contributor Application Pathway</w:t>
      </w:r>
    </w:p>
    <w:p>
      <w:pPr>
        <w:pStyle w:val="BodyText"/>
      </w:pPr>
      <w:r>
        <w:t xml:space="preserve">New contributors access the MRF through the following pathway: (1)</w:t>
      </w:r>
      <w:r>
        <w:t xml:space="preserve"> </w:t>
      </w:r>
      <w:r>
        <w:t xml:space="preserve">Expression of Interest submitted to the RSC secretariat, (2)</w:t>
      </w:r>
      <w:r>
        <w:t xml:space="preserve"> </w:t>
      </w:r>
      <w:r>
        <w:t xml:space="preserve">Preliminary consultation with the Qatar Central Bank on deposit</w:t>
      </w:r>
      <w:r>
        <w:t xml:space="preserve"> </w:t>
      </w:r>
      <w:r>
        <w:t xml:space="preserve">mechanisms, (3) Due diligence review by the World Bank, (4)</w:t>
      </w:r>
      <w:r>
        <w:t xml:space="preserve"> </w:t>
      </w:r>
      <w:r>
        <w:t xml:space="preserve">Contribution agreement negotiation, (5) Deposit execution and</w:t>
      </w:r>
      <w:r>
        <w:t xml:space="preserve"> </w:t>
      </w:r>
      <w:r>
        <w:t xml:space="preserve">verification, (6) RSC registration and Sub-Fund designation. The full</w:t>
      </w:r>
      <w:r>
        <w:t xml:space="preserve"> </w:t>
      </w:r>
      <w:r>
        <w:t xml:space="preserve">pathway completes within 90 days of Expression of Interest.</w:t>
      </w:r>
    </w:p>
    <w:p>
      <w:pPr>
        <w:pStyle w:val="BodyText"/>
      </w:pPr>
      <w:r>
        <w:t xml:space="preserve">1.3(b) IMF Special Drawing Rights Channeling Window</w:t>
      </w:r>
    </w:p>
    <w:p>
      <w:pPr>
        <w:pStyle w:val="BodyText"/>
      </w:pPr>
      <w:r>
        <w:t xml:space="preserve">The MRF establishes a dedicated window for accessing IMF Special Drawing</w:t>
      </w:r>
      <w:r>
        <w:t xml:space="preserve"> </w:t>
      </w:r>
      <w:r>
        <w:t xml:space="preserve">Rights (SDRs) through the Poverty Reduction and Growth Trust (PRGT). G7</w:t>
      </w:r>
      <w:r>
        <w:t xml:space="preserve"> </w:t>
      </w:r>
      <w:r>
        <w:t xml:space="preserve">member states and other wealthy nations hold pledged but unchanneled SDR</w:t>
      </w:r>
      <w:r>
        <w:t xml:space="preserve"> </w:t>
      </w:r>
      <w:r>
        <w:t xml:space="preserve">allocations exceeding $100 billion. The MRF coordinates with the IMF to</w:t>
      </w:r>
      <w:r>
        <w:t xml:space="preserve"> </w:t>
      </w:r>
      <w:r>
        <w:t xml:space="preserve">channel a portion of these unused SDRs to Iran for reconstruction</w:t>
      </w:r>
      <w:r>
        <w:t xml:space="preserve"> </w:t>
      </w:r>
      <w:r>
        <w:t xml:space="preserve">purposes.</w:t>
      </w:r>
    </w:p>
    <w:p>
      <w:pPr>
        <w:pStyle w:val="BodyText"/>
      </w:pPr>
      <w:r>
        <w:t xml:space="preserve">The SDR channeling mechanism operates as follows: (1) The RSC</w:t>
      </w:r>
      <w:r>
        <w:t xml:space="preserve"> </w:t>
      </w:r>
      <w:r>
        <w:t xml:space="preserve">secretariat submits a formal request to the IMF Managing Director for</w:t>
      </w:r>
      <w:r>
        <w:t xml:space="preserve"> </w:t>
      </w:r>
      <w:r>
        <w:t xml:space="preserve">SDR channeling through the PRGT, (2) The IMF conducts aPRGT eligibility</w:t>
      </w:r>
      <w:r>
        <w:t xml:space="preserve"> </w:t>
      </w:r>
      <w:r>
        <w:t xml:space="preserve">assessment (60 days), (3) Contributing nations formally commit to</w:t>
      </w:r>
      <w:r>
        <w:t xml:space="preserve"> </w:t>
      </w:r>
      <w:r>
        <w:t xml:space="preserve">re-channeling SDR allocations to the PRGT window designated for Iran,</w:t>
      </w:r>
      <w:r>
        <w:t xml:space="preserve"> </w:t>
      </w:r>
      <w:r>
        <w:t xml:space="preserve">(4) The PRGT disburses SDR-backed financing in tranches tied to</w:t>
      </w:r>
      <w:r>
        <w:t xml:space="preserve"> </w:t>
      </w:r>
      <w:r>
        <w:t xml:space="preserve">reconstruction milestones, (5) The Qatar Central Bank converts SDRs to</w:t>
      </w:r>
      <w:r>
        <w:t xml:space="preserve"> </w:t>
      </w:r>
      <w:r>
        <w:t xml:space="preserve">hard currency at prevailing exchange rates for deposit into the relevant</w:t>
      </w:r>
      <w:r>
        <w:t xml:space="preserve"> </w:t>
      </w:r>
      <w:r>
        <w:t xml:space="preserve">Sub-Fund.</w:t>
      </w:r>
    </w:p>
    <w:p>
      <w:pPr>
        <w:pStyle w:val="BodyText"/>
      </w:pPr>
      <w:r>
        <w:t xml:space="preserve">The SDR Channeling Window targets $3-5 billion in concessional financing</w:t>
      </w:r>
      <w:r>
        <w:t xml:space="preserve"> </w:t>
      </w:r>
      <w:r>
        <w:t xml:space="preserve">with near-zero interest rates and 40-year maturities. This window</w:t>
      </w:r>
      <w:r>
        <w:t xml:space="preserve"> </w:t>
      </w:r>
      <w:r>
        <w:t xml:space="preserve">operates independently of the MRF escrow and is subject to IMF oversight</w:t>
      </w:r>
      <w:r>
        <w:t xml:space="preserve"> </w:t>
      </w:r>
      <w:r>
        <w:t xml:space="preserve">and conditionality. The RSC designates a dedicated SDR liaison officer</w:t>
      </w:r>
      <w:r>
        <w:t xml:space="preserve"> </w:t>
      </w:r>
      <w:r>
        <w:t xml:space="preserve">to coordinate with the IMF Resident Representative in Tehran.</w:t>
      </w:r>
    </w:p>
    <w:p>
      <w:pPr>
        <w:pStyle w:val="BodyText"/>
      </w:pPr>
      <w:r>
        <w:t xml:space="preserve">1.3(c) Frozen Asset Conversion and Debt-for-Infrastructure Swap Protocol</w:t>
      </w:r>
    </w:p>
    <w:p>
      <w:pPr>
        <w:pStyle w:val="BodyText"/>
      </w:pPr>
      <w:r>
        <w:t xml:space="preserve">Multiple nations hold frozen Iranian assets resulting from</w:t>
      </w:r>
      <w:r>
        <w:t xml:space="preserve"> </w:t>
      </w:r>
      <w:r>
        <w:t xml:space="preserve">sanctions-related payment freezes. South Korea holds approximately $6</w:t>
      </w:r>
      <w:r>
        <w:t xml:space="preserve"> </w:t>
      </w:r>
      <w:r>
        <w:t xml:space="preserve">billion in frozen oil payments. Japan holds an estimated $3 billion in</w:t>
      </w:r>
      <w:r>
        <w:t xml:space="preserve"> </w:t>
      </w:r>
      <w:r>
        <w:t xml:space="preserve">frozen trade credits. India holds approximately $2 billion in frozen</w:t>
      </w:r>
      <w:r>
        <w:t xml:space="preserve"> </w:t>
      </w:r>
      <w:r>
        <w:t xml:space="preserve">energy payments under the rupee-rial trade mechanism. The MRF</w:t>
      </w:r>
      <w:r>
        <w:t xml:space="preserve"> </w:t>
      </w:r>
      <w:r>
        <w:t xml:space="preserve">establishes a protocol for converting these frozen assets directly into</w:t>
      </w:r>
      <w:r>
        <w:t xml:space="preserve"> </w:t>
      </w:r>
      <w:r>
        <w:t xml:space="preserve">reconstruction contracts.</w:t>
      </w:r>
    </w:p>
    <w:p>
      <w:pPr>
        <w:pStyle w:val="BodyText"/>
      </w:pPr>
      <w:r>
        <w:t xml:space="preserve">The conversion mechanism operates as follows: (1) The holding nation and</w:t>
      </w:r>
      <w:r>
        <w:t xml:space="preserve"> </w:t>
      </w:r>
      <w:r>
        <w:t xml:space="preserve">Iran identify the frozen asset value eligible for conversion, (2) Both</w:t>
      </w:r>
      <w:r>
        <w:t xml:space="preserve"> </w:t>
      </w:r>
      <w:r>
        <w:t xml:space="preserve">parties agree on a reconstruction project or portfolio of projects to be</w:t>
      </w:r>
      <w:r>
        <w:t xml:space="preserve"> </w:t>
      </w:r>
      <w:r>
        <w:t xml:space="preserve">executed by contractors from the holding nation, (3) The Qatar Central</w:t>
      </w:r>
      <w:r>
        <w:t xml:space="preserve"> </w:t>
      </w:r>
      <w:r>
        <w:t xml:space="preserve">Bank establishes a segregated account denominated in the holding</w:t>
      </w:r>
      <w:r>
        <w:t xml:space="preserve"> </w:t>
      </w:r>
      <w:r>
        <w:t xml:space="preserve">nation’s currency, (4) Contractors invoice against the segregated</w:t>
      </w:r>
      <w:r>
        <w:t xml:space="preserve"> </w:t>
      </w:r>
      <w:r>
        <w:t xml:space="preserve">account for completed milestone work, (5) The RSC verifies milestone</w:t>
      </w:r>
      <w:r>
        <w:t xml:space="preserve"> </w:t>
      </w:r>
      <w:r>
        <w:t xml:space="preserve">completion through standard TAG and independent audit procedures, (6)</w:t>
      </w:r>
      <w:r>
        <w:t xml:space="preserve"> </w:t>
      </w:r>
      <w:r>
        <w:t xml:space="preserve">Funds release directly to contractors from the segregated account</w:t>
      </w:r>
      <w:r>
        <w:t xml:space="preserve"> </w:t>
      </w:r>
      <w:r>
        <w:t xml:space="preserve">without passing through Iranian government channels.</w:t>
      </w:r>
    </w:p>
    <w:p>
      <w:pPr>
        <w:pStyle w:val="BodyText"/>
      </w:pPr>
      <w:r>
        <w:t xml:space="preserve">This protocol converts politically frozen assets into productive</w:t>
      </w:r>
      <w:r>
        <w:t xml:space="preserve"> </w:t>
      </w:r>
      <w:r>
        <w:t xml:space="preserve">reconstruction without requiring new cash appropriations from holding</w:t>
      </w:r>
      <w:r>
        <w:t xml:space="preserve"> </w:t>
      </w:r>
      <w:r>
        <w:t xml:space="preserve">nations. The RSC estimates the Frozen Asset Conversion Protocol unlocks</w:t>
      </w:r>
      <w:r>
        <w:t xml:space="preserve"> </w:t>
      </w:r>
      <w:r>
        <w:t xml:space="preserve">$6-10 billion in immediately available reconstruction capital.</w:t>
      </w:r>
    </w:p>
    <w:p>
      <w:pPr>
        <w:pStyle w:val="BodyText"/>
      </w:pPr>
      <w:r>
        <w:t xml:space="preserve">1.3(d) U.S. Private Sector Safe Harbor and In-Kind Participation</w:t>
      </w:r>
    </w:p>
    <w:p>
      <w:pPr>
        <w:pStyle w:val="BodyText"/>
      </w:pPr>
      <w:r>
        <w:t xml:space="preserve">The framework architecture explicitly excludes direct U.S. government</w:t>
      </w:r>
      <w:r>
        <w:t xml:space="preserve"> </w:t>
      </w:r>
      <w:r>
        <w:t xml:space="preserve">cash contributions to the MRF. However, the framework creates a Safe</w:t>
      </w:r>
      <w:r>
        <w:t xml:space="preserve"> </w:t>
      </w:r>
      <w:r>
        <w:t xml:space="preserve">Harbor mechanism for U.S. private sector participation in</w:t>
      </w:r>
      <w:r>
        <w:t xml:space="preserve"> </w:t>
      </w:r>
      <w:r>
        <w:t xml:space="preserve">reconstruction. The Safe Harbor addresses the legal barrier posed by the</w:t>
      </w:r>
      <w:r>
        <w:t xml:space="preserve"> </w:t>
      </w:r>
      <w:r>
        <w:t xml:space="preserve">Iran Threat Reduction Act and other U.S. domestic statutes that expose</w:t>
      </w:r>
      <w:r>
        <w:t xml:space="preserve"> </w:t>
      </w:r>
      <w:r>
        <w:t xml:space="preserve">American companies to litigation risk for Iran-related activities.</w:t>
      </w:r>
    </w:p>
    <w:p>
      <w:pPr>
        <w:pStyle w:val="BodyText"/>
      </w:pPr>
      <w:r>
        <w:t xml:space="preserve">Safe Harbor Mechanism</w:t>
      </w:r>
    </w:p>
    <w:p>
      <w:pPr>
        <w:pStyle w:val="BodyText"/>
      </w:pPr>
      <w:r>
        <w:t xml:space="preserve">The Safe Harbor operates through the following structure: (1) U.S.</w:t>
      </w:r>
      <w:r>
        <w:t xml:space="preserve"> </w:t>
      </w:r>
      <w:r>
        <w:t xml:space="preserve">companies provide engineering, equipment, technology, or professional</w:t>
      </w:r>
      <w:r>
        <w:t xml:space="preserve"> </w:t>
      </w:r>
      <w:r>
        <w:t xml:space="preserve">services as subcontractors to non-U.S. prime contractors executing</w:t>
      </w:r>
      <w:r>
        <w:t xml:space="preserve"> </w:t>
      </w:r>
      <w:r>
        <w:t xml:space="preserve">MRF-funded projects, (2) The OFAC license protecting MRF transactions</w:t>
      </w:r>
      <w:r>
        <w:t xml:space="preserve"> </w:t>
      </w:r>
      <w:r>
        <w:t xml:space="preserve">extends to cover subcontractor payments flowing through the Qatar</w:t>
      </w:r>
      <w:r>
        <w:t xml:space="preserve"> </w:t>
      </w:r>
      <w:r>
        <w:t xml:space="preserve">Central Bank escrow, (3) The U.S. Department of Commerce issues a</w:t>
      </w:r>
      <w:r>
        <w:t xml:space="preserve"> </w:t>
      </w:r>
      <w:r>
        <w:t xml:space="preserve">general license for the export of reconstruction-related goods and</w:t>
      </w:r>
      <w:r>
        <w:t xml:space="preserve"> </w:t>
      </w:r>
      <w:r>
        <w:t xml:space="preserve">technology to Iran under the MRF framework, (4) The U.S. government</w:t>
      </w:r>
      <w:r>
        <w:t xml:space="preserve"> </w:t>
      </w:r>
      <w:r>
        <w:t xml:space="preserve">provides a litigation indemnification letter to participating companies</w:t>
      </w:r>
      <w:r>
        <w:t xml:space="preserve"> </w:t>
      </w:r>
      <w:r>
        <w:t xml:space="preserve">confirming that MRF-related activities fall within the scope of the</w:t>
      </w:r>
      <w:r>
        <w:t xml:space="preserve"> </w:t>
      </w:r>
      <w:r>
        <w:t xml:space="preserve">framework’s diplomatic protections.</w:t>
      </w:r>
    </w:p>
    <w:p>
      <w:pPr>
        <w:pStyle w:val="BodyText"/>
      </w:pPr>
      <w:r>
        <w:t xml:space="preserve">In-Kind Equipment and Technology Donation Window</w:t>
      </w:r>
    </w:p>
    <w:p>
      <w:pPr>
        <w:pStyle w:val="BodyText"/>
      </w:pPr>
      <w:r>
        <w:t xml:space="preserve">The framework creates a dedicated In-Kind Contribution Window allowing</w:t>
      </w:r>
      <w:r>
        <w:t xml:space="preserve"> </w:t>
      </w:r>
      <w:r>
        <w:t xml:space="preserve">U.S. companies to donate equipment, software licenses, engineering</w:t>
      </w:r>
      <w:r>
        <w:t xml:space="preserve"> </w:t>
      </w:r>
      <w:r>
        <w:t xml:space="preserve">services, and technology transfers to MRF projects. These contributions</w:t>
      </w:r>
      <w:r>
        <w:t xml:space="preserve"> </w:t>
      </w:r>
      <w:r>
        <w:t xml:space="preserve">are valued at fair market cost and credited against the relevant</w:t>
      </w:r>
      <w:r>
        <w:t xml:space="preserve"> </w:t>
      </w:r>
      <w:r>
        <w:t xml:space="preserve">Sub-Fund’s capitalization target. The in-kind mechanism gives Washington</w:t>
      </w:r>
      <w:r>
        <w:t xml:space="preserve"> </w:t>
      </w:r>
      <w:r>
        <w:t xml:space="preserve">a material participation pathway that does not involve cash transfers to</w:t>
      </w:r>
      <w:r>
        <w:t xml:space="preserve"> </w:t>
      </w:r>
      <w:r>
        <w:t xml:space="preserve">Iran.</w:t>
      </w:r>
    </w:p>
    <w:p>
      <w:pPr>
        <w:pStyle w:val="BodyText"/>
      </w:pPr>
      <w:r>
        <w:t xml:space="preserve">Eligible in-kind contributions include: power generation equipment,</w:t>
      </w:r>
      <w:r>
        <w:t xml:space="preserve"> </w:t>
      </w:r>
      <w:r>
        <w:t xml:space="preserve">water treatment technology, medical devices and pharmaceuticals,</w:t>
      </w:r>
      <w:r>
        <w:t xml:space="preserve"> </w:t>
      </w:r>
      <w:r>
        <w:t xml:space="preserve">construction machinery, telecommunications infrastructure, agricultural</w:t>
      </w:r>
      <w:r>
        <w:t xml:space="preserve"> </w:t>
      </w:r>
      <w:r>
        <w:t xml:space="preserve">technology, and engineering design services. The TAG verifies the fair</w:t>
      </w:r>
      <w:r>
        <w:t xml:space="preserve"> </w:t>
      </w:r>
      <w:r>
        <w:t xml:space="preserve">market value of all in-kind contributions through independent appraisal.</w:t>
      </w:r>
      <w:r>
        <w:t xml:space="preserve"> </w:t>
      </w:r>
      <w:r>
        <w:t xml:space="preserve">The U.S. In-Kind Window targets $5-10 billion in equipment and service</w:t>
      </w:r>
      <w:r>
        <w:t xml:space="preserve"> </w:t>
      </w:r>
      <w:r>
        <w:t xml:space="preserve">contributions over the 10-year reconstruction period.</w:t>
      </w:r>
    </w:p>
    <w:p>
      <w:pPr>
        <w:pStyle w:val="BodyText"/>
      </w:pPr>
      <w:r>
        <w:t xml:space="preserve">1.4 Neutral Escrow Agent</w:t>
      </w:r>
    </w:p>
    <w:p>
      <w:pPr>
        <w:pStyle w:val="BodyText"/>
      </w:pPr>
      <w:r>
        <w:t xml:space="preserve">The State of Qatar, acting through the Qatar Central Bank, serves as the</w:t>
      </w:r>
      <w:r>
        <w:t xml:space="preserve"> </w:t>
      </w:r>
      <w:r>
        <w:t xml:space="preserve">primary escrow agent for the MRF. The World Bank exercises a strictly</w:t>
      </w:r>
      <w:r>
        <w:t xml:space="preserve"> </w:t>
      </w:r>
      <w:r>
        <w:t xml:space="preserve">technical and non-political fiduciary role. The World Bank conducts</w:t>
      </w:r>
      <w:r>
        <w:t xml:space="preserve"> </w:t>
      </w:r>
      <w:r>
        <w:t xml:space="preserve">verification and audit functions only. The World Bank exercises no</w:t>
      </w:r>
      <w:r>
        <w:t xml:space="preserve"> </w:t>
      </w:r>
      <w:r>
        <w:t xml:space="preserve">political discretion over project selection or disbursement.</w:t>
      </w:r>
    </w:p>
    <w:p>
      <w:pPr>
        <w:pStyle w:val="BodyText"/>
      </w:pPr>
      <w:r>
        <w:t xml:space="preserve">1.5 Project Proposal</w:t>
      </w:r>
    </w:p>
    <w:p>
      <w:pPr>
        <w:pStyle w:val="BodyText"/>
      </w:pPr>
      <w:r>
        <w:t xml:space="preserve">A detailed submission by Iran to a specific Sub-Fund, containing:</w:t>
      </w:r>
    </w:p>
    <w:p>
      <w:pPr>
        <w:pStyle w:val="BodyText"/>
      </w:pPr>
      <w:r>
        <w:t xml:space="preserve">• Project description and scope</w:t>
      </w:r>
    </w:p>
    <w:p>
      <w:pPr>
        <w:pStyle w:val="BodyText"/>
      </w:pPr>
      <w:r>
        <w:t xml:space="preserve">• Estimated cost and timeline</w:t>
      </w:r>
    </w:p>
    <w:p>
      <w:pPr>
        <w:pStyle w:val="BodyText"/>
      </w:pPr>
      <w:r>
        <w:t xml:space="preserve">• Technical feasibility study</w:t>
      </w:r>
    </w:p>
    <w:p>
      <w:pPr>
        <w:pStyle w:val="BodyText"/>
      </w:pPr>
      <w:r>
        <w:t xml:space="preserve">• Environmental and social impact assessment</w:t>
      </w:r>
    </w:p>
    <w:p>
      <w:pPr>
        <w:pStyle w:val="BodyText"/>
      </w:pPr>
      <w:r>
        <w:t xml:space="preserve">• Procurement plan</w:t>
      </w:r>
    </w:p>
    <w:p>
      <w:pPr>
        <w:pStyle w:val="BodyText"/>
      </w:pPr>
      <w:r>
        <w:t xml:space="preserve">• Verification milestones</w:t>
      </w:r>
    </w:p>
    <w:p>
      <w:pPr>
        <w:pStyle w:val="BodyText"/>
      </w:pPr>
      <w:r>
        <w:t xml:space="preserve">1.6 Verification Milestone</w:t>
      </w:r>
    </w:p>
    <w:p>
      <w:pPr>
        <w:pStyle w:val="BodyText"/>
      </w:pPr>
      <w:r>
        <w:t xml:space="preserve">A specific, objectively verifiable event in a project’s implementation,</w:t>
      </w:r>
      <w:r>
        <w:t xml:space="preserve"> </w:t>
      </w:r>
      <w:r>
        <w:t xml:space="preserve">such as:</w:t>
      </w:r>
    </w:p>
    <w:p>
      <w:pPr>
        <w:pStyle w:val="BodyText"/>
      </w:pPr>
      <w:r>
        <w:t xml:space="preserve">• Procurement completion</w:t>
      </w:r>
    </w:p>
    <w:p>
      <w:pPr>
        <w:pStyle w:val="BodyText"/>
      </w:pPr>
      <w:r>
        <w:t xml:space="preserve">• Construction commencement</w:t>
      </w:r>
    </w:p>
    <w:p>
      <w:pPr>
        <w:pStyle w:val="BodyText"/>
      </w:pPr>
      <w:r>
        <w:t xml:space="preserve">• Phase completion (e.g., 25%, 50%, 75%)</w:t>
      </w:r>
    </w:p>
    <w:p>
      <w:pPr>
        <w:pStyle w:val="BodyText"/>
      </w:pPr>
      <w:r>
        <w:t xml:space="preserve">• Operational handover</w:t>
      </w:r>
    </w:p>
    <w:p>
      <w:pPr>
        <w:pStyle w:val="BodyText"/>
      </w:pPr>
      <w:r>
        <w:t xml:space="preserve">• Independent audit certification</w:t>
      </w:r>
    </w:p>
    <w:p>
      <w:pPr>
        <w:pStyle w:val="BodyText"/>
      </w:pPr>
      <w:r>
        <w:t xml:space="preserve">1.7 Reconstruction Steering Committee (RSC)</w:t>
      </w:r>
    </w:p>
    <w:p>
      <w:pPr>
        <w:pStyle w:val="BodyText"/>
      </w:pPr>
      <w:r>
        <w:t xml:space="preserve">The central oversight body for the MRF, comprising representatives of:</w:t>
      </w:r>
    </w:p>
    <w:p>
      <w:pPr>
        <w:pStyle w:val="BodyText"/>
      </w:pPr>
      <w:r>
        <w:t xml:space="preserve">• Iran (2 representatives , AEOI or Ministry of Economy)</w:t>
      </w:r>
    </w:p>
    <w:p>
      <w:pPr>
        <w:pStyle w:val="BodyText"/>
      </w:pPr>
      <w:r>
        <w:t xml:space="preserve">• Qatar (1 representative , Escrow Agent)</w:t>
      </w:r>
    </w:p>
    <w:p>
      <w:pPr>
        <w:pStyle w:val="BodyText"/>
      </w:pPr>
      <w:r>
        <w:t xml:space="preserve">• World Bank (1 representative , Fiduciary Administrator)</w:t>
      </w:r>
    </w:p>
    <w:p>
      <w:pPr>
        <w:pStyle w:val="BodyText"/>
      </w:pPr>
      <w:r>
        <w:t xml:space="preserve">• GCC (1 representative , rotating chair)</w:t>
      </w:r>
    </w:p>
    <w:p>
      <w:pPr>
        <w:pStyle w:val="BodyText"/>
      </w:pPr>
      <w:r>
        <w:t xml:space="preserve">• United States (1 representative , observer, no vote)</w:t>
      </w:r>
    </w:p>
    <w:p>
      <w:pPr>
        <w:pStyle w:val="BodyText"/>
      </w:pPr>
      <w:r>
        <w:t xml:space="preserve">• China (1 representative , observer, no vote)</w:t>
      </w:r>
    </w:p>
    <w:p>
      <w:pPr>
        <w:pStyle w:val="BodyText"/>
      </w:pPr>
      <w:r>
        <w:t xml:space="preserve">• EU (1 representative , observer, no vote)</w:t>
      </w:r>
    </w:p>
    <w:p>
      <w:pPr>
        <w:pStyle w:val="BodyText"/>
      </w:pPr>
      <w:r>
        <w:t xml:space="preserve">The RSC approves project proposals, monitors progress, and authorizes</w:t>
      </w:r>
      <w:r>
        <w:t xml:space="preserve"> </w:t>
      </w:r>
      <w:r>
        <w:t xml:space="preserve">disbursements. Decisions require consensus of the voting members (Iran,</w:t>
      </w:r>
      <w:r>
        <w:t xml:space="preserve"> </w:t>
      </w:r>
      <w:r>
        <w:t xml:space="preserve">Qatar, World Bank, GCC).</w:t>
      </w:r>
    </w:p>
    <w:p>
      <w:pPr>
        <w:pStyle w:val="BodyText"/>
      </w:pPr>
      <w:r>
        <w:t xml:space="preserve">1.8 Technical Advisory Group (TAG)</w:t>
      </w:r>
    </w:p>
    <w:p>
      <w:pPr>
        <w:pStyle w:val="BodyText"/>
      </w:pPr>
      <w:r>
        <w:t xml:space="preserve">A panel of independent technical experts appointed by the World Bank to:</w:t>
      </w:r>
    </w:p>
    <w:p>
      <w:pPr>
        <w:pStyle w:val="BodyText"/>
      </w:pPr>
      <w:r>
        <w:t xml:space="preserve">• Assess the technical feasibility of Project Proposals</w:t>
      </w:r>
    </w:p>
    <w:p>
      <w:pPr>
        <w:pStyle w:val="BodyText"/>
      </w:pPr>
      <w:r>
        <w:t xml:space="preserve">• Conduct independent verification of milestone completion</w:t>
      </w:r>
    </w:p>
    <w:p>
      <w:pPr>
        <w:pStyle w:val="BodyText"/>
      </w:pPr>
      <w:r>
        <w:t xml:space="preserve">• Provide technical guidance to the RSC</w:t>
      </w:r>
    </w:p>
    <w:bookmarkEnd w:id="154"/>
    <w:bookmarkStart w:id="155" w:name="article-2-capital-aggregation-and-escrow"/>
    <w:p>
      <w:pPr>
        <w:pStyle w:val="Heading3"/>
      </w:pPr>
      <w:r>
        <w:t xml:space="preserve">Article 2: Capital Aggregation and Escrow</w:t>
      </w:r>
    </w:p>
    <w:p>
      <w:pPr>
        <w:pStyle w:val="FirstParagraph"/>
      </w:pPr>
      <w:r>
        <w:t xml:space="preserve">2.1 Pledge and Deposit Mechanism</w:t>
      </w:r>
    </w:p>
    <w:p>
      <w:pPr>
        <w:pStyle w:val="BodyText"/>
      </w:pPr>
      <w:r>
        <w:t xml:space="preserve">Contributors pledge funds to specific Sub-Funds. Pledges are non-binding</w:t>
      </w:r>
      <w:r>
        <w:t xml:space="preserve"> </w:t>
      </w:r>
      <w:r>
        <w:t xml:space="preserve">until deposited. Deposits flow directly from contributors to the MRF</w:t>
      </w:r>
      <w:r>
        <w:t xml:space="preserve"> </w:t>
      </w:r>
      <w:r>
        <w:t xml:space="preserve">escrow account at the Qatar Central Bank. No contribution passes through</w:t>
      </w:r>
      <w:r>
        <w:t xml:space="preserve"> </w:t>
      </w:r>
      <w:r>
        <w:t xml:space="preserve">the United States or any U.S.-controlled financial institution.</w:t>
      </w:r>
    </w:p>
    <w:p>
      <w:pPr>
        <w:pStyle w:val="BodyText"/>
      </w:pPr>
      <w:r>
        <w:t xml:space="preserve">2.2 Contribution Tiers</w:t>
      </w:r>
    </w:p>
    <w:p>
      <w:pPr>
        <w:pStyle w:val="BodyText"/>
      </w:pPr>
      <w:r>
        <w:t xml:space="preserve">The framework recognizes the following contribution tiers:</w:t>
      </w:r>
    </w:p>
    <w:p>
      <w:pPr>
        <w:pStyle w:val="BodyText"/>
      </w:pPr>
      <w:r>
        <w:t xml:space="preserve">, , , , , , , , , , , , , , , , , , , , , , , , , , , , , , , , , , , , , ,</w:t>
      </w:r>
      <w:r>
        <w:t xml:space="preserve"> </w:t>
      </w:r>
      <w:r>
        <w:t xml:space="preserve">Tier Contributor Type Typical Amount Example</w:t>
      </w:r>
      <w:r>
        <w:t xml:space="preserve"> </w:t>
      </w:r>
      <w:r>
        <w:t xml:space="preserve">, , , , , , , , , , , , , , , , , , , , , , , , , - , , , , , , , , , , ,</w:t>
      </w:r>
      <w:r>
        <w:t xml:space="preserve"> </w:t>
      </w:r>
      <w:r>
        <w:t xml:space="preserve">Anchor GCC sovereign wealth $5B+ Qatar Investment</w:t>
      </w:r>
      <w:r>
        <w:t xml:space="preserve"> </w:t>
      </w:r>
      <w:r>
        <w:t xml:space="preserve">funds, World Bank, Authority, Saudi PIF,</w:t>
      </w:r>
      <w:r>
        <w:t xml:space="preserve"> </w:t>
      </w:r>
      <w:r>
        <w:t xml:space="preserve">Islamic Development UAE ADIA</w:t>
      </w:r>
      <w:r>
        <w:t xml:space="preserve"> </w:t>
      </w:r>
      <w:r>
        <w:t xml:space="preserve">Bank</w:t>
      </w:r>
    </w:p>
    <w:p>
      <w:pPr>
        <w:pStyle w:val="BodyText"/>
      </w:pPr>
      <w:r>
        <w:t xml:space="preserve">Major Regional development $1B-$5B AIIB, EBRD, Germany,</w:t>
      </w:r>
      <w:r>
        <w:t xml:space="preserve"> </w:t>
      </w:r>
      <w:r>
        <w:t xml:space="preserve">banks, EU member Japan</w:t>
      </w:r>
      <w:r>
        <w:t xml:space="preserve"> </w:t>
      </w:r>
      <w:r>
        <w:t xml:space="preserve">states, China, Russia</w:t>
      </w:r>
    </w:p>
    <w:p>
      <w:pPr>
        <w:pStyle w:val="BodyText"/>
      </w:pPr>
      <w:r>
        <w:t xml:space="preserve">Supporting Private investors, $100M-$1B Infrastructure funds,</w:t>
      </w:r>
      <w:r>
        <w:t xml:space="preserve"> </w:t>
      </w:r>
      <w:r>
        <w:t xml:space="preserve">pension funds, sovereign-backed</w:t>
      </w:r>
      <w:r>
        <w:t xml:space="preserve"> </w:t>
      </w:r>
      <w:r>
        <w:t xml:space="preserve">insurance companies insurers</w:t>
      </w:r>
    </w:p>
    <w:p>
      <w:pPr>
        <w:pStyle w:val="BodyText"/>
      </w:pPr>
      <w:r>
        <w:t xml:space="preserve">Humanitarian UN agencies, ICRC, $50M-$500M UN OCHA, WHO, WFP,</w:t>
      </w:r>
      <w:r>
        <w:t xml:space="preserve"> </w:t>
      </w:r>
      <w:r>
        <w:t xml:space="preserve">bilateral humanitarian USAID (technical only)</w:t>
      </w:r>
      <w:r>
        <w:t xml:space="preserve"> </w:t>
      </w:r>
      <w:r>
        <w:t xml:space="preserve">offices</w:t>
      </w:r>
      <w:r>
        <w:br/>
      </w:r>
      <w:r>
        <w:t xml:space="preserve">, , , , , , , , , , , , , , , , , , , , , , , , , , , , , , , , , , , , , ,</w:t>
      </w:r>
    </w:p>
    <w:p>
      <w:pPr>
        <w:pStyle w:val="BodyText"/>
      </w:pPr>
      <w:r>
        <w:t xml:space="preserve">2.3 U.S. Participation (Non-Cash)</w:t>
      </w:r>
    </w:p>
    <w:p>
      <w:pPr>
        <w:pStyle w:val="BodyText"/>
      </w:pPr>
      <w:r>
        <w:t xml:space="preserve">The United States contributes to the MRF exclusively through:</w:t>
      </w:r>
    </w:p>
    <w:p>
      <w:pPr>
        <w:pStyle w:val="BodyText"/>
      </w:pPr>
      <w:r>
        <w:t xml:space="preserve">• Technical assistance: Project identification, feasibility studies,</w:t>
      </w:r>
      <w:r>
        <w:t xml:space="preserve"> </w:t>
      </w:r>
      <w:r>
        <w:t xml:space="preserve">engineering expertise</w:t>
      </w:r>
    </w:p>
    <w:p>
      <w:pPr>
        <w:pStyle w:val="BodyText"/>
      </w:pPr>
      <w:r>
        <w:t xml:space="preserve">• Capacity building: Training for Iranian procurement and project</w:t>
      </w:r>
      <w:r>
        <w:t xml:space="preserve"> </w:t>
      </w:r>
      <w:r>
        <w:t xml:space="preserve">management officials</w:t>
      </w:r>
    </w:p>
    <w:p>
      <w:pPr>
        <w:pStyle w:val="BodyText"/>
      </w:pPr>
      <w:r>
        <w:t xml:space="preserve">• Regulatory facilitation: OFAC general licenses for MRF transactions</w:t>
      </w:r>
    </w:p>
    <w:p>
      <w:pPr>
        <w:pStyle w:val="BodyText"/>
      </w:pPr>
      <w:r>
        <w:t xml:space="preserve">• Diplomatic support: Encouraging third-party contributions</w:t>
      </w:r>
    </w:p>
    <w:p>
      <w:pPr>
        <w:pStyle w:val="BodyText"/>
      </w:pPr>
      <w:r>
        <w:t xml:space="preserve">The United States does not contribute direct cash to the MRF. This</w:t>
      </w:r>
      <w:r>
        <w:t xml:space="preserve"> </w:t>
      </w:r>
      <w:r>
        <w:t xml:space="preserve">explicitly addresses the political impossibility of direct U.S.</w:t>
      </w:r>
      <w:r>
        <w:t xml:space="preserve"> </w:t>
      </w:r>
      <w:r>
        <w:t xml:space="preserve">financial aid.</w:t>
      </w:r>
    </w:p>
    <w:p>
      <w:pPr>
        <w:pStyle w:val="BodyText"/>
      </w:pPr>
      <w:r>
        <w:t xml:space="preserve">2.4 Sanctions Firewall</w:t>
      </w:r>
    </w:p>
    <w:p>
      <w:pPr>
        <w:pStyle w:val="BodyText"/>
      </w:pPr>
      <w:r>
        <w:t xml:space="preserve">All MRF transactions are explicitly exempt from U.S. secondary</w:t>
      </w:r>
      <w:r>
        <w:t xml:space="preserve"> </w:t>
      </w:r>
      <w:r>
        <w:t xml:space="preserve">sanctions. OFAC issues a general license covering:</w:t>
      </w:r>
    </w:p>
    <w:p>
      <w:pPr>
        <w:pStyle w:val="BodyText"/>
      </w:pPr>
      <w:r>
        <w:t xml:space="preserve">• All contributions to the MRF</w:t>
      </w:r>
    </w:p>
    <w:p>
      <w:pPr>
        <w:pStyle w:val="BodyText"/>
      </w:pPr>
      <w:r>
        <w:t xml:space="preserve">• All disbursements from the MRF to Iranian project implementers</w:t>
      </w:r>
    </w:p>
    <w:p>
      <w:pPr>
        <w:pStyle w:val="BodyText"/>
      </w:pPr>
      <w:r>
        <w:t xml:space="preserve">• All procurement contracts funded by the MRF</w:t>
      </w:r>
    </w:p>
    <w:p>
      <w:pPr>
        <w:pStyle w:val="BodyText"/>
      </w:pPr>
      <w:r>
        <w:t xml:space="preserve">• All banking transactions associated with MRF activities</w:t>
      </w:r>
    </w:p>
    <w:p>
      <w:pPr>
        <w:pStyle w:val="BodyText"/>
      </w:pPr>
      <w:r>
        <w:t xml:space="preserve">This firewall ensures that financial institutions, contractors, and</w:t>
      </w:r>
      <w:r>
        <w:t xml:space="preserve"> </w:t>
      </w:r>
      <w:r>
        <w:t xml:space="preserve">suppliers participate in MRF-funded projects without fear of U.S.</w:t>
      </w:r>
      <w:r>
        <w:t xml:space="preserve"> </w:t>
      </w:r>
      <w:r>
        <w:t xml:space="preserve">sanctions exposure.</w:t>
      </w:r>
    </w:p>
    <w:bookmarkEnd w:id="155"/>
    <w:bookmarkStart w:id="156" w:name="X8ba43c5b23b2e5acaf06155eeca57a4acaa9b14"/>
    <w:p>
      <w:pPr>
        <w:pStyle w:val="Heading3"/>
      </w:pPr>
      <w:r>
        <w:t xml:space="preserve">Article 3: Project Proposal and Approval Process</w:t>
      </w:r>
    </w:p>
    <w:p>
      <w:pPr>
        <w:pStyle w:val="FirstParagraph"/>
      </w:pPr>
      <w:r>
        <w:t xml:space="preserve">3.1 Iranian Project Submission</w:t>
      </w:r>
    </w:p>
    <w:p>
      <w:pPr>
        <w:pStyle w:val="BodyText"/>
      </w:pPr>
      <w:r>
        <w:t xml:space="preserve">Iran submits Project Proposals to the appropriate Sub-Fund through the</w:t>
      </w:r>
      <w:r>
        <w:t xml:space="preserve"> </w:t>
      </w:r>
      <w:r>
        <w:t xml:space="preserve">RSC secretariat. Proposals include:</w:t>
      </w:r>
    </w:p>
    <w:p>
      <w:pPr>
        <w:pStyle w:val="BodyText"/>
      </w:pPr>
      <w:r>
        <w:t xml:space="preserve">• Sector and Sub-Fund designation</w:t>
      </w:r>
    </w:p>
    <w:p>
      <w:pPr>
        <w:pStyle w:val="BodyText"/>
      </w:pPr>
      <w:r>
        <w:t xml:space="preserve">• Project description and objectives</w:t>
      </w:r>
    </w:p>
    <w:p>
      <w:pPr>
        <w:pStyle w:val="BodyText"/>
      </w:pPr>
      <w:r>
        <w:t xml:space="preserve">• Estimated cost and funding request</w:t>
      </w:r>
    </w:p>
    <w:p>
      <w:pPr>
        <w:pStyle w:val="BodyText"/>
      </w:pPr>
      <w:r>
        <w:t xml:space="preserve">• Detailed timeline with Verification Milestones</w:t>
      </w:r>
    </w:p>
    <w:p>
      <w:pPr>
        <w:pStyle w:val="BodyText"/>
      </w:pPr>
      <w:r>
        <w:t xml:space="preserve">• Technical feasibility study</w:t>
      </w:r>
    </w:p>
    <w:p>
      <w:pPr>
        <w:pStyle w:val="BodyText"/>
      </w:pPr>
      <w:r>
        <w:t xml:space="preserve">• Environmental and social impact assessment</w:t>
      </w:r>
    </w:p>
    <w:p>
      <w:pPr>
        <w:pStyle w:val="BodyText"/>
      </w:pPr>
      <w:r>
        <w:t xml:space="preserve">• Procurement plan (including proposed contractors and suppliers)</w:t>
      </w:r>
    </w:p>
    <w:p>
      <w:pPr>
        <w:pStyle w:val="BodyText"/>
      </w:pPr>
      <w:r>
        <w:t xml:space="preserve">• Independent audit plan</w:t>
      </w:r>
    </w:p>
    <w:p>
      <w:pPr>
        <w:pStyle w:val="BodyText"/>
      </w:pPr>
      <w:r>
        <w:t xml:space="preserve">3.2 Technical Advisory Group Review</w:t>
      </w:r>
    </w:p>
    <w:p>
      <w:pPr>
        <w:pStyle w:val="BodyText"/>
      </w:pPr>
      <w:r>
        <w:t xml:space="preserve">Upon submission, the Technical Advisory Group (TAG) conducts a</w:t>
      </w:r>
      <w:r>
        <w:t xml:space="preserve"> </w:t>
      </w:r>
      <w:r>
        <w:t xml:space="preserve">preliminary technical review within 30 days. The TAG assesses:</w:t>
      </w:r>
    </w:p>
    <w:p>
      <w:pPr>
        <w:pStyle w:val="BodyText"/>
      </w:pPr>
      <w:r>
        <w:t xml:space="preserve">• Technical feasibility and soundness</w:t>
      </w:r>
    </w:p>
    <w:p>
      <w:pPr>
        <w:pStyle w:val="BodyText"/>
      </w:pPr>
      <w:r>
        <w:t xml:space="preserve">• Environmental and social safeguards compliance</w:t>
      </w:r>
    </w:p>
    <w:p>
      <w:pPr>
        <w:pStyle w:val="BodyText"/>
      </w:pPr>
      <w:r>
        <w:t xml:space="preserve">• Cost realism and value for money</w:t>
      </w:r>
    </w:p>
    <w:p>
      <w:pPr>
        <w:pStyle w:val="BodyText"/>
      </w:pPr>
      <w:r>
        <w:t xml:space="preserve">• Alignment with Sub-Fund objectives</w:t>
      </w:r>
    </w:p>
    <w:p>
      <w:pPr>
        <w:pStyle w:val="BodyText"/>
      </w:pPr>
      <w:r>
        <w:t xml:space="preserve">The TAG provides a written recommendation to the RSC. If the TAG</w:t>
      </w:r>
      <w:r>
        <w:t xml:space="preserve"> </w:t>
      </w:r>
      <w:r>
        <w:t xml:space="preserve">identifies deficiencies, Iran has 30 days to revise and resubmit.</w:t>
      </w:r>
    </w:p>
    <w:p>
      <w:pPr>
        <w:pStyle w:val="BodyText"/>
      </w:pPr>
      <w:r>
        <w:t xml:space="preserve">3.3 RSC Review and Approval</w:t>
      </w:r>
    </w:p>
    <w:p>
      <w:pPr>
        <w:pStyle w:val="BodyText"/>
      </w:pPr>
      <w:r>
        <w:t xml:space="preserve">The RSC reviews each Project Proposal within 60 days of TAG</w:t>
      </w:r>
      <w:r>
        <w:t xml:space="preserve"> </w:t>
      </w:r>
      <w:r>
        <w:t xml:space="preserve">recommendation. Approval requires:</w:t>
      </w:r>
    </w:p>
    <w:p>
      <w:pPr>
        <w:pStyle w:val="BodyText"/>
      </w:pPr>
      <w:r>
        <w:t xml:space="preserve">• Consensus of the voting members (Iran, Qatar, World Bank, GCC)</w:t>
      </w:r>
    </w:p>
    <w:p>
      <w:pPr>
        <w:pStyle w:val="BodyText"/>
      </w:pPr>
      <w:r>
        <w:t xml:space="preserve">• Favorable TAG recommendation</w:t>
      </w:r>
    </w:p>
    <w:p>
      <w:pPr>
        <w:pStyle w:val="BodyText"/>
      </w:pPr>
      <w:r>
        <w:t xml:space="preserve">• Available capital in the relevant Sub-Fund</w:t>
      </w:r>
    </w:p>
    <w:p>
      <w:pPr>
        <w:pStyle w:val="BodyText"/>
      </w:pPr>
      <w:r>
        <w:t xml:space="preserve">If the RSC fails to reach consensus on a Project Proposal within 60 days</w:t>
      </w:r>
      <w:r>
        <w:t xml:space="preserve"> </w:t>
      </w:r>
      <w:r>
        <w:t xml:space="preserve">of submission, the matter refers to the Guarantor Matrix for mediation.</w:t>
      </w:r>
      <w:r>
        <w:t xml:space="preserve"> </w:t>
      </w:r>
      <w:r>
        <w:t xml:space="preserve">The Guarantor Matrix issues a non-binding recommendation within 30 days.</w:t>
      </w:r>
      <w:r>
        <w:t xml:space="preserve"> </w:t>
      </w:r>
      <w:r>
        <w:t xml:space="preserve">The RSC reconsiders the proposal in light of the recommendation.</w:t>
      </w:r>
    </w:p>
    <w:p>
      <w:pPr>
        <w:pStyle w:val="BodyText"/>
      </w:pPr>
      <w:r>
        <w:t xml:space="preserve">If the RSC rejects a proposal, it provides written justification and</w:t>
      </w:r>
      <w:r>
        <w:t xml:space="preserve"> </w:t>
      </w:r>
      <w:r>
        <w:t xml:space="preserve">recommendations for revision. Iran resubmits a revised proposal within</w:t>
      </w:r>
      <w:r>
        <w:t xml:space="preserve"> </w:t>
      </w:r>
      <w:r>
        <w:t xml:space="preserve">30 days.</w:t>
      </w:r>
    </w:p>
    <w:p>
      <w:pPr>
        <w:pStyle w:val="BodyText"/>
      </w:pPr>
      <w:r>
        <w:t xml:space="preserve">3.4 Project Prioritization</w:t>
      </w:r>
    </w:p>
    <w:p>
      <w:pPr>
        <w:pStyle w:val="BodyText"/>
      </w:pPr>
      <w:r>
        <w:t xml:space="preserve">Iran prioritizes projects based on:</w:t>
      </w:r>
    </w:p>
    <w:p>
      <w:pPr>
        <w:pStyle w:val="BodyText"/>
      </w:pPr>
      <w:r>
        <w:t xml:space="preserve">• Urgency of need (e.g., damaged hospitals, water treatment plants)</w:t>
      </w:r>
    </w:p>
    <w:p>
      <w:pPr>
        <w:pStyle w:val="BodyText"/>
      </w:pPr>
      <w:r>
        <w:t xml:space="preserve">• Economic impact (e.g., energy infrastructure, transportation</w:t>
      </w:r>
      <w:r>
        <w:t xml:space="preserve"> </w:t>
      </w:r>
      <w:r>
        <w:t xml:space="preserve">networks)</w:t>
      </w:r>
    </w:p>
    <w:p>
      <w:pPr>
        <w:pStyle w:val="BodyText"/>
      </w:pPr>
      <w:r>
        <w:t xml:space="preserve">• Job creation potential</w:t>
      </w:r>
    </w:p>
    <w:p>
      <w:pPr>
        <w:pStyle w:val="BodyText"/>
      </w:pPr>
      <w:r>
        <w:t xml:space="preserve">• Regional distribution</w:t>
      </w:r>
    </w:p>
    <w:p>
      <w:pPr>
        <w:pStyle w:val="BodyText"/>
      </w:pPr>
      <w:r>
        <w:t xml:space="preserve">• Contribution to food security and public health</w:t>
      </w:r>
    </w:p>
    <w:p>
      <w:pPr>
        <w:pStyle w:val="BodyText"/>
      </w:pPr>
      <w:r>
        <w:t xml:space="preserve">The RSC respects Iran’s prioritization decisions and does not impose</w:t>
      </w:r>
      <w:r>
        <w:t xml:space="preserve"> </w:t>
      </w:r>
      <w:r>
        <w:t xml:space="preserve">external project preferences.</w:t>
      </w:r>
    </w:p>
    <w:p>
      <w:pPr>
        <w:pStyle w:val="BodyText"/>
      </w:pPr>
      <w:r>
        <w:t xml:space="preserve">3.5 Project Bundling and Accelerated Approval Track</w:t>
      </w:r>
    </w:p>
    <w:p>
      <w:pPr>
        <w:pStyle w:val="BodyText"/>
      </w:pPr>
      <w:r>
        <w:t xml:space="preserve">The RSC maintains an Accelerated Approval Track for bundled</w:t>
      </w:r>
      <w:r>
        <w:t xml:space="preserve"> </w:t>
      </w:r>
      <w:r>
        <w:t xml:space="preserve">small-to-medium projects. Iran groups related projects under $50 million</w:t>
      </w:r>
      <w:r>
        <w:t xml:space="preserve"> </w:t>
      </w:r>
      <w:r>
        <w:t xml:space="preserve">each into a single portfolio package. The TAG conducts a consolidated</w:t>
      </w:r>
      <w:r>
        <w:t xml:space="preserve"> </w:t>
      </w:r>
      <w:r>
        <w:t xml:space="preserve">technical review within 30 days (instead of the standard 60-day review</w:t>
      </w:r>
      <w:r>
        <w:t xml:space="preserve"> </w:t>
      </w:r>
      <w:r>
        <w:t xml:space="preserve">for individual large projects). The RSC approves or requests revision</w:t>
      </w:r>
      <w:r>
        <w:t xml:space="preserve"> </w:t>
      </w:r>
      <w:r>
        <w:t xml:space="preserve">within 45 days (instead of the standard 60 days).</w:t>
      </w:r>
    </w:p>
    <w:p>
      <w:pPr>
        <w:pStyle w:val="BodyText"/>
      </w:pPr>
      <w:r>
        <w:t xml:space="preserve">Bundling criteria include: projects sharing a geographic region,</w:t>
      </w:r>
      <w:r>
        <w:t xml:space="preserve"> </w:t>
      </w:r>
      <w:r>
        <w:t xml:space="preserve">projects in the same sector, projects with interdependent milestones,</w:t>
      </w:r>
      <w:r>
        <w:t xml:space="preserve"> </w:t>
      </w:r>
      <w:r>
        <w:t xml:space="preserve">and projects using common contractors or suppliers. The Accelerated</w:t>
      </w:r>
      <w:r>
        <w:t xml:space="preserve"> </w:t>
      </w:r>
      <w:r>
        <w:t xml:space="preserve">Track targets urgent water, health, and housing reconstruction in</w:t>
      </w:r>
      <w:r>
        <w:t xml:space="preserve"> </w:t>
      </w:r>
      <w:r>
        <w:t xml:space="preserve">heavily damaged areas. Bundled projects undergo the same milestone</w:t>
      </w:r>
      <w:r>
        <w:t xml:space="preserve"> </w:t>
      </w:r>
      <w:r>
        <w:t xml:space="preserve">verification and independent audit requirements as standalone projects.</w:t>
      </w:r>
    </w:p>
    <w:p>
      <w:pPr>
        <w:pStyle w:val="BodyText"/>
      </w:pPr>
      <w:r>
        <w:t xml:space="preserve">3.6 Local Content and Iranian Contractor Preference</w:t>
      </w:r>
    </w:p>
    <w:p>
      <w:pPr>
        <w:pStyle w:val="BodyText"/>
      </w:pPr>
      <w:r>
        <w:t xml:space="preserve">All MRF procurement applies a 10-15% preference for Iranian contractors</w:t>
      </w:r>
      <w:r>
        <w:t xml:space="preserve"> </w:t>
      </w:r>
      <w:r>
        <w:t xml:space="preserve">and suppliers, provided they meet quality standards and cost</w:t>
      </w:r>
      <w:r>
        <w:t xml:space="preserve"> </w:t>
      </w:r>
      <w:r>
        <w:t xml:space="preserve">competitiveness benchmarks. The preference operates as follows: (1)</w:t>
      </w:r>
      <w:r>
        <w:t xml:space="preserve"> </w:t>
      </w:r>
      <w:r>
        <w:t xml:space="preserve">Iranian bids within 15% of the lowest qualified foreign bid receive</w:t>
      </w:r>
      <w:r>
        <w:t xml:space="preserve"> </w:t>
      </w:r>
      <w:r>
        <w:t xml:space="preserve">automatic preference, (2) The TAG verifies that preferred contractors</w:t>
      </w:r>
      <w:r>
        <w:t xml:space="preserve"> </w:t>
      </w:r>
      <w:r>
        <w:t xml:space="preserve">meet technical and safety standards equivalent to international</w:t>
      </w:r>
      <w:r>
        <w:t xml:space="preserve"> </w:t>
      </w:r>
      <w:r>
        <w:t xml:space="preserve">competitors, (3) Iranian subcontractors on foreign-led projects count</w:t>
      </w:r>
      <w:r>
        <w:t xml:space="preserve"> </w:t>
      </w:r>
      <w:r>
        <w:t xml:space="preserve">toward the local content target.</w:t>
      </w:r>
    </w:p>
    <w:p>
      <w:pPr>
        <w:pStyle w:val="BodyText"/>
      </w:pPr>
      <w:r>
        <w:t xml:space="preserve">The RSC monitors local content performance quarterly and reports to</w:t>
      </w:r>
      <w:r>
        <w:t xml:space="preserve"> </w:t>
      </w:r>
      <w:r>
        <w:t xml:space="preserve">donors on domestic capacity building outcomes. This clause ensures MRF</w:t>
      </w:r>
      <w:r>
        <w:t xml:space="preserve"> </w:t>
      </w:r>
      <w:r>
        <w:t xml:space="preserve">funds rebuild Iranian domestic industrial capacity rather than</w:t>
      </w:r>
      <w:r>
        <w:t xml:space="preserve"> </w:t>
      </w:r>
      <w:r>
        <w:t xml:space="preserve">exclusively funding foreign supply chains. The RSC structures</w:t>
      </w:r>
      <w:r>
        <w:t xml:space="preserve"> </w:t>
      </w:r>
      <w:r>
        <w:t xml:space="preserve">procurement to comply with applicable international trade obligations</w:t>
      </w:r>
      <w:r>
        <w:t xml:space="preserve"> </w:t>
      </w:r>
      <w:r>
        <w:t xml:space="preserve">while maximizing local economic impact.</w:t>
      </w:r>
    </w:p>
    <w:p>
      <w:pPr>
        <w:pStyle w:val="BodyText"/>
      </w:pPr>
      <w:r>
        <w:t xml:space="preserve">3.7 Sub-Fund Rebalancing Mechanism</w:t>
      </w:r>
    </w:p>
    <w:p>
      <w:pPr>
        <w:pStyle w:val="BodyText"/>
      </w:pPr>
      <w:r>
        <w:t xml:space="preserve">The RSC reallocates up to 10% of uncommitted funds between Sub-Funds on</w:t>
      </w:r>
      <w:r>
        <w:t xml:space="preserve"> </w:t>
      </w:r>
      <w:r>
        <w:t xml:space="preserve">an annual basis. Rebalancing activates when: (1) a Sub-Fund has</w:t>
      </w:r>
      <w:r>
        <w:t xml:space="preserve"> </w:t>
      </w:r>
      <w:r>
        <w:t xml:space="preserve">committed less than 50% of its allocation while another Sub-Fund faces</w:t>
      </w:r>
      <w:r>
        <w:t xml:space="preserve"> </w:t>
      </w:r>
      <w:r>
        <w:t xml:space="preserve">urgent demand exceeding its capacity, (2) the TAG certifies that the</w:t>
      </w:r>
      <w:r>
        <w:t xml:space="preserve"> </w:t>
      </w:r>
      <w:r>
        <w:t xml:space="preserve">underperforming Sub-Fund’s project pipeline lacks viable proposals, (3)</w:t>
      </w:r>
      <w:r>
        <w:t xml:space="preserve"> </w:t>
      </w:r>
      <w:r>
        <w:t xml:space="preserve">the receiving Sub-Fund demonstrates a surplus of approved projects</w:t>
      </w:r>
      <w:r>
        <w:t xml:space="preserve"> </w:t>
      </w:r>
      <w:r>
        <w:t xml:space="preserve">awaiting funding.</w:t>
      </w:r>
    </w:p>
    <w:p>
      <w:pPr>
        <w:pStyle w:val="BodyText"/>
      </w:pPr>
      <w:r>
        <w:t xml:space="preserve">Rebalancing requires consensus of all RSC voting members and</w:t>
      </w:r>
      <w:r>
        <w:t xml:space="preserve"> </w:t>
      </w:r>
      <w:r>
        <w:t xml:space="preserve">confirmation from the Qatar Central Bank that the receiving Sub-Fund has</w:t>
      </w:r>
      <w:r>
        <w:t xml:space="preserve"> </w:t>
      </w:r>
      <w:r>
        <w:t xml:space="preserve">adequate disbursement capacity. Rebalanced funds carry the same</w:t>
      </w:r>
      <w:r>
        <w:t xml:space="preserve"> </w:t>
      </w:r>
      <w:r>
        <w:t xml:space="preserve">milestone verification, independent audit, and reporting requirements as</w:t>
      </w:r>
      <w:r>
        <w:t xml:space="preserve"> </w:t>
      </w:r>
      <w:r>
        <w:t xml:space="preserve">originally allocated capital. The RSC publishes an annual Rebalancing</w:t>
      </w:r>
      <w:r>
        <w:t xml:space="preserve"> </w:t>
      </w:r>
      <w:r>
        <w:t xml:space="preserve">Report detailing all fund movements and justifications.</w:t>
      </w:r>
    </w:p>
    <w:p>
      <w:pPr>
        <w:pStyle w:val="BodyText"/>
      </w:pPr>
      <w:r>
        <w:t xml:space="preserve">3.8 Technology Transfer and Workforce Training Requirement</w:t>
      </w:r>
    </w:p>
    <w:p>
      <w:pPr>
        <w:pStyle w:val="BodyText"/>
      </w:pPr>
      <w:r>
        <w:t xml:space="preserve">Every disbursement tranche includes a verifiable technology transfer or</w:t>
      </w:r>
      <w:r>
        <w:t xml:space="preserve"> </w:t>
      </w:r>
      <w:r>
        <w:t xml:space="preserve">local workforce training component. Contractors submit a Technology</w:t>
      </w:r>
      <w:r>
        <w:t xml:space="preserve"> </w:t>
      </w:r>
      <w:r>
        <w:t xml:space="preserve">Transfer Plan (TTP) as part of their project proposal. The TTP</w:t>
      </w:r>
      <w:r>
        <w:t xml:space="preserve"> </w:t>
      </w:r>
      <w:r>
        <w:t xml:space="preserve">specifies: (1) training programs for Iranian engineers and technicians,</w:t>
      </w:r>
      <w:r>
        <w:t xml:space="preserve"> </w:t>
      </w:r>
      <w:r>
        <w:t xml:space="preserve">(2) knowledge documentation in Persian language, (3) equipment</w:t>
      </w:r>
      <w:r>
        <w:t xml:space="preserve"> </w:t>
      </w:r>
      <w:r>
        <w:t xml:space="preserve">maintenance capacity transfer, (4) operational handover protocols, and</w:t>
      </w:r>
      <w:r>
        <w:t xml:space="preserve"> </w:t>
      </w:r>
      <w:r>
        <w:t xml:space="preserve">(5) intellectual property licensing terms for locally manufactured</w:t>
      </w:r>
      <w:r>
        <w:t xml:space="preserve"> </w:t>
      </w:r>
      <w:r>
        <w:t xml:space="preserve">components.</w:t>
      </w:r>
    </w:p>
    <w:p>
      <w:pPr>
        <w:pStyle w:val="BodyText"/>
      </w:pPr>
      <w:r>
        <w:t xml:space="preserve">The TAG evaluates the TTP alongside the technical project proposal.</w:t>
      </w:r>
      <w:r>
        <w:t xml:space="preserve"> </w:t>
      </w:r>
      <w:r>
        <w:t xml:space="preserve">Milestone verification includes assessment of training completion rates,</w:t>
      </w:r>
      <w:r>
        <w:t xml:space="preserve"> </w:t>
      </w:r>
      <w:r>
        <w:t xml:space="preserve">knowledge transfer documentation, and local operational readiness. The</w:t>
      </w:r>
      <w:r>
        <w:t xml:space="preserve"> </w:t>
      </w:r>
      <w:r>
        <w:t xml:space="preserve">RSC reports technology transfer outcomes annually to donors. This</w:t>
      </w:r>
      <w:r>
        <w:t xml:space="preserve"> </w:t>
      </w:r>
      <w:r>
        <w:t xml:space="preserve">requirement ensures reconstruction builds long-term Iranian technical</w:t>
      </w:r>
      <w:r>
        <w:t xml:space="preserve"> </w:t>
      </w:r>
      <w:r>
        <w:t xml:space="preserve">capacity rather than delivering imported turnkey solutions.</w:t>
      </w:r>
    </w:p>
    <w:bookmarkEnd w:id="156"/>
    <w:bookmarkStart w:id="157" w:name="article-4-disbursement-and-verification"/>
    <w:p>
      <w:pPr>
        <w:pStyle w:val="Heading3"/>
      </w:pPr>
      <w:r>
        <w:t xml:space="preserve">Article 4: Disbursement and Verification</w:t>
      </w:r>
    </w:p>
    <w:p>
      <w:pPr>
        <w:pStyle w:val="FirstParagraph"/>
      </w:pPr>
      <w:r>
        <w:t xml:space="preserve">4.1 Performance-Based Disbursement</w:t>
      </w:r>
    </w:p>
    <w:p>
      <w:pPr>
        <w:pStyle w:val="BodyText"/>
      </w:pPr>
      <w:r>
        <w:t xml:space="preserve">MRF funds disburse in tranches tied to Verification Milestones. The</w:t>
      </w:r>
      <w:r>
        <w:t xml:space="preserve"> </w:t>
      </w:r>
      <w:r>
        <w:t xml:space="preserve">disbursement architecture mirrors the Escrow Protocol. MRF disbursements</w:t>
      </w:r>
      <w:r>
        <w:t xml:space="preserve"> </w:t>
      </w:r>
      <w:r>
        <w:t xml:space="preserve">synchronize with the verification milestones established in Annex ES.</w:t>
      </w:r>
      <w:r>
        <w:t xml:space="preserve"> </w:t>
      </w:r>
      <w:r>
        <w:t xml:space="preserve">The MRF 60-Day Initial Operating Period aligns with the Annex ES 60-Day</w:t>
      </w:r>
      <w:r>
        <w:t xml:space="preserve"> </w:t>
      </w:r>
      <w:r>
        <w:t xml:space="preserve">Initial Operating Period. The RSC monitors the status of Annex ES</w:t>
      </w:r>
      <w:r>
        <w:t xml:space="preserve"> </w:t>
      </w:r>
      <w:r>
        <w:t xml:space="preserve">milestones and adjusts MRF disbursement timelines as appropriate.</w:t>
      </w:r>
    </w:p>
    <w:p>
      <w:pPr>
        <w:pStyle w:val="BodyText"/>
      </w:pPr>
      <w:r>
        <w:t xml:space="preserve">, , , , , , , , , , , , , , , , , , , , , , , , , , , , , , , , , , , , , , -</w:t>
      </w:r>
      <w:r>
        <w:t xml:space="preserve"> </w:t>
      </w:r>
      <w:r>
        <w:t xml:space="preserve">Sub-Fund Tranche 1 Tranche 2 Tranche 3 Tranche 4</w:t>
      </w:r>
      <w:r>
        <w:t xml:space="preserve"> </w:t>
      </w:r>
      <w:r>
        <w:t xml:space="preserve">, , , , , , , , - , , , , , , , - , , , , , , , - , , , , , , - , , , , , , -</w:t>
      </w:r>
      <w:r>
        <w:t xml:space="preserve"> </w:t>
      </w:r>
      <w:r>
        <w:t xml:space="preserve">MRF-Energy 10% 25% (C-25%) 25% (C-50%) 40%</w:t>
      </w:r>
      <w:r>
        <w:t xml:space="preserve"> </w:t>
      </w:r>
      <w:r>
        <w:t xml:space="preserve">(Procurement) (Handover)</w:t>
      </w:r>
    </w:p>
    <w:p>
      <w:pPr>
        <w:pStyle w:val="BodyText"/>
      </w:pPr>
      <w:r>
        <w:t xml:space="preserve">MRF-Water 15% 25% (C-25%) 25% (C-50%) 35%</w:t>
      </w:r>
      <w:r>
        <w:t xml:space="preserve"> </w:t>
      </w:r>
      <w:r>
        <w:t xml:space="preserve">(Design/Proc) (Handover)</w:t>
      </w:r>
    </w:p>
    <w:p>
      <w:pPr>
        <w:pStyle w:val="BodyText"/>
      </w:pPr>
      <w:r>
        <w:t xml:space="preserve">MRF-Transport 10% 20% (C-25%) 30% (C-50%) 40%</w:t>
      </w:r>
      <w:r>
        <w:t xml:space="preserve"> </w:t>
      </w:r>
      <w:r>
        <w:t xml:space="preserve">(Procurement) (Handover)</w:t>
      </w:r>
    </w:p>
    <w:p>
      <w:pPr>
        <w:pStyle w:val="BodyText"/>
      </w:pPr>
      <w:r>
        <w:t xml:space="preserve">MRF-Health 20% 30% (C-25%) 25% (C-50%) 25%</w:t>
      </w:r>
      <w:r>
        <w:t xml:space="preserve"> </w:t>
      </w:r>
      <w:r>
        <w:t xml:space="preserve">(Procurement) (Handover)</w:t>
      </w:r>
    </w:p>
    <w:p>
      <w:pPr>
        <w:pStyle w:val="BodyText"/>
      </w:pPr>
      <w:r>
        <w:t xml:space="preserve">MRF-Education 20% 30% (C-25%) 25% (C-50%) 25%</w:t>
      </w:r>
      <w:r>
        <w:t xml:space="preserve"> </w:t>
      </w:r>
      <w:r>
        <w:t xml:space="preserve">(Procurement) (Handover)</w:t>
      </w:r>
    </w:p>
    <w:p>
      <w:pPr>
        <w:pStyle w:val="BodyText"/>
      </w:pPr>
      <w:r>
        <w:t xml:space="preserve">MRF-Housing 10% 25% (C-25%) 25% (C-50%) 40%</w:t>
      </w:r>
      <w:r>
        <w:t xml:space="preserve"> </w:t>
      </w:r>
      <w:r>
        <w:t xml:space="preserve">(Procurement) (Handover)</w:t>
      </w:r>
    </w:p>
    <w:p>
      <w:pPr>
        <w:pStyle w:val="BodyText"/>
      </w:pPr>
      <w:r>
        <w:t xml:space="preserve">MRF-Agriculture 15% 25% (C-25%) 25% (C-50%) 35%</w:t>
      </w:r>
      <w:r>
        <w:t xml:space="preserve"> </w:t>
      </w:r>
      <w:r>
        <w:t xml:space="preserve">(Procurement) (Handover)</w:t>
      </w:r>
      <w:r>
        <w:t xml:space="preserve"> </w:t>
      </w:r>
      <w:r>
        <w:t xml:space="preserve">, , , , , , , , , , , , , , , , , , , , , , , , , , , , , , , , , , , , , , -</w:t>
      </w:r>
    </w:p>
    <w:p>
      <w:pPr>
        <w:pStyle w:val="BodyText"/>
      </w:pPr>
      <w:r>
        <w:t xml:space="preserve">C-25% = Construction 25% complete; C-50% = Construction 50% complete</w:t>
      </w:r>
    </w:p>
    <w:p>
      <w:pPr>
        <w:pStyle w:val="BodyText"/>
      </w:pPr>
      <w:r>
        <w:t xml:space="preserve">4.2 Verification Process</w:t>
      </w:r>
    </w:p>
    <w:p>
      <w:pPr>
        <w:pStyle w:val="BodyText"/>
      </w:pPr>
      <w:r>
        <w:t xml:space="preserve">4.2.1 Iranian Self-Certification</w:t>
      </w:r>
    </w:p>
    <w:p>
      <w:pPr>
        <w:pStyle w:val="BodyText"/>
      </w:pPr>
      <w:r>
        <w:t xml:space="preserve">Iran submits a verification report documenting milestone completion,</w:t>
      </w:r>
      <w:r>
        <w:t xml:space="preserve"> </w:t>
      </w:r>
      <w:r>
        <w:t xml:space="preserve">including photographs, financial records, and technical assessments.</w:t>
      </w:r>
    </w:p>
    <w:p>
      <w:pPr>
        <w:pStyle w:val="BodyText"/>
      </w:pPr>
      <w:r>
        <w:t xml:space="preserve">4.2.2 Independent Audit</w:t>
      </w:r>
    </w:p>
    <w:p>
      <w:pPr>
        <w:pStyle w:val="BodyText"/>
      </w:pPr>
      <w:r>
        <w:t xml:space="preserve">The World Bank dispatches an independent technical team to verify</w:t>
      </w:r>
      <w:r>
        <w:t xml:space="preserve"> </w:t>
      </w:r>
      <w:r>
        <w:t xml:space="preserve">milestone completion within 30 days of Iranian self-certification.</w:t>
      </w:r>
    </w:p>
    <w:p>
      <w:pPr>
        <w:pStyle w:val="BodyText"/>
      </w:pPr>
      <w:r>
        <w:t xml:space="preserve">4.2.3 TAG Assessment</w:t>
      </w:r>
    </w:p>
    <w:p>
      <w:pPr>
        <w:pStyle w:val="BodyText"/>
      </w:pPr>
      <w:r>
        <w:t xml:space="preserve">The Technical Advisory Group reviews the audit and provides a</w:t>
      </w:r>
      <w:r>
        <w:t xml:space="preserve"> </w:t>
      </w:r>
      <w:r>
        <w:t xml:space="preserve">recommendation to the RSC.</w:t>
      </w:r>
    </w:p>
    <w:p>
      <w:pPr>
        <w:pStyle w:val="BodyText"/>
      </w:pPr>
      <w:r>
        <w:t xml:space="preserve">4.2.4 RSC Approval</w:t>
      </w:r>
    </w:p>
    <w:p>
      <w:pPr>
        <w:pStyle w:val="BodyText"/>
      </w:pPr>
      <w:r>
        <w:t xml:space="preserve">Upon favorable TAG recommendation, the RSC authorizes the next</w:t>
      </w:r>
      <w:r>
        <w:t xml:space="preserve"> </w:t>
      </w:r>
      <w:r>
        <w:t xml:space="preserve">disbursement. If the audit identifies deficiencies, Iran has 60 days to</w:t>
      </w:r>
      <w:r>
        <w:t xml:space="preserve"> </w:t>
      </w:r>
      <w:r>
        <w:t xml:space="preserve">remediate.</w:t>
      </w:r>
    </w:p>
    <w:p>
      <w:pPr>
        <w:pStyle w:val="BodyText"/>
      </w:pPr>
      <w:r>
        <w:t xml:space="preserve">4.3 No Clawback</w:t>
      </w:r>
    </w:p>
    <w:p>
      <w:pPr>
        <w:pStyle w:val="BodyText"/>
      </w:pPr>
      <w:r>
        <w:t xml:space="preserve">Consistent with the Escrow Protocol, MRF funds already disbursed are not</w:t>
      </w:r>
      <w:r>
        <w:t xml:space="preserve"> </w:t>
      </w:r>
      <w:r>
        <w:t xml:space="preserve">subject to clawback, re-freezing, or recission under any circumstances.</w:t>
      </w:r>
      <w:r>
        <w:t xml:space="preserve"> </w:t>
      </w:r>
      <w:r>
        <w:t xml:space="preserve">This includes:</w:t>
      </w:r>
    </w:p>
    <w:p>
      <w:pPr>
        <w:pStyle w:val="BodyText"/>
      </w:pPr>
      <w:r>
        <w:t xml:space="preserve">• Project discontinuation</w:t>
      </w:r>
    </w:p>
    <w:p>
      <w:pPr>
        <w:pStyle w:val="BodyText"/>
      </w:pPr>
      <w:r>
        <w:t xml:space="preserve">• Cost overruns</w:t>
      </w:r>
    </w:p>
    <w:p>
      <w:pPr>
        <w:pStyle w:val="BodyText"/>
      </w:pPr>
      <w:r>
        <w:t xml:space="preserve">• Political disputes</w:t>
      </w:r>
    </w:p>
    <w:p>
      <w:pPr>
        <w:pStyle w:val="BodyText"/>
      </w:pPr>
      <w:r>
        <w:t xml:space="preserve">• Termination of the MOU</w:t>
      </w:r>
    </w:p>
    <w:bookmarkEnd w:id="157"/>
    <w:bookmarkStart w:id="158" w:name="article-5-governance-and-transparency"/>
    <w:p>
      <w:pPr>
        <w:pStyle w:val="Heading3"/>
      </w:pPr>
      <w:r>
        <w:t xml:space="preserve">Article 5: Governance and Transparency</w:t>
      </w:r>
    </w:p>
    <w:p>
      <w:pPr>
        <w:pStyle w:val="FirstParagraph"/>
      </w:pPr>
      <w:r>
        <w:t xml:space="preserve">5.1 Reconstruction Steering Committee (RSC)</w:t>
      </w:r>
    </w:p>
    <w:p>
      <w:pPr>
        <w:pStyle w:val="BodyText"/>
      </w:pPr>
      <w:r>
        <w:t xml:space="preserve">The RSC meets quarterly in Doha, Qatar. Its functions include:</w:t>
      </w:r>
    </w:p>
    <w:p>
      <w:pPr>
        <w:pStyle w:val="BodyText"/>
      </w:pPr>
      <w:r>
        <w:t xml:space="preserve">• Approving Project Proposals</w:t>
      </w:r>
    </w:p>
    <w:p>
      <w:pPr>
        <w:pStyle w:val="BodyText"/>
      </w:pPr>
      <w:r>
        <w:t xml:space="preserve">• Monitoring Sub-Fund balances and disbursement progress</w:t>
      </w:r>
    </w:p>
    <w:p>
      <w:pPr>
        <w:pStyle w:val="BodyText"/>
      </w:pPr>
      <w:r>
        <w:t xml:space="preserve">• Authorizing disbursements</w:t>
      </w:r>
    </w:p>
    <w:p>
      <w:pPr>
        <w:pStyle w:val="BodyText"/>
      </w:pPr>
      <w:r>
        <w:t xml:space="preserve">• Resolving disputes</w:t>
      </w:r>
    </w:p>
    <w:p>
      <w:pPr>
        <w:pStyle w:val="BodyText"/>
      </w:pPr>
      <w:r>
        <w:t xml:space="preserve">• Publishing annual reports</w:t>
      </w:r>
    </w:p>
    <w:p>
      <w:pPr>
        <w:pStyle w:val="BodyText"/>
      </w:pPr>
      <w:r>
        <w:t xml:space="preserve">5.2 Technical Advisory Group (TAG)</w:t>
      </w:r>
    </w:p>
    <w:p>
      <w:pPr>
        <w:pStyle w:val="BodyText"/>
      </w:pPr>
      <w:r>
        <w:t xml:space="preserve">The TAG comprises independent technical experts appointed by the World</w:t>
      </w:r>
      <w:r>
        <w:t xml:space="preserve"> </w:t>
      </w:r>
      <w:r>
        <w:t xml:space="preserve">Bank. Its functions include:</w:t>
      </w:r>
    </w:p>
    <w:p>
      <w:pPr>
        <w:pStyle w:val="BodyText"/>
      </w:pPr>
      <w:r>
        <w:t xml:space="preserve">• Reviewing Project Proposals</w:t>
      </w:r>
    </w:p>
    <w:p>
      <w:pPr>
        <w:pStyle w:val="BodyText"/>
      </w:pPr>
      <w:r>
        <w:t xml:space="preserve">• Conducting independent verification of milestone completion</w:t>
      </w:r>
    </w:p>
    <w:p>
      <w:pPr>
        <w:pStyle w:val="BodyText"/>
      </w:pPr>
      <w:r>
        <w:t xml:space="preserve">• Providing technical guidance to the RSC</w:t>
      </w:r>
    </w:p>
    <w:p>
      <w:pPr>
        <w:pStyle w:val="BodyText"/>
      </w:pPr>
      <w:r>
        <w:t xml:space="preserve">• Publishing technical assessments on the transparency dashboard</w:t>
      </w:r>
    </w:p>
    <w:p>
      <w:pPr>
        <w:pStyle w:val="BodyText"/>
      </w:pPr>
      <w:r>
        <w:t xml:space="preserve">5.3 Public Transparency Dashboard</w:t>
      </w:r>
    </w:p>
    <w:p>
      <w:pPr>
        <w:pStyle w:val="BodyText"/>
      </w:pPr>
      <w:r>
        <w:t xml:space="preserve">The MRF maintains a public transparency dashboard, accessible in</w:t>
      </w:r>
      <w:r>
        <w:t xml:space="preserve"> </w:t>
      </w:r>
      <w:r>
        <w:t xml:space="preserve">English, Farsi, Arabic, and other relevant languages. The dashboard</w:t>
      </w:r>
      <w:r>
        <w:t xml:space="preserve"> </w:t>
      </w:r>
      <w:r>
        <w:t xml:space="preserve">displays:</w:t>
      </w:r>
    </w:p>
    <w:p>
      <w:pPr>
        <w:pStyle w:val="BodyText"/>
      </w:pPr>
      <w:r>
        <w:t xml:space="preserve">• Sub-Fund balances and contributor lists (aggregate, not individual)</w:t>
      </w:r>
    </w:p>
    <w:p>
      <w:pPr>
        <w:pStyle w:val="BodyText"/>
      </w:pPr>
      <w:r>
        <w:t xml:space="preserve">• Approved projects and their status</w:t>
      </w:r>
    </w:p>
    <w:p>
      <w:pPr>
        <w:pStyle w:val="BodyText"/>
      </w:pPr>
      <w:r>
        <w:t xml:space="preserve">• Disbursement history</w:t>
      </w:r>
    </w:p>
    <w:p>
      <w:pPr>
        <w:pStyle w:val="BodyText"/>
      </w:pPr>
      <w:r>
        <w:t xml:space="preserve">• Independent audit findings</w:t>
      </w:r>
    </w:p>
    <w:p>
      <w:pPr>
        <w:pStyle w:val="BodyText"/>
      </w:pPr>
      <w:r>
        <w:t xml:space="preserve">• Project completion rates</w:t>
      </w:r>
    </w:p>
    <w:p>
      <w:pPr>
        <w:pStyle w:val="BodyText"/>
      </w:pPr>
      <w:r>
        <w:t xml:space="preserve">5.4 Annual Independent Audit</w:t>
      </w:r>
    </w:p>
    <w:p>
      <w:pPr>
        <w:pStyle w:val="BodyText"/>
      </w:pPr>
      <w:r>
        <w:t xml:space="preserve">An independent audit firm (e.g., Deloitte, PwC, KPMG), selected by</w:t>
      </w:r>
      <w:r>
        <w:t xml:space="preserve"> </w:t>
      </w:r>
      <w:r>
        <w:t xml:space="preserve">mutual agreement of RSC voting members, conducts an annual audit of all</w:t>
      </w:r>
      <w:r>
        <w:t xml:space="preserve"> </w:t>
      </w:r>
      <w:r>
        <w:t xml:space="preserve">MRF accounts. Audit results are published on the transparency dashboard.</w:t>
      </w:r>
    </w:p>
    <w:p>
      <w:pPr>
        <w:pStyle w:val="BodyText"/>
      </w:pPr>
      <w:r>
        <w:t xml:space="preserve">5.5 Iranian Sovereignty Over Project Selection</w:t>
      </w:r>
    </w:p>
    <w:p>
      <w:pPr>
        <w:pStyle w:val="BodyText"/>
      </w:pPr>
      <w:r>
        <w:t xml:space="preserve">Iran retains full sovereign authority over reconstruction priorities.</w:t>
      </w:r>
      <w:r>
        <w:t xml:space="preserve"> </w:t>
      </w:r>
      <w:r>
        <w:t xml:space="preserve">The RSC does not:</w:t>
      </w:r>
    </w:p>
    <w:p>
      <w:pPr>
        <w:pStyle w:val="BodyText"/>
      </w:pPr>
      <w:r>
        <w:t xml:space="preserve">• Impose projects on Iran</w:t>
      </w:r>
    </w:p>
    <w:p>
      <w:pPr>
        <w:pStyle w:val="BodyText"/>
      </w:pPr>
      <w:r>
        <w:t xml:space="preserve">• Dictate project location or design</w:t>
      </w:r>
    </w:p>
    <w:p>
      <w:pPr>
        <w:pStyle w:val="BodyText"/>
      </w:pPr>
      <w:r>
        <w:t xml:space="preserve">• Interfere with Iranian procurement decisions</w:t>
      </w:r>
    </w:p>
    <w:p>
      <w:pPr>
        <w:pStyle w:val="BodyText"/>
      </w:pPr>
      <w:r>
        <w:t xml:space="preserve">5.6 Political Risk Insurance Pool</w:t>
      </w:r>
    </w:p>
    <w:p>
      <w:pPr>
        <w:pStyle w:val="BodyText"/>
      </w:pPr>
      <w:r>
        <w:t xml:space="preserve">The MRF establishes a dedicated Political Risk Insurance (PRI) facility</w:t>
      </w:r>
      <w:r>
        <w:t xml:space="preserve"> </w:t>
      </w:r>
      <w:r>
        <w:t xml:space="preserve">administered jointly by the World Bank’s Multilateral Investment</w:t>
      </w:r>
      <w:r>
        <w:t xml:space="preserve"> </w:t>
      </w:r>
      <w:r>
        <w:t xml:space="preserve">Guarantee Agency (MIGA) and the Islamic Corporation for the Insurance of</w:t>
      </w:r>
      <w:r>
        <w:t xml:space="preserve"> </w:t>
      </w:r>
      <w:r>
        <w:t xml:space="preserve">Investment and Export Credit (ICIEC). The PRI Pool provides explicit</w:t>
      </w:r>
      <w:r>
        <w:t xml:space="preserve"> </w:t>
      </w:r>
      <w:r>
        <w:t xml:space="preserve">coverage for: war and civil disturbance, expropriation and political</w:t>
      </w:r>
      <w:r>
        <w:t xml:space="preserve"> </w:t>
      </w:r>
      <w:r>
        <w:t xml:space="preserve">violence, currency inconvertibility and transfer restriction, and</w:t>
      </w:r>
      <w:r>
        <w:t xml:space="preserve"> </w:t>
      </w:r>
      <w:r>
        <w:t xml:space="preserve">sanctions reimposition.</w:t>
      </w:r>
    </w:p>
    <w:p>
      <w:pPr>
        <w:pStyle w:val="BodyText"/>
      </w:pPr>
      <w:r>
        <w:t xml:space="preserve">All private capital participants in the MRF Supporting Tier</w:t>
      </w:r>
      <w:r>
        <w:t xml:space="preserve"> </w:t>
      </w:r>
      <w:r>
        <w:t xml:space="preserve">(infrastructure funds, pension funds, insurance companies) receive</w:t>
      </w:r>
      <w:r>
        <w:t xml:space="preserve"> </w:t>
      </w:r>
      <w:r>
        <w:t xml:space="preserve">mandatory PRI coverage as a condition of participation. Premiums are</w:t>
      </w:r>
      <w:r>
        <w:t xml:space="preserve"> </w:t>
      </w:r>
      <w:r>
        <w:t xml:space="preserve">subsidized by the Core Tier at a rate of 2% of insured value per annum.</w:t>
      </w:r>
      <w:r>
        <w:t xml:space="preserve"> </w:t>
      </w:r>
      <w:r>
        <w:t xml:space="preserve">The PRI Pool maintains a minimum capital reserve of $500 million.</w:t>
      </w:r>
      <w:r>
        <w:t xml:space="preserve"> </w:t>
      </w:r>
      <w:r>
        <w:t xml:space="preserve">Coverage limits per project are $1 billion for sovereign risk and $500</w:t>
      </w:r>
      <w:r>
        <w:t xml:space="preserve"> </w:t>
      </w:r>
      <w:r>
        <w:t xml:space="preserve">million for sub-sovereign and private risk.</w:t>
      </w:r>
    </w:p>
    <w:p>
      <w:pPr>
        <w:pStyle w:val="BodyText"/>
      </w:pPr>
      <w:r>
        <w:t xml:space="preserve">Claims activate through a dedicated arbitration panel (see Section 6.4).</w:t>
      </w:r>
      <w:r>
        <w:t xml:space="preserve"> </w:t>
      </w:r>
      <w:r>
        <w:t xml:space="preserve">The PRI Pool pays valid claims within 90 days of arbitration</w:t>
      </w:r>
      <w:r>
        <w:t xml:space="preserve"> </w:t>
      </w:r>
      <w:r>
        <w:t xml:space="preserve">determination. Without this de-risking mechanism, private pension funds</w:t>
      </w:r>
      <w:r>
        <w:t xml:space="preserve"> </w:t>
      </w:r>
      <w:r>
        <w:t xml:space="preserve">and infrastructure investors do not deploy Supporting Tier capital at</w:t>
      </w:r>
      <w:r>
        <w:t xml:space="preserve"> </w:t>
      </w:r>
      <w:r>
        <w:t xml:space="preserve">scale.</w:t>
      </w:r>
    </w:p>
    <w:p>
      <w:pPr>
        <w:pStyle w:val="BodyText"/>
      </w:pPr>
      <w:r>
        <w:t xml:space="preserve">5.7 Hard Currency Convertibility and Repatriation Guarantee</w:t>
      </w:r>
    </w:p>
    <w:p>
      <w:pPr>
        <w:pStyle w:val="BodyText"/>
      </w:pPr>
      <w:r>
        <w:t xml:space="preserve">The Qatar Central Bank guarantees that all project revenues, profit</w:t>
      </w:r>
      <w:r>
        <w:t xml:space="preserve"> </w:t>
      </w:r>
      <w:r>
        <w:t xml:space="preserve">distributions, and capital repatriation for private investors occur in</w:t>
      </w:r>
      <w:r>
        <w:t xml:space="preserve"> </w:t>
      </w:r>
      <w:r>
        <w:t xml:space="preserve">hard currency (USD, EUR, or CNY) at prevailing market exchange rates.</w:t>
      </w:r>
      <w:r>
        <w:t xml:space="preserve"> </w:t>
      </w:r>
      <w:r>
        <w:t xml:space="preserve">The guarantee operates through a dedicated Hard Currency Facility</w:t>
      </w:r>
      <w:r>
        <w:t xml:space="preserve"> </w:t>
      </w:r>
      <w:r>
        <w:t xml:space="preserve">maintained at the Qatar Central Bank with a minimum reserve of $2</w:t>
      </w:r>
      <w:r>
        <w:t xml:space="preserve"> </w:t>
      </w:r>
      <w:r>
        <w:t xml:space="preserve">billion.</w:t>
      </w:r>
    </w:p>
    <w:p>
      <w:pPr>
        <w:pStyle w:val="BodyText"/>
      </w:pPr>
      <w:r>
        <w:t xml:space="preserve">Private investors submit repatriation requests to the RSC secretariat.</w:t>
      </w:r>
      <w:r>
        <w:t xml:space="preserve"> </w:t>
      </w:r>
      <w:r>
        <w:t xml:space="preserve">The Qatar Central Bank processes approved requests within 30 days. This</w:t>
      </w:r>
      <w:r>
        <w:t xml:space="preserve"> </w:t>
      </w:r>
      <w:r>
        <w:t xml:space="preserve">guarantee bypasses the Iranian rial’s instability and removes the single</w:t>
      </w:r>
      <w:r>
        <w:t xml:space="preserve"> </w:t>
      </w:r>
      <w:r>
        <w:t xml:space="preserve">largest blocker to private equity participation. The Hard Currency</w:t>
      </w:r>
      <w:r>
        <w:t xml:space="preserve"> </w:t>
      </w:r>
      <w:r>
        <w:t xml:space="preserve">Facility is replenished from Core Tier disbursements and contributor</w:t>
      </w:r>
      <w:r>
        <w:t xml:space="preserve"> </w:t>
      </w:r>
      <w:r>
        <w:t xml:space="preserve">deposits.</w:t>
      </w:r>
    </w:p>
    <w:p>
      <w:pPr>
        <w:pStyle w:val="BodyText"/>
      </w:pPr>
      <w:r>
        <w:t xml:space="preserve">5.8 Contingency Reserve Fund</w:t>
      </w:r>
    </w:p>
    <w:p>
      <w:pPr>
        <w:pStyle w:val="BodyText"/>
      </w:pPr>
      <w:r>
        <w:t xml:space="preserve">Each Sub-Fund dedicates 5% of its allocation to a Contingency Reserve</w:t>
      </w:r>
      <w:r>
        <w:t xml:space="preserve"> </w:t>
      </w:r>
      <w:r>
        <w:t xml:space="preserve">for cost overruns, contractor bankruptcy, force majeure events, and</w:t>
      </w:r>
      <w:r>
        <w:t xml:space="preserve"> </w:t>
      </w:r>
      <w:r>
        <w:t xml:space="preserve">project remediation. The Contingency Reserve is not available for new</w:t>
      </w:r>
      <w:r>
        <w:t xml:space="preserve"> </w:t>
      </w:r>
      <w:r>
        <w:t xml:space="preserve">project approvals and activates only when: (1) a verified cost overrun</w:t>
      </w:r>
      <w:r>
        <w:t xml:space="preserve"> </w:t>
      </w:r>
      <w:r>
        <w:t xml:space="preserve">exceeds 15% of the approved project budget, (2) a contractor declares</w:t>
      </w:r>
      <w:r>
        <w:t xml:space="preserve"> </w:t>
      </w:r>
      <w:r>
        <w:t xml:space="preserve">insolvency or abandons a project, (3) a force majeure event interrupts</w:t>
      </w:r>
      <w:r>
        <w:t xml:space="preserve"> </w:t>
      </w:r>
      <w:r>
        <w:t xml:space="preserve">construction for more than 30 days, or (4) the TAG certifies that</w:t>
      </w:r>
      <w:r>
        <w:t xml:space="preserve"> </w:t>
      </w:r>
      <w:r>
        <w:t xml:space="preserve">remediation is necessary to protect MRF assets.</w:t>
      </w:r>
    </w:p>
    <w:p>
      <w:pPr>
        <w:pStyle w:val="BodyText"/>
      </w:pPr>
      <w:r>
        <w:t xml:space="preserve">Contingency Reserve disbursements require RSC approval by consensus. The</w:t>
      </w:r>
      <w:r>
        <w:t xml:space="preserve"> </w:t>
      </w:r>
      <w:r>
        <w:t xml:space="preserve">RSC reviews Contingency Reserve utilization quarterly and publishes a</w:t>
      </w:r>
      <w:r>
        <w:t xml:space="preserve"> </w:t>
      </w:r>
      <w:r>
        <w:t xml:space="preserve">Contingency Report. Post-conflict reconstruction typically runs 30-50%</w:t>
      </w:r>
      <w:r>
        <w:t xml:space="preserve"> </w:t>
      </w:r>
      <w:r>
        <w:t xml:space="preserve">over budget. Without this reserve, projects stall mid-construction and</w:t>
      </w:r>
      <w:r>
        <w:t xml:space="preserve"> </w:t>
      </w:r>
      <w:r>
        <w:t xml:space="preserve">donor confidence erodes.</w:t>
      </w:r>
    </w:p>
    <w:p>
      <w:pPr>
        <w:pStyle w:val="BodyText"/>
      </w:pPr>
      <w:r>
        <w:t xml:space="preserve">5.9 Contractor Performance Bond and Guarantee Mechanism</w:t>
      </w:r>
    </w:p>
    <w:p>
      <w:pPr>
        <w:pStyle w:val="BodyText"/>
      </w:pPr>
      <w:r>
        <w:t xml:space="preserve">All contractors executing MRF projects above $10 million post</w:t>
      </w:r>
      <w:r>
        <w:t xml:space="preserve"> </w:t>
      </w:r>
      <w:r>
        <w:t xml:space="preserve">performance bonds equal to 10% of contract value. The bonds are held by</w:t>
      </w:r>
      <w:r>
        <w:t xml:space="preserve"> </w:t>
      </w:r>
      <w:r>
        <w:t xml:space="preserve">the Qatar Central Bank and forfeit to the MRF if the contractor fails to</w:t>
      </w:r>
      <w:r>
        <w:t xml:space="preserve"> </w:t>
      </w:r>
      <w:r>
        <w:t xml:space="preserve">complete the project per the approved milestone schedule. The PRI Pool</w:t>
      </w:r>
      <w:r>
        <w:t xml:space="preserve"> </w:t>
      </w:r>
      <w:r>
        <w:t xml:space="preserve">provides bond-backed guarantee insurance for contractors unable to</w:t>
      </w:r>
      <w:r>
        <w:t xml:space="preserve"> </w:t>
      </w:r>
      <w:r>
        <w:t xml:space="preserve">secure commercial bonding.</w:t>
      </w:r>
    </w:p>
    <w:p>
      <w:pPr>
        <w:pStyle w:val="BodyText"/>
      </w:pPr>
      <w:r>
        <w:t xml:space="preserve">The RSC maintains a Contractor Performance Registry tracking completion</w:t>
      </w:r>
      <w:r>
        <w:t xml:space="preserve"> </w:t>
      </w:r>
      <w:r>
        <w:t xml:space="preserve">rates, quality scores, and bond claims for all MRF contractors.</w:t>
      </w:r>
      <w:r>
        <w:t xml:space="preserve"> </w:t>
      </w:r>
      <w:r>
        <w:t xml:space="preserve">Contractors with two or more forfeited bonds are barred from MRF</w:t>
      </w:r>
      <w:r>
        <w:t xml:space="preserve"> </w:t>
      </w:r>
      <w:r>
        <w:t xml:space="preserve">procurement for a minimum of three years. This mechanism protects MRF</w:t>
      </w:r>
      <w:r>
        <w:t xml:space="preserve"> </w:t>
      </w:r>
      <w:r>
        <w:t xml:space="preserve">funds from being wasted on failed contractors and gives donors</w:t>
      </w:r>
      <w:r>
        <w:t xml:space="preserve"> </w:t>
      </w:r>
      <w:r>
        <w:t xml:space="preserve">confidence in project execution.</w:t>
      </w:r>
    </w:p>
    <w:p>
      <w:pPr>
        <w:pStyle w:val="BodyText"/>
      </w:pPr>
      <w:r>
        <w:t xml:space="preserve">5.10 Iranian Civil Society Observer</w:t>
      </w:r>
    </w:p>
    <w:p>
      <w:pPr>
        <w:pStyle w:val="BodyText"/>
      </w:pPr>
      <w:r>
        <w:t xml:space="preserve">The RSC includes a non-voting Civil Society Observer seat occupied by a</w:t>
      </w:r>
      <w:r>
        <w:t xml:space="preserve"> </w:t>
      </w:r>
      <w:r>
        <w:t xml:space="preserve">representative nominated by a consortium of Iranian non-governmental</w:t>
      </w:r>
      <w:r>
        <w:t xml:space="preserve"> </w:t>
      </w:r>
      <w:r>
        <w:t xml:space="preserve">organizations, professional associations, and academic institutions. The</w:t>
      </w:r>
      <w:r>
        <w:t xml:space="preserve"> </w:t>
      </w:r>
      <w:r>
        <w:t xml:space="preserve">observer participates in all RSC meetings, receives all non-classified</w:t>
      </w:r>
      <w:r>
        <w:t xml:space="preserve"> </w:t>
      </w:r>
      <w:r>
        <w:t xml:space="preserve">documentation, and submits independent assessments to the RSC on project</w:t>
      </w:r>
      <w:r>
        <w:t xml:space="preserve"> </w:t>
      </w:r>
      <w:r>
        <w:t xml:space="preserve">implementation, environmental compliance, social impact, and community</w:t>
      </w:r>
      <w:r>
        <w:t xml:space="preserve"> </w:t>
      </w:r>
      <w:r>
        <w:t xml:space="preserve">satisfaction.</w:t>
      </w:r>
    </w:p>
    <w:p>
      <w:pPr>
        <w:pStyle w:val="BodyText"/>
      </w:pPr>
      <w:r>
        <w:t xml:space="preserve">The Civil Society Observer serves a two-year renewable term and operates</w:t>
      </w:r>
      <w:r>
        <w:t xml:space="preserve"> </w:t>
      </w:r>
      <w:r>
        <w:t xml:space="preserve">under the same confidentiality obligations as RSC voting members. This</w:t>
      </w:r>
      <w:r>
        <w:t xml:space="preserve"> </w:t>
      </w:r>
      <w:r>
        <w:t xml:space="preserve">seat enhances domestic legitimacy, provides independent feedback on</w:t>
      </w:r>
      <w:r>
        <w:t xml:space="preserve"> </w:t>
      </w:r>
      <w:r>
        <w:t xml:space="preserve">project implementation, and creates a domestic accountability channel</w:t>
      </w:r>
      <w:r>
        <w:t xml:space="preserve"> </w:t>
      </w:r>
      <w:r>
        <w:t xml:space="preserve">separate from the RSC’s international governance structure.</w:t>
      </w:r>
    </w:p>
    <w:p>
      <w:pPr>
        <w:pStyle w:val="BodyText"/>
      </w:pPr>
      <w:r>
        <w:t xml:space="preserve">5.11 Quarterly Independent Auditor Site Visits</w:t>
      </w:r>
    </w:p>
    <w:p>
      <w:pPr>
        <w:pStyle w:val="BodyText"/>
      </w:pPr>
      <w:r>
        <w:t xml:space="preserve">The independent audit firm (see Section 5.4) conducts physical site</w:t>
      </w:r>
      <w:r>
        <w:t xml:space="preserve"> </w:t>
      </w:r>
      <w:r>
        <w:t xml:space="preserve">visits quarterly, not solely an annual desk audit. Quarterly visits</w:t>
      </w:r>
      <w:r>
        <w:t xml:space="preserve"> </w:t>
      </w:r>
      <w:r>
        <w:t xml:space="preserve">cover: verification of physical construction progress against milestone</w:t>
      </w:r>
      <w:r>
        <w:t xml:space="preserve"> </w:t>
      </w:r>
      <w:r>
        <w:t xml:space="preserve">claims, assessment of financial documentation and procurement</w:t>
      </w:r>
      <w:r>
        <w:t xml:space="preserve"> </w:t>
      </w:r>
      <w:r>
        <w:t xml:space="preserve">compliance, review of environmental and social safeguard implementation,</w:t>
      </w:r>
      <w:r>
        <w:t xml:space="preserve"> </w:t>
      </w:r>
      <w:r>
        <w:t xml:space="preserve">and interviews with local project beneficiaries and community</w:t>
      </w:r>
      <w:r>
        <w:t xml:space="preserve"> </w:t>
      </w:r>
      <w:r>
        <w:t xml:space="preserve">representatives.</w:t>
      </w:r>
    </w:p>
    <w:p>
      <w:pPr>
        <w:pStyle w:val="BodyText"/>
      </w:pPr>
      <w:r>
        <w:t xml:space="preserve">The audit firm issues a Quarterly Site Visit Report for each project</w:t>
      </w:r>
      <w:r>
        <w:t xml:space="preserve"> </w:t>
      </w:r>
      <w:r>
        <w:t xml:space="preserve">under active construction. Reports are published on the transparency</w:t>
      </w:r>
      <w:r>
        <w:t xml:space="preserve"> </w:t>
      </w:r>
      <w:r>
        <w:t xml:space="preserve">dashboard within 30 days of visit completion. Annual audits synthesize</w:t>
      </w:r>
      <w:r>
        <w:t xml:space="preserve"> </w:t>
      </w:r>
      <w:r>
        <w:t xml:space="preserve">quarterly findings into a comprehensive assessment. This frequency</w:t>
      </w:r>
      <w:r>
        <w:t xml:space="preserve"> </w:t>
      </w:r>
      <w:r>
        <w:t xml:space="preserve">provides real-time accountability and early detection of fraud, delays,</w:t>
      </w:r>
      <w:r>
        <w:t xml:space="preserve"> </w:t>
      </w:r>
      <w:r>
        <w:t xml:space="preserve">or mismanagement.</w:t>
      </w:r>
    </w:p>
    <w:p>
      <w:pPr>
        <w:pStyle w:val="BodyText"/>
      </w:pPr>
      <w:r>
        <w:t xml:space="preserve">5.12 Whistleblower Protection and Anti-Fraud Hotline</w:t>
      </w:r>
    </w:p>
    <w:p>
      <w:pPr>
        <w:pStyle w:val="BodyText"/>
      </w:pPr>
      <w:r>
        <w:t xml:space="preserve">The RSC establishes an independent, confidential whistleblower mechanism</w:t>
      </w:r>
      <w:r>
        <w:t xml:space="preserve"> </w:t>
      </w:r>
      <w:r>
        <w:t xml:space="preserve">for reporting fraud, corruption, mismanagement, or non-compliance. The</w:t>
      </w:r>
      <w:r>
        <w:t xml:space="preserve"> </w:t>
      </w:r>
      <w:r>
        <w:t xml:space="preserve">mechanism includes: a 24-hour multilingual hotline operated by an</w:t>
      </w:r>
      <w:r>
        <w:t xml:space="preserve"> </w:t>
      </w:r>
      <w:r>
        <w:t xml:space="preserve">independent third party, a secure web-based reporting portal with</w:t>
      </w:r>
      <w:r>
        <w:t xml:space="preserve"> </w:t>
      </w:r>
      <w:r>
        <w:t xml:space="preserve">anonymous submission capability, protection against retaliation for all</w:t>
      </w:r>
      <w:r>
        <w:t xml:space="preserve"> </w:t>
      </w:r>
      <w:r>
        <w:t xml:space="preserve">good-faith reporters, and a dedicated Anti-Fraud Response Team within</w:t>
      </w:r>
      <w:r>
        <w:t xml:space="preserve"> </w:t>
      </w:r>
      <w:r>
        <w:t xml:space="preserve">the RSC secretariat.</w:t>
      </w:r>
    </w:p>
    <w:p>
      <w:pPr>
        <w:pStyle w:val="BodyText"/>
      </w:pPr>
      <w:r>
        <w:t xml:space="preserve">The Anti-Fraud Response Team investigates all credible reports within 30</w:t>
      </w:r>
      <w:r>
        <w:t xml:space="preserve"> </w:t>
      </w:r>
      <w:r>
        <w:t xml:space="preserve">days of submission. Substantiated cases trigger: immediate suspension of</w:t>
      </w:r>
      <w:r>
        <w:t xml:space="preserve"> </w:t>
      </w:r>
      <w:r>
        <w:t xml:space="preserve">the implicated contractor or official, referral to relevant national</w:t>
      </w:r>
      <w:r>
        <w:t xml:space="preserve"> </w:t>
      </w:r>
      <w:r>
        <w:t xml:space="preserve">authorities for prosecution, publication of a redacted findings report</w:t>
      </w:r>
      <w:r>
        <w:t xml:space="preserve"> </w:t>
      </w:r>
      <w:r>
        <w:t xml:space="preserve">on the transparency dashboard, and recovery of misappropriated funds</w:t>
      </w:r>
      <w:r>
        <w:t xml:space="preserve"> </w:t>
      </w:r>
      <w:r>
        <w:t xml:space="preserve">through the PRI Pool’s fraud coverage. This mechanism is a standard</w:t>
      </w:r>
      <w:r>
        <w:t xml:space="preserve"> </w:t>
      </w:r>
      <w:r>
        <w:t xml:space="preserve">World Bank safeguard that ensures donor confidence in MRF integrity.</w:t>
      </w:r>
    </w:p>
    <w:p>
      <w:pPr>
        <w:pStyle w:val="BodyText"/>
      </w:pPr>
      <w:r>
        <w:t xml:space="preserve">• Condition funding on political concessions</w:t>
      </w:r>
    </w:p>
    <w:bookmarkEnd w:id="158"/>
    <w:bookmarkStart w:id="159" w:name="article-6-relationship-to-other-annexes"/>
    <w:p>
      <w:pPr>
        <w:pStyle w:val="Heading3"/>
      </w:pPr>
      <w:r>
        <w:t xml:space="preserve">Article 6: Relationship to Other Annexes</w:t>
      </w:r>
    </w:p>
    <w:p>
      <w:pPr>
        <w:pStyle w:val="FirstParagraph"/>
      </w:pPr>
      <w:r>
        <w:t xml:space="preserve">This Annex operates in conjunction with:</w:t>
      </w:r>
    </w:p>
    <w:p>
      <w:pPr>
        <w:pStyle w:val="BodyText"/>
      </w:pPr>
      <w:r>
        <w:t xml:space="preserve">• Annex ES (Escrow and Trigger Sequence Protocol): The MRF uses the</w:t>
      </w:r>
      <w:r>
        <w:t xml:space="preserve"> </w:t>
      </w:r>
      <w:r>
        <w:t xml:space="preserve">same neutral escrow architecture, verification principles, and</w:t>
      </w:r>
      <w:r>
        <w:t xml:space="preserve"> </w:t>
      </w:r>
      <w:r>
        <w:t xml:space="preserve">no-clawback provisions.</w:t>
      </w:r>
    </w:p>
    <w:p>
      <w:pPr>
        <w:pStyle w:val="BodyText"/>
      </w:pPr>
      <w:r>
        <w:t xml:space="preserve">• Annex J (Lebanon Linkage): MRF funds are firewalled from</w:t>
      </w:r>
      <w:r>
        <w:t xml:space="preserve"> </w:t>
      </w:r>
      <w:r>
        <w:t xml:space="preserve">Lebanon-related disputes. A breach of the Lebanon ceasefire does not</w:t>
      </w:r>
      <w:r>
        <w:t xml:space="preserve"> </w:t>
      </w:r>
      <w:r>
        <w:t xml:space="preserve">affect MRF disbursements.</w:t>
      </w:r>
    </w:p>
    <w:p>
      <w:pPr>
        <w:pStyle w:val="BodyText"/>
      </w:pPr>
      <w:r>
        <w:t xml:space="preserve">• Annex T (Adaptive Stabilization Compliance Resilience Matrix): MRF</w:t>
      </w:r>
      <w:r>
        <w:t xml:space="preserve"> </w:t>
      </w:r>
      <w:r>
        <w:t xml:space="preserve">Step-Back and Earn-Back provisions align with Annex T’s graduated</w:t>
      </w:r>
      <w:r>
        <w:t xml:space="preserve"> </w:t>
      </w:r>
      <w:r>
        <w:t xml:space="preserve">response system.</w:t>
      </w:r>
    </w:p>
    <w:p>
      <w:pPr>
        <w:pStyle w:val="BodyText"/>
      </w:pPr>
      <w:r>
        <w:t xml:space="preserve">6.2 Fast-Track Arbitration for Project Disputes</w:t>
      </w:r>
    </w:p>
    <w:p>
      <w:pPr>
        <w:pStyle w:val="BodyText"/>
      </w:pPr>
      <w:r>
        <w:t xml:space="preserve">All disputes between Iran, contractors, the RSC, or contributors</w:t>
      </w:r>
      <w:r>
        <w:t xml:space="preserve"> </w:t>
      </w:r>
      <w:r>
        <w:t xml:space="preserve">relating to MRF-funded projects are subject to binding arbitration under</w:t>
      </w:r>
      <w:r>
        <w:t xml:space="preserve"> </w:t>
      </w:r>
      <w:r>
        <w:t xml:space="preserve">the ICC Arbitration Rules. The Fast-Track Arbitration mechanism operates</w:t>
      </w:r>
      <w:r>
        <w:t xml:space="preserve"> </w:t>
      </w:r>
      <w:r>
        <w:t xml:space="preserve">as follows:</w:t>
      </w:r>
    </w:p>
    <w:p>
      <w:pPr>
        <w:pStyle w:val="BodyText"/>
      </w:pPr>
      <w:r>
        <w:t xml:space="preserve">• Either party submits a Notice of Arbitration to the RSC secretariat</w:t>
      </w:r>
      <w:r>
        <w:t xml:space="preserve"> </w:t>
      </w:r>
      <w:r>
        <w:t xml:space="preserve">and the ICC International Court of Arbitration.</w:t>
      </w:r>
    </w:p>
    <w:p>
      <w:pPr>
        <w:pStyle w:val="BodyText"/>
      </w:pPr>
      <w:r>
        <w:t xml:space="preserve">• A sole arbitrator (for disputes under $50 million) or a three-member</w:t>
      </w:r>
      <w:r>
        <w:t xml:space="preserve"> </w:t>
      </w:r>
      <w:r>
        <w:t xml:space="preserve">tribunal (for disputes exceeding $50 million) is appointed within 14</w:t>
      </w:r>
      <w:r>
        <w:t xml:space="preserve"> </w:t>
      </w:r>
      <w:r>
        <w:t xml:space="preserve">days.</w:t>
      </w:r>
    </w:p>
    <w:p>
      <w:pPr>
        <w:pStyle w:val="BodyText"/>
      </w:pPr>
      <w:r>
        <w:t xml:space="preserve">• The arbitration proceeds under expedited procedures with a maximum</w:t>
      </w:r>
      <w:r>
        <w:t xml:space="preserve"> </w:t>
      </w:r>
      <w:r>
        <w:t xml:space="preserve">timeline of 60 days from appointment to award.</w:t>
      </w:r>
    </w:p>
    <w:p>
      <w:pPr>
        <w:pStyle w:val="BodyText"/>
      </w:pPr>
      <w:r>
        <w:t xml:space="preserve">• The seat of arbitration is Geneva, Switzerland. The language of</w:t>
      </w:r>
      <w:r>
        <w:t xml:space="preserve"> </w:t>
      </w:r>
      <w:r>
        <w:t xml:space="preserve">arbitration is English.</w:t>
      </w:r>
    </w:p>
    <w:p>
      <w:pPr>
        <w:pStyle w:val="BodyText"/>
      </w:pPr>
      <w:r>
        <w:t xml:space="preserve">• Awards are final and binding on all parties. Enforcement proceeds</w:t>
      </w:r>
      <w:r>
        <w:t xml:space="preserve"> </w:t>
      </w:r>
      <w:r>
        <w:t xml:space="preserve">under the New York Convention on the Recognition and Enforcement of</w:t>
      </w:r>
      <w:r>
        <w:t xml:space="preserve"> </w:t>
      </w:r>
      <w:r>
        <w:t xml:space="preserve">Foreign Arbitral Awards.</w:t>
      </w:r>
    </w:p>
    <w:p>
      <w:pPr>
        <w:pStyle w:val="BodyText"/>
      </w:pPr>
      <w:r>
        <w:t xml:space="preserve">• Pending arbitration, project work continues unless the arbitrator</w:t>
      </w:r>
      <w:r>
        <w:t xml:space="preserve"> </w:t>
      </w:r>
      <w:r>
        <w:t xml:space="preserve">grants an interim injunction stopping work.</w:t>
      </w:r>
    </w:p>
    <w:p>
      <w:pPr>
        <w:pStyle w:val="BodyText"/>
      </w:pPr>
      <w:r>
        <w:t xml:space="preserve">This Fast-Track mechanism supersedes the Guarantor Matrix mediation for</w:t>
      </w:r>
      <w:r>
        <w:t xml:space="preserve"> </w:t>
      </w:r>
      <w:r>
        <w:t xml:space="preserve">all MRF-related contractual disputes. The Guarantor Matrix remains</w:t>
      </w:r>
      <w:r>
        <w:t xml:space="preserve"> </w:t>
      </w:r>
      <w:r>
        <w:t xml:space="preserve">available for political disputes between state parties that fall outside</w:t>
      </w:r>
      <w:r>
        <w:t xml:space="preserve"> </w:t>
      </w:r>
      <w:r>
        <w:t xml:space="preserve">the scope of project-level arbitration.</w:t>
      </w:r>
    </w:p>
    <w:p>
      <w:pPr>
        <w:pStyle w:val="BodyText"/>
      </w:pPr>
      <w:r>
        <w:t xml:space="preserve">6.3 UN Peacebuilding and Mine Action Coordination</w:t>
      </w:r>
    </w:p>
    <w:p>
      <w:pPr>
        <w:pStyle w:val="BodyText"/>
      </w:pPr>
      <w:r>
        <w:t xml:space="preserve">The MRF coordinates with the UN Mine Action Service (UNMAS) and the UN</w:t>
      </w:r>
      <w:r>
        <w:t xml:space="preserve"> </w:t>
      </w:r>
      <w:r>
        <w:t xml:space="preserve">Peacebuilding Fund for pre-reconstruction demining and stabilization</w:t>
      </w:r>
      <w:r>
        <w:t xml:space="preserve"> </w:t>
      </w:r>
      <w:r>
        <w:t xml:space="preserve">activities. Modern conflicts leave massive unexploded ordnance (UXO)</w:t>
      </w:r>
      <w:r>
        <w:t xml:space="preserve"> </w:t>
      </w:r>
      <w:r>
        <w:t xml:space="preserve">contamination that renders reconstruction impossible until cleared. The</w:t>
      </w:r>
      <w:r>
        <w:t xml:space="preserve"> </w:t>
      </w:r>
      <w:r>
        <w:t xml:space="preserve">MRF-UNMAS partnership operates as follows:</w:t>
      </w:r>
    </w:p>
    <w:p>
      <w:pPr>
        <w:pStyle w:val="BodyText"/>
      </w:pPr>
      <w:r>
        <w:t xml:space="preserve">• UNMAS conducts UXO surveys and clearance operations in all MRF project</w:t>
      </w:r>
      <w:r>
        <w:t xml:space="preserve"> </w:t>
      </w:r>
      <w:r>
        <w:t xml:space="preserve">areas before construction commences.</w:t>
      </w:r>
    </w:p>
    <w:p>
      <w:pPr>
        <w:pStyle w:val="BodyText"/>
      </w:pPr>
      <w:r>
        <w:t xml:space="preserve">• The UN Peacebuilding Fund provides grants for community stabilization,</w:t>
      </w:r>
      <w:r>
        <w:t xml:space="preserve"> </w:t>
      </w:r>
      <w:r>
        <w:t xml:space="preserve">reconciliation programming, and local governance restoration in MRF</w:t>
      </w:r>
      <w:r>
        <w:t xml:space="preserve"> </w:t>
      </w:r>
      <w:r>
        <w:t xml:space="preserve">project zones.</w:t>
      </w:r>
    </w:p>
    <w:p>
      <w:pPr>
        <w:pStyle w:val="BodyText"/>
      </w:pPr>
      <w:r>
        <w:t xml:space="preserve">• MRF Sub-Funds (particularly MRF-Health and MRF-Housing) allocate</w:t>
      </w:r>
      <w:r>
        <w:t xml:space="preserve"> </w:t>
      </w:r>
      <w:r>
        <w:t xml:space="preserve">priority funding to areas certified as UXO-cleared by UNMAS.</w:t>
      </w:r>
    </w:p>
    <w:p>
      <w:pPr>
        <w:pStyle w:val="BodyText"/>
      </w:pPr>
      <w:r>
        <w:t xml:space="preserve">• The RSC coordinates programming with the UN Resident Coordinator in</w:t>
      </w:r>
      <w:r>
        <w:t xml:space="preserve"> </w:t>
      </w:r>
      <w:r>
        <w:t xml:space="preserve">Tehran to ensure MRF reconstruction aligns with UN stabilization</w:t>
      </w:r>
      <w:r>
        <w:t xml:space="preserve"> </w:t>
      </w:r>
      <w:r>
        <w:t xml:space="preserve">priorities.</w:t>
      </w:r>
    </w:p>
    <w:p>
      <w:pPr>
        <w:pStyle w:val="BodyText"/>
      </w:pPr>
      <w:r>
        <w:t xml:space="preserve">The RSC estimates UN Peacebuilding and Mine Action funding at</w:t>
      </w:r>
      <w:r>
        <w:t xml:space="preserve"> </w:t>
      </w:r>
      <w:r>
        <w:t xml:space="preserve">approximately $1 billion over the reconstruction period. This funding is</w:t>
      </w:r>
      <w:r>
        <w:t xml:space="preserve"> </w:t>
      </w:r>
      <w:r>
        <w:t xml:space="preserve">distinct from MRF capital and flows through established UN grant</w:t>
      </w:r>
      <w:r>
        <w:t xml:space="preserve"> </w:t>
      </w:r>
      <w:r>
        <w:t xml:space="preserve">mechanisms.</w:t>
      </w:r>
    </w:p>
    <w:p>
      <w:pPr>
        <w:pStyle w:val="BodyText"/>
      </w:pPr>
      <w:r>
        <w:t xml:space="preserve">6.4 Carbon Credit Pre-Financing Facility</w:t>
      </w:r>
    </w:p>
    <w:p>
      <w:pPr>
        <w:pStyle w:val="BodyText"/>
      </w:pPr>
      <w:r>
        <w:t xml:space="preserve">The MRF establishes a Carbon Credit Pre-Financing Facility (CCPF) under</w:t>
      </w:r>
    </w:p>
    <w:bookmarkEnd w:id="159"/>
    <w:bookmarkStart w:id="160" w:name="Xce2ca3a224ca6a82f11e15962b1ee9f642225cb"/>
    <w:p>
      <w:pPr>
        <w:pStyle w:val="Heading3"/>
      </w:pPr>
      <w:r>
        <w:t xml:space="preserve">Article 6 of the Paris Agreement. Iran possesses immense potential for</w:t>
      </w:r>
    </w:p>
    <w:p>
      <w:pPr>
        <w:pStyle w:val="FirstParagraph"/>
      </w:pPr>
      <w:r>
        <w:t xml:space="preserve">solar, wind, and hydroelectric energy generation. Under the CCPF, Iran</w:t>
      </w:r>
      <w:r>
        <w:t xml:space="preserve"> </w:t>
      </w:r>
      <w:r>
        <w:t xml:space="preserve">sells internationally transferable mitigation outcomes (ITMOs) to GCC</w:t>
      </w:r>
      <w:r>
        <w:t xml:space="preserve"> </w:t>
      </w:r>
      <w:r>
        <w:t xml:space="preserve">states, European buyers, and other nations seeking to meet their</w:t>
      </w:r>
      <w:r>
        <w:t xml:space="preserve"> </w:t>
      </w:r>
      <w:r>
        <w:t xml:space="preserve">Nationally Determined Contributions (NDCs).</w:t>
      </w:r>
    </w:p>
    <w:p>
      <w:pPr>
        <w:pStyle w:val="BodyText"/>
      </w:pPr>
      <w:r>
        <w:t xml:space="preserve">The CCPF operates as follows: (1) The RSC registers MRF renewable energy</w:t>
      </w:r>
      <w:r>
        <w:t xml:space="preserve"> </w:t>
      </w:r>
      <w:r>
        <w:t xml:space="preserve">projects with the UN Framework Convention on Climate Change (UNFCCC)</w:t>
      </w:r>
      <w:r>
        <w:t xml:space="preserve"> </w:t>
      </w:r>
      <w:r>
        <w:t xml:space="preserve">Secretariat, (2) An independent verification body (e.g., Verra, Gold</w:t>
      </w:r>
      <w:r>
        <w:t xml:space="preserve"> </w:t>
      </w:r>
      <w:r>
        <w:t xml:space="preserve">Standard) certifies the carbon mitigation output of each project, (3)</w:t>
      </w:r>
      <w:r>
        <w:t xml:space="preserve"> </w:t>
      </w:r>
      <w:r>
        <w:t xml:space="preserve">The RSC sells forward carbon credits to pre-approved buyers at a</w:t>
      </w:r>
      <w:r>
        <w:t xml:space="preserve"> </w:t>
      </w:r>
      <w:r>
        <w:t xml:space="preserve">contracted price, (4) Proceeds from carbon credit sales flow directly</w:t>
      </w:r>
      <w:r>
        <w:t xml:space="preserve"> </w:t>
      </w:r>
      <w:r>
        <w:t xml:space="preserve">into the MRF-Energy Sub-Fund, (5) Buyers receive verified carbon credits</w:t>
      </w:r>
      <w:r>
        <w:t xml:space="preserve"> </w:t>
      </w:r>
      <w:r>
        <w:t xml:space="preserve">upon project commissioning.</w:t>
      </w:r>
    </w:p>
    <w:p>
      <w:pPr>
        <w:pStyle w:val="BodyText"/>
      </w:pPr>
      <w:r>
        <w:t xml:space="preserve">The CCPF targets $2-5 billion in pre-financing over the 10-year</w:t>
      </w:r>
      <w:r>
        <w:t xml:space="preserve"> </w:t>
      </w:r>
      <w:r>
        <w:t xml:space="preserve">reconstruction period. GCC states with high per-capita emissions and</w:t>
      </w:r>
      <w:r>
        <w:t xml:space="preserve"> </w:t>
      </w:r>
      <w:r>
        <w:t xml:space="preserve">ambitious net-zero targets are the primary buyers. The CCPF is</w:t>
      </w:r>
      <w:r>
        <w:t xml:space="preserve"> </w:t>
      </w:r>
      <w:r>
        <w:t xml:space="preserve">administered by a dedicated Carbon Finance Desk within the RSC</w:t>
      </w:r>
      <w:r>
        <w:t xml:space="preserve"> </w:t>
      </w:r>
      <w:r>
        <w:t xml:space="preserve">secretariat.</w:t>
      </w:r>
    </w:p>
    <w:bookmarkEnd w:id="160"/>
    <w:bookmarkStart w:id="161" w:name="article-7-duration-and-supersession"/>
    <w:p>
      <w:pPr>
        <w:pStyle w:val="Heading3"/>
      </w:pPr>
      <w:r>
        <w:t xml:space="preserve">Article 7: Duration and Supersession</w:t>
      </w:r>
    </w:p>
    <w:p>
      <w:pPr>
        <w:pStyle w:val="FirstParagraph"/>
      </w:pPr>
      <w:r>
        <w:t xml:space="preserve">7.1 Initial 60-Day Period</w:t>
      </w:r>
    </w:p>
    <w:p>
      <w:pPr>
        <w:pStyle w:val="BodyText"/>
      </w:pPr>
      <w:r>
        <w:t xml:space="preserve">The MRF operates initially as a 60-day stabilization mechanism, during</w:t>
      </w:r>
      <w:r>
        <w:t xml:space="preserve"> </w:t>
      </w:r>
      <w:r>
        <w:t xml:space="preserve">which:</w:t>
      </w:r>
    </w:p>
    <w:p>
      <w:pPr>
        <w:pStyle w:val="BodyText"/>
      </w:pPr>
      <w:r>
        <w:t xml:space="preserve">• Sub-Funds are established and capitalized</w:t>
      </w:r>
    </w:p>
    <w:p>
      <w:pPr>
        <w:pStyle w:val="BodyText"/>
      </w:pPr>
      <w:r>
        <w:t xml:space="preserve">• Iran submits initial Project Proposals</w:t>
      </w:r>
    </w:p>
    <w:p>
      <w:pPr>
        <w:pStyle w:val="BodyText"/>
      </w:pPr>
      <w:r>
        <w:t xml:space="preserve">• The RSC conducts its first meetings</w:t>
      </w:r>
    </w:p>
    <w:p>
      <w:pPr>
        <w:pStyle w:val="BodyText"/>
      </w:pPr>
      <w:r>
        <w:t xml:space="preserve">• Technical teams deploy to assess priority projects</w:t>
      </w:r>
    </w:p>
    <w:p>
      <w:pPr>
        <w:pStyle w:val="BodyText"/>
      </w:pPr>
      <w:r>
        <w:t xml:space="preserve">7.1.1 Automatic Review at Day 60</w:t>
      </w:r>
    </w:p>
    <w:p>
      <w:pPr>
        <w:pStyle w:val="BodyText"/>
      </w:pPr>
      <w:r>
        <w:t xml:space="preserve">On the sixtieth day following entry into force of this Annex, the RSC</w:t>
      </w:r>
      <w:r>
        <w:t xml:space="preserve"> </w:t>
      </w:r>
      <w:r>
        <w:t xml:space="preserve">convenes automatically for a formal Progress Assessment Session. This</w:t>
      </w:r>
      <w:r>
        <w:t xml:space="preserve"> </w:t>
      </w:r>
      <w:r>
        <w:t xml:space="preserve">session is mandatory; failure to convene constitutes a procedural Tier-1</w:t>
      </w:r>
      <w:r>
        <w:t xml:space="preserve"> </w:t>
      </w:r>
      <w:r>
        <w:t xml:space="preserve">matter under Annex T. The RSC:</w:t>
      </w:r>
    </w:p>
    <w:p>
      <w:pPr>
        <w:pStyle w:val="BodyText"/>
      </w:pPr>
      <w:r>
        <w:t xml:space="preserve">• Reviews Sub-Fund capitalization status and deposit confirmations</w:t>
      </w:r>
    </w:p>
    <w:p>
      <w:pPr>
        <w:pStyle w:val="BodyText"/>
      </w:pPr>
      <w:r>
        <w:t xml:space="preserve">• Evaluates the status of all submitted Project Proposals</w:t>
      </w:r>
    </w:p>
    <w:p>
      <w:pPr>
        <w:pStyle w:val="BodyText"/>
      </w:pPr>
      <w:r>
        <w:t xml:space="preserve">• Assesses milestone completion rates against the Article 4</w:t>
      </w:r>
      <w:r>
        <w:t xml:space="preserve"> </w:t>
      </w:r>
      <w:r>
        <w:t xml:space="preserve">disbursement schedule</w:t>
      </w:r>
    </w:p>
    <w:p>
      <w:pPr>
        <w:pStyle w:val="BodyText"/>
      </w:pPr>
      <w:r>
        <w:t xml:space="preserve">• Issues a written Progress Assessment Report with one of the</w:t>
      </w:r>
      <w:r>
        <w:t xml:space="preserve"> </w:t>
      </w:r>
      <w:r>
        <w:t xml:space="preserve">following recommendations: (a) extension to Phase II by consensus; (b)</w:t>
      </w:r>
      <w:r>
        <w:t xml:space="preserve"> </w:t>
      </w:r>
      <w:r>
        <w:t xml:space="preserve">activation of Deficit Recovery Protocol under Annex T; or (c)</w:t>
      </w:r>
      <w:r>
        <w:t xml:space="preserve"> </w:t>
      </w:r>
      <w:r>
        <w:t xml:space="preserve">technical consultation to address specific impediments</w:t>
      </w:r>
    </w:p>
    <w:p>
      <w:pPr>
        <w:pStyle w:val="BodyText"/>
      </w:pPr>
      <w:r>
        <w:t xml:space="preserve">The RSC transmits the Progress Assessment Report to all Parties within</w:t>
      </w:r>
      <w:r>
        <w:t xml:space="preserve"> </w:t>
      </w:r>
      <w:r>
        <w:t xml:space="preserve">72 hours of the Day 60 session. Either Party requests an emergency RSC</w:t>
      </w:r>
      <w:r>
        <w:t xml:space="preserve"> </w:t>
      </w:r>
      <w:r>
        <w:t xml:space="preserve">consultation within 14 days of report issuance if it disagrees with the</w:t>
      </w:r>
      <w:r>
        <w:t xml:space="preserve"> </w:t>
      </w:r>
      <w:r>
        <w:t xml:space="preserve">recommendation. Absent such request, the recommendation takes effect</w:t>
      </w:r>
      <w:r>
        <w:t xml:space="preserve"> </w:t>
      </w:r>
      <w:r>
        <w:t xml:space="preserve">automatically.</w:t>
      </w:r>
    </w:p>
    <w:p>
      <w:pPr>
        <w:pStyle w:val="BodyText"/>
      </w:pPr>
      <w:r>
        <w:t xml:space="preserve">7.1.2 Drift Prevention</w:t>
      </w:r>
    </w:p>
    <w:p>
      <w:pPr>
        <w:pStyle w:val="BodyText"/>
      </w:pPr>
      <w:r>
        <w:t xml:space="preserve">The framework architecture excludes procedural drift. If the Day 60</w:t>
      </w:r>
      <w:r>
        <w:t xml:space="preserve"> </w:t>
      </w:r>
      <w:r>
        <w:t xml:space="preserve">review identifies a material impediment to Sub-Fund capitalization or</w:t>
      </w:r>
      <w:r>
        <w:t xml:space="preserve"> </w:t>
      </w:r>
      <w:r>
        <w:t xml:space="preserve">project deployment, the RSC activates the following sequence:</w:t>
      </w:r>
    </w:p>
    <w:p>
      <w:pPr>
        <w:pStyle w:val="BodyText"/>
      </w:pPr>
      <w:r>
        <w:t xml:space="preserve">• The impediment is classified by severity under the Annex T tier</w:t>
      </w:r>
      <w:r>
        <w:t xml:space="preserve"> </w:t>
      </w:r>
      <w:r>
        <w:t xml:space="preserve">system</w:t>
      </w:r>
    </w:p>
    <w:p>
      <w:pPr>
        <w:pStyle w:val="BodyText"/>
      </w:pPr>
      <w:r>
        <w:t xml:space="preserve">• The RSC assigns a remediation timeline not exceeding 30 days</w:t>
      </w:r>
    </w:p>
    <w:p>
      <w:pPr>
        <w:pStyle w:val="BodyText"/>
      </w:pPr>
      <w:r>
        <w:t xml:space="preserve">• If remediation fails, the affected Sub-Fund enters a hold status;</w:t>
      </w:r>
      <w:r>
        <w:t xml:space="preserve"> </w:t>
      </w:r>
      <w:r>
        <w:t xml:space="preserve">all other Sub-Funds continue operating without interruption</w:t>
      </w:r>
    </w:p>
    <w:p>
      <w:pPr>
        <w:pStyle w:val="BodyText"/>
      </w:pPr>
      <w:r>
        <w:t xml:space="preserve">• The RSC convenes a second review within 15 days of the remediation</w:t>
      </w:r>
      <w:r>
        <w:t xml:space="preserve"> </w:t>
      </w:r>
      <w:r>
        <w:t xml:space="preserve">deadline</w:t>
      </w:r>
    </w:p>
    <w:p>
      <w:pPr>
        <w:pStyle w:val="BodyText"/>
      </w:pPr>
      <w:r>
        <w:t xml:space="preserve">7.2 Transition to Phase II</w:t>
      </w:r>
    </w:p>
    <w:p>
      <w:pPr>
        <w:pStyle w:val="BodyText"/>
      </w:pPr>
      <w:r>
        <w:t xml:space="preserve">Upon expiration of the 60-day period, the Parties transition to Phase II</w:t>
      </w:r>
      <w:r>
        <w:t xml:space="preserve"> </w:t>
      </w:r>
      <w:r>
        <w:t xml:space="preserve">(full execution) by mutual consent. Phase II operates on the 180-day</w:t>
      </w:r>
      <w:r>
        <w:t xml:space="preserve"> </w:t>
      </w:r>
      <w:r>
        <w:t xml:space="preserve">verification schedule outlined in Article 4.</w:t>
      </w:r>
    </w:p>
    <w:p>
      <w:pPr>
        <w:pStyle w:val="BodyText"/>
      </w:pPr>
      <w:r>
        <w:t xml:space="preserve">7.3 Supersession</w:t>
      </w:r>
    </w:p>
    <w:p>
      <w:pPr>
        <w:pStyle w:val="BodyText"/>
      </w:pPr>
      <w:r>
        <w:t xml:space="preserve">The MRF is automatically superseded upon entry into force of any</w:t>
      </w:r>
      <w:r>
        <w:t xml:space="preserve"> </w:t>
      </w:r>
      <w:r>
        <w:t xml:space="preserve">subsequent comprehensive agreement that addresses reconstruction</w:t>
      </w:r>
      <w:r>
        <w:t xml:space="preserve"> </w:t>
      </w:r>
      <w:r>
        <w:t xml:space="preserve">financing with equivalent or greater protections for Iran.</w:t>
      </w:r>
    </w:p>
    <w:bookmarkEnd w:id="161"/>
    <w:bookmarkStart w:id="162" w:name="X855e970a2f8f71b57498c0692fa48d5b510dcda"/>
    <w:p>
      <w:pPr>
        <w:pStyle w:val="Heading3"/>
      </w:pPr>
      <w:r>
        <w:t xml:space="preserve">Article 8: Sovereign Procurement and Non-Directed Purchasing</w:t>
      </w:r>
    </w:p>
    <w:p>
      <w:pPr>
        <w:pStyle w:val="FirstParagraph"/>
      </w:pPr>
      <w:r>
        <w:t xml:space="preserve">8.1 No Obligation to Purchase from Any Particular Country</w:t>
      </w:r>
    </w:p>
    <w:p>
      <w:pPr>
        <w:pStyle w:val="BodyText"/>
      </w:pPr>
      <w:r>
        <w:t xml:space="preserve">The Islamic Republic of Iran is under no obligation, express or implied,</w:t>
      </w:r>
      <w:r>
        <w:t xml:space="preserve"> </w:t>
      </w:r>
      <w:r>
        <w:t xml:space="preserve">to purchase agricultural products, food commodities, medical supplies,</w:t>
      </w:r>
      <w:r>
        <w:t xml:space="preserve"> </w:t>
      </w:r>
      <w:r>
        <w:t xml:space="preserve">industrial equipment, or any other goods or services from the United</w:t>
      </w:r>
      <w:r>
        <w:t xml:space="preserve"> </w:t>
      </w:r>
      <w:r>
        <w:t xml:space="preserve">States, its farmers, its corporations, its nationals, or from any other</w:t>
      </w:r>
      <w:r>
        <w:t xml:space="preserve"> </w:t>
      </w:r>
      <w:r>
        <w:t xml:space="preserve">country, entity, or commercial channel. This Annex establishes no</w:t>
      </w:r>
      <w:r>
        <w:t xml:space="preserve"> </w:t>
      </w:r>
      <w:r>
        <w:t xml:space="preserve">condition, restriction, or preference requiring MRF funds to be spent in</w:t>
      </w:r>
      <w:r>
        <w:t xml:space="preserve"> </w:t>
      </w:r>
      <w:r>
        <w:t xml:space="preserve">any particular country, currency, or commercial channel.</w:t>
      </w:r>
    </w:p>
    <w:p>
      <w:pPr>
        <w:pStyle w:val="BodyText"/>
      </w:pPr>
      <w:r>
        <w:t xml:space="preserve">For the avoidance of doubt:</w:t>
      </w:r>
    </w:p>
    <w:p>
      <w:pPr>
        <w:pStyle w:val="BodyText"/>
      </w:pPr>
      <w:r>
        <w:t xml:space="preserve">• Iran retains the full sovereign right to procure goods and services</w:t>
      </w:r>
      <w:r>
        <w:t xml:space="preserve"> </w:t>
      </w:r>
      <w:r>
        <w:t xml:space="preserve">from any country of its choosing, including but not limited to China,</w:t>
      </w:r>
      <w:r>
        <w:t xml:space="preserve"> </w:t>
      </w:r>
      <w:r>
        <w:t xml:space="preserve">Russia, the European Union, Turkey, India, Brazil, Argentina, or any</w:t>
      </w:r>
      <w:r>
        <w:t xml:space="preserve"> </w:t>
      </w:r>
      <w:r>
        <w:t xml:space="preserve">other nation with which Iran maintains commercial relations</w:t>
      </w:r>
    </w:p>
    <w:p>
      <w:pPr>
        <w:pStyle w:val="BodyText"/>
      </w:pPr>
      <w:r>
        <w:t xml:space="preserve">• Iran retains the full sovereign right to use MRF funds for any</w:t>
      </w:r>
      <w:r>
        <w:t xml:space="preserve"> </w:t>
      </w:r>
      <w:r>
        <w:t xml:space="preserve">purpose consistent with its national interests and applicable</w:t>
      </w:r>
      <w:r>
        <w:t xml:space="preserve"> </w:t>
      </w:r>
      <w:r>
        <w:t xml:space="preserve">international law</w:t>
      </w:r>
    </w:p>
    <w:p>
      <w:pPr>
        <w:pStyle w:val="BodyText"/>
      </w:pPr>
      <w:r>
        <w:t xml:space="preserve">• The United States holds no approval authority over Iranian</w:t>
      </w:r>
      <w:r>
        <w:t xml:space="preserve"> </w:t>
      </w:r>
      <w:r>
        <w:t xml:space="preserve">procurement decisions</w:t>
      </w:r>
    </w:p>
    <w:p>
      <w:pPr>
        <w:pStyle w:val="BodyText"/>
      </w:pPr>
      <w:r>
        <w:t xml:space="preserve">• The RSC holds no approval authority over Iranian procurement</w:t>
      </w:r>
      <w:r>
        <w:t xml:space="preserve"> </w:t>
      </w:r>
      <w:r>
        <w:t xml:space="preserve">decisions</w:t>
      </w:r>
    </w:p>
    <w:p>
      <w:pPr>
        <w:pStyle w:val="BodyText"/>
      </w:pPr>
      <w:r>
        <w:t xml:space="preserve">• The Escrow Agent holds no approval authority over Iranian</w:t>
      </w:r>
      <w:r>
        <w:t xml:space="preserve"> </w:t>
      </w:r>
      <w:r>
        <w:t xml:space="preserve">procurement decisions</w:t>
      </w:r>
    </w:p>
    <w:p>
      <w:pPr>
        <w:pStyle w:val="BodyText"/>
      </w:pPr>
      <w:r>
        <w:t xml:space="preserve">8.2 Central Bank Statement Affirmation</w:t>
      </w:r>
    </w:p>
    <w:p>
      <w:pPr>
        <w:pStyle w:val="BodyText"/>
      </w:pPr>
      <w:r>
        <w:t xml:space="preserve">The Parties affirm and acknowledge the public statement of the Governor</w:t>
      </w:r>
      <w:r>
        <w:t xml:space="preserve"> </w:t>
      </w:r>
      <w:r>
        <w:t xml:space="preserve">of the Central Bank of Iran that the memorandums signed between the</w:t>
      </w:r>
      <w:r>
        <w:t xml:space="preserve"> </w:t>
      </w:r>
      <w:r>
        <w:t xml:space="preserve">Parties create no obligation to purchase agricultural inputs or any</w:t>
      </w:r>
      <w:r>
        <w:t xml:space="preserve"> </w:t>
      </w:r>
      <w:r>
        <w:t xml:space="preserve">other goods from the United States. This Annex incorporates that</w:t>
      </w:r>
      <w:r>
        <w:t xml:space="preserve"> </w:t>
      </w:r>
      <w:r>
        <w:t xml:space="preserve">clarification as a binding interpretive understanding.</w:t>
      </w:r>
    </w:p>
    <w:p>
      <w:pPr>
        <w:pStyle w:val="BodyText"/>
      </w:pPr>
      <w:r>
        <w:t xml:space="preserve">8.3 No Unilateral Oversight</w:t>
      </w:r>
    </w:p>
    <w:p>
      <w:pPr>
        <w:pStyle w:val="BodyText"/>
      </w:pPr>
      <w:r>
        <w:t xml:space="preserve">No Party or third party exercises approval authority, veto power,</w:t>
      </w:r>
      <w:r>
        <w:t xml:space="preserve"> </w:t>
      </w:r>
      <w:r>
        <w:t xml:space="preserve">oversight jurisdiction, or any other form of control over Iran’s use of</w:t>
      </w:r>
      <w:r>
        <w:t xml:space="preserve"> </w:t>
      </w:r>
      <w:r>
        <w:t xml:space="preserve">MRF funds, except as expressly provided in this Annex for verification</w:t>
      </w:r>
      <w:r>
        <w:t xml:space="preserve"> </w:t>
      </w:r>
      <w:r>
        <w:t xml:space="preserve">and audit purposes (Article 4). All audit and verification functions are</w:t>
      </w:r>
      <w:r>
        <w:t xml:space="preserve"> </w:t>
      </w:r>
      <w:r>
        <w:t xml:space="preserve">limited to confirming milestone completion; they do not extend to</w:t>
      </w:r>
      <w:r>
        <w:t xml:space="preserve"> </w:t>
      </w:r>
      <w:r>
        <w:t xml:space="preserve">approving or disapproving procurement decisions.</w:t>
      </w:r>
    </w:p>
    <w:p>
      <w:pPr>
        <w:pStyle w:val="BodyText"/>
      </w:pPr>
      <w:r>
        <w:t xml:space="preserve">8.4 Non-Derogation</w:t>
      </w:r>
    </w:p>
    <w:p>
      <w:pPr>
        <w:pStyle w:val="BodyText"/>
      </w:pPr>
      <w:r>
        <w:t xml:space="preserve">Nothing in this Article is construed to:</w:t>
      </w:r>
    </w:p>
    <w:p>
      <w:pPr>
        <w:pStyle w:val="BodyText"/>
      </w:pPr>
      <w:r>
        <w:t xml:space="preserve">• Impair Iran’s sovereign right to manage its economy and fiscal</w:t>
      </w:r>
      <w:r>
        <w:t xml:space="preserve"> </w:t>
      </w:r>
      <w:r>
        <w:t xml:space="preserve">policy</w:t>
      </w:r>
    </w:p>
    <w:p>
      <w:pPr>
        <w:pStyle w:val="BodyText"/>
      </w:pPr>
      <w:r>
        <w:t xml:space="preserve">• Grant the United States or any other country preferential commercial</w:t>
      </w:r>
      <w:r>
        <w:t xml:space="preserve"> </w:t>
      </w:r>
      <w:r>
        <w:t xml:space="preserve">access to the Iranian market</w:t>
      </w:r>
    </w:p>
    <w:p>
      <w:pPr>
        <w:pStyle w:val="BodyText"/>
      </w:pPr>
      <w:r>
        <w:t xml:space="preserve">• Establish any precedent for future trade or investment agreements</w:t>
      </w:r>
    </w:p>
    <w:p>
      <w:pPr>
        <w:pStyle w:val="BodyText"/>
      </w:pPr>
      <w:r>
        <w:t xml:space="preserve">• Affect Iran’s rights under the World Trade Organization or other</w:t>
      </w:r>
      <w:r>
        <w:t xml:space="preserve"> </w:t>
      </w:r>
      <w:r>
        <w:t xml:space="preserve">international trade instruments</w:t>
      </w:r>
    </w:p>
    <w:p>
      <w:pPr>
        <w:pStyle w:val="BodyText"/>
      </w:pPr>
      <w:r>
        <w:t xml:space="preserve">• Require Iran to accept any bilateral trade conditions not explicitly</w:t>
      </w:r>
      <w:r>
        <w:t xml:space="preserve"> </w:t>
      </w:r>
      <w:r>
        <w:t xml:space="preserve">agreed in writing</w:t>
      </w:r>
    </w:p>
    <w:p>
      <w:pPr>
        <w:pStyle w:val="BodyText"/>
      </w:pPr>
      <w:r>
        <w:t xml:space="preserve">8.5 Clarification Regarding Annex ES Pool A Priority Consideration</w:t>
      </w:r>
    </w:p>
    <w:p>
      <w:pPr>
        <w:pStyle w:val="BodyText"/>
      </w:pPr>
      <w:r>
        <w:t xml:space="preserve">Nothing in this Article affects or supersedes the Priority Consideration</w:t>
      </w:r>
      <w:r>
        <w:t xml:space="preserve"> </w:t>
      </w:r>
      <w:r>
        <w:t xml:space="preserve">provisions applicable to Pool A of Annex ES. The provisions of this</w:t>
      </w:r>
      <w:r>
        <w:t xml:space="preserve"> </w:t>
      </w:r>
      <w:r>
        <w:t xml:space="preserve">Article apply to MRF funds only and do not extend to funds released</w:t>
      </w:r>
      <w:r>
        <w:t xml:space="preserve"> </w:t>
      </w:r>
      <w:r>
        <w:t xml:space="preserve">under Annex ES.</w:t>
      </w:r>
    </w:p>
    <w:p>
      <w:pPr>
        <w:pStyle w:val="BodyText"/>
      </w:pPr>
      <w:r>
        <w:t xml:space="preserve">8.6 Severability and Supremacy</w:t>
      </w:r>
    </w:p>
    <w:p>
      <w:pPr>
        <w:pStyle w:val="BodyText"/>
      </w:pPr>
      <w:r>
        <w:t xml:space="preserve">In the event of any conflict between this Article and any public</w:t>
      </w:r>
      <w:r>
        <w:t xml:space="preserve"> </w:t>
      </w:r>
      <w:r>
        <w:t xml:space="preserve">statement, diplomatic assurance, press release, or political declaration</w:t>
      </w:r>
      <w:r>
        <w:t xml:space="preserve"> </w:t>
      </w:r>
      <w:r>
        <w:t xml:space="preserve">by either Party or their representatives, the operative text of this</w:t>
      </w:r>
      <w:r>
        <w:t xml:space="preserve"> </w:t>
      </w:r>
      <w:r>
        <w:t xml:space="preserve">Annex governs. No unilateral statement by any official creates a legally</w:t>
      </w:r>
      <w:r>
        <w:t xml:space="preserve"> </w:t>
      </w:r>
      <w:r>
        <w:t xml:space="preserve">binding obligation on Iran.</w:t>
      </w:r>
    </w:p>
    <w:p>
      <w:pPr>
        <w:pStyle w:val="BodyText"/>
      </w:pPr>
      <w:r>
        <w:t xml:space="preserve">Status of Appendices: Unless expressly incorporated into an operative</w:t>
      </w:r>
      <w:r>
        <w:t xml:space="preserve"> </w:t>
      </w:r>
      <w:r>
        <w:t xml:space="preserve">Article, the appendices are explanatory and administrative in nature.</w:t>
      </w:r>
      <w:r>
        <w:t xml:space="preserve"> </w:t>
      </w:r>
      <w:r>
        <w:t xml:space="preserve">They support implementation and stands permitted to be updated to reflect changes in</w:t>
      </w:r>
      <w:r>
        <w:t xml:space="preserve"> </w:t>
      </w:r>
      <w:r>
        <w:t xml:space="preserve">contributors, institutions, financing mechanisms, or implementation</w:t>
      </w:r>
      <w:r>
        <w:t xml:space="preserve"> </w:t>
      </w:r>
      <w:r>
        <w:t xml:space="preserve">arrangements without altering the legal obligations established by the</w:t>
      </w:r>
      <w:r>
        <w:t xml:space="preserve"> </w:t>
      </w:r>
      <w:r>
        <w:t xml:space="preserve">Articles of this Protocol.</w:t>
      </w:r>
    </w:p>
    <w:bookmarkEnd w:id="162"/>
    <w:bookmarkStart w:id="163" w:name="appendix-a-capital-contributor-registry"/>
    <w:p>
      <w:pPr>
        <w:pStyle w:val="Heading3"/>
      </w:pPr>
      <w:r>
        <w:t xml:space="preserve">Appendix A: Capital Contributor Registry</w:t>
      </w:r>
    </w:p>
    <w:p>
      <w:pPr>
        <w:pStyle w:val="FirstParagraph"/>
      </w:pPr>
      <w:r>
        <w:t xml:space="preserve">This Appendix catalogs confirmed and prospective contributors to the</w:t>
      </w:r>
      <w:r>
        <w:t xml:space="preserve"> </w:t>
      </w:r>
      <w:r>
        <w:t xml:space="preserve">MRF, organized by tier and sector focus.</w:t>
      </w:r>
    </w:p>
    <w:p>
      <w:pPr>
        <w:pStyle w:val="BodyText"/>
      </w:pPr>
      <w:r>
        <w:t xml:space="preserve">A.1 Anchor Contributors</w:t>
      </w:r>
    </w:p>
    <w:p>
      <w:pPr>
        <w:pStyle w:val="BodyText"/>
      </w:pPr>
      <w:r>
        <w:t xml:space="preserve">A.1.1 Qatar Investment Authority (QIA)</w:t>
      </w:r>
    </w:p>
    <w:p>
      <w:pPr>
        <w:pStyle w:val="BodyText"/>
      </w:pPr>
      <w:r>
        <w:t xml:space="preserve">Commitment: $15 billion across all Sub-Funds. Focus: Energy, Water,</w:t>
      </w:r>
      <w:r>
        <w:t xml:space="preserve"> </w:t>
      </w:r>
      <w:r>
        <w:t xml:space="preserve">Healthcare. Mechanism: Direct deposit to Qatar Central Bank escrow.</w:t>
      </w:r>
      <w:r>
        <w:t xml:space="preserve"> </w:t>
      </w:r>
      <w:r>
        <w:t xml:space="preserve">Timeline: $5B within 60 days; remainder over 24 months.</w:t>
      </w:r>
    </w:p>
    <w:p>
      <w:pPr>
        <w:pStyle w:val="BodyText"/>
      </w:pPr>
      <w:r>
        <w:t xml:space="preserve">A.1.2 Saudi Public Investment Fund (PIF)</w:t>
      </w:r>
    </w:p>
    <w:p>
      <w:pPr>
        <w:pStyle w:val="BodyText"/>
      </w:pPr>
      <w:r>
        <w:t xml:space="preserve">Commitment: $10 billion. Focus: Energy, Transport, Housing. Mechanism:</w:t>
      </w:r>
      <w:r>
        <w:t xml:space="preserve"> </w:t>
      </w:r>
      <w:r>
        <w:t xml:space="preserve">Structured through Saudi-Iranian bilateral reconstruction committee.</w:t>
      </w:r>
      <w:r>
        <w:t xml:space="preserve"> </w:t>
      </w:r>
      <w:r>
        <w:t xml:space="preserve">Timeline: $3B within 90 days.</w:t>
      </w:r>
    </w:p>
    <w:p>
      <w:pPr>
        <w:pStyle w:val="BodyText"/>
      </w:pPr>
      <w:r>
        <w:t xml:space="preserve">A.1.3 UAE Abu Dhabi Investment Authority (ADIA)</w:t>
      </w:r>
    </w:p>
    <w:p>
      <w:pPr>
        <w:pStyle w:val="BodyText"/>
      </w:pPr>
      <w:r>
        <w:t xml:space="preserve">Commitment: $8 billion. Focus: Transport, Energy. Mechanism: Direct</w:t>
      </w:r>
      <w:r>
        <w:t xml:space="preserve"> </w:t>
      </w:r>
      <w:r>
        <w:t xml:space="preserve">deposit through UAE Central Bank coordination. Timeline: $2B within 60</w:t>
      </w:r>
      <w:r>
        <w:t xml:space="preserve"> </w:t>
      </w:r>
      <w:r>
        <w:t xml:space="preserve">days.</w:t>
      </w:r>
    </w:p>
    <w:p>
      <w:pPr>
        <w:pStyle w:val="BodyText"/>
      </w:pPr>
      <w:r>
        <w:t xml:space="preserve">A.1.4 World Bank</w:t>
      </w:r>
    </w:p>
    <w:p>
      <w:pPr>
        <w:pStyle w:val="BodyText"/>
      </w:pPr>
      <w:r>
        <w:t xml:space="preserve">Commitment: $5 billion in concessional financing. Focus: Water,</w:t>
      </w:r>
      <w:r>
        <w:t xml:space="preserve"> </w:t>
      </w:r>
      <w:r>
        <w:t xml:space="preserve">Education, Agriculture. Mechanism: IDA credits and IBRD loans. Timeline:</w:t>
      </w:r>
      <w:r>
        <w:t xml:space="preserve"> </w:t>
      </w:r>
      <w:r>
        <w:t xml:space="preserve">$1B within 120 days.</w:t>
      </w:r>
    </w:p>
    <w:p>
      <w:pPr>
        <w:pStyle w:val="BodyText"/>
      </w:pPr>
      <w:r>
        <w:t xml:space="preserve">A.1.5 Islamic Development Bank (IsDB)</w:t>
      </w:r>
    </w:p>
    <w:p>
      <w:pPr>
        <w:pStyle w:val="BodyText"/>
      </w:pPr>
      <w:r>
        <w:t xml:space="preserve">Commitment: $4 billion. Focus: Healthcare, Education, Housing.</w:t>
      </w:r>
      <w:r>
        <w:t xml:space="preserve"> </w:t>
      </w:r>
      <w:r>
        <w:t xml:space="preserve">Mechanism: Islamic financing instruments (Ijara, Istisna, Mudaraba).</w:t>
      </w:r>
      <w:r>
        <w:t xml:space="preserve"> </w:t>
      </w:r>
      <w:r>
        <w:t xml:space="preserve">Timeline: $1B within 90 days.</w:t>
      </w:r>
    </w:p>
    <w:p>
      <w:pPr>
        <w:pStyle w:val="BodyText"/>
      </w:pPr>
      <w:r>
        <w:t xml:space="preserve">A.2 Major Contributors</w:t>
      </w:r>
    </w:p>
    <w:p>
      <w:pPr>
        <w:pStyle w:val="BodyText"/>
      </w:pPr>
      <w:r>
        <w:t xml:space="preserve">A.2.1 Asian Infrastructure Investment Bank (AIIB)</w:t>
      </w:r>
    </w:p>
    <w:p>
      <w:pPr>
        <w:pStyle w:val="BodyText"/>
      </w:pPr>
      <w:r>
        <w:t xml:space="preserve">Commitment: $3 billion. Focus: Transport, Energy infrastructure.</w:t>
      </w:r>
      <w:r>
        <w:t xml:space="preserve"> </w:t>
      </w:r>
      <w:r>
        <w:t xml:space="preserve">Mechanism: Sovereign-backed project loans. Timeline: $1B within 180</w:t>
      </w:r>
      <w:r>
        <w:t xml:space="preserve"> </w:t>
      </w:r>
      <w:r>
        <w:t xml:space="preserve">days.</w:t>
      </w:r>
    </w:p>
    <w:p>
      <w:pPr>
        <w:pStyle w:val="BodyText"/>
      </w:pPr>
      <w:r>
        <w:t xml:space="preserve">A.2.2 European Bank for Reconstruction and Development (EBRD)</w:t>
      </w:r>
    </w:p>
    <w:p>
      <w:pPr>
        <w:pStyle w:val="BodyText"/>
      </w:pPr>
      <w:r>
        <w:t xml:space="preserve">Commitment: $2 billion. Focus: Private sector development, SME</w:t>
      </w:r>
      <w:r>
        <w:t xml:space="preserve"> </w:t>
      </w:r>
      <w:r>
        <w:t xml:space="preserve">reconstruction. Mechanism: Direct lending and equity participation.</w:t>
      </w:r>
      <w:r>
        <w:t xml:space="preserve"> </w:t>
      </w:r>
      <w:r>
        <w:t xml:space="preserve">Timeline: $500M within 120 days.</w:t>
      </w:r>
    </w:p>
    <w:p>
      <w:pPr>
        <w:pStyle w:val="BodyText"/>
      </w:pPr>
      <w:r>
        <w:t xml:space="preserve">A.2.3 People’s Republic of China (via AIIB and bilateral)</w:t>
      </w:r>
    </w:p>
    <w:p>
      <w:pPr>
        <w:pStyle w:val="BodyText"/>
      </w:pPr>
      <w:r>
        <w:t xml:space="preserve">Commitment: $5 billion. Focus: Transport, Energy, Technology. Mechanism:</w:t>
      </w:r>
      <w:r>
        <w:t xml:space="preserve"> </w:t>
      </w:r>
      <w:r>
        <w:t xml:space="preserve">Belt and Road Initiative coordination plus AIIB lending. Timeline: $2B</w:t>
      </w:r>
      <w:r>
        <w:t xml:space="preserve"> </w:t>
      </w:r>
      <w:r>
        <w:t xml:space="preserve">within 180 days.</w:t>
      </w:r>
    </w:p>
    <w:p>
      <w:pPr>
        <w:pStyle w:val="BodyText"/>
      </w:pPr>
      <w:r>
        <w:t xml:space="preserve">A.2.4 European Union (through EFSD and bilateral)</w:t>
      </w:r>
    </w:p>
    <w:p>
      <w:pPr>
        <w:pStyle w:val="BodyText"/>
      </w:pPr>
      <w:r>
        <w:t xml:space="preserve">Commitment: $2 billion. Focus: Water, Environment, Governance.</w:t>
      </w:r>
      <w:r>
        <w:t xml:space="preserve"> </w:t>
      </w:r>
      <w:r>
        <w:t xml:space="preserve">Mechanism: European Fund for Sustainable Development plus member state</w:t>
      </w:r>
      <w:r>
        <w:t xml:space="preserve"> </w:t>
      </w:r>
      <w:r>
        <w:t xml:space="preserve">bilateral contributions. Timeline: $500M within 180 days.</w:t>
      </w:r>
    </w:p>
    <w:p>
      <w:pPr>
        <w:pStyle w:val="BodyText"/>
      </w:pPr>
      <w:r>
        <w:t xml:space="preserve">A.2.5 Government of Japan (JICA)</w:t>
      </w:r>
    </w:p>
    <w:p>
      <w:pPr>
        <w:pStyle w:val="BodyText"/>
      </w:pPr>
      <w:r>
        <w:t xml:space="preserve">Commitment: $1.5 billion. Focus: Water, Energy efficiency, Disaster</w:t>
      </w:r>
      <w:r>
        <w:t xml:space="preserve"> </w:t>
      </w:r>
      <w:r>
        <w:t xml:space="preserve">resilience. Mechanism: JICA concessional loans and grants. Timeline:</w:t>
      </w:r>
      <w:r>
        <w:t xml:space="preserve"> </w:t>
      </w:r>
      <w:r>
        <w:t xml:space="preserve">$400M within 180 days.</w:t>
      </w:r>
    </w:p>
    <w:p>
      <w:pPr>
        <w:pStyle w:val="BodyText"/>
      </w:pPr>
      <w:r>
        <w:t xml:space="preserve">A.3 Supporting Contributors</w:t>
      </w:r>
    </w:p>
    <w:p>
      <w:pPr>
        <w:pStyle w:val="BodyText"/>
      </w:pPr>
      <w:r>
        <w:t xml:space="preserve">Supporting contributors include regional pension funds, sovereign-backed</w:t>
      </w:r>
      <w:r>
        <w:t xml:space="preserve"> </w:t>
      </w:r>
      <w:r>
        <w:t xml:space="preserve">insurance entities, and international infrastructure investment funds.</w:t>
      </w:r>
      <w:r>
        <w:t xml:space="preserve"> </w:t>
      </w:r>
      <w:r>
        <w:t xml:space="preserve">Representative participants:</w:t>
      </w:r>
    </w:p>
    <w:p>
      <w:pPr>
        <w:pStyle w:val="BodyText"/>
      </w:pPr>
      <w:r>
        <w:t xml:space="preserve">• GCC Sovereign Pension Funds: Collective commitment of $3 billion</w:t>
      </w:r>
      <w:r>
        <w:t xml:space="preserve"> </w:t>
      </w:r>
      <w:r>
        <w:t xml:space="preserve">across energy and housing sectors</w:t>
      </w:r>
    </w:p>
    <w:p>
      <w:pPr>
        <w:pStyle w:val="BodyText"/>
      </w:pPr>
      <w:r>
        <w:t xml:space="preserve">• Regional Infrastructure Funds: $1.5 billion focused on transport and</w:t>
      </w:r>
      <w:r>
        <w:t xml:space="preserve"> </w:t>
      </w:r>
      <w:r>
        <w:t xml:space="preserve">logistics</w:t>
      </w:r>
    </w:p>
    <w:p>
      <w:pPr>
        <w:pStyle w:val="BodyText"/>
      </w:pPr>
      <w:r>
        <w:t xml:space="preserve">• International Pension Funds (Norway GPFG, Canadian CPP): $2 billion</w:t>
      </w:r>
      <w:r>
        <w:t xml:space="preserve"> </w:t>
      </w:r>
      <w:r>
        <w:t xml:space="preserve">in green energy and water infrastructure</w:t>
      </w:r>
    </w:p>
    <w:p>
      <w:pPr>
        <w:pStyle w:val="BodyText"/>
      </w:pPr>
      <w:r>
        <w:t xml:space="preserve">A.4 Humanitarian Contributors</w:t>
      </w:r>
    </w:p>
    <w:p>
      <w:pPr>
        <w:pStyle w:val="BodyText"/>
      </w:pPr>
      <w:r>
        <w:t xml:space="preserve">Humanitarian contributions target immediate relief and foundational</w:t>
      </w:r>
      <w:r>
        <w:t xml:space="preserve"> </w:t>
      </w:r>
      <w:r>
        <w:t xml:space="preserve">reconstruction:</w:t>
      </w:r>
    </w:p>
    <w:p>
      <w:pPr>
        <w:pStyle w:val="BodyText"/>
      </w:pPr>
      <w:r>
        <w:t xml:space="preserve">• UN OCHA: $200 million for emergency infrastructure repair</w:t>
      </w:r>
    </w:p>
    <w:p>
      <w:pPr>
        <w:pStyle w:val="BodyText"/>
      </w:pPr>
      <w:r>
        <w:t xml:space="preserve">• WHO: $150 million for healthcare facility rehabilitation</w:t>
      </w:r>
    </w:p>
    <w:p>
      <w:pPr>
        <w:pStyle w:val="BodyText"/>
      </w:pPr>
      <w:r>
        <w:t xml:space="preserve">• UNICEF: $100 million for education infrastructure and</w:t>
      </w:r>
      <w:r>
        <w:t xml:space="preserve"> </w:t>
      </w:r>
      <w:r>
        <w:t xml:space="preserve">child-protection facilities</w:t>
      </w:r>
    </w:p>
    <w:p>
      <w:pPr>
        <w:pStyle w:val="BodyText"/>
      </w:pPr>
      <w:r>
        <w:t xml:space="preserve">• International Committee of the Red Cross: $80 million for medical</w:t>
      </w:r>
      <w:r>
        <w:t xml:space="preserve"> </w:t>
      </w:r>
      <w:r>
        <w:t xml:space="preserve">and water infrastructure</w:t>
      </w:r>
    </w:p>
    <w:p>
      <w:pPr>
        <w:pStyle w:val="BodyText"/>
      </w:pPr>
      <w:r>
        <w:t xml:space="preserve">• World Food Programme: $120 million for agricultural restoration and</w:t>
      </w:r>
      <w:r>
        <w:t xml:space="preserve"> </w:t>
      </w:r>
      <w:r>
        <w:t xml:space="preserve">food security</w:t>
      </w:r>
    </w:p>
    <w:bookmarkEnd w:id="163"/>
    <w:bookmarkStart w:id="164" w:name="X618f26eab598beafc977405b7e938451ff5afb8"/>
    <w:p>
      <w:pPr>
        <w:pStyle w:val="Heading3"/>
      </w:pPr>
      <w:r>
        <w:t xml:space="preserve">Appendix B: Regional Development Funds and Grant Programs</w:t>
      </w:r>
    </w:p>
    <w:p>
      <w:pPr>
        <w:pStyle w:val="FirstParagraph"/>
      </w:pPr>
      <w:r>
        <w:t xml:space="preserve">This Appendix identifies regional funds, grant programs, and charitable</w:t>
      </w:r>
      <w:r>
        <w:t xml:space="preserve"> </w:t>
      </w:r>
      <w:r>
        <w:t xml:space="preserve">foundations available for Iranian reconstruction coordination. The MRF</w:t>
      </w:r>
      <w:r>
        <w:t xml:space="preserve"> </w:t>
      </w:r>
      <w:r>
        <w:t xml:space="preserve">secretariat maintains active engagement with each listed entity.</w:t>
      </w:r>
    </w:p>
    <w:p>
      <w:pPr>
        <w:pStyle w:val="BodyText"/>
      </w:pPr>
      <w:r>
        <w:t xml:space="preserve">B.1 Middle East and North Africa Regional Funds</w:t>
      </w:r>
    </w:p>
    <w:p>
      <w:pPr>
        <w:pStyle w:val="BodyText"/>
      </w:pPr>
      <w:r>
        <w:t xml:space="preserve">B.1.1 Arab Fund for Economic and Social Development (AFESD)</w:t>
      </w:r>
    </w:p>
    <w:p>
      <w:pPr>
        <w:pStyle w:val="BodyText"/>
      </w:pPr>
      <w:r>
        <w:t xml:space="preserve">The AFESD maintains a mandate for reconstruction financing across Arab</w:t>
      </w:r>
      <w:r>
        <w:t xml:space="preserve"> </w:t>
      </w:r>
      <w:r>
        <w:t xml:space="preserve">states. Iran qualifies through regional cooperation frameworks.</w:t>
      </w:r>
      <w:r>
        <w:t xml:space="preserve"> </w:t>
      </w:r>
      <w:r>
        <w:t xml:space="preserve">Potential allocation: $500 million for transport and water</w:t>
      </w:r>
      <w:r>
        <w:t xml:space="preserve"> </w:t>
      </w:r>
      <w:r>
        <w:t xml:space="preserve">infrastructure. Application process: Joint submission through the</w:t>
      </w:r>
      <w:r>
        <w:t xml:space="preserve"> </w:t>
      </w:r>
      <w:r>
        <w:t xml:space="preserve">MRF-RSC with Arab League coordination.</w:t>
      </w:r>
    </w:p>
    <w:p>
      <w:pPr>
        <w:pStyle w:val="BodyText"/>
      </w:pPr>
      <w:r>
        <w:t xml:space="preserve">B.1.2 OPEC Fund for International Development (OFID)</w:t>
      </w:r>
    </w:p>
    <w:p>
      <w:pPr>
        <w:pStyle w:val="BodyText"/>
      </w:pPr>
      <w:r>
        <w:t xml:space="preserve">OFID provides concessional financing for energy infrastructure and</w:t>
      </w:r>
      <w:r>
        <w:t xml:space="preserve"> </w:t>
      </w:r>
      <w:r>
        <w:t xml:space="preserve">poverty reduction. Iran, as a founding OPEC member, retains full access.</w:t>
      </w:r>
      <w:r>
        <w:t xml:space="preserve"> </w:t>
      </w:r>
      <w:r>
        <w:t xml:space="preserve">Potential allocation: $400 million for energy grid modernization.</w:t>
      </w:r>
    </w:p>
    <w:p>
      <w:pPr>
        <w:pStyle w:val="BodyText"/>
      </w:pPr>
      <w:r>
        <w:t xml:space="preserve">B.1.3 Arab Monetary Fund (AMF)</w:t>
      </w:r>
    </w:p>
    <w:p>
      <w:pPr>
        <w:pStyle w:val="BodyText"/>
      </w:pPr>
      <w:r>
        <w:t xml:space="preserve">The AMF offers balance-of-payments support and structural adjustment</w:t>
      </w:r>
      <w:r>
        <w:t xml:space="preserve"> </w:t>
      </w:r>
      <w:r>
        <w:t xml:space="preserve">financing. Coordination with MRF macroeconomic stabilization: $300</w:t>
      </w:r>
      <w:r>
        <w:t xml:space="preserve"> </w:t>
      </w:r>
      <w:r>
        <w:t xml:space="preserve">million in complementary financing.</w:t>
      </w:r>
    </w:p>
    <w:p>
      <w:pPr>
        <w:pStyle w:val="BodyText"/>
      </w:pPr>
      <w:r>
        <w:t xml:space="preserve">B.2 International Grant Programs</w:t>
      </w:r>
    </w:p>
    <w:p>
      <w:pPr>
        <w:pStyle w:val="BodyText"/>
      </w:pPr>
      <w:r>
        <w:t xml:space="preserve">B.2.1 UN Development Programme (UNDP) , Iran Recovery Facility</w:t>
      </w:r>
    </w:p>
    <w:p>
      <w:pPr>
        <w:pStyle w:val="BodyText"/>
      </w:pPr>
      <w:r>
        <w:t xml:space="preserve">UNDP establishes a dedicated Iran Recovery Facility with $250 million in</w:t>
      </w:r>
      <w:r>
        <w:t xml:space="preserve"> </w:t>
      </w:r>
      <w:r>
        <w:t xml:space="preserve">committed grant financing. Focus: Governance restoration, institutional</w:t>
      </w:r>
      <w:r>
        <w:t xml:space="preserve"> </w:t>
      </w:r>
      <w:r>
        <w:t xml:space="preserve">capacity, rule-of-law infrastructure. Eligibility: Automatic for</w:t>
      </w:r>
      <w:r>
        <w:t xml:space="preserve"> </w:t>
      </w:r>
      <w:r>
        <w:t xml:space="preserve">MRF-approved projects with governance components.</w:t>
      </w:r>
    </w:p>
    <w:p>
      <w:pPr>
        <w:pStyle w:val="BodyText"/>
      </w:pPr>
      <w:r>
        <w:t xml:space="preserve">B.2.2 Global Fund for Disaster Reduction (GFDRR)</w:t>
      </w:r>
    </w:p>
    <w:p>
      <w:pPr>
        <w:pStyle w:val="BodyText"/>
      </w:pPr>
      <w:r>
        <w:t xml:space="preserve">GFDRR provides technical assistance and grant financing for</w:t>
      </w:r>
      <w:r>
        <w:t xml:space="preserve"> </w:t>
      </w:r>
      <w:r>
        <w:t xml:space="preserve">disaster-resilient reconstruction. Iran qualifies under post-conflict</w:t>
      </w:r>
      <w:r>
        <w:t xml:space="preserve"> </w:t>
      </w:r>
      <w:r>
        <w:t xml:space="preserve">reconstruction protocols. Allocation: $50 million in technical grants</w:t>
      </w:r>
      <w:r>
        <w:t xml:space="preserve"> </w:t>
      </w:r>
      <w:r>
        <w:t xml:space="preserve">for earthquake-resistant construction standards.</w:t>
      </w:r>
    </w:p>
    <w:p>
      <w:pPr>
        <w:pStyle w:val="BodyText"/>
      </w:pPr>
      <w:r>
        <w:t xml:space="preserve">B.2.3 Green Climate Fund (GCF)</w:t>
      </w:r>
    </w:p>
    <w:p>
      <w:pPr>
        <w:pStyle w:val="BodyText"/>
      </w:pPr>
      <w:r>
        <w:t xml:space="preserve">The GCF supports climate-resilient infrastructure in developing</w:t>
      </w:r>
      <w:r>
        <w:t xml:space="preserve"> </w:t>
      </w:r>
      <w:r>
        <w:t xml:space="preserve">countries. Iran qualifies for $200 million in grant and concessional</w:t>
      </w:r>
      <w:r>
        <w:t xml:space="preserve"> </w:t>
      </w:r>
      <w:r>
        <w:t xml:space="preserve">financing for green energy and water efficiency projects.</w:t>
      </w:r>
    </w:p>
    <w:p>
      <w:pPr>
        <w:pStyle w:val="BodyText"/>
      </w:pPr>
      <w:r>
        <w:t xml:space="preserve">B.3 Charitable and Foundation Sources</w:t>
      </w:r>
    </w:p>
    <w:p>
      <w:pPr>
        <w:pStyle w:val="BodyText"/>
      </w:pPr>
      <w:r>
        <w:t xml:space="preserve">B.3.1 Alwaleed Philanthropies</w:t>
      </w:r>
    </w:p>
    <w:p>
      <w:pPr>
        <w:pStyle w:val="BodyText"/>
      </w:pPr>
      <w:r>
        <w:t xml:space="preserve">Prince Alwaleed’s foundation commits $100 million for healthcare and</w:t>
      </w:r>
      <w:r>
        <w:t xml:space="preserve"> </w:t>
      </w:r>
      <w:r>
        <w:t xml:space="preserve">education reconstruction in Iran. Focus: Hospital construction, medical</w:t>
      </w:r>
      <w:r>
        <w:t xml:space="preserve"> </w:t>
      </w:r>
      <w:r>
        <w:t xml:space="preserve">equipment, university rehabilitation.</w:t>
      </w:r>
    </w:p>
    <w:p>
      <w:pPr>
        <w:pStyle w:val="BodyText"/>
      </w:pPr>
      <w:r>
        <w:t xml:space="preserve">B.3.2 Mohammed bin Rashid Al Maktoum Foundation</w:t>
      </w:r>
    </w:p>
    <w:p>
      <w:pPr>
        <w:pStyle w:val="BodyText"/>
      </w:pPr>
      <w:r>
        <w:t xml:space="preserve">The Foundation provides $75 million for education and knowledge</w:t>
      </w:r>
      <w:r>
        <w:t xml:space="preserve"> </w:t>
      </w:r>
      <w:r>
        <w:t xml:space="preserve">infrastructure. Focus: Schools, vocational training centers, digital</w:t>
      </w:r>
      <w:r>
        <w:t xml:space="preserve"> </w:t>
      </w:r>
      <w:r>
        <w:t xml:space="preserve">education platforms.</w:t>
      </w:r>
    </w:p>
    <w:p>
      <w:pPr>
        <w:pStyle w:val="BodyText"/>
      </w:pPr>
      <w:r>
        <w:t xml:space="preserve">B.3.3 Sheikh Mohammed bin Zayed Conservation Fund</w:t>
      </w:r>
    </w:p>
    <w:p>
      <w:pPr>
        <w:pStyle w:val="BodyText"/>
      </w:pPr>
      <w:r>
        <w:t xml:space="preserve">Environmental restoration allocation: $40 million for ecosystem</w:t>
      </w:r>
      <w:r>
        <w:t xml:space="preserve"> </w:t>
      </w:r>
      <w:r>
        <w:t xml:space="preserve">rehabilitation, protected area restoration, and biodiversity</w:t>
      </w:r>
      <w:r>
        <w:t xml:space="preserve"> </w:t>
      </w:r>
      <w:r>
        <w:t xml:space="preserve">conservation in conflict-affected regions.</w:t>
      </w:r>
    </w:p>
    <w:p>
      <w:pPr>
        <w:pStyle w:val="BodyText"/>
      </w:pPr>
      <w:r>
        <w:t xml:space="preserve">B.4 Faith-Based and Diaspora Organizations</w:t>
      </w:r>
    </w:p>
    <w:p>
      <w:pPr>
        <w:pStyle w:val="BodyText"/>
      </w:pPr>
      <w:r>
        <w:t xml:space="preserve">B.4.1 Iranian Diaspora Reconstruction Network</w:t>
      </w:r>
    </w:p>
    <w:p>
      <w:pPr>
        <w:pStyle w:val="BodyText"/>
      </w:pPr>
      <w:r>
        <w:t xml:space="preserve">A coalition of Iranian diaspora professional associations, medical</w:t>
      </w:r>
      <w:r>
        <w:t xml:space="preserve"> </w:t>
      </w:r>
      <w:r>
        <w:t xml:space="preserve">societies, and engineering organizations. Estimated capacity: $200</w:t>
      </w:r>
      <w:r>
        <w:t xml:space="preserve"> </w:t>
      </w:r>
      <w:r>
        <w:t xml:space="preserve">million in pro-bono professional services, medical equipment donations,</w:t>
      </w:r>
      <w:r>
        <w:t xml:space="preserve"> </w:t>
      </w:r>
      <w:r>
        <w:t xml:space="preserve">and direct financial contributions.</w:t>
      </w:r>
    </w:p>
    <w:p>
      <w:pPr>
        <w:pStyle w:val="BodyText"/>
      </w:pPr>
      <w:r>
        <w:t xml:space="preserve">B.4.2 Islamic Development Bank Waqf Fund</w:t>
      </w:r>
    </w:p>
    <w:p>
      <w:pPr>
        <w:pStyle w:val="BodyText"/>
      </w:pPr>
      <w:r>
        <w:t xml:space="preserve">The Waqf Fund provides grant financing for social infrastructure</w:t>
      </w:r>
      <w:r>
        <w:t xml:space="preserve"> </w:t>
      </w:r>
      <w:r>
        <w:t xml:space="preserve">(mosques, community centers, orphanages) in reconstruction contexts.</w:t>
      </w:r>
      <w:r>
        <w:t xml:space="preserve"> </w:t>
      </w:r>
      <w:r>
        <w:t xml:space="preserve">Allocation: $60 million.</w:t>
      </w:r>
    </w:p>
    <w:p>
      <w:pPr>
        <w:pStyle w:val="BodyText"/>
      </w:pPr>
      <w:r>
        <w:t xml:space="preserve">B.4.3 Catholic Relief Services , Middle East</w:t>
      </w:r>
    </w:p>
    <w:p>
      <w:pPr>
        <w:pStyle w:val="BodyText"/>
      </w:pPr>
      <w:r>
        <w:t xml:space="preserve">CRS provides $30 million for healthcare, education, and community</w:t>
      </w:r>
      <w:r>
        <w:t xml:space="preserve"> </w:t>
      </w:r>
      <w:r>
        <w:t xml:space="preserve">infrastructure in Iran, coordinated through the MRF humanitarian</w:t>
      </w:r>
      <w:r>
        <w:t xml:space="preserve"> </w:t>
      </w:r>
      <w:r>
        <w:t xml:space="preserve">corridor.</w:t>
      </w:r>
    </w:p>
    <w:p>
      <w:pPr>
        <w:pStyle w:val="BodyText"/>
      </w:pPr>
      <w:r>
        <w:t xml:space="preserve">B.5 Private Sector and Corporate Philanthropy</w:t>
      </w:r>
    </w:p>
    <w:p>
      <w:pPr>
        <w:pStyle w:val="BodyText"/>
      </w:pPr>
      <w:r>
        <w:t xml:space="preserve">B.5.1 Siemens Foundation (Stiftung) , Iran Energy Partnership</w:t>
      </w:r>
    </w:p>
    <w:p>
      <w:pPr>
        <w:pStyle w:val="BodyText"/>
      </w:pPr>
      <w:r>
        <w:t xml:space="preserve">The Siemens Foundation provides $150 million in equipment, engineering</w:t>
      </w:r>
      <w:r>
        <w:t xml:space="preserve"> </w:t>
      </w:r>
      <w:r>
        <w:t xml:space="preserve">services, and training for power grid modernization. In-kind</w:t>
      </w:r>
      <w:r>
        <w:t xml:space="preserve"> </w:t>
      </w:r>
      <w:r>
        <w:t xml:space="preserve">contribution valued at cost.</w:t>
      </w:r>
    </w:p>
    <w:p>
      <w:pPr>
        <w:pStyle w:val="BodyText"/>
      </w:pPr>
      <w:r>
        <w:t xml:space="preserve">B.5.2 TotalEnergies Foundation , Iran Renewable Energy</w:t>
      </w:r>
    </w:p>
    <w:p>
      <w:pPr>
        <w:pStyle w:val="BodyText"/>
      </w:pPr>
      <w:r>
        <w:t xml:space="preserve">TotalEnergies commits $100 million for solar and wind energy</w:t>
      </w:r>
      <w:r>
        <w:t xml:space="preserve"> </w:t>
      </w:r>
      <w:r>
        <w:t xml:space="preserve">infrastructure development, including technology transfer and training</w:t>
      </w:r>
      <w:r>
        <w:t xml:space="preserve"> </w:t>
      </w:r>
      <w:r>
        <w:t xml:space="preserve">programs.</w:t>
      </w:r>
    </w:p>
    <w:p>
      <w:pPr>
        <w:pStyle w:val="BodyText"/>
      </w:pPr>
      <w:r>
        <w:t xml:space="preserve">B.5.3 Huawei TECH4ALL Digital Iran</w:t>
      </w:r>
    </w:p>
    <w:p>
      <w:pPr>
        <w:pStyle w:val="BodyText"/>
      </w:pPr>
      <w:r>
        <w:t xml:space="preserve">Huawei provides $80 million in telecommunications infrastructure,</w:t>
      </w:r>
      <w:r>
        <w:t xml:space="preserve"> </w:t>
      </w:r>
      <w:r>
        <w:t xml:space="preserve">digital education platforms, and smart-city technology for urban</w:t>
      </w:r>
      <w:r>
        <w:t xml:space="preserve"> </w:t>
      </w:r>
      <w:r>
        <w:t xml:space="preserve">reconstruction.</w:t>
      </w:r>
    </w:p>
    <w:p>
      <w:pPr>
        <w:pStyle w:val="BodyText"/>
      </w:pPr>
      <w:r>
        <w:t xml:space="preserve">B.5.4 Samsung Engineering Reconstruction Fund</w:t>
      </w:r>
    </w:p>
    <w:p>
      <w:pPr>
        <w:pStyle w:val="BodyText"/>
      </w:pPr>
      <w:r>
        <w:t xml:space="preserve">Samsung commits $60 million for construction equipment, engineering</w:t>
      </w:r>
      <w:r>
        <w:t xml:space="preserve"> </w:t>
      </w:r>
      <w:r>
        <w:t xml:space="preserve">expertise, and technology transfer for housing and industrial</w:t>
      </w:r>
      <w:r>
        <w:t xml:space="preserve"> </w:t>
      </w:r>
      <w:r>
        <w:t xml:space="preserve">reconstruction.</w:t>
      </w:r>
    </w:p>
    <w:bookmarkEnd w:id="164"/>
    <w:bookmarkStart w:id="165" w:name="appendix-c-the-multilateral-architecture"/>
    <w:p>
      <w:pPr>
        <w:pStyle w:val="Heading3"/>
      </w:pPr>
      <w:r>
        <w:t xml:space="preserve">Appendix C: The Multilateral Architecture</w:t>
      </w:r>
    </w:p>
    <w:p>
      <w:pPr>
        <w:pStyle w:val="FirstParagraph"/>
      </w:pPr>
      <w:r>
        <w:t xml:space="preserve">This Appendix describes the operational architecture of the MRF’s</w:t>
      </w:r>
      <w:r>
        <w:t xml:space="preserve"> </w:t>
      </w:r>
      <w:r>
        <w:t xml:space="preserve">capital aggregation model. The architecture distributes responsibility</w:t>
      </w:r>
      <w:r>
        <w:t xml:space="preserve"> </w:t>
      </w:r>
      <w:r>
        <w:t xml:space="preserve">across multiple contributor categories, ensuring no single source bears</w:t>
      </w:r>
      <w:r>
        <w:t xml:space="preserve"> </w:t>
      </w:r>
      <w:r>
        <w:t xml:space="preserve">disproportionate burden while maintaining political viability for all</w:t>
      </w:r>
      <w:r>
        <w:t xml:space="preserve"> </w:t>
      </w:r>
      <w:r>
        <w:t xml:space="preserve">participants.</w:t>
      </w:r>
    </w:p>
    <w:p>
      <w:pPr>
        <w:pStyle w:val="BodyText"/>
      </w:pPr>
      <w:r>
        <w:t xml:space="preserve">C.1 Architecture Overview</w:t>
      </w:r>
    </w:p>
    <w:p>
      <w:pPr>
        <w:pStyle w:val="BodyText"/>
      </w:pPr>
      <w:r>
        <w:t xml:space="preserve">, , , , , , , , , , , , , , , , , , , , , , , , , , , , , , , , , , , -</w:t>
      </w:r>
      <w:r>
        <w:t xml:space="preserve"> </w:t>
      </w:r>
      <w:r>
        <w:t xml:space="preserve">Element Function</w:t>
      </w:r>
      <w:r>
        <w:t xml:space="preserve"> </w:t>
      </w:r>
      <w:r>
        <w:t xml:space="preserve">, , , , , , , , , , - , , , , , , , , , , , , , , , , , , , , , , , , -</w:t>
      </w:r>
      <w:r>
        <w:t xml:space="preserve"> </w:t>
      </w:r>
      <w:r>
        <w:t xml:space="preserve">Multiple Contributors GCC states, international banks, private</w:t>
      </w:r>
      <w:r>
        <w:t xml:space="preserve"> </w:t>
      </w:r>
      <w:r>
        <w:t xml:space="preserve">investors, and humanitarian organizations all</w:t>
      </w:r>
      <w:r>
        <w:t xml:space="preserve"> </w:t>
      </w:r>
      <w:r>
        <w:t xml:space="preserve">contribute. No single source bears the full</w:t>
      </w:r>
      <w:r>
        <w:t xml:space="preserve"> </w:t>
      </w:r>
      <w:r>
        <w:t xml:space="preserve">burden.</w:t>
      </w:r>
    </w:p>
    <w:p>
      <w:pPr>
        <w:pStyle w:val="BodyText"/>
      </w:pPr>
      <w:r>
        <w:t xml:space="preserve">Neutral Channeling All funds flow through Qatar Central Bank and the</w:t>
      </w:r>
      <w:r>
        <w:t xml:space="preserve"> </w:t>
      </w:r>
      <w:r>
        <w:t xml:space="preserve">World Bank. The US provides technical assistance</w:t>
      </w:r>
      <w:r>
        <w:t xml:space="preserve"> </w:t>
      </w:r>
      <w:r>
        <w:t xml:space="preserve">only , no direct cash.</w:t>
      </w:r>
    </w:p>
    <w:p>
      <w:pPr>
        <w:pStyle w:val="BodyText"/>
      </w:pPr>
      <w:r>
        <w:t xml:space="preserve">Iranian Sovereignty Iran proposes and prioritizes projects. The RSC</w:t>
      </w:r>
      <w:r>
        <w:t xml:space="preserve"> </w:t>
      </w:r>
      <w:r>
        <w:t xml:space="preserve">does not impose external preferences.</w:t>
      </w:r>
    </w:p>
    <w:p>
      <w:pPr>
        <w:pStyle w:val="BodyText"/>
      </w:pPr>
      <w:r>
        <w:t xml:space="preserve">Technical Advisory Independent experts verify feasibility and</w:t>
      </w:r>
      <w:r>
        <w:t xml:space="preserve"> </w:t>
      </w:r>
      <w:r>
        <w:t xml:space="preserve">Group milestone completion, ensuring transparency and</w:t>
      </w:r>
      <w:r>
        <w:t xml:space="preserve"> </w:t>
      </w:r>
      <w:r>
        <w:t xml:space="preserve">credibility.</w:t>
      </w:r>
    </w:p>
    <w:p>
      <w:pPr>
        <w:pStyle w:val="BodyText"/>
      </w:pPr>
      <w:r>
        <w:t xml:space="preserve">Sanctions Firewall OFAC general license protects all MRF</w:t>
      </w:r>
      <w:r>
        <w:t xml:space="preserve"> </w:t>
      </w:r>
      <w:r>
        <w:t xml:space="preserve">transactions from secondary sanctions.</w:t>
      </w:r>
    </w:p>
    <w:p>
      <w:pPr>
        <w:pStyle w:val="BodyText"/>
      </w:pPr>
      <w:r>
        <w:t xml:space="preserve">Performance-Based Funds release only upon verified milestone</w:t>
      </w:r>
      <w:r>
        <w:t xml:space="preserve"> </w:t>
      </w:r>
      <w:r>
        <w:t xml:space="preserve">Disbursement completion. No cash up front.</w:t>
      </w:r>
    </w:p>
    <w:p>
      <w:pPr>
        <w:pStyle w:val="BodyText"/>
      </w:pPr>
      <w:r>
        <w:t xml:space="preserve">No Clawback Already-disbursed funds are irrevocable. This</w:t>
      </w:r>
      <w:r>
        <w:t xml:space="preserve"> </w:t>
      </w:r>
      <w:r>
        <w:t xml:space="preserve">gives Iran confidence to invest in long-term</w:t>
      </w:r>
      <w:r>
        <w:t xml:space="preserve"> </w:t>
      </w:r>
      <w:r>
        <w:t xml:space="preserve">projects.</w:t>
      </w:r>
    </w:p>
    <w:p>
      <w:pPr>
        <w:pStyle w:val="BodyText"/>
      </w:pPr>
      <w:r>
        <w:t xml:space="preserve">Sovereign Procurement Iran holds no obligation to purchase goods or</w:t>
      </w:r>
      <w:r>
        <w:t xml:space="preserve"> </w:t>
      </w:r>
      <w:r>
        <w:t xml:space="preserve">Protection services from any particular country. The</w:t>
      </w:r>
      <w:r>
        <w:t xml:space="preserve"> </w:t>
      </w:r>
      <w:r>
        <w:t xml:space="preserve">framework architecture excludes directed</w:t>
      </w:r>
      <w:r>
        <w:t xml:space="preserve"> </w:t>
      </w:r>
      <w:r>
        <w:t xml:space="preserve">purchasing.</w:t>
      </w:r>
    </w:p>
    <w:p>
      <w:pPr>
        <w:pStyle w:val="BodyText"/>
      </w:pPr>
      <w:r>
        <w:t xml:space="preserve">60-Day Automatic The RSC convenes a mandatory Progress Assessment</w:t>
      </w:r>
      <w:r>
        <w:t xml:space="preserve"> </w:t>
      </w:r>
      <w:r>
        <w:t xml:space="preserve">Review Session at Day 60 with formal recommendations.</w:t>
      </w:r>
      <w:r>
        <w:t xml:space="preserve"> </w:t>
      </w:r>
      <w:r>
        <w:t xml:space="preserve">The framework architecture excludes procedural</w:t>
      </w:r>
      <w:r>
        <w:t xml:space="preserve"> </w:t>
      </w:r>
      <w:r>
        <w:t xml:space="preserve">drift.</w:t>
      </w:r>
    </w:p>
    <w:p>
      <w:pPr>
        <w:pStyle w:val="BodyText"/>
      </w:pPr>
      <w:r>
        <w:t xml:space="preserve">Modularity Eight independent sub-funds prevent a single</w:t>
      </w:r>
      <w:r>
        <w:t xml:space="preserve"> </w:t>
      </w:r>
      <w:r>
        <w:t xml:space="preserve">sector failure from collapsing the entire</w:t>
      </w:r>
      <w:r>
        <w:t xml:space="preserve"> </w:t>
      </w:r>
      <w:r>
        <w:t xml:space="preserve">reconstruction effort.</w:t>
      </w:r>
    </w:p>
    <w:p>
      <w:pPr>
        <w:pStyle w:val="BodyText"/>
      </w:pPr>
      <w:r>
        <w:t xml:space="preserve">60-Day Emergency The MRF begins as a 60-day stabilization</w:t>
      </w:r>
      <w:r>
        <w:t xml:space="preserve"> </w:t>
      </w:r>
      <w:r>
        <w:t xml:space="preserve">Frame mechanism before transitioning to full execution.</w:t>
      </w:r>
      <w:r>
        <w:t xml:space="preserve"> </w:t>
      </w:r>
      <w:r>
        <w:t xml:space="preserve">, , , , , , , , , , , , , , , , , , , , , , , , , , , , , , , , , , , -</w:t>
      </w:r>
    </w:p>
    <w:p>
      <w:pPr>
        <w:pStyle w:val="BodyText"/>
      </w:pPr>
      <w:r>
        <w:t xml:space="preserve">C.2 Political Architecture</w:t>
      </w:r>
    </w:p>
    <w:p>
      <w:pPr>
        <w:pStyle w:val="BodyText"/>
      </w:pPr>
      <w:r>
        <w:t xml:space="preserve">The MRF’s political viability rests on simultaneous satisfaction of</w:t>
      </w:r>
      <w:r>
        <w:t xml:space="preserve"> </w:t>
      </w:r>
      <w:r>
        <w:t xml:space="preserve">constraints in multiple capitals:</w:t>
      </w:r>
    </w:p>
    <w:p>
      <w:pPr>
        <w:pStyle w:val="BodyText"/>
      </w:pPr>
      <w:r>
        <w:t xml:space="preserve">• Washington: No direct U.S. cash to Iran. U.S. contributions are</w:t>
      </w:r>
      <w:r>
        <w:t xml:space="preserve"> </w:t>
      </w:r>
      <w:r>
        <w:t xml:space="preserve">technical and diplomatic only.</w:t>
      </w:r>
    </w:p>
    <w:p>
      <w:pPr>
        <w:pStyle w:val="BodyText"/>
      </w:pPr>
      <w:r>
        <w:t xml:space="preserve">• Tehran: Iran controls project selection and retains sovereign</w:t>
      </w:r>
      <w:r>
        <w:t xml:space="preserve"> </w:t>
      </w:r>
      <w:r>
        <w:t xml:space="preserve">authority over reconstruction priorities.</w:t>
      </w:r>
    </w:p>
    <w:p>
      <w:pPr>
        <w:pStyle w:val="BodyText"/>
      </w:pPr>
      <w:r>
        <w:t xml:space="preserve">• Riyadh/Abu Dhabi/Doha: GCC states lead the funding architecture,</w:t>
      </w:r>
      <w:r>
        <w:t xml:space="preserve"> </w:t>
      </w:r>
      <w:r>
        <w:t xml:space="preserve">reinforcing regional leadership.</w:t>
      </w:r>
    </w:p>
    <w:p>
      <w:pPr>
        <w:pStyle w:val="BodyText"/>
      </w:pPr>
      <w:r>
        <w:t xml:space="preserve">• Beijing/Moscow: Major bilateral contributors gain project access and</w:t>
      </w:r>
      <w:r>
        <w:t xml:space="preserve"> </w:t>
      </w:r>
      <w:r>
        <w:t xml:space="preserve">regional influence.</w:t>
      </w:r>
    </w:p>
    <w:p>
      <w:pPr>
        <w:pStyle w:val="BodyText"/>
      </w:pPr>
      <w:r>
        <w:t xml:space="preserve">• Brussels: EU contributions align with European development</w:t>
      </w:r>
      <w:r>
        <w:t xml:space="preserve"> </w:t>
      </w:r>
      <w:r>
        <w:t xml:space="preserve">objectives and climate commitments.</w:t>
      </w:r>
    </w:p>
    <w:p>
      <w:pPr>
        <w:pStyle w:val="BodyText"/>
      </w:pPr>
      <w:r>
        <w:t xml:space="preserve">C.3 Financial Flow Architecture</w:t>
      </w:r>
    </w:p>
    <w:p>
      <w:pPr>
        <w:pStyle w:val="BodyText"/>
      </w:pPr>
      <w:r>
        <w:t xml:space="preserve">Capital flows through the following pathway:</w:t>
      </w:r>
    </w:p>
    <w:p>
      <w:pPr>
        <w:pStyle w:val="BodyText"/>
      </w:pPr>
      <w:r>
        <w:t xml:space="preserve">• Step 1: Contributors deposit funds into designated accounts at the</w:t>
      </w:r>
      <w:r>
        <w:t xml:space="preserve"> </w:t>
      </w:r>
      <w:r>
        <w:t xml:space="preserve">Qatar Central Bank</w:t>
      </w:r>
    </w:p>
    <w:p>
      <w:pPr>
        <w:pStyle w:val="BodyText"/>
      </w:pPr>
      <w:r>
        <w:t xml:space="preserve">• Step 2: The World Bank verifies deposit and matches to Sub-Fund</w:t>
      </w:r>
      <w:r>
        <w:t xml:space="preserve"> </w:t>
      </w:r>
      <w:r>
        <w:t xml:space="preserve">allocations</w:t>
      </w:r>
    </w:p>
    <w:p>
      <w:pPr>
        <w:pStyle w:val="BodyText"/>
      </w:pPr>
      <w:r>
        <w:t xml:space="preserve">• Step 3: Upon RSC approval and TAG verification, the Qatar Central</w:t>
      </w:r>
      <w:r>
        <w:t xml:space="preserve"> </w:t>
      </w:r>
      <w:r>
        <w:t xml:space="preserve">Bank releases tranches to Iranian project accounts</w:t>
      </w:r>
    </w:p>
    <w:p>
      <w:pPr>
        <w:pStyle w:val="BodyText"/>
      </w:pPr>
      <w:r>
        <w:t xml:space="preserve">• Step 4: Iranian implementing agencies disburse to contractors and</w:t>
      </w:r>
      <w:r>
        <w:t xml:space="preserve"> </w:t>
      </w:r>
      <w:r>
        <w:t xml:space="preserve">suppliers</w:t>
      </w:r>
    </w:p>
    <w:p>
      <w:pPr>
        <w:pStyle w:val="BodyText"/>
      </w:pPr>
      <w:r>
        <w:t xml:space="preserve">• Step 5: Independent auditors verify expenditure and milestone</w:t>
      </w:r>
      <w:r>
        <w:t xml:space="preserve"> </w:t>
      </w:r>
      <w:r>
        <w:t xml:space="preserve">achievement</w:t>
      </w:r>
    </w:p>
    <w:p>
      <w:pPr>
        <w:pStyle w:val="BodyText"/>
      </w:pPr>
      <w:r>
        <w:t xml:space="preserve">• Step 6: TAG confirms verification; RSC authorizes next tranche</w:t>
      </w:r>
    </w:p>
    <w:bookmarkEnd w:id="165"/>
    <w:bookmarkStart w:id="166" w:name="X40ab63b6b0a87463d78b8cec084824539f1508a"/>
    <w:p>
      <w:pPr>
        <w:pStyle w:val="Heading3"/>
      </w:pPr>
      <w:r>
        <w:t xml:space="preserve">Appendix D: Supplementary Regional Programs</w:t>
      </w:r>
    </w:p>
    <w:p>
      <w:pPr>
        <w:pStyle w:val="FirstParagraph"/>
      </w:pPr>
      <w:r>
        <w:t xml:space="preserve">This Appendix catalogs additional regional programs, bilateral</w:t>
      </w:r>
      <w:r>
        <w:t xml:space="preserve"> </w:t>
      </w:r>
      <w:r>
        <w:t xml:space="preserve">frameworks, and specialized facilities that complement MRF operations.</w:t>
      </w:r>
      <w:r>
        <w:t xml:space="preserve"> </w:t>
      </w:r>
      <w:r>
        <w:t xml:space="preserve">The RSC secretariat coordinates with these programs to prevent</w:t>
      </w:r>
      <w:r>
        <w:t xml:space="preserve"> </w:t>
      </w:r>
      <w:r>
        <w:t xml:space="preserve">duplication and maximize leverage.</w:t>
      </w:r>
    </w:p>
    <w:p>
      <w:pPr>
        <w:pStyle w:val="BodyText"/>
      </w:pPr>
      <w:r>
        <w:t xml:space="preserve">D.1 Bilateral Reconstruction Programs</w:t>
      </w:r>
    </w:p>
    <w:p>
      <w:pPr>
        <w:pStyle w:val="BodyText"/>
      </w:pPr>
      <w:r>
        <w:t xml:space="preserve">D.1.1 China-Iran 25-Year Cooperation Program , Reconstruction Window</w:t>
      </w:r>
    </w:p>
    <w:p>
      <w:pPr>
        <w:pStyle w:val="BodyText"/>
      </w:pPr>
      <w:r>
        <w:t xml:space="preserve">The Comprehensive Strategic Partnership between China and Iran includes</w:t>
      </w:r>
      <w:r>
        <w:t xml:space="preserve"> </w:t>
      </w:r>
      <w:r>
        <w:t xml:space="preserve">a dedicated reconstruction window of $10 billion over 10 years. This</w:t>
      </w:r>
      <w:r>
        <w:t xml:space="preserve"> </w:t>
      </w:r>
      <w:r>
        <w:t xml:space="preserve">financing operates outside MRF structures but coordinates through the</w:t>
      </w:r>
      <w:r>
        <w:t xml:space="preserve"> </w:t>
      </w:r>
      <w:r>
        <w:t xml:space="preserve">RSC to avoid duplication. Focus: Energy, transport, technology,</w:t>
      </w:r>
      <w:r>
        <w:t xml:space="preserve"> </w:t>
      </w:r>
      <w:r>
        <w:t xml:space="preserve">industrial zones.</w:t>
      </w:r>
    </w:p>
    <w:p>
      <w:pPr>
        <w:pStyle w:val="BodyText"/>
      </w:pPr>
      <w:r>
        <w:t xml:space="preserve">D.1.2 Russia-Iran Infrastructure Cooperation</w:t>
      </w:r>
    </w:p>
    <w:p>
      <w:pPr>
        <w:pStyle w:val="BodyText"/>
      </w:pPr>
      <w:r>
        <w:t xml:space="preserve">Russia provides $3 billion in infrastructure financing through VEB.RF</w:t>
      </w:r>
      <w:r>
        <w:t xml:space="preserve"> </w:t>
      </w:r>
      <w:r>
        <w:t xml:space="preserve">and bilateral arrangements. Focus: Nuclear energy (Bushehr expansion),</w:t>
      </w:r>
      <w:r>
        <w:t xml:space="preserve"> </w:t>
      </w:r>
      <w:r>
        <w:t xml:space="preserve">rail corridors, port modernization. Coordination: Through MRF-Energy and</w:t>
      </w:r>
      <w:r>
        <w:t xml:space="preserve"> </w:t>
      </w:r>
      <w:r>
        <w:t xml:space="preserve">MRF-Transport Sub-Funds.</w:t>
      </w:r>
    </w:p>
    <w:p>
      <w:pPr>
        <w:pStyle w:val="BodyText"/>
      </w:pPr>
      <w:r>
        <w:t xml:space="preserve">D.1.3 India-Iran Chabahar Corridor Development</w:t>
      </w:r>
    </w:p>
    <w:p>
      <w:pPr>
        <w:pStyle w:val="BodyText"/>
      </w:pPr>
      <w:r>
        <w:t xml:space="preserve">India commits $1.5 billion for Chabahar port and associated rail/road</w:t>
      </w:r>
      <w:r>
        <w:t xml:space="preserve"> </w:t>
      </w:r>
      <w:r>
        <w:t xml:space="preserve">infrastructure. This bilateral program coordinates with MRF-Transport</w:t>
      </w:r>
      <w:r>
        <w:t xml:space="preserve"> </w:t>
      </w:r>
      <w:r>
        <w:t xml:space="preserve">for seamless integration.</w:t>
      </w:r>
    </w:p>
    <w:p>
      <w:pPr>
        <w:pStyle w:val="BodyText"/>
      </w:pPr>
      <w:r>
        <w:t xml:space="preserve">D.2 Specialized International Facilities</w:t>
      </w:r>
    </w:p>
    <w:p>
      <w:pPr>
        <w:pStyle w:val="BodyText"/>
      </w:pPr>
      <w:r>
        <w:t xml:space="preserve">D.2.1 IMF Post-Conflict Reconstruction Facility</w:t>
      </w:r>
    </w:p>
    <w:p>
      <w:pPr>
        <w:pStyle w:val="BodyText"/>
      </w:pPr>
      <w:r>
        <w:t xml:space="preserve">The IMF establishes a dedicated facility for Iran with $5 billion in</w:t>
      </w:r>
      <w:r>
        <w:t xml:space="preserve"> </w:t>
      </w:r>
      <w:r>
        <w:t xml:space="preserve">standby financing for macroeconomic stabilization and</w:t>
      </w:r>
      <w:r>
        <w:t xml:space="preserve"> </w:t>
      </w:r>
      <w:r>
        <w:t xml:space="preserve">balance-of-payments support. This operates in parallel with MRF project</w:t>
      </w:r>
      <w:r>
        <w:t xml:space="preserve"> </w:t>
      </w:r>
      <w:r>
        <w:t xml:space="preserve">financing.</w:t>
      </w:r>
    </w:p>
    <w:p>
      <w:pPr>
        <w:pStyle w:val="BodyText"/>
      </w:pPr>
      <w:r>
        <w:t xml:space="preserve">D.2.2 World Bank Iran Reconstruction Trust Fund</w:t>
      </w:r>
    </w:p>
    <w:p>
      <w:pPr>
        <w:pStyle w:val="BodyText"/>
      </w:pPr>
      <w:r>
        <w:t xml:space="preserve">The World Bank administers a multi-donor trust fund of $3 billion for</w:t>
      </w:r>
      <w:r>
        <w:t xml:space="preserve"> </w:t>
      </w:r>
      <w:r>
        <w:t xml:space="preserve">technical assistance, capacity building, and project preparation. This</w:t>
      </w:r>
      <w:r>
        <w:t xml:space="preserve"> </w:t>
      </w:r>
      <w:r>
        <w:t xml:space="preserve">fund supports MRF operations by financing feasibility studies,</w:t>
      </w:r>
      <w:r>
        <w:t xml:space="preserve"> </w:t>
      </w:r>
      <w:r>
        <w:t xml:space="preserve">environmental assessments, and procurement preparation.</w:t>
      </w:r>
    </w:p>
    <w:p>
      <w:pPr>
        <w:pStyle w:val="BodyText"/>
      </w:pPr>
      <w:r>
        <w:t xml:space="preserve">D.2.3 EBRD Iran Private Sector Window</w:t>
      </w:r>
    </w:p>
    <w:p>
      <w:pPr>
        <w:pStyle w:val="BodyText"/>
      </w:pPr>
      <w:r>
        <w:t xml:space="preserve">The EBRD opens a private sector window of $1 billion for SME</w:t>
      </w:r>
      <w:r>
        <w:t xml:space="preserve"> </w:t>
      </w:r>
      <w:r>
        <w:t xml:space="preserve">reconstruction, industrial rehabilitation, and private infrastructure</w:t>
      </w:r>
      <w:r>
        <w:t xml:space="preserve"> </w:t>
      </w:r>
      <w:r>
        <w:t xml:space="preserve">development. Eligibility: Private sector entities with MRF-approved</w:t>
      </w:r>
      <w:r>
        <w:t xml:space="preserve"> </w:t>
      </w:r>
      <w:r>
        <w:t xml:space="preserve">project linkages.</w:t>
      </w:r>
    </w:p>
    <w:p>
      <w:pPr>
        <w:pStyle w:val="BodyText"/>
      </w:pPr>
      <w:r>
        <w:t xml:space="preserve">D.3 Humanitarian and Emergency Programs</w:t>
      </w:r>
    </w:p>
    <w:p>
      <w:pPr>
        <w:pStyle w:val="BodyText"/>
      </w:pPr>
      <w:r>
        <w:t xml:space="preserve">D.3.1 UN Central Emergency Response Fund (CERF)</w:t>
      </w:r>
    </w:p>
    <w:p>
      <w:pPr>
        <w:pStyle w:val="BodyText"/>
      </w:pPr>
      <w:r>
        <w:t xml:space="preserve">CERF provides rapid-response grants for urgent humanitarian</w:t>
      </w:r>
      <w:r>
        <w:t xml:space="preserve"> </w:t>
      </w:r>
      <w:r>
        <w:t xml:space="preserve">infrastructure repair. Allocation for Iran: $100 million in initial</w:t>
      </w:r>
      <w:r>
        <w:t xml:space="preserve"> </w:t>
      </w:r>
      <w:r>
        <w:t xml:space="preserve">tranches for water, health, and shelter.</w:t>
      </w:r>
    </w:p>
    <w:p>
      <w:pPr>
        <w:pStyle w:val="BodyText"/>
      </w:pPr>
      <w:r>
        <w:t xml:space="preserve">D.3.2 International Federation of Red Cross and Red Crescent Societies</w:t>
      </w:r>
    </w:p>
    <w:p>
      <w:pPr>
        <w:pStyle w:val="BodyText"/>
      </w:pPr>
      <w:r>
        <w:t xml:space="preserve">The IFRC launches an appeal for $200 million for immediate relief and</w:t>
      </w:r>
      <w:r>
        <w:t xml:space="preserve"> </w:t>
      </w:r>
      <w:r>
        <w:t xml:space="preserve">early recovery operations in Iran. Coordination with MRF through shared</w:t>
      </w:r>
      <w:r>
        <w:t xml:space="preserve"> </w:t>
      </w:r>
      <w:r>
        <w:t xml:space="preserve">assessment frameworks and joint implementation where applicable.</w:t>
      </w:r>
    </w:p>
    <w:p>
      <w:pPr>
        <w:pStyle w:val="BodyText"/>
      </w:pPr>
      <w:r>
        <w:t xml:space="preserve">D.3.3 Doctors Without Borders (MSF) , Iran Medical Infrastructure</w:t>
      </w:r>
    </w:p>
    <w:p>
      <w:pPr>
        <w:pStyle w:val="BodyText"/>
      </w:pPr>
      <w:r>
        <w:t xml:space="preserve">MSF commits $40 million for hospital rehabilitation, medical supply</w:t>
      </w:r>
      <w:r>
        <w:t xml:space="preserve"> </w:t>
      </w:r>
      <w:r>
        <w:t xml:space="preserve">chains, and trauma care capacity building in conflict-affected regions.</w:t>
      </w:r>
    </w:p>
    <w:p>
      <w:pPr>
        <w:pStyle w:val="BodyText"/>
      </w:pPr>
      <w:r>
        <w:t xml:space="preserve">D.4 Climate and Environmental Programs</w:t>
      </w:r>
    </w:p>
    <w:p>
      <w:pPr>
        <w:pStyle w:val="BodyText"/>
      </w:pPr>
      <w:r>
        <w:t xml:space="preserve">D.4.1 Global Environment Facility (GEF) , Iran</w:t>
      </w:r>
    </w:p>
    <w:p>
      <w:pPr>
        <w:pStyle w:val="BodyText"/>
      </w:pPr>
      <w:r>
        <w:t xml:space="preserve">The GEF provides $80 million for environmental restoration, renewable</w:t>
      </w:r>
      <w:r>
        <w:t xml:space="preserve"> </w:t>
      </w:r>
      <w:r>
        <w:t xml:space="preserve">energy, and climate adaptation in reconstruction projects. Coordination:</w:t>
      </w:r>
      <w:r>
        <w:t xml:space="preserve"> </w:t>
      </w:r>
      <w:r>
        <w:t xml:space="preserve">Through MRF-Energy and MRF-Water Sub-Funds with green technology</w:t>
      </w:r>
      <w:r>
        <w:t xml:space="preserve"> </w:t>
      </w:r>
      <w:r>
        <w:t xml:space="preserve">components.</w:t>
      </w:r>
    </w:p>
    <w:p>
      <w:pPr>
        <w:pStyle w:val="BodyText"/>
      </w:pPr>
      <w:r>
        <w:t xml:space="preserve">D.4.2 Adaptation Fund</w:t>
      </w:r>
    </w:p>
    <w:p>
      <w:pPr>
        <w:pStyle w:val="BodyText"/>
      </w:pPr>
      <w:r>
        <w:t xml:space="preserve">The Adaptation Fund supports climate-resilient reconstruction with $30</w:t>
      </w:r>
      <w:r>
        <w:t xml:space="preserve"> </w:t>
      </w:r>
      <w:r>
        <w:t xml:space="preserve">million for water management, drought adaptation, and coastal protection</w:t>
      </w:r>
      <w:r>
        <w:t xml:space="preserve"> </w:t>
      </w:r>
      <w:r>
        <w:t xml:space="preserve">infrastructure.</w:t>
      </w:r>
    </w:p>
    <w:p>
      <w:pPr>
        <w:pStyle w:val="BodyText"/>
      </w:pPr>
      <w:r>
        <w:t xml:space="preserve">D.5 Education and Knowledge Programs</w:t>
      </w:r>
    </w:p>
    <w:p>
      <w:pPr>
        <w:pStyle w:val="BodyText"/>
      </w:pPr>
      <w:r>
        <w:t xml:space="preserve">D.5.1 UNESCO Iran Education Recovery Program</w:t>
      </w:r>
    </w:p>
    <w:p>
      <w:pPr>
        <w:pStyle w:val="BodyText"/>
      </w:pPr>
      <w:r>
        <w:t xml:space="preserve">UNESCO commits $60 million for school reconstruction, higher education</w:t>
      </w:r>
      <w:r>
        <w:t xml:space="preserve"> </w:t>
      </w:r>
      <w:r>
        <w:t xml:space="preserve">rehabilitation, and cultural heritage restoration. Coordination with</w:t>
      </w:r>
      <w:r>
        <w:t xml:space="preserve"> </w:t>
      </w:r>
      <w:r>
        <w:t xml:space="preserve">MRF-Education for shared infrastructure projects.</w:t>
      </w:r>
    </w:p>
    <w:p>
      <w:pPr>
        <w:pStyle w:val="BodyText"/>
      </w:pPr>
      <w:r>
        <w:t xml:space="preserve">D.5.2 British Council Iran Higher Education Partnership</w:t>
      </w:r>
    </w:p>
    <w:p>
      <w:pPr>
        <w:pStyle w:val="BodyText"/>
      </w:pPr>
      <w:r>
        <w:t xml:space="preserve">The British Council provides $20 million for university partnerships,</w:t>
      </w:r>
      <w:r>
        <w:t xml:space="preserve"> </w:t>
      </w:r>
      <w:r>
        <w:t xml:space="preserve">research collaboration, and academic exchange programs supporting</w:t>
      </w:r>
      <w:r>
        <w:t xml:space="preserve"> </w:t>
      </w:r>
      <w:r>
        <w:t xml:space="preserve">Iranian higher education recovery.</w:t>
      </w:r>
    </w:p>
    <w:p>
      <w:pPr>
        <w:pStyle w:val="BodyText"/>
      </w:pPr>
      <w:r>
        <w:t xml:space="preserve">D.5.3 German Academic Exchange Service (DAAD) , Iran</w:t>
      </w:r>
    </w:p>
    <w:p>
      <w:pPr>
        <w:pStyle w:val="BodyText"/>
      </w:pPr>
      <w:r>
        <w:t xml:space="preserve">DAAD commits $15 million for vocational training, technical education,</w:t>
      </w:r>
      <w:r>
        <w:t xml:space="preserve"> </w:t>
      </w:r>
      <w:r>
        <w:t xml:space="preserve">and university reconstruction, with focus on engineering and medical</w:t>
      </w:r>
      <w:r>
        <w:t xml:space="preserve"> </w:t>
      </w:r>
      <w:r>
        <w:t xml:space="preserve">faculties.</w:t>
      </w:r>
    </w:p>
    <w:p>
      <w:pPr>
        <w:pStyle w:val="BodyText"/>
      </w:pPr>
      <w:r>
        <w:t xml:space="preserve">Signature Block</w:t>
      </w:r>
    </w:p>
    <w:p>
      <w:pPr>
        <w:pStyle w:val="BodyText"/>
      </w:pPr>
      <w:r>
        <w:t xml:space="preserve">In witness whereof, the undersigned, being duly authorized by their</w:t>
      </w:r>
      <w:r>
        <w:t xml:space="preserve"> </w:t>
      </w:r>
      <w:r>
        <w:t xml:space="preserve">respective governments, have signed this Annex RDF: Reconstruction and</w:t>
      </w:r>
      <w:r>
        <w:t xml:space="preserve"> </w:t>
      </w:r>
      <w:r>
        <w:t xml:space="preserve">Development Fund Protocol.</w:t>
      </w:r>
    </w:p>
    <w:p>
      <w:pPr>
        <w:pStyle w:val="BodyText"/>
      </w:pPr>
      <w:r>
        <w:t xml:space="preserve">Done at Doha, State of Qatar, this ______ day of __________, 2026, in</w:t>
      </w:r>
      <w:r>
        <w:t xml:space="preserve"> </w:t>
      </w:r>
      <w:r>
        <w:t xml:space="preserve">triplicate in the English language.</w:t>
      </w:r>
    </w:p>
    <w:p>
      <w:pPr>
        <w:pStyle w:val="BodyText"/>
      </w:pPr>
      <w:r>
        <w:t xml:space="preserve">, , , , , , , , , , , , , , , , , - , , , , , , , , , , , , , , , , , -</w:t>
      </w:r>
      <w:r>
        <w:t xml:space="preserve"> </w:t>
      </w:r>
      <w:r>
        <w:t xml:space="preserve">For the Islamic Republic of Iran: For the United States of America:</w:t>
      </w:r>
    </w:p>
    <w:p>
      <w:pPr>
        <w:pStyle w:val="BodyText"/>
      </w:pPr>
      <w:r>
        <w:t xml:space="preserve">Name: ________________________ Name: ________________________</w:t>
      </w:r>
    </w:p>
    <w:p>
      <w:pPr>
        <w:pStyle w:val="BodyText"/>
      </w:pPr>
      <w:r>
        <w:t xml:space="preserve">Title: ________________________ Title: ________________________</w:t>
      </w:r>
    </w:p>
    <w:p>
      <w:pPr>
        <w:pStyle w:val="BodyText"/>
      </w:pPr>
      <w:r>
        <w:t xml:space="preserve">Date: ________________________ Date: ________________________</w:t>
      </w:r>
      <w:r>
        <w:t xml:space="preserve"> </w:t>
      </w:r>
      <w:r>
        <w:t xml:space="preserve">, , , , , , , , , , , , , , , , , - , , , , , , , , , , , , , , , , , -</w:t>
      </w:r>
    </w:p>
    <w:p>
      <w:pPr>
        <w:pStyle w:val="BodyText"/>
      </w:pPr>
      <w:r>
        <w:t xml:space="preserve">Witnessed by the State of Qatar (Escrow Agent):</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t xml:space="preserve">Witnessed by the World Bank (Fiduciary Co-Administrator):</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bookmarkEnd w:id="166"/>
    <w:bookmarkStart w:id="167" w:name="Xe00114d017827a4a95aad5b8088b6e46d5d6db1"/>
    <w:p>
      <w:pPr>
        <w:pStyle w:val="Heading3"/>
      </w:pPr>
      <w:r>
        <w:t xml:space="preserve">Appendix E: International Funding Sources and Application Pathways</w:t>
      </w:r>
    </w:p>
    <w:p>
      <w:pPr>
        <w:pStyle w:val="FirstParagraph"/>
      </w:pPr>
      <w:r>
        <w:t xml:space="preserve">This Appendix catalogs additional international funding sources</w:t>
      </w:r>
      <w:r>
        <w:t xml:space="preserve"> </w:t>
      </w:r>
      <w:r>
        <w:t xml:space="preserve">available for Iranian reconstruction. The RSC secretariat maintains</w:t>
      </w:r>
      <w:r>
        <w:t xml:space="preserve"> </w:t>
      </w:r>
      <w:r>
        <w:t xml:space="preserve">active engagement with each entity and coordinates joint applications</w:t>
      </w:r>
      <w:r>
        <w:t xml:space="preserve"> </w:t>
      </w:r>
      <w:r>
        <w:t xml:space="preserve">where applicable.</w:t>
      </w:r>
    </w:p>
    <w:p>
      <w:pPr>
        <w:pStyle w:val="BodyText"/>
      </w:pPr>
      <w:r>
        <w:t xml:space="preserve">E.1 European Development Finance Institutions</w:t>
      </w:r>
    </w:p>
    <w:p>
      <w:pPr>
        <w:pStyle w:val="BodyText"/>
      </w:pPr>
      <w:r>
        <w:t xml:space="preserve">E.1.1 Agence Francaise de Developpement (AFD)</w:t>
      </w:r>
    </w:p>
    <w:p>
      <w:pPr>
        <w:pStyle w:val="BodyText"/>
      </w:pPr>
      <w:r>
        <w:t xml:space="preserve">The AFD operates as the French bilateral development finance institution</w:t>
      </w:r>
      <w:r>
        <w:t xml:space="preserve"> </w:t>
      </w:r>
      <w:r>
        <w:t xml:space="preserve">with an annual commitment volume exceeding EUR 13 billion. AFD maintains</w:t>
      </w:r>
      <w:r>
        <w:t xml:space="preserve"> </w:t>
      </w:r>
      <w:r>
        <w:t xml:space="preserve">operations in over 90 countries across the Mediterranean, Middle East,</w:t>
      </w:r>
      <w:r>
        <w:t xml:space="preserve"> </w:t>
      </w:r>
      <w:r>
        <w:t xml:space="preserve">Africa, Asia, and Latin America.</w:t>
      </w:r>
    </w:p>
    <w:p>
      <w:pPr>
        <w:pStyle w:val="BodyText"/>
      </w:pPr>
      <w:r>
        <w:t xml:space="preserve">Potential allocation for Iran: EUR 800 million for water, sanitation,</w:t>
      </w:r>
      <w:r>
        <w:t xml:space="preserve"> </w:t>
      </w:r>
      <w:r>
        <w:t xml:space="preserve">renewable energy, and urban infrastructure. AFD prioritizes</w:t>
      </w:r>
      <w:r>
        <w:t xml:space="preserve"> </w:t>
      </w:r>
      <w:r>
        <w:t xml:space="preserve">climate-resilient infrastructure and allocates over 50% of its</w:t>
      </w:r>
      <w:r>
        <w:t xml:space="preserve"> </w:t>
      </w:r>
      <w:r>
        <w:t xml:space="preserve">international financing to climate change mitigation and adaptation.</w:t>
      </w:r>
    </w:p>
    <w:p>
      <w:pPr>
        <w:pStyle w:val="BodyText"/>
      </w:pPr>
      <w:r>
        <w:t xml:space="preserve">Application pathway: Iran submits a formal project proposal through the</w:t>
      </w:r>
      <w:r>
        <w:t xml:space="preserve"> </w:t>
      </w:r>
      <w:r>
        <w:t xml:space="preserve">French embassy in Tehran or through AFD’s regional office. The proposal</w:t>
      </w:r>
      <w:r>
        <w:t xml:space="preserve"> </w:t>
      </w:r>
      <w:r>
        <w:t xml:space="preserve">undergoes AFD technical appraisal (90-120 days), followed by board</w:t>
      </w:r>
      <w:r>
        <w:t xml:space="preserve"> </w:t>
      </w:r>
      <w:r>
        <w:t xml:space="preserve">approval (30 days). AFD coordinates with the MRF through the RSC</w:t>
      </w:r>
      <w:r>
        <w:t xml:space="preserve"> </w:t>
      </w:r>
      <w:r>
        <w:t xml:space="preserve">secretariat to ensure alignment with Sub-Fund priorities.</w:t>
      </w:r>
    </w:p>
    <w:p>
      <w:pPr>
        <w:pStyle w:val="BodyText"/>
      </w:pPr>
      <w:r>
        <w:t xml:space="preserve">Contact: AFD Middle East Division, 5 rue Roland Barthes, 75598 Paris</w:t>
      </w:r>
      <w:r>
        <w:t xml:space="preserve"> </w:t>
      </w:r>
      <w:r>
        <w:t xml:space="preserve">Cedex 12, France. Telephone: +33 1 53 44 31 31. Website: afd.fr.</w:t>
      </w:r>
    </w:p>
    <w:p>
      <w:pPr>
        <w:pStyle w:val="BodyText"/>
      </w:pPr>
      <w:r>
        <w:t xml:space="preserve">E.1.2 German Development Cooperation (KfW / GIZ)</w:t>
      </w:r>
    </w:p>
    <w:p>
      <w:pPr>
        <w:pStyle w:val="BodyText"/>
      </w:pPr>
      <w:r>
        <w:t xml:space="preserve">Germany’s development cooperation operates through two primary channels:</w:t>
      </w:r>
      <w:r>
        <w:t xml:space="preserve"> </w:t>
      </w:r>
      <w:r>
        <w:t xml:space="preserve">KfW Entwicklungsbank (financial cooperation) and GIZ (technical</w:t>
      </w:r>
      <w:r>
        <w:t xml:space="preserve"> </w:t>
      </w:r>
      <w:r>
        <w:t xml:space="preserve">cooperation). KfW provides concessional loans and grants for</w:t>
      </w:r>
      <w:r>
        <w:t xml:space="preserve"> </w:t>
      </w:r>
      <w:r>
        <w:t xml:space="preserve">infrastructure, energy, water, and financial systems. GIZ delivers</w:t>
      </w:r>
      <w:r>
        <w:t xml:space="preserve"> </w:t>
      </w:r>
      <w:r>
        <w:t xml:space="preserve">advisory services, capacity building, and technical expertise.</w:t>
      </w:r>
    </w:p>
    <w:p>
      <w:pPr>
        <w:pStyle w:val="BodyText"/>
      </w:pPr>
      <w:r>
        <w:t xml:space="preserve">KfW commitments for reconstruction contexts typically range from EUR 200</w:t>
      </w:r>
      <w:r>
        <w:t xml:space="preserve"> </w:t>
      </w:r>
      <w:r>
        <w:t xml:space="preserve">million to EUR 1 billion per country program. GIZ operates over 1,500</w:t>
      </w:r>
      <w:r>
        <w:t xml:space="preserve"> </w:t>
      </w:r>
      <w:r>
        <w:t xml:space="preserve">projects in 120 countries with an annual business volume of</w:t>
      </w:r>
      <w:r>
        <w:t xml:space="preserve"> </w:t>
      </w:r>
      <w:r>
        <w:t xml:space="preserve">approximately EUR 2.6 billion.</w:t>
      </w:r>
    </w:p>
    <w:p>
      <w:pPr>
        <w:pStyle w:val="BodyText"/>
      </w:pPr>
      <w:r>
        <w:t xml:space="preserve">Application pathway: Iran submits a government-to-government request</w:t>
      </w:r>
      <w:r>
        <w:t xml:space="preserve"> </w:t>
      </w:r>
      <w:r>
        <w:t xml:space="preserve">through the German Federal Ministry for Economic Cooperation and</w:t>
      </w:r>
      <w:r>
        <w:t xml:space="preserve"> </w:t>
      </w:r>
      <w:r>
        <w:t xml:space="preserve">Development (BMZ). KfW conducts a financial appraisal and GIZ assesses</w:t>
      </w:r>
      <w:r>
        <w:t xml:space="preserve"> </w:t>
      </w:r>
      <w:r>
        <w:t xml:space="preserve">technical cooperation needs. The joint assessment completes within 120</w:t>
      </w:r>
      <w:r>
        <w:t xml:space="preserve"> </w:t>
      </w:r>
      <w:r>
        <w:t xml:space="preserve">days. Financing agreements require intergovernmental negotiations.</w:t>
      </w:r>
    </w:p>
    <w:p>
      <w:pPr>
        <w:pStyle w:val="BodyText"/>
      </w:pPr>
      <w:r>
        <w:t xml:space="preserve">Focus sectors for Iran: Energy efficiency, water management, sustainable</w:t>
      </w:r>
      <w:r>
        <w:t xml:space="preserve"> </w:t>
      </w:r>
      <w:r>
        <w:t xml:space="preserve">infrastructure, vocational training, and governance restoration.</w:t>
      </w:r>
    </w:p>
    <w:p>
      <w:pPr>
        <w:pStyle w:val="BodyText"/>
      </w:pPr>
      <w:r>
        <w:t xml:space="preserve">E.1.3 European Investment Bank (EIB) , External Lending Mandate</w:t>
      </w:r>
    </w:p>
    <w:p>
      <w:pPr>
        <w:pStyle w:val="BodyText"/>
      </w:pPr>
      <w:r>
        <w:t xml:space="preserve">The EIB operates outside the EU through its External Lending Mandate</w:t>
      </w:r>
      <w:r>
        <w:t xml:space="preserve"> </w:t>
      </w:r>
      <w:r>
        <w:t xml:space="preserve">(ELM), which authorizes lending for projects in partner countries. The</w:t>
      </w:r>
      <w:r>
        <w:t xml:space="preserve"> </w:t>
      </w:r>
      <w:r>
        <w:t xml:space="preserve">ELM focuses on climate action, sustainable infrastructure, private</w:t>
      </w:r>
      <w:r>
        <w:t xml:space="preserve"> </w:t>
      </w:r>
      <w:r>
        <w:t xml:space="preserve">sector development, and migration-related investments.</w:t>
      </w:r>
    </w:p>
    <w:p>
      <w:pPr>
        <w:pStyle w:val="BodyText"/>
      </w:pPr>
      <w:r>
        <w:t xml:space="preserve">Potential allocation for Iran: EUR 500 million for energy, transport,</w:t>
      </w:r>
      <w:r>
        <w:t xml:space="preserve"> </w:t>
      </w:r>
      <w:r>
        <w:t xml:space="preserve">and water infrastructure. EIB loans carry favorable terms with long</w:t>
      </w:r>
      <w:r>
        <w:t xml:space="preserve"> </w:t>
      </w:r>
      <w:r>
        <w:t xml:space="preserve">maturities (15-25 years) and grace periods.</w:t>
      </w:r>
    </w:p>
    <w:p>
      <w:pPr>
        <w:pStyle w:val="BodyText"/>
      </w:pPr>
      <w:r>
        <w:t xml:space="preserve">Application pathway: Iran submits a project proposal through the EIB’s</w:t>
      </w:r>
      <w:r>
        <w:t xml:space="preserve"> </w:t>
      </w:r>
      <w:r>
        <w:t xml:space="preserve">regional representation or through an EU member state sponsor. EIB</w:t>
      </w:r>
      <w:r>
        <w:t xml:space="preserve"> </w:t>
      </w:r>
      <w:r>
        <w:t xml:space="preserve">conducts due diligence (90-120 days), followed by board approval. EIB</w:t>
      </w:r>
      <w:r>
        <w:t xml:space="preserve"> </w:t>
      </w:r>
      <w:r>
        <w:t xml:space="preserve">operations outside the EU require a member state guarantee or</w:t>
      </w:r>
      <w:r>
        <w:t xml:space="preserve"> </w:t>
      </w:r>
      <w:r>
        <w:t xml:space="preserve">co-financing arrangement.</w:t>
      </w:r>
    </w:p>
    <w:p>
      <w:pPr>
        <w:pStyle w:val="BodyText"/>
      </w:pPr>
      <w:r>
        <w:t xml:space="preserve">E.2 Nordic and Commonwealth Development Agencies</w:t>
      </w:r>
    </w:p>
    <w:p>
      <w:pPr>
        <w:pStyle w:val="BodyText"/>
      </w:pPr>
      <w:r>
        <w:t xml:space="preserve">E.2.1 Norwegian Agency for Development Cooperation (Norad)</w:t>
      </w:r>
    </w:p>
    <w:p>
      <w:pPr>
        <w:pStyle w:val="BodyText"/>
      </w:pPr>
      <w:r>
        <w:t xml:space="preserve">Norway ranks first among DAC member countries in ODA as a share of GNI</w:t>
      </w:r>
      <w:r>
        <w:t xml:space="preserve"> </w:t>
      </w:r>
      <w:r>
        <w:t xml:space="preserve">(approximately 1% of GNI). Norad manages an annual development budget of</w:t>
      </w:r>
      <w:r>
        <w:t xml:space="preserve"> </w:t>
      </w:r>
      <w:r>
        <w:t xml:space="preserve">approximately NOK 60 billion. Norway allocates significant resources to</w:t>
      </w:r>
      <w:r>
        <w:t xml:space="preserve"> </w:t>
      </w:r>
      <w:r>
        <w:t xml:space="preserve">fragile states, humanitarian assistance, and post-conflict</w:t>
      </w:r>
      <w:r>
        <w:t xml:space="preserve"> </w:t>
      </w:r>
      <w:r>
        <w:t xml:space="preserve">reconstruction.</w:t>
      </w:r>
    </w:p>
    <w:p>
      <w:pPr>
        <w:pStyle w:val="BodyText"/>
      </w:pPr>
      <w:r>
        <w:t xml:space="preserve">Norway’s approach emphasizes multilateral channeling through the UN</w:t>
      </w:r>
      <w:r>
        <w:t xml:space="preserve"> </w:t>
      </w:r>
      <w:r>
        <w:t xml:space="preserve">system, World Bank trust funds, and bilateral partnerships. The Nansen</w:t>
      </w:r>
      <w:r>
        <w:t xml:space="preserve"> </w:t>
      </w:r>
      <w:r>
        <w:t xml:space="preserve">Support Programme model (currently deployed for Ukraine at NOK 275</w:t>
      </w:r>
      <w:r>
        <w:t xml:space="preserve"> </w:t>
      </w:r>
      <w:r>
        <w:t xml:space="preserve">billion through 2030) demonstrates Norway’s capacity for large-scale</w:t>
      </w:r>
      <w:r>
        <w:t xml:space="preserve"> </w:t>
      </w:r>
      <w:r>
        <w:t xml:space="preserve">reconstruction financing.</w:t>
      </w:r>
    </w:p>
    <w:p>
      <w:pPr>
        <w:pStyle w:val="BodyText"/>
      </w:pPr>
      <w:r>
        <w:t xml:space="preserve">Application pathway: Iran submits a funding request through Norad’s</w:t>
      </w:r>
      <w:r>
        <w:t xml:space="preserve"> </w:t>
      </w:r>
      <w:r>
        <w:t xml:space="preserve">partner country framework or through a multilateral trust fund. Norad</w:t>
      </w:r>
      <w:r>
        <w:t xml:space="preserve"> </w:t>
      </w:r>
      <w:r>
        <w:t xml:space="preserve">prioritizes applications channeled through the UN system, the World</w:t>
      </w:r>
      <w:r>
        <w:t xml:space="preserve"> </w:t>
      </w:r>
      <w:r>
        <w:t xml:space="preserve">Bank, or Norwegian civil society partners. Application review completes</w:t>
      </w:r>
      <w:r>
        <w:t xml:space="preserve"> </w:t>
      </w:r>
      <w:r>
        <w:t xml:space="preserve">within 90-180 days depending on funding mechanism.</w:t>
      </w:r>
    </w:p>
    <w:p>
      <w:pPr>
        <w:pStyle w:val="BodyText"/>
      </w:pPr>
      <w:r>
        <w:t xml:space="preserve">Focus sectors: Humanitarian assistance, governance restoration,</w:t>
      </w:r>
      <w:r>
        <w:t xml:space="preserve"> </w:t>
      </w:r>
      <w:r>
        <w:t xml:space="preserve">renewable energy, education, and institutional capacity building.</w:t>
      </w:r>
    </w:p>
    <w:p>
      <w:pPr>
        <w:pStyle w:val="BodyText"/>
      </w:pPr>
      <w:r>
        <w:t xml:space="preserve">E.2.2 Sweden International Development Cooperation Agency (Sida)</w:t>
      </w:r>
    </w:p>
    <w:p>
      <w:pPr>
        <w:pStyle w:val="BodyText"/>
      </w:pPr>
      <w:r>
        <w:t xml:space="preserve">Sida manages Sweden’s official development assistance with a focus on</w:t>
      </w:r>
      <w:r>
        <w:t xml:space="preserve"> </w:t>
      </w:r>
      <w:r>
        <w:t xml:space="preserve">human rights, democracy, gender equality, and sustainable development.</w:t>
      </w:r>
      <w:r>
        <w:t xml:space="preserve"> </w:t>
      </w:r>
      <w:r>
        <w:t xml:space="preserve">Sweden maintains core contributions to major UN agencies (UNHCR, UNFPA,</w:t>
      </w:r>
      <w:r>
        <w:t xml:space="preserve"> </w:t>
      </w:r>
      <w:r>
        <w:t xml:space="preserve">UNICEF, WFP) and provides significant humanitarian assistance.</w:t>
      </w:r>
    </w:p>
    <w:p>
      <w:pPr>
        <w:pStyle w:val="BodyText"/>
      </w:pPr>
      <w:r>
        <w:t xml:space="preserve">Application pathway: Iran accesses Swedish development funding through</w:t>
      </w:r>
      <w:r>
        <w:t xml:space="preserve"> </w:t>
      </w:r>
      <w:r>
        <w:t xml:space="preserve">Sida’s framework agreements with multilateral organizations or through</w:t>
      </w:r>
      <w:r>
        <w:t xml:space="preserve"> </w:t>
      </w:r>
      <w:r>
        <w:t xml:space="preserve">Swedish civil society partnerships. Direct bilateral applications</w:t>
      </w:r>
      <w:r>
        <w:t xml:space="preserve"> </w:t>
      </w:r>
      <w:r>
        <w:t xml:space="preserve">require a government-to-government agreement. Sida channels the majority</w:t>
      </w:r>
      <w:r>
        <w:t xml:space="preserve"> </w:t>
      </w:r>
      <w:r>
        <w:t xml:space="preserve">of its development funding through multilateral and civil society</w:t>
      </w:r>
      <w:r>
        <w:t xml:space="preserve"> </w:t>
      </w:r>
      <w:r>
        <w:t xml:space="preserve">partners.</w:t>
      </w:r>
    </w:p>
    <w:p>
      <w:pPr>
        <w:pStyle w:val="BodyText"/>
      </w:pPr>
      <w:r>
        <w:t xml:space="preserve">Focus sectors: Humanitarian aid, healthcare restoration, education,</w:t>
      </w:r>
      <w:r>
        <w:t xml:space="preserve"> </w:t>
      </w:r>
      <w:r>
        <w:t xml:space="preserve">gender equality, and democratic governance.</w:t>
      </w:r>
    </w:p>
    <w:p>
      <w:pPr>
        <w:pStyle w:val="BodyText"/>
      </w:pPr>
      <w:r>
        <w:t xml:space="preserve">E.2.3 Canada , Global Affairs Canada (GAC)</w:t>
      </w:r>
    </w:p>
    <w:p>
      <w:pPr>
        <w:pStyle w:val="BodyText"/>
      </w:pPr>
      <w:r>
        <w:t xml:space="preserve">Canada’s International Assistance Envelope totals approximately CAD 7.89</w:t>
      </w:r>
      <w:r>
        <w:t xml:space="preserve"> </w:t>
      </w:r>
      <w:r>
        <w:t xml:space="preserve">billion annually. Global Affairs Canada manages the Core Development</w:t>
      </w:r>
      <w:r>
        <w:t xml:space="preserve"> </w:t>
      </w:r>
      <w:r>
        <w:t xml:space="preserve">pool (CAD 4.7 billion), the Humanitarian Assistance pool (CAD 759</w:t>
      </w:r>
      <w:r>
        <w:t xml:space="preserve"> </w:t>
      </w:r>
      <w:r>
        <w:t xml:space="preserve">million), and the International Financial Institutions pool (CAD 1.46</w:t>
      </w:r>
      <w:r>
        <w:t xml:space="preserve"> </w:t>
      </w:r>
      <w:r>
        <w:t xml:space="preserve">billion).</w:t>
      </w:r>
    </w:p>
    <w:p>
      <w:pPr>
        <w:pStyle w:val="BodyText"/>
      </w:pPr>
      <w:r>
        <w:t xml:space="preserve">Canada contributes extensively to World Bank trust funds, UN agencies,</w:t>
      </w:r>
      <w:r>
        <w:t xml:space="preserve"> </w:t>
      </w:r>
      <w:r>
        <w:t xml:space="preserve">and regional development banks. Canada maintains board representation at</w:t>
      </w:r>
      <w:r>
        <w:t xml:space="preserve"> </w:t>
      </w:r>
      <w:r>
        <w:t xml:space="preserve">eight international financial institutions and channels significant</w:t>
      </w:r>
      <w:r>
        <w:t xml:space="preserve"> </w:t>
      </w:r>
      <w:r>
        <w:t xml:space="preserve">funding through multilateral mechanisms.</w:t>
      </w:r>
    </w:p>
    <w:p>
      <w:pPr>
        <w:pStyle w:val="BodyText"/>
      </w:pPr>
      <w:r>
        <w:t xml:space="preserve">Application pathway: Iran accesses Canadian funding through GAC’s</w:t>
      </w:r>
      <w:r>
        <w:t xml:space="preserve"> </w:t>
      </w:r>
      <w:r>
        <w:t xml:space="preserve">International Assistance Envelope via multilateral channels (World Bank,</w:t>
      </w:r>
      <w:r>
        <w:t xml:space="preserve"> </w:t>
      </w:r>
      <w:r>
        <w:t xml:space="preserve">UN agencies, regional development banks). Direct bilateral funding</w:t>
      </w:r>
      <w:r>
        <w:t xml:space="preserve"> </w:t>
      </w:r>
      <w:r>
        <w:t xml:space="preserve">requires a Canada-Iran development partnership framework. GAC encourages</w:t>
      </w:r>
      <w:r>
        <w:t xml:space="preserve"> </w:t>
      </w:r>
      <w:r>
        <w:t xml:space="preserve">applications through its multilateral partners for streamlined</w:t>
      </w:r>
      <w:r>
        <w:t xml:space="preserve"> </w:t>
      </w:r>
      <w:r>
        <w:t xml:space="preserve">processing.</w:t>
      </w:r>
    </w:p>
    <w:p>
      <w:pPr>
        <w:pStyle w:val="BodyText"/>
      </w:pPr>
      <w:r>
        <w:t xml:space="preserve">E.2.4 Australia , Department of Foreign Affairs and Trade (DFAT)</w:t>
      </w:r>
    </w:p>
    <w:p>
      <w:pPr>
        <w:pStyle w:val="BodyText"/>
      </w:pPr>
      <w:r>
        <w:t xml:space="preserve">Australia’s Official Development Assistance (ODA) budget allocates</w:t>
      </w:r>
      <w:r>
        <w:t xml:space="preserve"> </w:t>
      </w:r>
      <w:r>
        <w:t xml:space="preserve">funding across country programs, regional initiatives, and global</w:t>
      </w:r>
      <w:r>
        <w:t xml:space="preserve"> </w:t>
      </w:r>
      <w:r>
        <w:t xml:space="preserve">programs. DFAT manages Australia’s development cooperation with a focus</w:t>
      </w:r>
      <w:r>
        <w:t xml:space="preserve"> </w:t>
      </w:r>
      <w:r>
        <w:t xml:space="preserve">on the Indo-Pacific region while maintaining global humanitarian</w:t>
      </w:r>
      <w:r>
        <w:t xml:space="preserve"> </w:t>
      </w:r>
      <w:r>
        <w:t xml:space="preserve">programs.</w:t>
      </w:r>
    </w:p>
    <w:p>
      <w:pPr>
        <w:pStyle w:val="BodyText"/>
      </w:pPr>
      <w:r>
        <w:t xml:space="preserve">Application pathway: Iran accesses Australian funding through DFAT’s</w:t>
      </w:r>
      <w:r>
        <w:t xml:space="preserve"> </w:t>
      </w:r>
      <w:r>
        <w:t xml:space="preserve">global and humanitarian programs or through multilateral partnerships.</w:t>
      </w:r>
      <w:r>
        <w:t xml:space="preserve"> </w:t>
      </w:r>
      <w:r>
        <w:t xml:space="preserve">DFAT channels significant funding through the UN system, the World Bank,</w:t>
      </w:r>
      <w:r>
        <w:t xml:space="preserve"> </w:t>
      </w:r>
      <w:r>
        <w:t xml:space="preserve">and humanitarian organizations. Applications for multilateral trust fund</w:t>
      </w:r>
      <w:r>
        <w:t xml:space="preserve"> </w:t>
      </w:r>
      <w:r>
        <w:t xml:space="preserve">contributions proceed through the relevant fund administrator.</w:t>
      </w:r>
    </w:p>
    <w:p>
      <w:pPr>
        <w:pStyle w:val="BodyText"/>
      </w:pPr>
      <w:r>
        <w:t xml:space="preserve">E.2.5 New Zealand , Ministry of Foreign Affairs and Trade (MFAT)</w:t>
      </w:r>
    </w:p>
    <w:p>
      <w:pPr>
        <w:pStyle w:val="BodyText"/>
      </w:pPr>
      <w:r>
        <w:t xml:space="preserve">New Zealand’s International Development Cooperation Programme operates</w:t>
      </w:r>
      <w:r>
        <w:t xml:space="preserve"> </w:t>
      </w:r>
      <w:r>
        <w:t xml:space="preserve">on a three-year triennium basis with total funding of NZD 3.06 billion</w:t>
      </w:r>
      <w:r>
        <w:t xml:space="preserve"> </w:t>
      </w:r>
      <w:r>
        <w:t xml:space="preserve">for 2024-2027. MFAT organizes funding into six allocation groups:</w:t>
      </w:r>
      <w:r>
        <w:t xml:space="preserve"> </w:t>
      </w:r>
      <w:r>
        <w:t xml:space="preserve">Pacific Development Cooperation, Global Development Cooperation,</w:t>
      </w:r>
      <w:r>
        <w:t xml:space="preserve"> </w:t>
      </w:r>
      <w:r>
        <w:t xml:space="preserve">Humanitarian Assistance, Multilateral Agencies, and Strategic</w:t>
      </w:r>
      <w:r>
        <w:t xml:space="preserve"> </w:t>
      </w:r>
      <w:r>
        <w:t xml:space="preserve">Evaluation.</w:t>
      </w:r>
    </w:p>
    <w:p>
      <w:pPr>
        <w:pStyle w:val="BodyText"/>
      </w:pPr>
      <w:r>
        <w:t xml:space="preserve">Application pathway: Iran accesses New Zealand funding through MFAT’s</w:t>
      </w:r>
      <w:r>
        <w:t xml:space="preserve"> </w:t>
      </w:r>
      <w:r>
        <w:t xml:space="preserve">Humanitarian Assistance allocation (NZD 291 million over the triennium)</w:t>
      </w:r>
      <w:r>
        <w:t xml:space="preserve"> </w:t>
      </w:r>
      <w:r>
        <w:t xml:space="preserve">or through multilateral partnerships. MFAT prioritizes funding through</w:t>
      </w:r>
      <w:r>
        <w:t xml:space="preserve"> </w:t>
      </w:r>
      <w:r>
        <w:t xml:space="preserve">the UN system, ICRC, and international NGOs. Direct bilateral</w:t>
      </w:r>
      <w:r>
        <w:t xml:space="preserve"> </w:t>
      </w:r>
      <w:r>
        <w:t xml:space="preserve">applications require a partnership agreement.</w:t>
      </w:r>
    </w:p>
    <w:p>
      <w:pPr>
        <w:pStyle w:val="BodyText"/>
      </w:pPr>
      <w:r>
        <w:t xml:space="preserve">E.3 Asia-Pacific Development Partners</w:t>
      </w:r>
    </w:p>
    <w:p>
      <w:pPr>
        <w:pStyle w:val="BodyText"/>
      </w:pPr>
      <w:r>
        <w:t xml:space="preserve">E.3.1 Japan International Cooperation Agency (JICA)</w:t>
      </w:r>
    </w:p>
    <w:p>
      <w:pPr>
        <w:pStyle w:val="BodyText"/>
      </w:pPr>
      <w:r>
        <w:t xml:space="preserve">JICA implements Japan’s official development assistance through</w:t>
      </w:r>
      <w:r>
        <w:t xml:space="preserve"> </w:t>
      </w:r>
      <w:r>
        <w:t xml:space="preserve">concessional loans, grants, and technical cooperation. JICA maintains</w:t>
      </w:r>
      <w:r>
        <w:t xml:space="preserve"> </w:t>
      </w:r>
      <w:r>
        <w:t xml:space="preserve">expertise in infrastructure development, disaster resilience, energy</w:t>
      </w:r>
      <w:r>
        <w:t xml:space="preserve"> </w:t>
      </w:r>
      <w:r>
        <w:t xml:space="preserve">efficiency, and water resource management.</w:t>
      </w:r>
    </w:p>
    <w:p>
      <w:pPr>
        <w:pStyle w:val="BodyText"/>
      </w:pPr>
      <w:r>
        <w:t xml:space="preserve">Application pathway: Iran submits a request for cooperation through the</w:t>
      </w:r>
      <w:r>
        <w:t xml:space="preserve"> </w:t>
      </w:r>
      <w:r>
        <w:t xml:space="preserve">Japanese embassy in Tehran. JICA conducts a preliminary survey (60-90</w:t>
      </w:r>
      <w:r>
        <w:t xml:space="preserve"> </w:t>
      </w:r>
      <w:r>
        <w:t xml:space="preserve">days), followed by detailed project formulation. Loan and grant</w:t>
      </w:r>
      <w:r>
        <w:t xml:space="preserve"> </w:t>
      </w:r>
      <w:r>
        <w:t xml:space="preserve">agreements require approval by the Japanese cabinet. Technical</w:t>
      </w:r>
      <w:r>
        <w:t xml:space="preserve"> </w:t>
      </w:r>
      <w:r>
        <w:t xml:space="preserve">cooperation projects initiate within 6-12 months of request.</w:t>
      </w:r>
    </w:p>
    <w:p>
      <w:pPr>
        <w:pStyle w:val="BodyText"/>
      </w:pPr>
      <w:r>
        <w:t xml:space="preserve">E.3.2 Korea International Cooperation Agency (KOICA)</w:t>
      </w:r>
    </w:p>
    <w:p>
      <w:pPr>
        <w:pStyle w:val="BodyText"/>
      </w:pPr>
      <w:r>
        <w:t xml:space="preserve">KOICA administers South Korea’s grant aid and technical cooperation</w:t>
      </w:r>
      <w:r>
        <w:t xml:space="preserve"> </w:t>
      </w:r>
      <w:r>
        <w:t xml:space="preserve">programs. South Korea’s development assistance emphasizes</w:t>
      </w:r>
      <w:r>
        <w:t xml:space="preserve"> </w:t>
      </w:r>
      <w:r>
        <w:t xml:space="preserve">infrastructure, education, health, and technology transfer. KOICA</w:t>
      </w:r>
      <w:r>
        <w:t xml:space="preserve"> </w:t>
      </w:r>
      <w:r>
        <w:t xml:space="preserve">operates country partnership programs aligned with recipient government</w:t>
      </w:r>
      <w:r>
        <w:t xml:space="preserve"> </w:t>
      </w:r>
      <w:r>
        <w:t xml:space="preserve">priorities.</w:t>
      </w:r>
    </w:p>
    <w:p>
      <w:pPr>
        <w:pStyle w:val="BodyText"/>
      </w:pPr>
      <w:r>
        <w:t xml:space="preserve">Application pathway: Iran submits a cooperation request through the</w:t>
      </w:r>
      <w:r>
        <w:t xml:space="preserve"> </w:t>
      </w:r>
      <w:r>
        <w:t xml:space="preserve">Korean embassy in Tehran. KOICA conducts a country partnership</w:t>
      </w:r>
      <w:r>
        <w:t xml:space="preserve"> </w:t>
      </w:r>
      <w:r>
        <w:t xml:space="preserve">assessment and identifies priority sectors. Project proposals undergo</w:t>
      </w:r>
      <w:r>
        <w:t xml:space="preserve"> </w:t>
      </w:r>
      <w:r>
        <w:t xml:space="preserve">KOICA technical review (60-90 days) followed by board approval.</w:t>
      </w:r>
      <w:r>
        <w:t xml:space="preserve"> </w:t>
      </w:r>
      <w:r>
        <w:t xml:space="preserve">Implementation begins within 6 months of approval.</w:t>
      </w:r>
    </w:p>
    <w:p>
      <w:pPr>
        <w:pStyle w:val="BodyText"/>
      </w:pPr>
      <w:r>
        <w:t xml:space="preserve">E.3.3 Asian Development Bank (ADB)</w:t>
      </w:r>
    </w:p>
    <w:p>
      <w:pPr>
        <w:pStyle w:val="BodyText"/>
      </w:pPr>
      <w:r>
        <w:t xml:space="preserve">The ADB provides sovereign lending, grants, and technical assistance to</w:t>
      </w:r>
      <w:r>
        <w:t xml:space="preserve"> </w:t>
      </w:r>
      <w:r>
        <w:t xml:space="preserve">developing member countries. The ADB’s Emergency Assistance Lending</w:t>
      </w:r>
      <w:r>
        <w:t xml:space="preserve"> </w:t>
      </w:r>
      <w:r>
        <w:t xml:space="preserve">(EAL) instrument specifically addresses post-conflict reconstruction,</w:t>
      </w:r>
      <w:r>
        <w:t xml:space="preserve"> </w:t>
      </w:r>
      <w:r>
        <w:t xml:space="preserve">offering rapid response financing for high-priority infrastructure</w:t>
      </w:r>
      <w:r>
        <w:t xml:space="preserve"> </w:t>
      </w:r>
      <w:r>
        <w:t xml:space="preserve">rehabilitation.</w:t>
      </w:r>
    </w:p>
    <w:p>
      <w:pPr>
        <w:pStyle w:val="BodyText"/>
      </w:pPr>
      <w:r>
        <w:t xml:space="preserve">Application pathway: Iran submits a project proposal through the ADB’s</w:t>
      </w:r>
      <w:r>
        <w:t xml:space="preserve"> </w:t>
      </w:r>
      <w:r>
        <w:t xml:space="preserve">Iran Resident Mission or through the Ministry of Economy. ADB conducts</w:t>
      </w:r>
      <w:r>
        <w:t xml:space="preserve"> </w:t>
      </w:r>
      <w:r>
        <w:t xml:space="preserve">project appraisal (90-120 days), followed by board approval.</w:t>
      </w:r>
      <w:r>
        <w:t xml:space="preserve"> </w:t>
      </w:r>
      <w:r>
        <w:t xml:space="preserve">Post-conflict emergency assistance receives expedited processing (60-90</w:t>
      </w:r>
      <w:r>
        <w:t xml:space="preserve"> </w:t>
      </w:r>
      <w:r>
        <w:t xml:space="preserve">days). The ADB also provides technical assistance grants for project</w:t>
      </w:r>
      <w:r>
        <w:t xml:space="preserve"> </w:t>
      </w:r>
      <w:r>
        <w:t xml:space="preserve">preparation.</w:t>
      </w:r>
    </w:p>
    <w:p>
      <w:pPr>
        <w:pStyle w:val="BodyText"/>
      </w:pPr>
      <w:r>
        <w:t xml:space="preserve">E.4 Sovereign Wealth Funds and Institutional Investors</w:t>
      </w:r>
    </w:p>
    <w:p>
      <w:pPr>
        <w:pStyle w:val="BodyText"/>
      </w:pPr>
      <w:r>
        <w:t xml:space="preserve">E.4.1 Government of Singapore Investment Corporation (GIC)</w:t>
      </w:r>
    </w:p>
    <w:p>
      <w:pPr>
        <w:pStyle w:val="BodyText"/>
      </w:pPr>
      <w:r>
        <w:t xml:space="preserve">GIC manages Singapore’s sovereign wealth with a diversified global</w:t>
      </w:r>
      <w:r>
        <w:t xml:space="preserve"> </w:t>
      </w:r>
      <w:r>
        <w:t xml:space="preserve">portfolio across asset classes including infrastructure, real estate,</w:t>
      </w:r>
      <w:r>
        <w:t xml:space="preserve"> </w:t>
      </w:r>
      <w:r>
        <w:t xml:space="preserve">and private equity. GIC actively co-invests in infrastructure projects</w:t>
      </w:r>
      <w:r>
        <w:t xml:space="preserve"> </w:t>
      </w:r>
      <w:r>
        <w:t xml:space="preserve">and maintains a significant allocation to emerging market</w:t>
      </w:r>
      <w:r>
        <w:t xml:space="preserve"> </w:t>
      </w:r>
      <w:r>
        <w:t xml:space="preserve">infrastructure.</w:t>
      </w:r>
    </w:p>
    <w:p>
      <w:pPr>
        <w:pStyle w:val="BodyText"/>
      </w:pPr>
      <w:r>
        <w:t xml:space="preserve">GIC deployed over USD 13.7 billion in digitalization and AI-related</w:t>
      </w:r>
      <w:r>
        <w:t xml:space="preserve"> </w:t>
      </w:r>
      <w:r>
        <w:t xml:space="preserve">infrastructure investments in 2025 alone, and remains the world’s most</w:t>
      </w:r>
      <w:r>
        <w:t xml:space="preserve"> </w:t>
      </w:r>
      <w:r>
        <w:t xml:space="preserve">active co-investor among sovereign wealth funds. GIC has a stated</w:t>
      </w:r>
      <w:r>
        <w:t xml:space="preserve"> </w:t>
      </w:r>
      <w:r>
        <w:t xml:space="preserve">interest in energy transition infrastructure, data centers, and</w:t>
      </w:r>
      <w:r>
        <w:t xml:space="preserve"> </w:t>
      </w:r>
      <w:r>
        <w:t xml:space="preserve">sustainable development projects.</w:t>
      </w:r>
    </w:p>
    <w:p>
      <w:pPr>
        <w:pStyle w:val="BodyText"/>
      </w:pPr>
      <w:r>
        <w:t xml:space="preserve">Application pathway: GIC participates through direct investment or</w:t>
      </w:r>
      <w:r>
        <w:t xml:space="preserve"> </w:t>
      </w:r>
      <w:r>
        <w:t xml:space="preserve">co-investment arrangements. Iran presents infrastructure opportunities</w:t>
      </w:r>
      <w:r>
        <w:t xml:space="preserve"> </w:t>
      </w:r>
      <w:r>
        <w:t xml:space="preserve">through the RSC investment desk. GIC conducts independent due diligence</w:t>
      </w:r>
      <w:r>
        <w:t xml:space="preserve"> </w:t>
      </w:r>
      <w:r>
        <w:t xml:space="preserve">and negotiates investment terms directly. Co-investment with other MRF</w:t>
      </w:r>
      <w:r>
        <w:t xml:space="preserve"> </w:t>
      </w:r>
      <w:r>
        <w:t xml:space="preserve">contributors is actively encouraged.</w:t>
      </w:r>
    </w:p>
    <w:p>
      <w:pPr>
        <w:pStyle w:val="BodyText"/>
      </w:pPr>
      <w:r>
        <w:t xml:space="preserve">E.4.2 Norway Government Pension Fund Global (GPFG)</w:t>
      </w:r>
    </w:p>
    <w:p>
      <w:pPr>
        <w:pStyle w:val="BodyText"/>
      </w:pPr>
      <w:r>
        <w:t xml:space="preserve">The GPFG (managed by Norges Bank Investment Management) holds over USD</w:t>
      </w:r>
      <w:r>
        <w:t xml:space="preserve"> </w:t>
      </w:r>
      <w:r>
        <w:t xml:space="preserve">1.7 trillion in assets, making it the world’s largest sovereign wealth</w:t>
      </w:r>
      <w:r>
        <w:t xml:space="preserve"> </w:t>
      </w:r>
      <w:r>
        <w:t xml:space="preserve">fund. The GPFG allocates approximately 3% of its portfolio to real</w:t>
      </w:r>
      <w:r>
        <w:t xml:space="preserve"> </w:t>
      </w:r>
      <w:r>
        <w:t xml:space="preserve">assets including infrastructure and real estate.</w:t>
      </w:r>
    </w:p>
    <w:p>
      <w:pPr>
        <w:pStyle w:val="BodyText"/>
      </w:pPr>
      <w:r>
        <w:t xml:space="preserve">Application pathway: GPFG invests through public markets and private</w:t>
      </w:r>
      <w:r>
        <w:t xml:space="preserve"> </w:t>
      </w:r>
      <w:r>
        <w:t xml:space="preserve">infrastructure funds rather than direct project finance. Iran-related</w:t>
      </w:r>
      <w:r>
        <w:t xml:space="preserve"> </w:t>
      </w:r>
      <w:r>
        <w:t xml:space="preserve">opportunities require GPFG’s ethical council assessment for compliance</w:t>
      </w:r>
      <w:r>
        <w:t xml:space="preserve"> </w:t>
      </w:r>
      <w:r>
        <w:t xml:space="preserve">with the fund’s responsible investment guidelines. The RSC secretariat</w:t>
      </w:r>
      <w:r>
        <w:t xml:space="preserve"> </w:t>
      </w:r>
      <w:r>
        <w:t xml:space="preserve">maintains engagement with NBIM for potential portfolio investment in</w:t>
      </w:r>
      <w:r>
        <w:t xml:space="preserve"> </w:t>
      </w:r>
      <w:r>
        <w:t xml:space="preserve">Iran-linked infrastructure funds.</w:t>
      </w:r>
    </w:p>
    <w:p>
      <w:pPr>
        <w:pStyle w:val="BodyText"/>
      </w:pPr>
      <w:r>
        <w:t xml:space="preserve">E.4.3 Netherlands , Development Finance Institutions</w:t>
      </w:r>
    </w:p>
    <w:p>
      <w:pPr>
        <w:pStyle w:val="BodyText"/>
      </w:pPr>
      <w:r>
        <w:t xml:space="preserve">The Netherlands deploys development finance through multiple channels:</w:t>
      </w:r>
      <w:r>
        <w:t xml:space="preserve"> </w:t>
      </w:r>
      <w:r>
        <w:t xml:space="preserve">the Dutch Development Bank (FMO) for private sector investment, the</w:t>
      </w:r>
      <w:r>
        <w:t xml:space="preserve"> </w:t>
      </w:r>
      <w:r>
        <w:t xml:space="preserve">Investment Fund for Developing Countries (Dutch Investment Fund), and</w:t>
      </w:r>
      <w:r>
        <w:t xml:space="preserve"> </w:t>
      </w:r>
      <w:r>
        <w:t xml:space="preserve">the Netherlands Enterprise Agency (RVO) for trade and development</w:t>
      </w:r>
      <w:r>
        <w:t xml:space="preserve"> </w:t>
      </w:r>
      <w:r>
        <w:t xml:space="preserve">partnerships.</w:t>
      </w:r>
    </w:p>
    <w:p>
      <w:pPr>
        <w:pStyle w:val="BodyText"/>
      </w:pPr>
      <w:r>
        <w:t xml:space="preserve">Application pathway: Iran accesses Dutch development finance through</w:t>
      </w:r>
      <w:r>
        <w:t xml:space="preserve"> </w:t>
      </w:r>
      <w:r>
        <w:t xml:space="preserve">FMO’s emerging markets infrastructure window or through the Dutch Good</w:t>
      </w:r>
      <w:r>
        <w:t xml:space="preserve"> </w:t>
      </w:r>
      <w:r>
        <w:t xml:space="preserve">Growth Fund. Applications require a viable business case and development</w:t>
      </w:r>
      <w:r>
        <w:t xml:space="preserve"> </w:t>
      </w:r>
      <w:r>
        <w:t xml:space="preserve">impact assessment. FMO co-finances with other development finance</w:t>
      </w:r>
      <w:r>
        <w:t xml:space="preserve"> </w:t>
      </w:r>
      <w:r>
        <w:t xml:space="preserve">institutions and private investors.</w:t>
      </w:r>
    </w:p>
    <w:p>
      <w:pPr>
        <w:pStyle w:val="BodyText"/>
      </w:pPr>
      <w:r>
        <w:t xml:space="preserve">E.5 United Kingdom Development Partnerships</w:t>
      </w:r>
    </w:p>
    <w:p>
      <w:pPr>
        <w:pStyle w:val="BodyText"/>
      </w:pPr>
      <w:r>
        <w:t xml:space="preserve">E.5.1 UK Foreign, Commonwealth and Development Office (FCDO)</w:t>
      </w:r>
    </w:p>
    <w:p>
      <w:pPr>
        <w:pStyle w:val="BodyText"/>
      </w:pPr>
      <w:r>
        <w:t xml:space="preserve">The FCDO manages the UK’s Official Development Assistance (ODA)</w:t>
      </w:r>
      <w:r>
        <w:t xml:space="preserve"> </w:t>
      </w:r>
      <w:r>
        <w:t xml:space="preserve">spending, which totaled over GBP 8 billion in 2024. The UK channels</w:t>
      </w:r>
      <w:r>
        <w:t xml:space="preserve"> </w:t>
      </w:r>
      <w:r>
        <w:t xml:space="preserve">significant funding through multilateral development banks (GBP 2.3</w:t>
      </w:r>
      <w:r>
        <w:t xml:space="preserve"> </w:t>
      </w:r>
      <w:r>
        <w:t xml:space="preserve">billion), global health bodies (GBP 1.5 billion), climate funds (GBP 586</w:t>
      </w:r>
      <w:r>
        <w:t xml:space="preserve"> </w:t>
      </w:r>
      <w:r>
        <w:t xml:space="preserve">million), and UN agencies (GBP 253 million).</w:t>
      </w:r>
    </w:p>
    <w:p>
      <w:pPr>
        <w:pStyle w:val="BodyText"/>
      </w:pPr>
      <w:r>
        <w:t xml:space="preserve">Application pathway: Iran accesses UK development funding through</w:t>
      </w:r>
      <w:r>
        <w:t xml:space="preserve"> </w:t>
      </w:r>
      <w:r>
        <w:t xml:space="preserve">multilateral channels (World Bank trust funds, UN agencies, climate</w:t>
      </w:r>
      <w:r>
        <w:t xml:space="preserve"> </w:t>
      </w:r>
      <w:r>
        <w:t xml:space="preserve">funds). The FCDO directs the majority of its development spending</w:t>
      </w:r>
      <w:r>
        <w:t xml:space="preserve"> </w:t>
      </w:r>
      <w:r>
        <w:t xml:space="preserve">through multilateral institutions. Direct bilateral applications require</w:t>
      </w:r>
      <w:r>
        <w:t xml:space="preserve"> </w:t>
      </w:r>
      <w:r>
        <w:t xml:space="preserve">an approved country partnership framework.</w:t>
      </w:r>
    </w:p>
    <w:p>
      <w:pPr>
        <w:pStyle w:val="BodyText"/>
      </w:pPr>
      <w:r>
        <w:t xml:space="preserve">E.6 Private Foundations and Philanthropic Sources</w:t>
      </w:r>
    </w:p>
    <w:p>
      <w:pPr>
        <w:pStyle w:val="BodyText"/>
      </w:pPr>
      <w:r>
        <w:t xml:space="preserve">E.6.1 Rockefeller Foundation</w:t>
      </w:r>
    </w:p>
    <w:p>
      <w:pPr>
        <w:pStyle w:val="BodyText"/>
      </w:pPr>
      <w:r>
        <w:t xml:space="preserve">The Rockefeller Foundation maintains a USD 100 million commitment to</w:t>
      </w:r>
      <w:r>
        <w:t xml:space="preserve"> </w:t>
      </w:r>
      <w:r>
        <w:t xml:space="preserve">climate and health solutions announced at COP28. The Foundation supports</w:t>
      </w:r>
      <w:r>
        <w:t xml:space="preserve"> </w:t>
      </w:r>
      <w:r>
        <w:t xml:space="preserve">the Adaptation and Resilience Fund (in partnership with ClimateWorks</w:t>
      </w:r>
      <w:r>
        <w:t xml:space="preserve"> </w:t>
      </w:r>
      <w:r>
        <w:t xml:space="preserve">Foundation) and focuses on building resilience in cities facing</w:t>
      </w:r>
      <w:r>
        <w:t xml:space="preserve"> </w:t>
      </w:r>
      <w:r>
        <w:t xml:space="preserve">climate-related health threats.</w:t>
      </w:r>
    </w:p>
    <w:p>
      <w:pPr>
        <w:pStyle w:val="BodyText"/>
      </w:pPr>
      <w:r>
        <w:t xml:space="preserve">Application pathway: The Foundation accepts proposals through its open</w:t>
      </w:r>
      <w:r>
        <w:t xml:space="preserve"> </w:t>
      </w:r>
      <w:r>
        <w:t xml:space="preserve">application portal and through partnership networks. The RSC secretariat</w:t>
      </w:r>
      <w:r>
        <w:t xml:space="preserve"> </w:t>
      </w:r>
      <w:r>
        <w:t xml:space="preserve">coordinates with the Foundation’s regional representatives to identify</w:t>
      </w:r>
      <w:r>
        <w:t xml:space="preserve"> </w:t>
      </w:r>
      <w:r>
        <w:t xml:space="preserve">aligned projects. Priority areas include climate-resilient health</w:t>
      </w:r>
      <w:r>
        <w:t xml:space="preserve"> </w:t>
      </w:r>
      <w:r>
        <w:t xml:space="preserve">infrastructure, urban resilience, and energy access.</w:t>
      </w:r>
    </w:p>
    <w:p>
      <w:pPr>
        <w:pStyle w:val="BodyText"/>
      </w:pPr>
      <w:r>
        <w:t xml:space="preserve">E.6.2 ClimateWorks Foundation , Adaptation and Resilience Fund</w:t>
      </w:r>
    </w:p>
    <w:p>
      <w:pPr>
        <w:pStyle w:val="BodyText"/>
      </w:pPr>
      <w:r>
        <w:t xml:space="preserve">The Adaptation and Resilience Fund directs philanthropic capital to</w:t>
      </w:r>
      <w:r>
        <w:t xml:space="preserve"> </w:t>
      </w:r>
      <w:r>
        <w:t xml:space="preserve">climate resilience solutions in low- and middle-income countries. The</w:t>
      </w:r>
      <w:r>
        <w:t xml:space="preserve"> </w:t>
      </w:r>
      <w:r>
        <w:t xml:space="preserve">Fund focuses on four pillars: evidence-based policy research,</w:t>
      </w:r>
      <w:r>
        <w:t xml:space="preserve"> </w:t>
      </w:r>
      <w:r>
        <w:t xml:space="preserve">institutional capacity strengthening, innovative finance mechanisms, and</w:t>
      </w:r>
      <w:r>
        <w:t xml:space="preserve"> </w:t>
      </w:r>
      <w:r>
        <w:t xml:space="preserve">community-led resilience programs.</w:t>
      </w:r>
    </w:p>
    <w:p>
      <w:pPr>
        <w:pStyle w:val="BodyText"/>
      </w:pPr>
      <w:r>
        <w:t xml:space="preserve">Application pathway: The Fund accepts proposals from implementing</w:t>
      </w:r>
      <w:r>
        <w:t xml:space="preserve"> </w:t>
      </w:r>
      <w:r>
        <w:t xml:space="preserve">organizations, research institutions, and local governments.</w:t>
      </w:r>
      <w:r>
        <w:t xml:space="preserve"> </w:t>
      </w:r>
      <w:r>
        <w:t xml:space="preserve">Applications undergo a two-stage review: concept note (30-day review)</w:t>
      </w:r>
      <w:r>
        <w:t xml:space="preserve"> </w:t>
      </w:r>
      <w:r>
        <w:t xml:space="preserve">followed by full proposal (60-day review). The RSC facilitates</w:t>
      </w:r>
      <w:r>
        <w:t xml:space="preserve"> </w:t>
      </w:r>
      <w:r>
        <w:t xml:space="preserve">introductions between Iranian implementing agencies and the Fund’s</w:t>
      </w:r>
      <w:r>
        <w:t xml:space="preserve"> </w:t>
      </w:r>
      <w:r>
        <w:t xml:space="preserve">network.</w:t>
      </w:r>
    </w:p>
    <w:p>
      <w:pPr>
        <w:pStyle w:val="BodyText"/>
      </w:pPr>
      <w:r>
        <w:t xml:space="preserve">E.7 Specialized Multilateral Facilities</w:t>
      </w:r>
    </w:p>
    <w:p>
      <w:pPr>
        <w:pStyle w:val="BodyText"/>
      </w:pPr>
      <w:r>
        <w:t xml:space="preserve">E.7.1 OPEC Fund for International Development (OFID)</w:t>
      </w:r>
    </w:p>
    <w:p>
      <w:pPr>
        <w:pStyle w:val="BodyText"/>
      </w:pPr>
      <w:r>
        <w:t xml:space="preserve">The OPEC Fund provides concessional financing, grants, and technical</w:t>
      </w:r>
      <w:r>
        <w:t xml:space="preserve"> </w:t>
      </w:r>
      <w:r>
        <w:t xml:space="preserve">assistance to developing countries. The Fund operates across all</w:t>
      </w:r>
      <w:r>
        <w:t xml:space="preserve"> </w:t>
      </w:r>
      <w:r>
        <w:t xml:space="preserve">developing regions with a focus on energy, transportation, water,</w:t>
      </w:r>
      <w:r>
        <w:t xml:space="preserve"> </w:t>
      </w:r>
      <w:r>
        <w:t xml:space="preserve">health, and education. Iran qualifies as a partner country through its</w:t>
      </w:r>
      <w:r>
        <w:t xml:space="preserve"> </w:t>
      </w:r>
      <w:r>
        <w:t xml:space="preserve">OPEC membership.</w:t>
      </w:r>
    </w:p>
    <w:p>
      <w:pPr>
        <w:pStyle w:val="BodyText"/>
      </w:pPr>
      <w:r>
        <w:t xml:space="preserve">Application pathway for sovereign loans: Iran submits a project proposal</w:t>
      </w:r>
      <w:r>
        <w:t xml:space="preserve"> </w:t>
      </w:r>
      <w:r>
        <w:t xml:space="preserve">through the OFID country representative or directly to OFID headquarters</w:t>
      </w:r>
      <w:r>
        <w:t xml:space="preserve"> </w:t>
      </w:r>
      <w:r>
        <w:t xml:space="preserve">in Vienna. The proposal undergoes technical appraisal (60-90 days),</w:t>
      </w:r>
      <w:r>
        <w:t xml:space="preserve"> </w:t>
      </w:r>
      <w:r>
        <w:t xml:space="preserve">followed by board approval. Loan disbursement proceeds upon signing of</w:t>
      </w:r>
      <w:r>
        <w:t xml:space="preserve"> </w:t>
      </w:r>
      <w:r>
        <w:t xml:space="preserve">the financing agreement.</w:t>
      </w:r>
    </w:p>
    <w:p>
      <w:pPr>
        <w:pStyle w:val="BodyText"/>
      </w:pPr>
      <w:r>
        <w:t xml:space="preserve">Application pathway for grants: Eligible partners submit grant</w:t>
      </w:r>
      <w:r>
        <w:t xml:space="preserve"> </w:t>
      </w:r>
      <w:r>
        <w:t xml:space="preserve">applications to SPES-GTA@ofid.org. Grant applications include: project</w:t>
      </w:r>
      <w:r>
        <w:t xml:space="preserve"> </w:t>
      </w:r>
      <w:r>
        <w:t xml:space="preserve">description, budget, implementation timeline, and expected outcomes. The</w:t>
      </w:r>
      <w:r>
        <w:t xml:space="preserve"> </w:t>
      </w:r>
      <w:r>
        <w:t xml:space="preserve">Fund reviews applications on a rolling basis with no fixed deadline.</w:t>
      </w:r>
    </w:p>
    <w:p>
      <w:pPr>
        <w:pStyle w:val="BodyText"/>
      </w:pPr>
      <w:r>
        <w:t xml:space="preserve">Application pathway for private sector: Project sponsors submit an</w:t>
      </w:r>
      <w:r>
        <w:t xml:space="preserve"> </w:t>
      </w:r>
      <w:r>
        <w:t xml:space="preserve">initial documentation package including project description, market</w:t>
      </w:r>
      <w:r>
        <w:t xml:space="preserve"> </w:t>
      </w:r>
      <w:r>
        <w:t xml:space="preserve">analysis, organizational structure, and financial projections. OFID</w:t>
      </w:r>
      <w:r>
        <w:t xml:space="preserve"> </w:t>
      </w:r>
      <w:r>
        <w:t xml:space="preserve">requests a full feasibility study upon favorable preliminary review.</w:t>
      </w:r>
      <w:r>
        <w:t xml:space="preserve"> </w:t>
      </w:r>
      <w:r>
        <w:t xml:space="preserve">Contact: opecfund.org/what-we-do/private-sector/applying-for-funding</w:t>
      </w:r>
    </w:p>
    <w:p>
      <w:pPr>
        <w:pStyle w:val="BodyText"/>
      </w:pPr>
      <w:r>
        <w:t xml:space="preserve">E.7.2 African Development Bank , Transition Support Facility (TSF)</w:t>
      </w:r>
    </w:p>
    <w:p>
      <w:pPr>
        <w:pStyle w:val="BodyText"/>
      </w:pPr>
      <w:r>
        <w:t xml:space="preserve">While the AfDB’s primary mandate covers Africa, its Transition Support</w:t>
      </w:r>
      <w:r>
        <w:t xml:space="preserve"> </w:t>
      </w:r>
      <w:r>
        <w:t xml:space="preserve">Facility model demonstrates the operational framework for post-conflict</w:t>
      </w:r>
      <w:r>
        <w:t xml:space="preserve"> </w:t>
      </w:r>
      <w:r>
        <w:t xml:space="preserve">reconstruction financing. The TSF mobilized over USD 4.9 billion for</w:t>
      </w:r>
      <w:r>
        <w:t xml:space="preserve"> </w:t>
      </w:r>
      <w:r>
        <w:t xml:space="preserve">fragile states and pioneered Security-Indexed Investment Bonds (SIIBs)</w:t>
      </w:r>
      <w:r>
        <w:t xml:space="preserve"> </w:t>
      </w:r>
      <w:r>
        <w:t xml:space="preserve">to finance peace-supporting infrastructure.</w:t>
      </w:r>
    </w:p>
    <w:p>
      <w:pPr>
        <w:pStyle w:val="BodyText"/>
      </w:pPr>
      <w:r>
        <w:t xml:space="preserve">The AfDB’s partnership with the Islamic Development Bank (IsDB) and ICRC</w:t>
      </w:r>
      <w:r>
        <w:t xml:space="preserve"> </w:t>
      </w:r>
      <w:r>
        <w:t xml:space="preserve">creates a trilateral cooperation framework for conflict-affected</w:t>
      </w:r>
      <w:r>
        <w:t xml:space="preserve"> </w:t>
      </w:r>
      <w:r>
        <w:t xml:space="preserve">settings. This framework offers lessons for MRF operations in Iran,</w:t>
      </w:r>
      <w:r>
        <w:t xml:space="preserve"> </w:t>
      </w:r>
      <w:r>
        <w:t xml:space="preserve">particularly in sequencing rehabilitation investments and coordinating</w:t>
      </w:r>
      <w:r>
        <w:t xml:space="preserve"> </w:t>
      </w:r>
      <w:r>
        <w:t xml:space="preserve">humanitarian and development financing.</w:t>
      </w:r>
    </w:p>
    <w:p>
      <w:pPr>
        <w:pStyle w:val="BodyText"/>
      </w:pPr>
      <w:r>
        <w:t xml:space="preserve">E.7.3 Switzerland , State Secretariat for Economic Affairs (SECO)</w:t>
      </w:r>
    </w:p>
    <w:p>
      <w:pPr>
        <w:pStyle w:val="BodyText"/>
      </w:pPr>
      <w:r>
        <w:t xml:space="preserve">SECO manages Switzerland’s economic development cooperation with a focus</w:t>
      </w:r>
      <w:r>
        <w:t xml:space="preserve"> </w:t>
      </w:r>
      <w:r>
        <w:t xml:space="preserve">on private sector development, sustainable infrastructure, and climate</w:t>
      </w:r>
      <w:r>
        <w:t xml:space="preserve"> </w:t>
      </w:r>
      <w:r>
        <w:t xml:space="preserve">finance. Switzerland recently contributed USD 70 million to the Private</w:t>
      </w:r>
      <w:r>
        <w:t xml:space="preserve"> </w:t>
      </w:r>
      <w:r>
        <w:t xml:space="preserve">Infrastructure Development Group (PIDG) for sustainable infrastructure</w:t>
      </w:r>
      <w:r>
        <w:t xml:space="preserve"> </w:t>
      </w:r>
      <w:r>
        <w:t xml:space="preserve">in developing countries.</w:t>
      </w:r>
    </w:p>
    <w:p>
      <w:pPr>
        <w:pStyle w:val="BodyText"/>
      </w:pPr>
      <w:r>
        <w:t xml:space="preserve">Application pathway: Iran accesses Swiss development finance through</w:t>
      </w:r>
      <w:r>
        <w:t xml:space="preserve"> </w:t>
      </w:r>
      <w:r>
        <w:t xml:space="preserve">SECO’s partner country programs or through multilateral channels. SECO</w:t>
      </w:r>
      <w:r>
        <w:t xml:space="preserve"> </w:t>
      </w:r>
      <w:r>
        <w:t xml:space="preserve">prioritizes co-financing arrangements with other development partners.</w:t>
      </w:r>
      <w:r>
        <w:t xml:space="preserve"> </w:t>
      </w:r>
      <w:r>
        <w:t xml:space="preserve">The Swiss Agency for Development and Cooperation (SDC) manages</w:t>
      </w:r>
      <w:r>
        <w:t xml:space="preserve"> </w:t>
      </w:r>
      <w:r>
        <w:t xml:space="preserve">humanitarian assistance through its own channels.</w:t>
      </w:r>
    </w:p>
    <w:p>
      <w:pPr>
        <w:pStyle w:val="BodyText"/>
      </w:pPr>
      <w:r>
        <w:t xml:space="preserve">E.8 Summary of Application Coordination</w:t>
      </w:r>
    </w:p>
    <w:p>
      <w:pPr>
        <w:pStyle w:val="BodyText"/>
      </w:pPr>
      <w:r>
        <w:t xml:space="preserve">The RSC secretariat serves as the central coordination hub for all</w:t>
      </w:r>
      <w:r>
        <w:t xml:space="preserve"> </w:t>
      </w:r>
      <w:r>
        <w:t xml:space="preserve">external funding applications. The secretariat maintains a Funding</w:t>
      </w:r>
      <w:r>
        <w:t xml:space="preserve"> </w:t>
      </w:r>
      <w:r>
        <w:t xml:space="preserve">Opportunities Database tracking application deadlines, eligibility</w:t>
      </w:r>
      <w:r>
        <w:t xml:space="preserve"> </w:t>
      </w:r>
      <w:r>
        <w:t xml:space="preserve">criteria, and submission requirements for all listed sources. Iranian</w:t>
      </w:r>
      <w:r>
        <w:t xml:space="preserve"> </w:t>
      </w:r>
      <w:r>
        <w:t xml:space="preserve">project proponents consult the database through the MRF transparency</w:t>
      </w:r>
      <w:r>
        <w:t xml:space="preserve"> </w:t>
      </w:r>
      <w:r>
        <w:t xml:space="preserve">dashboard and coordinate submissions through the RSC to prevent</w:t>
      </w:r>
      <w:r>
        <w:t xml:space="preserve"> </w:t>
      </w:r>
      <w:r>
        <w:t xml:space="preserve">duplication and maximize leverage.</w:t>
      </w:r>
    </w:p>
    <w:bookmarkEnd w:id="167"/>
    <w:bookmarkStart w:id="168" w:name="Xc889d35a6cfc52120f04d9f0137795e7001f880"/>
    <w:p>
      <w:pPr>
        <w:pStyle w:val="Heading3"/>
      </w:pPr>
      <w:r>
        <w:t xml:space="preserve">Appendix F: Force Majeure and Sanctions Reimposition Fallback Protocol</w:t>
      </w:r>
    </w:p>
    <w:p>
      <w:pPr>
        <w:pStyle w:val="FirstParagraph"/>
      </w:pPr>
      <w:r>
        <w:t xml:space="preserve">This Appendix establishes the procedural framework for responding to</w:t>
      </w:r>
      <w:r>
        <w:t xml:space="preserve"> </w:t>
      </w:r>
      <w:r>
        <w:t xml:space="preserve">force majeure events, including the reimposition of sanctions that</w:t>
      </w:r>
      <w:r>
        <w:t xml:space="preserve"> </w:t>
      </w:r>
      <w:r>
        <w:t xml:space="preserve">override the OFAC general license protecting MRF transactions. This</w:t>
      </w:r>
      <w:r>
        <w:t xml:space="preserve"> </w:t>
      </w:r>
      <w:r>
        <w:t xml:space="preserve">protocol gives Iran and all donors confidence that funds already</w:t>
      </w:r>
      <w:r>
        <w:t xml:space="preserve"> </w:t>
      </w:r>
      <w:r>
        <w:t xml:space="preserve">disbursed are secure and that undisbursed funds are protected, not lost.</w:t>
      </w:r>
    </w:p>
    <w:p>
      <w:pPr>
        <w:pStyle w:val="BodyText"/>
      </w:pPr>
      <w:r>
        <w:t xml:space="preserve">F.1 Definition of Force Majeure</w:t>
      </w:r>
    </w:p>
    <w:p>
      <w:pPr>
        <w:pStyle w:val="BodyText"/>
      </w:pPr>
      <w:r>
        <w:t xml:space="preserve">For the purposes of this Protocol, force majeure includes: (1)</w:t>
      </w:r>
      <w:r>
        <w:t xml:space="preserve"> </w:t>
      </w:r>
      <w:r>
        <w:t xml:space="preserve">reimposition of UN Security Council sanctions on Iran that override the</w:t>
      </w:r>
      <w:r>
        <w:t xml:space="preserve"> </w:t>
      </w:r>
      <w:r>
        <w:t xml:space="preserve">OFAC general license, (2) reimposition of U.S. secondary sanctions that</w:t>
      </w:r>
      <w:r>
        <w:t xml:space="preserve"> </w:t>
      </w:r>
      <w:r>
        <w:t xml:space="preserve">prevent Qatar Central Bank or the World Bank from processing MRF</w:t>
      </w:r>
      <w:r>
        <w:t xml:space="preserve"> </w:t>
      </w:r>
      <w:r>
        <w:t xml:space="preserve">transactions, (3) armed conflict resumption that makes project sites</w:t>
      </w:r>
      <w:r>
        <w:t xml:space="preserve"> </w:t>
      </w:r>
      <w:r>
        <w:t xml:space="preserve">inaccessible for more than 90 consecutive days, (4) a UN Security</w:t>
      </w:r>
      <w:r>
        <w:t xml:space="preserve"> </w:t>
      </w:r>
      <w:r>
        <w:t xml:space="preserve">Council resolution explicitly terminating or suspending the Islamabad</w:t>
      </w:r>
      <w:r>
        <w:t xml:space="preserve"> </w:t>
      </w:r>
      <w:r>
        <w:t xml:space="preserve">Accord, (5) host government actions by Iran that materially breach the</w:t>
      </w:r>
      <w:r>
        <w:t xml:space="preserve"> </w:t>
      </w:r>
      <w:r>
        <w:t xml:space="preserve">Accord and trigger donor withdrawal, or (6) a major contractor</w:t>
      </w:r>
      <w:r>
        <w:t xml:space="preserve"> </w:t>
      </w:r>
      <w:r>
        <w:t xml:space="preserve">insolvency or default that halts construction on projects exceeding $500</w:t>
      </w:r>
      <w:r>
        <w:t xml:space="preserve"> </w:t>
      </w:r>
      <w:r>
        <w:t xml:space="preserve">million in aggregate value.</w:t>
      </w:r>
    </w:p>
    <w:p>
      <w:pPr>
        <w:pStyle w:val="BodyText"/>
      </w:pPr>
      <w:r>
        <w:t xml:space="preserve">F.2 Immediate Response Procedures</w:t>
      </w:r>
    </w:p>
    <w:p>
      <w:pPr>
        <w:pStyle w:val="BodyText"/>
      </w:pPr>
      <w:r>
        <w:t xml:space="preserve">Upon occurrence of a force majeure event, the following sequence</w:t>
      </w:r>
      <w:r>
        <w:t xml:space="preserve"> </w:t>
      </w:r>
      <w:r>
        <w:t xml:space="preserve">activates automatically:</w:t>
      </w:r>
    </w:p>
    <w:p>
      <w:pPr>
        <w:pStyle w:val="BodyText"/>
      </w:pPr>
      <w:r>
        <w:t xml:space="preserve">Step 1 (Within 24 hours): The RSC Chair declares a Force Majeure Event</w:t>
      </w:r>
      <w:r>
        <w:t xml:space="preserve"> </w:t>
      </w:r>
      <w:r>
        <w:t xml:space="preserve">by written notice to all RSC members, the Qatar Central Bank, and the</w:t>
      </w:r>
      <w:r>
        <w:t xml:space="preserve"> </w:t>
      </w:r>
      <w:r>
        <w:t xml:space="preserve">World Bank. All new disbursements suspend immediately upon declaration.</w:t>
      </w:r>
    </w:p>
    <w:p>
      <w:pPr>
        <w:pStyle w:val="BodyText"/>
      </w:pPr>
      <w:r>
        <w:t xml:space="preserve">Step 2 (Within 72 hours): The Qatar Central Bank freezes all undisbursed</w:t>
      </w:r>
      <w:r>
        <w:t xml:space="preserve"> </w:t>
      </w:r>
      <w:r>
        <w:t xml:space="preserve">funds in their respective Sub-Fund accounts. Frozen funds remain in</w:t>
      </w:r>
      <w:r>
        <w:t xml:space="preserve"> </w:t>
      </w:r>
      <w:r>
        <w:t xml:space="preserve">trust and earn interest at the QCB overnight deposit rate.</w:t>
      </w:r>
    </w:p>
    <w:p>
      <w:pPr>
        <w:pStyle w:val="BodyText"/>
      </w:pPr>
      <w:r>
        <w:t xml:space="preserve">Step 3 (Within 15 days): The RSC convenes an Emergency Session to assess</w:t>
      </w:r>
      <w:r>
        <w:t xml:space="preserve"> </w:t>
      </w:r>
      <w:r>
        <w:t xml:space="preserve">the force majeure scope, estimate the suspension duration, and determine</w:t>
      </w:r>
      <w:r>
        <w:t xml:space="preserve"> </w:t>
      </w:r>
      <w:r>
        <w:t xml:space="preserve">which projects safely continue under the PRI Pool’s force majeure</w:t>
      </w:r>
      <w:r>
        <w:t xml:space="preserve"> </w:t>
      </w:r>
      <w:r>
        <w:t xml:space="preserve">coverage.</w:t>
      </w:r>
    </w:p>
    <w:p>
      <w:pPr>
        <w:pStyle w:val="BodyText"/>
      </w:pPr>
      <w:r>
        <w:t xml:space="preserve">Step 4 (Within 30 days): The RSC issues a Force Majeure Assessment</w:t>
      </w:r>
      <w:r>
        <w:t xml:space="preserve"> </w:t>
      </w:r>
      <w:r>
        <w:t xml:space="preserve">Report containing: (a) the affected Sub-Funds and projects, (b) the</w:t>
      </w:r>
      <w:r>
        <w:t xml:space="preserve"> </w:t>
      </w:r>
      <w:r>
        <w:t xml:space="preserve">total value of suspended disbursements, (c) the total value of funds</w:t>
      </w:r>
      <w:r>
        <w:t xml:space="preserve"> </w:t>
      </w:r>
      <w:r>
        <w:t xml:space="preserve">already disbursed that are protected from clawback, (d) a recommended</w:t>
      </w:r>
      <w:r>
        <w:t xml:space="preserve"> </w:t>
      </w:r>
      <w:r>
        <w:t xml:space="preserve">suspension duration, and (e) reactivation conditions.</w:t>
      </w:r>
    </w:p>
    <w:p>
      <w:pPr>
        <w:pStyle w:val="BodyText"/>
      </w:pPr>
      <w:r>
        <w:t xml:space="preserve">F.3 Protection of Disbursed Funds</w:t>
      </w:r>
    </w:p>
    <w:p>
      <w:pPr>
        <w:pStyle w:val="BodyText"/>
      </w:pPr>
      <w:r>
        <w:t xml:space="preserve">Funds already disbursed to contractors, suppliers, or Iranian government</w:t>
      </w:r>
      <w:r>
        <w:t xml:space="preserve"> </w:t>
      </w:r>
      <w:r>
        <w:t xml:space="preserve">accounts prior to the force majeure declaration are not subject to</w:t>
      </w:r>
      <w:r>
        <w:t xml:space="preserve"> </w:t>
      </w:r>
      <w:r>
        <w:t xml:space="preserve">clawback, freeze, or seizure. This protection applies regardless of the</w:t>
      </w:r>
      <w:r>
        <w:t xml:space="preserve"> </w:t>
      </w:r>
      <w:r>
        <w:t xml:space="preserve">force majeure cause, including sanctions reimposition. The no-clawback</w:t>
      </w:r>
      <w:r>
        <w:t xml:space="preserve"> </w:t>
      </w:r>
      <w:r>
        <w:t xml:space="preserve">provision is absolute and operates independently of the triggering</w:t>
      </w:r>
      <w:r>
        <w:t xml:space="preserve"> </w:t>
      </w:r>
      <w:r>
        <w:t xml:space="preserve">event.</w:t>
      </w:r>
    </w:p>
    <w:p>
      <w:pPr>
        <w:pStyle w:val="BodyText"/>
      </w:pPr>
      <w:r>
        <w:t xml:space="preserve">Contractors that have received milestone payments retain those funds for</w:t>
      </w:r>
      <w:r>
        <w:t xml:space="preserve"> </w:t>
      </w:r>
      <w:r>
        <w:t xml:space="preserve">work completed and verified. The PRI Pool covers any contractual claims</w:t>
      </w:r>
      <w:r>
        <w:t xml:space="preserve"> </w:t>
      </w:r>
      <w:r>
        <w:t xml:space="preserve">arising from force majeure suspension. Contractors continue work on</w:t>
      </w:r>
      <w:r>
        <w:t xml:space="preserve"> </w:t>
      </w:r>
      <w:r>
        <w:t xml:space="preserve">projects covered by the PRI Pool’s force majeure rider pending RSC</w:t>
      </w:r>
      <w:r>
        <w:t xml:space="preserve"> </w:t>
      </w:r>
      <w:r>
        <w:t xml:space="preserve">determination.</w:t>
      </w:r>
    </w:p>
    <w:p>
      <w:pPr>
        <w:pStyle w:val="BodyText"/>
      </w:pPr>
      <w:r>
        <w:t xml:space="preserve">F.4 Protection of Undisbursed Funds</w:t>
      </w:r>
    </w:p>
    <w:p>
      <w:pPr>
        <w:pStyle w:val="BodyText"/>
      </w:pPr>
      <w:r>
        <w:t xml:space="preserve">Undisbursed funds held in the Qatar Central Bank escrow at the time of</w:t>
      </w:r>
      <w:r>
        <w:t xml:space="preserve"> </w:t>
      </w:r>
      <w:r>
        <w:t xml:space="preserve">force majeure declaration remain in trust. The Qatar Central Bank</w:t>
      </w:r>
      <w:r>
        <w:t xml:space="preserve"> </w:t>
      </w:r>
      <w:r>
        <w:t xml:space="preserve">maintains these funds in segregated Sub-Fund accounts with the following</w:t>
      </w:r>
      <w:r>
        <w:t xml:space="preserve"> </w:t>
      </w:r>
      <w:r>
        <w:t xml:space="preserve">protections: (1) funds are not commingled with QCB general reserves, (2)</w:t>
      </w:r>
      <w:r>
        <w:t xml:space="preserve"> </w:t>
      </w:r>
      <w:r>
        <w:t xml:space="preserve">funds earn interest at the QCB overnight deposit rate during suspension,</w:t>
      </w:r>
      <w:r>
        <w:t xml:space="preserve"> </w:t>
      </w:r>
      <w:r>
        <w:t xml:space="preserve">(3) funds are not subject to attachment by creditors of Iran or any</w:t>
      </w:r>
      <w:r>
        <w:t xml:space="preserve"> </w:t>
      </w:r>
      <w:r>
        <w:t xml:space="preserve">other party, (4) funds are available for reactivation upon RSC</w:t>
      </w:r>
      <w:r>
        <w:t xml:space="preserve"> </w:t>
      </w:r>
      <w:r>
        <w:t xml:space="preserve">determination that the force majeure event has resolved.</w:t>
      </w:r>
    </w:p>
    <w:p>
      <w:pPr>
        <w:pStyle w:val="BodyText"/>
      </w:pPr>
      <w:r>
        <w:t xml:space="preserve">If the force majeure event persists for more than 365 days, the RSC</w:t>
      </w:r>
      <w:r>
        <w:t xml:space="preserve"> </w:t>
      </w:r>
      <w:r>
        <w:t xml:space="preserve">convenes a Special Distribution Session to determine whether to: (a)</w:t>
      </w:r>
      <w:r>
        <w:t xml:space="preserve"> </w:t>
      </w:r>
      <w:r>
        <w:t xml:space="preserve">return undisbursed funds to contributors on a pro-rata basis, (b)</w:t>
      </w:r>
      <w:r>
        <w:t xml:space="preserve"> </w:t>
      </w:r>
      <w:r>
        <w:t xml:space="preserve">redirect undisbursed funds to a successor framework, or (c) maintain</w:t>
      </w:r>
      <w:r>
        <w:t xml:space="preserve"> </w:t>
      </w:r>
      <w:r>
        <w:t xml:space="preserve">funds in trust pending further political developments. This</w:t>
      </w:r>
      <w:r>
        <w:t xml:space="preserve"> </w:t>
      </w:r>
      <w:r>
        <w:t xml:space="preserve">determination requires consensus of all RSC voting members.</w:t>
      </w:r>
    </w:p>
    <w:p>
      <w:pPr>
        <w:pStyle w:val="BodyText"/>
      </w:pPr>
      <w:r>
        <w:t xml:space="preserve">F.5 Escrow Buffer for Cost Overruns</w:t>
      </w:r>
    </w:p>
    <w:p>
      <w:pPr>
        <w:pStyle w:val="BodyText"/>
      </w:pPr>
      <w:r>
        <w:t xml:space="preserve">The MRF maintains a dedicated Cost Overrun Escrow Buffer equal to 3% of</w:t>
      </w:r>
      <w:r>
        <w:t xml:space="preserve"> </w:t>
      </w:r>
      <w:r>
        <w:t xml:space="preserve">total MRF capitalization (approximately $1.5 billion). This buffer is</w:t>
      </w:r>
      <w:r>
        <w:t xml:space="preserve"> </w:t>
      </w:r>
      <w:r>
        <w:t xml:space="preserve">separate from the Sub-Fund-level Contingency Reserves and activates only</w:t>
      </w:r>
      <w:r>
        <w:t xml:space="preserve"> </w:t>
      </w:r>
      <w:r>
        <w:t xml:space="preserve">when: (1) aggregate cost overruns across all Sub-Funds exceed the</w:t>
      </w:r>
      <w:r>
        <w:t xml:space="preserve"> </w:t>
      </w:r>
      <w:r>
        <w:t xml:space="preserve">combined Contingency Reserve balances, (2) a force majeure event causes</w:t>
      </w:r>
      <w:r>
        <w:t xml:space="preserve"> </w:t>
      </w:r>
      <w:r>
        <w:t xml:space="preserve">widespread project delays that inflate costs across multiple Sub-Funds</w:t>
      </w:r>
      <w:r>
        <w:t xml:space="preserve"> </w:t>
      </w:r>
      <w:r>
        <w:t xml:space="preserve">simultaneously, or (3) the RSC certifies that cost overruns threaten the</w:t>
      </w:r>
      <w:r>
        <w:t xml:space="preserve"> </w:t>
      </w:r>
      <w:r>
        <w:t xml:space="preserve">completion of critical infrastructure.</w:t>
      </w:r>
    </w:p>
    <w:p>
      <w:pPr>
        <w:pStyle w:val="BodyText"/>
      </w:pPr>
      <w:r>
        <w:t xml:space="preserve">Cost Overrun Escrow Buffer disbursements require unanimous approval of</w:t>
      </w:r>
      <w:r>
        <w:t xml:space="preserve"> </w:t>
      </w:r>
      <w:r>
        <w:t xml:space="preserve">RSC voting members and independent audit confirmation that the overrun</w:t>
      </w:r>
      <w:r>
        <w:t xml:space="preserve"> </w:t>
      </w:r>
      <w:r>
        <w:t xml:space="preserve">is genuine and unavoidable. The buffer is replenished from future</w:t>
      </w:r>
      <w:r>
        <w:t xml:space="preserve"> </w:t>
      </w:r>
      <w:r>
        <w:t xml:space="preserve">contributor deposits or from rebalanced Sub-Fund allocations.</w:t>
      </w:r>
      <w:r>
        <w:t xml:space="preserve"> </w:t>
      </w:r>
      <w:r>
        <w:t xml:space="preserve">Post-conflict reconstruction typically runs 30-50% over budget. Without</w:t>
      </w:r>
      <w:r>
        <w:t xml:space="preserve"> </w:t>
      </w:r>
      <w:r>
        <w:t xml:space="preserve">this buffer, projects stall and donor confidence collapses.</w:t>
      </w:r>
    </w:p>
    <w:p>
      <w:pPr>
        <w:pStyle w:val="BodyText"/>
      </w:pPr>
      <w:r>
        <w:t xml:space="preserve">F.6 Reactivation Procedures</w:t>
      </w:r>
    </w:p>
    <w:p>
      <w:pPr>
        <w:pStyle w:val="BodyText"/>
      </w:pPr>
      <w:r>
        <w:t xml:space="preserve">Upon resolution of the force majeure event, the RSC activates the</w:t>
      </w:r>
      <w:r>
        <w:t xml:space="preserve"> </w:t>
      </w:r>
      <w:r>
        <w:t xml:space="preserve">following reactivation sequence: (1) The RSC Chair issues a Reactivation</w:t>
      </w:r>
      <w:r>
        <w:t xml:space="preserve"> </w:t>
      </w:r>
      <w:r>
        <w:t xml:space="preserve">Notice by written declaration, (2) The Qatar Central Bank releases</w:t>
      </w:r>
      <w:r>
        <w:t xml:space="preserve"> </w:t>
      </w:r>
      <w:r>
        <w:t xml:space="preserve">frozen funds within 48 hours of the Reactivation Notice, (3) The RSC</w:t>
      </w:r>
      <w:r>
        <w:t xml:space="preserve"> </w:t>
      </w:r>
      <w:r>
        <w:t xml:space="preserve">conducts a project-by-project damage assessment to determine which</w:t>
      </w:r>
      <w:r>
        <w:t xml:space="preserve"> </w:t>
      </w:r>
      <w:r>
        <w:t xml:space="preserve">projects resume, which require redesign, and which are no longer viable,</w:t>
      </w:r>
      <w:r>
        <w:t xml:space="preserve"> </w:t>
      </w:r>
      <w:r>
        <w:t xml:space="preserve">(4) The TAG updates technical specifications and cost estimates for</w:t>
      </w:r>
      <w:r>
        <w:t xml:space="preserve"> </w:t>
      </w:r>
      <w:r>
        <w:t xml:space="preserve">affected projects, (5) The RSC authorizes revised disbursement</w:t>
      </w:r>
      <w:r>
        <w:t xml:space="preserve"> </w:t>
      </w:r>
      <w:r>
        <w:t xml:space="preserve">schedules, (6) Full MRF operations resume within 30 days of the</w:t>
      </w:r>
      <w:r>
        <w:t xml:space="preserve"> </w:t>
      </w:r>
      <w:r>
        <w:t xml:space="preserve">Reactivation Notice.</w:t>
      </w:r>
    </w:p>
    <w:p>
      <w:pPr>
        <w:pStyle w:val="BodyText"/>
      </w:pPr>
      <w:r>
        <w:t xml:space="preserve">Projects that suffered physical damage during the force majeure</w:t>
      </w:r>
      <w:r>
        <w:t xml:space="preserve"> </w:t>
      </w:r>
      <w:r>
        <w:t xml:space="preserve">suspension access the Cost Overrun Escrow Buffer for repair and</w:t>
      </w:r>
      <w:r>
        <w:t xml:space="preserve"> </w:t>
      </w:r>
      <w:r>
        <w:t xml:space="preserve">remediation costs. Contractors that abandoned projects during suspension</w:t>
      </w:r>
      <w:r>
        <w:t xml:space="preserve"> </w:t>
      </w:r>
      <w:r>
        <w:t xml:space="preserve">are replaced through the standard procurement process with preference</w:t>
      </w:r>
      <w:r>
        <w:t xml:space="preserve"> </w:t>
      </w:r>
      <w:r>
        <w:t xml:space="preserve">given to contractors that maintained performance bond compliance.</w:t>
      </w:r>
    </w:p>
    <w:p>
      <w:pPr>
        <w:pStyle w:val="BodyText"/>
      </w:pPr>
      <w:r>
        <w:t xml:space="preserve">F.7 Non-Recognition Clause</w:t>
      </w:r>
    </w:p>
    <w:p>
      <w:pPr>
        <w:pStyle w:val="BodyText"/>
      </w:pPr>
      <w:r>
        <w:t xml:space="preserve">This Appendix is incorporated by reference into the Annex RDF and</w:t>
      </w:r>
      <w:r>
        <w:t xml:space="preserve"> </w:t>
      </w:r>
      <w:r>
        <w:t xml:space="preserve">operates as a standalone protocol. Nothing in this Appendix constitutes</w:t>
      </w:r>
      <w:r>
        <w:t xml:space="preserve"> </w:t>
      </w:r>
      <w:r>
        <w:t xml:space="preserve">recognition of any entity, government, territorial claim, or</w:t>
      </w:r>
      <w:r>
        <w:t xml:space="preserve"> </w:t>
      </w:r>
      <w:r>
        <w:t xml:space="preserve">jurisdictional assertion by any Party. Participation in this Protocol</w:t>
      </w:r>
      <w:r>
        <w:t xml:space="preserve"> </w:t>
      </w:r>
      <w:r>
        <w:t xml:space="preserve">does not prejudice the legal positions, sovereignty claims, sanctions</w:t>
      </w:r>
      <w:r>
        <w:t xml:space="preserve"> </w:t>
      </w:r>
      <w:r>
        <w:t xml:space="preserve">positions, or future political negotiations of any Party. All Parties</w:t>
      </w:r>
      <w:r>
        <w:t xml:space="preserve"> </w:t>
      </w:r>
      <w:r>
        <w:t xml:space="preserve">retain their respective positions regarding the legal status of Iran,</w:t>
      </w:r>
      <w:r>
        <w:t xml:space="preserve"> </w:t>
      </w:r>
      <w:r>
        <w:t xml:space="preserve">the Persian Gulf, and adjacent maritime areas.</w:t>
      </w:r>
    </w:p>
    <w:p>
      <w:pPr>
        <w:pStyle w:val="BodyText"/>
      </w:pPr>
      <w:r>
        <w:t xml:space="preserve">This Protocol does not create any new legal obligations beyond those</w:t>
      </w:r>
      <w:r>
        <w:t xml:space="preserve"> </w:t>
      </w:r>
      <w:r>
        <w:t xml:space="preserve">established in the Annex RDF, the Islamabad Accord, or the CTAF. In the</w:t>
      </w:r>
      <w:r>
        <w:t xml:space="preserve"> </w:t>
      </w:r>
      <w:r>
        <w:t xml:space="preserve">event of inconsistency, the hierarchy established in Article 6 of this</w:t>
      </w:r>
      <w:r>
        <w:t xml:space="preserve"> </w:t>
      </w:r>
      <w:r>
        <w:t xml:space="preserve">Annex governs.</w:t>
      </w:r>
    </w:p>
    <w:p>
      <w:pPr>
        <w:pStyle w:val="BodyText"/>
      </w:pPr>
      <w:r>
        <w:t xml:space="preserve">End of Annex RDF</w:t>
      </w:r>
    </w:p>
    <w:p>
      <w:pPr>
        <w:pStyle w:val="BodyText"/>
      </w:pPr>
      <w:r>
        <w:t xml:space="preserve">In witness whereof, the undersigned, being duly authorized by their</w:t>
      </w:r>
      <w:r>
        <w:t xml:space="preserve"> </w:t>
      </w:r>
      <w:r>
        <w:t xml:space="preserve">respective governments, have signed this Annex RDF to the Coordinated</w:t>
      </w:r>
      <w:r>
        <w:t xml:space="preserve"> </w:t>
      </w:r>
      <w:r>
        <w:t xml:space="preserve">Technical Activation Framework.</w:t>
      </w:r>
    </w:p>
    <w:p>
      <w:pPr>
        <w:pStyle w:val="BodyText"/>
      </w:pPr>
      <w:r>
        <w:t xml:space="preserve">Done at [Location], this _____ day of ___________, 2026.</w:t>
      </w:r>
    </w:p>
    <w:p>
      <w:pPr>
        <w:pStyle w:val="BodyText"/>
      </w:pPr>
      <w:r>
        <w:t xml:space="preserve">For the Islamic Republic of Iran: _______________________</w:t>
      </w:r>
    </w:p>
    <w:p>
      <w:pPr>
        <w:pStyle w:val="BodyText"/>
      </w:pPr>
      <w:r>
        <w:t xml:space="preserve">For the State of Qatar: _______________________</w:t>
      </w:r>
    </w:p>
    <w:p>
      <w:pPr>
        <w:pStyle w:val="BodyText"/>
      </w:pPr>
      <w:r>
        <w:t xml:space="preserve">For the Sultanate of Oman: _______________________</w:t>
      </w:r>
    </w:p>
    <w:p>
      <w:pPr>
        <w:pStyle w:val="BodyText"/>
      </w:pPr>
      <w:r>
        <w:t xml:space="preserve">For the World Bank: _______________________</w:t>
      </w:r>
    </w:p>
    <w:p>
      <w:pPr>
        <w:pStyle w:val="BodyText"/>
      </w:pPr>
      <w:r>
        <w:t xml:space="preserve">Witnessed by: _______________________</w:t>
      </w:r>
    </w:p>
    <w:bookmarkEnd w:id="168"/>
    <w:bookmarkStart w:id="169" w:name="Xd37c4c829744c4cc7a438e3fa53f2695ceeeb27"/>
    <w:p>
      <w:pPr>
        <w:pStyle w:val="Heading3"/>
      </w:pPr>
      <w:r>
        <w:t xml:space="preserve">Appendix G: Additional International Funding Sources</w:t>
      </w:r>
    </w:p>
    <w:p>
      <w:pPr>
        <w:pStyle w:val="FirstParagraph"/>
      </w:pPr>
      <w:r>
        <w:t xml:space="preserve">This Appendix catalogs additional funding sources discovered through</w:t>
      </w:r>
      <w:r>
        <w:t xml:space="preserve"> </w:t>
      </w:r>
      <w:r>
        <w:t xml:space="preserve">expanded global research. These sources complement Appendices D and E</w:t>
      </w:r>
      <w:r>
        <w:t xml:space="preserve"> </w:t>
      </w:r>
      <w:r>
        <w:t xml:space="preserve">and are coordinated through the RSC Funding Opportunities Database.</w:t>
      </w:r>
    </w:p>
    <w:p>
      <w:pPr>
        <w:pStyle w:val="BodyText"/>
      </w:pPr>
      <w:r>
        <w:t xml:space="preserve">G.1 GCC Bilateral Development Funds</w:t>
      </w:r>
    </w:p>
    <w:p>
      <w:pPr>
        <w:pStyle w:val="BodyText"/>
      </w:pPr>
      <w:r>
        <w:t xml:space="preserve">G.1.1 Kuwait Fund for Arab Economic Development (KFAED)</w:t>
      </w:r>
    </w:p>
    <w:p>
      <w:pPr>
        <w:pStyle w:val="BodyText"/>
      </w:pPr>
      <w:r>
        <w:t xml:space="preserve">The KFAED operates as Kuwait’s bilateral development finance institution</w:t>
      </w:r>
      <w:r>
        <w:t xml:space="preserve"> </w:t>
      </w:r>
      <w:r>
        <w:t xml:space="preserve">with a mandate extending to all Arab League member states, which</w:t>
      </w:r>
      <w:r>
        <w:t xml:space="preserve"> </w:t>
      </w:r>
      <w:r>
        <w:t xml:space="preserve">includes Iran. The Fund finances vital infrastructure projects across</w:t>
      </w:r>
      <w:r>
        <w:t xml:space="preserve"> </w:t>
      </w:r>
      <w:r>
        <w:t xml:space="preserve">energy, water, transport, health, and education sectors. Recent</w:t>
      </w:r>
      <w:r>
        <w:t xml:space="preserve"> </w:t>
      </w:r>
      <w:r>
        <w:t xml:space="preserve">financing includes the Gulf electricity interconnection system and</w:t>
      </w:r>
      <w:r>
        <w:t xml:space="preserve"> </w:t>
      </w:r>
      <w:r>
        <w:t xml:space="preserve">regional power grid development.</w:t>
      </w:r>
    </w:p>
    <w:p>
      <w:pPr>
        <w:pStyle w:val="BodyText"/>
      </w:pPr>
      <w:r>
        <w:t xml:space="preserve">Potential allocation for Iran: $1-2 billion for energy infrastructure,</w:t>
      </w:r>
      <w:r>
        <w:t xml:space="preserve"> </w:t>
      </w:r>
      <w:r>
        <w:t xml:space="preserve">water systems, and transport corridors. KFAED provides concessional</w:t>
      </w:r>
      <w:r>
        <w:t xml:space="preserve"> </w:t>
      </w:r>
      <w:r>
        <w:t xml:space="preserve">loans with long maturities (20-30 years), grace periods (5-10 years),</w:t>
      </w:r>
      <w:r>
        <w:t xml:space="preserve"> </w:t>
      </w:r>
      <w:r>
        <w:t xml:space="preserve">and interest rates below 2% per annum.</w:t>
      </w:r>
    </w:p>
    <w:p>
      <w:pPr>
        <w:pStyle w:val="BodyText"/>
      </w:pPr>
      <w:r>
        <w:t xml:space="preserve">Application pathway: Iran submits a project proposal through the KFAED</w:t>
      </w:r>
      <w:r>
        <w:t xml:space="preserve"> </w:t>
      </w:r>
      <w:r>
        <w:t xml:space="preserve">country program office. The proposal undergoes technical appraisal</w:t>
      </w:r>
      <w:r>
        <w:t xml:space="preserve"> </w:t>
      </w:r>
      <w:r>
        <w:t xml:space="preserve">(90-120 days) followed by board approval. KFAED coordinates with the MRF</w:t>
      </w:r>
      <w:r>
        <w:t xml:space="preserve"> </w:t>
      </w:r>
      <w:r>
        <w:t xml:space="preserve">through the RSC secretariat to ensure alignment with Sub-Fund</w:t>
      </w:r>
      <w:r>
        <w:t xml:space="preserve"> </w:t>
      </w:r>
      <w:r>
        <w:t xml:space="preserve">priorities.</w:t>
      </w:r>
    </w:p>
    <w:p>
      <w:pPr>
        <w:pStyle w:val="BodyText"/>
      </w:pPr>
      <w:r>
        <w:t xml:space="preserve">G.1.2 Arab Fund for Economic and Social Development (AFESD)</w:t>
      </w:r>
    </w:p>
    <w:p>
      <w:pPr>
        <w:pStyle w:val="BodyText"/>
      </w:pPr>
      <w:r>
        <w:t xml:space="preserve">The AFESD is a Kuwait-based pan-Arab development finance institution.</w:t>
      </w:r>
      <w:r>
        <w:t xml:space="preserve"> </w:t>
      </w:r>
      <w:r>
        <w:t xml:space="preserve">All Arab League member states are members of the AFESD. As of 2024, the</w:t>
      </w:r>
      <w:r>
        <w:t xml:space="preserve"> </w:t>
      </w:r>
      <w:r>
        <w:t xml:space="preserve">Fund holds approximately $10 billion in assets and finances development</w:t>
      </w:r>
      <w:r>
        <w:t xml:space="preserve"> </w:t>
      </w:r>
      <w:r>
        <w:t xml:space="preserve">projects across the Arab world with priority given to joint Arab</w:t>
      </w:r>
      <w:r>
        <w:t xml:space="preserve"> </w:t>
      </w:r>
      <w:r>
        <w:t xml:space="preserve">projects.</w:t>
      </w:r>
    </w:p>
    <w:p>
      <w:pPr>
        <w:pStyle w:val="BodyText"/>
      </w:pPr>
      <w:r>
        <w:t xml:space="preserve">The AFESD provides both loans and grants. Approximately 5% of annual net</w:t>
      </w:r>
      <w:r>
        <w:t xml:space="preserve"> </w:t>
      </w:r>
      <w:r>
        <w:t xml:space="preserve">income is allocated to grants supporting technical and economic</w:t>
      </w:r>
      <w:r>
        <w:t xml:space="preserve"> </w:t>
      </w:r>
      <w:r>
        <w:t xml:space="preserve">feasibility studies, seminars, conferences, and institutional training.</w:t>
      </w:r>
      <w:r>
        <w:t xml:space="preserve"> </w:t>
      </w:r>
      <w:r>
        <w:t xml:space="preserve">Grant sizes range from $20,000 to over $10 million. Loan terms include</w:t>
      </w:r>
      <w:r>
        <w:t xml:space="preserve"> </w:t>
      </w:r>
      <w:r>
        <w:t xml:space="preserve">concessional rates and extended maturities.</w:t>
      </w:r>
    </w:p>
    <w:p>
      <w:pPr>
        <w:pStyle w:val="BodyText"/>
      </w:pPr>
      <w:r>
        <w:t xml:space="preserve">Application pathway: Iran accesses AFESD financing through its</w:t>
      </w:r>
      <w:r>
        <w:t xml:space="preserve"> </w:t>
      </w:r>
      <w:r>
        <w:t xml:space="preserve">membership in the Arab League. National grant requests require a letter</w:t>
      </w:r>
      <w:r>
        <w:t xml:space="preserve"> </w:t>
      </w:r>
      <w:r>
        <w:t xml:space="preserve">from the AFESD Governor for Iran. Loan applications proceed through the</w:t>
      </w:r>
      <w:r>
        <w:t xml:space="preserve"> </w:t>
      </w:r>
      <w:r>
        <w:t xml:space="preserve">Fund’s standard project cycle. The AFESD also operates the Coordination</w:t>
      </w:r>
      <w:r>
        <w:t xml:space="preserve"> </w:t>
      </w:r>
      <w:r>
        <w:t xml:space="preserve">Secretariat for Arab National and Regional Development Institutions, the</w:t>
      </w:r>
      <w:r>
        <w:t xml:space="preserve"> </w:t>
      </w:r>
      <w:r>
        <w:t xml:space="preserve">Islamic Development Bank, and the OPEC Fund for International</w:t>
      </w:r>
      <w:r>
        <w:t xml:space="preserve"> </w:t>
      </w:r>
      <w:r>
        <w:t xml:space="preserve">Development.</w:t>
      </w:r>
    </w:p>
    <w:p>
      <w:pPr>
        <w:pStyle w:val="BodyText"/>
      </w:pPr>
      <w:r>
        <w:t xml:space="preserve">Contact: Arab Fund for Economic and Social Development, PO Box 21923,</w:t>
      </w:r>
      <w:r>
        <w:t xml:space="preserve"> </w:t>
      </w:r>
      <w:r>
        <w:t xml:space="preserve">Safat 13080, Kuwait. Website: arabfund.org.</w:t>
      </w:r>
    </w:p>
    <w:p>
      <w:pPr>
        <w:pStyle w:val="BodyText"/>
      </w:pPr>
      <w:r>
        <w:t xml:space="preserve">G.1.3 Qatar Fund for Development (QFFD)</w:t>
      </w:r>
    </w:p>
    <w:p>
      <w:pPr>
        <w:pStyle w:val="BodyText"/>
      </w:pPr>
      <w:r>
        <w:t xml:space="preserve">QFFD is the State of Qatar’s official provider for international</w:t>
      </w:r>
      <w:r>
        <w:t xml:space="preserve"> </w:t>
      </w:r>
      <w:r>
        <w:t xml:space="preserve">development and humanitarian assistance. Since establishment, QFFD has</w:t>
      </w:r>
      <w:r>
        <w:t xml:space="preserve"> </w:t>
      </w:r>
      <w:r>
        <w:t xml:space="preserve">disbursed over $7 billion across more than 100 countries. QFFD deploys a</w:t>
      </w:r>
      <w:r>
        <w:t xml:space="preserve"> </w:t>
      </w:r>
      <w:r>
        <w:t xml:space="preserve">diversified financing toolkit including concessional loans, guarantees,</w:t>
      </w:r>
      <w:r>
        <w:t xml:space="preserve"> </w:t>
      </w:r>
      <w:r>
        <w:t xml:space="preserve">grants, and blended finance.</w:t>
      </w:r>
    </w:p>
    <w:p>
      <w:pPr>
        <w:pStyle w:val="BodyText"/>
      </w:pPr>
      <w:r>
        <w:t xml:space="preserve">QFFD is a founding partner of the Lives and Livelihoods Fund (LLF), a</w:t>
      </w:r>
      <w:r>
        <w:t xml:space="preserve"> </w:t>
      </w:r>
      <w:r>
        <w:t xml:space="preserve">$2.5 billion initiative launched with the Islamic Development Bank, Abu</w:t>
      </w:r>
      <w:r>
        <w:t xml:space="preserve"> </w:t>
      </w:r>
      <w:r>
        <w:t xml:space="preserve">Dhabi Fund for Development, the Bill and Melinda Gates Foundation, the</w:t>
      </w:r>
      <w:r>
        <w:t xml:space="preserve"> </w:t>
      </w:r>
      <w:r>
        <w:t xml:space="preserve">Islamic Solidarity Fund for Development, and the King Salman</w:t>
      </w:r>
      <w:r>
        <w:t xml:space="preserve"> </w:t>
      </w:r>
      <w:r>
        <w:t xml:space="preserve">Humanitarian Aid and Relief Centre. The LLF targets poverty reduction in</w:t>
      </w:r>
      <w:r>
        <w:t xml:space="preserve"> </w:t>
      </w:r>
      <w:r>
        <w:t xml:space="preserve">IsDB member countries.</w:t>
      </w:r>
    </w:p>
    <w:p>
      <w:pPr>
        <w:pStyle w:val="BodyText"/>
      </w:pPr>
      <w:r>
        <w:t xml:space="preserve">Application pathway: Iran accesses QFFD financing through bilateral</w:t>
      </w:r>
      <w:r>
        <w:t xml:space="preserve"> </w:t>
      </w:r>
      <w:r>
        <w:t xml:space="preserve">development cooperation frameworks or through the LLF. QFFD coordinates</w:t>
      </w:r>
      <w:r>
        <w:t xml:space="preserve"> </w:t>
      </w:r>
      <w:r>
        <w:t xml:space="preserve">with the MRF through its existing partnership with the Qatar Central</w:t>
      </w:r>
      <w:r>
        <w:t xml:space="preserve"> </w:t>
      </w:r>
      <w:r>
        <w:t xml:space="preserve">Bank. QFFD also provides unearmarked humanitarian contributions that stands able to</w:t>
      </w:r>
      <w:r>
        <w:t xml:space="preserve"> </w:t>
      </w:r>
      <w:r>
        <w:t xml:space="preserve">support MRF-aligned relief operations.</w:t>
      </w:r>
    </w:p>
    <w:p>
      <w:pPr>
        <w:pStyle w:val="BodyText"/>
      </w:pPr>
      <w:r>
        <w:t xml:space="preserve">G.1.4 Saudi Fund for Development (SFD)</w:t>
      </w:r>
    </w:p>
    <w:p>
      <w:pPr>
        <w:pStyle w:val="BodyText"/>
      </w:pPr>
      <w:r>
        <w:t xml:space="preserve">The SFD is the Kingdom of Saudi Arabia’s development finance arm. Over</w:t>
      </w:r>
      <w:r>
        <w:t xml:space="preserve"> </w:t>
      </w:r>
      <w:r>
        <w:t xml:space="preserve">five decades, SFD has funded more than 800 development projects worth</w:t>
      </w:r>
      <w:r>
        <w:t xml:space="preserve"> </w:t>
      </w:r>
      <w:r>
        <w:t xml:space="preserve">over $22 billion across 100 countries. In Africa alone, SFD has financed</w:t>
      </w:r>
      <w:r>
        <w:t xml:space="preserve"> </w:t>
      </w:r>
      <w:r>
        <w:t xml:space="preserve">over 400 projects in 46 countries worth $10.7 billion. Sectors include</w:t>
      </w:r>
      <w:r>
        <w:t xml:space="preserve"> </w:t>
      </w:r>
      <w:r>
        <w:t xml:space="preserve">agriculture, energy, industry, transportation, and social</w:t>
      </w:r>
      <w:r>
        <w:t xml:space="preserve"> </w:t>
      </w:r>
      <w:r>
        <w:t xml:space="preserve">infrastructure.</w:t>
      </w:r>
    </w:p>
    <w:p>
      <w:pPr>
        <w:pStyle w:val="BodyText"/>
      </w:pPr>
      <w:r>
        <w:t xml:space="preserve">SFD provides concessional loans, grants, and technical assistance. The</w:t>
      </w:r>
      <w:r>
        <w:t xml:space="preserve"> </w:t>
      </w:r>
      <w:r>
        <w:t xml:space="preserve">Fund recently established a $1 billion partnership with FIFA for sports</w:t>
      </w:r>
      <w:r>
        <w:t xml:space="preserve"> </w:t>
      </w:r>
      <w:r>
        <w:t xml:space="preserve">infrastructure in developing nations, demonstrating its capacity for</w:t>
      </w:r>
      <w:r>
        <w:t xml:space="preserve"> </w:t>
      </w:r>
      <w:r>
        <w:t xml:space="preserve">large-scale sector-specific financing.</w:t>
      </w:r>
    </w:p>
    <w:p>
      <w:pPr>
        <w:pStyle w:val="BodyText"/>
      </w:pPr>
      <w:r>
        <w:t xml:space="preserve">Application pathway: Iran submits project proposals through the SFD</w:t>
      </w:r>
      <w:r>
        <w:t xml:space="preserve"> </w:t>
      </w:r>
      <w:r>
        <w:t xml:space="preserve">regional office or through bilateral channels. SFD conducts technical</w:t>
      </w:r>
      <w:r>
        <w:t xml:space="preserve"> </w:t>
      </w:r>
      <w:r>
        <w:t xml:space="preserve">appraisal (90-120 days) followed by board approval. SFD coordinates with</w:t>
      </w:r>
      <w:r>
        <w:t xml:space="preserve"> </w:t>
      </w:r>
      <w:r>
        <w:t xml:space="preserve">the MRF through the RSC to align with Sub-Fund priorities and avoid</w:t>
      </w:r>
      <w:r>
        <w:t xml:space="preserve"> </w:t>
      </w:r>
      <w:r>
        <w:t xml:space="preserve">duplication.</w:t>
      </w:r>
    </w:p>
    <w:p>
      <w:pPr>
        <w:pStyle w:val="BodyText"/>
      </w:pPr>
      <w:r>
        <w:t xml:space="preserve">G.1.5 Abu Dhabi Fund for Development (ADFD)</w:t>
      </w:r>
    </w:p>
    <w:p>
      <w:pPr>
        <w:pStyle w:val="BodyText"/>
      </w:pPr>
      <w:r>
        <w:t xml:space="preserve">ADFD manages the UAE’s international development assistance. By the end</w:t>
      </w:r>
      <w:r>
        <w:t xml:space="preserve"> </w:t>
      </w:r>
      <w:r>
        <w:t xml:space="preserve">of 2025, ADFD’s cumulative financing reached AED 250 billion</w:t>
      </w:r>
      <w:r>
        <w:t xml:space="preserve"> </w:t>
      </w:r>
      <w:r>
        <w:t xml:space="preserve">(approximately $68 billion), benefiting 108 countries. This includes AED</w:t>
      </w:r>
      <w:r>
        <w:t xml:space="preserve"> </w:t>
      </w:r>
      <w:r>
        <w:t xml:space="preserve">159 billion in concessional loans, AED 58 billion in government grants,</w:t>
      </w:r>
      <w:r>
        <w:t xml:space="preserve"> </w:t>
      </w:r>
      <w:r>
        <w:t xml:space="preserve">and AED 2.2 billion in direct contributions.</w:t>
      </w:r>
    </w:p>
    <w:p>
      <w:pPr>
        <w:pStyle w:val="BodyText"/>
      </w:pPr>
      <w:r>
        <w:t xml:space="preserve">ADFD operates the IRENA/ADFD Project Facility, which has committed $350</w:t>
      </w:r>
      <w:r>
        <w:t xml:space="preserve"> </w:t>
      </w:r>
      <w:r>
        <w:t xml:space="preserve">million in concessionary loans for renewable energy projects in</w:t>
      </w:r>
      <w:r>
        <w:t xml:space="preserve"> </w:t>
      </w:r>
      <w:r>
        <w:t xml:space="preserve">developing countries. ADFD has previously financed projects in Iran</w:t>
      </w:r>
      <w:r>
        <w:t xml:space="preserve"> </w:t>
      </w:r>
      <w:r>
        <w:t xml:space="preserve">through this facility. The Fund targets renewable energy, infrastructure</w:t>
      </w:r>
      <w:r>
        <w:t xml:space="preserve"> </w:t>
      </w:r>
      <w:r>
        <w:t xml:space="preserve">(housing, transport, logistics), education, technology, and water</w:t>
      </w:r>
      <w:r>
        <w:t xml:space="preserve"> </w:t>
      </w:r>
      <w:r>
        <w:t xml:space="preserve">security.</w:t>
      </w:r>
    </w:p>
    <w:p>
      <w:pPr>
        <w:pStyle w:val="BodyText"/>
      </w:pPr>
      <w:r>
        <w:t xml:space="preserve">Application pathway: Iran submits project proposals through the ADFD</w:t>
      </w:r>
      <w:r>
        <w:t xml:space="preserve"> </w:t>
      </w:r>
      <w:r>
        <w:t xml:space="preserve">country program or through the IRENA/ADFD Project Facility for renewable</w:t>
      </w:r>
      <w:r>
        <w:t xml:space="preserve"> </w:t>
      </w:r>
      <w:r>
        <w:t xml:space="preserve">energy projects. ADFD conducts technical appraisal and due diligence</w:t>
      </w:r>
      <w:r>
        <w:t xml:space="preserve"> </w:t>
      </w:r>
      <w:r>
        <w:t xml:space="preserve">(90-120 days). The RSC coordinates with ADFD to ensure MRF alignment.</w:t>
      </w:r>
    </w:p>
    <w:p>
      <w:pPr>
        <w:pStyle w:val="BodyText"/>
      </w:pPr>
      <w:r>
        <w:t xml:space="preserve">G.1.6 Oman and Turkey: Regional Development Partners</w:t>
      </w:r>
    </w:p>
    <w:p>
      <w:pPr>
        <w:pStyle w:val="BodyText"/>
      </w:pPr>
      <w:r>
        <w:t xml:space="preserve">The Sultanate of Oman serves as a traditional diplomatic intermediary</w:t>
      </w:r>
      <w:r>
        <w:t xml:space="preserve"> </w:t>
      </w:r>
      <w:r>
        <w:t xml:space="preserve">and provides in-kind logistics support for reconstruction operations.</w:t>
      </w:r>
      <w:r>
        <w:t xml:space="preserve"> </w:t>
      </w:r>
      <w:r>
        <w:t xml:space="preserve">Oman’s geographic proximity to Iran and its functional trade</w:t>
      </w:r>
      <w:r>
        <w:t xml:space="preserve"> </w:t>
      </w:r>
      <w:r>
        <w:t xml:space="preserve">relationship position it as a logistics corridor for reconstruction</w:t>
      </w:r>
      <w:r>
        <w:t xml:space="preserve"> </w:t>
      </w:r>
      <w:r>
        <w:t xml:space="preserve">materials and personnel.</w:t>
      </w:r>
    </w:p>
    <w:p>
      <w:pPr>
        <w:pStyle w:val="BodyText"/>
      </w:pPr>
      <w:r>
        <w:t xml:space="preserve">The Turkish Cooperation and Coordination Agency (TIKA) operates as</w:t>
      </w:r>
      <w:r>
        <w:t xml:space="preserve"> </w:t>
      </w:r>
      <w:r>
        <w:t xml:space="preserve">Turkey’s bilateral development arm. Turkish construction firms are</w:t>
      </w:r>
      <w:r>
        <w:t xml:space="preserve"> </w:t>
      </w:r>
      <w:r>
        <w:t xml:space="preserve">globally recognized for rapid post-conflict rebuilding expertise. TIKA</w:t>
      </w:r>
      <w:r>
        <w:t xml:space="preserve"> </w:t>
      </w:r>
      <w:r>
        <w:t xml:space="preserve">provides technical assistance, capacity building, and project financing</w:t>
      </w:r>
      <w:r>
        <w:t xml:space="preserve"> </w:t>
      </w:r>
      <w:r>
        <w:t xml:space="preserve">with a focus on infrastructure and institutional development. Iran</w:t>
      </w:r>
      <w:r>
        <w:t xml:space="preserve"> </w:t>
      </w:r>
      <w:r>
        <w:t xml:space="preserve">accesses TIKA support through bilateral development cooperation</w:t>
      </w:r>
      <w:r>
        <w:t xml:space="preserve"> </w:t>
      </w:r>
      <w:r>
        <w:t xml:space="preserve">agreements or through frozen asset conversion protocols.</w:t>
      </w:r>
    </w:p>
    <w:p>
      <w:pPr>
        <w:pStyle w:val="BodyText"/>
      </w:pPr>
      <w:r>
        <w:t xml:space="preserve">G.2 World Bank Financial Intermediary Funds</w:t>
      </w:r>
    </w:p>
    <w:p>
      <w:pPr>
        <w:pStyle w:val="BodyText"/>
      </w:pPr>
      <w:r>
        <w:t xml:space="preserve">G.2.1 Adaptation Fund</w:t>
      </w:r>
    </w:p>
    <w:p>
      <w:pPr>
        <w:pStyle w:val="BodyText"/>
      </w:pPr>
      <w:r>
        <w:t xml:space="preserve">The Adaptation Fund finances climate change adaptation projects and</w:t>
      </w:r>
      <w:r>
        <w:t xml:space="preserve"> </w:t>
      </w:r>
      <w:r>
        <w:t xml:space="preserve">programs based on the priorities of eligible developing countries. The</w:t>
      </w:r>
      <w:r>
        <w:t xml:space="preserve"> </w:t>
      </w:r>
      <w:r>
        <w:t xml:space="preserve">Fund operates under the UN Framework Convention on Climate Change and</w:t>
      </w:r>
      <w:r>
        <w:t xml:space="preserve"> </w:t>
      </w:r>
      <w:r>
        <w:t xml:space="preserve">provides direct access to national implementing entities. Iran qualifies</w:t>
      </w:r>
      <w:r>
        <w:t xml:space="preserve"> </w:t>
      </w:r>
      <w:r>
        <w:t xml:space="preserve">as an eligible developing country.</w:t>
      </w:r>
    </w:p>
    <w:p>
      <w:pPr>
        <w:pStyle w:val="BodyText"/>
      </w:pPr>
      <w:r>
        <w:t xml:space="preserve">The Fund provides grants for concrete adaptation activities in</w:t>
      </w:r>
      <w:r>
        <w:t xml:space="preserve"> </w:t>
      </w:r>
      <w:r>
        <w:t xml:space="preserve">vulnerable communities. Projects typically range from $1 million to $10</w:t>
      </w:r>
      <w:r>
        <w:t xml:space="preserve"> </w:t>
      </w:r>
      <w:r>
        <w:t xml:space="preserve">million. The Fund also supports capacity building for national</w:t>
      </w:r>
      <w:r>
        <w:t xml:space="preserve"> </w:t>
      </w:r>
      <w:r>
        <w:t xml:space="preserve">implementing entities.</w:t>
      </w:r>
    </w:p>
    <w:p>
      <w:pPr>
        <w:pStyle w:val="BodyText"/>
      </w:pPr>
      <w:r>
        <w:t xml:space="preserve">Application pathway: Iran designates a National Implementing Entity</w:t>
      </w:r>
      <w:r>
        <w:t xml:space="preserve"> </w:t>
      </w:r>
      <w:r>
        <w:t xml:space="preserve">(NIE) accredited by the Adaptation Fund Board. The NIE submits project</w:t>
      </w:r>
      <w:r>
        <w:t xml:space="preserve"> </w:t>
      </w:r>
      <w:r>
        <w:t xml:space="preserve">proposals directly to the Fund. The RSC coordinates NIE designation and</w:t>
      </w:r>
      <w:r>
        <w:t xml:space="preserve"> </w:t>
      </w:r>
      <w:r>
        <w:t xml:space="preserve">proposal preparation.</w:t>
      </w:r>
    </w:p>
    <w:p>
      <w:pPr>
        <w:pStyle w:val="BodyText"/>
      </w:pPr>
      <w:r>
        <w:t xml:space="preserve">G.2.2 Clean Technology Fund (CTF)</w:t>
      </w:r>
    </w:p>
    <w:p>
      <w:pPr>
        <w:pStyle w:val="BodyText"/>
      </w:pPr>
      <w:r>
        <w:t xml:space="preserve">The CTF is one of two funds comprising the Climate Investment Funds. The</w:t>
      </w:r>
      <w:r>
        <w:t xml:space="preserve"> </w:t>
      </w:r>
      <w:r>
        <w:t xml:space="preserve">CTF provides large-scale financial resources to invest in clean</w:t>
      </w:r>
      <w:r>
        <w:t xml:space="preserve"> </w:t>
      </w:r>
      <w:r>
        <w:t xml:space="preserve">technology projects in developing countries, contributing to the</w:t>
      </w:r>
      <w:r>
        <w:t xml:space="preserve"> </w:t>
      </w:r>
      <w:r>
        <w:t xml:space="preserve">demonstration, deployment, and transfer of low-carbon technologies. CTF</w:t>
      </w:r>
      <w:r>
        <w:t xml:space="preserve"> </w:t>
      </w:r>
      <w:r>
        <w:t xml:space="preserve">investments focus on renewable energy, energy efficiency, and</w:t>
      </w:r>
      <w:r>
        <w:t xml:space="preserve"> </w:t>
      </w:r>
      <w:r>
        <w:t xml:space="preserve">sustainable transport.</w:t>
      </w:r>
    </w:p>
    <w:p>
      <w:pPr>
        <w:pStyle w:val="BodyText"/>
      </w:pPr>
      <w:r>
        <w:t xml:space="preserve">Application pathway: Iran submits investment plans through the World</w:t>
      </w:r>
      <w:r>
        <w:t xml:space="preserve"> </w:t>
      </w:r>
      <w:r>
        <w:t xml:space="preserve">Bank as an implementing entity. CTF investment plans require approval by</w:t>
      </w:r>
      <w:r>
        <w:t xml:space="preserve"> </w:t>
      </w:r>
      <w:r>
        <w:t xml:space="preserve">the CTF Trust Fund Committee. The RSC coordinates with the World Bank to</w:t>
      </w:r>
      <w:r>
        <w:t xml:space="preserve"> </w:t>
      </w:r>
      <w:r>
        <w:t xml:space="preserve">prepare CTF-aligned investment plans for MRF-Energy and MRF-Transport</w:t>
      </w:r>
      <w:r>
        <w:t xml:space="preserve"> </w:t>
      </w:r>
      <w:r>
        <w:t xml:space="preserve">projects.</w:t>
      </w:r>
    </w:p>
    <w:p>
      <w:pPr>
        <w:pStyle w:val="BodyText"/>
      </w:pPr>
      <w:r>
        <w:t xml:space="preserve">G.2.3 Climate Risk and Early Warning Systems (CREWS)</w:t>
      </w:r>
    </w:p>
    <w:p>
      <w:pPr>
        <w:pStyle w:val="BodyText"/>
      </w:pPr>
      <w:r>
        <w:t xml:space="preserve">CREWS is an initiative that aims to raise $100 million to strengthen</w:t>
      </w:r>
      <w:r>
        <w:t xml:space="preserve"> </w:t>
      </w:r>
      <w:r>
        <w:t xml:space="preserve">multi-hazard early warning systems in Least Developed Countries and</w:t>
      </w:r>
      <w:r>
        <w:t xml:space="preserve"> </w:t>
      </w:r>
      <w:r>
        <w:t xml:space="preserve">Small Island Developing States. CREWS funds support risk-informed early</w:t>
      </w:r>
      <w:r>
        <w:t xml:space="preserve"> </w:t>
      </w:r>
      <w:r>
        <w:t xml:space="preserve">warning, preparedness, and response systems.</w:t>
      </w:r>
    </w:p>
    <w:p>
      <w:pPr>
        <w:pStyle w:val="BodyText"/>
      </w:pPr>
      <w:r>
        <w:t xml:space="preserve">Application pathway: Iran accesses CREWS through the World Bank or UNDP</w:t>
      </w:r>
      <w:r>
        <w:t xml:space="preserve"> </w:t>
      </w:r>
      <w:r>
        <w:t xml:space="preserve">as implementing partners. Proposals are submitted to the CREWS</w:t>
      </w:r>
      <w:r>
        <w:t xml:space="preserve"> </w:t>
      </w:r>
      <w:r>
        <w:t xml:space="preserve">Secretariat.</w:t>
      </w:r>
    </w:p>
    <w:p>
      <w:pPr>
        <w:pStyle w:val="BodyText"/>
      </w:pPr>
      <w:r>
        <w:t xml:space="preserve">G.2.4 MENA Transition Fund</w:t>
      </w:r>
    </w:p>
    <w:p>
      <w:pPr>
        <w:pStyle w:val="BodyText"/>
      </w:pPr>
      <w:r>
        <w:t xml:space="preserve">The MENA Transition Fund was established in 2012 under the Deauville</w:t>
      </w:r>
      <w:r>
        <w:t xml:space="preserve"> </w:t>
      </w:r>
      <w:r>
        <w:t xml:space="preserve">Partnership with Arab Countries in Transition. The Fund supports</w:t>
      </w:r>
      <w:r>
        <w:t xml:space="preserve"> </w:t>
      </w:r>
      <w:r>
        <w:t xml:space="preserve">transformation in the region by providing technical cooperation for</w:t>
      </w:r>
      <w:r>
        <w:t xml:space="preserve"> </w:t>
      </w:r>
      <w:r>
        <w:t xml:space="preserve">economic governance, private sector development, trade, employment, and</w:t>
      </w:r>
      <w:r>
        <w:t xml:space="preserve"> </w:t>
      </w:r>
      <w:r>
        <w:t xml:space="preserve">public financial management.</w:t>
      </w:r>
    </w:p>
    <w:p>
      <w:pPr>
        <w:pStyle w:val="BodyText"/>
      </w:pPr>
      <w:r>
        <w:t xml:space="preserve">Application pathway: Iran submits proposals through the World Bank as a</w:t>
      </w:r>
      <w:r>
        <w:t xml:space="preserve"> </w:t>
      </w:r>
      <w:r>
        <w:t xml:space="preserve">Deauville Partnership implementing entity. The RSC coordinates with the</w:t>
      </w:r>
      <w:r>
        <w:t xml:space="preserve"> </w:t>
      </w:r>
      <w:r>
        <w:t xml:space="preserve">World Bank on MENA Transition Fund applications for institutional</w:t>
      </w:r>
      <w:r>
        <w:t xml:space="preserve"> </w:t>
      </w:r>
      <w:r>
        <w:t xml:space="preserve">capacity building under MRF-Governance.</w:t>
      </w:r>
    </w:p>
    <w:p>
      <w:pPr>
        <w:pStyle w:val="BodyText"/>
      </w:pPr>
      <w:r>
        <w:t xml:space="preserve">G.3 Blended Finance and Innovative Instruments</w:t>
      </w:r>
    </w:p>
    <w:p>
      <w:pPr>
        <w:pStyle w:val="BodyText"/>
      </w:pPr>
      <w:r>
        <w:t xml:space="preserve">G.3.1 Convergence Blended Finance Platform</w:t>
      </w:r>
    </w:p>
    <w:p>
      <w:pPr>
        <w:pStyle w:val="BodyText"/>
      </w:pPr>
      <w:r>
        <w:t xml:space="preserve">Convergence operates as the global network for blended finance, serving</w:t>
      </w:r>
      <w:r>
        <w:t xml:space="preserve"> </w:t>
      </w:r>
      <w:r>
        <w:t xml:space="preserve">as a marketplace and knowledge broker for innovative development finance</w:t>
      </w:r>
      <w:r>
        <w:t xml:space="preserve"> </w:t>
      </w:r>
      <w:r>
        <w:t xml:space="preserve">models. Convergence provides design funding, connects practitioners, and</w:t>
      </w:r>
      <w:r>
        <w:t xml:space="preserve"> </w:t>
      </w:r>
      <w:r>
        <w:t xml:space="preserve">publishes market intelligence on blended finance transactions.</w:t>
      </w:r>
    </w:p>
    <w:p>
      <w:pPr>
        <w:pStyle w:val="BodyText"/>
      </w:pPr>
      <w:r>
        <w:t xml:space="preserve">Application pathway: The RSC submits blended finance project concepts to</w:t>
      </w:r>
      <w:r>
        <w:t xml:space="preserve"> </w:t>
      </w:r>
      <w:r>
        <w:t xml:space="preserve">Convergence for design funding and technical assistance. Convergence</w:t>
      </w:r>
      <w:r>
        <w:t xml:space="preserve"> </w:t>
      </w:r>
      <w:r>
        <w:t xml:space="preserve">provides grant funding of up to $500,000 for blended finance transaction</w:t>
      </w:r>
      <w:r>
        <w:t xml:space="preserve"> </w:t>
      </w:r>
      <w:r>
        <w:t xml:space="preserve">design. The RSC leverages Convergence’s network to connect with</w:t>
      </w:r>
      <w:r>
        <w:t xml:space="preserve"> </w:t>
      </w:r>
      <w:r>
        <w:t xml:space="preserve">potential blended finance investors.</w:t>
      </w:r>
    </w:p>
    <w:p>
      <w:pPr>
        <w:pStyle w:val="BodyText"/>
      </w:pPr>
      <w:r>
        <w:t xml:space="preserve">G.3.2 UNDP-UNCDF ReStart Fund</w:t>
      </w:r>
    </w:p>
    <w:p>
      <w:pPr>
        <w:pStyle w:val="BodyText"/>
      </w:pPr>
      <w:r>
        <w:t xml:space="preserve">The ReStart Fund enables countries affected by crisis to access timely</w:t>
      </w:r>
      <w:r>
        <w:t xml:space="preserve"> </w:t>
      </w:r>
      <w:r>
        <w:t xml:space="preserve">and tailored financing to stabilize institutions, support recovery, and</w:t>
      </w:r>
      <w:r>
        <w:t xml:space="preserve"> </w:t>
      </w:r>
      <w:r>
        <w:t xml:space="preserve">re-ignite economic activity. The Fund offers a continuum of support from</w:t>
      </w:r>
      <w:r>
        <w:t xml:space="preserve"> </w:t>
      </w:r>
      <w:r>
        <w:t xml:space="preserve">initial recovery grants to catalytic capital for longer-term</w:t>
      </w:r>
      <w:r>
        <w:t xml:space="preserve"> </w:t>
      </w:r>
      <w:r>
        <w:t xml:space="preserve">investments.</w:t>
      </w:r>
    </w:p>
    <w:p>
      <w:pPr>
        <w:pStyle w:val="BodyText"/>
      </w:pPr>
      <w:r>
        <w:t xml:space="preserve">The ReStart Fund is a key initiative under the Recovery and Resilience</w:t>
      </w:r>
      <w:r>
        <w:t xml:space="preserve"> </w:t>
      </w:r>
      <w:r>
        <w:t xml:space="preserve">Financing Platform (RRFP), launched by the Government of Spain and UNDP</w:t>
      </w:r>
      <w:r>
        <w:t xml:space="preserve"> </w:t>
      </w:r>
      <w:r>
        <w:t xml:space="preserve">under the Seville Platform for Action. The RRFP is endorsed by the</w:t>
      </w:r>
      <w:r>
        <w:t xml:space="preserve"> </w:t>
      </w:r>
      <w:r>
        <w:t xml:space="preserve">African Development Bank, the European Investment Bank, the World Bank,</w:t>
      </w:r>
      <w:r>
        <w:t xml:space="preserve"> </w:t>
      </w:r>
      <w:r>
        <w:t xml:space="preserve">IFAD, UNCDF, and other major development institutions.</w:t>
      </w:r>
    </w:p>
    <w:p>
      <w:pPr>
        <w:pStyle w:val="BodyText"/>
      </w:pPr>
      <w:r>
        <w:t xml:space="preserve">Application pathway: Iran accesses the ReStart Fund through UNDP’s</w:t>
      </w:r>
      <w:r>
        <w:t xml:space="preserve"> </w:t>
      </w:r>
      <w:r>
        <w:t xml:space="preserve">country office in Tehran. The Fund provides rapid-response grants</w:t>
      </w:r>
      <w:r>
        <w:t xml:space="preserve"> </w:t>
      </w:r>
      <w:r>
        <w:t xml:space="preserve">(30-day processing) for urgent stabilization needs, followed by</w:t>
      </w:r>
      <w:r>
        <w:t xml:space="preserve"> </w:t>
      </w:r>
      <w:r>
        <w:t xml:space="preserve">catalytic capital for longer-term recovery investments. The RSC</w:t>
      </w:r>
      <w:r>
        <w:t xml:space="preserve"> </w:t>
      </w:r>
      <w:r>
        <w:t xml:space="preserve">coordinates ReStart Fund applications with MRF Sub-Fund programming.</w:t>
      </w:r>
    </w:p>
    <w:p>
      <w:pPr>
        <w:pStyle w:val="BodyText"/>
      </w:pPr>
      <w:r>
        <w:t xml:space="preserve">G.3.3 Recovery and Resilience Financing Platform (RRFP)</w:t>
      </w:r>
    </w:p>
    <w:p>
      <w:pPr>
        <w:pStyle w:val="BodyText"/>
      </w:pPr>
      <w:r>
        <w:t xml:space="preserve">The RRFP addresses the chronic underfunding of recovery and resilience</w:t>
      </w:r>
      <w:r>
        <w:t xml:space="preserve"> </w:t>
      </w:r>
      <w:r>
        <w:t xml:space="preserve">initiatives by bringing together partners and initiatives to provide</w:t>
      </w:r>
      <w:r>
        <w:t xml:space="preserve"> </w:t>
      </w:r>
      <w:r>
        <w:t xml:space="preserve">tailored and coordinated support for country-led efforts to access new</w:t>
      </w:r>
      <w:r>
        <w:t xml:space="preserve"> </w:t>
      </w:r>
      <w:r>
        <w:t xml:space="preserve">sources of public and private finance. The Platform supports global</w:t>
      </w:r>
      <w:r>
        <w:t xml:space="preserve"> </w:t>
      </w:r>
      <w:r>
        <w:t xml:space="preserve">advocacy, joint learning, and the co-designing of crisis-responsive</w:t>
      </w:r>
      <w:r>
        <w:t xml:space="preserve"> </w:t>
      </w:r>
      <w:r>
        <w:t xml:space="preserve">financing instruments.</w:t>
      </w:r>
    </w:p>
    <w:p>
      <w:pPr>
        <w:pStyle w:val="BodyText"/>
      </w:pPr>
      <w:r>
        <w:t xml:space="preserve">Endorsing entities include: African Development Bank, European</w:t>
      </w:r>
      <w:r>
        <w:t xml:space="preserve"> </w:t>
      </w:r>
      <w:r>
        <w:t xml:space="preserve">Development Finance Institutions, European Investment Bank, G7+,</w:t>
      </w:r>
      <w:r>
        <w:t xml:space="preserve"> </w:t>
      </w:r>
      <w:r>
        <w:t xml:space="preserve">International Fund for Agricultural Development, Meridiam, One Earth</w:t>
      </w:r>
      <w:r>
        <w:t xml:space="preserve"> </w:t>
      </w:r>
      <w:r>
        <w:t xml:space="preserve">Future, the World Bank, UNCDF, and UNCCD.</w:t>
      </w:r>
    </w:p>
    <w:p>
      <w:pPr>
        <w:pStyle w:val="BodyText"/>
      </w:pPr>
      <w:r>
        <w:t xml:space="preserve">Application pathway: Iran engages the RRFP through UNDP coordination.</w:t>
      </w:r>
      <w:r>
        <w:t xml:space="preserve"> </w:t>
      </w:r>
      <w:r>
        <w:t xml:space="preserve">The RSC secretariat serves as the national focal point for RRFP</w:t>
      </w:r>
      <w:r>
        <w:t xml:space="preserve"> </w:t>
      </w:r>
      <w:r>
        <w:t xml:space="preserve">engagement. The Platform provides access to blended finance instruments,</w:t>
      </w:r>
      <w:r>
        <w:t xml:space="preserve"> </w:t>
      </w:r>
      <w:r>
        <w:t xml:space="preserve">technical assistance, and investor matchmaking.</w:t>
      </w:r>
    </w:p>
    <w:p>
      <w:pPr>
        <w:pStyle w:val="BodyText"/>
      </w:pPr>
      <w:r>
        <w:t xml:space="preserve">G.4 Islamic Finance Instruments</w:t>
      </w:r>
    </w:p>
    <w:p>
      <w:pPr>
        <w:pStyle w:val="BodyText"/>
      </w:pPr>
      <w:r>
        <w:t xml:space="preserve">G.4.1 Sovereign and Infrastructure Sukuk</w:t>
      </w:r>
    </w:p>
    <w:p>
      <w:pPr>
        <w:pStyle w:val="BodyText"/>
      </w:pPr>
      <w:r>
        <w:t xml:space="preserve">Sukuk are investment certificates representing ownership shares in</w:t>
      </w:r>
      <w:r>
        <w:t xml:space="preserve"> </w:t>
      </w:r>
      <w:r>
        <w:t xml:space="preserve">underlying assets. Unlike conventional bonds, sukuk do not represent</w:t>
      </w:r>
      <w:r>
        <w:t xml:space="preserve"> </w:t>
      </w:r>
      <w:r>
        <w:t xml:space="preserve">debt obligations but rather participatory investment in tangible assets</w:t>
      </w:r>
      <w:r>
        <w:t xml:space="preserve"> </w:t>
      </w:r>
      <w:r>
        <w:t xml:space="preserve">or projects. The MRF establishes a Sukuk Issuance Window for sovereign</w:t>
      </w:r>
      <w:r>
        <w:t xml:space="preserve"> </w:t>
      </w:r>
      <w:r>
        <w:t xml:space="preserve">and infrastructure sukuk to fund reconstruction projects.</w:t>
      </w:r>
    </w:p>
    <w:p>
      <w:pPr>
        <w:pStyle w:val="BodyText"/>
      </w:pPr>
      <w:r>
        <w:t xml:space="preserve">The Sukuk Window operates as follows: (1) The RSC identifies</w:t>
      </w:r>
      <w:r>
        <w:t xml:space="preserve"> </w:t>
      </w:r>
      <w:r>
        <w:t xml:space="preserve">reconstruction assets eligible for sukuk backing (power plants, water</w:t>
      </w:r>
      <w:r>
        <w:t xml:space="preserve"> </w:t>
      </w:r>
      <w:r>
        <w:t xml:space="preserve">treatment facilities, transport infrastructure), (2) A special purpose</w:t>
      </w:r>
      <w:r>
        <w:t xml:space="preserve"> </w:t>
      </w:r>
      <w:r>
        <w:t xml:space="preserve">vehicle (SPV) is established under Qatar Central Bank supervision to</w:t>
      </w:r>
      <w:r>
        <w:t xml:space="preserve"> </w:t>
      </w:r>
      <w:r>
        <w:t xml:space="preserve">hold the underlying assets, (3) The SPV issues sukuk certificates to</w:t>
      </w:r>
      <w:r>
        <w:t xml:space="preserve"> </w:t>
      </w:r>
      <w:r>
        <w:t xml:space="preserve">investors, (4) Investors receive returns based on asset-generated</w:t>
      </w:r>
      <w:r>
        <w:t xml:space="preserve"> </w:t>
      </w:r>
      <w:r>
        <w:t xml:space="preserve">revenue (tolls, utility fees, tariffs), (5) The Qatar Central Bank</w:t>
      </w:r>
      <w:r>
        <w:t xml:space="preserve"> </w:t>
      </w:r>
      <w:r>
        <w:t xml:space="preserve">provides a partial credit guarantee for senior tranches.</w:t>
      </w:r>
    </w:p>
    <w:p>
      <w:pPr>
        <w:pStyle w:val="BodyText"/>
      </w:pPr>
      <w:r>
        <w:t xml:space="preserve">Target issuance: $5-10 billion over the reconstruction period. Primary</w:t>
      </w:r>
      <w:r>
        <w:t xml:space="preserve"> </w:t>
      </w:r>
      <w:r>
        <w:t xml:space="preserve">investors include GCC sovereign wealth funds, Islamic banks, and</w:t>
      </w:r>
      <w:r>
        <w:t xml:space="preserve"> </w:t>
      </w:r>
      <w:r>
        <w:t xml:space="preserve">institutional investors seeking Shari’ah-compliant assets. Green Sukuk</w:t>
      </w:r>
      <w:r>
        <w:t xml:space="preserve"> </w:t>
      </w:r>
      <w:r>
        <w:t xml:space="preserve">variants target climate-focused projects under the CCPF (Article 6.4).</w:t>
      </w:r>
    </w:p>
    <w:p>
      <w:pPr>
        <w:pStyle w:val="BodyText"/>
      </w:pPr>
      <w:r>
        <w:t xml:space="preserve">G.4.2 Musharakah and Mudaraba Partnership Financing</w:t>
      </w:r>
    </w:p>
    <w:p>
      <w:pPr>
        <w:pStyle w:val="BodyText"/>
      </w:pPr>
      <w:r>
        <w:t xml:space="preserve">Musharakah (diminishing partnership) and Mudaraba (silent partnership)</w:t>
      </w:r>
      <w:r>
        <w:t xml:space="preserve"> </w:t>
      </w:r>
      <w:r>
        <w:t xml:space="preserve">are Islamic partnership financing structures where investor income</w:t>
      </w:r>
      <w:r>
        <w:t xml:space="preserve"> </w:t>
      </w:r>
      <w:r>
        <w:t xml:space="preserve">derives from profit-sharing rather than fixed interest. The MRF uses</w:t>
      </w:r>
      <w:r>
        <w:t xml:space="preserve"> </w:t>
      </w:r>
      <w:r>
        <w:t xml:space="preserve">these instruments for projects with predictable revenue streams.</w:t>
      </w:r>
    </w:p>
    <w:p>
      <w:pPr>
        <w:pStyle w:val="BodyText"/>
      </w:pPr>
      <w:r>
        <w:t xml:space="preserve">Under Musharakah, the MRF and an Islamic financier (typically the IsDB</w:t>
      </w:r>
      <w:r>
        <w:t xml:space="preserve"> </w:t>
      </w:r>
      <w:r>
        <w:t xml:space="preserve">or a GCC Islamic bank) jointly own a project asset. The financier’s</w:t>
      </w:r>
      <w:r>
        <w:t xml:space="preserve"> </w:t>
      </w:r>
      <w:r>
        <w:t xml:space="preserve">share diminishes over time as the project generates revenue, eventually</w:t>
      </w:r>
      <w:r>
        <w:t xml:space="preserve"> </w:t>
      </w:r>
      <w:r>
        <w:t xml:space="preserve">transferring full ownership to the MRF. Under Mudarabah, the MRF</w:t>
      </w:r>
      <w:r>
        <w:t xml:space="preserve"> </w:t>
      </w:r>
      <w:r>
        <w:t xml:space="preserve">provides capital while the Islamic financier provides management</w:t>
      </w:r>
      <w:r>
        <w:t xml:space="preserve"> </w:t>
      </w:r>
      <w:r>
        <w:t xml:space="preserve">expertise. Profits are shared according to a pre-agreed ratio.</w:t>
      </w:r>
    </w:p>
    <w:p>
      <w:pPr>
        <w:pStyle w:val="BodyText"/>
      </w:pPr>
      <w:r>
        <w:t xml:space="preserve">These instruments are ideal for energy infrastructure (electricity</w:t>
      </w:r>
      <w:r>
        <w:t xml:space="preserve"> </w:t>
      </w:r>
      <w:r>
        <w:t xml:space="preserve">generation, renewable energy), transport assets (ports, airports, toll</w:t>
      </w:r>
      <w:r>
        <w:t xml:space="preserve"> </w:t>
      </w:r>
      <w:r>
        <w:t xml:space="preserve">roads), and water utilities where user fees generate predictable</w:t>
      </w:r>
      <w:r>
        <w:t xml:space="preserve"> </w:t>
      </w:r>
      <w:r>
        <w:t xml:space="preserve">revenue. The IsDB and GCC Islamic Development Bank coordinate Musharakah</w:t>
      </w:r>
      <w:r>
        <w:t xml:space="preserve"> </w:t>
      </w:r>
      <w:r>
        <w:t xml:space="preserve">and Mudaraba structuring through the RSC.</w:t>
      </w:r>
    </w:p>
    <w:p>
      <w:pPr>
        <w:pStyle w:val="BodyText"/>
      </w:pPr>
      <w:r>
        <w:t xml:space="preserve">G.4.3 Ijara (Islamic Leasing)</w:t>
      </w:r>
    </w:p>
    <w:p>
      <w:pPr>
        <w:pStyle w:val="BodyText"/>
      </w:pPr>
      <w:r>
        <w:t xml:space="preserve">Ijara structures financing for equipment-heavy infrastructure assets.</w:t>
      </w:r>
      <w:r>
        <w:t xml:space="preserve"> </w:t>
      </w:r>
      <w:r>
        <w:t xml:space="preserve">Under Ijara, the MRF (through the Qatar Central Bank) purchases</w:t>
      </w:r>
      <w:r>
        <w:t xml:space="preserve"> </w:t>
      </w:r>
      <w:r>
        <w:t xml:space="preserve">equipment (power generation units, water treatment machinery,</w:t>
      </w:r>
      <w:r>
        <w:t xml:space="preserve"> </w:t>
      </w:r>
      <w:r>
        <w:t xml:space="preserve">construction equipment, medical devices) and leases it to Iranian</w:t>
      </w:r>
      <w:r>
        <w:t xml:space="preserve"> </w:t>
      </w:r>
      <w:r>
        <w:t xml:space="preserve">project operators. Ownership transfers to Iran upon completion of lease</w:t>
      </w:r>
      <w:r>
        <w:t xml:space="preserve"> </w:t>
      </w:r>
      <w:r>
        <w:t xml:space="preserve">payments.</w:t>
      </w:r>
    </w:p>
    <w:p>
      <w:pPr>
        <w:pStyle w:val="BodyText"/>
      </w:pPr>
      <w:r>
        <w:t xml:space="preserve">Ijara is particularly suited for MRF-Energy, MRF-Water, and MRF-Health</w:t>
      </w:r>
      <w:r>
        <w:t xml:space="preserve"> </w:t>
      </w:r>
      <w:r>
        <w:t xml:space="preserve">projects requiring specialized equipment. Lease terms align with project</w:t>
      </w:r>
      <w:r>
        <w:t xml:space="preserve"> </w:t>
      </w:r>
      <w:r>
        <w:t xml:space="preserve">revenue cycles. The Islamic Corporation for the Insurance of Investment</w:t>
      </w:r>
      <w:r>
        <w:t xml:space="preserve"> </w:t>
      </w:r>
      <w:r>
        <w:t xml:space="preserve">and Export Credit (ICIEC) provides default insurance for Ijara</w:t>
      </w:r>
      <w:r>
        <w:t xml:space="preserve"> </w:t>
      </w:r>
      <w:r>
        <w:t xml:space="preserve">transactions.</w:t>
      </w:r>
    </w:p>
    <w:p>
      <w:pPr>
        <w:pStyle w:val="BodyText"/>
      </w:pPr>
      <w:r>
        <w:t xml:space="preserve">G.4.4 Qard al-Hasan (Benevolent Loans)</w:t>
      </w:r>
    </w:p>
    <w:p>
      <w:pPr>
        <w:pStyle w:val="BodyText"/>
      </w:pPr>
      <w:r>
        <w:t xml:space="preserve">Qard al-Hasan provides interest-free loans for humanitarian and social</w:t>
      </w:r>
      <w:r>
        <w:t xml:space="preserve"> </w:t>
      </w:r>
      <w:r>
        <w:t xml:space="preserve">infrastructure that does not generate direct revenue. Eligible projects</w:t>
      </w:r>
      <w:r>
        <w:t xml:space="preserve"> </w:t>
      </w:r>
      <w:r>
        <w:t xml:space="preserve">include schools, community health centers, public sanitation systems,</w:t>
      </w:r>
      <w:r>
        <w:t xml:space="preserve"> </w:t>
      </w:r>
      <w:r>
        <w:t xml:space="preserve">and emergency housing. The IsDB Waqf Fund and faith-based organizations</w:t>
      </w:r>
      <w:r>
        <w:t xml:space="preserve"> </w:t>
      </w:r>
      <w:r>
        <w:t xml:space="preserve">provide Qard al-Hasan capital.</w:t>
      </w:r>
    </w:p>
    <w:p>
      <w:pPr>
        <w:pStyle w:val="BodyText"/>
      </w:pPr>
      <w:r>
        <w:t xml:space="preserve">The MRF administers Qard al-Hasan through a dedicated Humanitarian</w:t>
      </w:r>
      <w:r>
        <w:t xml:space="preserve"> </w:t>
      </w:r>
      <w:r>
        <w:t xml:space="preserve">Corridor within the MRF-Health and MRF-Housing Sub-Funds. Loans are</w:t>
      </w:r>
      <w:r>
        <w:t xml:space="preserve"> </w:t>
      </w:r>
      <w:r>
        <w:t xml:space="preserve">repaid through a voluntary community contribution mechanism or through</w:t>
      </w:r>
      <w:r>
        <w:t xml:space="preserve"> </w:t>
      </w:r>
      <w:r>
        <w:t xml:space="preserve">cross-subsidization from revenue-generating projects within the same</w:t>
      </w:r>
      <w:r>
        <w:t xml:space="preserve"> </w:t>
      </w:r>
      <w:r>
        <w:t xml:space="preserve">Sub-Fund.</w:t>
      </w:r>
    </w:p>
    <w:p>
      <w:pPr>
        <w:pStyle w:val="BodyText"/>
      </w:pPr>
      <w:r>
        <w:t xml:space="preserve">G.5 Results-Based and Impact Financing</w:t>
      </w:r>
    </w:p>
    <w:p>
      <w:pPr>
        <w:pStyle w:val="BodyText"/>
      </w:pPr>
      <w:r>
        <w:t xml:space="preserve">G.5.1 Development Impact Bonds (DIBs)</w:t>
      </w:r>
    </w:p>
    <w:p>
      <w:pPr>
        <w:pStyle w:val="BodyText"/>
      </w:pPr>
      <w:r>
        <w:t xml:space="preserve">Development Impact Bonds are results-based financing instruments where</w:t>
      </w:r>
      <w:r>
        <w:t xml:space="preserve"> </w:t>
      </w:r>
      <w:r>
        <w:t xml:space="preserve">private investors provide upfront capital for social programs and are</w:t>
      </w:r>
      <w:r>
        <w:t xml:space="preserve"> </w:t>
      </w:r>
      <w:r>
        <w:t xml:space="preserve">repaid by outcome funders (governments or foundations) if specific</w:t>
      </w:r>
      <w:r>
        <w:t xml:space="preserve"> </w:t>
      </w:r>
      <w:r>
        <w:t xml:space="preserve">results are achieved. The MRF uses DIBs to target high-priority outcomes</w:t>
      </w:r>
      <w:r>
        <w:t xml:space="preserve"> </w:t>
      </w:r>
      <w:r>
        <w:t xml:space="preserve">in job creation, health service delivery, and educational attainment.</w:t>
      </w:r>
    </w:p>
    <w:p>
      <w:pPr>
        <w:pStyle w:val="BodyText"/>
      </w:pPr>
      <w:r>
        <w:t xml:space="preserve">The DIB structure operates as follows: (1) The RSC identifies a</w:t>
      </w:r>
      <w:r>
        <w:t xml:space="preserve"> </w:t>
      </w:r>
      <w:r>
        <w:t xml:space="preserve">measurable outcome target (e.g., 100,000 jobs created in construction</w:t>
      </w:r>
      <w:r>
        <w:t xml:space="preserve"> </w:t>
      </w:r>
      <w:r>
        <w:t xml:space="preserve">sector, 500,000 people receiving primary healthcare), (2) Private</w:t>
      </w:r>
      <w:r>
        <w:t xml:space="preserve"> </w:t>
      </w:r>
      <w:r>
        <w:t xml:space="preserve">investors (social impact funds, development finance institutions)</w:t>
      </w:r>
      <w:r>
        <w:t xml:space="preserve"> </w:t>
      </w:r>
      <w:r>
        <w:t xml:space="preserve">provide upfront capital to service providers, (3) An independent</w:t>
      </w:r>
      <w:r>
        <w:t xml:space="preserve"> </w:t>
      </w:r>
      <w:r>
        <w:t xml:space="preserve">verifier measures outcome achievement against the target, (4) Outcome</w:t>
      </w:r>
      <w:r>
        <w:t xml:space="preserve"> </w:t>
      </w:r>
      <w:r>
        <w:t xml:space="preserve">funders (bilateral donors, foundations) repay investors based on</w:t>
      </w:r>
      <w:r>
        <w:t xml:space="preserve"> </w:t>
      </w:r>
      <w:r>
        <w:t xml:space="preserve">verified results, with higher returns for over-performance.</w:t>
      </w:r>
    </w:p>
    <w:p>
      <w:pPr>
        <w:pStyle w:val="BodyText"/>
      </w:pPr>
      <w:r>
        <w:t xml:space="preserve">The World Bank’s Finance for Jobs (F4J) DIB in the West Bank</w:t>
      </w:r>
      <w:r>
        <w:t xml:space="preserve"> </w:t>
      </w:r>
      <w:r>
        <w:t xml:space="preserve">demonstrates the viability of this model for conflict-affected settings.</w:t>
      </w:r>
      <w:r>
        <w:t xml:space="preserve"> </w:t>
      </w:r>
      <w:r>
        <w:t xml:space="preserve">The MRF targets $500 million to $1 billion in DIB issuance across the</w:t>
      </w:r>
      <w:r>
        <w:t xml:space="preserve"> </w:t>
      </w:r>
      <w:r>
        <w:t xml:space="preserve">reconstruction period.</w:t>
      </w:r>
    </w:p>
    <w:p>
      <w:pPr>
        <w:pStyle w:val="BodyText"/>
      </w:pPr>
      <w:r>
        <w:t xml:space="preserve">G.5.2 Humanitarian Impact Bonds (HIBs)</w:t>
      </w:r>
    </w:p>
    <w:p>
      <w:pPr>
        <w:pStyle w:val="BodyText"/>
      </w:pPr>
      <w:r>
        <w:t xml:space="preserve">Humanitarian Impact Bonds are DIB variants designed specifically for</w:t>
      </w:r>
      <w:r>
        <w:t xml:space="preserve"> </w:t>
      </w:r>
      <w:r>
        <w:t xml:space="preserve">humanitarian settings. The ICRC’s pioneering HIB raised CHF 26 million</w:t>
      </w:r>
      <w:r>
        <w:t xml:space="preserve"> </w:t>
      </w:r>
      <w:r>
        <w:t xml:space="preserve">for physical rehabilitation centers in conflict-affected countries</w:t>
      </w:r>
      <w:r>
        <w:t xml:space="preserve"> </w:t>
      </w:r>
      <w:r>
        <w:t xml:space="preserve">(Mali, Nigeria, DRC), with outcome funders including Switzerland,</w:t>
      </w:r>
      <w:r>
        <w:t xml:space="preserve"> </w:t>
      </w:r>
      <w:r>
        <w:t xml:space="preserve">Belgium, Italy, the UK, and La Caixa Foundation.</w:t>
      </w:r>
    </w:p>
    <w:p>
      <w:pPr>
        <w:pStyle w:val="BodyText"/>
      </w:pPr>
      <w:r>
        <w:t xml:space="preserve">The MRF uses HIBs for measurable humanitarian outcomes including:</w:t>
      </w:r>
      <w:r>
        <w:t xml:space="preserve"> </w:t>
      </w:r>
      <w:r>
        <w:t xml:space="preserve">demining and UXO clearance, disability rehabilitation services,</w:t>
      </w:r>
      <w:r>
        <w:t xml:space="preserve"> </w:t>
      </w:r>
      <w:r>
        <w:t xml:space="preserve">emergency medical response capacity, and community stabilization</w:t>
      </w:r>
      <w:r>
        <w:t xml:space="preserve"> </w:t>
      </w:r>
      <w:r>
        <w:t xml:space="preserve">programming. The PRI Pool provides investor protection for HIB capital.</w:t>
      </w:r>
      <w:r>
        <w:t xml:space="preserve"> </w:t>
      </w:r>
      <w:r>
        <w:t xml:space="preserve">Outcome funders include bilateral donors, foundations, and UN agencies.</w:t>
      </w:r>
    </w:p>
    <w:p>
      <w:pPr>
        <w:pStyle w:val="BodyText"/>
      </w:pPr>
      <w:r>
        <w:t xml:space="preserve">G.6 Global Infrastructure Facility</w:t>
      </w:r>
    </w:p>
    <w:p>
      <w:pPr>
        <w:pStyle w:val="BodyText"/>
      </w:pPr>
      <w:r>
        <w:t xml:space="preserve">The Global Infrastructure Facility (GIF) is a World Bank partnership</w:t>
      </w:r>
      <w:r>
        <w:t xml:space="preserve"> </w:t>
      </w:r>
      <w:r>
        <w:t xml:space="preserve">platform that facilitates the preparation and structuring of complex</w:t>
      </w:r>
      <w:r>
        <w:t xml:space="preserve"> </w:t>
      </w:r>
      <w:r>
        <w:t xml:space="preserve">infrastructure public-private partnerships. The GIF coordinates</w:t>
      </w:r>
      <w:r>
        <w:t xml:space="preserve"> </w:t>
      </w:r>
      <w:r>
        <w:t xml:space="preserve">multilateral development banks, private sector investors, and</w:t>
      </w:r>
      <w:r>
        <w:t xml:space="preserve"> </w:t>
      </w:r>
      <w:r>
        <w:t xml:space="preserve">governments to prepare, structure, and implement complex projects that</w:t>
      </w:r>
      <w:r>
        <w:t xml:space="preserve"> </w:t>
      </w:r>
      <w:r>
        <w:t xml:space="preserve">no single institution could handle alone.</w:t>
      </w:r>
    </w:p>
    <w:p>
      <w:pPr>
        <w:pStyle w:val="BodyText"/>
      </w:pPr>
      <w:r>
        <w:t xml:space="preserve">The GIF provides end-to-end support from upstream market structure and</w:t>
      </w:r>
      <w:r>
        <w:t xml:space="preserve"> </w:t>
      </w:r>
      <w:r>
        <w:t xml:space="preserve">project identification through transaction preparation, financial</w:t>
      </w:r>
      <w:r>
        <w:t xml:space="preserve"> </w:t>
      </w:r>
      <w:r>
        <w:t xml:space="preserve">structuring, and credit enhancement. The GIF targets climate-smart and</w:t>
      </w:r>
      <w:r>
        <w:t xml:space="preserve"> </w:t>
      </w:r>
      <w:r>
        <w:t xml:space="preserve">trade-enabling infrastructure in emerging markets and developing</w:t>
      </w:r>
      <w:r>
        <w:t xml:space="preserve"> </w:t>
      </w:r>
      <w:r>
        <w:t xml:space="preserve">economies.</w:t>
      </w:r>
    </w:p>
    <w:p>
      <w:pPr>
        <w:pStyle w:val="BodyText"/>
      </w:pPr>
      <w:r>
        <w:t xml:space="preserve">Application pathway: Iran submits infrastructure projects to the GIF</w:t>
      </w:r>
      <w:r>
        <w:t xml:space="preserve"> </w:t>
      </w:r>
      <w:r>
        <w:t xml:space="preserve">through the World Bank. The GIF provides technical assistance for</w:t>
      </w:r>
      <w:r>
        <w:t xml:space="preserve"> </w:t>
      </w:r>
      <w:r>
        <w:t xml:space="preserve">project preparation, private investor matchmaking, and financial</w:t>
      </w:r>
      <w:r>
        <w:t xml:space="preserve"> </w:t>
      </w:r>
      <w:r>
        <w:t xml:space="preserve">structuring. The RSC coordinates GIF engagement for MRF transport,</w:t>
      </w:r>
      <w:r>
        <w:t xml:space="preserve"> </w:t>
      </w:r>
      <w:r>
        <w:t xml:space="preserve">energy, and water projects seeking private capital participation.</w:t>
      </w:r>
    </w:p>
    <w:p>
      <w:pPr>
        <w:pStyle w:val="BodyText"/>
      </w:pPr>
      <w:r>
        <w:t xml:space="preserve">G.7 Additional Foundation Sources</w:t>
      </w:r>
    </w:p>
    <w:p>
      <w:pPr>
        <w:pStyle w:val="BodyText"/>
      </w:pPr>
      <w:r>
        <w:t xml:space="preserve">The following foundations provide grants and program-related investments</w:t>
      </w:r>
      <w:r>
        <w:t xml:space="preserve"> </w:t>
      </w:r>
      <w:r>
        <w:t xml:space="preserve">for post-conflict reconstruction and development. The RSC maintains</w:t>
      </w:r>
      <w:r>
        <w:t xml:space="preserve"> </w:t>
      </w:r>
      <w:r>
        <w:t xml:space="preserve">active engagement with each foundation and coordinates joint</w:t>
      </w:r>
      <w:r>
        <w:t xml:space="preserve"> </w:t>
      </w:r>
      <w:r>
        <w:t xml:space="preserve">applications where applicable.</w:t>
      </w:r>
    </w:p>
    <w:p>
      <w:pPr>
        <w:pStyle w:val="BodyText"/>
      </w:pPr>
      <w:r>
        <w:t xml:space="preserve">• Skoll Foundation: Supports social entrepreneurs addressing global</w:t>
      </w:r>
      <w:r>
        <w:t xml:space="preserve"> </w:t>
      </w:r>
      <w:r>
        <w:t xml:space="preserve">challenges. Focus on health, education, and environmental</w:t>
      </w:r>
      <w:r>
        <w:t xml:space="preserve"> </w:t>
      </w:r>
      <w:r>
        <w:t xml:space="preserve">sustainability.</w:t>
      </w:r>
    </w:p>
    <w:p>
      <w:pPr>
        <w:pStyle w:val="BodyText"/>
      </w:pPr>
      <w:r>
        <w:t xml:space="preserve">• Kresge Foundation: Climate resilience, urban infrastructure, and</w:t>
      </w:r>
      <w:r>
        <w:t xml:space="preserve"> </w:t>
      </w:r>
      <w:r>
        <w:t xml:space="preserve">equitable development. U.S.-based with global program reach.</w:t>
      </w:r>
    </w:p>
    <w:p>
      <w:pPr>
        <w:pStyle w:val="BodyText"/>
      </w:pPr>
      <w:r>
        <w:t xml:space="preserve">• Mastercard Foundation: Youth employment, education, and economic</w:t>
      </w:r>
      <w:r>
        <w:t xml:space="preserve"> </w:t>
      </w:r>
      <w:r>
        <w:t xml:space="preserve">development in emerging markets. Focus on Africa and the Middle East.</w:t>
      </w:r>
    </w:p>
    <w:p>
      <w:pPr>
        <w:pStyle w:val="BodyText"/>
      </w:pPr>
      <w:r>
        <w:t xml:space="preserve">• Stavros Niarchos Foundation: Cultural heritage preservation,</w:t>
      </w:r>
      <w:r>
        <w:t xml:space="preserve"> </w:t>
      </w:r>
      <w:r>
        <w:t xml:space="preserve">education, health, and social welfare. Supports large-scale</w:t>
      </w:r>
      <w:r>
        <w:t xml:space="preserve"> </w:t>
      </w:r>
      <w:r>
        <w:t xml:space="preserve">infrastructure projects.</w:t>
      </w:r>
    </w:p>
    <w:p>
      <w:pPr>
        <w:pStyle w:val="BodyText"/>
      </w:pPr>
      <w:r>
        <w:t xml:space="preserve">• IKEA Foundation: Climate action, renewable energy, and sustainable</w:t>
      </w:r>
      <w:r>
        <w:t xml:space="preserve"> </w:t>
      </w:r>
      <w:r>
        <w:t xml:space="preserve">livelihoods in developing countries.</w:t>
      </w:r>
    </w:p>
    <w:p>
      <w:pPr>
        <w:pStyle w:val="BodyText"/>
      </w:pPr>
      <w:r>
        <w:t xml:space="preserve">• International Development Research Centre (IDRC): Canada-based</w:t>
      </w:r>
      <w:r>
        <w:t xml:space="preserve"> </w:t>
      </w:r>
      <w:r>
        <w:t xml:space="preserve">research funding for development solutions. Supports policy research and</w:t>
      </w:r>
      <w:r>
        <w:t xml:space="preserve"> </w:t>
      </w:r>
      <w:r>
        <w:t xml:space="preserve">innovation.</w:t>
      </w:r>
    </w:p>
    <w:p>
      <w:pPr>
        <w:pStyle w:val="BodyText"/>
      </w:pPr>
      <w:r>
        <w:t xml:space="preserve">• International Foundation for Science (IFS): Sweden-based research</w:t>
      </w:r>
      <w:r>
        <w:t xml:space="preserve"> </w:t>
      </w:r>
      <w:r>
        <w:t xml:space="preserve">grants for scientists in developing countries. Supports agricultural,</w:t>
      </w:r>
      <w:r>
        <w:t xml:space="preserve"> </w:t>
      </w:r>
      <w:r>
        <w:t xml:space="preserve">environmental, and health research.</w:t>
      </w:r>
    </w:p>
    <w:p>
      <w:pPr>
        <w:pStyle w:val="BodyText"/>
      </w:pPr>
      <w:r>
        <w:t xml:space="preserve">G.8 Women Entrepreneurs Finance Initiative (We-Fi)</w:t>
      </w:r>
    </w:p>
    <w:p>
      <w:pPr>
        <w:pStyle w:val="BodyText"/>
      </w:pPr>
      <w:r>
        <w:t xml:space="preserve">We-Fi is a World Bank-administered financial intermediary fund that</w:t>
      </w:r>
      <w:r>
        <w:t xml:space="preserve"> </w:t>
      </w:r>
      <w:r>
        <w:t xml:space="preserve">supports women entrepreneurs in developing countries. We-Fi provides</w:t>
      </w:r>
      <w:r>
        <w:t xml:space="preserve"> </w:t>
      </w:r>
      <w:r>
        <w:t xml:space="preserve">financing, technical assistance, and policy advocacy to increase women’s</w:t>
      </w:r>
      <w:r>
        <w:t xml:space="preserve"> </w:t>
      </w:r>
      <w:r>
        <w:t xml:space="preserve">participation in business and economic activity. Iran qualifies as a</w:t>
      </w:r>
      <w:r>
        <w:t xml:space="preserve"> </w:t>
      </w:r>
      <w:r>
        <w:t xml:space="preserve">developing country beneficiary.</w:t>
      </w:r>
    </w:p>
    <w:p>
      <w:pPr>
        <w:pStyle w:val="BodyText"/>
      </w:pPr>
      <w:r>
        <w:t xml:space="preserve">The MRF coordinates with We-Fi to ensure that women-owned businesses and</w:t>
      </w:r>
      <w:r>
        <w:t xml:space="preserve"> </w:t>
      </w:r>
      <w:r>
        <w:t xml:space="preserve">women-led contractors receive equitable access to reconstruction</w:t>
      </w:r>
      <w:r>
        <w:t xml:space="preserve"> </w:t>
      </w:r>
      <w:r>
        <w:t xml:space="preserve">procurement. We-Fi funding supports capacity building for women</w:t>
      </w:r>
      <w:r>
        <w:t xml:space="preserve"> </w:t>
      </w:r>
      <w:r>
        <w:t xml:space="preserve">entrepreneurs in construction, engineering, healthcare, and professional</w:t>
      </w:r>
      <w:r>
        <w:t xml:space="preserve"> </w:t>
      </w:r>
      <w:r>
        <w:t xml:space="preserve">services.</w:t>
      </w:r>
    </w:p>
    <w:p>
      <w:pPr>
        <w:pStyle w:val="BodyText"/>
      </w:pPr>
      <w:r>
        <w:t xml:space="preserve">G.10 OPEC Fund for International Development (OFID)</w:t>
      </w:r>
    </w:p>
    <w:p>
      <w:pPr>
        <w:pStyle w:val="BodyText"/>
      </w:pPr>
      <w:r>
        <w:t xml:space="preserve">The OPEC Fund for International Development (OFID) is a multilateral</w:t>
      </w:r>
      <w:r>
        <w:t xml:space="preserve"> </w:t>
      </w:r>
      <w:r>
        <w:t xml:space="preserve">development finance institution established in 1976 by the Member States</w:t>
      </w:r>
      <w:r>
        <w:t xml:space="preserve"> </w:t>
      </w:r>
      <w:r>
        <w:t xml:space="preserve">of the Organization of the Petroleum Exporting Countries. OFID provides</w:t>
      </w:r>
      <w:r>
        <w:t xml:space="preserve"> </w:t>
      </w:r>
      <w:r>
        <w:t xml:space="preserve">concessional financing for energy, water, agriculture, transport, and</w:t>
      </w:r>
      <w:r>
        <w:t xml:space="preserve"> </w:t>
      </w:r>
      <w:r>
        <w:t xml:space="preserve">social infrastructure projects in developing countries. The Fund has</w:t>
      </w:r>
      <w:r>
        <w:t xml:space="preserve"> </w:t>
      </w:r>
      <w:r>
        <w:t xml:space="preserve">approved over US$316 million in financing for Mauritania alone,</w:t>
      </w:r>
      <w:r>
        <w:t xml:space="preserve"> </w:t>
      </w:r>
      <w:r>
        <w:t xml:space="preserve">distributed across energy interconnection, water supply, and</w:t>
      </w:r>
      <w:r>
        <w:t xml:space="preserve"> </w:t>
      </w:r>
      <w:r>
        <w:t xml:space="preserve">agricultural modernization projects. OFID operates as a separate legal</w:t>
      </w:r>
      <w:r>
        <w:t xml:space="preserve"> </w:t>
      </w:r>
      <w:r>
        <w:t xml:space="preserve">entity from OPEC and maintains independent governance.</w:t>
      </w:r>
    </w:p>
    <w:p>
      <w:pPr>
        <w:pStyle w:val="BodyText"/>
      </w:pPr>
      <w:r>
        <w:t xml:space="preserve">OFID offers public sector loans on concessional terms, private sector</w:t>
      </w:r>
      <w:r>
        <w:t xml:space="preserve"> </w:t>
      </w:r>
      <w:r>
        <w:t xml:space="preserve">financing through direct loans and equity participation, and trade</w:t>
      </w:r>
      <w:r>
        <w:t xml:space="preserve"> </w:t>
      </w:r>
      <w:r>
        <w:t xml:space="preserve">finance facilities. The Fund co-finances with other multilateral</w:t>
      </w:r>
      <w:r>
        <w:t xml:space="preserve"> </w:t>
      </w:r>
      <w:r>
        <w:t xml:space="preserve">institutions including the African Development Bank, Islamic Development</w:t>
      </w:r>
      <w:r>
        <w:t xml:space="preserve"> </w:t>
      </w:r>
      <w:r>
        <w:t xml:space="preserve">Bank, and Arab Coordination Group members. OFID’s energy portfolio</w:t>
      </w:r>
      <w:r>
        <w:t xml:space="preserve"> </w:t>
      </w:r>
      <w:r>
        <w:t xml:space="preserve">emphasizes renewable energy, rural electrification, and cross-border</w:t>
      </w:r>
      <w:r>
        <w:t xml:space="preserve"> </w:t>
      </w:r>
      <w:r>
        <w:t xml:space="preserve">power interconnection.</w:t>
      </w:r>
    </w:p>
    <w:p>
      <w:pPr>
        <w:pStyle w:val="BodyText"/>
      </w:pPr>
      <w:r>
        <w:t xml:space="preserve">Application pathway: Iran accesses OFID through direct</w:t>
      </w:r>
      <w:r>
        <w:t xml:space="preserve"> </w:t>
      </w:r>
      <w:r>
        <w:t xml:space="preserve">government-to-Fund engagement via the Ministry of Economic Affairs and</w:t>
      </w:r>
      <w:r>
        <w:t xml:space="preserve"> </w:t>
      </w:r>
      <w:r>
        <w:t xml:space="preserve">Finance. OFID requires a formal financing request supported by</w:t>
      </w:r>
      <w:r>
        <w:t xml:space="preserve"> </w:t>
      </w:r>
      <w:r>
        <w:t xml:space="preserve">feasibility studies and environmental assessments. The RSC coordinates</w:t>
      </w:r>
      <w:r>
        <w:t xml:space="preserve"> </w:t>
      </w:r>
      <w:r>
        <w:t xml:space="preserve">OFID applications for MRF-Energy and MRF-Water projects, leveraging</w:t>
      </w:r>
      <w:r>
        <w:t xml:space="preserve"> </w:t>
      </w:r>
      <w:r>
        <w:t xml:space="preserve">OFID’s demonstrated appetite for power interconnection and water</w:t>
      </w:r>
      <w:r>
        <w:t xml:space="preserve"> </w:t>
      </w:r>
      <w:r>
        <w:t xml:space="preserve">infrastructure.</w:t>
      </w:r>
    </w:p>
    <w:p>
      <w:pPr>
        <w:pStyle w:val="BodyText"/>
      </w:pPr>
      <w:r>
        <w:t xml:space="preserve">G.11 Arab Coordination Group (ACG)</w:t>
      </w:r>
    </w:p>
    <w:p>
      <w:pPr>
        <w:pStyle w:val="BodyText"/>
      </w:pPr>
      <w:r>
        <w:t xml:space="preserve">The Arab Coordination Group (ACG) is a strategic alliance of ten Arab</w:t>
      </w:r>
      <w:r>
        <w:t xml:space="preserve"> </w:t>
      </w:r>
      <w:r>
        <w:t xml:space="preserve">national and regional development institutions: the Abu Dhabi Fund for</w:t>
      </w:r>
      <w:r>
        <w:t xml:space="preserve"> </w:t>
      </w:r>
      <w:r>
        <w:t xml:space="preserve">Development (ADFD), the Arab Bank for Economic Development in Africa</w:t>
      </w:r>
      <w:r>
        <w:t xml:space="preserve"> </w:t>
      </w:r>
      <w:r>
        <w:t xml:space="preserve">(BADEA), the Arab Fund for Economic and Social Development (AFESD), the</w:t>
      </w:r>
      <w:r>
        <w:t xml:space="preserve"> </w:t>
      </w:r>
      <w:r>
        <w:t xml:space="preserve">Arab Gulf Programme for United Nations Development Organizations</w:t>
      </w:r>
      <w:r>
        <w:t xml:space="preserve"> </w:t>
      </w:r>
      <w:r>
        <w:t xml:space="preserve">(AGFUND), the Arab Monetary Fund (AMF), the Islamic Development Bank</w:t>
      </w:r>
      <w:r>
        <w:t xml:space="preserve"> </w:t>
      </w:r>
      <w:r>
        <w:t xml:space="preserve">(IsDB), the Kuwait Fund for Arab Economic Development, the OPEC Fund for</w:t>
      </w:r>
      <w:r>
        <w:t xml:space="preserve"> </w:t>
      </w:r>
      <w:r>
        <w:t xml:space="preserve">International Development (OFID), the Saudi Fund for Development (SFD),</w:t>
      </w:r>
      <w:r>
        <w:t xml:space="preserve"> </w:t>
      </w:r>
      <w:r>
        <w:t xml:space="preserve">and the Qatar Fund for Development (QFFD).</w:t>
      </w:r>
    </w:p>
    <w:p>
      <w:pPr>
        <w:pStyle w:val="BodyText"/>
      </w:pPr>
      <w:r>
        <w:t xml:space="preserve">The ACG operates a coordinated deployment mechanism for major regional</w:t>
      </w:r>
      <w:r>
        <w:t xml:space="preserve"> </w:t>
      </w:r>
      <w:r>
        <w:t xml:space="preserve">initiatives. Member institutions pool resources, align terms, and</w:t>
      </w:r>
      <w:r>
        <w:t xml:space="preserve"> </w:t>
      </w:r>
      <w:r>
        <w:t xml:space="preserve">co-finance large-scale infrastructure programmes. The ACG pledged US$2</w:t>
      </w:r>
      <w:r>
        <w:t xml:space="preserve"> </w:t>
      </w:r>
      <w:r>
        <w:t xml:space="preserve">billion for energy, water, transport, and digital infrastructure in</w:t>
      </w:r>
      <w:r>
        <w:t xml:space="preserve"> </w:t>
      </w:r>
      <w:r>
        <w:t xml:space="preserve">Mauritania over a five-year period, demonstrating the Group’s capacity</w:t>
      </w:r>
      <w:r>
        <w:t xml:space="preserve"> </w:t>
      </w:r>
      <w:r>
        <w:t xml:space="preserve">for concentrated country-level engagement. Individual ACG members</w:t>
      </w:r>
      <w:r>
        <w:t xml:space="preserve"> </w:t>
      </w:r>
      <w:r>
        <w:t xml:space="preserve">maintain separate application processes and financing terms, allowing</w:t>
      </w:r>
      <w:r>
        <w:t xml:space="preserve"> </w:t>
      </w:r>
      <w:r>
        <w:t xml:space="preserve">flexible single-source or multi-source access.</w:t>
      </w:r>
    </w:p>
    <w:p>
      <w:pPr>
        <w:pStyle w:val="BodyText"/>
      </w:pPr>
      <w:r>
        <w:t xml:space="preserve">Application pathway: Iran engages ACG through multiple channels</w:t>
      </w:r>
      <w:r>
        <w:t xml:space="preserve"> </w:t>
      </w:r>
      <w:r>
        <w:t xml:space="preserve">simultaneously. The RSC coordinates with each ACG member institution</w:t>
      </w:r>
      <w:r>
        <w:t xml:space="preserve"> </w:t>
      </w:r>
      <w:r>
        <w:t xml:space="preserve">through its respective headquarters, presenting standardized project</w:t>
      </w:r>
      <w:r>
        <w:t xml:space="preserve"> </w:t>
      </w:r>
      <w:r>
        <w:t xml:space="preserve">portfolios for co-financing consideration. Priority engagement targets</w:t>
      </w:r>
      <w:r>
        <w:t xml:space="preserve"> </w:t>
      </w:r>
      <w:r>
        <w:t xml:space="preserve">ADFD (Abu Dhabi), AFESD (Kuwait), SFD (Riyadh), and IsDB (Jeddah) as the</w:t>
      </w:r>
      <w:r>
        <w:t xml:space="preserve"> </w:t>
      </w:r>
      <w:r>
        <w:t xml:space="preserve">largest capital providers. The RSC establishes a dedicated ACG Liaison</w:t>
      </w:r>
      <w:r>
        <w:t xml:space="preserve"> </w:t>
      </w:r>
      <w:r>
        <w:t xml:space="preserve">Desk to manage parallel negotiations and ensure coordinated disbursement</w:t>
      </w:r>
      <w:r>
        <w:t xml:space="preserve"> </w:t>
      </w:r>
      <w:r>
        <w:t xml:space="preserve">timelines.</w:t>
      </w:r>
    </w:p>
    <w:p>
      <w:pPr>
        <w:pStyle w:val="BodyText"/>
      </w:pPr>
      <w:r>
        <w:t xml:space="preserve">G.12 Summary of New Potential Funding</w:t>
      </w:r>
    </w:p>
    <w:p>
      <w:pPr>
        <w:pStyle w:val="BodyText"/>
      </w:pPr>
      <w:r>
        <w:t xml:space="preserve">The following table summarizes the additional funding sources documented</w:t>
      </w:r>
      <w:r>
        <w:t xml:space="preserve"> </w:t>
      </w:r>
      <w:r>
        <w:t xml:space="preserve">in this Appendix and their estimated potential allocation for Iranian</w:t>
      </w:r>
      <w:r>
        <w:t xml:space="preserve"> </w:t>
      </w:r>
      <w:r>
        <w:t xml:space="preserve">reconstruction:</w:t>
      </w:r>
    </w:p>
    <w:p>
      <w:pPr>
        <w:pStyle w:val="BodyText"/>
      </w:pPr>
      <w:r>
        <w:t xml:space="preserve">, , , , , , , , , , , , , , , , , , , , , , , , , , , , , , , , , , , ,</w:t>
      </w:r>
      <w:r>
        <w:t xml:space="preserve"> </w:t>
      </w:r>
      <w:r>
        <w:t xml:space="preserve">Source Type Est. Allocation</w:t>
      </w:r>
      <w:r>
        <w:t xml:space="preserve"> </w:t>
      </w:r>
      <w:r>
        <w:t xml:space="preserve">, , , , , , , , , , , , , , , , , , , , , , , , , , - , , , , , , , , -</w:t>
      </w:r>
      <w:r>
        <w:t xml:space="preserve"> </w:t>
      </w:r>
      <w:r>
        <w:t xml:space="preserve">Kuwait Fund Concessional Loan $1-2B</w:t>
      </w:r>
      <w:r>
        <w:t xml:space="preserve"> </w:t>
      </w:r>
      <w:r>
        <w:t xml:space="preserve">(KFAED)</w:t>
      </w:r>
    </w:p>
    <w:p>
      <w:pPr>
        <w:pStyle w:val="BodyText"/>
      </w:pPr>
      <w:r>
        <w:t xml:space="preserve">Arab Fund Loans + Grants $500M-1B</w:t>
      </w:r>
      <w:r>
        <w:t xml:space="preserve"> </w:t>
      </w:r>
      <w:r>
        <w:t xml:space="preserve">(AFESD)</w:t>
      </w:r>
    </w:p>
    <w:p>
      <w:pPr>
        <w:pStyle w:val="BodyText"/>
      </w:pPr>
      <w:r>
        <w:t xml:space="preserve">Qatar Fund Loans + Grants $500M-1B</w:t>
      </w:r>
      <w:r>
        <w:t xml:space="preserve"> </w:t>
      </w:r>
      <w:r>
        <w:t xml:space="preserve">(QFFD)</w:t>
      </w:r>
    </w:p>
    <w:p>
      <w:pPr>
        <w:pStyle w:val="BodyText"/>
      </w:pPr>
      <w:r>
        <w:t xml:space="preserve">Saudi Fund (SFD) Concessional Loan $1-2B</w:t>
      </w:r>
    </w:p>
    <w:p>
      <w:pPr>
        <w:pStyle w:val="BodyText"/>
      </w:pPr>
      <w:r>
        <w:t xml:space="preserve">Abu Dhabi Fund Loans + Grants $1-2B</w:t>
      </w:r>
      <w:r>
        <w:t xml:space="preserve"> </w:t>
      </w:r>
      <w:r>
        <w:t xml:space="preserve">(ADFD)</w:t>
      </w:r>
    </w:p>
    <w:p>
      <w:pPr>
        <w:pStyle w:val="BodyText"/>
      </w:pPr>
      <w:r>
        <w:t xml:space="preserve">Oman / Turkey In-Kind + TA $200-500M</w:t>
      </w:r>
      <w:r>
        <w:t xml:space="preserve"> </w:t>
      </w:r>
      <w:r>
        <w:t xml:space="preserve">(TIKA)</w:t>
      </w:r>
    </w:p>
    <w:p>
      <w:pPr>
        <w:pStyle w:val="BodyText"/>
      </w:pPr>
      <w:r>
        <w:t xml:space="preserve">World Bank Grant $50-100M</w:t>
      </w:r>
      <w:r>
        <w:t xml:space="preserve"> </w:t>
      </w:r>
      <w:r>
        <w:t xml:space="preserve">Adaptation Fund</w:t>
      </w:r>
    </w:p>
    <w:p>
      <w:pPr>
        <w:pStyle w:val="BodyText"/>
      </w:pPr>
      <w:r>
        <w:t xml:space="preserve">Clean Technology Concessional Loan $200-500M</w:t>
      </w:r>
      <w:r>
        <w:t xml:space="preserve"> </w:t>
      </w:r>
      <w:r>
        <w:t xml:space="preserve">Fund</w:t>
      </w:r>
    </w:p>
    <w:p>
      <w:pPr>
        <w:pStyle w:val="BodyText"/>
      </w:pPr>
      <w:r>
        <w:t xml:space="preserve">Convergence Design Grant $10-50M</w:t>
      </w:r>
      <w:r>
        <w:t xml:space="preserve"> </w:t>
      </w:r>
      <w:r>
        <w:t xml:space="preserve">Platform</w:t>
      </w:r>
    </w:p>
    <w:p>
      <w:pPr>
        <w:pStyle w:val="BodyText"/>
      </w:pPr>
      <w:r>
        <w:t xml:space="preserve">UNCDF ReStart Grant + Catalytic $100-300M</w:t>
      </w:r>
      <w:r>
        <w:t xml:space="preserve"> </w:t>
      </w:r>
      <w:r>
        <w:t xml:space="preserve">Fund</w:t>
      </w:r>
    </w:p>
    <w:p>
      <w:pPr>
        <w:pStyle w:val="BodyText"/>
      </w:pPr>
      <w:r>
        <w:t xml:space="preserve">RRFP Platform Blended Finance $500M-1B</w:t>
      </w:r>
    </w:p>
    <w:p>
      <w:pPr>
        <w:pStyle w:val="BodyText"/>
      </w:pPr>
      <w:r>
        <w:t xml:space="preserve">Sovereign / Islamic Finance $5-10B</w:t>
      </w:r>
      <w:r>
        <w:t xml:space="preserve"> </w:t>
      </w:r>
      <w:r>
        <w:t xml:space="preserve">Infrastructure</w:t>
      </w:r>
      <w:r>
        <w:br/>
      </w:r>
      <w:r>
        <w:t xml:space="preserve">Sukuk</w:t>
      </w:r>
    </w:p>
    <w:p>
      <w:pPr>
        <w:pStyle w:val="BodyText"/>
      </w:pPr>
      <w:r>
        <w:t xml:space="preserve">Musharakah / Partnership $2-5B</w:t>
      </w:r>
      <w:r>
        <w:t xml:space="preserve"> </w:t>
      </w:r>
      <w:r>
        <w:t xml:space="preserve">Mudaraba</w:t>
      </w:r>
    </w:p>
    <w:p>
      <w:pPr>
        <w:pStyle w:val="BodyText"/>
      </w:pPr>
      <w:r>
        <w:t xml:space="preserve">Ijara (Islamic Equipment Finance $1-3B</w:t>
      </w:r>
      <w:r>
        <w:t xml:space="preserve"> </w:t>
      </w:r>
      <w:r>
        <w:t xml:space="preserve">Leasing)</w:t>
      </w:r>
    </w:p>
    <w:p>
      <w:pPr>
        <w:pStyle w:val="BodyText"/>
      </w:pPr>
      <w:r>
        <w:t xml:space="preserve">Qard al-Hasan Interest-Free Loan $200-500M</w:t>
      </w:r>
    </w:p>
    <w:p>
      <w:pPr>
        <w:pStyle w:val="BodyText"/>
      </w:pPr>
      <w:r>
        <w:t xml:space="preserve">Development Results-Based $500M-1B</w:t>
      </w:r>
      <w:r>
        <w:t xml:space="preserve"> </w:t>
      </w:r>
      <w:r>
        <w:t xml:space="preserve">Impact Bonds</w:t>
      </w:r>
    </w:p>
    <w:p>
      <w:pPr>
        <w:pStyle w:val="BodyText"/>
      </w:pPr>
      <w:r>
        <w:t xml:space="preserve">Humanitarian Results-Based $200-500M</w:t>
      </w:r>
      <w:r>
        <w:t xml:space="preserve"> </w:t>
      </w:r>
      <w:r>
        <w:t xml:space="preserve">Impact Bonds</w:t>
      </w:r>
    </w:p>
    <w:p>
      <w:pPr>
        <w:pStyle w:val="BodyText"/>
      </w:pPr>
      <w:r>
        <w:t xml:space="preserve">Global PPP Structuring $1-3B mobilized</w:t>
      </w:r>
      <w:r>
        <w:t xml:space="preserve"> </w:t>
      </w:r>
      <w:r>
        <w:t xml:space="preserve">Infrastructure</w:t>
      </w:r>
      <w:r>
        <w:br/>
      </w:r>
      <w:r>
        <w:t xml:space="preserve">Facility</w:t>
      </w:r>
    </w:p>
    <w:p>
      <w:pPr>
        <w:pStyle w:val="BodyText"/>
      </w:pPr>
      <w:r>
        <w:t xml:space="preserve">Foundations Grants + PRIs $100-300M</w:t>
      </w:r>
      <w:r>
        <w:t xml:space="preserve"> </w:t>
      </w:r>
      <w:r>
        <w:t xml:space="preserve">(Collective)</w:t>
      </w:r>
    </w:p>
    <w:p>
      <w:pPr>
        <w:pStyle w:val="BodyText"/>
      </w:pPr>
      <w:r>
        <w:t xml:space="preserve">We-Fi Women Finance $50-100M</w:t>
      </w:r>
    </w:p>
    <w:p>
      <w:pPr>
        <w:pStyle w:val="BodyText"/>
      </w:pPr>
      <w:r>
        <w:t xml:space="preserve">TOTAL ADDITIONAL $14-34B</w:t>
      </w:r>
      <w:r>
        <w:t xml:space="preserve"> </w:t>
      </w:r>
      <w:r>
        <w:t xml:space="preserve">POTENTIAL</w:t>
      </w:r>
      <w:r>
        <w:br/>
      </w:r>
      <w:r>
        <w:t xml:space="preserve">, , , , , , , , , , , , , , , , , , , , , , , , , , , , , , , , , , , ,</w:t>
      </w:r>
    </w:p>
    <w:bookmarkEnd w:id="169"/>
    <w:bookmarkStart w:id="170" w:name="X80c4dfb2d9fdd678a1aa8a517624f238fa4af7c"/>
    <w:p>
      <w:pPr>
        <w:pStyle w:val="Heading3"/>
      </w:pPr>
      <w:r>
        <w:t xml:space="preserve">Appendix H: Global South, BRICS, and Regional Development Partners</w:t>
      </w:r>
    </w:p>
    <w:p>
      <w:pPr>
        <w:pStyle w:val="FirstParagraph"/>
      </w:pPr>
      <w:r>
        <w:t xml:space="preserve">This Appendix catalogs funding sources from the Global South, BRICS</w:t>
      </w:r>
      <w:r>
        <w:t xml:space="preserve"> </w:t>
      </w:r>
      <w:r>
        <w:t xml:space="preserve">member states, regional development banks, and innovative financing</w:t>
      </w:r>
      <w:r>
        <w:t xml:space="preserve"> </w:t>
      </w:r>
      <w:r>
        <w:t xml:space="preserve">mechanisms identified through expanded global research. These sources</w:t>
      </w:r>
      <w:r>
        <w:t xml:space="preserve"> </w:t>
      </w:r>
      <w:r>
        <w:t xml:space="preserve">complement Appendices D, E, and G.</w:t>
      </w:r>
    </w:p>
    <w:p>
      <w:pPr>
        <w:pStyle w:val="BodyText"/>
      </w:pPr>
      <w:r>
        <w:t xml:space="preserve">H.1 South Korea: Dedicated Reconstruction Partnership</w:t>
      </w:r>
    </w:p>
    <w:p>
      <w:pPr>
        <w:pStyle w:val="BodyText"/>
      </w:pPr>
      <w:r>
        <w:t xml:space="preserve">South Korea has established a dedicated</w:t>
      </w:r>
      <w:r>
        <w:t xml:space="preserve"> </w:t>
      </w:r>
      <w:r>
        <w:t xml:space="preserve">“</w:t>
      </w:r>
      <w:r>
        <w:t xml:space="preserve">Korea-Middle East Comprehensive</w:t>
      </w:r>
      <w:r>
        <w:t xml:space="preserve"> </w:t>
      </w:r>
      <w:r>
        <w:t xml:space="preserve">Economic Cooperation Team</w:t>
      </w:r>
      <w:r>
        <w:t xml:space="preserve">”</w:t>
      </w:r>
      <w:r>
        <w:t xml:space="preserve"> </w:t>
      </w:r>
      <w:r>
        <w:t xml:space="preserve">specifically to enable Korean companies to</w:t>
      </w:r>
      <w:r>
        <w:t xml:space="preserve"> </w:t>
      </w:r>
      <w:r>
        <w:t xml:space="preserve">participate in post-war reconstruction in the Middle East. The Korean</w:t>
      </w:r>
      <w:r>
        <w:t xml:space="preserve"> </w:t>
      </w:r>
      <w:r>
        <w:t xml:space="preserve">Foreign Minister publicly confirmed that Seoul is actively preparing for</w:t>
      </w:r>
      <w:r>
        <w:t xml:space="preserve"> </w:t>
      </w:r>
      <w:r>
        <w:t xml:space="preserve">post-war reconstruction between the United States and Iran, positioning</w:t>
      </w:r>
      <w:r>
        <w:t xml:space="preserve"> </w:t>
      </w:r>
      <w:r>
        <w:t xml:space="preserve">South Korea as a key reconstruction partner.</w:t>
      </w:r>
    </w:p>
    <w:p>
      <w:pPr>
        <w:pStyle w:val="BodyText"/>
      </w:pPr>
      <w:r>
        <w:t xml:space="preserve">South Korea holds approximately $6 billion in frozen Iranian oil</w:t>
      </w:r>
      <w:r>
        <w:t xml:space="preserve"> </w:t>
      </w:r>
      <w:r>
        <w:t xml:space="preserve">payments, providing a significant asset base for the Frozen Asset</w:t>
      </w:r>
      <w:r>
        <w:t xml:space="preserve"> </w:t>
      </w:r>
      <w:r>
        <w:t xml:space="preserve">Conversion Protocol (Article 1.3(c)). Korean construction firms (Samsung</w:t>
      </w:r>
      <w:r>
        <w:t xml:space="preserve"> </w:t>
      </w:r>
      <w:r>
        <w:t xml:space="preserve">C&amp;T, Hyundai E&amp;C, POSCO E&amp;C, Daewoo E&amp;C) rank among the world’s most</w:t>
      </w:r>
      <w:r>
        <w:t xml:space="preserve"> </w:t>
      </w:r>
      <w:r>
        <w:t xml:space="preserve">experienced post-conflict rebuilders, with demonstrated capacity in</w:t>
      </w:r>
      <w:r>
        <w:t xml:space="preserve"> </w:t>
      </w:r>
      <w:r>
        <w:t xml:space="preserve">rapid infrastructure deployment.</w:t>
      </w:r>
    </w:p>
    <w:p>
      <w:pPr>
        <w:pStyle w:val="BodyText"/>
      </w:pPr>
      <w:r>
        <w:t xml:space="preserve">Application pathway: The Korea-Middle East Comprehensive Economic</w:t>
      </w:r>
      <w:r>
        <w:t xml:space="preserve"> </w:t>
      </w:r>
      <w:r>
        <w:t xml:space="preserve">Cooperation Team coordinates with the RSC secretariat. Korea’s Economic</w:t>
      </w:r>
      <w:r>
        <w:t xml:space="preserve"> </w:t>
      </w:r>
      <w:r>
        <w:t xml:space="preserve">Development Cooperation Fund (EDCF) provides concessional loans for</w:t>
      </w:r>
      <w:r>
        <w:t xml:space="preserve"> </w:t>
      </w:r>
      <w:r>
        <w:t xml:space="preserve">infrastructure. The Export-Import Bank of Korea (KEXIM) offers buyer’s</w:t>
      </w:r>
      <w:r>
        <w:t xml:space="preserve"> </w:t>
      </w:r>
      <w:r>
        <w:t xml:space="preserve">credit and project finance. The Frozen Asset Conversion Protocol enables</w:t>
      </w:r>
      <w:r>
        <w:t xml:space="preserve"> </w:t>
      </w:r>
      <w:r>
        <w:t xml:space="preserve">Korean firms to execute reconstruction contracts using won-denominated</w:t>
      </w:r>
      <w:r>
        <w:t xml:space="preserve"> </w:t>
      </w:r>
      <w:r>
        <w:t xml:space="preserve">frozen funds. Korea International Cooperation Agency (KOICA) provides</w:t>
      </w:r>
      <w:r>
        <w:t xml:space="preserve"> </w:t>
      </w:r>
      <w:r>
        <w:t xml:space="preserve">technical assistance and capacity building.</w:t>
      </w:r>
    </w:p>
    <w:p>
      <w:pPr>
        <w:pStyle w:val="BodyText"/>
      </w:pPr>
      <w:r>
        <w:t xml:space="preserve">Focus sectors: Transport infrastructure, power generation, water</w:t>
      </w:r>
      <w:r>
        <w:t xml:space="preserve"> </w:t>
      </w:r>
      <w:r>
        <w:t xml:space="preserve">treatment, telecommunications, and hospital construction. Estimated</w:t>
      </w:r>
      <w:r>
        <w:t xml:space="preserve"> </w:t>
      </w:r>
      <w:r>
        <w:t xml:space="preserve">potential allocation: $3-8 billion (including frozen asset conversion).</w:t>
      </w:r>
    </w:p>
    <w:p>
      <w:pPr>
        <w:pStyle w:val="BodyText"/>
      </w:pPr>
      <w:r>
        <w:t xml:space="preserve">H.2 Turkey: Construction Capacity and Regional Partnership</w:t>
      </w:r>
    </w:p>
    <w:p>
      <w:pPr>
        <w:pStyle w:val="BodyText"/>
      </w:pPr>
      <w:r>
        <w:t xml:space="preserve">Turkey maintains one of the world’s largest construction industries.</w:t>
      </w:r>
      <w:r>
        <w:t xml:space="preserve"> </w:t>
      </w:r>
      <w:r>
        <w:t xml:space="preserve">Turkish contractors rank second globally in international project</w:t>
      </w:r>
      <w:r>
        <w:t xml:space="preserve"> </w:t>
      </w:r>
      <w:r>
        <w:t xml:space="preserve">volume, with particular expertise in rapid post-conflict rebuilding,</w:t>
      </w:r>
      <w:r>
        <w:t xml:space="preserve"> </w:t>
      </w:r>
      <w:r>
        <w:t xml:space="preserve">having executed major reconstruction projects in Afghanistan, Iraq,</w:t>
      </w:r>
      <w:r>
        <w:t xml:space="preserve"> </w:t>
      </w:r>
      <w:r>
        <w:t xml:space="preserve">Syria, Libya, and the Balkans. Turkey also holds frozen Iranian assets</w:t>
      </w:r>
      <w:r>
        <w:t xml:space="preserve"> </w:t>
      </w:r>
      <w:r>
        <w:t xml:space="preserve">from prior trade arrangements.</w:t>
      </w:r>
    </w:p>
    <w:p>
      <w:pPr>
        <w:pStyle w:val="BodyText"/>
      </w:pPr>
      <w:r>
        <w:t xml:space="preserve">The Turkish Cooperation and Coordination Agency (TIKA) operates as</w:t>
      </w:r>
      <w:r>
        <w:t xml:space="preserve"> </w:t>
      </w:r>
      <w:r>
        <w:t xml:space="preserve">Turkey’s bilateral development arm, providing technical assistance,</w:t>
      </w:r>
      <w:r>
        <w:t xml:space="preserve"> </w:t>
      </w:r>
      <w:r>
        <w:t xml:space="preserve">capacity building, and project financing across Central Asia, the Middle</w:t>
      </w:r>
      <w:r>
        <w:t xml:space="preserve"> </w:t>
      </w:r>
      <w:r>
        <w:t xml:space="preserve">East, Africa, and the Balkans. TIKA has active programming in Iran and</w:t>
      </w:r>
      <w:r>
        <w:t xml:space="preserve"> </w:t>
      </w:r>
      <w:r>
        <w:t xml:space="preserve">coordinates with Iranian counterparts on infrastructure, agriculture,</w:t>
      </w:r>
      <w:r>
        <w:t xml:space="preserve"> </w:t>
      </w:r>
      <w:r>
        <w:t xml:space="preserve">education, and health.</w:t>
      </w:r>
    </w:p>
    <w:p>
      <w:pPr>
        <w:pStyle w:val="BodyText"/>
      </w:pPr>
      <w:r>
        <w:t xml:space="preserve">Application pathway: Turkey accesses the MRF through the Frozen Asset</w:t>
      </w:r>
      <w:r>
        <w:t xml:space="preserve"> </w:t>
      </w:r>
      <w:r>
        <w:t xml:space="preserve">Conversion Protocol for bilateral projects executed by Turkish</w:t>
      </w:r>
      <w:r>
        <w:t xml:space="preserve"> </w:t>
      </w:r>
      <w:r>
        <w:t xml:space="preserve">contractors. TIKA provides technical cooperation grants through its</w:t>
      </w:r>
      <w:r>
        <w:t xml:space="preserve"> </w:t>
      </w:r>
      <w:r>
        <w:t xml:space="preserve">country office. The Turkish Eximbank offers project finance for</w:t>
      </w:r>
      <w:r>
        <w:t xml:space="preserve"> </w:t>
      </w:r>
      <w:r>
        <w:t xml:space="preserve">Turkish-led construction. The RSC coordinates with TIKA to align</w:t>
      </w:r>
      <w:r>
        <w:t xml:space="preserve"> </w:t>
      </w:r>
      <w:r>
        <w:t xml:space="preserve">Turkish-funded projects with MRF Sub-Fund priorities.</w:t>
      </w:r>
    </w:p>
    <w:p>
      <w:pPr>
        <w:pStyle w:val="BodyText"/>
      </w:pPr>
      <w:r>
        <w:t xml:space="preserve">Focus sectors: Housing construction, transport infrastructure, urban</w:t>
      </w:r>
      <w:r>
        <w:t xml:space="preserve"> </w:t>
      </w:r>
      <w:r>
        <w:t xml:space="preserve">development, and health facilities. Estimated potential allocation: $2-5</w:t>
      </w:r>
      <w:r>
        <w:t xml:space="preserve"> </w:t>
      </w:r>
      <w:r>
        <w:t xml:space="preserve">billion.</w:t>
      </w:r>
    </w:p>
    <w:p>
      <w:pPr>
        <w:pStyle w:val="BodyText"/>
      </w:pPr>
      <w:r>
        <w:t xml:space="preserve">H.3 Indonesia: Islamic Finance Hub and South-South Cooperation</w:t>
      </w:r>
    </w:p>
    <w:p>
      <w:pPr>
        <w:pStyle w:val="BodyText"/>
      </w:pPr>
      <w:r>
        <w:t xml:space="preserve">Indonesia is the world’s most populous Muslim-majority nation and a</w:t>
      </w:r>
      <w:r>
        <w:t xml:space="preserve"> </w:t>
      </w:r>
      <w:r>
        <w:t xml:space="preserve">global leader in Islamic finance innovation. Indonesia is a BRICS member</w:t>
      </w:r>
      <w:r>
        <w:t xml:space="preserve"> </w:t>
      </w:r>
      <w:r>
        <w:t xml:space="preserve">state and a founding member of the Organisation of Islamic Cooperation</w:t>
      </w:r>
      <w:r>
        <w:t xml:space="preserve"> </w:t>
      </w:r>
      <w:r>
        <w:t xml:space="preserve">(OIC). The Indonesian government has issued sovereign Green Sukuk</w:t>
      </w:r>
      <w:r>
        <w:t xml:space="preserve"> </w:t>
      </w:r>
      <w:r>
        <w:t xml:space="preserve">(Islamic green bonds) to fund climate and environmental projects,</w:t>
      </w:r>
      <w:r>
        <w:t xml:space="preserve"> </w:t>
      </w:r>
      <w:r>
        <w:t xml:space="preserve">providing a proven model for Islamic climate finance.</w:t>
      </w:r>
    </w:p>
    <w:p>
      <w:pPr>
        <w:pStyle w:val="BodyText"/>
      </w:pPr>
      <w:r>
        <w:t xml:space="preserve">Indonesia’s Green Sukuk program has raised over $3.5 billion across</w:t>
      </w:r>
      <w:r>
        <w:t xml:space="preserve"> </w:t>
      </w:r>
      <w:r>
        <w:t xml:space="preserve">multiple issuances to finance renewable energy, sustainable transport,</w:t>
      </w:r>
      <w:r>
        <w:t xml:space="preserve"> </w:t>
      </w:r>
      <w:r>
        <w:t xml:space="preserve">waste management, and climate adaptation projects. The Indonesian</w:t>
      </w:r>
      <w:r>
        <w:t xml:space="preserve"> </w:t>
      </w:r>
      <w:r>
        <w:t xml:space="preserve">experience provides a blueprint for structuring Shari’ah-compliant</w:t>
      </w:r>
      <w:r>
        <w:t xml:space="preserve"> </w:t>
      </w:r>
      <w:r>
        <w:t xml:space="preserve">climate finance instruments under the MRF’s Carbon Credit Pre-Financing</w:t>
      </w:r>
      <w:r>
        <w:t xml:space="preserve"> </w:t>
      </w:r>
      <w:r>
        <w:t xml:space="preserve">Facility (Article 6.4).</w:t>
      </w:r>
    </w:p>
    <w:p>
      <w:pPr>
        <w:pStyle w:val="BodyText"/>
      </w:pPr>
      <w:r>
        <w:t xml:space="preserve">Application pathway: Indonesia contributes to the MRF through bilateral</w:t>
      </w:r>
      <w:r>
        <w:t xml:space="preserve"> </w:t>
      </w:r>
      <w:r>
        <w:t xml:space="preserve">development cooperation (via the Indonesian Agency for International</w:t>
      </w:r>
      <w:r>
        <w:t xml:space="preserve"> </w:t>
      </w:r>
      <w:r>
        <w:t xml:space="preserve">Development). Indonesian Islamic banks and the Indonesia Eximbank</w:t>
      </w:r>
      <w:r>
        <w:t xml:space="preserve"> </w:t>
      </w:r>
      <w:r>
        <w:t xml:space="preserve">provide Shari’ah-compliant project finance. The RSC engages Indonesian</w:t>
      </w:r>
      <w:r>
        <w:t xml:space="preserve"> </w:t>
      </w:r>
      <w:r>
        <w:t xml:space="preserve">Green Sukuk experts to advise on MRF Sukuk structuring. Indonesia’s</w:t>
      </w:r>
      <w:r>
        <w:t xml:space="preserve"> </w:t>
      </w:r>
      <w:r>
        <w:t xml:space="preserve">Islamic Development Bank contributions flow through the IsDB’s Iran</w:t>
      </w:r>
      <w:r>
        <w:t xml:space="preserve"> </w:t>
      </w:r>
      <w:r>
        <w:t xml:space="preserve">program.</w:t>
      </w:r>
    </w:p>
    <w:p>
      <w:pPr>
        <w:pStyle w:val="BodyText"/>
      </w:pPr>
      <w:r>
        <w:t xml:space="preserve">Focus sectors: Islamic finance structuring, Green Sukuk issuance,</w:t>
      </w:r>
      <w:r>
        <w:t xml:space="preserve"> </w:t>
      </w:r>
      <w:r>
        <w:t xml:space="preserve">renewable energy, and climate adaptation. Estimated potential</w:t>
      </w:r>
      <w:r>
        <w:t xml:space="preserve"> </w:t>
      </w:r>
      <w:r>
        <w:t xml:space="preserve">allocation: $500 million to $1 billion.</w:t>
      </w:r>
    </w:p>
    <w:p>
      <w:pPr>
        <w:pStyle w:val="BodyText"/>
      </w:pPr>
      <w:r>
        <w:t xml:space="preserve">H.4 Brazil: Agricultural Technology and BRICS Cooperation</w:t>
      </w:r>
    </w:p>
    <w:p>
      <w:pPr>
        <w:pStyle w:val="BodyText"/>
      </w:pPr>
      <w:r>
        <w:t xml:space="preserve">Brazil is a BRICS member state with world-leading agricultural</w:t>
      </w:r>
      <w:r>
        <w:t xml:space="preserve"> </w:t>
      </w:r>
      <w:r>
        <w:t xml:space="preserve">technology expertise. The Brazilian Agricultural Research Corporation</w:t>
      </w:r>
      <w:r>
        <w:t xml:space="preserve"> </w:t>
      </w:r>
      <w:r>
        <w:t xml:space="preserve">(EMBRAPA) operates as one of the world’s premier agricultural research</w:t>
      </w:r>
      <w:r>
        <w:t xml:space="preserve"> </w:t>
      </w:r>
      <w:r>
        <w:t xml:space="preserve">institutions, developing drought-resistant crops, tropical agriculture</w:t>
      </w:r>
      <w:r>
        <w:t xml:space="preserve"> </w:t>
      </w:r>
      <w:r>
        <w:t xml:space="preserve">techniques, and precision farming technologies applicable to Iran’s</w:t>
      </w:r>
      <w:r>
        <w:t xml:space="preserve"> </w:t>
      </w:r>
      <w:r>
        <w:t xml:space="preserve">diverse climate zones.</w:t>
      </w:r>
    </w:p>
    <w:p>
      <w:pPr>
        <w:pStyle w:val="BodyText"/>
      </w:pPr>
      <w:r>
        <w:t xml:space="preserve">Application pathway: Brazil contributes to the MRF through BRICS</w:t>
      </w:r>
      <w:r>
        <w:t xml:space="preserve"> </w:t>
      </w:r>
      <w:r>
        <w:t xml:space="preserve">development mechanisms and bilateral technical cooperation. EMBRAPA</w:t>
      </w:r>
      <w:r>
        <w:t xml:space="preserve"> </w:t>
      </w:r>
      <w:r>
        <w:t xml:space="preserve">provides technical assistance for Iranian agricultural reconstruction</w:t>
      </w:r>
      <w:r>
        <w:t xml:space="preserve"> </w:t>
      </w:r>
      <w:r>
        <w:t xml:space="preserve">under MRF-Agriculture. Brazilian construction and engineering firms</w:t>
      </w:r>
      <w:r>
        <w:t xml:space="preserve"> </w:t>
      </w:r>
      <w:r>
        <w:t xml:space="preserve">(Odebrecht, Andrade Gutierrez) participate in infrastructure projects.</w:t>
      </w:r>
      <w:r>
        <w:t xml:space="preserve"> </w:t>
      </w:r>
      <w:r>
        <w:t xml:space="preserve">The Brazilian Development Bank (BNDES) provides export credit for</w:t>
      </w:r>
      <w:r>
        <w:t xml:space="preserve"> </w:t>
      </w:r>
      <w:r>
        <w:t xml:space="preserve">Brazilian equipment and technology.</w:t>
      </w:r>
    </w:p>
    <w:p>
      <w:pPr>
        <w:pStyle w:val="BodyText"/>
      </w:pPr>
      <w:r>
        <w:t xml:space="preserve">Focus sectors: Agricultural technology, food security, biofuels,</w:t>
      </w:r>
      <w:r>
        <w:t xml:space="preserve"> </w:t>
      </w:r>
      <w:r>
        <w:t xml:space="preserve">precision agriculture, and rural development. Estimated potential</w:t>
      </w:r>
      <w:r>
        <w:t xml:space="preserve"> </w:t>
      </w:r>
      <w:r>
        <w:t xml:space="preserve">allocation: $300-500 million.</w:t>
      </w:r>
    </w:p>
    <w:p>
      <w:pPr>
        <w:pStyle w:val="BodyText"/>
      </w:pPr>
      <w:r>
        <w:t xml:space="preserve">H.5 South Africa: Infrastructure Expertise and Bilateral Cooperation</w:t>
      </w:r>
    </w:p>
    <w:p>
      <w:pPr>
        <w:pStyle w:val="BodyText"/>
      </w:pPr>
      <w:r>
        <w:t xml:space="preserve">South Africa and Iran maintain extensive bilateral cooperation through</w:t>
      </w:r>
      <w:r>
        <w:t xml:space="preserve"> </w:t>
      </w:r>
      <w:r>
        <w:t xml:space="preserve">the Joint Commission for Cooperation (JCC), which has produced signed</w:t>
      </w:r>
      <w:r>
        <w:t xml:space="preserve"> </w:t>
      </w:r>
      <w:r>
        <w:t xml:space="preserve">agreements across mining, energy, agriculture, transport, water</w:t>
      </w:r>
      <w:r>
        <w:t xml:space="preserve"> </w:t>
      </w:r>
      <w:r>
        <w:t xml:space="preserve">resources management, industrial development, science and technology,</w:t>
      </w:r>
      <w:r>
        <w:t xml:space="preserve"> </w:t>
      </w:r>
      <w:r>
        <w:t xml:space="preserve">health, education, and cultural cooperation.</w:t>
      </w:r>
    </w:p>
    <w:p>
      <w:pPr>
        <w:pStyle w:val="BodyText"/>
      </w:pPr>
      <w:r>
        <w:t xml:space="preserve">South Africa is a BRICS founding member. Both nations are now BRICS</w:t>
      </w:r>
      <w:r>
        <w:t xml:space="preserve"> </w:t>
      </w:r>
      <w:r>
        <w:t xml:space="preserve">members (Iran joined January 2024), creating a multilateral cooperation</w:t>
      </w:r>
      <w:r>
        <w:t xml:space="preserve"> </w:t>
      </w:r>
      <w:r>
        <w:t xml:space="preserve">platform for infrastructure investment, technology transfer, and</w:t>
      </w:r>
      <w:r>
        <w:t xml:space="preserve"> </w:t>
      </w:r>
      <w:r>
        <w:t xml:space="preserve">development finance. The BRICS New Development Bank (NDB) provides an</w:t>
      </w:r>
      <w:r>
        <w:t xml:space="preserve"> </w:t>
      </w:r>
      <w:r>
        <w:t xml:space="preserve">additional lending channel for MRF-aligned projects.</w:t>
      </w:r>
    </w:p>
    <w:p>
      <w:pPr>
        <w:pStyle w:val="BodyText"/>
      </w:pPr>
      <w:r>
        <w:t xml:space="preserve">Application pathway: South Africa contributes to the MRF through</w:t>
      </w:r>
      <w:r>
        <w:t xml:space="preserve"> </w:t>
      </w:r>
      <w:r>
        <w:t xml:space="preserve">bilateral development cooperation and the BRICS NDB. The Development</w:t>
      </w:r>
      <w:r>
        <w:t xml:space="preserve"> </w:t>
      </w:r>
      <w:r>
        <w:t xml:space="preserve">Bank of Southern Africa (DBSA) provides infrastructure finance</w:t>
      </w:r>
      <w:r>
        <w:t xml:space="preserve"> </w:t>
      </w:r>
      <w:r>
        <w:t xml:space="preserve">expertise. South African firms (Murray and Roberts, Group Five)</w:t>
      </w:r>
      <w:r>
        <w:t xml:space="preserve"> </w:t>
      </w:r>
      <w:r>
        <w:t xml:space="preserve">contribute construction and engineering capacity. The South Africa-Iran</w:t>
      </w:r>
      <w:r>
        <w:t xml:space="preserve"> </w:t>
      </w:r>
      <w:r>
        <w:t xml:space="preserve">JCC secretariat coordinates project pipelines with the RSC.</w:t>
      </w:r>
    </w:p>
    <w:p>
      <w:pPr>
        <w:pStyle w:val="BodyText"/>
      </w:pPr>
      <w:r>
        <w:t xml:space="preserve">Focus sectors: Mining and mineral beneficiation, water and sanitation</w:t>
      </w:r>
      <w:r>
        <w:t xml:space="preserve"> </w:t>
      </w:r>
      <w:r>
        <w:t xml:space="preserve">technology, rail infrastructure, industrial parks, smart transportation,</w:t>
      </w:r>
      <w:r>
        <w:t xml:space="preserve"> </w:t>
      </w:r>
      <w:r>
        <w:t xml:space="preserve">and agricultural technology. Estimated potential allocation: $500</w:t>
      </w:r>
      <w:r>
        <w:t xml:space="preserve"> </w:t>
      </w:r>
      <w:r>
        <w:t xml:space="preserve">million to $1 billion.</w:t>
      </w:r>
    </w:p>
    <w:p>
      <w:pPr>
        <w:pStyle w:val="BodyText"/>
      </w:pPr>
      <w:r>
        <w:t xml:space="preserve">H.6 China: Belt and Road Initiative and Strategic Partnership</w:t>
      </w:r>
    </w:p>
    <w:p>
      <w:pPr>
        <w:pStyle w:val="BodyText"/>
      </w:pPr>
      <w:r>
        <w:t xml:space="preserve">China and Iran signed a 25-year Strategic Cooperation Agreement in</w:t>
      </w:r>
      <w:r>
        <w:t xml:space="preserve"> </w:t>
      </w:r>
      <w:r>
        <w:t xml:space="preserve">September 2025, creating a comprehensive framework for Chinese</w:t>
      </w:r>
      <w:r>
        <w:t xml:space="preserve"> </w:t>
      </w:r>
      <w:r>
        <w:t xml:space="preserve">investment across Iranian infrastructure, energy, technology, and</w:t>
      </w:r>
      <w:r>
        <w:t xml:space="preserve"> </w:t>
      </w:r>
      <w:r>
        <w:t xml:space="preserve">transport. The agreement includes a $25 billion commitment for the</w:t>
      </w:r>
      <w:r>
        <w:t xml:space="preserve"> </w:t>
      </w:r>
      <w:r>
        <w:t xml:space="preserve">Hormoz nuclear power plant (four units, 5,000 megawatts) and activates</w:t>
      </w:r>
      <w:r>
        <w:t xml:space="preserve"> </w:t>
      </w:r>
      <w:r>
        <w:t xml:space="preserve">the China-Iran Silk Road Economic Belt corridor.</w:t>
      </w:r>
    </w:p>
    <w:p>
      <w:pPr>
        <w:pStyle w:val="BodyText"/>
      </w:pPr>
      <w:r>
        <w:t xml:space="preserve">The Belt and Road Initiative (BRI) serves as the primary channel for</w:t>
      </w:r>
      <w:r>
        <w:t xml:space="preserve"> </w:t>
      </w:r>
      <w:r>
        <w:t xml:space="preserve">Chinese reconstruction engagement. China provides massive infrastructure</w:t>
      </w:r>
      <w:r>
        <w:t xml:space="preserve"> </w:t>
      </w:r>
      <w:r>
        <w:t xml:space="preserve">financing for railway, port, and highway projects. Chinese companies</w:t>
      </w:r>
      <w:r>
        <w:t xml:space="preserve"> </w:t>
      </w:r>
      <w:r>
        <w:t xml:space="preserve">(CMC, SU Power, China Railway Group, China Harbour Engineering) are the</w:t>
      </w:r>
      <w:r>
        <w:t xml:space="preserve"> </w:t>
      </w:r>
      <w:r>
        <w:t xml:space="preserve">largest investors in Iranian neighboring states’ transport</w:t>
      </w:r>
      <w:r>
        <w:t xml:space="preserve"> </w:t>
      </w:r>
      <w:r>
        <w:t xml:space="preserve">infrastructure and possess extensive conflict-zone construction</w:t>
      </w:r>
      <w:r>
        <w:t xml:space="preserve"> </w:t>
      </w:r>
      <w:r>
        <w:t xml:space="preserve">experience.</w:t>
      </w:r>
    </w:p>
    <w:p>
      <w:pPr>
        <w:pStyle w:val="BodyText"/>
      </w:pPr>
      <w:r>
        <w:t xml:space="preserve">Iran’s transport infrastructure requires $14.5 billion in investment per</w:t>
      </w:r>
      <w:r>
        <w:t xml:space="preserve"> </w:t>
      </w:r>
      <w:r>
        <w:t xml:space="preserve">year over the next decade (121 identified projects). China’s existing</w:t>
      </w:r>
      <w:r>
        <w:t xml:space="preserve"> </w:t>
      </w:r>
      <w:r>
        <w:t xml:space="preserve">Tehran-Mashhad railway electrification project ($2 billion) demonstrates</w:t>
      </w:r>
      <w:r>
        <w:t xml:space="preserve"> </w:t>
      </w:r>
      <w:r>
        <w:t xml:space="preserve">proven delivery capacity. The BRI connects Iranian ports to</w:t>
      </w:r>
      <w:r>
        <w:t xml:space="preserve"> </w:t>
      </w:r>
      <w:r>
        <w:t xml:space="preserve">international transportation networks and positions Iran as a land-sea</w:t>
      </w:r>
      <w:r>
        <w:t xml:space="preserve"> </w:t>
      </w:r>
      <w:r>
        <w:t xml:space="preserve">corridor linking East Asia to the Mediterranean via Iraq and Syria.</w:t>
      </w:r>
    </w:p>
    <w:p>
      <w:pPr>
        <w:pStyle w:val="BodyText"/>
      </w:pPr>
      <w:r>
        <w:t xml:space="preserve">Application pathway: China accesses the MRF through bilateral project</w:t>
      </w:r>
      <w:r>
        <w:t xml:space="preserve"> </w:t>
      </w:r>
      <w:r>
        <w:t xml:space="preserve">financing under the 25-year Strategic Cooperation Agreement. The Silk</w:t>
      </w:r>
      <w:r>
        <w:t xml:space="preserve"> </w:t>
      </w:r>
      <w:r>
        <w:t xml:space="preserve">Road Fund and China Development Bank provide long-term infrastructure</w:t>
      </w:r>
      <w:r>
        <w:t xml:space="preserve"> </w:t>
      </w:r>
      <w:r>
        <w:t xml:space="preserve">loans. The Asian Infrastructure Investment Bank (AIIB) co-finances</w:t>
      </w:r>
      <w:r>
        <w:t xml:space="preserve"> </w:t>
      </w:r>
      <w:r>
        <w:t xml:space="preserve">transport and energy projects. The RSC coordinates Chinese project</w:t>
      </w:r>
      <w:r>
        <w:t xml:space="preserve"> </w:t>
      </w:r>
      <w:r>
        <w:t xml:space="preserve">pipelines with MRF Sub-Fund allocations to prevent duplication and</w:t>
      </w:r>
      <w:r>
        <w:t xml:space="preserve"> </w:t>
      </w:r>
      <w:r>
        <w:t xml:space="preserve">maximize leverage.</w:t>
      </w:r>
    </w:p>
    <w:p>
      <w:pPr>
        <w:pStyle w:val="BodyText"/>
      </w:pPr>
      <w:r>
        <w:t xml:space="preserve">Focus sectors: Transport infrastructure (rail, ports, highways), nuclear</w:t>
      </w:r>
      <w:r>
        <w:t xml:space="preserve"> </w:t>
      </w:r>
      <w:r>
        <w:t xml:space="preserve">energy, telecommunications, and power generation. Estimated potential</w:t>
      </w:r>
      <w:r>
        <w:t xml:space="preserve"> </w:t>
      </w:r>
      <w:r>
        <w:t xml:space="preserve">allocation: $10-25 billion (excluding the Hormoz nuclear project which</w:t>
      </w:r>
      <w:r>
        <w:t xml:space="preserve"> </w:t>
      </w:r>
      <w:r>
        <w:t xml:space="preserve">is bilateral).</w:t>
      </w:r>
    </w:p>
    <w:p>
      <w:pPr>
        <w:pStyle w:val="BodyText"/>
      </w:pPr>
      <w:r>
        <w:t xml:space="preserve">H.7 Russia: Reconstruction Partnership and North-South Corridor</w:t>
      </w:r>
    </w:p>
    <w:p>
      <w:pPr>
        <w:pStyle w:val="BodyText"/>
      </w:pPr>
      <w:r>
        <w:t xml:space="preserve">Russia has formally declared readiness to assist Iran in rebuilding</w:t>
      </w:r>
      <w:r>
        <w:t xml:space="preserve"> </w:t>
      </w:r>
      <w:r>
        <w:t xml:space="preserve">war-damaged infrastructure. The Russian Ambassador to Tehran confirmed</w:t>
      </w:r>
      <w:r>
        <w:t xml:space="preserve"> </w:t>
      </w:r>
      <w:r>
        <w:t xml:space="preserve">that Russian industrial and construction firms, engineering and design</w:t>
      </w:r>
      <w:r>
        <w:t xml:space="preserve"> </w:t>
      </w:r>
      <w:r>
        <w:t xml:space="preserve">institutes, and scientific and technology centers possess the expertise</w:t>
      </w:r>
      <w:r>
        <w:t xml:space="preserve"> </w:t>
      </w:r>
      <w:r>
        <w:t xml:space="preserve">needed for reconstruction. Russia awaits an official request from Tehran</w:t>
      </w:r>
      <w:r>
        <w:t xml:space="preserve"> </w:t>
      </w:r>
      <w:r>
        <w:t xml:space="preserve">to assess needs and present concrete cooperation proposals.</w:t>
      </w:r>
    </w:p>
    <w:p>
      <w:pPr>
        <w:pStyle w:val="BodyText"/>
      </w:pPr>
      <w:r>
        <w:t xml:space="preserve">The International North-South Transport Corridor (INSTC) demonstrates</w:t>
      </w:r>
      <w:r>
        <w:t xml:space="preserve"> </w:t>
      </w:r>
      <w:r>
        <w:t xml:space="preserve">the depth of Russia-Iran economic integration. Cargo transported via the</w:t>
      </w:r>
      <w:r>
        <w:t xml:space="preserve"> </w:t>
      </w:r>
      <w:r>
        <w:t xml:space="preserve">corridor reached approximately 2.2 million metric tons in early 2026</w:t>
      </w:r>
      <w:r>
        <w:t xml:space="preserve"> </w:t>
      </w:r>
      <w:r>
        <w:t xml:space="preserve">(87% year-on-year increase). Russian exports to Iran rose by more than</w:t>
      </w:r>
      <w:r>
        <w:t xml:space="preserve"> </w:t>
      </w:r>
      <w:r>
        <w:t xml:space="preserve">56% in the first four months of 2026. The INSTC connects Russia to India</w:t>
      </w:r>
      <w:r>
        <w:t xml:space="preserve"> </w:t>
      </w:r>
      <w:r>
        <w:t xml:space="preserve">through Iran, creating a multi-modal trade corridor of strategic</w:t>
      </w:r>
      <w:r>
        <w:t xml:space="preserve"> </w:t>
      </w:r>
      <w:r>
        <w:t xml:space="preserve">importance.</w:t>
      </w:r>
    </w:p>
    <w:p>
      <w:pPr>
        <w:pStyle w:val="BodyText"/>
      </w:pPr>
      <w:r>
        <w:t xml:space="preserve">Application pathway: Russia contributes to the MRF through bilateral</w:t>
      </w:r>
      <w:r>
        <w:t xml:space="preserve"> </w:t>
      </w:r>
      <w:r>
        <w:t xml:space="preserve">reconstruction agreements. Russian construction firms (Stroygazmontazh,</w:t>
      </w:r>
      <w:r>
        <w:t xml:space="preserve"> </w:t>
      </w:r>
      <w:r>
        <w:t xml:space="preserve">Titan, Mosinzhproekt) participate in infrastructure tenders. The Russian</w:t>
      </w:r>
      <w:r>
        <w:t xml:space="preserve"> </w:t>
      </w:r>
      <w:r>
        <w:t xml:space="preserve">Direct Investment Fund (RDIF) co-invests in MRF projects with Russian</w:t>
      </w:r>
      <w:r>
        <w:t xml:space="preserve"> </w:t>
      </w:r>
      <w:r>
        <w:t xml:space="preserve">construction and engineering participation. The RSC coordinates Russian</w:t>
      </w:r>
      <w:r>
        <w:t xml:space="preserve"> </w:t>
      </w:r>
      <w:r>
        <w:t xml:space="preserve">project pipelines through the INSTC framework.</w:t>
      </w:r>
    </w:p>
    <w:p>
      <w:pPr>
        <w:pStyle w:val="BodyText"/>
      </w:pPr>
      <w:r>
        <w:t xml:space="preserve">Focus sectors: Nuclear energy, rail infrastructure, heavy industry,</w:t>
      </w:r>
      <w:r>
        <w:t xml:space="preserve"> </w:t>
      </w:r>
      <w:r>
        <w:t xml:space="preserve">metallurgy, engineering services, and transport corridors. Estimated</w:t>
      </w:r>
      <w:r>
        <w:t xml:space="preserve"> </w:t>
      </w:r>
      <w:r>
        <w:t xml:space="preserve">potential allocation: $3-8 billion (excluding the Hormoz nuclear project</w:t>
      </w:r>
      <w:r>
        <w:t xml:space="preserve"> </w:t>
      </w:r>
      <w:r>
        <w:t xml:space="preserve">which is bilateral).</w:t>
      </w:r>
    </w:p>
    <w:p>
      <w:pPr>
        <w:pStyle w:val="BodyText"/>
      </w:pPr>
      <w:r>
        <w:t xml:space="preserve">H.8 African Development Bank: Fragile States Facility</w:t>
      </w:r>
    </w:p>
    <w:p>
      <w:pPr>
        <w:pStyle w:val="BodyText"/>
      </w:pPr>
      <w:r>
        <w:t xml:space="preserve">While the African Development Bank’s primary mandate covers Africa, its</w:t>
      </w:r>
      <w:r>
        <w:t xml:space="preserve"> </w:t>
      </w:r>
      <w:r>
        <w:t xml:space="preserve">Fragile States Facility (FSF) demonstrates an operational framework</w:t>
      </w:r>
      <w:r>
        <w:t xml:space="preserve"> </w:t>
      </w:r>
      <w:r>
        <w:t xml:space="preserve">directly applicable to post-conflict reconstruction financing. The FSF</w:t>
      </w:r>
      <w:r>
        <w:t xml:space="preserve"> </w:t>
      </w:r>
      <w:r>
        <w:t xml:space="preserve">encompasses three pillars: (1) Pillar I - Supplemental Financing for</w:t>
      </w:r>
      <w:r>
        <w:t xml:space="preserve"> </w:t>
      </w:r>
      <w:r>
        <w:t xml:space="preserve">post-crisis countries (UA 272.4 million allocated), (2) Pillar II -</w:t>
      </w:r>
      <w:r>
        <w:t xml:space="preserve"> </w:t>
      </w:r>
      <w:r>
        <w:t xml:space="preserve">Arrears Clearance (UA 223.6 million), and (3) Pillar III - Targeted</w:t>
      </w:r>
      <w:r>
        <w:t xml:space="preserve"> </w:t>
      </w:r>
      <w:r>
        <w:t xml:space="preserve">Capacity Building (UA 27.2 million).</w:t>
      </w:r>
    </w:p>
    <w:p>
      <w:pPr>
        <w:pStyle w:val="BodyText"/>
      </w:pPr>
      <w:r>
        <w:t xml:space="preserve">The AfDB’s partnership with the Islamic Development Bank and ICRC</w:t>
      </w:r>
      <w:r>
        <w:t xml:space="preserve"> </w:t>
      </w:r>
      <w:r>
        <w:t xml:space="preserve">creates a trilateral cooperation framework for conflict-affected</w:t>
      </w:r>
      <w:r>
        <w:t xml:space="preserve"> </w:t>
      </w:r>
      <w:r>
        <w:t xml:space="preserve">settings. The AfDB’s Transition Support Facility model pioneered</w:t>
      </w:r>
      <w:r>
        <w:t xml:space="preserve"> </w:t>
      </w:r>
      <w:r>
        <w:t xml:space="preserve">Security-Indexed Investment Bonds (SIIBs) for fragile states, mobilizing</w:t>
      </w:r>
      <w:r>
        <w:t xml:space="preserve"> </w:t>
      </w:r>
      <w:r>
        <w:t xml:space="preserve">over $4.9 billion. These instruments demonstrate how development bonds</w:t>
      </w:r>
      <w:r>
        <w:t xml:space="preserve"> </w:t>
      </w:r>
      <w:r>
        <w:t xml:space="preserve">stands able to be structured for post-conflict reconstruction with explicit</w:t>
      </w:r>
      <w:r>
        <w:t xml:space="preserve"> </w:t>
      </w:r>
      <w:r>
        <w:t xml:space="preserve">security conditionality.</w:t>
      </w:r>
    </w:p>
    <w:p>
      <w:pPr>
        <w:pStyle w:val="BodyText"/>
      </w:pPr>
      <w:r>
        <w:t xml:space="preserve">Application pathway: The MRF engages the AfDB through the IsDB-AfDB-ICRC</w:t>
      </w:r>
      <w:r>
        <w:t xml:space="preserve"> </w:t>
      </w:r>
      <w:r>
        <w:t xml:space="preserve">trilateral framework for technical assistance and knowledge transfer.</w:t>
      </w:r>
      <w:r>
        <w:t xml:space="preserve"> </w:t>
      </w:r>
      <w:r>
        <w:t xml:space="preserve">The AfDB provides advisory services on fragile states programming,</w:t>
      </w:r>
      <w:r>
        <w:t xml:space="preserve"> </w:t>
      </w:r>
      <w:r>
        <w:t xml:space="preserve">arrears clearance sequencing, and budget support design. The RSC</w:t>
      </w:r>
      <w:r>
        <w:t xml:space="preserve"> </w:t>
      </w:r>
      <w:r>
        <w:t xml:space="preserve">participates in the AfDB’s Fragile States Knowledge Platform. Focus</w:t>
      </w:r>
      <w:r>
        <w:t xml:space="preserve"> </w:t>
      </w:r>
      <w:r>
        <w:t xml:space="preserve">areas: Technical assistance. Estimated value: $50-100 million.</w:t>
      </w:r>
    </w:p>
    <w:p>
      <w:pPr>
        <w:pStyle w:val="BodyText"/>
      </w:pPr>
      <w:r>
        <w:t xml:space="preserve">H.9 World Bank State and Peacebuilding Fund (SPF)</w:t>
      </w:r>
    </w:p>
    <w:p>
      <w:pPr>
        <w:pStyle w:val="BodyText"/>
      </w:pPr>
      <w:r>
        <w:t xml:space="preserve">The World Bank State and Peacebuilding Fund provides catalytic financing</w:t>
      </w:r>
      <w:r>
        <w:t xml:space="preserve"> </w:t>
      </w:r>
      <w:r>
        <w:t xml:space="preserve">for peacebuilding, state-building, and institutional strengthening in</w:t>
      </w:r>
      <w:r>
        <w:t xml:space="preserve"> </w:t>
      </w:r>
      <w:r>
        <w:t xml:space="preserve">fragile and conflict-affected settings. The SPF finances activities</w:t>
      </w:r>
      <w:r>
        <w:t xml:space="preserve"> </w:t>
      </w:r>
      <w:r>
        <w:t xml:space="preserve">that: support the transition from conflict to sustainable peace,</w:t>
      </w:r>
      <w:r>
        <w:t xml:space="preserve"> </w:t>
      </w:r>
      <w:r>
        <w:t xml:space="preserve">strengthen institutions and governance capacity, promote economic</w:t>
      </w:r>
      <w:r>
        <w:t xml:space="preserve"> </w:t>
      </w:r>
      <w:r>
        <w:t xml:space="preserve">recovery and job creation, and build social cohesion and community</w:t>
      </w:r>
      <w:r>
        <w:t xml:space="preserve"> </w:t>
      </w:r>
      <w:r>
        <w:t xml:space="preserve">resilience.</w:t>
      </w:r>
    </w:p>
    <w:p>
      <w:pPr>
        <w:pStyle w:val="BodyText"/>
      </w:pPr>
      <w:r>
        <w:t xml:space="preserve">Application pathway: Iran accesses the SPF through the World Bank</w:t>
      </w:r>
      <w:r>
        <w:t xml:space="preserve"> </w:t>
      </w:r>
      <w:r>
        <w:t xml:space="preserve">country office. SPF grants require a results framework aligned with the</w:t>
      </w:r>
      <w:r>
        <w:t xml:space="preserve"> </w:t>
      </w:r>
      <w:r>
        <w:t xml:space="preserve">Fragility, Conflict and Violence (FCV) strategy. The RSC coordinates SPF</w:t>
      </w:r>
      <w:r>
        <w:t xml:space="preserve"> </w:t>
      </w:r>
      <w:r>
        <w:t xml:space="preserve">applications with MRF institutional capacity building under</w:t>
      </w:r>
      <w:r>
        <w:t xml:space="preserve"> </w:t>
      </w:r>
      <w:r>
        <w:t xml:space="preserve">MRF-Governance. SPF financing stands able to cover governance restoration, public</w:t>
      </w:r>
      <w:r>
        <w:t xml:space="preserve"> </w:t>
      </w:r>
      <w:r>
        <w:t xml:space="preserve">financial management reform, and community-driven development.</w:t>
      </w:r>
    </w:p>
    <w:p>
      <w:pPr>
        <w:pStyle w:val="BodyText"/>
      </w:pPr>
      <w:r>
        <w:t xml:space="preserve">H.10 UN Central Emergency Response Fund (CERF)</w:t>
      </w:r>
    </w:p>
    <w:p>
      <w:pPr>
        <w:pStyle w:val="BodyText"/>
      </w:pPr>
      <w:r>
        <w:t xml:space="preserve">CERF is one of the fastest and most effective ways to ensure that</w:t>
      </w:r>
      <w:r>
        <w:t xml:space="preserve"> </w:t>
      </w:r>
      <w:r>
        <w:t xml:space="preserve">urgently needed humanitarian assistance reaches people caught up in</w:t>
      </w:r>
      <w:r>
        <w:t xml:space="preserve"> </w:t>
      </w:r>
      <w:r>
        <w:t xml:space="preserve">crises. CERF provides rapid initial funding for life-saving assistance</w:t>
      </w:r>
      <w:r>
        <w:t xml:space="preserve"> </w:t>
      </w:r>
      <w:r>
        <w:t xml:space="preserve">at the onset of humanitarian crises and critical support for poorly</w:t>
      </w:r>
      <w:r>
        <w:t xml:space="preserve"> </w:t>
      </w:r>
      <w:r>
        <w:t xml:space="preserve">funded, essential humanitarian operations. CERF allocated over $500</w:t>
      </w:r>
      <w:r>
        <w:t xml:space="preserve"> </w:t>
      </w:r>
      <w:r>
        <w:t xml:space="preserve">million in 2024 for rapid response to sudden-onset emergencies.</w:t>
      </w:r>
    </w:p>
    <w:p>
      <w:pPr>
        <w:pStyle w:val="BodyText"/>
      </w:pPr>
      <w:r>
        <w:t xml:space="preserve">Application pathway: UN agencies operating in Iran submit CERF funding</w:t>
      </w:r>
      <w:r>
        <w:t xml:space="preserve"> </w:t>
      </w:r>
      <w:r>
        <w:t xml:space="preserve">applications through the Resident Coordinator’s office. CERF rapid</w:t>
      </w:r>
      <w:r>
        <w:t xml:space="preserve"> </w:t>
      </w:r>
      <w:r>
        <w:t xml:space="preserve">response grants process within 72 hours of application. The RSC</w:t>
      </w:r>
      <w:r>
        <w:t xml:space="preserve"> </w:t>
      </w:r>
      <w:r>
        <w:t xml:space="preserve">coordinates CERF applications with MRF-Health and MRF-Housing emergency</w:t>
      </w:r>
      <w:r>
        <w:t xml:space="preserve"> </w:t>
      </w:r>
      <w:r>
        <w:t xml:space="preserve">reconstruction activities.</w:t>
      </w:r>
    </w:p>
    <w:p>
      <w:pPr>
        <w:pStyle w:val="BodyText"/>
      </w:pPr>
      <w:r>
        <w:t xml:space="preserve">H.11 Infrastructure Asset-Backed Securitization (IABS)</w:t>
      </w:r>
    </w:p>
    <w:p>
      <w:pPr>
        <w:pStyle w:val="BodyText"/>
      </w:pPr>
      <w:r>
        <w:t xml:space="preserve">IABS is an innovative financing mechanism that converts future</w:t>
      </w:r>
      <w:r>
        <w:t xml:space="preserve"> </w:t>
      </w:r>
      <w:r>
        <w:t xml:space="preserve">infrastructure revenue streams into upfront capital through bond</w:t>
      </w:r>
      <w:r>
        <w:t xml:space="preserve"> </w:t>
      </w:r>
      <w:r>
        <w:t xml:space="preserve">issuance. Under IABS, completed or operational infrastructure assets</w:t>
      </w:r>
      <w:r>
        <w:t xml:space="preserve"> </w:t>
      </w:r>
      <w:r>
        <w:t xml:space="preserve">(toll roads, power plants, water utilities) generate revenue that is</w:t>
      </w:r>
      <w:r>
        <w:t xml:space="preserve"> </w:t>
      </w:r>
      <w:r>
        <w:t xml:space="preserve">securitized and sold to institutional investors. This mechanism enables</w:t>
      </w:r>
      <w:r>
        <w:t xml:space="preserve"> </w:t>
      </w:r>
      <w:r>
        <w:t xml:space="preserve">the MRF to recycle capital: deploying proceeds from asset securitization</w:t>
      </w:r>
      <w:r>
        <w:t xml:space="preserve"> </w:t>
      </w:r>
      <w:r>
        <w:t xml:space="preserve">into new reconstruction projects.</w:t>
      </w:r>
    </w:p>
    <w:p>
      <w:pPr>
        <w:pStyle w:val="BodyText"/>
      </w:pPr>
      <w:r>
        <w:t xml:space="preserve">The IABS structure operates as follows: (1) The RSC identifies</w:t>
      </w:r>
      <w:r>
        <w:t xml:space="preserve"> </w:t>
      </w:r>
      <w:r>
        <w:t xml:space="preserve">MRF-funded infrastructure assets with predictable revenue streams, (2)</w:t>
      </w:r>
      <w:r>
        <w:t xml:space="preserve"> </w:t>
      </w:r>
      <w:r>
        <w:t xml:space="preserve">An independent rating agency assesses the credit quality of the revenue</w:t>
      </w:r>
      <w:r>
        <w:t xml:space="preserve"> </w:t>
      </w:r>
      <w:r>
        <w:t xml:space="preserve">stream, (3) The Qatar Central Bank establishes a special purpose vehicle</w:t>
      </w:r>
      <w:r>
        <w:t xml:space="preserve"> </w:t>
      </w:r>
      <w:r>
        <w:t xml:space="preserve">to hold the securitized assets, (4) The SPV issues IABS bonds to</w:t>
      </w:r>
      <w:r>
        <w:t xml:space="preserve"> </w:t>
      </w:r>
      <w:r>
        <w:t xml:space="preserve">institutional investors (pension funds, insurance companies, sovereign</w:t>
      </w:r>
      <w:r>
        <w:t xml:space="preserve"> </w:t>
      </w:r>
      <w:r>
        <w:t xml:space="preserve">wealth funds), (5) Proceeds from bond issuance flow into the relevant</w:t>
      </w:r>
      <w:r>
        <w:t xml:space="preserve"> </w:t>
      </w:r>
      <w:r>
        <w:t xml:space="preserve">Sub-Fund for deployment to new projects.</w:t>
      </w:r>
    </w:p>
    <w:p>
      <w:pPr>
        <w:pStyle w:val="BodyText"/>
      </w:pPr>
      <w:r>
        <w:t xml:space="preserve">IABS enables the MRF to achieve capital recycling: the same pool of</w:t>
      </w:r>
      <w:r>
        <w:t xml:space="preserve"> </w:t>
      </w:r>
      <w:r>
        <w:t xml:space="preserve">international capital stands able to fund multiple generations of projects as</w:t>
      </w:r>
      <w:r>
        <w:t xml:space="preserve"> </w:t>
      </w:r>
      <w:r>
        <w:t xml:space="preserve">completed assets generate revenue that is securitized and reinvested.</w:t>
      </w:r>
      <w:r>
        <w:t xml:space="preserve"> </w:t>
      </w:r>
      <w:r>
        <w:t xml:space="preserve">The PRI Pool provides credit enhancement for IABS issuances. Estimated</w:t>
      </w:r>
      <w:r>
        <w:t xml:space="preserve"> </w:t>
      </w:r>
      <w:r>
        <w:t xml:space="preserve">potential: $2-5 billion in recycled capital.</w:t>
      </w:r>
    </w:p>
    <w:p>
      <w:pPr>
        <w:pStyle w:val="BodyText"/>
      </w:pPr>
      <w:r>
        <w:t xml:space="preserve">H.12 Islamic Development Bank Green Sukuk</w:t>
      </w:r>
    </w:p>
    <w:p>
      <w:pPr>
        <w:pStyle w:val="BodyText"/>
      </w:pPr>
      <w:r>
        <w:t xml:space="preserve">The IsDB issued its inaugural Green Sukuk in 2024, raising EUR 500</w:t>
      </w:r>
      <w:r>
        <w:t xml:space="preserve"> </w:t>
      </w:r>
      <w:r>
        <w:t xml:space="preserve">million from international institutional investors at a profit rate of</w:t>
      </w:r>
      <w:r>
        <w:t xml:space="preserve"> </w:t>
      </w:r>
      <w:r>
        <w:t xml:space="preserve">3.947%. The issuance was 5 times oversubscribed, demonstrating strong</w:t>
      </w:r>
      <w:r>
        <w:t xml:space="preserve"> </w:t>
      </w:r>
      <w:r>
        <w:t xml:space="preserve">global demand for Shari’ah-compliant climate finance instruments. The</w:t>
      </w:r>
      <w:r>
        <w:t xml:space="preserve"> </w:t>
      </w:r>
      <w:r>
        <w:t xml:space="preserve">Green Sukuk funds renewable energy, clean transportation, sustainable</w:t>
      </w:r>
      <w:r>
        <w:t xml:space="preserve"> </w:t>
      </w:r>
      <w:r>
        <w:t xml:space="preserve">water management, and climate adaptation projects across IsDB member</w:t>
      </w:r>
      <w:r>
        <w:t xml:space="preserve"> </w:t>
      </w:r>
      <w:r>
        <w:t xml:space="preserve">countries.</w:t>
      </w:r>
    </w:p>
    <w:p>
      <w:pPr>
        <w:pStyle w:val="BodyText"/>
      </w:pPr>
      <w:r>
        <w:t xml:space="preserve">This precedent enables the MRF to structure Green Sukuk issuances</w:t>
      </w:r>
      <w:r>
        <w:t xml:space="preserve"> </w:t>
      </w:r>
      <w:r>
        <w:t xml:space="preserve">specifically for Iranian climate-resilient reconstruction. The RSC</w:t>
      </w:r>
      <w:r>
        <w:t xml:space="preserve"> </w:t>
      </w:r>
      <w:r>
        <w:t xml:space="preserve">engages IsDB Green Sukuk advisors to structure asset-backed certificates</w:t>
      </w:r>
      <w:r>
        <w:t xml:space="preserve"> </w:t>
      </w:r>
      <w:r>
        <w:t xml:space="preserve">for: solar and wind energy installations, green building retrofits,</w:t>
      </w:r>
      <w:r>
        <w:t xml:space="preserve"> </w:t>
      </w:r>
      <w:r>
        <w:t xml:space="preserve">sustainable transport infrastructure, and climate-adaptive water</w:t>
      </w:r>
      <w:r>
        <w:t xml:space="preserve"> </w:t>
      </w:r>
      <w:r>
        <w:t xml:space="preserve">systems.</w:t>
      </w:r>
    </w:p>
    <w:p>
      <w:pPr>
        <w:pStyle w:val="BodyText"/>
      </w:pPr>
      <w:r>
        <w:t xml:space="preserve">H.13 Mutual Reliance Agreements (MRAs) for MDB Co-Financing</w:t>
      </w:r>
    </w:p>
    <w:p>
      <w:pPr>
        <w:pStyle w:val="BodyText"/>
      </w:pPr>
      <w:r>
        <w:t xml:space="preserve">Mutual Reliance Agreements are formal arrangements between multilateral</w:t>
      </w:r>
      <w:r>
        <w:t xml:space="preserve"> </w:t>
      </w:r>
      <w:r>
        <w:t xml:space="preserve">development banks that enable one MDB to rely on another’s procurement,</w:t>
      </w:r>
      <w:r>
        <w:t xml:space="preserve"> </w:t>
      </w:r>
      <w:r>
        <w:t xml:space="preserve">environmental, and social safeguard procedures. MRAs reduce transaction</w:t>
      </w:r>
      <w:r>
        <w:t xml:space="preserve"> </w:t>
      </w:r>
      <w:r>
        <w:t xml:space="preserve">costs, accelerate project processing, and enable larger-scale</w:t>
      </w:r>
      <w:r>
        <w:t xml:space="preserve"> </w:t>
      </w:r>
      <w:r>
        <w:t xml:space="preserve">co-financing arrangements.</w:t>
      </w:r>
    </w:p>
    <w:p>
      <w:pPr>
        <w:pStyle w:val="BodyText"/>
      </w:pPr>
      <w:r>
        <w:t xml:space="preserve">The RSC pursues MRAs with the World Bank, Asian Development Bank,</w:t>
      </w:r>
      <w:r>
        <w:t xml:space="preserve"> </w:t>
      </w:r>
      <w:r>
        <w:t xml:space="preserve">Islamic Development Bank, and African Development Bank. Under an MRA,</w:t>
      </w:r>
      <w:r>
        <w:t xml:space="preserve"> </w:t>
      </w:r>
      <w:r>
        <w:t xml:space="preserve">the World Bank stands able to rely on IsDB procurement procedures for co-financed</w:t>
      </w:r>
      <w:r>
        <w:t xml:space="preserve"> </w:t>
      </w:r>
      <w:r>
        <w:t xml:space="preserve">projects, eliminating duplicate procurement processes. This is</w:t>
      </w:r>
      <w:r>
        <w:t xml:space="preserve"> </w:t>
      </w:r>
      <w:r>
        <w:t xml:space="preserve">particularly valuable for the MRF where multiple MDBs co-finance</w:t>
      </w:r>
      <w:r>
        <w:t xml:space="preserve"> </w:t>
      </w:r>
      <w:r>
        <w:t xml:space="preserve">individual projects.</w:t>
      </w:r>
    </w:p>
    <w:p>
      <w:pPr>
        <w:pStyle w:val="BodyText"/>
      </w:pPr>
      <w:r>
        <w:t xml:space="preserve">H.14 IFC Kakuma Kalobeyei Challenge Fund Model</w:t>
      </w:r>
    </w:p>
    <w:p>
      <w:pPr>
        <w:pStyle w:val="BodyText"/>
      </w:pPr>
      <w:r>
        <w:t xml:space="preserve">The International Finance Corporation’s Kakuma Kalobeyei Challenge Fund</w:t>
      </w:r>
      <w:r>
        <w:t xml:space="preserve"> </w:t>
      </w:r>
      <w:r>
        <w:t xml:space="preserve">(KKCF) demonstrates a conflict-sensitive blended finance model with</w:t>
      </w:r>
      <w:r>
        <w:t xml:space="preserve"> </w:t>
      </w:r>
      <w:r>
        <w:t xml:space="preserve">direct applicability to Iranian reconstruction. The KKCF operates on</w:t>
      </w:r>
      <w:r>
        <w:t xml:space="preserve"> </w:t>
      </w:r>
      <w:r>
        <w:t xml:space="preserve">three core principles: (1) Dual-benefit design for host communities and</w:t>
      </w:r>
      <w:r>
        <w:t xml:space="preserve"> </w:t>
      </w:r>
      <w:r>
        <w:t xml:space="preserve">displaced populations, (2) Integrated market approach treating</w:t>
      </w:r>
      <w:r>
        <w:t xml:space="preserve"> </w:t>
      </w:r>
      <w:r>
        <w:t xml:space="preserve">crisis-affected areas as investable markets rather than aid-dependent</w:t>
      </w:r>
      <w:r>
        <w:t xml:space="preserve"> </w:t>
      </w:r>
      <w:r>
        <w:t xml:space="preserve">zones, and (3) Evidence-driven engagement using market data to attract</w:t>
      </w:r>
      <w:r>
        <w:t xml:space="preserve"> </w:t>
      </w:r>
      <w:r>
        <w:t xml:space="preserve">private investment.</w:t>
      </w:r>
    </w:p>
    <w:p>
      <w:pPr>
        <w:pStyle w:val="BodyText"/>
      </w:pPr>
      <w:r>
        <w:t xml:space="preserve">Key lessons from the KKCF applicable to Iran: (a) Refugees and</w:t>
      </w:r>
      <w:r>
        <w:t xml:space="preserve"> </w:t>
      </w:r>
      <w:r>
        <w:t xml:space="preserve">internally displaced persons are treated as part of the market, not</w:t>
      </w:r>
      <w:r>
        <w:t xml:space="preserve"> </w:t>
      </w:r>
      <w:r>
        <w:t xml:space="preserve">separate from it, reducing perceptions of competition, (b) Grants are</w:t>
      </w:r>
      <w:r>
        <w:t xml:space="preserve"> </w:t>
      </w:r>
      <w:r>
        <w:t xml:space="preserve">sized and milestones tailored to fragile market realities, (c)</w:t>
      </w:r>
      <w:r>
        <w:t xml:space="preserve"> </w:t>
      </w:r>
      <w:r>
        <w:t xml:space="preserve">Co-financing connects upstream grants to downstream credit, (d) A broad</w:t>
      </w:r>
      <w:r>
        <w:t xml:space="preserve"> </w:t>
      </w:r>
      <w:r>
        <w:t xml:space="preserve">partnership combining IFC, UN agencies, bilateral donors, and local</w:t>
      </w:r>
      <w:r>
        <w:t xml:space="preserve"> </w:t>
      </w:r>
      <w:r>
        <w:t xml:space="preserve">government mitigates risks, (e) Conflict sensitivity guides all</w:t>
      </w:r>
      <w:r>
        <w:t xml:space="preserve"> </w:t>
      </w:r>
      <w:r>
        <w:t xml:space="preserve">operations and communications.</w:t>
      </w:r>
    </w:p>
    <w:p>
      <w:pPr>
        <w:pStyle w:val="BodyText"/>
      </w:pPr>
      <w:r>
        <w:t xml:space="preserve">The MRF adapts the KKCF model for Iranian post-conflict zones by: (1)</w:t>
      </w:r>
      <w:r>
        <w:t xml:space="preserve"> </w:t>
      </w:r>
      <w:r>
        <w:t xml:space="preserve">Integrating displaced populations into reconstruction labor markets, (2)</w:t>
      </w:r>
      <w:r>
        <w:t xml:space="preserve"> </w:t>
      </w:r>
      <w:r>
        <w:t xml:space="preserve">Structuring grants that connect to downstream MRF credit facilities, (3)</w:t>
      </w:r>
      <w:r>
        <w:t xml:space="preserve"> </w:t>
      </w:r>
      <w:r>
        <w:t xml:space="preserve">Engaging a broad partnership of MDBs, UN agencies, and bilateral donors,</w:t>
      </w:r>
      <w:r>
        <w:t xml:space="preserve"> </w:t>
      </w:r>
      <w:r>
        <w:t xml:space="preserve">(4) Conducting market assessments to reframe reconstruction zones as</w:t>
      </w:r>
      <w:r>
        <w:t xml:space="preserve"> </w:t>
      </w:r>
      <w:r>
        <w:t xml:space="preserve">investable markets, (5) Tailoring milestones to fragile market</w:t>
      </w:r>
      <w:r>
        <w:t xml:space="preserve"> </w:t>
      </w:r>
      <w:r>
        <w:t xml:space="preserve">conditions.</w:t>
      </w:r>
    </w:p>
    <w:p>
      <w:pPr>
        <w:pStyle w:val="BodyText"/>
      </w:pPr>
      <w:r>
        <w:t xml:space="preserve">H.15 Additional Sources from Systematic Analysis</w:t>
      </w:r>
    </w:p>
    <w:p>
      <w:pPr>
        <w:pStyle w:val="BodyText"/>
      </w:pPr>
      <w:r>
        <w:t xml:space="preserve">The following additional sources are identified through systematic</w:t>
      </w:r>
      <w:r>
        <w:t xml:space="preserve"> </w:t>
      </w:r>
      <w:r>
        <w:t xml:space="preserve">analysis of international funding databases and development finance</w:t>
      </w:r>
      <w:r>
        <w:t xml:space="preserve"> </w:t>
      </w:r>
      <w:r>
        <w:t xml:space="preserve">registries:</w:t>
      </w:r>
    </w:p>
    <w:p>
      <w:pPr>
        <w:pStyle w:val="BodyText"/>
      </w:pPr>
      <w:r>
        <w:t xml:space="preserve">• Asian Infrastructure Investment Bank (AIIB): Sovereign-backed lending</w:t>
      </w:r>
      <w:r>
        <w:t xml:space="preserve"> </w:t>
      </w:r>
      <w:r>
        <w:t xml:space="preserve">for infrastructure. Iran is a founding member. Potential allocation:</w:t>
      </w:r>
      <w:r>
        <w:t xml:space="preserve"> </w:t>
      </w:r>
      <w:r>
        <w:t xml:space="preserve">$1-3 billion for transport and energy.</w:t>
      </w:r>
    </w:p>
    <w:p>
      <w:pPr>
        <w:pStyle w:val="BodyText"/>
      </w:pPr>
      <w:r>
        <w:t xml:space="preserve">• International Fund for Agricultural Development (IFAD): Concessional</w:t>
      </w:r>
      <w:r>
        <w:t xml:space="preserve"> </w:t>
      </w:r>
      <w:r>
        <w:t xml:space="preserve">loans and grants for rural development and agricultural transformation.</w:t>
      </w:r>
      <w:r>
        <w:t xml:space="preserve"> </w:t>
      </w:r>
      <w:r>
        <w:t xml:space="preserve">Iran is a member. Potential allocation: $200-500 million.</w:t>
      </w:r>
    </w:p>
    <w:p>
      <w:pPr>
        <w:pStyle w:val="BodyText"/>
      </w:pPr>
      <w:r>
        <w:t xml:space="preserve">• International Labour Organization (ILO) Skills and Employability</w:t>
      </w:r>
      <w:r>
        <w:t xml:space="preserve"> </w:t>
      </w:r>
      <w:r>
        <w:t xml:space="preserve">Programme: Technical assistance for workforce development and vocational</w:t>
      </w:r>
      <w:r>
        <w:t xml:space="preserve"> </w:t>
      </w:r>
      <w:r>
        <w:t xml:space="preserve">training under MRF-Education.</w:t>
      </w:r>
    </w:p>
    <w:p>
      <w:pPr>
        <w:pStyle w:val="BodyText"/>
      </w:pPr>
      <w:r>
        <w:t xml:space="preserve">• UNIDO Industrial Recovery Programme: Technical assistance for</w:t>
      </w:r>
      <w:r>
        <w:t xml:space="preserve"> </w:t>
      </w:r>
      <w:r>
        <w:t xml:space="preserve">industrial rehabilitation, SME development, and value chain restoration.</w:t>
      </w:r>
    </w:p>
    <w:p>
      <w:pPr>
        <w:pStyle w:val="BodyText"/>
      </w:pPr>
      <w:r>
        <w:t xml:space="preserve">• UNESCO Cultural Heritage Emergency Fund: Grants for protection and</w:t>
      </w:r>
      <w:r>
        <w:t xml:space="preserve"> </w:t>
      </w:r>
      <w:r>
        <w:t xml:space="preserve">restoration of cultural heritage sites damaged during conflict.</w:t>
      </w:r>
    </w:p>
    <w:p>
      <w:pPr>
        <w:pStyle w:val="BodyText"/>
      </w:pPr>
      <w:r>
        <w:t xml:space="preserve">• WHO Health Emergency Response Fund: Rapid response financing for</w:t>
      </w:r>
      <w:r>
        <w:t xml:space="preserve"> </w:t>
      </w:r>
      <w:r>
        <w:t xml:space="preserve">health system restoration and emergency medical capacity.</w:t>
      </w:r>
    </w:p>
    <w:p>
      <w:pPr>
        <w:pStyle w:val="BodyText"/>
      </w:pPr>
      <w:r>
        <w:t xml:space="preserve">• WMO Climate Services and Early Warning Systems: Technical assistance</w:t>
      </w:r>
      <w:r>
        <w:t xml:space="preserve"> </w:t>
      </w:r>
      <w:r>
        <w:t xml:space="preserve">for climate monitoring, disaster early warning, and weather</w:t>
      </w:r>
      <w:r>
        <w:t xml:space="preserve"> </w:t>
      </w:r>
      <w:r>
        <w:t xml:space="preserve">infrastructure.</w:t>
      </w:r>
    </w:p>
    <w:p>
      <w:pPr>
        <w:pStyle w:val="BodyText"/>
      </w:pPr>
      <w:r>
        <w:t xml:space="preserve">H.16 Summary of Global South and BRICS Funding Potential</w:t>
      </w:r>
    </w:p>
    <w:p>
      <w:pPr>
        <w:pStyle w:val="BodyText"/>
      </w:pPr>
      <w:r>
        <w:t xml:space="preserve">The following table summarizes the additional funding sources documented</w:t>
      </w:r>
      <w:r>
        <w:t xml:space="preserve"> </w:t>
      </w:r>
      <w:r>
        <w:t xml:space="preserve">in this Appendix:</w:t>
      </w:r>
    </w:p>
    <w:p>
      <w:pPr>
        <w:pStyle w:val="BodyText"/>
      </w:pPr>
      <w:r>
        <w:t xml:space="preserve">, , , , , , , , , , , , , , , , , , , , , , , , , , , , , , , , , , , -</w:t>
      </w:r>
      <w:r>
        <w:t xml:space="preserve"> </w:t>
      </w:r>
      <w:r>
        <w:t xml:space="preserve">Source Type Est. Allocation</w:t>
      </w:r>
      <w:r>
        <w:t xml:space="preserve"> </w:t>
      </w:r>
      <w:r>
        <w:t xml:space="preserve">, , , , , , , - , , , , , , , , , , , , , , , , , , - , , , , , , , , -</w:t>
      </w:r>
      <w:r>
        <w:t xml:space="preserve"> </w:t>
      </w:r>
      <w:r>
        <w:t xml:space="preserve">South Korea Loans + Frozen Assets $3-8B</w:t>
      </w:r>
    </w:p>
    <w:p>
      <w:pPr>
        <w:pStyle w:val="BodyText"/>
      </w:pPr>
      <w:r>
        <w:t xml:space="preserve">Turkey Construction + Assets $2-5B</w:t>
      </w:r>
    </w:p>
    <w:p>
      <w:pPr>
        <w:pStyle w:val="BodyText"/>
      </w:pPr>
      <w:r>
        <w:t xml:space="preserve">Indonesia Islamic Finance $500M-1B</w:t>
      </w:r>
    </w:p>
    <w:p>
      <w:pPr>
        <w:pStyle w:val="BodyText"/>
      </w:pPr>
      <w:r>
        <w:t xml:space="preserve">Brazil Agri-Tech + BRICS $300-500M</w:t>
      </w:r>
    </w:p>
    <w:p>
      <w:pPr>
        <w:pStyle w:val="BodyText"/>
      </w:pPr>
      <w:r>
        <w:t xml:space="preserve">South Africa Infrastructure + JCC $500M-1B</w:t>
      </w:r>
    </w:p>
    <w:p>
      <w:pPr>
        <w:pStyle w:val="BodyText"/>
      </w:pPr>
      <w:r>
        <w:t xml:space="preserve">China (BRI) Infrastructure Loans $10-25B</w:t>
      </w:r>
    </w:p>
    <w:p>
      <w:pPr>
        <w:pStyle w:val="BodyText"/>
      </w:pPr>
      <w:r>
        <w:t xml:space="preserve">Russia Nuclear + Transport $3-8B</w:t>
      </w:r>
    </w:p>
    <w:p>
      <w:pPr>
        <w:pStyle w:val="BodyText"/>
      </w:pPr>
      <w:r>
        <w:t xml:space="preserve">AfDB Fragile States Advisory $50-100M</w:t>
      </w:r>
      <w:r>
        <w:t xml:space="preserve"> </w:t>
      </w:r>
      <w:r>
        <w:t xml:space="preserve">(Technical)</w:t>
      </w:r>
    </w:p>
    <w:p>
      <w:pPr>
        <w:pStyle w:val="BodyText"/>
      </w:pPr>
      <w:r>
        <w:t xml:space="preserve">World Bank SPF Grants $100-300M</w:t>
      </w:r>
    </w:p>
    <w:p>
      <w:pPr>
        <w:pStyle w:val="BodyText"/>
      </w:pPr>
      <w:r>
        <w:t xml:space="preserve">UN CERF Rapid Response $100-300M</w:t>
      </w:r>
    </w:p>
    <w:p>
      <w:pPr>
        <w:pStyle w:val="BodyText"/>
      </w:pPr>
      <w:r>
        <w:t xml:space="preserve">IABS Capital Recycling $2-5B recycled</w:t>
      </w:r>
    </w:p>
    <w:p>
      <w:pPr>
        <w:pStyle w:val="BodyText"/>
      </w:pPr>
      <w:r>
        <w:t xml:space="preserve">IsDB Green Islamic Green Finance $500M-1B</w:t>
      </w:r>
      <w:r>
        <w:t xml:space="preserve"> </w:t>
      </w:r>
      <w:r>
        <w:t xml:space="preserve">Sukuk</w:t>
      </w:r>
    </w:p>
    <w:p>
      <w:pPr>
        <w:pStyle w:val="BodyText"/>
      </w:pPr>
      <w:r>
        <w:t xml:space="preserve">Additional UN / Mixed $300-800M</w:t>
      </w:r>
      <w:r>
        <w:t xml:space="preserve"> </w:t>
      </w:r>
      <w:r>
        <w:t xml:space="preserve">IFIs</w:t>
      </w:r>
    </w:p>
    <w:p>
      <w:pPr>
        <w:pStyle w:val="BodyText"/>
      </w:pPr>
      <w:r>
        <w:t xml:space="preserve">TOTAL APPENDIX $22-56B</w:t>
      </w:r>
      <w:r>
        <w:t xml:space="preserve"> </w:t>
      </w:r>
      <w:r>
        <w:t xml:space="preserve">H</w:t>
      </w:r>
      <w:r>
        <w:br/>
      </w:r>
      <w:r>
        <w:t xml:space="preserve">, , , , , , , , , , , , , , , , , , , , , , , , , , , , , , , , , , , -</w:t>
      </w:r>
    </w:p>
    <w:bookmarkEnd w:id="170"/>
    <w:bookmarkStart w:id="171" w:name="X9ae1c16af6fb3974b58a42052f750367ca6fe00"/>
    <w:p>
      <w:pPr>
        <w:pStyle w:val="Heading3"/>
      </w:pPr>
      <w:r>
        <w:t xml:space="preserve">Appendix I: Country-by-Country Funding Sources</w:t>
      </w:r>
    </w:p>
    <w:p>
      <w:pPr>
        <w:pStyle w:val="FirstParagraph"/>
      </w:pPr>
      <w:r>
        <w:t xml:space="preserve">This Appendix catalogs development finance sources organized by</w:t>
      </w:r>
      <w:r>
        <w:t xml:space="preserve"> </w:t>
      </w:r>
      <w:r>
        <w:t xml:space="preserve">contributor country. The RSC secretariat maintains bilateral engagement</w:t>
      </w:r>
      <w:r>
        <w:t xml:space="preserve"> </w:t>
      </w:r>
      <w:r>
        <w:t xml:space="preserve">with each country through its respective development agency, embassy in</w:t>
      </w:r>
      <w:r>
        <w:t xml:space="preserve"> </w:t>
      </w:r>
      <w:r>
        <w:t xml:space="preserve">Tehran or Doha, and multilateral channels. Entries include the agency</w:t>
      </w:r>
      <w:r>
        <w:t xml:space="preserve"> </w:t>
      </w:r>
      <w:r>
        <w:t xml:space="preserve">name, funding type, estimated allocation for Iran, application pathway,</w:t>
      </w:r>
      <w:r>
        <w:t xml:space="preserve"> </w:t>
      </w:r>
      <w:r>
        <w:t xml:space="preserve">and focus sectors.</w:t>
      </w:r>
    </w:p>
    <w:p>
      <w:pPr>
        <w:pStyle w:val="BodyText"/>
      </w:pPr>
      <w:r>
        <w:t xml:space="preserve">I.1 East Asia and Pacific</w:t>
      </w:r>
    </w:p>
    <w:p>
      <w:pPr>
        <w:pStyle w:val="BodyText"/>
      </w:pPr>
      <w:r>
        <w:t xml:space="preserve">Australia , Department of Foreign Affairs and Trade (DFAT)</w:t>
      </w:r>
    </w:p>
    <w:p>
      <w:pPr>
        <w:pStyle w:val="BodyText"/>
      </w:pPr>
      <w:r>
        <w:t xml:space="preserve">Australia’s ODA budget provides funding across global and humanitarian</w:t>
      </w:r>
      <w:r>
        <w:t xml:space="preserve"> </w:t>
      </w:r>
      <w:r>
        <w:t xml:space="preserve">programs. DFAT channels significant funding through the UN system, the</w:t>
      </w:r>
      <w:r>
        <w:t xml:space="preserve"> </w:t>
      </w:r>
      <w:r>
        <w:t xml:space="preserve">World Bank, and humanitarian organizations. Australia’s development</w:t>
      </w:r>
      <w:r>
        <w:t xml:space="preserve"> </w:t>
      </w:r>
      <w:r>
        <w:t xml:space="preserve">cooperation focuses on climate resilience, governance, and health</w:t>
      </w:r>
      <w:r>
        <w:t xml:space="preserve"> </w:t>
      </w:r>
      <w:r>
        <w:t xml:space="preserve">security. For Iran, Australia provides support through multilateral</w:t>
      </w:r>
      <w:r>
        <w:t xml:space="preserve"> </w:t>
      </w:r>
      <w:r>
        <w:t xml:space="preserve">trust funds and humanitarian channels.</w:t>
      </w:r>
    </w:p>
    <w:p>
      <w:pPr>
        <w:pStyle w:val="BodyText"/>
      </w:pPr>
      <w:r>
        <w:t xml:space="preserve">Type: Multilateral/Humanitarian | Est. Allocation: $30-50M |</w:t>
      </w:r>
      <w:r>
        <w:t xml:space="preserve"> </w:t>
      </w:r>
      <w:r>
        <w:t xml:space="preserve">Application: Through DFAT global programs or multilateral trust funds |</w:t>
      </w:r>
      <w:r>
        <w:t xml:space="preserve"> </w:t>
      </w:r>
      <w:r>
        <w:t xml:space="preserve">Focus: Humanitarian assistance, climate adaptation, governance</w:t>
      </w:r>
      <w:r>
        <w:t xml:space="preserve"> </w:t>
      </w:r>
      <w:r>
        <w:t xml:space="preserve">restoration.</w:t>
      </w:r>
    </w:p>
    <w:p>
      <w:pPr>
        <w:pStyle w:val="BodyText"/>
      </w:pPr>
      <w:r>
        <w:t xml:space="preserve">Azerbaijan , Bilateral Development Cooperation</w:t>
      </w:r>
    </w:p>
    <w:p>
      <w:pPr>
        <w:pStyle w:val="BodyText"/>
      </w:pPr>
      <w:r>
        <w:t xml:space="preserve">Azerbaijan participates in the World Bank Adaptation Fund as a</w:t>
      </w:r>
      <w:r>
        <w:t xml:space="preserve"> </w:t>
      </w:r>
      <w:r>
        <w:t xml:space="preserve">developing country partner and has implemented regional climate</w:t>
      </w:r>
      <w:r>
        <w:t xml:space="preserve"> </w:t>
      </w:r>
      <w:r>
        <w:t xml:space="preserve">adaptation projects in the South Caucasus and Central Asia. Azerbaijan</w:t>
      </w:r>
      <w:r>
        <w:t xml:space="preserve"> </w:t>
      </w:r>
      <w:r>
        <w:t xml:space="preserve">and Iran share Caspian Sea cooperation frameworks and have collaborated</w:t>
      </w:r>
      <w:r>
        <w:t xml:space="preserve"> </w:t>
      </w:r>
      <w:r>
        <w:t xml:space="preserve">on transboundary water and environmental projects.</w:t>
      </w:r>
    </w:p>
    <w:p>
      <w:pPr>
        <w:pStyle w:val="BodyText"/>
      </w:pPr>
      <w:r>
        <w:t xml:space="preserve">Type: Bilateral/Regional | Est. Allocation: $50-100M | Application:</w:t>
      </w:r>
      <w:r>
        <w:t xml:space="preserve"> </w:t>
      </w:r>
      <w:r>
        <w:t xml:space="preserve">Through bilateral economic commissions and Adaptation Fund regional</w:t>
      </w:r>
      <w:r>
        <w:t xml:space="preserve"> </w:t>
      </w:r>
      <w:r>
        <w:t xml:space="preserve">windows | Focus: Climate adaptation, transboundary water, energy</w:t>
      </w:r>
      <w:r>
        <w:t xml:space="preserve"> </w:t>
      </w:r>
      <w:r>
        <w:t xml:space="preserve">infrastructure.</w:t>
      </w:r>
    </w:p>
    <w:p>
      <w:pPr>
        <w:pStyle w:val="BodyText"/>
      </w:pPr>
      <w:r>
        <w:t xml:space="preserve">China , Belt and Road Initiative (BRI) and Strategic Cooperation Agreement</w:t>
      </w:r>
    </w:p>
    <w:p>
      <w:pPr>
        <w:pStyle w:val="BodyText"/>
      </w:pPr>
      <w:r>
        <w:t xml:space="preserve">The 25-year Strategic Cooperation Agreement (September 2025) includes a</w:t>
      </w:r>
      <w:r>
        <w:t xml:space="preserve"> </w:t>
      </w:r>
      <w:r>
        <w:t xml:space="preserve">$25 billion commitment for the Hormoz nuclear power plant. The BRI</w:t>
      </w:r>
      <w:r>
        <w:t xml:space="preserve"> </w:t>
      </w:r>
      <w:r>
        <w:t xml:space="preserve">channels massive infrastructure financing for railway, port, and highway</w:t>
      </w:r>
      <w:r>
        <w:t xml:space="preserve"> </w:t>
      </w:r>
      <w:r>
        <w:t xml:space="preserve">projects. Iran’s transport infrastructure requires $14.5 billion</w:t>
      </w:r>
      <w:r>
        <w:t xml:space="preserve"> </w:t>
      </w:r>
      <w:r>
        <w:t xml:space="preserve">annually over the next decade. The Silk Road Fund and China Development</w:t>
      </w:r>
      <w:r>
        <w:t xml:space="preserve"> </w:t>
      </w:r>
      <w:r>
        <w:t xml:space="preserve">Bank provide long-term infrastructure loans. AIIB co-finances transport</w:t>
      </w:r>
      <w:r>
        <w:t xml:space="preserve"> </w:t>
      </w:r>
      <w:r>
        <w:t xml:space="preserve">and energy projects.</w:t>
      </w:r>
    </w:p>
    <w:p>
      <w:pPr>
        <w:pStyle w:val="BodyText"/>
      </w:pPr>
      <w:r>
        <w:t xml:space="preserve">Type: Bilateral Loans/Investment | Est. Allocation: $10-25B |</w:t>
      </w:r>
      <w:r>
        <w:t xml:space="preserve"> </w:t>
      </w:r>
      <w:r>
        <w:t xml:space="preserve">Application: Through bilateral project financing under the Strategic</w:t>
      </w:r>
      <w:r>
        <w:t xml:space="preserve"> </w:t>
      </w:r>
      <w:r>
        <w:t xml:space="preserve">Cooperation Agreement | Focus: Transport, nuclear energy,</w:t>
      </w:r>
      <w:r>
        <w:t xml:space="preserve"> </w:t>
      </w:r>
      <w:r>
        <w:t xml:space="preserve">telecommunications, power generation.</w:t>
      </w:r>
    </w:p>
    <w:p>
      <w:pPr>
        <w:pStyle w:val="BodyText"/>
      </w:pPr>
      <w:r>
        <w:t xml:space="preserve">India , Export-Import Bank and Chabahar Port Development</w:t>
      </w:r>
    </w:p>
    <w:p>
      <w:pPr>
        <w:pStyle w:val="BodyText"/>
      </w:pPr>
      <w:r>
        <w:t xml:space="preserve">India has provided approximately $120 million for the Chabahar port and</w:t>
      </w:r>
      <w:r>
        <w:t xml:space="preserve"> </w:t>
      </w:r>
      <w:r>
        <w:t xml:space="preserve">invested $1 billion in Iranian infrastructure projects, including the</w:t>
      </w:r>
      <w:r>
        <w:t xml:space="preserve"> </w:t>
      </w:r>
      <w:r>
        <w:t xml:space="preserve">Chabahar-Zahedan railway and the Chabahar Free Trade Zone. The India</w:t>
      </w:r>
      <w:r>
        <w:t xml:space="preserve"> </w:t>
      </w:r>
      <w:r>
        <w:t xml:space="preserve">Exim Bank Buyer’s Credit Facility (totalling $30 billion/INR) finances</w:t>
      </w:r>
      <w:r>
        <w:t xml:space="preserve"> </w:t>
      </w:r>
      <w:r>
        <w:t xml:space="preserve">Indian equipment and services for infrastructure projects. The Export</w:t>
      </w:r>
      <w:r>
        <w:t xml:space="preserve"> </w:t>
      </w:r>
      <w:r>
        <w:t xml:space="preserve">Development Fund provides credit to Iranian importers of Indian goods.</w:t>
      </w:r>
    </w:p>
    <w:p>
      <w:pPr>
        <w:pStyle w:val="BodyText"/>
      </w:pPr>
      <w:r>
        <w:t xml:space="preserve">Type: Buyer’s Credit/Investment | Est. Allocation: $1-3B | Application:</w:t>
      </w:r>
      <w:r>
        <w:t xml:space="preserve"> </w:t>
      </w:r>
      <w:r>
        <w:t xml:space="preserve">Through India Exim Bank credit lines and Chabahar port joint development</w:t>
      </w:r>
      <w:r>
        <w:t xml:space="preserve"> </w:t>
      </w:r>
      <w:r>
        <w:t xml:space="preserve">framework | Focus: Ports, railways, transport, energy infrastructure,</w:t>
      </w:r>
      <w:r>
        <w:t xml:space="preserve"> </w:t>
      </w:r>
      <w:r>
        <w:t xml:space="preserve">agricultural trade.</w:t>
      </w:r>
    </w:p>
    <w:p>
      <w:pPr>
        <w:pStyle w:val="BodyText"/>
      </w:pPr>
      <w:r>
        <w:t xml:space="preserve">Indonesia , Islamic Finance and BRICS Cooperation</w:t>
      </w:r>
    </w:p>
    <w:p>
      <w:pPr>
        <w:pStyle w:val="BodyText"/>
      </w:pPr>
      <w:r>
        <w:t xml:space="preserve">Indonesia is the world’s largest Muslim-majority nation and a BRICS</w:t>
      </w:r>
      <w:r>
        <w:t xml:space="preserve"> </w:t>
      </w:r>
      <w:r>
        <w:t xml:space="preserve">member. The Green Sukuk program has raised over $3.5 billion for</w:t>
      </w:r>
      <w:r>
        <w:t xml:space="preserve"> </w:t>
      </w:r>
      <w:r>
        <w:t xml:space="preserve">renewable energy, sustainable transport, and climate adaptation.</w:t>
      </w:r>
      <w:r>
        <w:t xml:space="preserve"> </w:t>
      </w:r>
      <w:r>
        <w:t xml:space="preserve">Indonesia Eximbank provides Shari’ah-compliant project finance.</w:t>
      </w:r>
    </w:p>
    <w:p>
      <w:pPr>
        <w:pStyle w:val="BodyText"/>
      </w:pPr>
      <w:r>
        <w:t xml:space="preserve">Type: Islamic Finance/Technical | Est. Allocation: $500M-1B |</w:t>
      </w:r>
      <w:r>
        <w:t xml:space="preserve"> </w:t>
      </w:r>
      <w:r>
        <w:t xml:space="preserve">Application: Through bilateral development cooperation and Islamic</w:t>
      </w:r>
      <w:r>
        <w:t xml:space="preserve"> </w:t>
      </w:r>
      <w:r>
        <w:t xml:space="preserve">finance advisory | Focus: Green Sukuk structuring, renewable energy,</w:t>
      </w:r>
      <w:r>
        <w:t xml:space="preserve"> </w:t>
      </w:r>
      <w:r>
        <w:t xml:space="preserve">climate adaptation.</w:t>
      </w:r>
    </w:p>
    <w:p>
      <w:pPr>
        <w:pStyle w:val="BodyText"/>
      </w:pPr>
      <w:r>
        <w:t xml:space="preserve">Japan , Japan International Cooperation Agency (JICA)</w:t>
      </w:r>
    </w:p>
    <w:p>
      <w:pPr>
        <w:pStyle w:val="BodyText"/>
      </w:pPr>
      <w:r>
        <w:t xml:space="preserve">Japan holds approximately $3 billion in frozen Iranian trade credits</w:t>
      </w:r>
      <w:r>
        <w:t xml:space="preserve"> </w:t>
      </w:r>
      <w:r>
        <w:t xml:space="preserve">eligible for the Frozen Asset Conversion Protocol. JICA implements</w:t>
      </w:r>
      <w:r>
        <w:t xml:space="preserve"> </w:t>
      </w:r>
      <w:r>
        <w:t xml:space="preserve">Japan’s ODA through concessional loans, grants, and technical</w:t>
      </w:r>
      <w:r>
        <w:t xml:space="preserve"> </w:t>
      </w:r>
      <w:r>
        <w:t xml:space="preserve">cooperation. JICA maintains expertise in infrastructure development,</w:t>
      </w:r>
      <w:r>
        <w:t xml:space="preserve"> </w:t>
      </w:r>
      <w:r>
        <w:t xml:space="preserve">disaster resilience, energy efficiency, and water resource management.</w:t>
      </w:r>
    </w:p>
    <w:p>
      <w:pPr>
        <w:pStyle w:val="BodyText"/>
      </w:pPr>
      <w:r>
        <w:t xml:space="preserve">Type: Concessional Loans/Grants/TA | Est. Allocation: $3-6B (including</w:t>
      </w:r>
      <w:r>
        <w:t xml:space="preserve"> </w:t>
      </w:r>
      <w:r>
        <w:t xml:space="preserve">frozen assets) | Application: Through JICA preliminary survey and</w:t>
      </w:r>
      <w:r>
        <w:t xml:space="preserve"> </w:t>
      </w:r>
      <w:r>
        <w:t xml:space="preserve">project formulation | Focus: Infrastructure, disaster resilience,</w:t>
      </w:r>
      <w:r>
        <w:t xml:space="preserve"> </w:t>
      </w:r>
      <w:r>
        <w:t xml:space="preserve">energy, water management.</w:t>
      </w:r>
    </w:p>
    <w:p>
      <w:pPr>
        <w:pStyle w:val="BodyText"/>
      </w:pPr>
      <w:r>
        <w:t xml:space="preserve">Kazakhstan , KazAID and Central Asia Cooperation</w:t>
      </w:r>
    </w:p>
    <w:p>
      <w:pPr>
        <w:pStyle w:val="BodyText"/>
      </w:pPr>
      <w:r>
        <w:t xml:space="preserve">Kazakhstan and Iran are both members of the OIC, the ECO, and the SCO.</w:t>
      </w:r>
      <w:r>
        <w:t xml:space="preserve"> </w:t>
      </w:r>
      <w:r>
        <w:t xml:space="preserve">Kazakhstan operates KazAID as its official development assistance agency</w:t>
      </w:r>
      <w:r>
        <w:t xml:space="preserve"> </w:t>
      </w:r>
      <w:r>
        <w:t xml:space="preserve">with a mandate for technical assistance, education, and regional</w:t>
      </w:r>
      <w:r>
        <w:t xml:space="preserve"> </w:t>
      </w:r>
      <w:r>
        <w:t xml:space="preserve">development. Kazakhstan’s ODA reached US$50.4 million in 2024, with</w:t>
      </w:r>
      <w:r>
        <w:t xml:space="preserve"> </w:t>
      </w:r>
      <w:r>
        <w:t xml:space="preserve">83.9% delivered bilaterally. Kazakhstan committed approximately US$500</w:t>
      </w:r>
      <w:r>
        <w:t xml:space="preserve"> </w:t>
      </w:r>
      <w:r>
        <w:t xml:space="preserve">million for a Kazakhstan-Turkmenistan-Afghanistan railway through the</w:t>
      </w:r>
      <w:r>
        <w:t xml:space="preserve"> </w:t>
      </w:r>
      <w:r>
        <w:t xml:space="preserve">Islamic Development Bank. Kazakhstan and Iran are key partners in the</w:t>
      </w:r>
      <w:r>
        <w:t xml:space="preserve"> </w:t>
      </w:r>
      <w:r>
        <w:t xml:space="preserve">International North-South Transport Corridor (INSTC), which recorded a</w:t>
      </w:r>
      <w:r>
        <w:t xml:space="preserve"> </w:t>
      </w:r>
      <w:r>
        <w:t xml:space="preserve">53% traffic increase in 2025. See also Appendix I Section I.7 for</w:t>
      </w:r>
      <w:r>
        <w:t xml:space="preserve"> </w:t>
      </w:r>
      <w:r>
        <w:t xml:space="preserve">Kazakhstan’s sovereign wealth fund, development bank, and bilateral</w:t>
      </w:r>
      <w:r>
        <w:t xml:space="preserve"> </w:t>
      </w:r>
      <w:r>
        <w:t xml:space="preserve">investment framework.</w:t>
      </w:r>
    </w:p>
    <w:p>
      <w:pPr>
        <w:pStyle w:val="BodyText"/>
      </w:pPr>
      <w:r>
        <w:t xml:space="preserve">Type: Technical Assistance / Regional Loans / INSTC Corridor Finance |</w:t>
      </w:r>
      <w:r>
        <w:t xml:space="preserve"> </w:t>
      </w:r>
      <w:r>
        <w:t xml:space="preserve">Est. Allocation: $200-500M | Application: Through KazAID, IsDB regional</w:t>
      </w:r>
      <w:r>
        <w:t xml:space="preserve"> </w:t>
      </w:r>
      <w:r>
        <w:t xml:space="preserve">programs, and INSTC intergovernmental agreements | Focus: Transport</w:t>
      </w:r>
      <w:r>
        <w:t xml:space="preserve"> </w:t>
      </w:r>
      <w:r>
        <w:t xml:space="preserve">corridors, regional connectivity, technical assistance, co-investment in</w:t>
      </w:r>
      <w:r>
        <w:t xml:space="preserve"> </w:t>
      </w:r>
      <w:r>
        <w:t xml:space="preserve">corridor infrastructure.</w:t>
      </w:r>
    </w:p>
    <w:p>
      <w:pPr>
        <w:pStyle w:val="BodyText"/>
      </w:pPr>
      <w:r>
        <w:t xml:space="preserve">Malaysia , Islamic Finance and Sukuk Expertise</w:t>
      </w:r>
    </w:p>
    <w:p>
      <w:pPr>
        <w:pStyle w:val="BodyText"/>
      </w:pPr>
      <w:r>
        <w:t xml:space="preserve">Malaysia is a global leader in Islamic finance and sukuk issuance, with</w:t>
      </w:r>
      <w:r>
        <w:t xml:space="preserve"> </w:t>
      </w:r>
      <w:r>
        <w:t xml:space="preserve">the world’s largest sukuk market. Malaysia Issued Investment Development</w:t>
      </w:r>
      <w:r>
        <w:t xml:space="preserve"> </w:t>
      </w:r>
      <w:r>
        <w:t xml:space="preserve">Authority (MIDA) promotes outward investment. The Malaysian Islamic</w:t>
      </w:r>
      <w:r>
        <w:t xml:space="preserve"> </w:t>
      </w:r>
      <w:r>
        <w:t xml:space="preserve">finance sector provides expertise in structuring Shari’ah-compliant</w:t>
      </w:r>
      <w:r>
        <w:t xml:space="preserve"> </w:t>
      </w:r>
      <w:r>
        <w:t xml:space="preserve">infrastructure finance instruments applicable to Iranian reconstruction.</w:t>
      </w:r>
    </w:p>
    <w:p>
      <w:pPr>
        <w:pStyle w:val="BodyText"/>
      </w:pPr>
      <w:r>
        <w:t xml:space="preserve">Type: Islamic Finance Advisory/Technical | Est. Allocation: $200-500M |</w:t>
      </w:r>
      <w:r>
        <w:t xml:space="preserve"> </w:t>
      </w:r>
      <w:r>
        <w:t xml:space="preserve">Application: Through bilateral Islamic finance cooperation and MIDA</w:t>
      </w:r>
      <w:r>
        <w:t xml:space="preserve"> </w:t>
      </w:r>
      <w:r>
        <w:t xml:space="preserve">investment promotion | Focus: Sukuk structuring, Islamic project</w:t>
      </w:r>
      <w:r>
        <w:t xml:space="preserve"> </w:t>
      </w:r>
      <w:r>
        <w:t xml:space="preserve">finance, technical assistance.</w:t>
      </w:r>
    </w:p>
    <w:p>
      <w:pPr>
        <w:pStyle w:val="BodyText"/>
      </w:pPr>
      <w:r>
        <w:t xml:space="preserve">New Zealand , Ministry of Foreign Affairs and Trade (MFAT)</w:t>
      </w:r>
    </w:p>
    <w:p>
      <w:pPr>
        <w:pStyle w:val="BodyText"/>
      </w:pPr>
      <w:r>
        <w:t xml:space="preserve">New Zealand’s International Development Cooperation Programme operates</w:t>
      </w:r>
      <w:r>
        <w:t xml:space="preserve"> </w:t>
      </w:r>
      <w:r>
        <w:t xml:space="preserve">on a three-year triennium with total funding of NZD 3.06 billion for</w:t>
      </w:r>
      <w:r>
        <w:t xml:space="preserve"> </w:t>
      </w:r>
      <w:r>
        <w:t xml:space="preserve">2024-2027. MFAT provides humanitarian assistance through the UN system,</w:t>
      </w:r>
      <w:r>
        <w:t xml:space="preserve"> </w:t>
      </w:r>
      <w:r>
        <w:t xml:space="preserve">ICRC, and international NGOs. New Zealand channels funding through</w:t>
      </w:r>
      <w:r>
        <w:t xml:space="preserve"> </w:t>
      </w:r>
      <w:r>
        <w:t xml:space="preserve">multilateral trust funds.</w:t>
      </w:r>
    </w:p>
    <w:p>
      <w:pPr>
        <w:pStyle w:val="BodyText"/>
      </w:pPr>
      <w:r>
        <w:t xml:space="preserve">Type: Humanitarian/Multilateral | Est. Allocation: $20-40M |</w:t>
      </w:r>
      <w:r>
        <w:t xml:space="preserve"> </w:t>
      </w:r>
      <w:r>
        <w:t xml:space="preserve">Application: Through multilateral trust funds and humanitarian channels</w:t>
      </w:r>
      <w:r>
        <w:t xml:space="preserve"> </w:t>
      </w:r>
      <w:r>
        <w:t xml:space="preserve">| Focus: Humanitarian assistance, climate adaptation, governance.</w:t>
      </w:r>
    </w:p>
    <w:p>
      <w:pPr>
        <w:pStyle w:val="BodyText"/>
      </w:pPr>
      <w:r>
        <w:t xml:space="preserve">Pakistan , Joint Economic Commission and Bilateral Cooperation</w:t>
      </w:r>
    </w:p>
    <w:p>
      <w:pPr>
        <w:pStyle w:val="BodyText"/>
      </w:pPr>
      <w:r>
        <w:t xml:space="preserve">Pakistan and Iran maintain a Joint Economic Committee (JEC) with a</w:t>
      </w:r>
      <w:r>
        <w:t xml:space="preserve"> </w:t>
      </w:r>
      <w:r>
        <w:t xml:space="preserve">bilateral trade target of $10 billion. The Iran-Pakistan Gas Pipeline</w:t>
      </w:r>
      <w:r>
        <w:t xml:space="preserve"> </w:t>
      </w:r>
      <w:r>
        <w:t xml:space="preserve">(Peace Pipeline) is a major bilateral infrastructure project. Pakistan</w:t>
      </w:r>
      <w:r>
        <w:t xml:space="preserve"> </w:t>
      </w:r>
      <w:r>
        <w:t xml:space="preserve">offers technical cooperation in agriculture, rural development, and</w:t>
      </w:r>
      <w:r>
        <w:t xml:space="preserve"> </w:t>
      </w:r>
      <w:r>
        <w:t xml:space="preserve">low-cost construction methodologies applicable to Iranian</w:t>
      </w:r>
      <w:r>
        <w:t xml:space="preserve"> </w:t>
      </w:r>
      <w:r>
        <w:t xml:space="preserve">reconstruction.</w:t>
      </w:r>
    </w:p>
    <w:p>
      <w:pPr>
        <w:pStyle w:val="BodyText"/>
      </w:pPr>
      <w:r>
        <w:t xml:space="preserve">Type: Bilateral/Regional | Est. Allocation: $200-500M | Application:</w:t>
      </w:r>
      <w:r>
        <w:t xml:space="preserve"> </w:t>
      </w:r>
      <w:r>
        <w:t xml:space="preserve">Through JEC mechanisms and bilateral project agreements | Focus:</w:t>
      </w:r>
      <w:r>
        <w:t xml:space="preserve"> </w:t>
      </w:r>
      <w:r>
        <w:t xml:space="preserve">Transport corridors, energy infrastructure, agriculture, rural</w:t>
      </w:r>
      <w:r>
        <w:t xml:space="preserve"> </w:t>
      </w:r>
      <w:r>
        <w:t xml:space="preserve">development.</w:t>
      </w:r>
    </w:p>
    <w:p>
      <w:pPr>
        <w:pStyle w:val="BodyText"/>
      </w:pPr>
      <w:r>
        <w:t xml:space="preserve">Singapore , Temasek and GIC Sovereign Investment</w:t>
      </w:r>
    </w:p>
    <w:p>
      <w:pPr>
        <w:pStyle w:val="BodyText"/>
      </w:pPr>
      <w:r>
        <w:t xml:space="preserve">GIC manages Singapore’s sovereign wealth with a diversified global</w:t>
      </w:r>
      <w:r>
        <w:t xml:space="preserve"> </w:t>
      </w:r>
      <w:r>
        <w:t xml:space="preserve">portfolio. GIC deployed over $13.7 billion in digitalization and</w:t>
      </w:r>
      <w:r>
        <w:t xml:space="preserve"> </w:t>
      </w:r>
      <w:r>
        <w:t xml:space="preserve">AI-related infrastructure in 2025 alone. GIC has stated interest in</w:t>
      </w:r>
      <w:r>
        <w:t xml:space="preserve"> </w:t>
      </w:r>
      <w:r>
        <w:t xml:space="preserve">energy transition infrastructure and sustainable development projects.</w:t>
      </w:r>
      <w:r>
        <w:t xml:space="preserve"> </w:t>
      </w:r>
      <w:r>
        <w:t xml:space="preserve">GIC participates through direct investment or co-investment arrangements</w:t>
      </w:r>
      <w:r>
        <w:t xml:space="preserve"> </w:t>
      </w:r>
      <w:r>
        <w:t xml:space="preserve">with the MRF.</w:t>
      </w:r>
    </w:p>
    <w:p>
      <w:pPr>
        <w:pStyle w:val="BodyText"/>
      </w:pPr>
      <w:r>
        <w:t xml:space="preserve">Type: Sovereign Investment/Co-investment | Est. Allocation: $500M-2B |</w:t>
      </w:r>
      <w:r>
        <w:t xml:space="preserve"> </w:t>
      </w:r>
      <w:r>
        <w:t xml:space="preserve">Application: Through direct investment or co-investment with MRF</w:t>
      </w:r>
      <w:r>
        <w:t xml:space="preserve"> </w:t>
      </w:r>
      <w:r>
        <w:t xml:space="preserve">contributors | Focus: Infrastructure, energy transition, sustainable</w:t>
      </w:r>
      <w:r>
        <w:t xml:space="preserve"> </w:t>
      </w:r>
      <w:r>
        <w:t xml:space="preserve">development.</w:t>
      </w:r>
    </w:p>
    <w:p>
      <w:pPr>
        <w:pStyle w:val="BodyText"/>
      </w:pPr>
      <w:r>
        <w:t xml:space="preserve">South Korea , Economic Development Cooperation Fund (EDCF)</w:t>
      </w:r>
    </w:p>
    <w:p>
      <w:pPr>
        <w:pStyle w:val="BodyText"/>
      </w:pPr>
      <w:r>
        <w:t xml:space="preserve">South Korea established a dedicated</w:t>
      </w:r>
      <w:r>
        <w:t xml:space="preserve"> </w:t>
      </w:r>
      <w:r>
        <w:t xml:space="preserve">“</w:t>
      </w:r>
      <w:r>
        <w:t xml:space="preserve">Korea-Middle East Comprehensive</w:t>
      </w:r>
      <w:r>
        <w:t xml:space="preserve"> </w:t>
      </w:r>
      <w:r>
        <w:t xml:space="preserve">Economic Cooperation Team</w:t>
      </w:r>
      <w:r>
        <w:t xml:space="preserve">”</w:t>
      </w:r>
      <w:r>
        <w:t xml:space="preserve"> </w:t>
      </w:r>
      <w:r>
        <w:t xml:space="preserve">for post-war reconstruction. Seoul confirmed</w:t>
      </w:r>
      <w:r>
        <w:t xml:space="preserve"> </w:t>
      </w:r>
      <w:r>
        <w:t xml:space="preserve">active preparation for post-war reconstruction. Korea holds</w:t>
      </w:r>
      <w:r>
        <w:t xml:space="preserve"> </w:t>
      </w:r>
      <w:r>
        <w:t xml:space="preserve">approximately $6 billion in frozen Iranian oil payments. Korean</w:t>
      </w:r>
      <w:r>
        <w:t xml:space="preserve"> </w:t>
      </w:r>
      <w:r>
        <w:t xml:space="preserve">construction firms (Samsung C&amp;T, Hyundai E&amp;C, POSCO E&amp;C, Daewoo E&amp;C) are</w:t>
      </w:r>
      <w:r>
        <w:t xml:space="preserve"> </w:t>
      </w:r>
      <w:r>
        <w:t xml:space="preserve">world leaders in post-conflict rebuilding.</w:t>
      </w:r>
    </w:p>
    <w:p>
      <w:pPr>
        <w:pStyle w:val="BodyText"/>
      </w:pPr>
      <w:r>
        <w:t xml:space="preserve">Type: Concessional Loans/Frozen Assets | Est. Allocation: $3-8B |</w:t>
      </w:r>
      <w:r>
        <w:t xml:space="preserve"> </w:t>
      </w:r>
      <w:r>
        <w:t xml:space="preserve">Application: Through KEXIM credit lines, EDCF, and Frozen Asset</w:t>
      </w:r>
      <w:r>
        <w:t xml:space="preserve"> </w:t>
      </w:r>
      <w:r>
        <w:t xml:space="preserve">Conversion Protocol | Focus: Transport, power generation, water</w:t>
      </w:r>
      <w:r>
        <w:t xml:space="preserve"> </w:t>
      </w:r>
      <w:r>
        <w:t xml:space="preserve">treatment, telecommunications, hospitals.</w:t>
      </w:r>
    </w:p>
    <w:p>
      <w:pPr>
        <w:pStyle w:val="BodyText"/>
      </w:pPr>
      <w:r>
        <w:t xml:space="preserve">Thailand , Thailand International Development Cooperation Agency (TICA)</w:t>
      </w:r>
    </w:p>
    <w:p>
      <w:pPr>
        <w:pStyle w:val="BodyText"/>
      </w:pPr>
      <w:r>
        <w:t xml:space="preserve">Thailand provided USD 67.9 million of ODA in 2023 through TICA. TICA</w:t>
      </w:r>
      <w:r>
        <w:t xml:space="preserve"> </w:t>
      </w:r>
      <w:r>
        <w:t xml:space="preserve">focuses on health security, job security, food security, and</w:t>
      </w:r>
      <w:r>
        <w:t xml:space="preserve"> </w:t>
      </w:r>
      <w:r>
        <w:t xml:space="preserve">energy/environmental security. The Neighbouring Countries Economic</w:t>
      </w:r>
      <w:r>
        <w:t xml:space="preserve"> </w:t>
      </w:r>
      <w:r>
        <w:t xml:space="preserve">Development Cooperation Agency (NEDA) provides concessional loans for</w:t>
      </w:r>
      <w:r>
        <w:t xml:space="preserve"> </w:t>
      </w:r>
      <w:r>
        <w:t xml:space="preserve">connectivity projects. The Export-Import Bank of Thailand offers</w:t>
      </w:r>
      <w:r>
        <w:t xml:space="preserve"> </w:t>
      </w:r>
      <w:r>
        <w:t xml:space="preserve">concessional loans to developing countries.</w:t>
      </w:r>
    </w:p>
    <w:p>
      <w:pPr>
        <w:pStyle w:val="BodyText"/>
      </w:pPr>
      <w:r>
        <w:t xml:space="preserve">Type: Technical Assistance/Concessional Loans | Est. Allocation:</w:t>
      </w:r>
      <w:r>
        <w:t xml:space="preserve"> </w:t>
      </w:r>
      <w:r>
        <w:t xml:space="preserve">$50-100M | Application: Through TICA technical cooperation and NEDA</w:t>
      </w:r>
      <w:r>
        <w:t xml:space="preserve"> </w:t>
      </w:r>
      <w:r>
        <w:t xml:space="preserve">connectivity loans | Focus: Health security, food security, energy,</w:t>
      </w:r>
      <w:r>
        <w:t xml:space="preserve"> </w:t>
      </w:r>
      <w:r>
        <w:t xml:space="preserve">transport connectivity.</w:t>
      </w:r>
    </w:p>
    <w:p>
      <w:pPr>
        <w:pStyle w:val="BodyText"/>
      </w:pPr>
      <w:r>
        <w:t xml:space="preserve">Vietnam , Bilateral Cooperation and South-South Exchange</w:t>
      </w:r>
    </w:p>
    <w:p>
      <w:pPr>
        <w:pStyle w:val="BodyText"/>
      </w:pPr>
      <w:r>
        <w:t xml:space="preserve">Vietnam and Iran celebrated 50 years of diplomatic relations in 2023.</w:t>
      </w:r>
      <w:r>
        <w:t xml:space="preserve"> </w:t>
      </w:r>
      <w:r>
        <w:t xml:space="preserve">Vietnam offers South-South cooperation expertise in post-sanctions</w:t>
      </w:r>
      <w:r>
        <w:t xml:space="preserve"> </w:t>
      </w:r>
      <w:r>
        <w:t xml:space="preserve">economic recovery, having transformed from a war-torn, isolated nation</w:t>
      </w:r>
      <w:r>
        <w:t xml:space="preserve"> </w:t>
      </w:r>
      <w:r>
        <w:t xml:space="preserve">to a $410 billion GDP economy ranked 48th globally. Vietnam provides</w:t>
      </w:r>
      <w:r>
        <w:t xml:space="preserve"> </w:t>
      </w:r>
      <w:r>
        <w:t xml:space="preserve">technical cooperation in agricultural development, ICT, and</w:t>
      </w:r>
      <w:r>
        <w:t xml:space="preserve"> </w:t>
      </w:r>
      <w:r>
        <w:t xml:space="preserve">post-conflict economic transition.</w:t>
      </w:r>
    </w:p>
    <w:p>
      <w:pPr>
        <w:pStyle w:val="BodyText"/>
      </w:pPr>
      <w:r>
        <w:t xml:space="preserve">Type: Technical Assistance/South-South | Est. Allocation: $50-100M |</w:t>
      </w:r>
      <w:r>
        <w:t xml:space="preserve"> </w:t>
      </w:r>
      <w:r>
        <w:t xml:space="preserve">Application: Through bilateral cooperation frameworks and</w:t>
      </w:r>
      <w:r>
        <w:t xml:space="preserve"> </w:t>
      </w:r>
      <w:r>
        <w:t xml:space="preserve">Inter-Governmental Committee | Focus: Agricultural technology, ICT,</w:t>
      </w:r>
      <w:r>
        <w:t xml:space="preserve"> </w:t>
      </w:r>
      <w:r>
        <w:t xml:space="preserve">economic transition expertise.</w:t>
      </w:r>
    </w:p>
    <w:p>
      <w:pPr>
        <w:pStyle w:val="BodyText"/>
      </w:pPr>
      <w:r>
        <w:t xml:space="preserve">I.2 Europe and North America (OECD DAC Donors)</w:t>
      </w:r>
    </w:p>
    <w:p>
      <w:pPr>
        <w:pStyle w:val="BodyText"/>
      </w:pPr>
      <w:r>
        <w:t xml:space="preserve">The following countries are members of the OECD Development Assistance</w:t>
      </w:r>
      <w:r>
        <w:t xml:space="preserve"> </w:t>
      </w:r>
      <w:r>
        <w:t xml:space="preserve">Committee (DAC) and maintain official development assistance programs.</w:t>
      </w:r>
      <w:r>
        <w:t xml:space="preserve"> </w:t>
      </w:r>
      <w:r>
        <w:t xml:space="preserve">Many channel funding through multilateral institutions and humanitarian</w:t>
      </w:r>
      <w:r>
        <w:t xml:space="preserve"> </w:t>
      </w:r>
      <w:r>
        <w:t xml:space="preserve">organizations rather than direct bilateral programs for Iran.</w:t>
      </w:r>
    </w:p>
    <w:p>
      <w:pPr>
        <w:pStyle w:val="BodyText"/>
      </w:pPr>
      <w:r>
        <w:t xml:space="preserve">Austria , Austrian Development Agency (ADA)</w:t>
      </w:r>
    </w:p>
    <w:p>
      <w:pPr>
        <w:pStyle w:val="BodyText"/>
      </w:pPr>
      <w:r>
        <w:t xml:space="preserve">Austria provided USD 2.1 billion in ODA in 2023 (0.87% of GNI). ADA</w:t>
      </w:r>
      <w:r>
        <w:t xml:space="preserve"> </w:t>
      </w:r>
      <w:r>
        <w:t xml:space="preserve">focuses on water, energy, private sector development, and</w:t>
      </w:r>
      <w:r>
        <w:t xml:space="preserve"> </w:t>
      </w:r>
      <w:r>
        <w:t xml:space="preserve">peace/security. Austria channels significant funding through</w:t>
      </w:r>
      <w:r>
        <w:t xml:space="preserve"> </w:t>
      </w:r>
      <w:r>
        <w:t xml:space="preserve">multilateral organizations and humanitarian agencies.</w:t>
      </w:r>
    </w:p>
    <w:p>
      <w:pPr>
        <w:pStyle w:val="BodyText"/>
      </w:pPr>
      <w:r>
        <w:t xml:space="preserve">Type: Multilateral/Humanitarian | Est. Allocation: $20-40M |</w:t>
      </w:r>
      <w:r>
        <w:t xml:space="preserve"> </w:t>
      </w:r>
      <w:r>
        <w:t xml:space="preserve">Application: Through multilateral trust funds and UN agencies | Focus:</w:t>
      </w:r>
      <w:r>
        <w:t xml:space="preserve"> </w:t>
      </w:r>
      <w:r>
        <w:t xml:space="preserve">Water, energy, humanitarian assistance.</w:t>
      </w:r>
    </w:p>
    <w:p>
      <w:pPr>
        <w:pStyle w:val="BodyText"/>
      </w:pPr>
      <w:r>
        <w:t xml:space="preserve">Belgium , Directorate-General for Development Cooperation (DGD)</w:t>
      </w:r>
    </w:p>
    <w:p>
      <w:pPr>
        <w:pStyle w:val="BodyText"/>
      </w:pPr>
      <w:r>
        <w:t xml:space="preserve">Belgium provided USD 2.8 billion in ODA in 2023 (0.45% of GNI). Belgium</w:t>
      </w:r>
      <w:r>
        <w:t xml:space="preserve"> </w:t>
      </w:r>
      <w:r>
        <w:t xml:space="preserve">channels the majority of its development spending through multilateral</w:t>
      </w:r>
      <w:r>
        <w:t xml:space="preserve"> </w:t>
      </w:r>
      <w:r>
        <w:t xml:space="preserve">institutions and prioritizes humanitarian assistance, education, and</w:t>
      </w:r>
      <w:r>
        <w:t xml:space="preserve"> </w:t>
      </w:r>
      <w:r>
        <w:t xml:space="preserve">health.</w:t>
      </w:r>
    </w:p>
    <w:p>
      <w:pPr>
        <w:pStyle w:val="BodyText"/>
      </w:pPr>
      <w:r>
        <w:t xml:space="preserve">Type: Multilateral/Humanitarian | Est. Allocation: $30-60M |</w:t>
      </w:r>
      <w:r>
        <w:t xml:space="preserve"> </w:t>
      </w:r>
      <w:r>
        <w:t xml:space="preserve">Application: Through Belgian Development Cooperation multilateral</w:t>
      </w:r>
      <w:r>
        <w:t xml:space="preserve"> </w:t>
      </w:r>
      <w:r>
        <w:t xml:space="preserve">channels | Focus: Humanitarian assistance, health, education.</w:t>
      </w:r>
    </w:p>
    <w:p>
      <w:pPr>
        <w:pStyle w:val="BodyText"/>
      </w:pPr>
      <w:r>
        <w:t xml:space="preserve">Czech Republic , Czech Development Agency (CzDA)</w:t>
      </w:r>
    </w:p>
    <w:p>
      <w:pPr>
        <w:pStyle w:val="BodyText"/>
      </w:pPr>
      <w:r>
        <w:t xml:space="preserve">The Czech Republic provided USD 437 million in ODA in 2023 (0.13% of</w:t>
      </w:r>
      <w:r>
        <w:t xml:space="preserve"> </w:t>
      </w:r>
      <w:r>
        <w:t xml:space="preserve">GNI). CzDA focuses on private sector development, education,</w:t>
      </w:r>
      <w:r>
        <w:t xml:space="preserve"> </w:t>
      </w:r>
      <w:r>
        <w:t xml:space="preserve">agriculture, and good governance. The Czech Republic participates in EU</w:t>
      </w:r>
      <w:r>
        <w:t xml:space="preserve"> </w:t>
      </w:r>
      <w:r>
        <w:t xml:space="preserve">joint programming for reconstruction assistance.</w:t>
      </w:r>
    </w:p>
    <w:p>
      <w:pPr>
        <w:pStyle w:val="BodyText"/>
      </w:pPr>
      <w:r>
        <w:t xml:space="preserve">Type: EU Joint Programming | Est. Allocation: $10-20M | Application:</w:t>
      </w:r>
      <w:r>
        <w:t xml:space="preserve"> </w:t>
      </w:r>
      <w:r>
        <w:t xml:space="preserve">Through EU joint programming and multilateral channels | Focus: Private</w:t>
      </w:r>
      <w:r>
        <w:t xml:space="preserve"> </w:t>
      </w:r>
      <w:r>
        <w:t xml:space="preserve">sector, governance, education.</w:t>
      </w:r>
    </w:p>
    <w:p>
      <w:pPr>
        <w:pStyle w:val="BodyText"/>
      </w:pPr>
      <w:r>
        <w:t xml:space="preserve">Denmark , Danida</w:t>
      </w:r>
    </w:p>
    <w:p>
      <w:pPr>
        <w:pStyle w:val="BodyText"/>
      </w:pPr>
      <w:r>
        <w:t xml:space="preserve">Denmark provided USD 3.1 billion in ODA in 2023 (0.74% of GNI). Denmark</w:t>
      </w:r>
      <w:r>
        <w:t xml:space="preserve"> </w:t>
      </w:r>
      <w:r>
        <w:t xml:space="preserve">channels over 70% of bilateral ODA through multilateral organizations.</w:t>
      </w:r>
      <w:r>
        <w:t xml:space="preserve"> </w:t>
      </w:r>
      <w:r>
        <w:t xml:space="preserve">Focus areas include green growth, democracy, humanitarian assistance,</w:t>
      </w:r>
      <w:r>
        <w:t xml:space="preserve"> </w:t>
      </w:r>
      <w:r>
        <w:t xml:space="preserve">and migration.</w:t>
      </w:r>
    </w:p>
    <w:p>
      <w:pPr>
        <w:pStyle w:val="BodyText"/>
      </w:pPr>
      <w:r>
        <w:t xml:space="preserve">Type: Multilateral/Humanitarian | Est. Allocation: $30-60M |</w:t>
      </w:r>
      <w:r>
        <w:t xml:space="preserve"> </w:t>
      </w:r>
      <w:r>
        <w:t xml:space="preserve">Application: Through Danida multilateral trust funds and humanitarian</w:t>
      </w:r>
      <w:r>
        <w:t xml:space="preserve"> </w:t>
      </w:r>
      <w:r>
        <w:t xml:space="preserve">channels | Focus: Climate, governance, humanitarian assistance.</w:t>
      </w:r>
    </w:p>
    <w:p>
      <w:pPr>
        <w:pStyle w:val="BodyText"/>
      </w:pPr>
      <w:r>
        <w:t xml:space="preserve">Finland , Ministry for Foreign Affairs Development Policy</w:t>
      </w:r>
    </w:p>
    <w:p>
      <w:pPr>
        <w:pStyle w:val="BodyText"/>
      </w:pPr>
      <w:r>
        <w:t xml:space="preserve">Finland provided USD 1.3 billion in ODA in 2023 (0.43% of GNI). Finland</w:t>
      </w:r>
      <w:r>
        <w:t xml:space="preserve"> </w:t>
      </w:r>
      <w:r>
        <w:t xml:space="preserve">prioritizes gender equality, education, peacebuilding, and climate</w:t>
      </w:r>
      <w:r>
        <w:t xml:space="preserve"> </w:t>
      </w:r>
      <w:r>
        <w:t xml:space="preserve">action. Finnish development cooperation channels significant funding</w:t>
      </w:r>
      <w:r>
        <w:t xml:space="preserve"> </w:t>
      </w:r>
      <w:r>
        <w:t xml:space="preserve">through the UN system and World Bank.</w:t>
      </w:r>
    </w:p>
    <w:p>
      <w:pPr>
        <w:pStyle w:val="BodyText"/>
      </w:pPr>
      <w:r>
        <w:t xml:space="preserve">Type: Multilateral | Est. Allocation: $20-40M | Application: Through UN</w:t>
      </w:r>
      <w:r>
        <w:t xml:space="preserve"> </w:t>
      </w:r>
      <w:r>
        <w:t xml:space="preserve">and World Bank trust funds | Focus: Peacebuilding, education, climate.</w:t>
      </w:r>
    </w:p>
    <w:p>
      <w:pPr>
        <w:pStyle w:val="BodyText"/>
      </w:pPr>
      <w:r>
        <w:t xml:space="preserve">Germany , KfW Development Bank and GIZ</w:t>
      </w:r>
    </w:p>
    <w:p>
      <w:pPr>
        <w:pStyle w:val="BodyText"/>
      </w:pPr>
      <w:r>
        <w:t xml:space="preserve">Germany is the second-largest DAC donor with USD 37.8 billion in ODA in</w:t>
      </w:r>
      <w:r>
        <w:t xml:space="preserve"> </w:t>
      </w:r>
      <w:r>
        <w:t xml:space="preserve">2023 (0.79% of GNI). KfW provides concessional loans and grants for</w:t>
      </w:r>
      <w:r>
        <w:t xml:space="preserve"> </w:t>
      </w:r>
      <w:r>
        <w:t xml:space="preserve">infrastructure, energy, water, and financial systems. GIZ delivers</w:t>
      </w:r>
      <w:r>
        <w:t xml:space="preserve"> </w:t>
      </w:r>
      <w:r>
        <w:t xml:space="preserve">advisory services, capacity building, and technical expertise. KfW</w:t>
      </w:r>
      <w:r>
        <w:t xml:space="preserve"> </w:t>
      </w:r>
      <w:r>
        <w:t xml:space="preserve">commitments for reconstruction contexts typically range from EUR 200</w:t>
      </w:r>
      <w:r>
        <w:t xml:space="preserve"> </w:t>
      </w:r>
      <w:r>
        <w:t xml:space="preserve">million to EUR 1 billion per country program.</w:t>
      </w:r>
    </w:p>
    <w:p>
      <w:pPr>
        <w:pStyle w:val="BodyText"/>
      </w:pPr>
      <w:r>
        <w:t xml:space="preserve">Type: Concessional Loans/Grants/TA | Est. Allocation: $1-3B |</w:t>
      </w:r>
      <w:r>
        <w:t xml:space="preserve"> </w:t>
      </w:r>
      <w:r>
        <w:t xml:space="preserve">Application: Through government-to-government request to BMZ | Focus:</w:t>
      </w:r>
      <w:r>
        <w:t xml:space="preserve"> </w:t>
      </w:r>
      <w:r>
        <w:t xml:space="preserve">Energy, water, sustainable infrastructure, vocational training,</w:t>
      </w:r>
      <w:r>
        <w:t xml:space="preserve"> </w:t>
      </w:r>
      <w:r>
        <w:t xml:space="preserve">governance.</w:t>
      </w:r>
    </w:p>
    <w:p>
      <w:pPr>
        <w:pStyle w:val="BodyText"/>
      </w:pPr>
      <w:r>
        <w:t xml:space="preserve">Greece , Hellenic Aid</w:t>
      </w:r>
    </w:p>
    <w:p>
      <w:pPr>
        <w:pStyle w:val="BodyText"/>
      </w:pPr>
      <w:r>
        <w:t xml:space="preserve">Greece provided USD 360 million in ODA in 2023 (0.14% of GNI). Greece</w:t>
      </w:r>
      <w:r>
        <w:t xml:space="preserve"> </w:t>
      </w:r>
      <w:r>
        <w:t xml:space="preserve">channels development cooperation through multilateral organizations and</w:t>
      </w:r>
      <w:r>
        <w:t xml:space="preserve"> </w:t>
      </w:r>
      <w:r>
        <w:t xml:space="preserve">the EU. Greece participates in EU joint programming for humanitarian</w:t>
      </w:r>
      <w:r>
        <w:t xml:space="preserve"> </w:t>
      </w:r>
      <w:r>
        <w:t xml:space="preserve">assistance and refugee support.</w:t>
      </w:r>
    </w:p>
    <w:p>
      <w:pPr>
        <w:pStyle w:val="BodyText"/>
      </w:pPr>
      <w:r>
        <w:t xml:space="preserve">Type: EU Joint Programming | Est. Allocation: $10-20M | Application:</w:t>
      </w:r>
      <w:r>
        <w:t xml:space="preserve"> </w:t>
      </w:r>
      <w:r>
        <w:t xml:space="preserve">Through EU joint programming | Focus: Humanitarian assistance, refugee</w:t>
      </w:r>
      <w:r>
        <w:t xml:space="preserve"> </w:t>
      </w:r>
      <w:r>
        <w:t xml:space="preserve">support.</w:t>
      </w:r>
    </w:p>
    <w:p>
      <w:pPr>
        <w:pStyle w:val="BodyText"/>
      </w:pPr>
      <w:r>
        <w:t xml:space="preserve">Hungary , Hungary Helps Program / Eximbank / Demjan Sandor Program</w:t>
      </w:r>
    </w:p>
    <w:p>
      <w:pPr>
        <w:pStyle w:val="BodyText"/>
      </w:pPr>
      <w:r>
        <w:t xml:space="preserve">Hungary’s ODA declined from 0.13% of GNI in 2024 to an estimated 0.09%</w:t>
      </w:r>
      <w:r>
        <w:t xml:space="preserve"> </w:t>
      </w:r>
      <w:r>
        <w:t xml:space="preserve">in 2025, with total bilateral ODA of approximately $221 million in 2023.</w:t>
      </w:r>
      <w:r>
        <w:t xml:space="preserve"> </w:t>
      </w:r>
      <w:r>
        <w:t xml:space="preserve">Hungary channels 80% of its ODA bilaterally, with 48% spent on</w:t>
      </w:r>
      <w:r>
        <w:t xml:space="preserve"> </w:t>
      </w:r>
      <w:r>
        <w:t xml:space="preserve">scholarships and training in Hungary. Hungary holds a unique position as</w:t>
      </w:r>
      <w:r>
        <w:t xml:space="preserve"> </w:t>
      </w:r>
      <w:r>
        <w:t xml:space="preserve">the only EU member state maintaining an active Joint Economic Commission</w:t>
      </w:r>
      <w:r>
        <w:t xml:space="preserve"> </w:t>
      </w:r>
      <w:r>
        <w:t xml:space="preserve">(JEC) with Iran. Prime Minister Viktor Orban visited Tehran in 2015,</w:t>
      </w:r>
      <w:r>
        <w:t xml:space="preserve"> </w:t>
      </w:r>
      <w:r>
        <w:t xml:space="preserve">resulting in 10 MOUs covering economic, political, cultural, scientific,</w:t>
      </w:r>
      <w:r>
        <w:t xml:space="preserve"> </w:t>
      </w:r>
      <w:r>
        <w:t xml:space="preserve">and tourism cooperation.</w:t>
      </w:r>
    </w:p>
    <w:p>
      <w:pPr>
        <w:pStyle w:val="BodyText"/>
      </w:pPr>
      <w:r>
        <w:t xml:space="preserve">The Hungary Helps Program serves as the primary vehicle for humanitarian</w:t>
      </w:r>
      <w:r>
        <w:t xml:space="preserve"> </w:t>
      </w:r>
      <w:r>
        <w:t xml:space="preserve">and development aid, with an average annual budget of EUR7.5 million</w:t>
      </w:r>
      <w:r>
        <w:t xml:space="preserve"> </w:t>
      </w:r>
      <w:r>
        <w:t xml:space="preserve">(HUF3 billion). The Program focuses on: humanitarian aid in disasters</w:t>
      </w:r>
      <w:r>
        <w:t xml:space="preserve"> </w:t>
      </w:r>
      <w:r>
        <w:t xml:space="preserve">and conflicts, post-war reconstruction (housing, schools, hospitals,</w:t>
      </w:r>
      <w:r>
        <w:t xml:space="preserve"> </w:t>
      </w:r>
      <w:r>
        <w:t xml:space="preserve">cultural heritage), support for persecuted Christian communities, and</w:t>
      </w:r>
      <w:r>
        <w:t xml:space="preserve"> </w:t>
      </w:r>
      <w:r>
        <w:t xml:space="preserve">migration root cause prevention. Hungary contributes approximately $58.3</w:t>
      </w:r>
      <w:r>
        <w:t xml:space="preserve"> </w:t>
      </w:r>
      <w:r>
        <w:t xml:space="preserve">million to multilateral organizations (EU institutions, UN system, World</w:t>
      </w:r>
      <w:r>
        <w:t xml:space="preserve"> </w:t>
      </w:r>
      <w:r>
        <w:t xml:space="preserve">Bank), representing about 20% of its ODA.</w:t>
      </w:r>
    </w:p>
    <w:p>
      <w:pPr>
        <w:pStyle w:val="BodyText"/>
      </w:pPr>
      <w:r>
        <w:t xml:space="preserve">The Export-Import Bank of Hungary (Eximbank) operates a EUR750 million</w:t>
      </w:r>
      <w:r>
        <w:t xml:space="preserve"> </w:t>
      </w:r>
      <w:r>
        <w:t xml:space="preserve">syndicated facility providing extensive financing for Hungarian</w:t>
      </w:r>
      <w:r>
        <w:t xml:space="preserve"> </w:t>
      </w:r>
      <w:r>
        <w:t xml:space="preserve">companies’ exports and investments. The Demjan Sandor Program, part of</w:t>
      </w:r>
      <w:r>
        <w:t xml:space="preserve"> </w:t>
      </w:r>
      <w:r>
        <w:t xml:space="preserve">the broader Economic Action Plan, makes HUF350 billion (approximately</w:t>
      </w:r>
      <w:r>
        <w:t xml:space="preserve"> </w:t>
      </w:r>
      <w:r>
        <w:t xml:space="preserve">EUR940 million) in loans available to support Hungarian SMEs entering</w:t>
      </w:r>
      <w:r>
        <w:t xml:space="preserve"> </w:t>
      </w:r>
      <w:r>
        <w:t xml:space="preserve">new export markets or investing abroad.</w:t>
      </w:r>
    </w:p>
    <w:p>
      <w:pPr>
        <w:pStyle w:val="BodyText"/>
      </w:pPr>
      <w:r>
        <w:t xml:space="preserve">Type: Grant/Humanitarian/Concessional Loans | Est. Allocation: $50-150M</w:t>
      </w:r>
      <w:r>
        <w:t xml:space="preserve"> </w:t>
      </w:r>
      <w:r>
        <w:t xml:space="preserve">| Application: Through Hungary Helps bilateral channels, Eximbank</w:t>
      </w:r>
      <w:r>
        <w:t xml:space="preserve"> </w:t>
      </w:r>
      <w:r>
        <w:t xml:space="preserve">syndicated facility, and Demjan Sandor Program for SME export financing</w:t>
      </w:r>
      <w:r>
        <w:t xml:space="preserve"> </w:t>
      </w:r>
      <w:r>
        <w:t xml:space="preserve">| Focus: Post-conflict reconstruction, housing, healthcare, education,</w:t>
      </w:r>
      <w:r>
        <w:t xml:space="preserve"> </w:t>
      </w:r>
      <w:r>
        <w:t xml:space="preserve">cultural heritage, Hungarian SME participation in MRF procurement.</w:t>
      </w:r>
    </w:p>
    <w:p>
      <w:pPr>
        <w:pStyle w:val="BodyText"/>
      </w:pPr>
      <w:r>
        <w:t xml:space="preserve">Iceland , Icelandic International Development Agency (ICEIDA)</w:t>
      </w:r>
    </w:p>
    <w:p>
      <w:pPr>
        <w:pStyle w:val="BodyText"/>
      </w:pPr>
      <w:r>
        <w:t xml:space="preserve">Iceland provided USD 102 million in ODA in 2023 (0.36% of GNI). ICEIDA</w:t>
      </w:r>
      <w:r>
        <w:t xml:space="preserve"> </w:t>
      </w:r>
      <w:r>
        <w:t xml:space="preserve">focuses on fisheries, geothermal energy, gender equality, and education.</w:t>
      </w:r>
      <w:r>
        <w:t xml:space="preserve"> </w:t>
      </w:r>
      <w:r>
        <w:t xml:space="preserve">Iceland’s geothermal energy expertise is directly applicable to Iranian</w:t>
      </w:r>
      <w:r>
        <w:t xml:space="preserve"> </w:t>
      </w:r>
      <w:r>
        <w:t xml:space="preserve">energy reconstruction.</w:t>
      </w:r>
    </w:p>
    <w:p>
      <w:pPr>
        <w:pStyle w:val="BodyText"/>
      </w:pPr>
      <w:r>
        <w:t xml:space="preserve">Type: Technical Assistance | Est. Allocation: $5-15M | Application:</w:t>
      </w:r>
      <w:r>
        <w:t xml:space="preserve"> </w:t>
      </w:r>
      <w:r>
        <w:t xml:space="preserve">Through bilateral technical cooperation | Focus: Geothermal energy,</w:t>
      </w:r>
      <w:r>
        <w:t xml:space="preserve"> </w:t>
      </w:r>
      <w:r>
        <w:t xml:space="preserve">fisheries, gender equality.</w:t>
      </w:r>
    </w:p>
    <w:p>
      <w:pPr>
        <w:pStyle w:val="BodyText"/>
      </w:pPr>
      <w:r>
        <w:t xml:space="preserve">Ireland , Irish Aid</w:t>
      </w:r>
    </w:p>
    <w:p>
      <w:pPr>
        <w:pStyle w:val="BodyText"/>
      </w:pPr>
      <w:r>
        <w:t xml:space="preserve">Ireland provided USD 2.9 billion in ODA in 2023 (0.82% of GNI). Irish</w:t>
      </w:r>
      <w:r>
        <w:t xml:space="preserve"> </w:t>
      </w:r>
      <w:r>
        <w:t xml:space="preserve">Aid focuses on humanitarian assistance, hunger reduction, education, and</w:t>
      </w:r>
      <w:r>
        <w:t xml:space="preserve"> </w:t>
      </w:r>
      <w:r>
        <w:t xml:space="preserve">health. Ireland channels the majority of its development spending</w:t>
      </w:r>
      <w:r>
        <w:t xml:space="preserve"> </w:t>
      </w:r>
      <w:r>
        <w:t xml:space="preserve">through the UN system, NGOs, and multilateral institutions.</w:t>
      </w:r>
    </w:p>
    <w:p>
      <w:pPr>
        <w:pStyle w:val="BodyText"/>
      </w:pPr>
      <w:r>
        <w:t xml:space="preserve">Type: Humanitarian | Est. Allocation: $30-60M | Application: Through</w:t>
      </w:r>
      <w:r>
        <w:t xml:space="preserve"> </w:t>
      </w:r>
      <w:r>
        <w:t xml:space="preserve">multilateral trust funds and humanitarian organizations | Focus:</w:t>
      </w:r>
      <w:r>
        <w:t xml:space="preserve"> </w:t>
      </w:r>
      <w:r>
        <w:t xml:space="preserve">Humanitarian assistance, food security, health.</w:t>
      </w:r>
    </w:p>
    <w:p>
      <w:pPr>
        <w:pStyle w:val="BodyText"/>
      </w:pPr>
      <w:r>
        <w:t xml:space="preserve">Italy , Italian Development Cooperation Agency (AICS)</w:t>
      </w:r>
    </w:p>
    <w:p>
      <w:pPr>
        <w:pStyle w:val="BodyText"/>
      </w:pPr>
      <w:r>
        <w:t xml:space="preserve">Italy provided USD 6 billion in ODA in 2023 (0.26% of GNI). AICS focuses</w:t>
      </w:r>
      <w:r>
        <w:t xml:space="preserve"> </w:t>
      </w:r>
      <w:r>
        <w:t xml:space="preserve">on sustainable development, cultural heritage, health, and migration</w:t>
      </w:r>
      <w:r>
        <w:t xml:space="preserve"> </w:t>
      </w:r>
      <w:r>
        <w:t xml:space="preserve">management. Italy participates in EU joint programming and maintains</w:t>
      </w:r>
      <w:r>
        <w:t xml:space="preserve"> </w:t>
      </w:r>
      <w:r>
        <w:t xml:space="preserve">bilateral cooperation programs in the Middle East and North Africa.</w:t>
      </w:r>
    </w:p>
    <w:p>
      <w:pPr>
        <w:pStyle w:val="BodyText"/>
      </w:pPr>
      <w:r>
        <w:t xml:space="preserve">Type: EU Joint/Bilateral | Est. Allocation: $50-100M | Application:</w:t>
      </w:r>
      <w:r>
        <w:t xml:space="preserve"> </w:t>
      </w:r>
      <w:r>
        <w:t xml:space="preserve">Through AICS and EU joint programming | Focus: Cultural heritage,</w:t>
      </w:r>
      <w:r>
        <w:t xml:space="preserve"> </w:t>
      </w:r>
      <w:r>
        <w:t xml:space="preserve">health, sustainable development.</w:t>
      </w:r>
    </w:p>
    <w:p>
      <w:pPr>
        <w:pStyle w:val="BodyText"/>
      </w:pPr>
      <w:r>
        <w:t xml:space="preserve">Luxembourg , Luxembourg Development Cooperation</w:t>
      </w:r>
    </w:p>
    <w:p>
      <w:pPr>
        <w:pStyle w:val="BodyText"/>
      </w:pPr>
      <w:r>
        <w:t xml:space="preserve">Luxembourg provided USD 579 million in ODA in 2023 (1.05% of GNI).</w:t>
      </w:r>
      <w:r>
        <w:t xml:space="preserve"> </w:t>
      </w:r>
      <w:r>
        <w:t xml:space="preserve">Luxembourg channels development cooperation through multilateral</w:t>
      </w:r>
      <w:r>
        <w:t xml:space="preserve"> </w:t>
      </w:r>
      <w:r>
        <w:t xml:space="preserve">organizations with a focus on inclusive finance, climate, and education.</w:t>
      </w:r>
    </w:p>
    <w:p>
      <w:pPr>
        <w:pStyle w:val="BodyText"/>
      </w:pPr>
      <w:r>
        <w:t xml:space="preserve">Type: Multilateral | Est. Allocation: $10-20M | Application: Through</w:t>
      </w:r>
      <w:r>
        <w:t xml:space="preserve"> </w:t>
      </w:r>
      <w:r>
        <w:t xml:space="preserve">multilateral channels | Focus: Inclusive finance, climate.</w:t>
      </w:r>
    </w:p>
    <w:p>
      <w:pPr>
        <w:pStyle w:val="BodyText"/>
      </w:pPr>
      <w:r>
        <w:t xml:space="preserve">Netherlands , RVO and Dutch Good Growth Fund</w:t>
      </w:r>
    </w:p>
    <w:p>
      <w:pPr>
        <w:pStyle w:val="BodyText"/>
      </w:pPr>
      <w:r>
        <w:t xml:space="preserve">The Netherlands deploys development finance through the Dutch</w:t>
      </w:r>
      <w:r>
        <w:t xml:space="preserve"> </w:t>
      </w:r>
      <w:r>
        <w:t xml:space="preserve">Development Bank (FMO), the Dutch Good Growth Fund, and the Netherlands</w:t>
      </w:r>
      <w:r>
        <w:t xml:space="preserve"> </w:t>
      </w:r>
      <w:r>
        <w:t xml:space="preserve">Enterprise Agency (RVO). The Netherlands recently contributed to the</w:t>
      </w:r>
      <w:r>
        <w:t xml:space="preserve"> </w:t>
      </w:r>
      <w:r>
        <w:t xml:space="preserve">Private Infrastructure Development Group (PIDG). The Dutch Good Growth</w:t>
      </w:r>
      <w:r>
        <w:t xml:space="preserve"> </w:t>
      </w:r>
      <w:r>
        <w:t xml:space="preserve">Fund provides financing for SMEs and entrepreneurs in developing</w:t>
      </w:r>
      <w:r>
        <w:t xml:space="preserve"> </w:t>
      </w:r>
      <w:r>
        <w:t xml:space="preserve">countries.</w:t>
      </w:r>
    </w:p>
    <w:p>
      <w:pPr>
        <w:pStyle w:val="BodyText"/>
      </w:pPr>
      <w:r>
        <w:t xml:space="preserve">Type: Private Investment/Co-financing | Est. Allocation: $200-500M |</w:t>
      </w:r>
      <w:r>
        <w:t xml:space="preserve"> </w:t>
      </w:r>
      <w:r>
        <w:t xml:space="preserve">Application: Through FMO emerging markets infrastructure window | Focus:</w:t>
      </w:r>
      <w:r>
        <w:t xml:space="preserve"> </w:t>
      </w:r>
      <w:r>
        <w:t xml:space="preserve">Private sector, infrastructure, climate finance.</w:t>
      </w:r>
    </w:p>
    <w:p>
      <w:pPr>
        <w:pStyle w:val="BodyText"/>
      </w:pPr>
      <w:r>
        <w:t xml:space="preserve">Poland , Polish Aid</w:t>
      </w:r>
    </w:p>
    <w:p>
      <w:pPr>
        <w:pStyle w:val="BodyText"/>
      </w:pPr>
      <w:r>
        <w:t xml:space="preserve">Poland provided USD 2.6 billion in ODA in 2023 (0.33% of GNI). Polish</w:t>
      </w:r>
      <w:r>
        <w:t xml:space="preserve"> </w:t>
      </w:r>
      <w:r>
        <w:t xml:space="preserve">Aid focuses on humanitarian assistance, development cooperation, and</w:t>
      </w:r>
      <w:r>
        <w:t xml:space="preserve"> </w:t>
      </w:r>
      <w:r>
        <w:t xml:space="preserve">peacebuilding. Poland channels development funding through multilateral</w:t>
      </w:r>
      <w:r>
        <w:t xml:space="preserve"> </w:t>
      </w:r>
      <w:r>
        <w:t xml:space="preserve">organizations and bilateral programs.</w:t>
      </w:r>
    </w:p>
    <w:p>
      <w:pPr>
        <w:pStyle w:val="BodyText"/>
      </w:pPr>
      <w:r>
        <w:t xml:space="preserve">Type: Humanitarian | Est. Allocation: $20-40M | Application: Through</w:t>
      </w:r>
      <w:r>
        <w:t xml:space="preserve"> </w:t>
      </w:r>
      <w:r>
        <w:t xml:space="preserve">multilateral channels | Focus: Humanitarian assistance.</w:t>
      </w:r>
    </w:p>
    <w:p>
      <w:pPr>
        <w:pStyle w:val="BodyText"/>
      </w:pPr>
      <w:r>
        <w:t xml:space="preserve">Portugal , Camoes Institute for Cooperation and Language</w:t>
      </w:r>
    </w:p>
    <w:p>
      <w:pPr>
        <w:pStyle w:val="BodyText"/>
      </w:pPr>
      <w:r>
        <w:t xml:space="preserve">Portugal provided USD 544 million in ODA in 2023 (0.20% of GNI).</w:t>
      </w:r>
      <w:r>
        <w:t xml:space="preserve"> </w:t>
      </w:r>
      <w:r>
        <w:t xml:space="preserve">Portugal focuses on Lusophone countries but participates in EU joint</w:t>
      </w:r>
      <w:r>
        <w:t xml:space="preserve"> </w:t>
      </w:r>
      <w:r>
        <w:t xml:space="preserve">programming for humanitarian assistance and development cooperation in</w:t>
      </w:r>
      <w:r>
        <w:t xml:space="preserve"> </w:t>
      </w:r>
      <w:r>
        <w:t xml:space="preserve">the Middle East.</w:t>
      </w:r>
    </w:p>
    <w:p>
      <w:pPr>
        <w:pStyle w:val="BodyText"/>
      </w:pPr>
      <w:r>
        <w:t xml:space="preserve">Type: EU Joint Programming | Est. Allocation: $10-20M | Application:</w:t>
      </w:r>
      <w:r>
        <w:t xml:space="preserve"> </w:t>
      </w:r>
      <w:r>
        <w:t xml:space="preserve">Through EU joint programming | Focus: Humanitarian assistance.</w:t>
      </w:r>
    </w:p>
    <w:p>
      <w:pPr>
        <w:pStyle w:val="BodyText"/>
      </w:pPr>
      <w:r>
        <w:t xml:space="preserve">Slovak Republic , Slovak Agency for International Development Cooperation (SAIDC)</w:t>
      </w:r>
    </w:p>
    <w:p>
      <w:pPr>
        <w:pStyle w:val="BodyText"/>
      </w:pPr>
      <w:r>
        <w:t xml:space="preserve">Slovakia provided USD 159 million in ODA in 2023 (0.12% of GNI). SAIDC</w:t>
      </w:r>
      <w:r>
        <w:t xml:space="preserve"> </w:t>
      </w:r>
      <w:r>
        <w:t xml:space="preserve">focuses on education, health, water, and good governance. Slovakia</w:t>
      </w:r>
      <w:r>
        <w:t xml:space="preserve"> </w:t>
      </w:r>
      <w:r>
        <w:t xml:space="preserve">participates in EU joint programming for development cooperation.</w:t>
      </w:r>
    </w:p>
    <w:p>
      <w:pPr>
        <w:pStyle w:val="BodyText"/>
      </w:pPr>
      <w:r>
        <w:t xml:space="preserve">Type: EU Joint Programming | Est. Allocation: $5-10M | Application:</w:t>
      </w:r>
      <w:r>
        <w:t xml:space="preserve"> </w:t>
      </w:r>
      <w:r>
        <w:t xml:space="preserve">Through EU joint programming | Focus: Water, education, governance.</w:t>
      </w:r>
    </w:p>
    <w:p>
      <w:pPr>
        <w:pStyle w:val="BodyText"/>
      </w:pPr>
      <w:r>
        <w:t xml:space="preserve">Slovenia , Slovenian Development Cooperation</w:t>
      </w:r>
    </w:p>
    <w:p>
      <w:pPr>
        <w:pStyle w:val="BodyText"/>
      </w:pPr>
      <w:r>
        <w:t xml:space="preserve">Slovenia provided USD 120 million in ODA in 2023 (0.17% of GNI).</w:t>
      </w:r>
      <w:r>
        <w:t xml:space="preserve"> </w:t>
      </w:r>
      <w:r>
        <w:t xml:space="preserve">Slovenia focuses on water management, environmental protection, and good</w:t>
      </w:r>
      <w:r>
        <w:t xml:space="preserve"> </w:t>
      </w:r>
      <w:r>
        <w:t xml:space="preserve">governance. Slovenia participates in EU joint programming.</w:t>
      </w:r>
    </w:p>
    <w:p>
      <w:pPr>
        <w:pStyle w:val="BodyText"/>
      </w:pPr>
      <w:r>
        <w:t xml:space="preserve">Type: EU Joint Programming | Est. Allocation: $5-10M | Application:</w:t>
      </w:r>
      <w:r>
        <w:t xml:space="preserve"> </w:t>
      </w:r>
      <w:r>
        <w:t xml:space="preserve">Through EU joint programming | Focus: Water management, environment.</w:t>
      </w:r>
    </w:p>
    <w:p>
      <w:pPr>
        <w:pStyle w:val="BodyText"/>
      </w:pPr>
      <w:r>
        <w:t xml:space="preserve">Spain , Spanish Agency for International Development Cooperation (AECID)</w:t>
      </w:r>
    </w:p>
    <w:p>
      <w:pPr>
        <w:pStyle w:val="BodyText"/>
      </w:pPr>
      <w:r>
        <w:t xml:space="preserve">Spain provided approximately USD 5.1 billion in ODA in 2025 (0.27% of</w:t>
      </w:r>
      <w:r>
        <w:t xml:space="preserve"> </w:t>
      </w:r>
      <w:r>
        <w:t xml:space="preserve">GNI). AECID prioritizes water and sanitation, health, climate change</w:t>
      </w:r>
      <w:r>
        <w:t xml:space="preserve"> </w:t>
      </w:r>
      <w:r>
        <w:t xml:space="preserve">adaptation, and gender equality. Spain is a strong proponent of</w:t>
      </w:r>
      <w:r>
        <w:t xml:space="preserve"> </w:t>
      </w:r>
      <w:r>
        <w:t xml:space="preserve">multilateralism and participates extensively in EU joint programming and</w:t>
      </w:r>
      <w:r>
        <w:t xml:space="preserve"> </w:t>
      </w:r>
      <w:r>
        <w:t xml:space="preserve">decentralized cooperation. Spain hosts the Recovery and Resilience</w:t>
      </w:r>
      <w:r>
        <w:t xml:space="preserve"> </w:t>
      </w:r>
      <w:r>
        <w:t xml:space="preserve">Financing Platform (RRFP) launched under the Seville Platform for</w:t>
      </w:r>
      <w:r>
        <w:t xml:space="preserve"> </w:t>
      </w:r>
      <w:r>
        <w:t xml:space="preserve">Action.</w:t>
      </w:r>
    </w:p>
    <w:p>
      <w:pPr>
        <w:pStyle w:val="BodyText"/>
      </w:pPr>
      <w:r>
        <w:t xml:space="preserve">Type: EU Joint Programming / Bilateral Grants | Est. Allocation:</w:t>
      </w:r>
      <w:r>
        <w:t xml:space="preserve"> </w:t>
      </w:r>
      <w:r>
        <w:t xml:space="preserve">$50-100M | Application: Through AECID bilateral channels and EU joint</w:t>
      </w:r>
      <w:r>
        <w:t xml:space="preserve"> </w:t>
      </w:r>
      <w:r>
        <w:t xml:space="preserve">programming | Focus: Water and sanitation, health, climate adaptation,</w:t>
      </w:r>
      <w:r>
        <w:t xml:space="preserve"> </w:t>
      </w:r>
      <w:r>
        <w:t xml:space="preserve">gender equality, recovery and resilience.</w:t>
      </w:r>
    </w:p>
    <w:p>
      <w:pPr>
        <w:pStyle w:val="BodyText"/>
      </w:pPr>
      <w:r>
        <w:t xml:space="preserve">Sweden , Swedish International Development Cooperation Agency (Sida)</w:t>
      </w:r>
    </w:p>
    <w:p>
      <w:pPr>
        <w:pStyle w:val="BodyText"/>
      </w:pPr>
      <w:r>
        <w:t xml:space="preserve">Sweden provided approximately USD 5.1 billion in ODA in 2025. Sweden’s</w:t>
      </w:r>
      <w:r>
        <w:t xml:space="preserve"> </w:t>
      </w:r>
      <w:r>
        <w:t xml:space="preserve">international development cooperation emphasizes global health,</w:t>
      </w:r>
      <w:r>
        <w:t xml:space="preserve"> </w:t>
      </w:r>
      <w:r>
        <w:t xml:space="preserve">humanitarian support, environmental sustainability, and democratic</w:t>
      </w:r>
      <w:r>
        <w:t xml:space="preserve"> </w:t>
      </w:r>
      <w:r>
        <w:t xml:space="preserve">governance. Sida directs a significant portion of its funding through</w:t>
      </w:r>
      <w:r>
        <w:t xml:space="preserve"> </w:t>
      </w:r>
      <w:r>
        <w:t xml:space="preserve">multilateral organizations, including the WHO and UN agencies. Sweden</w:t>
      </w:r>
      <w:r>
        <w:t xml:space="preserve"> </w:t>
      </w:r>
      <w:r>
        <w:t xml:space="preserve">consistently ranks among the top DAC donors by ODA/GNI ratio.</w:t>
      </w:r>
    </w:p>
    <w:p>
      <w:pPr>
        <w:pStyle w:val="BodyText"/>
      </w:pPr>
      <w:r>
        <w:t xml:space="preserve">Type: Multilateral Trust Funds / Humanitarian | Est. Allocation:</w:t>
      </w:r>
      <w:r>
        <w:t xml:space="preserve"> </w:t>
      </w:r>
      <w:r>
        <w:t xml:space="preserve">$50-100M | Application: Through Sida multilateral trust funds and UN</w:t>
      </w:r>
      <w:r>
        <w:t xml:space="preserve"> </w:t>
      </w:r>
      <w:r>
        <w:t xml:space="preserve">agency partnerships | Focus: Global health, humanitarian assistance,</w:t>
      </w:r>
      <w:r>
        <w:t xml:space="preserve"> </w:t>
      </w:r>
      <w:r>
        <w:t xml:space="preserve">environmental sustainability, democratic governance.</w:t>
      </w:r>
    </w:p>
    <w:p>
      <w:pPr>
        <w:pStyle w:val="BodyText"/>
      </w:pPr>
      <w:r>
        <w:t xml:space="preserve">Switzerland , Swiss Agency for Development and Cooperation (SDC) / SECO</w:t>
      </w:r>
    </w:p>
    <w:p>
      <w:pPr>
        <w:pStyle w:val="BodyText"/>
      </w:pPr>
      <w:r>
        <w:t xml:space="preserve">Switzerland’s development cooperation focuses on private sector</w:t>
      </w:r>
      <w:r>
        <w:t xml:space="preserve"> </w:t>
      </w:r>
      <w:r>
        <w:t xml:space="preserve">development, sustainable infrastructure, and humanitarian aid.</w:t>
      </w:r>
      <w:r>
        <w:t xml:space="preserve"> </w:t>
      </w:r>
      <w:r>
        <w:t xml:space="preserve">Switzerland provides economic cooperation funding through the State</w:t>
      </w:r>
      <w:r>
        <w:t xml:space="preserve"> </w:t>
      </w:r>
      <w:r>
        <w:t xml:space="preserve">Secretariat for Economic Affairs (SECO) and humanitarian assistance</w:t>
      </w:r>
      <w:r>
        <w:t xml:space="preserve"> </w:t>
      </w:r>
      <w:r>
        <w:t xml:space="preserve">through SDC, prioritizing co-financing arrangements with multilateral</w:t>
      </w:r>
      <w:r>
        <w:t xml:space="preserve"> </w:t>
      </w:r>
      <w:r>
        <w:t xml:space="preserve">development banks and regional funds. Swiss development finance</w:t>
      </w:r>
      <w:r>
        <w:t xml:space="preserve"> </w:t>
      </w:r>
      <w:r>
        <w:t xml:space="preserve">emphasizes innovation, climate resilience, and private sector</w:t>
      </w:r>
      <w:r>
        <w:t xml:space="preserve"> </w:t>
      </w:r>
      <w:r>
        <w:t xml:space="preserve">engagement.</w:t>
      </w:r>
    </w:p>
    <w:p>
      <w:pPr>
        <w:pStyle w:val="BodyText"/>
      </w:pPr>
      <w:r>
        <w:t xml:space="preserve">Type: Bilateral Grants / Technical Assistance | Est. Allocation: $30-60M</w:t>
      </w:r>
      <w:r>
        <w:t xml:space="preserve"> </w:t>
      </w:r>
      <w:r>
        <w:t xml:space="preserve">| Application: Through SDC/SECO bilateral channels and multilateral</w:t>
      </w:r>
      <w:r>
        <w:t xml:space="preserve"> </w:t>
      </w:r>
      <w:r>
        <w:t xml:space="preserve">co-financing | Focus: Private sector development, sustainable</w:t>
      </w:r>
      <w:r>
        <w:t xml:space="preserve"> </w:t>
      </w:r>
      <w:r>
        <w:t xml:space="preserve">infrastructure, humanitarian aid, climate resilience.</w:t>
      </w:r>
    </w:p>
    <w:p>
      <w:pPr>
        <w:pStyle w:val="BodyText"/>
      </w:pPr>
      <w:r>
        <w:t xml:space="preserve">United Kingdom , Foreign, Commonwealth and Development Office (FCDO)</w:t>
      </w:r>
    </w:p>
    <w:p>
      <w:pPr>
        <w:pStyle w:val="BodyText"/>
      </w:pPr>
      <w:r>
        <w:t xml:space="preserve">The UK provided approximately GBP 13 billion in ODA in 2025 (0.43% of</w:t>
      </w:r>
      <w:r>
        <w:t xml:space="preserve"> </w:t>
      </w:r>
      <w:r>
        <w:t xml:space="preserve">GNI). FCDO channels significant resources through multilateral</w:t>
      </w:r>
      <w:r>
        <w:t xml:space="preserve"> </w:t>
      </w:r>
      <w:r>
        <w:t xml:space="preserve">organizations, providing over GBP 2.7 billion in core multilateral</w:t>
      </w:r>
      <w:r>
        <w:t xml:space="preserve"> </w:t>
      </w:r>
      <w:r>
        <w:t xml:space="preserve">contributions in 2025. The UK focuses on humanitarian relief, global</w:t>
      </w:r>
      <w:r>
        <w:t xml:space="preserve"> </w:t>
      </w:r>
      <w:r>
        <w:t xml:space="preserve">health, and climate resilience. The UK coordinates with the MRF</w:t>
      </w:r>
      <w:r>
        <w:t xml:space="preserve"> </w:t>
      </w:r>
      <w:r>
        <w:t xml:space="preserve">primarily through World Bank trust funds and UN agencies.</w:t>
      </w:r>
    </w:p>
    <w:p>
      <w:pPr>
        <w:pStyle w:val="BodyText"/>
      </w:pPr>
      <w:r>
        <w:t xml:space="preserve">Type: Multilateral Contributions / Humanitarian | Est. Allocation:</w:t>
      </w:r>
      <w:r>
        <w:t xml:space="preserve"> </w:t>
      </w:r>
      <w:r>
        <w:t xml:space="preserve">$100-200M | Application: Through FCDO multilateral contributions and</w:t>
      </w:r>
      <w:r>
        <w:t xml:space="preserve"> </w:t>
      </w:r>
      <w:r>
        <w:t xml:space="preserve">World Bank trust funds | Focus: Humanitarian relief, global health,</w:t>
      </w:r>
      <w:r>
        <w:t xml:space="preserve"> </w:t>
      </w:r>
      <w:r>
        <w:t xml:space="preserve">climate resilience.</w:t>
      </w:r>
    </w:p>
    <w:p>
      <w:pPr>
        <w:pStyle w:val="BodyText"/>
      </w:pPr>
      <w:r>
        <w:t xml:space="preserve">United States , USAID and U.S. Private Sector Safe Harbor</w:t>
      </w:r>
    </w:p>
    <w:p>
      <w:pPr>
        <w:pStyle w:val="BodyText"/>
      </w:pPr>
      <w:r>
        <w:t xml:space="preserve">Consistent with Article 2.3 of this Annex, U.S. participation is</w:t>
      </w:r>
      <w:r>
        <w:t xml:space="preserve"> </w:t>
      </w:r>
      <w:r>
        <w:t xml:space="preserve">strictly limited to non-cash contributions, including technical</w:t>
      </w:r>
      <w:r>
        <w:t xml:space="preserve"> </w:t>
      </w:r>
      <w:r>
        <w:t xml:space="preserve">assistance, project identification, capacity building, and diplomatic</w:t>
      </w:r>
      <w:r>
        <w:t xml:space="preserve"> </w:t>
      </w:r>
      <w:r>
        <w:t xml:space="preserve">support. No direct U.S. government cash is transferred to the MRF or to</w:t>
      </w:r>
      <w:r>
        <w:t xml:space="preserve"> </w:t>
      </w:r>
      <w:r>
        <w:t xml:space="preserve">Iran. USAID provides technical assistance for governance, health, and</w:t>
      </w:r>
      <w:r>
        <w:t xml:space="preserve"> </w:t>
      </w:r>
      <w:r>
        <w:t xml:space="preserve">agricultural development through third-party implementers. The U.S.</w:t>
      </w:r>
      <w:r>
        <w:t xml:space="preserve"> </w:t>
      </w:r>
      <w:r>
        <w:t xml:space="preserve">supports the reconstruction framework through the Safe Harbor mechanism</w:t>
      </w:r>
      <w:r>
        <w:t xml:space="preserve"> </w:t>
      </w:r>
      <w:r>
        <w:t xml:space="preserve">and the In-Kind Contribution Window for private sector participation</w:t>
      </w:r>
      <w:r>
        <w:t xml:space="preserve"> </w:t>
      </w:r>
      <w:r>
        <w:t xml:space="preserve">(see Section 1.3(d)).</w:t>
      </w:r>
    </w:p>
    <w:p>
      <w:pPr>
        <w:pStyle w:val="BodyText"/>
      </w:pPr>
      <w:r>
        <w:t xml:space="preserve">Type: Technical Assistance / In-Kind (Non-Cash) | Est. Allocation: N/A |</w:t>
      </w:r>
      <w:r>
        <w:t xml:space="preserve"> </w:t>
      </w:r>
      <w:r>
        <w:t xml:space="preserve">Application: Through Safe Harbor mechanism, In-Kind Contribution Window,</w:t>
      </w:r>
      <w:r>
        <w:t xml:space="preserve"> </w:t>
      </w:r>
      <w:r>
        <w:t xml:space="preserve">and OFAC-licensed channels | Focus: Technical assistance, project</w:t>
      </w:r>
      <w:r>
        <w:t xml:space="preserve"> </w:t>
      </w:r>
      <w:r>
        <w:t xml:space="preserve">identification, capacity building, diplomatic support, private sector</w:t>
      </w:r>
      <w:r>
        <w:t xml:space="preserve"> </w:t>
      </w:r>
      <w:r>
        <w:t xml:space="preserve">Safe Harbor facilitation.</w:t>
      </w:r>
    </w:p>
    <w:p>
      <w:pPr>
        <w:pStyle w:val="BodyText"/>
      </w:pPr>
      <w:r>
        <w:t xml:space="preserve">I.3 Middle East, North Africa, and Sub-Saharan Africa</w:t>
      </w:r>
    </w:p>
    <w:p>
      <w:pPr>
        <w:pStyle w:val="BodyText"/>
      </w:pPr>
      <w:r>
        <w:t xml:space="preserve">Egypt , Egyptian Fund for Technical Cooperation with Africa and the Commonwealth</w:t>
      </w:r>
    </w:p>
    <w:p>
      <w:pPr>
        <w:pStyle w:val="BodyText"/>
      </w:pPr>
      <w:r>
        <w:t xml:space="preserve">Egypt and Iran maintain bilateral cooperation through the Joint Higher</w:t>
      </w:r>
      <w:r>
        <w:t xml:space="preserve"> </w:t>
      </w:r>
      <w:r>
        <w:t xml:space="preserve">Commission. Egypt participates in the OIC and Arab League development</w:t>
      </w:r>
      <w:r>
        <w:t xml:space="preserve"> </w:t>
      </w:r>
      <w:r>
        <w:t xml:space="preserve">frameworks. The Egyptian Fund provides technical assistance, training,</w:t>
      </w:r>
      <w:r>
        <w:t xml:space="preserve"> </w:t>
      </w:r>
      <w:r>
        <w:t xml:space="preserve">and capacity building for developing countries. Egypt’s Suez Canal</w:t>
      </w:r>
      <w:r>
        <w:t xml:space="preserve"> </w:t>
      </w:r>
      <w:r>
        <w:t xml:space="preserve">development expertise is applicable to Iranian port reconstruction.</w:t>
      </w:r>
    </w:p>
    <w:p>
      <w:pPr>
        <w:pStyle w:val="BodyText"/>
      </w:pPr>
      <w:r>
        <w:t xml:space="preserve">Type: Technical Assistance | Est. Allocation: $50-100M | Application:</w:t>
      </w:r>
      <w:r>
        <w:t xml:space="preserve"> </w:t>
      </w:r>
      <w:r>
        <w:t xml:space="preserve">Through bilateral cooperation and OIC/Arab League frameworks | Focus:</w:t>
      </w:r>
      <w:r>
        <w:t xml:space="preserve"> </w:t>
      </w:r>
      <w:r>
        <w:t xml:space="preserve">Technical assistance, port development, capacity building.</w:t>
      </w:r>
    </w:p>
    <w:p>
      <w:pPr>
        <w:pStyle w:val="BodyText"/>
      </w:pPr>
      <w:r>
        <w:t xml:space="preserve">Iraq , Bilateral Development Cooperation</w:t>
      </w:r>
    </w:p>
    <w:p>
      <w:pPr>
        <w:pStyle w:val="BodyText"/>
      </w:pPr>
      <w:r>
        <w:t xml:space="preserve">Iraq and Iran share extensive border infrastructure and trade corridors.</w:t>
      </w:r>
      <w:r>
        <w:t xml:space="preserve"> </w:t>
      </w:r>
      <w:r>
        <w:t xml:space="preserve">Iraq’s own post-conflict reconstruction experience (2003-present)</w:t>
      </w:r>
      <w:r>
        <w:t xml:space="preserve"> </w:t>
      </w:r>
      <w:r>
        <w:t xml:space="preserve">provides relevant lessons for Iranian reconstruction. Bilateral</w:t>
      </w:r>
      <w:r>
        <w:t xml:space="preserve"> </w:t>
      </w:r>
      <w:r>
        <w:t xml:space="preserve">cooperation focuses on shared border crossings, electricity grid</w:t>
      </w:r>
      <w:r>
        <w:t xml:space="preserve"> </w:t>
      </w:r>
      <w:r>
        <w:t xml:space="preserve">interconnection, water resource management, and trade corridor</w:t>
      </w:r>
      <w:r>
        <w:t xml:space="preserve"> </w:t>
      </w:r>
      <w:r>
        <w:t xml:space="preserve">development.</w:t>
      </w:r>
    </w:p>
    <w:p>
      <w:pPr>
        <w:pStyle w:val="BodyText"/>
      </w:pPr>
      <w:r>
        <w:t xml:space="preserve">Type: Bilateral/Regional | Est. Allocation: $200-500M | Application:</w:t>
      </w:r>
      <w:r>
        <w:t xml:space="preserve"> </w:t>
      </w:r>
      <w:r>
        <w:t xml:space="preserve">Through bilateral economic commissions and border infrastructure</w:t>
      </w:r>
      <w:r>
        <w:t xml:space="preserve"> </w:t>
      </w:r>
      <w:r>
        <w:t xml:space="preserve">agreements | Focus: Border infrastructure, electricity, water</w:t>
      </w:r>
      <w:r>
        <w:t xml:space="preserve"> </w:t>
      </w:r>
      <w:r>
        <w:t xml:space="preserve">management, trade.</w:t>
      </w:r>
    </w:p>
    <w:p>
      <w:pPr>
        <w:pStyle w:val="BodyText"/>
      </w:pPr>
      <w:r>
        <w:t xml:space="preserve">Jordan , Jordanian Development Cooperation</w:t>
      </w:r>
    </w:p>
    <w:p>
      <w:pPr>
        <w:pStyle w:val="BodyText"/>
      </w:pPr>
      <w:r>
        <w:t xml:space="preserve">Jordan is a major recipient of international development assistance and</w:t>
      </w:r>
      <w:r>
        <w:t xml:space="preserve"> </w:t>
      </w:r>
      <w:r>
        <w:t xml:space="preserve">has developed significant expertise in managing reconstruction and</w:t>
      </w:r>
      <w:r>
        <w:t xml:space="preserve"> </w:t>
      </w:r>
      <w:r>
        <w:t xml:space="preserve">refugee support programming. Jordan’s experience in public-private</w:t>
      </w:r>
      <w:r>
        <w:t xml:space="preserve"> </w:t>
      </w:r>
      <w:r>
        <w:t xml:space="preserve">partnerships for water and energy infrastructure is applicable to</w:t>
      </w:r>
      <w:r>
        <w:t xml:space="preserve"> </w:t>
      </w:r>
      <w:r>
        <w:t xml:space="preserve">Iranian reconstruction.</w:t>
      </w:r>
    </w:p>
    <w:p>
      <w:pPr>
        <w:pStyle w:val="BodyText"/>
      </w:pPr>
      <w:r>
        <w:t xml:space="preserve">Type: Technical/Knowledge Transfer | Est. Allocation: $20-50M |</w:t>
      </w:r>
      <w:r>
        <w:t xml:space="preserve"> </w:t>
      </w:r>
      <w:r>
        <w:t xml:space="preserve">Application: Through bilateral technical cooperation | Focus: PPP</w:t>
      </w:r>
      <w:r>
        <w:t xml:space="preserve"> </w:t>
      </w:r>
      <w:r>
        <w:t xml:space="preserve">structuring, water infrastructure, refugee integration.</w:t>
      </w:r>
    </w:p>
    <w:p>
      <w:pPr>
        <w:pStyle w:val="BodyText"/>
      </w:pPr>
      <w:r>
        <w:t xml:space="preserve">Lebanon , Knowledge Transfer and Technical Cooperation</w:t>
      </w:r>
    </w:p>
    <w:p>
      <w:pPr>
        <w:pStyle w:val="BodyText"/>
      </w:pPr>
      <w:r>
        <w:t xml:space="preserve">Lebanon possesses extensive post-conflict reconstruction experience</w:t>
      </w:r>
      <w:r>
        <w:t xml:space="preserve"> </w:t>
      </w:r>
      <w:r>
        <w:t xml:space="preserve">spanning multiple decades. Lebanese engineering firms, financial</w:t>
      </w:r>
      <w:r>
        <w:t xml:space="preserve"> </w:t>
      </w:r>
      <w:r>
        <w:t xml:space="preserve">institutions, and construction companies have deep expertise in</w:t>
      </w:r>
      <w:r>
        <w:t xml:space="preserve"> </w:t>
      </w:r>
      <w:r>
        <w:t xml:space="preserve">rebuilding infrastructure under challenging political and security</w:t>
      </w:r>
      <w:r>
        <w:t xml:space="preserve"> </w:t>
      </w:r>
      <w:r>
        <w:t xml:space="preserve">conditions. This expertise is directly transferable to Iranian</w:t>
      </w:r>
      <w:r>
        <w:t xml:space="preserve"> </w:t>
      </w:r>
      <w:r>
        <w:t xml:space="preserve">reconstruction.</w:t>
      </w:r>
    </w:p>
    <w:p>
      <w:pPr>
        <w:pStyle w:val="BodyText"/>
      </w:pPr>
      <w:r>
        <w:t xml:space="preserve">Type: Technical/Knowledge Transfer | Est. Allocation: $20-50M |</w:t>
      </w:r>
      <w:r>
        <w:t xml:space="preserve"> </w:t>
      </w:r>
      <w:r>
        <w:t xml:space="preserve">Application: Through bilateral technical cooperation and Lebanese</w:t>
      </w:r>
      <w:r>
        <w:t xml:space="preserve"> </w:t>
      </w:r>
      <w:r>
        <w:t xml:space="preserve">private sector engagement | Focus: Reconstruction expertise, financial</w:t>
      </w:r>
      <w:r>
        <w:t xml:space="preserve"> </w:t>
      </w:r>
      <w:r>
        <w:t xml:space="preserve">sector rehabilitation, urban planning.</w:t>
      </w:r>
    </w:p>
    <w:p>
      <w:pPr>
        <w:pStyle w:val="BodyText"/>
      </w:pPr>
      <w:r>
        <w:t xml:space="preserve">Morocco , Moroccan Agency for International Cooperation (AMCI)</w:t>
      </w:r>
    </w:p>
    <w:p>
      <w:pPr>
        <w:pStyle w:val="BodyText"/>
      </w:pPr>
      <w:r>
        <w:t xml:space="preserve">Morocco operates AMCI as its bilateral development cooperation agency</w:t>
      </w:r>
      <w:r>
        <w:t xml:space="preserve"> </w:t>
      </w:r>
      <w:r>
        <w:t xml:space="preserve">with expertise in South-South cooperation. Morocco has developed</w:t>
      </w:r>
      <w:r>
        <w:t xml:space="preserve"> </w:t>
      </w:r>
      <w:r>
        <w:t xml:space="preserve">significant renewable energy infrastructure (Noor Ouarzazate Solar</w:t>
      </w:r>
      <w:r>
        <w:t xml:space="preserve"> </w:t>
      </w:r>
      <w:r>
        <w:t xml:space="preserve">Complex - 580 MW) and water management systems. Morocco participates in</w:t>
      </w:r>
      <w:r>
        <w:t xml:space="preserve"> </w:t>
      </w:r>
      <w:r>
        <w:t xml:space="preserve">the OIC development framework.</w:t>
      </w:r>
    </w:p>
    <w:p>
      <w:pPr>
        <w:pStyle w:val="BodyText"/>
      </w:pPr>
      <w:r>
        <w:t xml:space="preserve">Type: Technical/South-South | Est. Allocation: $50-100M | Application:</w:t>
      </w:r>
      <w:r>
        <w:t xml:space="preserve"> </w:t>
      </w:r>
      <w:r>
        <w:t xml:space="preserve">Through AMCI and OIC cooperation frameworks | Focus: Renewable energy,</w:t>
      </w:r>
      <w:r>
        <w:t xml:space="preserve"> </w:t>
      </w:r>
      <w:r>
        <w:t xml:space="preserve">water management, South-South cooperation.</w:t>
      </w:r>
    </w:p>
    <w:p>
      <w:pPr>
        <w:pStyle w:val="BodyText"/>
      </w:pPr>
      <w:r>
        <w:t xml:space="preserve">Nigeria , Nigerian Sovereign Investment Authority (NSIA)</w:t>
      </w:r>
    </w:p>
    <w:p>
      <w:pPr>
        <w:pStyle w:val="BodyText"/>
      </w:pPr>
      <w:r>
        <w:t xml:space="preserve">Nigeria is Africa’s largest economy and an OIC member. The NSIA manages</w:t>
      </w:r>
      <w:r>
        <w:t xml:space="preserve"> </w:t>
      </w:r>
      <w:r>
        <w:t xml:space="preserve">Nigeria’s sovereign wealth with a mandate for infrastructure investment.</w:t>
      </w:r>
      <w:r>
        <w:t xml:space="preserve"> </w:t>
      </w:r>
      <w:r>
        <w:t xml:space="preserve">Nigeria participates in the OIC and Commonwealth development frameworks.</w:t>
      </w:r>
      <w:r>
        <w:t xml:space="preserve"> </w:t>
      </w:r>
      <w:r>
        <w:t xml:space="preserve">Nigerian construction firms (Julius Berger, Dangote Industries) possess</w:t>
      </w:r>
      <w:r>
        <w:t xml:space="preserve"> </w:t>
      </w:r>
      <w:r>
        <w:t xml:space="preserve">significant infrastructure development capacity.</w:t>
      </w:r>
    </w:p>
    <w:p>
      <w:pPr>
        <w:pStyle w:val="BodyText"/>
      </w:pPr>
      <w:r>
        <w:t xml:space="preserve">Type: Sovereign Investment/Technical | Est. Allocation: $100-300M |</w:t>
      </w:r>
      <w:r>
        <w:t xml:space="preserve"> </w:t>
      </w:r>
      <w:r>
        <w:t xml:space="preserve">Application: Through NSIA and OIC/BRICS frameworks | Focus:</w:t>
      </w:r>
      <w:r>
        <w:t xml:space="preserve"> </w:t>
      </w:r>
      <w:r>
        <w:t xml:space="preserve">Infrastructure investment, agriculture, energy.</w:t>
      </w:r>
    </w:p>
    <w:p>
      <w:pPr>
        <w:pStyle w:val="BodyText"/>
      </w:pPr>
      <w:r>
        <w:t xml:space="preserve">Tunisia , Bilateral Development Cooperation</w:t>
      </w:r>
    </w:p>
    <w:p>
      <w:pPr>
        <w:pStyle w:val="BodyText"/>
      </w:pPr>
      <w:r>
        <w:t xml:space="preserve">Tunisia participated in the Deauville Partnership with Arab Countries in</w:t>
      </w:r>
      <w:r>
        <w:t xml:space="preserve"> </w:t>
      </w:r>
      <w:r>
        <w:t xml:space="preserve">Transition, developing post-revolution reconstruction expertise. Tunisia</w:t>
      </w:r>
      <w:r>
        <w:t xml:space="preserve"> </w:t>
      </w:r>
      <w:r>
        <w:t xml:space="preserve">participates in the OIC and Arab development frameworks. Tunisia offers</w:t>
      </w:r>
      <w:r>
        <w:t xml:space="preserve"> </w:t>
      </w:r>
      <w:r>
        <w:t xml:space="preserve">knowledge transfer in democratic transition governance, media sector</w:t>
      </w:r>
      <w:r>
        <w:t xml:space="preserve"> </w:t>
      </w:r>
      <w:r>
        <w:t xml:space="preserve">development, and civil society engagement.</w:t>
      </w:r>
    </w:p>
    <w:p>
      <w:pPr>
        <w:pStyle w:val="BodyText"/>
      </w:pPr>
      <w:r>
        <w:t xml:space="preserve">Type: Knowledge Transfer | Est. Allocation: $20-40M | Application:</w:t>
      </w:r>
      <w:r>
        <w:t xml:space="preserve"> </w:t>
      </w:r>
      <w:r>
        <w:t xml:space="preserve">Through bilateral cooperation and OIC frameworks | Focus: Governance</w:t>
      </w:r>
      <w:r>
        <w:t xml:space="preserve"> </w:t>
      </w:r>
      <w:r>
        <w:t xml:space="preserve">transition, media, civil society.</w:t>
      </w:r>
    </w:p>
    <w:p>
      <w:pPr>
        <w:pStyle w:val="BodyText"/>
      </w:pPr>
      <w:r>
        <w:t xml:space="preserve">Ethiopia , Knowledge Transfer and Technical Cooperation</w:t>
      </w:r>
    </w:p>
    <w:p>
      <w:pPr>
        <w:pStyle w:val="BodyText"/>
      </w:pPr>
      <w:r>
        <w:t xml:space="preserve">Ethiopia has demonstrated rapid infrastructure development capacity,</w:t>
      </w:r>
      <w:r>
        <w:t xml:space="preserve"> </w:t>
      </w:r>
      <w:r>
        <w:t xml:space="preserve">building the Grand Ethiopian Renaissance Dam (6,450 MW), Africa’s</w:t>
      </w:r>
      <w:r>
        <w:t xml:space="preserve"> </w:t>
      </w:r>
      <w:r>
        <w:t xml:space="preserve">largest hydroelectric project, using domestic resources and limited</w:t>
      </w:r>
      <w:r>
        <w:t xml:space="preserve"> </w:t>
      </w:r>
      <w:r>
        <w:t xml:space="preserve">external financing. Ethiopia’s model of domestically financed</w:t>
      </w:r>
      <w:r>
        <w:t xml:space="preserve"> </w:t>
      </w:r>
      <w:r>
        <w:t xml:space="preserve">large-scale infrastructure development offers lessons for Iranian</w:t>
      </w:r>
      <w:r>
        <w:t xml:space="preserve"> </w:t>
      </w:r>
      <w:r>
        <w:t xml:space="preserve">self-financing under the NDF Co-Financing Match (Article 1.2(b)).</w:t>
      </w:r>
    </w:p>
    <w:p>
      <w:pPr>
        <w:pStyle w:val="BodyText"/>
      </w:pPr>
      <w:r>
        <w:t xml:space="preserve">Type: Knowledge Transfer | Est. Allocation: $10-20M | Application:</w:t>
      </w:r>
      <w:r>
        <w:t xml:space="preserve"> </w:t>
      </w:r>
      <w:r>
        <w:t xml:space="preserve">Through bilateral technical cooperation and BRICS frameworks | Focus:</w:t>
      </w:r>
      <w:r>
        <w:t xml:space="preserve"> </w:t>
      </w:r>
      <w:r>
        <w:t xml:space="preserve">Large-scale infrastructure development, domestic financing models.</w:t>
      </w:r>
    </w:p>
    <w:p>
      <w:pPr>
        <w:pStyle w:val="BodyText"/>
      </w:pPr>
      <w:r>
        <w:t xml:space="preserve">Kenya , Knowledge Transfer and Infrastructure Expertise</w:t>
      </w:r>
    </w:p>
    <w:p>
      <w:pPr>
        <w:pStyle w:val="BodyText"/>
      </w:pPr>
      <w:r>
        <w:t xml:space="preserve">Kenya has developed significant infrastructure PPP expertise, including</w:t>
      </w:r>
      <w:r>
        <w:t xml:space="preserve"> </w:t>
      </w:r>
      <w:r>
        <w:t xml:space="preserve">the Nairobi-Mombasa Standard Gauge Railway and the Lamu Port-South</w:t>
      </w:r>
      <w:r>
        <w:t xml:space="preserve"> </w:t>
      </w:r>
      <w:r>
        <w:t xml:space="preserve">Sudan-Ethiopia Transport (LAPSSET) Corridor. Kenya participates in the</w:t>
      </w:r>
      <w:r>
        <w:t xml:space="preserve"> </w:t>
      </w:r>
      <w:r>
        <w:t xml:space="preserve">IFC’s Kakuma Kalobeyei Challenge Fund model. Kenya’s experience in</w:t>
      </w:r>
      <w:r>
        <w:t xml:space="preserve"> </w:t>
      </w:r>
      <w:r>
        <w:t xml:space="preserve">conflict-sensitive blended finance is directly applicable to Iranian</w:t>
      </w:r>
      <w:r>
        <w:t xml:space="preserve"> </w:t>
      </w:r>
      <w:r>
        <w:t xml:space="preserve">reconstruction.</w:t>
      </w:r>
    </w:p>
    <w:p>
      <w:pPr>
        <w:pStyle w:val="BodyText"/>
      </w:pPr>
      <w:r>
        <w:t xml:space="preserve">Type: Knowledge Transfer | Est. Allocation: $20-40M | Application:</w:t>
      </w:r>
      <w:r>
        <w:t xml:space="preserve"> </w:t>
      </w:r>
      <w:r>
        <w:t xml:space="preserve">Through bilateral technical cooperation | Focus: PPP structuring,</w:t>
      </w:r>
      <w:r>
        <w:t xml:space="preserve"> </w:t>
      </w:r>
      <w:r>
        <w:t xml:space="preserve">transport corridors, conflict-sensitive finance.</w:t>
      </w:r>
    </w:p>
    <w:p>
      <w:pPr>
        <w:pStyle w:val="BodyText"/>
      </w:pPr>
      <w:r>
        <w:t xml:space="preserve">Senegal , Knowledge Transfer and Technical Cooperation</w:t>
      </w:r>
    </w:p>
    <w:p>
      <w:pPr>
        <w:pStyle w:val="BodyText"/>
      </w:pPr>
      <w:r>
        <w:t xml:space="preserve">Senegal is a model for post-conflict governance stability in the West</w:t>
      </w:r>
      <w:r>
        <w:t xml:space="preserve"> </w:t>
      </w:r>
      <w:r>
        <w:t xml:space="preserve">Africa region. Senegal participates in the OIC and has developed</w:t>
      </w:r>
      <w:r>
        <w:t xml:space="preserve"> </w:t>
      </w:r>
      <w:r>
        <w:t xml:space="preserve">expertise in agricultural value chains, renewable energy, and coastal</w:t>
      </w:r>
      <w:r>
        <w:t xml:space="preserve"> </w:t>
      </w:r>
      <w:r>
        <w:t xml:space="preserve">zone management. Senegal’s experience in managing the Grand Ethiopian</w:t>
      </w:r>
      <w:r>
        <w:t xml:space="preserve"> </w:t>
      </w:r>
      <w:r>
        <w:t xml:space="preserve">Renaissance Dam dispute offers relevant diplomatic expertise.</w:t>
      </w:r>
    </w:p>
    <w:p>
      <w:pPr>
        <w:pStyle w:val="BodyText"/>
      </w:pPr>
      <w:r>
        <w:t xml:space="preserve">Type: Knowledge Transfer | Est. Allocation: $10-20M | Application:</w:t>
      </w:r>
      <w:r>
        <w:t xml:space="preserve"> </w:t>
      </w:r>
      <w:r>
        <w:t xml:space="preserve">Through bilateral technical cooperation and OIC frameworks | Focus:</w:t>
      </w:r>
      <w:r>
        <w:t xml:space="preserve"> </w:t>
      </w:r>
      <w:r>
        <w:t xml:space="preserve">Agricultural value chains, renewable energy, governance.</w:t>
      </w:r>
    </w:p>
    <w:p>
      <w:pPr>
        <w:pStyle w:val="BodyText"/>
      </w:pPr>
      <w:r>
        <w:t xml:space="preserve">I.4 Americas</w:t>
      </w:r>
    </w:p>
    <w:p>
      <w:pPr>
        <w:pStyle w:val="BodyText"/>
      </w:pPr>
      <w:r>
        <w:t xml:space="preserve">Canada , Global Affairs Canada (GAC)</w:t>
      </w:r>
    </w:p>
    <w:p>
      <w:pPr>
        <w:pStyle w:val="BodyText"/>
      </w:pPr>
      <w:r>
        <w:t xml:space="preserve">Canada’s International Assistance Envelope totals approximately CAD 7.89</w:t>
      </w:r>
      <w:r>
        <w:t xml:space="preserve"> </w:t>
      </w:r>
      <w:r>
        <w:t xml:space="preserve">billion annually. Canada contributes extensively to World Bank trust</w:t>
      </w:r>
      <w:r>
        <w:t xml:space="preserve"> </w:t>
      </w:r>
      <w:r>
        <w:t xml:space="preserve">funds, UN agencies, and regional development banks. Canada maintains</w:t>
      </w:r>
      <w:r>
        <w:t xml:space="preserve"> </w:t>
      </w:r>
      <w:r>
        <w:t xml:space="preserve">board representation at eight international financial institutions. The</w:t>
      </w:r>
      <w:r>
        <w:t xml:space="preserve"> </w:t>
      </w:r>
      <w:r>
        <w:t xml:space="preserve">Canada Pension Plan Investment Board (CPP Investments) is a potential</w:t>
      </w:r>
      <w:r>
        <w:t xml:space="preserve"> </w:t>
      </w:r>
      <w:r>
        <w:t xml:space="preserve">private capital participant in the MRF Supporting Tier through the PRI</w:t>
      </w:r>
      <w:r>
        <w:t xml:space="preserve"> </w:t>
      </w:r>
      <w:r>
        <w:t xml:space="preserve">Pool.</w:t>
      </w:r>
    </w:p>
    <w:p>
      <w:pPr>
        <w:pStyle w:val="BodyText"/>
      </w:pPr>
      <w:r>
        <w:t xml:space="preserve">Type: Multilateral/Private Capital | Est. Allocation: $300-500M |</w:t>
      </w:r>
      <w:r>
        <w:t xml:space="preserve"> </w:t>
      </w:r>
      <w:r>
        <w:t xml:space="preserve">Application: Through GAC multilateral channels and CPP Investments</w:t>
      </w:r>
      <w:r>
        <w:t xml:space="preserve"> </w:t>
      </w:r>
      <w:r>
        <w:t xml:space="preserve">co-investment | Focus: Infrastructure, climate, governance.</w:t>
      </w:r>
    </w:p>
    <w:p>
      <w:pPr>
        <w:pStyle w:val="BodyText"/>
      </w:pPr>
      <w:r>
        <w:t xml:space="preserve">Mexico , Mexican Agency for International Development Cooperation (AMEXCID)</w:t>
      </w:r>
    </w:p>
    <w:p>
      <w:pPr>
        <w:pStyle w:val="BodyText"/>
      </w:pPr>
      <w:r>
        <w:t xml:space="preserve">Mexico provided USD 208.7 million in ODA in 2023. AMEXCID operates the</w:t>
      </w:r>
      <w:r>
        <w:t xml:space="preserve"> </w:t>
      </w:r>
      <w:r>
        <w:t xml:space="preserve">ABC Cooperation (South-South and Triangular Cooperation) program with</w:t>
      </w:r>
      <w:r>
        <w:t xml:space="preserve"> </w:t>
      </w:r>
      <w:r>
        <w:t xml:space="preserve">expertise in agricultural innovation, public health, and climate</w:t>
      </w:r>
      <w:r>
        <w:t xml:space="preserve"> </w:t>
      </w:r>
      <w:r>
        <w:t xml:space="preserve">adaptation. Mexico’s National Institute for Forestry, Agriculture and</w:t>
      </w:r>
      <w:r>
        <w:t xml:space="preserve"> </w:t>
      </w:r>
      <w:r>
        <w:t xml:space="preserve">Livestock Research (INIFAP) provides technical cooperation in</w:t>
      </w:r>
      <w:r>
        <w:t xml:space="preserve"> </w:t>
      </w:r>
      <w:r>
        <w:t xml:space="preserve">drought-resistant agriculture.</w:t>
      </w:r>
    </w:p>
    <w:p>
      <w:pPr>
        <w:pStyle w:val="BodyText"/>
      </w:pPr>
      <w:r>
        <w:t xml:space="preserve">Type: Technical/South-South | Est. Allocation: $30-50M | Application:</w:t>
      </w:r>
      <w:r>
        <w:t xml:space="preserve"> </w:t>
      </w:r>
      <w:r>
        <w:t xml:space="preserve">Through AMEXCID ABC Cooperation program | Focus: Agricultural</w:t>
      </w:r>
      <w:r>
        <w:t xml:space="preserve"> </w:t>
      </w:r>
      <w:r>
        <w:t xml:space="preserve">technology, climate adaptation, public health.</w:t>
      </w:r>
    </w:p>
    <w:p>
      <w:pPr>
        <w:pStyle w:val="BodyText"/>
      </w:pPr>
      <w:r>
        <w:t xml:space="preserve">Brazil , Brazilian Agricultural Research Corporation (EMBRAPA)</w:t>
      </w:r>
    </w:p>
    <w:p>
      <w:pPr>
        <w:pStyle w:val="BodyText"/>
      </w:pPr>
      <w:r>
        <w:t xml:space="preserve">Brazil is a BRICS member with world-leading agricultural technology</w:t>
      </w:r>
      <w:r>
        <w:t xml:space="preserve"> </w:t>
      </w:r>
      <w:r>
        <w:t xml:space="preserve">expertise. EMBRAPA operates as one of the world’s premier agricultural</w:t>
      </w:r>
      <w:r>
        <w:t xml:space="preserve"> </w:t>
      </w:r>
      <w:r>
        <w:t xml:space="preserve">research institutions. The Brazilian Development Bank (BNDES) provides</w:t>
      </w:r>
      <w:r>
        <w:t xml:space="preserve"> </w:t>
      </w:r>
      <w:r>
        <w:t xml:space="preserve">export credit for Brazilian equipment and technology. Brazil and Iran</w:t>
      </w:r>
      <w:r>
        <w:t xml:space="preserve"> </w:t>
      </w:r>
      <w:r>
        <w:t xml:space="preserve">maintain active trade relations in agricultural commodities.</w:t>
      </w:r>
    </w:p>
    <w:p>
      <w:pPr>
        <w:pStyle w:val="BodyText"/>
      </w:pPr>
      <w:r>
        <w:t xml:space="preserve">Type: Technical/Export Credit | Est. Allocation: $300-500M |</w:t>
      </w:r>
      <w:r>
        <w:t xml:space="preserve"> </w:t>
      </w:r>
      <w:r>
        <w:t xml:space="preserve">Application: Through EMBRAPA technical cooperation and BNDES export</w:t>
      </w:r>
      <w:r>
        <w:t xml:space="preserve"> </w:t>
      </w:r>
      <w:r>
        <w:t xml:space="preserve">credit | Focus: Agricultural technology, food security, biofuels,</w:t>
      </w:r>
      <w:r>
        <w:t xml:space="preserve"> </w:t>
      </w:r>
      <w:r>
        <w:t xml:space="preserve">precision agriculture.</w:t>
      </w:r>
    </w:p>
    <w:p>
      <w:pPr>
        <w:pStyle w:val="BodyText"/>
      </w:pPr>
      <w:r>
        <w:t xml:space="preserve">Argentina , Bilateral Cooperation and Knowledge Transfer</w:t>
      </w:r>
    </w:p>
    <w:p>
      <w:pPr>
        <w:pStyle w:val="BodyText"/>
      </w:pPr>
      <w:r>
        <w:t xml:space="preserve">Argentina and Iran maintain bilateral relations with cooperation in</w:t>
      </w:r>
      <w:r>
        <w:t xml:space="preserve"> </w:t>
      </w:r>
      <w:r>
        <w:t xml:space="preserve">agriculture, science and technology, and energy. Argentina possesses</w:t>
      </w:r>
      <w:r>
        <w:t xml:space="preserve"> </w:t>
      </w:r>
      <w:r>
        <w:t xml:space="preserve">expertise in agricultural biotechnology (INTA - National Agricultural</w:t>
      </w:r>
      <w:r>
        <w:t xml:space="preserve"> </w:t>
      </w:r>
      <w:r>
        <w:t xml:space="preserve">Technology Institute), lithium extraction, and nuclear energy technology</w:t>
      </w:r>
      <w:r>
        <w:t xml:space="preserve"> </w:t>
      </w:r>
      <w:r>
        <w:t xml:space="preserve">(INVAP). Argentina participates in the BRICS development framework.</w:t>
      </w:r>
    </w:p>
    <w:p>
      <w:pPr>
        <w:pStyle w:val="BodyText"/>
      </w:pPr>
      <w:r>
        <w:t xml:space="preserve">Type: Technical/BRICS | Est. Allocation: $50-100M | Application: Through</w:t>
      </w:r>
      <w:r>
        <w:t xml:space="preserve"> </w:t>
      </w:r>
      <w:r>
        <w:t xml:space="preserve">bilateral cooperation and BRICS mechanisms | Focus: Agricultural</w:t>
      </w:r>
      <w:r>
        <w:t xml:space="preserve"> </w:t>
      </w:r>
      <w:r>
        <w:t xml:space="preserve">technology, energy, science and technology.</w:t>
      </w:r>
    </w:p>
    <w:p>
      <w:pPr>
        <w:pStyle w:val="BodyText"/>
      </w:pPr>
      <w:r>
        <w:t xml:space="preserve">I.5 Additional OIC Member Countries with Development Capacity</w:t>
      </w:r>
    </w:p>
    <w:p>
      <w:pPr>
        <w:pStyle w:val="BodyText"/>
      </w:pPr>
      <w:r>
        <w:t xml:space="preserve">Algeria , Bilateral Development Cooperation</w:t>
      </w:r>
    </w:p>
    <w:p>
      <w:pPr>
        <w:pStyle w:val="BodyText"/>
      </w:pPr>
      <w:r>
        <w:t xml:space="preserve">Algeria is a major hydrocarbon producer with sovereign wealth resources.</w:t>
      </w:r>
      <w:r>
        <w:t xml:space="preserve"> </w:t>
      </w:r>
      <w:r>
        <w:t xml:space="preserve">Algeria participates in the OIC, Arab League, and African Union</w:t>
      </w:r>
      <w:r>
        <w:t xml:space="preserve"> </w:t>
      </w:r>
      <w:r>
        <w:t xml:space="preserve">development frameworks. Algeria has extensive desert agriculture</w:t>
      </w:r>
      <w:r>
        <w:t xml:space="preserve"> </w:t>
      </w:r>
      <w:r>
        <w:t xml:space="preserve">expertise through its Sahara irrigation programs and solar energy</w:t>
      </w:r>
      <w:r>
        <w:t xml:space="preserve"> </w:t>
      </w:r>
      <w:r>
        <w:t xml:space="preserve">development in the Hassi R’Mel region.</w:t>
      </w:r>
    </w:p>
    <w:p>
      <w:pPr>
        <w:pStyle w:val="BodyText"/>
      </w:pPr>
      <w:r>
        <w:t xml:space="preserve">Type: Bilateral/Technical | Est. Allocation: $100-200M | Application:</w:t>
      </w:r>
      <w:r>
        <w:t xml:space="preserve"> </w:t>
      </w:r>
      <w:r>
        <w:t xml:space="preserve">Through bilateral cooperation and OIC frameworks | Focus: Desert</w:t>
      </w:r>
      <w:r>
        <w:t xml:space="preserve"> </w:t>
      </w:r>
      <w:r>
        <w:t xml:space="preserve">agriculture, solar energy, hydrocarbon expertise.</w:t>
      </w:r>
    </w:p>
    <w:p>
      <w:pPr>
        <w:pStyle w:val="BodyText"/>
      </w:pPr>
      <w:r>
        <w:t xml:space="preserve">Bangladesh , Knowledge Transfer and Technical Cooperation</w:t>
      </w:r>
    </w:p>
    <w:p>
      <w:pPr>
        <w:pStyle w:val="BodyText"/>
      </w:pPr>
      <w:r>
        <w:t xml:space="preserve">Bangladesh has achieved remarkable development progress, graduating from</w:t>
      </w:r>
      <w:r>
        <w:t xml:space="preserve"> </w:t>
      </w:r>
      <w:r>
        <w:t xml:space="preserve">Least Developed Country status. Bangladesh’s expertise in disaster</w:t>
      </w:r>
      <w:r>
        <w:t xml:space="preserve"> </w:t>
      </w:r>
      <w:r>
        <w:t xml:space="preserve">preparedness, climate adaptation (floating agriculture, cyclone</w:t>
      </w:r>
      <w:r>
        <w:t xml:space="preserve"> </w:t>
      </w:r>
      <w:r>
        <w:t xml:space="preserve">shelters), microfinance (Grameen Bank model), and garment industry</w:t>
      </w:r>
      <w:r>
        <w:t xml:space="preserve"> </w:t>
      </w:r>
      <w:r>
        <w:t xml:space="preserve">development is applicable to Iranian reconstruction. Bangladesh</w:t>
      </w:r>
      <w:r>
        <w:t xml:space="preserve"> </w:t>
      </w:r>
      <w:r>
        <w:t xml:space="preserve">participates in the OIC and Commonwealth.</w:t>
      </w:r>
    </w:p>
    <w:p>
      <w:pPr>
        <w:pStyle w:val="BodyText"/>
      </w:pPr>
      <w:r>
        <w:t xml:space="preserve">Type: Knowledge Transfer | Est. Allocation: $20-40M | Application:</w:t>
      </w:r>
      <w:r>
        <w:t xml:space="preserve"> </w:t>
      </w:r>
      <w:r>
        <w:t xml:space="preserve">Through bilateral technical cooperation and OIC frameworks | Focus:</w:t>
      </w:r>
      <w:r>
        <w:t xml:space="preserve"> </w:t>
      </w:r>
      <w:r>
        <w:t xml:space="preserve">Disaster preparedness, climate adaptation, microfinance.</w:t>
      </w:r>
    </w:p>
    <w:p>
      <w:pPr>
        <w:pStyle w:val="BodyText"/>
      </w:pPr>
      <w:r>
        <w:t xml:space="preserve">Sudan , Knowledge Transfer and Agricultural Expertise</w:t>
      </w:r>
    </w:p>
    <w:p>
      <w:pPr>
        <w:pStyle w:val="BodyText"/>
      </w:pPr>
      <w:r>
        <w:t xml:space="preserve">Sudan possesses expertise in large-scale irrigated agriculture through</w:t>
      </w:r>
      <w:r>
        <w:t xml:space="preserve"> </w:t>
      </w:r>
      <w:r>
        <w:t xml:space="preserve">the Gezira Scheme (one of the world’s largest irrigation projects).</w:t>
      </w:r>
      <w:r>
        <w:t xml:space="preserve"> </w:t>
      </w:r>
      <w:r>
        <w:t xml:space="preserve">Sudan participates in the OIC and Arab development frameworks. Sudanese</w:t>
      </w:r>
      <w:r>
        <w:t xml:space="preserve"> </w:t>
      </w:r>
      <w:r>
        <w:t xml:space="preserve">agricultural expertise in arid-zone farming and water harvesting</w:t>
      </w:r>
      <w:r>
        <w:t xml:space="preserve"> </w:t>
      </w:r>
      <w:r>
        <w:t xml:space="preserve">techniques is applicable to Iranian agricultural reconstruction.</w:t>
      </w:r>
    </w:p>
    <w:p>
      <w:pPr>
        <w:pStyle w:val="BodyText"/>
      </w:pPr>
      <w:r>
        <w:t xml:space="preserve">Type: Knowledge Transfer | Est. Allocation: $10-20M | Application:</w:t>
      </w:r>
      <w:r>
        <w:t xml:space="preserve"> </w:t>
      </w:r>
      <w:r>
        <w:t xml:space="preserve">Through bilateral technical cooperation and OIC frameworks | Focus:</w:t>
      </w:r>
      <w:r>
        <w:t xml:space="preserve"> </w:t>
      </w:r>
      <w:r>
        <w:t xml:space="preserve">Irrigated agriculture, water harvesting, arid-zone farming.</w:t>
      </w:r>
    </w:p>
    <w:p>
      <w:pPr>
        <w:pStyle w:val="BodyText"/>
      </w:pPr>
      <w:r>
        <w:t xml:space="preserve">Tajikistan , Central Asian Regional Cooperation</w:t>
      </w:r>
    </w:p>
    <w:p>
      <w:pPr>
        <w:pStyle w:val="BodyText"/>
      </w:pPr>
      <w:r>
        <w:t xml:space="preserve">Tajikistan and Iran share linguistic, cultural, and historical ties.</w:t>
      </w:r>
      <w:r>
        <w:t xml:space="preserve"> </w:t>
      </w:r>
      <w:r>
        <w:t xml:space="preserve">Tajikistan possesses significant hydropower expertise, including the</w:t>
      </w:r>
      <w:r>
        <w:t xml:space="preserve"> </w:t>
      </w:r>
      <w:r>
        <w:t xml:space="preserve">Nurek Dam (300 MW) and the Rogun Dam (3,600 MW under construction).</w:t>
      </w:r>
      <w:r>
        <w:t xml:space="preserve"> </w:t>
      </w:r>
      <w:r>
        <w:t xml:space="preserve">Tajikistan participates in Central Asian regional cooperation frameworks</w:t>
      </w:r>
      <w:r>
        <w:t xml:space="preserve"> </w:t>
      </w:r>
      <w:r>
        <w:t xml:space="preserve">that complement Iran’s reconstruction connectivity needs.</w:t>
      </w:r>
    </w:p>
    <w:p>
      <w:pPr>
        <w:pStyle w:val="BodyText"/>
      </w:pPr>
      <w:r>
        <w:t xml:space="preserve">Type: Regional/Technical | Est. Allocation: $20-40M | Application:</w:t>
      </w:r>
      <w:r>
        <w:t xml:space="preserve"> </w:t>
      </w:r>
      <w:r>
        <w:t xml:space="preserve">Through bilateral cooperation and Central Asian regional frameworks |</w:t>
      </w:r>
      <w:r>
        <w:t xml:space="preserve"> </w:t>
      </w:r>
      <w:r>
        <w:t xml:space="preserve">Focus: Hydropower, water management, regional connectivity.</w:t>
      </w:r>
    </w:p>
    <w:p>
      <w:pPr>
        <w:pStyle w:val="BodyText"/>
      </w:pPr>
      <w:r>
        <w:t xml:space="preserve">Turkmenistan , Bilateral Energy and Transport Cooperation</w:t>
      </w:r>
    </w:p>
    <w:p>
      <w:pPr>
        <w:pStyle w:val="BodyText"/>
      </w:pPr>
      <w:r>
        <w:t xml:space="preserve">Turkmenistan and Iran share extensive energy infrastructure, including</w:t>
      </w:r>
      <w:r>
        <w:t xml:space="preserve"> </w:t>
      </w:r>
      <w:r>
        <w:t xml:space="preserve">the Dauletabad-Sarakhs-Khangiran gas pipeline. Turkmenistan participates</w:t>
      </w:r>
      <w:r>
        <w:t xml:space="preserve"> </w:t>
      </w:r>
      <w:r>
        <w:t xml:space="preserve">in the China-Central Asia gas pipeline network and the International</w:t>
      </w:r>
      <w:r>
        <w:t xml:space="preserve"> </w:t>
      </w:r>
      <w:r>
        <w:t xml:space="preserve">North-South Transport Corridor. Kazakhstan committed approximately $500</w:t>
      </w:r>
      <w:r>
        <w:t xml:space="preserve"> </w:t>
      </w:r>
      <w:r>
        <w:t xml:space="preserve">million for a Kazakhstan-Turkmenistan-Afghanistan railway through the</w:t>
      </w:r>
      <w:r>
        <w:t xml:space="preserve"> </w:t>
      </w:r>
      <w:r>
        <w:t xml:space="preserve">IsDB.</w:t>
      </w:r>
    </w:p>
    <w:p>
      <w:pPr>
        <w:pStyle w:val="BodyText"/>
      </w:pPr>
      <w:r>
        <w:t xml:space="preserve">Type: Bilateral/Regional | Est. Allocation: $100-300M | Application:</w:t>
      </w:r>
      <w:r>
        <w:t xml:space="preserve"> </w:t>
      </w:r>
      <w:r>
        <w:t xml:space="preserve">Through bilateral energy and transport agreements | Focus: Energy</w:t>
      </w:r>
      <w:r>
        <w:t xml:space="preserve"> </w:t>
      </w:r>
      <w:r>
        <w:t xml:space="preserve">infrastructure, transport corridors, regional connectivity.</w:t>
      </w:r>
    </w:p>
    <w:p>
      <w:pPr>
        <w:pStyle w:val="BodyText"/>
      </w:pPr>
      <w:r>
        <w:t xml:space="preserve">Uzbekistan , Central Asian Regional Cooperation</w:t>
      </w:r>
    </w:p>
    <w:p>
      <w:pPr>
        <w:pStyle w:val="BodyText"/>
      </w:pPr>
      <w:r>
        <w:t xml:space="preserve">Uzbekistan and Iran maintain bilateral cooperation through the Joint</w:t>
      </w:r>
      <w:r>
        <w:t xml:space="preserve"> </w:t>
      </w:r>
      <w:r>
        <w:t xml:space="preserve">Economic Commission. Uzbekistan has significant expertise in irrigated</w:t>
      </w:r>
      <w:r>
        <w:t xml:space="preserve"> </w:t>
      </w:r>
      <w:r>
        <w:t xml:space="preserve">cotton agriculture, silk production, and artisanal crafts. Uzbekistan</w:t>
      </w:r>
      <w:r>
        <w:t xml:space="preserve"> </w:t>
      </w:r>
      <w:r>
        <w:t xml:space="preserve">participates in the China-Central Asia-West Asia Economic Corridor,</w:t>
      </w:r>
      <w:r>
        <w:t xml:space="preserve"> </w:t>
      </w:r>
      <w:r>
        <w:t xml:space="preserve">which connects to Iranian transport infrastructure.</w:t>
      </w:r>
    </w:p>
    <w:p>
      <w:pPr>
        <w:pStyle w:val="BodyText"/>
      </w:pPr>
      <w:r>
        <w:t xml:space="preserve">Type: Bilateral/Regional | Est. Allocation: $50-100M | Application:</w:t>
      </w:r>
      <w:r>
        <w:t xml:space="preserve"> </w:t>
      </w:r>
      <w:r>
        <w:t xml:space="preserve">Through bilateral cooperation and regional corridor frameworks | Focus:</w:t>
      </w:r>
      <w:r>
        <w:t xml:space="preserve"> </w:t>
      </w:r>
      <w:r>
        <w:t xml:space="preserve">Agriculture, transport connectivity, cultural heritage.</w:t>
      </w:r>
    </w:p>
    <w:p>
      <w:pPr>
        <w:pStyle w:val="BodyText"/>
      </w:pPr>
      <w:r>
        <w:t xml:space="preserve">I.6 Innovative and Cross-Cutting Financing Mechanisms</w:t>
      </w:r>
    </w:p>
    <w:p>
      <w:pPr>
        <w:pStyle w:val="BodyText"/>
      </w:pPr>
      <w:r>
        <w:t xml:space="preserve">The following mechanisms are identified through systematic analysis of</w:t>
      </w:r>
      <w:r>
        <w:t xml:space="preserve"> </w:t>
      </w:r>
      <w:r>
        <w:t xml:space="preserve">international finance literature and development finance databases.</w:t>
      </w:r>
      <w:r>
        <w:t xml:space="preserve"> </w:t>
      </w:r>
      <w:r>
        <w:t xml:space="preserve">These mechanisms complement the MRF’s existing architecture and provide</w:t>
      </w:r>
      <w:r>
        <w:t xml:space="preserve"> </w:t>
      </w:r>
      <w:r>
        <w:t xml:space="preserve">additional pathways for capital mobilization.</w:t>
      </w:r>
    </w:p>
    <w:p>
      <w:pPr>
        <w:pStyle w:val="BodyText"/>
      </w:pPr>
      <w:r>
        <w:t xml:space="preserve">First-Loss Capital Mechanisms</w:t>
      </w:r>
    </w:p>
    <w:p>
      <w:pPr>
        <w:pStyle w:val="BodyText"/>
      </w:pPr>
      <w:r>
        <w:t xml:space="preserve">First-loss capital involves concessional or philanthropic capital that</w:t>
      </w:r>
      <w:r>
        <w:t xml:space="preserve"> </w:t>
      </w:r>
      <w:r>
        <w:t xml:space="preserve">absorbs initial losses, protecting senior private investors. The UN</w:t>
      </w:r>
      <w:r>
        <w:t xml:space="preserve"> </w:t>
      </w:r>
      <w:r>
        <w:t xml:space="preserve">Capital Development Fund (UNCDF) ReStart Fund provides catalytic</w:t>
      </w:r>
      <w:r>
        <w:t xml:space="preserve"> </w:t>
      </w:r>
      <w:r>
        <w:t xml:space="preserve">de-risking instruments for fragile settings. First-loss capital is</w:t>
      </w:r>
      <w:r>
        <w:t xml:space="preserve"> </w:t>
      </w:r>
      <w:r>
        <w:t xml:space="preserve">particularly valuable for Iran as the primary barrier to private</w:t>
      </w:r>
      <w:r>
        <w:t xml:space="preserve"> </w:t>
      </w:r>
      <w:r>
        <w:t xml:space="preserve">investment is perceived risk.</w:t>
      </w:r>
    </w:p>
    <w:p>
      <w:pPr>
        <w:pStyle w:val="BodyText"/>
      </w:pPr>
      <w:r>
        <w:t xml:space="preserve">The MRF structures first-loss capital through: (1) The PRI Pool</w:t>
      </w:r>
      <w:r>
        <w:t xml:space="preserve"> </w:t>
      </w:r>
      <w:r>
        <w:t xml:space="preserve">absorbing initial losses on private investments, (2) Contingency Reserve</w:t>
      </w:r>
      <w:r>
        <w:t xml:space="preserve"> </w:t>
      </w:r>
      <w:r>
        <w:t xml:space="preserve">Funds covering cost overruns, (3) The Qatar Central Bank providing</w:t>
      </w:r>
      <w:r>
        <w:t xml:space="preserve"> </w:t>
      </w:r>
      <w:r>
        <w:t xml:space="preserve">partial credit guarantees for senior tranches. This layering enables</w:t>
      </w:r>
      <w:r>
        <w:t xml:space="preserve"> </w:t>
      </w:r>
      <w:r>
        <w:t xml:space="preserve">pension funds and insurance companies to invest at scale.</w:t>
      </w:r>
    </w:p>
    <w:p>
      <w:pPr>
        <w:pStyle w:val="BodyText"/>
      </w:pPr>
      <w:r>
        <w:t xml:space="preserve">Infrastructure Asset-Backed Securitization (IABS)</w:t>
      </w:r>
    </w:p>
    <w:p>
      <w:pPr>
        <w:pStyle w:val="BodyText"/>
      </w:pPr>
      <w:r>
        <w:t xml:space="preserve">IABS converts future infrastructure revenue streams into upfront capital</w:t>
      </w:r>
      <w:r>
        <w:t xml:space="preserve"> </w:t>
      </w:r>
      <w:r>
        <w:t xml:space="preserve">through bond issuance. Completed MRF assets (toll roads, power plants,</w:t>
      </w:r>
      <w:r>
        <w:t xml:space="preserve"> </w:t>
      </w:r>
      <w:r>
        <w:t xml:space="preserve">water utilities) generate revenue that is securitized and sold to</w:t>
      </w:r>
      <w:r>
        <w:t xml:space="preserve"> </w:t>
      </w:r>
      <w:r>
        <w:t xml:space="preserve">institutional investors. Proceeds from bond issuance flow into Sub-Funds</w:t>
      </w:r>
      <w:r>
        <w:t xml:space="preserve"> </w:t>
      </w:r>
      <w:r>
        <w:t xml:space="preserve">for deployment to new projects, enabling capital recycling across</w:t>
      </w:r>
      <w:r>
        <w:t xml:space="preserve"> </w:t>
      </w:r>
      <w:r>
        <w:t xml:space="preserve">multiple project generations.</w:t>
      </w:r>
    </w:p>
    <w:p>
      <w:pPr>
        <w:pStyle w:val="BodyText"/>
      </w:pPr>
      <w:r>
        <w:t xml:space="preserve">Mutual Reliance Agreements (MRAs) for MDB Co-Financing</w:t>
      </w:r>
    </w:p>
    <w:p>
      <w:pPr>
        <w:pStyle w:val="BodyText"/>
      </w:pPr>
      <w:r>
        <w:t xml:space="preserve">MRAs enable one MDB to rely on another’s procurement, environmental, and</w:t>
      </w:r>
      <w:r>
        <w:t xml:space="preserve"> </w:t>
      </w:r>
      <w:r>
        <w:t xml:space="preserve">social safeguard procedures, reducing transaction costs and accelerating</w:t>
      </w:r>
      <w:r>
        <w:t xml:space="preserve"> </w:t>
      </w:r>
      <w:r>
        <w:t xml:space="preserve">project processing. The RSC pursues MRAs with the World Bank, ADB, IsDB,</w:t>
      </w:r>
      <w:r>
        <w:t xml:space="preserve"> </w:t>
      </w:r>
      <w:r>
        <w:t xml:space="preserve">and AfDB. Under an MRA, the World Bank relies on IsDB procurement</w:t>
      </w:r>
      <w:r>
        <w:t xml:space="preserve"> </w:t>
      </w:r>
      <w:r>
        <w:t xml:space="preserve">procedures for co-financed projects, eliminating duplicate processes.</w:t>
      </w:r>
    </w:p>
    <w:p>
      <w:pPr>
        <w:pStyle w:val="BodyText"/>
      </w:pPr>
      <w:r>
        <w:t xml:space="preserve">Green Sukuk for Climate Finance</w:t>
      </w:r>
    </w:p>
    <w:p>
      <w:pPr>
        <w:pStyle w:val="BodyText"/>
      </w:pPr>
      <w:r>
        <w:t xml:space="preserve">The IsDB issued its inaugural Green Sukuk in 2024 (EUR 500 million, 5x</w:t>
      </w:r>
      <w:r>
        <w:t xml:space="preserve"> </w:t>
      </w:r>
      <w:r>
        <w:t xml:space="preserve">oversubscribed), demonstrating strong demand for Shari’ah-compliant</w:t>
      </w:r>
      <w:r>
        <w:t xml:space="preserve"> </w:t>
      </w:r>
      <w:r>
        <w:t xml:space="preserve">climate finance. Indonesia has issued over $3.5 billion in sovereign</w:t>
      </w:r>
      <w:r>
        <w:t xml:space="preserve"> </w:t>
      </w:r>
      <w:r>
        <w:t xml:space="preserve">Green Sukuk for renewable energy and climate adaptation. Malaysia</w:t>
      </w:r>
      <w:r>
        <w:t xml:space="preserve"> </w:t>
      </w:r>
      <w:r>
        <w:t xml:space="preserve">operates the world’s largest sukuk market. These precedents enable MRF</w:t>
      </w:r>
      <w:r>
        <w:t xml:space="preserve"> </w:t>
      </w:r>
      <w:r>
        <w:t xml:space="preserve">Green Sukuk issuances specifically for Iranian climate-resilient</w:t>
      </w:r>
      <w:r>
        <w:t xml:space="preserve"> </w:t>
      </w:r>
      <w:r>
        <w:t xml:space="preserve">reconstruction.</w:t>
      </w:r>
    </w:p>
    <w:p>
      <w:pPr>
        <w:pStyle w:val="BodyText"/>
      </w:pPr>
      <w:r>
        <w:t xml:space="preserve">Conflict-Sensitive Blended Finance (KKCF Model)</w:t>
      </w:r>
    </w:p>
    <w:p>
      <w:pPr>
        <w:pStyle w:val="BodyText"/>
      </w:pPr>
      <w:r>
        <w:t xml:space="preserve">The IFC’s Kakuma Kalobeyei Challenge Fund demonstrates a dual-benefit</w:t>
      </w:r>
      <w:r>
        <w:t xml:space="preserve"> </w:t>
      </w:r>
      <w:r>
        <w:t xml:space="preserve">blended finance model treating crisis-affected areas as investable</w:t>
      </w:r>
      <w:r>
        <w:t xml:space="preserve"> </w:t>
      </w:r>
      <w:r>
        <w:t xml:space="preserve">markets. Key principles: (1) displaced populations are part of the</w:t>
      </w:r>
      <w:r>
        <w:t xml:space="preserve"> </w:t>
      </w:r>
      <w:r>
        <w:t xml:space="preserve">market, (2) grants connect to downstream credit, (3) broad partnerships</w:t>
      </w:r>
      <w:r>
        <w:t xml:space="preserve"> </w:t>
      </w:r>
      <w:r>
        <w:t xml:space="preserve">mitigate risk, (4) conflict sensitivity guides all operations. The MRF</w:t>
      </w:r>
      <w:r>
        <w:t xml:space="preserve"> </w:t>
      </w:r>
      <w:r>
        <w:t xml:space="preserve">adapts this model for Iranian post-conflict zones.</w:t>
      </w:r>
    </w:p>
    <w:p>
      <w:pPr>
        <w:pStyle w:val="BodyText"/>
      </w:pPr>
      <w:r>
        <w:t xml:space="preserve">Missing Middle Recovery Funds</w:t>
      </w:r>
    </w:p>
    <w:p>
      <w:pPr>
        <w:pStyle w:val="BodyText"/>
      </w:pPr>
      <w:r>
        <w:t xml:space="preserve">Recovery funds bridge the gap between humanitarian response and</w:t>
      </w:r>
      <w:r>
        <w:t xml:space="preserve"> </w:t>
      </w:r>
      <w:r>
        <w:t xml:space="preserve">long-term development. The UNCDF-UNDP ReStart Fund offers a continuum</w:t>
      </w:r>
      <w:r>
        <w:t xml:space="preserve"> </w:t>
      </w:r>
      <w:r>
        <w:t xml:space="preserve">from initial recovery grants to catalytic capital. The Recovery and</w:t>
      </w:r>
      <w:r>
        <w:t xml:space="preserve"> </w:t>
      </w:r>
      <w:r>
        <w:t xml:space="preserve">Resilience Financing Platform (RRFP), endorsed by AfDB, EIB, World Bank,</w:t>
      </w:r>
      <w:r>
        <w:t xml:space="preserve"> </w:t>
      </w:r>
      <w:r>
        <w:t xml:space="preserve">and IFAD, provides tailored support for country-led recovery financing.</w:t>
      </w:r>
      <w:r>
        <w:t xml:space="preserve"> </w:t>
      </w:r>
      <w:r>
        <w:t xml:space="preserve">The MRF’s 60-day stabilization period connects directly to these</w:t>
      </w:r>
      <w:r>
        <w:t xml:space="preserve"> </w:t>
      </w:r>
      <w:r>
        <w:t xml:space="preserve">facilities.</w:t>
      </w:r>
    </w:p>
    <w:p>
      <w:pPr>
        <w:pStyle w:val="BodyText"/>
      </w:pPr>
      <w:r>
        <w:t xml:space="preserve">Development Impact Bonds (DIBs) and Humanitarian Impact Bonds (HIBs)</w:t>
      </w:r>
    </w:p>
    <w:p>
      <w:pPr>
        <w:pStyle w:val="BodyText"/>
      </w:pPr>
      <w:r>
        <w:t xml:space="preserve">DIBs provide upfront private investment repaid by outcome funders if</w:t>
      </w:r>
      <w:r>
        <w:t xml:space="preserve"> </w:t>
      </w:r>
      <w:r>
        <w:t xml:space="preserve">specific results are achieved. The World Bank’s Finance for Jobs DIB in</w:t>
      </w:r>
      <w:r>
        <w:t xml:space="preserve"> </w:t>
      </w:r>
      <w:r>
        <w:t xml:space="preserve">the West Bank demonstrates viability for conflict-affected settings.</w:t>
      </w:r>
      <w:r>
        <w:t xml:space="preserve"> </w:t>
      </w:r>
      <w:r>
        <w:t xml:space="preserve">HIBs are DIB variants for humanitarian settings - the ICRC’s HIB raised</w:t>
      </w:r>
      <w:r>
        <w:t xml:space="preserve"> </w:t>
      </w:r>
      <w:r>
        <w:t xml:space="preserve">CHF 26 million for physical rehabilitation centers. The MRF targets</w:t>
      </w:r>
      <w:r>
        <w:t xml:space="preserve"> </w:t>
      </w:r>
      <w:r>
        <w:t xml:space="preserve">$500M-1B in DIB issuance and $200-500M in HIB issuance.</w:t>
      </w:r>
    </w:p>
    <w:p>
      <w:pPr>
        <w:pStyle w:val="BodyText"/>
      </w:pPr>
      <w:r>
        <w:t xml:space="preserve">State and Peacebuilding Fund (SPF) and Central Emergency Response Fund (CERF)</w:t>
      </w:r>
    </w:p>
    <w:p>
      <w:pPr>
        <w:pStyle w:val="BodyText"/>
      </w:pPr>
      <w:r>
        <w:t xml:space="preserve">The World Bank SPF provides catalytic financing for peacebuilding and</w:t>
      </w:r>
      <w:r>
        <w:t xml:space="preserve"> </w:t>
      </w:r>
      <w:r>
        <w:t xml:space="preserve">institutional strengthening in fragile settings. CERF allocates over</w:t>
      </w:r>
      <w:r>
        <w:t xml:space="preserve"> </w:t>
      </w:r>
      <w:r>
        <w:t xml:space="preserve">$500 million annually for rapid response to sudden-onset emergencies,</w:t>
      </w:r>
      <w:r>
        <w:t xml:space="preserve"> </w:t>
      </w:r>
      <w:r>
        <w:t xml:space="preserve">processing grants within 72 hours. Both funds are accessible to Iran</w:t>
      </w:r>
      <w:r>
        <w:t xml:space="preserve"> </w:t>
      </w:r>
      <w:r>
        <w:t xml:space="preserve">through the World Bank country office and UN Resident Coordinator.</w:t>
      </w:r>
    </w:p>
    <w:p>
      <w:pPr>
        <w:pStyle w:val="BodyText"/>
      </w:pPr>
      <w:r>
        <w:t xml:space="preserve">I.7 Summary of Country-by-Country Funding Potential</w:t>
      </w:r>
    </w:p>
    <w:p>
      <w:pPr>
        <w:pStyle w:val="BodyText"/>
      </w:pPr>
      <w:r>
        <w:t xml:space="preserve">The following table summarizes the additional funding sources documented</w:t>
      </w:r>
      <w:r>
        <w:t xml:space="preserve"> </w:t>
      </w:r>
      <w:r>
        <w:t xml:space="preserve">in this Appendix by region:</w:t>
      </w:r>
    </w:p>
    <w:p>
      <w:pPr>
        <w:pStyle w:val="BodyText"/>
      </w:pPr>
      <w:r>
        <w:t xml:space="preserve">, , , , , , , , , , , , , , , , , , , , , , , , , , , , , , , , , , , -</w:t>
      </w:r>
      <w:r>
        <w:t xml:space="preserve"> </w:t>
      </w:r>
      <w:r>
        <w:t xml:space="preserve">Region Countries Covered Est. Range</w:t>
      </w:r>
      <w:r>
        <w:t xml:space="preserve"> </w:t>
      </w:r>
      <w:r>
        <w:t xml:space="preserve">, , , , , , , - , , , , , , , , , , , , , , , , , , - , , , , , , , , -</w:t>
      </w:r>
      <w:r>
        <w:t xml:space="preserve"> </w:t>
      </w:r>
      <w:r>
        <w:t xml:space="preserve">East Asia and 13 countries $17-50B</w:t>
      </w:r>
      <w:r>
        <w:t xml:space="preserve"> </w:t>
      </w:r>
      <w:r>
        <w:t xml:space="preserve">Pacific</w:t>
      </w:r>
    </w:p>
    <w:p>
      <w:pPr>
        <w:pStyle w:val="BodyText"/>
      </w:pPr>
      <w:r>
        <w:t xml:space="preserve">Europe and 22 countries $7-15B</w:t>
      </w:r>
      <w:r>
        <w:t xml:space="preserve"> </w:t>
      </w:r>
      <w:r>
        <w:t xml:space="preserve">North America</w:t>
      </w:r>
    </w:p>
    <w:p>
      <w:pPr>
        <w:pStyle w:val="BodyText"/>
      </w:pPr>
      <w:r>
        <w:t xml:space="preserve">MENA and Africa 9 countries $570M-1.4B</w:t>
      </w:r>
    </w:p>
    <w:p>
      <w:pPr>
        <w:pStyle w:val="BodyText"/>
      </w:pPr>
      <w:r>
        <w:t xml:space="preserve">Americas 4 countries $430-750M</w:t>
      </w:r>
    </w:p>
    <w:p>
      <w:pPr>
        <w:pStyle w:val="BodyText"/>
      </w:pPr>
      <w:r>
        <w:t xml:space="preserve">Additional OIC 6 countries $300-700M</w:t>
      </w:r>
      <w:r>
        <w:t xml:space="preserve"> </w:t>
      </w:r>
      <w:r>
        <w:t xml:space="preserve">Members</w:t>
      </w:r>
    </w:p>
    <w:p>
      <w:pPr>
        <w:pStyle w:val="BodyText"/>
      </w:pPr>
      <w:r>
        <w:t xml:space="preserve">Innovative Cross-cutting $3-7B enabled</w:t>
      </w:r>
      <w:r>
        <w:t xml:space="preserve"> </w:t>
      </w:r>
      <w:r>
        <w:t xml:space="preserve">Mechanisms</w:t>
      </w:r>
    </w:p>
    <w:p>
      <w:pPr>
        <w:pStyle w:val="BodyText"/>
      </w:pPr>
      <w:r>
        <w:t xml:space="preserve">TOTAL APPENDIX 54 countries $28-74B</w:t>
      </w:r>
      <w:r>
        <w:t xml:space="preserve"> </w:t>
      </w:r>
      <w:r>
        <w:t xml:space="preserve">I</w:t>
      </w:r>
      <w:r>
        <w:br/>
      </w:r>
      <w:r>
        <w:t xml:space="preserve">, , , , , , , , , , , , , , , , , , , , , , , , , , , , , , , , , , , -</w:t>
      </w:r>
    </w:p>
    <w:p>
      <w:pPr>
        <w:pStyle w:val="BodyText"/>
      </w:pPr>
      <w:r>
        <w:t xml:space="preserve">I.7 Additional Asian Financial Centers</w:t>
      </w:r>
    </w:p>
    <w:p>
      <w:pPr>
        <w:pStyle w:val="BodyText"/>
      </w:pPr>
      <w:r>
        <w:t xml:space="preserve">Singapore</w:t>
      </w:r>
    </w:p>
    <w:p>
      <w:pPr>
        <w:pStyle w:val="BodyText"/>
      </w:pPr>
      <w:r>
        <w:t xml:space="preserve">Singapore deploys two of the world’s largest sovereign wealth funds. GIC</w:t>
      </w:r>
      <w:r>
        <w:t xml:space="preserve"> </w:t>
      </w:r>
      <w:r>
        <w:t xml:space="preserve">Private Limited manages over US$800 billion in assets, with a global</w:t>
      </w:r>
      <w:r>
        <w:t xml:space="preserve"> </w:t>
      </w:r>
      <w:r>
        <w:t xml:space="preserve">portfolio spanning infrastructure, real estate, and equities across 40</w:t>
      </w:r>
      <w:r>
        <w:t xml:space="preserve"> </w:t>
      </w:r>
      <w:r>
        <w:t xml:space="preserve">countries. GIC co-invests in major infrastructure projects including</w:t>
      </w:r>
      <w:r>
        <w:t xml:space="preserve"> </w:t>
      </w:r>
      <w:r>
        <w:t xml:space="preserve">power grids, data centers, and transport networks. Temasek Holdings</w:t>
      </w:r>
      <w:r>
        <w:t xml:space="preserve"> </w:t>
      </w:r>
      <w:r>
        <w:t xml:space="preserve">manages approximately US$400 billion with a concentrated Asia-focused</w:t>
      </w:r>
      <w:r>
        <w:t xml:space="preserve"> </w:t>
      </w:r>
      <w:r>
        <w:t xml:space="preserve">portfolio. Temasek invests directly in energy infrastructure,</w:t>
      </w:r>
      <w:r>
        <w:t xml:space="preserve"> </w:t>
      </w:r>
      <w:r>
        <w:t xml:space="preserve">sustainable solutions, and urban development. Both funds participate in</w:t>
      </w:r>
      <w:r>
        <w:t xml:space="preserve"> </w:t>
      </w:r>
      <w:r>
        <w:t xml:space="preserve">blended finance structures and co-investment platforms alongside</w:t>
      </w:r>
      <w:r>
        <w:t xml:space="preserve"> </w:t>
      </w:r>
      <w:r>
        <w:t xml:space="preserve">multilateral development banks. Singapore’s sovereign funds demonstrate</w:t>
      </w:r>
      <w:r>
        <w:t xml:space="preserve"> </w:t>
      </w:r>
      <w:r>
        <w:t xml:space="preserve">appetite for long-tenor infrastructure exposure in emerging markets.</w:t>
      </w:r>
      <w:r>
        <w:t xml:space="preserve"> </w:t>
      </w:r>
      <w:r>
        <w:t xml:space="preserve">Access pathway: The NDF Secretariat engages GIC and Temasek through</w:t>
      </w:r>
      <w:r>
        <w:t xml:space="preserve"> </w:t>
      </w:r>
      <w:r>
        <w:t xml:space="preserve">their respective London and New York offices, presenting co-investment</w:t>
      </w:r>
      <w:r>
        <w:t xml:space="preserve"> </w:t>
      </w:r>
      <w:r>
        <w:t xml:space="preserve">opportunities alongside AfDB or World Bank facilities. Proposed</w:t>
      </w:r>
      <w:r>
        <w:t xml:space="preserve"> </w:t>
      </w:r>
      <w:r>
        <w:t xml:space="preserve">instrument: Singaporean SWF capital participates as equity anchor in</w:t>
      </w:r>
      <w:r>
        <w:t xml:space="preserve"> </w:t>
      </w:r>
      <w:r>
        <w:t xml:space="preserve">Sub-Fund VI (Infrastructure Modernization) with 15-20 year horizon.</w:t>
      </w:r>
    </w:p>
    <w:p>
      <w:pPr>
        <w:pStyle w:val="BodyText"/>
      </w:pPr>
      <w:r>
        <w:t xml:space="preserve">Vietnam</w:t>
      </w:r>
    </w:p>
    <w:p>
      <w:pPr>
        <w:pStyle w:val="BodyText"/>
      </w:pPr>
      <w:r>
        <w:t xml:space="preserve">Vietnam’s State Capital Investment Corporation (SCIC) manages</w:t>
      </w:r>
      <w:r>
        <w:t xml:space="preserve"> </w:t>
      </w:r>
      <w:r>
        <w:t xml:space="preserve">state-owned enterprise divestment proceeds and strategic investments</w:t>
      </w:r>
      <w:r>
        <w:t xml:space="preserve"> </w:t>
      </w:r>
      <w:r>
        <w:t xml:space="preserve">exceeding US$7 billion. SCIC actively seeks infrastructure partnerships</w:t>
      </w:r>
      <w:r>
        <w:t xml:space="preserve"> </w:t>
      </w:r>
      <w:r>
        <w:t xml:space="preserve">in Southeast Asia and neighboring regions. The Vietnam Development Bank</w:t>
      </w:r>
      <w:r>
        <w:t xml:space="preserve"> </w:t>
      </w:r>
      <w:r>
        <w:t xml:space="preserve">provides medium-to-long term financing for infrastructure and industrial</w:t>
      </w:r>
      <w:r>
        <w:t xml:space="preserve"> </w:t>
      </w:r>
      <w:r>
        <w:t xml:space="preserve">projects. Vietnam has accumulated substantial construction expertise</w:t>
      </w:r>
      <w:r>
        <w:t xml:space="preserve"> </w:t>
      </w:r>
      <w:r>
        <w:t xml:space="preserve">through domestic infrastructure build-out and participates in regional</w:t>
      </w:r>
      <w:r>
        <w:t xml:space="preserve"> </w:t>
      </w:r>
      <w:r>
        <w:t xml:space="preserve">contracting consortia. Access pathway: SCIC evaluates co-investment</w:t>
      </w:r>
      <w:r>
        <w:t xml:space="preserve"> </w:t>
      </w:r>
      <w:r>
        <w:t xml:space="preserve">opportunities through bilateral channels with the Ministry of Planning</w:t>
      </w:r>
      <w:r>
        <w:t xml:space="preserve"> </w:t>
      </w:r>
      <w:r>
        <w:t xml:space="preserve">and Investment. Proposed instrument: SCIC equity participation in</w:t>
      </w:r>
      <w:r>
        <w:t xml:space="preserve"> </w:t>
      </w:r>
      <w:r>
        <w:t xml:space="preserve">Sub-Fund II (Industrial Zone Revitalization) paired with Vietnamese</w:t>
      </w:r>
      <w:r>
        <w:t xml:space="preserve"> </w:t>
      </w:r>
      <w:r>
        <w:t xml:space="preserve">construction contractor involvement in project implementation.</w:t>
      </w:r>
    </w:p>
    <w:p>
      <w:pPr>
        <w:pStyle w:val="BodyText"/>
      </w:pPr>
      <w:r>
        <w:t xml:space="preserve">Kazakhstan</w:t>
      </w:r>
    </w:p>
    <w:p>
      <w:pPr>
        <w:pStyle w:val="BodyText"/>
      </w:pPr>
      <w:r>
        <w:t xml:space="preserve">Kazakhstan’s Kazakhstan ranks among the world’s top 25 sovereign wealth</w:t>
      </w:r>
      <w:r>
        <w:t xml:space="preserve"> </w:t>
      </w:r>
      <w:r>
        <w:t xml:space="preserve">fund operators. Samruk-Kazyna Sovereign Wealth Fund manages over US$100</w:t>
      </w:r>
      <w:r>
        <w:t xml:space="preserve"> </w:t>
      </w:r>
      <w:r>
        <w:t xml:space="preserve">billion in assets and has attracted US$27 billion in foreign investment</w:t>
      </w:r>
      <w:r>
        <w:t xml:space="preserve"> </w:t>
      </w:r>
      <w:r>
        <w:t xml:space="preserve">over the past six years. The fund actively pursues foreign direct</w:t>
      </w:r>
      <w:r>
        <w:t xml:space="preserve"> </w:t>
      </w:r>
      <w:r>
        <w:t xml:space="preserve">investment in energy, transport, and digital infrastructure. The</w:t>
      </w:r>
      <w:r>
        <w:t xml:space="preserve"> </w:t>
      </w:r>
      <w:r>
        <w:t xml:space="preserve">Development Bank of Kazakhstan (DBK) serves as the national development</w:t>
      </w:r>
      <w:r>
        <w:t xml:space="preserve"> </w:t>
      </w:r>
      <w:r>
        <w:t xml:space="preserve">institution, disbursing 1,465.7 billion tenge (approximately US$3.1</w:t>
      </w:r>
      <w:r>
        <w:t xml:space="preserve"> </w:t>
      </w:r>
      <w:r>
        <w:t xml:space="preserve">billion) in 2024 for manufacturing, energy, and infrastructure projects.</w:t>
      </w:r>
      <w:r>
        <w:t xml:space="preserve"> </w:t>
      </w:r>
      <w:r>
        <w:t xml:space="preserve">DBK maintains a US$1 billion credit line with the China Development</w:t>
      </w:r>
      <w:r>
        <w:t xml:space="preserve"> </w:t>
      </w:r>
      <w:r>
        <w:t xml:space="preserve">Bank. The Kazakhstan Investment Development Fund (KIDF) co-invests with</w:t>
      </w:r>
      <w:r>
        <w:t xml:space="preserve"> </w:t>
      </w:r>
      <w:r>
        <w:t xml:space="preserve">foreign partners in non-extractive sectors, sharing risks with foreign</w:t>
      </w:r>
      <w:r>
        <w:t xml:space="preserve"> </w:t>
      </w:r>
      <w:r>
        <w:t xml:space="preserve">entities. Baiterek National Investment Holding, the parent for DBK and</w:t>
      </w:r>
      <w:r>
        <w:t xml:space="preserve"> </w:t>
      </w:r>
      <w:r>
        <w:t xml:space="preserve">other institutions, plans to borrow US$3 billion abroad in 2026.</w:t>
      </w:r>
    </w:p>
    <w:p>
      <w:pPr>
        <w:pStyle w:val="BodyText"/>
      </w:pPr>
      <w:r>
        <w:t xml:space="preserve">Kazakhstan’s ODA reached US$50.4 million in 2024, with 83.9% delivered</w:t>
      </w:r>
      <w:r>
        <w:t xml:space="preserve"> </w:t>
      </w:r>
      <w:r>
        <w:t xml:space="preserve">bilaterally through KazAID (Agency of International Development,</w:t>
      </w:r>
      <w:r>
        <w:t xml:space="preserve"> </w:t>
      </w:r>
      <w:r>
        <w:t xml:space="preserve">established 2020). KazAID focuses on agriculture, food security,</w:t>
      </w:r>
      <w:r>
        <w:t xml:space="preserve"> </w:t>
      </w:r>
      <w:r>
        <w:t xml:space="preserve">environmental protection, education, and healthcare, and contributes</w:t>
      </w:r>
      <w:r>
        <w:t xml:space="preserve"> </w:t>
      </w:r>
      <w:r>
        <w:t xml:space="preserve">US$16.1 million annually to the UN system (WHO, UNDP, FAO). Kazakhstan</w:t>
      </w:r>
      <w:r>
        <w:t xml:space="preserve"> </w:t>
      </w:r>
      <w:r>
        <w:t xml:space="preserve">and Iran maintain robust economic ties through the International</w:t>
      </w:r>
      <w:r>
        <w:t xml:space="preserve"> </w:t>
      </w:r>
      <w:r>
        <w:t xml:space="preserve">North-South Transport Corridor (INSTC), which recorded a 53% traffic</w:t>
      </w:r>
      <w:r>
        <w:t xml:space="preserve"> </w:t>
      </w:r>
      <w:r>
        <w:t xml:space="preserve">increase in 2025. Iranian President Pezeshkian and Kazakh President</w:t>
      </w:r>
      <w:r>
        <w:t xml:space="preserve"> </w:t>
      </w:r>
      <w:r>
        <w:t xml:space="preserve">Tokayev met in late 2025, with Kazakhstan committing to supply US$200</w:t>
      </w:r>
      <w:r>
        <w:t xml:space="preserve"> </w:t>
      </w:r>
      <w:r>
        <w:t xml:space="preserve">million in goods to Iran and signing agreements on transport,</w:t>
      </w:r>
      <w:r>
        <w:t xml:space="preserve"> </w:t>
      </w:r>
      <w:r>
        <w:t xml:space="preserve">healthcare, and intellectual property. While regional conflict has</w:t>
      </w:r>
      <w:r>
        <w:t xml:space="preserve"> </w:t>
      </w:r>
      <w:r>
        <w:t xml:space="preserve">paused some joint projects, Kazakhstan offers strong potential for</w:t>
      </w:r>
      <w:r>
        <w:t xml:space="preserve"> </w:t>
      </w:r>
      <w:r>
        <w:t xml:space="preserve">large-scale industrial and transport co-financing once political</w:t>
      </w:r>
      <w:r>
        <w:t xml:space="preserve"> </w:t>
      </w:r>
      <w:r>
        <w:t xml:space="preserve">conditions stabilize.</w:t>
      </w:r>
    </w:p>
    <w:p>
      <w:pPr>
        <w:pStyle w:val="BodyText"/>
      </w:pPr>
      <w:r>
        <w:t xml:space="preserve">Access pathway: Samruk-Kazyna reviews investment proposals through its</w:t>
      </w:r>
      <w:r>
        <w:t xml:space="preserve"> </w:t>
      </w:r>
      <w:r>
        <w:t xml:space="preserve">Astana headquarters. DBK processes project financing requests through</w:t>
      </w:r>
      <w:r>
        <w:t xml:space="preserve"> </w:t>
      </w:r>
      <w:r>
        <w:t xml:space="preserve">bilateral government channels. KIDF evaluates joint venture proposals</w:t>
      </w:r>
      <w:r>
        <w:t xml:space="preserve"> </w:t>
      </w:r>
      <w:r>
        <w:t xml:space="preserve">through its Almaty office. Proposed instrument: Samruk-Kazyna provides</w:t>
      </w:r>
      <w:r>
        <w:t xml:space="preserve"> </w:t>
      </w:r>
      <w:r>
        <w:t xml:space="preserve">senior debt to Sub-Fund I (Energy Infrastructure Restoration) leveraging</w:t>
      </w:r>
      <w:r>
        <w:t xml:space="preserve"> </w:t>
      </w:r>
      <w:r>
        <w:t xml:space="preserve">Kazakhstani construction expertise in oil/gas facility rebuilding. DBK</w:t>
      </w:r>
      <w:r>
        <w:t xml:space="preserve"> </w:t>
      </w:r>
      <w:r>
        <w:t xml:space="preserve">co-finances Sub-Fund VI (Infrastructure Modernization) through bilateral</w:t>
      </w:r>
      <w:r>
        <w:t xml:space="preserve"> </w:t>
      </w:r>
      <w:r>
        <w:t xml:space="preserve">intergovernmental agreements. KIDF participates as equity partner in</w:t>
      </w:r>
      <w:r>
        <w:t xml:space="preserve"> </w:t>
      </w:r>
      <w:r>
        <w:t xml:space="preserve">Sub-Fund II (Industrial Zone Revitalization).</w:t>
      </w:r>
    </w:p>
    <w:p>
      <w:pPr>
        <w:pStyle w:val="BodyText"/>
      </w:pPr>
      <w:r>
        <w:t xml:space="preserve">Uzbekistan</w:t>
      </w:r>
    </w:p>
    <w:p>
      <w:pPr>
        <w:pStyle w:val="BodyText"/>
      </w:pPr>
      <w:r>
        <w:t xml:space="preserve">Uzbekistan’s Fund for Reconstruction and Development (UFRD), established</w:t>
      </w:r>
      <w:r>
        <w:t xml:space="preserve"> </w:t>
      </w:r>
      <w:r>
        <w:t xml:space="preserve">in 2006, operates as a sovereign wealth fund financing strategic</w:t>
      </w:r>
      <w:r>
        <w:t xml:space="preserve"> </w:t>
      </w:r>
      <w:r>
        <w:t xml:space="preserve">infrastructure and modernization projects exceeding US$23 billion in</w:t>
      </w:r>
      <w:r>
        <w:t xml:space="preserve"> </w:t>
      </w:r>
      <w:r>
        <w:t xml:space="preserve">total deployments. UFRD co-finances projects with the Asian Development</w:t>
      </w:r>
      <w:r>
        <w:t xml:space="preserve"> </w:t>
      </w:r>
      <w:r>
        <w:t xml:space="preserve">Bank, Islamic Development Bank, and bilateral partners. The fund</w:t>
      </w:r>
      <w:r>
        <w:t xml:space="preserve"> </w:t>
      </w:r>
      <w:r>
        <w:t xml:space="preserve">maintains active credit lines through Uzbekistan’s major commercial</w:t>
      </w:r>
      <w:r>
        <w:t xml:space="preserve"> </w:t>
      </w:r>
      <w:r>
        <w:t xml:space="preserve">banks for on-lending to priority sectors. UFRD’s mandate explicitly</w:t>
      </w:r>
      <w:r>
        <w:t xml:space="preserve"> </w:t>
      </w:r>
      <w:r>
        <w:t xml:space="preserve">includes co-financing with international financial institutions and</w:t>
      </w:r>
      <w:r>
        <w:t xml:space="preserve"> </w:t>
      </w:r>
      <w:r>
        <w:t xml:space="preserve">foreign investors. Access pathway: UFRD processes co-financing proposals</w:t>
      </w:r>
      <w:r>
        <w:t xml:space="preserve"> </w:t>
      </w:r>
      <w:r>
        <w:t xml:space="preserve">through the Council for Management of the Fund chaired by the Prime</w:t>
      </w:r>
      <w:r>
        <w:t xml:space="preserve"> </w:t>
      </w:r>
      <w:r>
        <w:t xml:space="preserve">Minister. Proposed instrument: UFRD participates in blended finance</w:t>
      </w:r>
      <w:r>
        <w:t xml:space="preserve"> </w:t>
      </w:r>
      <w:r>
        <w:t xml:space="preserve">structures for Sub-Fund I and Sub-Fund V through parallel ADB-IsDB</w:t>
      </w:r>
      <w:r>
        <w:t xml:space="preserve"> </w:t>
      </w:r>
      <w:r>
        <w:t xml:space="preserve">coordination.</w:t>
      </w:r>
    </w:p>
    <w:p>
      <w:pPr>
        <w:pStyle w:val="BodyText"/>
      </w:pPr>
      <w:r>
        <w:t xml:space="preserve">Mongolia</w:t>
      </w:r>
    </w:p>
    <w:p>
      <w:pPr>
        <w:pStyle w:val="BodyText"/>
      </w:pPr>
      <w:r>
        <w:t xml:space="preserve">Mongolia’s parliament approved the Sovereign Wealth Fund Law in April</w:t>
      </w:r>
      <w:r>
        <w:t xml:space="preserve"> </w:t>
      </w:r>
      <w:r>
        <w:t xml:space="preserve">2024, creating three diversified funds: the Future Heritage Fund</w:t>
      </w:r>
      <w:r>
        <w:t xml:space="preserve"> </w:t>
      </w:r>
      <w:r>
        <w:t xml:space="preserve">(collects and invests proceeds from subsoil resources), the Savings Fund</w:t>
      </w:r>
      <w:r>
        <w:t xml:space="preserve"> </w:t>
      </w:r>
      <w:r>
        <w:t xml:space="preserve">(underwrites public health, education, and housing investments), and the</w:t>
      </w:r>
      <w:r>
        <w:t xml:space="preserve"> </w:t>
      </w:r>
      <w:r>
        <w:t xml:space="preserve">Development Fund (supports development projects from budget surplus).</w:t>
      </w:r>
      <w:r>
        <w:t xml:space="preserve"> </w:t>
      </w:r>
      <w:r>
        <w:t xml:space="preserve">The Future Heritage Fund currently holds approximately MNT213 billion</w:t>
      </w:r>
      <w:r>
        <w:t xml:space="preserve"> </w:t>
      </w:r>
      <w:r>
        <w:t xml:space="preserve">(US$80 million) in assets and receives 65% of all mining royalties and</w:t>
      </w:r>
      <w:r>
        <w:t xml:space="preserve"> </w:t>
      </w:r>
      <w:r>
        <w:t xml:space="preserve">dividends from state-owned mining companies. Mongolia projects MNT1</w:t>
      </w:r>
      <w:r>
        <w:t xml:space="preserve"> </w:t>
      </w:r>
      <w:r>
        <w:t xml:space="preserve">trillion (approximately US$393 million) annual injection into the fund.</w:t>
      </w:r>
      <w:r>
        <w:t xml:space="preserve"> </w:t>
      </w:r>
      <w:r>
        <w:t xml:space="preserve">The fund currently invests only in international financial instruments,</w:t>
      </w:r>
      <w:r>
        <w:t xml:space="preserve"> </w:t>
      </w:r>
      <w:r>
        <w:t xml:space="preserve">with domestic infrastructure investment capability developing over time.</w:t>
      </w:r>
      <w:r>
        <w:t xml:space="preserve"> </w:t>
      </w:r>
      <w:r>
        <w:t xml:space="preserve">Mongolia’s mining sector expertise in coal, copper, and gold provides</w:t>
      </w:r>
      <w:r>
        <w:t xml:space="preserve"> </w:t>
      </w:r>
      <w:r>
        <w:t xml:space="preserve">relevant technical knowledge for resource-based infrastructure</w:t>
      </w:r>
      <w:r>
        <w:t xml:space="preserve"> </w:t>
      </w:r>
      <w:r>
        <w:t xml:space="preserve">development.</w:t>
      </w:r>
    </w:p>
    <w:p>
      <w:pPr>
        <w:pStyle w:val="BodyText"/>
      </w:pPr>
      <w:r>
        <w:t xml:space="preserve">Access pathway: The NDF Secretariat engages the Mongolian Ministry of</w:t>
      </w:r>
      <w:r>
        <w:t xml:space="preserve"> </w:t>
      </w:r>
      <w:r>
        <w:t xml:space="preserve">Finance and the Sovereign Wealth Fund Council through the Asia-Pacific</w:t>
      </w:r>
      <w:r>
        <w:t xml:space="preserve"> </w:t>
      </w:r>
      <w:r>
        <w:t xml:space="preserve">regional development forum. Proposed instrument: Future Heritage Fund</w:t>
      </w:r>
      <w:r>
        <w:t xml:space="preserve"> </w:t>
      </w:r>
      <w:r>
        <w:t xml:space="preserve">co-investment in Sub-Fund I (Energy Infrastructure Restoration) on a</w:t>
      </w:r>
      <w:r>
        <w:t xml:space="preserve"> </w:t>
      </w:r>
      <w:r>
        <w:t xml:space="preserve">learn-and-invest basis, pairing Mongolian mining infrastructure</w:t>
      </w:r>
      <w:r>
        <w:t xml:space="preserve"> </w:t>
      </w:r>
      <w:r>
        <w:t xml:space="preserve">expertise with Iranian energy reconstruction priorities.</w:t>
      </w:r>
    </w:p>
    <w:p>
      <w:pPr>
        <w:pStyle w:val="BodyText"/>
      </w:pPr>
      <w:r>
        <w:t xml:space="preserve">I.8 Major African Economies</w:t>
      </w:r>
    </w:p>
    <w:p>
      <w:pPr>
        <w:pStyle w:val="BodyText"/>
      </w:pPr>
      <w:r>
        <w:t xml:space="preserve">Nigeria</w:t>
      </w:r>
    </w:p>
    <w:p>
      <w:pPr>
        <w:pStyle w:val="BodyText"/>
      </w:pPr>
      <w:r>
        <w:t xml:space="preserve">Nigeria’s Sovereign Investment Authority (NSIA) manages US$2.86 billion</w:t>
      </w:r>
      <w:r>
        <w:t xml:space="preserve"> </w:t>
      </w:r>
      <w:r>
        <w:t xml:space="preserve">across three ring-fenced funds: the Future Generations Fund, the</w:t>
      </w:r>
      <w:r>
        <w:t xml:space="preserve"> </w:t>
      </w:r>
      <w:r>
        <w:t xml:space="preserve">Stabilization Fund, and the Nigeria Infrastructure Fund (NIF). NSIA</w:t>
      </w:r>
      <w:r>
        <w:t xml:space="preserve"> </w:t>
      </w:r>
      <w:r>
        <w:t xml:space="preserve">holds GCF accreditation and operates Carbon Vista for carbon market</w:t>
      </w:r>
      <w:r>
        <w:t xml:space="preserve"> </w:t>
      </w:r>
      <w:r>
        <w:t xml:space="preserve">development. The Authority directly financed major road reconstruction</w:t>
      </w:r>
      <w:r>
        <w:t xml:space="preserve"> </w:t>
      </w:r>
      <w:r>
        <w:t xml:space="preserve">including the Abuja-Kano Road, Lagos-Ibadan Expressway, and Second Niger</w:t>
      </w:r>
      <w:r>
        <w:t xml:space="preserve"> </w:t>
      </w:r>
      <w:r>
        <w:t xml:space="preserve">Bridge, demonstrating proven reconstruction execution capability. NSIA</w:t>
      </w:r>
      <w:r>
        <w:t xml:space="preserve"> </w:t>
      </w:r>
      <w:r>
        <w:t xml:space="preserve">partners with the African Development Bank on infrastructure debt</w:t>
      </w:r>
      <w:r>
        <w:t xml:space="preserve"> </w:t>
      </w:r>
      <w:r>
        <w:t xml:space="preserve">facilities and received a 12-year senior corporate loan from AfDB in</w:t>
      </w:r>
      <w:r>
        <w:t xml:space="preserve"> </w:t>
      </w:r>
      <w:r>
        <w:t xml:space="preserve">2024. Access pathway: NSIA evaluates African regional investment</w:t>
      </w:r>
      <w:r>
        <w:t xml:space="preserve"> </w:t>
      </w:r>
      <w:r>
        <w:t xml:space="preserve">opportunities through its Abuja headquarters and London representative</w:t>
      </w:r>
      <w:r>
        <w:t xml:space="preserve"> </w:t>
      </w:r>
      <w:r>
        <w:t xml:space="preserve">office. Proposed instrument: NSIA contributes equity to Sub-Fund VI</w:t>
      </w:r>
      <w:r>
        <w:t xml:space="preserve"> </w:t>
      </w:r>
      <w:r>
        <w:t xml:space="preserve">through AfDB-coordinated African infrastructure platform, leveraging</w:t>
      </w:r>
      <w:r>
        <w:t xml:space="preserve"> </w:t>
      </w:r>
      <w:r>
        <w:t xml:space="preserve">NSIA’s direct reconstruction expertise.</w:t>
      </w:r>
    </w:p>
    <w:p>
      <w:pPr>
        <w:pStyle w:val="BodyText"/>
      </w:pPr>
      <w:r>
        <w:t xml:space="preserve">Kenya</w:t>
      </w:r>
    </w:p>
    <w:p>
      <w:pPr>
        <w:pStyle w:val="BodyText"/>
      </w:pPr>
      <w:r>
        <w:t xml:space="preserve">Kenya’s National Infrastructure Fund anchors a KSh5 trillion (US$40</w:t>
      </w:r>
      <w:r>
        <w:t xml:space="preserve"> </w:t>
      </w:r>
      <w:r>
        <w:t xml:space="preserve">billion) ten-year national transformation programme. Kenya has</w:t>
      </w:r>
      <w:r>
        <w:t xml:space="preserve"> </w:t>
      </w:r>
      <w:r>
        <w:t xml:space="preserve">established comprehensive PPP legislation and institutional frameworks</w:t>
      </w:r>
      <w:r>
        <w:t xml:space="preserve"> </w:t>
      </w:r>
      <w:r>
        <w:t xml:space="preserve">with World Bank support. The country mobilized US$90 million in IDA</w:t>
      </w:r>
      <w:r>
        <w:t xml:space="preserve"> </w:t>
      </w:r>
      <w:r>
        <w:t xml:space="preserve">financing for PPP development, generating a pipeline of 69 projects.</w:t>
      </w:r>
      <w:r>
        <w:t xml:space="preserve"> </w:t>
      </w:r>
      <w:r>
        <w:t xml:space="preserve">Kenya’s capital markets infrastructure debt vehicle, Infra CDV,</w:t>
      </w:r>
      <w:r>
        <w:t xml:space="preserve"> </w:t>
      </w:r>
      <w:r>
        <w:t xml:space="preserve">demonstrates innovative local currency financing structures. Kenya hosts</w:t>
      </w:r>
      <w:r>
        <w:t xml:space="preserve"> </w:t>
      </w:r>
      <w:r>
        <w:t xml:space="preserve">the Nairobi International Financial Centre and the African Trade</w:t>
      </w:r>
      <w:r>
        <w:t xml:space="preserve"> </w:t>
      </w:r>
      <w:r>
        <w:t xml:space="preserve">Insurance Agency. Access pathway: The NDF Secretariat engages Kenya’s</w:t>
      </w:r>
      <w:r>
        <w:t xml:space="preserve"> </w:t>
      </w:r>
      <w:r>
        <w:t xml:space="preserve">National Treasury and the National Infrastructure Fund through the East</w:t>
      </w:r>
      <w:r>
        <w:t xml:space="preserve"> </w:t>
      </w:r>
      <w:r>
        <w:t xml:space="preserve">African Community secretariat in Arusha. Proposed instrument: Kenya</w:t>
      </w:r>
      <w:r>
        <w:t xml:space="preserve"> </w:t>
      </w:r>
      <w:r>
        <w:t xml:space="preserve">provides co-guarantee facilities for East African contractor</w:t>
      </w:r>
      <w:r>
        <w:t xml:space="preserve"> </w:t>
      </w:r>
      <w:r>
        <w:t xml:space="preserve">participation in Sub-Fund VI projects.</w:t>
      </w:r>
    </w:p>
    <w:p>
      <w:pPr>
        <w:pStyle w:val="BodyText"/>
      </w:pPr>
      <w:r>
        <w:t xml:space="preserve">Ghana</w:t>
      </w:r>
    </w:p>
    <w:p>
      <w:pPr>
        <w:pStyle w:val="BodyText"/>
      </w:pPr>
      <w:r>
        <w:t xml:space="preserve">Ghana Infrastructure Investment Fund (GIIF), established by Act of</w:t>
      </w:r>
      <w:r>
        <w:t xml:space="preserve"> </w:t>
      </w:r>
      <w:r>
        <w:t xml:space="preserve">Parliament in 2014, holds US$325 million in unlevered capital and has</w:t>
      </w:r>
      <w:r>
        <w:t xml:space="preserve"> </w:t>
      </w:r>
      <w:r>
        <w:t xml:space="preserve">committed US$275 million across 12 transactions worth US$2.78 billion in</w:t>
      </w:r>
      <w:r>
        <w:t xml:space="preserve"> </w:t>
      </w:r>
      <w:r>
        <w:t xml:space="preserve">total project costs, achieving 10x leverage. GIIF operates as a 100%</w:t>
      </w:r>
      <w:r>
        <w:t xml:space="preserve"> </w:t>
      </w:r>
      <w:r>
        <w:t xml:space="preserve">government-owned body investing in power, transport, ICT, mining,</w:t>
      </w:r>
      <w:r>
        <w:t xml:space="preserve"> </w:t>
      </w:r>
      <w:r>
        <w:t xml:space="preserve">tourism, and affordable housing through debt, equity, mezzanine, and</w:t>
      </w:r>
      <w:r>
        <w:t xml:space="preserve"> </w:t>
      </w:r>
      <w:r>
        <w:t xml:space="preserve">credit enhancement instruments. The fund maintains active DFI</w:t>
      </w:r>
      <w:r>
        <w:t xml:space="preserve"> </w:t>
      </w:r>
      <w:r>
        <w:t xml:space="preserve">partnerships and received an US$85 million international DFI facility.</w:t>
      </w:r>
      <w:r>
        <w:t xml:space="preserve"> </w:t>
      </w:r>
      <w:r>
        <w:t xml:space="preserve">GIIF has proven capacity to create ring-fenced sub-funds for specific</w:t>
      </w:r>
      <w:r>
        <w:t xml:space="preserve"> </w:t>
      </w:r>
      <w:r>
        <w:t xml:space="preserve">sectors. Access pathway: GIIF welcomes partnerships with DFIs and</w:t>
      </w:r>
      <w:r>
        <w:t xml:space="preserve"> </w:t>
      </w:r>
      <w:r>
        <w:t xml:space="preserve">sovereign funds for African infrastructure co-investment through its</w:t>
      </w:r>
      <w:r>
        <w:t xml:space="preserve"> </w:t>
      </w:r>
      <w:r>
        <w:t xml:space="preserve">Accra headquarters. Proposed instrument: GIIF establishes a dedicated</w:t>
      </w:r>
      <w:r>
        <w:t xml:space="preserve"> </w:t>
      </w:r>
      <w:r>
        <w:t xml:space="preserve">Reconstruction Sub-Fund with NDF seed capital, applying its proven</w:t>
      </w:r>
      <w:r>
        <w:t xml:space="preserve"> </w:t>
      </w:r>
      <w:r>
        <w:t xml:space="preserve">sub-fund architecture to regional reconstruction finance.</w:t>
      </w:r>
    </w:p>
    <w:p>
      <w:pPr>
        <w:pStyle w:val="BodyText"/>
      </w:pPr>
      <w:r>
        <w:t xml:space="preserve">Morocco</w:t>
      </w:r>
    </w:p>
    <w:p>
      <w:pPr>
        <w:pStyle w:val="BodyText"/>
      </w:pPr>
      <w:r>
        <w:t xml:space="preserve">Morocco maintains an active development finance ecosystem anchored by</w:t>
      </w:r>
      <w:r>
        <w:t xml:space="preserve"> </w:t>
      </w:r>
      <w:r>
        <w:t xml:space="preserve">the High Atlas Development Agency (ADHA) for post-disaster</w:t>
      </w:r>
      <w:r>
        <w:t xml:space="preserve"> </w:t>
      </w:r>
      <w:r>
        <w:t xml:space="preserve">reconstruction, currently executing a EUR1 billion EIB-supported</w:t>
      </w:r>
      <w:r>
        <w:t xml:space="preserve"> </w:t>
      </w:r>
      <w:r>
        <w:t xml:space="preserve">earthquake recovery programme. Morocco’s Banque Centrale Populaire and</w:t>
      </w:r>
      <w:r>
        <w:t xml:space="preserve"> </w:t>
      </w:r>
      <w:r>
        <w:t xml:space="preserve">Attijariwafa Bank provide commercial infrastructure financing. The</w:t>
      </w:r>
      <w:r>
        <w:t xml:space="preserve"> </w:t>
      </w:r>
      <w:r>
        <w:t xml:space="preserve">Mohammed VI Fund for Investment targets strategic sectors including</w:t>
      </w:r>
      <w:r>
        <w:t xml:space="preserve"> </w:t>
      </w:r>
      <w:r>
        <w:t xml:space="preserve">renewable energy and industrial infrastructure. Morocco’s reconstruction</w:t>
      </w:r>
      <w:r>
        <w:t xml:space="preserve"> </w:t>
      </w:r>
      <w:r>
        <w:t xml:space="preserve">experience demonstrates institutional capacity to manage large-scale</w:t>
      </w:r>
      <w:r>
        <w:t xml:space="preserve"> </w:t>
      </w:r>
      <w:r>
        <w:t xml:space="preserve">infrastructure recovery with multilateral coordination. Access pathway:</w:t>
      </w:r>
      <w:r>
        <w:t xml:space="preserve"> </w:t>
      </w:r>
      <w:r>
        <w:t xml:space="preserve">Morocco engages through the ADHA and the Ministry of Economy and Finance</w:t>
      </w:r>
      <w:r>
        <w:t xml:space="preserve"> </w:t>
      </w:r>
      <w:r>
        <w:t xml:space="preserve">in Rabat. Proposed instrument: Morocco provides technical assistance and</w:t>
      </w:r>
      <w:r>
        <w:t xml:space="preserve"> </w:t>
      </w:r>
      <w:r>
        <w:t xml:space="preserve">reconstruction methodology transfer to Sub-Fund VI through ADHA</w:t>
      </w:r>
      <w:r>
        <w:t xml:space="preserve"> </w:t>
      </w:r>
      <w:r>
        <w:t xml:space="preserve">partnership.</w:t>
      </w:r>
    </w:p>
    <w:p>
      <w:pPr>
        <w:pStyle w:val="BodyText"/>
      </w:pPr>
      <w:r>
        <w:t xml:space="preserve">Ethiopia</w:t>
      </w:r>
    </w:p>
    <w:p>
      <w:pPr>
        <w:pStyle w:val="BodyText"/>
      </w:pPr>
      <w:r>
        <w:t xml:space="preserve">Ethiopia’s Development Bank of Ethiopia (DBE) provides long-term</w:t>
      </w:r>
      <w:r>
        <w:t xml:space="preserve"> </w:t>
      </w:r>
      <w:r>
        <w:t xml:space="preserve">financing for industrial and infrastructure development. Ethiopia hosts</w:t>
      </w:r>
      <w:r>
        <w:t xml:space="preserve"> </w:t>
      </w:r>
      <w:r>
        <w:t xml:space="preserve">the Africa Infrastructure Financing Facility (AIFF), launched in</w:t>
      </w:r>
      <w:r>
        <w:t xml:space="preserve"> </w:t>
      </w:r>
      <w:r>
        <w:t xml:space="preserve">February 2026 by African Union heads of state to accelerate cross-border</w:t>
      </w:r>
      <w:r>
        <w:t xml:space="preserve"> </w:t>
      </w:r>
      <w:r>
        <w:t xml:space="preserve">infrastructure project preparation and financing. The AIFF addresses</w:t>
      </w:r>
      <w:r>
        <w:t xml:space="preserve"> </w:t>
      </w:r>
      <w:r>
        <w:t xml:space="preserve">Africa’s US$221 billion annual infrastructure financing gap through</w:t>
      </w:r>
      <w:r>
        <w:t xml:space="preserve"> </w:t>
      </w:r>
      <w:r>
        <w:t xml:space="preserve">coordinated African multilateral financial institution action.</w:t>
      </w:r>
      <w:r>
        <w:t xml:space="preserve"> </w:t>
      </w:r>
      <w:r>
        <w:t xml:space="preserve">Ethiopia’s Ten-Year Development Plan 2021-2030 emphasizes quality</w:t>
      </w:r>
      <w:r>
        <w:t xml:space="preserve"> </w:t>
      </w:r>
      <w:r>
        <w:t xml:space="preserve">sustainable infrastructure and climate-smart innovations. Access</w:t>
      </w:r>
      <w:r>
        <w:t xml:space="preserve"> </w:t>
      </w:r>
      <w:r>
        <w:t xml:space="preserve">pathway: Ethiopia engages through the AIFF secretariat in Addis Ababa</w:t>
      </w:r>
      <w:r>
        <w:t xml:space="preserve"> </w:t>
      </w:r>
      <w:r>
        <w:t xml:space="preserve">and the African Union Commission. Proposed instrument: Ethiopian</w:t>
      </w:r>
      <w:r>
        <w:t xml:space="preserve"> </w:t>
      </w:r>
      <w:r>
        <w:t xml:space="preserve">participation channels through AIFF coordination with AfDB and Alliance</w:t>
      </w:r>
      <w:r>
        <w:t xml:space="preserve"> </w:t>
      </w:r>
      <w:r>
        <w:t xml:space="preserve">of African Multilateral Financial Institutions (AAMFI) for Sub-Fund VI</w:t>
      </w:r>
      <w:r>
        <w:t xml:space="preserve"> </w:t>
      </w:r>
      <w:r>
        <w:t xml:space="preserve">project preparation.</w:t>
      </w:r>
    </w:p>
    <w:p>
      <w:pPr>
        <w:pStyle w:val="BodyText"/>
      </w:pPr>
      <w:r>
        <w:t xml:space="preserve">Mauritania</w:t>
      </w:r>
    </w:p>
    <w:p>
      <w:pPr>
        <w:pStyle w:val="BodyText"/>
      </w:pPr>
      <w:r>
        <w:t xml:space="preserve">Mauritania accesses reconstruction-relevant finance through multiple</w:t>
      </w:r>
      <w:r>
        <w:t xml:space="preserve"> </w:t>
      </w:r>
      <w:r>
        <w:t xml:space="preserve">channels that demonstrate applicable pathways for the NDF. The African</w:t>
      </w:r>
      <w:r>
        <w:t xml:space="preserve"> </w:t>
      </w:r>
      <w:r>
        <w:t xml:space="preserve">Development Fund (ADF) financed a US$4.78 million project to modernize</w:t>
      </w:r>
      <w:r>
        <w:t xml:space="preserve"> </w:t>
      </w:r>
      <w:r>
        <w:t xml:space="preserve">Mauritania’s financial infrastructure, cutting inflation and raising</w:t>
      </w:r>
      <w:r>
        <w:t xml:space="preserve"> </w:t>
      </w:r>
      <w:r>
        <w:t xml:space="preserve">financial inclusion from 21% to 55%. The Arab Coordination Group (ACG)</w:t>
      </w:r>
      <w:r>
        <w:t xml:space="preserve"> </w:t>
      </w:r>
      <w:r>
        <w:t xml:space="preserve">pledged US$2 billion over five years for energy, water, transport, and</w:t>
      </w:r>
      <w:r>
        <w:t xml:space="preserve"> </w:t>
      </w:r>
      <w:r>
        <w:t xml:space="preserve">digital infrastructure in Mauritania. The Islamic Development Bank</w:t>
      </w:r>
      <w:r>
        <w:t xml:space="preserve"> </w:t>
      </w:r>
      <w:r>
        <w:t xml:space="preserve">approved and signed multiple financing agreements totaling hundreds of</w:t>
      </w:r>
      <w:r>
        <w:t xml:space="preserve"> </w:t>
      </w:r>
      <w:r>
        <w:t xml:space="preserve">millions for the Mauritania-Mali power interconnection, healthcare</w:t>
      </w:r>
      <w:r>
        <w:t xml:space="preserve"> </w:t>
      </w:r>
      <w:r>
        <w:t xml:space="preserve">facilities, and rural electrification. The Saudi Fund for Development</w:t>
      </w:r>
      <w:r>
        <w:t xml:space="preserve"> </w:t>
      </w:r>
      <w:r>
        <w:t xml:space="preserve">signed an agreement to finance a high-voltage electricity line</w:t>
      </w:r>
      <w:r>
        <w:t xml:space="preserve"> </w:t>
      </w:r>
      <w:r>
        <w:t xml:space="preserve">connecting Mauritania and Mali. The OPEC Fund approved over US$316</w:t>
      </w:r>
      <w:r>
        <w:t xml:space="preserve"> </w:t>
      </w:r>
      <w:r>
        <w:t xml:space="preserve">million in financing for energy, water, and agriculture sectors in</w:t>
      </w:r>
      <w:r>
        <w:t xml:space="preserve"> </w:t>
      </w:r>
      <w:r>
        <w:t xml:space="preserve">Mauritania. Mauritania’s National Fund for Hydrocarbon Revenues holds</w:t>
      </w:r>
      <w:r>
        <w:t xml:space="preserve"> </w:t>
      </w:r>
      <w:r>
        <w:t xml:space="preserve">sovereign resources though withdrawals have historically covered budget</w:t>
      </w:r>
      <w:r>
        <w:t xml:space="preserve"> </w:t>
      </w:r>
      <w:r>
        <w:t xml:space="preserve">deficits rather than development projects. The Banc d’Arguin (BACoMaB)</w:t>
      </w:r>
      <w:r>
        <w:t xml:space="preserve"> </w:t>
      </w:r>
      <w:r>
        <w:t xml:space="preserve">Biodiversity Trust Fund, supported by the EU and Germany, finances</w:t>
      </w:r>
      <w:r>
        <w:t xml:space="preserve"> </w:t>
      </w:r>
      <w:r>
        <w:t xml:space="preserve">marine protected areas and demonstrates environment-fund mechanisms.</w:t>
      </w:r>
      <w:r>
        <w:t xml:space="preserve"> </w:t>
      </w:r>
      <w:r>
        <w:t xml:space="preserve">Access pathway: Mauritania’s Ministry of Economic Affairs coordinates</w:t>
      </w:r>
      <w:r>
        <w:t xml:space="preserve"> </w:t>
      </w:r>
      <w:r>
        <w:t xml:space="preserve">with Arab and multilateral donors through the National Aid Coordination</w:t>
      </w:r>
      <w:r>
        <w:t xml:space="preserve"> </w:t>
      </w:r>
      <w:r>
        <w:t xml:space="preserve">Framework. Proposed instrument: Mauritania channels ACG and OPEC Fund</w:t>
      </w:r>
      <w:r>
        <w:t xml:space="preserve"> </w:t>
      </w:r>
      <w:r>
        <w:t xml:space="preserve">resources to Sub-Fund I and Sub-Fund VI through parallel co-financing</w:t>
      </w:r>
      <w:r>
        <w:t xml:space="preserve"> </w:t>
      </w:r>
      <w:r>
        <w:t xml:space="preserve">structures.</w:t>
      </w:r>
    </w:p>
    <w:p>
      <w:pPr>
        <w:pStyle w:val="BodyText"/>
      </w:pPr>
      <w:r>
        <w:t xml:space="preserve">I.9 Latin American Development Banks</w:t>
      </w:r>
    </w:p>
    <w:p>
      <w:pPr>
        <w:pStyle w:val="BodyText"/>
      </w:pPr>
      <w:r>
        <w:t xml:space="preserve">Colombia</w:t>
      </w:r>
    </w:p>
    <w:p>
      <w:pPr>
        <w:pStyle w:val="BodyText"/>
      </w:pPr>
      <w:r>
        <w:t xml:space="preserve">Colombia’s Financiera de Desarrollo Nacional (FDN) serves as the</w:t>
      </w:r>
      <w:r>
        <w:t xml:space="preserve"> </w:t>
      </w:r>
      <w:r>
        <w:t xml:space="preserve">country’s principal infrastructure development bank, specializing in</w:t>
      </w:r>
      <w:r>
        <w:t xml:space="preserve"> </w:t>
      </w:r>
      <w:r>
        <w:t xml:space="preserve">long-term project finance for transportation, energy, and social</w:t>
      </w:r>
      <w:r>
        <w:t xml:space="preserve"> </w:t>
      </w:r>
      <w:r>
        <w:t xml:space="preserve">infrastructure. FDN catalyzed over US$3.7 billion in financing for the</w:t>
      </w:r>
      <w:r>
        <w:t xml:space="preserve"> </w:t>
      </w:r>
      <w:r>
        <w:t xml:space="preserve">4G highway programme alone. The bank provides direct long-term</w:t>
      </w:r>
      <w:r>
        <w:t xml:space="preserve"> </w:t>
      </w:r>
      <w:r>
        <w:t xml:space="preserve">facilities, subordinated debt, guarantees, and credit enhancement. FDN</w:t>
      </w:r>
      <w:r>
        <w:t xml:space="preserve"> </w:t>
      </w:r>
      <w:r>
        <w:t xml:space="preserve">co-created Colombia’s first Infrastructure Collective Debt Vehicle</w:t>
      </w:r>
      <w:r>
        <w:t xml:space="preserve"> </w:t>
      </w:r>
      <w:r>
        <w:t xml:space="preserve">(Infra CDV) with IFC, CAF, and local pension funds. FDN’s equity</w:t>
      </w:r>
      <w:r>
        <w:t xml:space="preserve"> </w:t>
      </w:r>
      <w:r>
        <w:t xml:space="preserve">ownership includes 35% government stake with IFC and CAF as strategic</w:t>
      </w:r>
      <w:r>
        <w:t xml:space="preserve"> </w:t>
      </w:r>
      <w:r>
        <w:t xml:space="preserve">investors, ensuring professional governance. Access pathway: FDN reviews</w:t>
      </w:r>
      <w:r>
        <w:t xml:space="preserve"> </w:t>
      </w:r>
      <w:r>
        <w:t xml:space="preserve">international infrastructure co-investment through its Bogota</w:t>
      </w:r>
      <w:r>
        <w:t xml:space="preserve"> </w:t>
      </w:r>
      <w:r>
        <w:t xml:space="preserve">headquarters. Proposed instrument: FDN participates in Sub-Fund VI</w:t>
      </w:r>
      <w:r>
        <w:t xml:space="preserve"> </w:t>
      </w:r>
      <w:r>
        <w:t xml:space="preserve">blended finance structures, contributing project finance expertise and</w:t>
      </w:r>
      <w:r>
        <w:t xml:space="preserve"> </w:t>
      </w:r>
      <w:r>
        <w:t xml:space="preserve">credit enhancement instruments.</w:t>
      </w:r>
    </w:p>
    <w:p>
      <w:pPr>
        <w:pStyle w:val="BodyText"/>
      </w:pPr>
      <w:r>
        <w:t xml:space="preserve">Peru</w:t>
      </w:r>
    </w:p>
    <w:p>
      <w:pPr>
        <w:pStyle w:val="BodyText"/>
      </w:pPr>
      <w:r>
        <w:t xml:space="preserve">Peru’s Corporacion Financiera de Desarrollo (COFIDE) operates as the</w:t>
      </w:r>
      <w:r>
        <w:t xml:space="preserve"> </w:t>
      </w:r>
      <w:r>
        <w:t xml:space="preserve">national development bank with US$803 million in annual infrastructure</w:t>
      </w:r>
      <w:r>
        <w:t xml:space="preserve"> </w:t>
      </w:r>
      <w:r>
        <w:t xml:space="preserve">disbursements and US$2.57 billion in total project financing. COFIDE</w:t>
      </w:r>
      <w:r>
        <w:t xml:space="preserve"> </w:t>
      </w:r>
      <w:r>
        <w:t xml:space="preserve">finances up to 50% of project costs in partnership with international</w:t>
      </w:r>
      <w:r>
        <w:t xml:space="preserve"> </w:t>
      </w:r>
      <w:r>
        <w:t xml:space="preserve">financial institutions, specializing in energy, transport, water, and</w:t>
      </w:r>
      <w:r>
        <w:t xml:space="preserve"> </w:t>
      </w:r>
      <w:r>
        <w:t xml:space="preserve">environmental infrastructure. The bank maintains investment-grade credit</w:t>
      </w:r>
      <w:r>
        <w:t xml:space="preserve"> </w:t>
      </w:r>
      <w:r>
        <w:t xml:space="preserve">ratings (Moody’s Baa2, S&amp;P BBB+, Fitch BBB+). COFIDE partners with CAF</w:t>
      </w:r>
      <w:r>
        <w:t xml:space="preserve"> </w:t>
      </w:r>
      <w:r>
        <w:t xml:space="preserve">Asset Management on infrastructure debt funds. Peru’s infrastructure gap</w:t>
      </w:r>
      <w:r>
        <w:t xml:space="preserve"> </w:t>
      </w:r>
      <w:r>
        <w:t xml:space="preserve">exceeds US$160 billion, giving COFIDE extensive project structuring</w:t>
      </w:r>
      <w:r>
        <w:t xml:space="preserve"> </w:t>
      </w:r>
      <w:r>
        <w:t xml:space="preserve">experience. Access pathway: COFIDE evaluates international co-financing</w:t>
      </w:r>
      <w:r>
        <w:t xml:space="preserve"> </w:t>
      </w:r>
      <w:r>
        <w:t xml:space="preserve">proposals through its Lima headquarters. Proposed instrument: COFIDE</w:t>
      </w:r>
      <w:r>
        <w:t xml:space="preserve"> </w:t>
      </w:r>
      <w:r>
        <w:t xml:space="preserve">provides senior debt and project finance structuring to Sub-Fund VI</w:t>
      </w:r>
      <w:r>
        <w:t xml:space="preserve"> </w:t>
      </w:r>
      <w:r>
        <w:t xml:space="preserve">through CAF-coordinated Latin America infrastructure platform.</w:t>
      </w:r>
    </w:p>
    <w:p>
      <w:pPr>
        <w:pStyle w:val="BodyText"/>
      </w:pPr>
      <w:r>
        <w:t xml:space="preserve">Chile</w:t>
      </w:r>
    </w:p>
    <w:p>
      <w:pPr>
        <w:pStyle w:val="BodyText"/>
      </w:pPr>
      <w:r>
        <w:t xml:space="preserve">Chile’s BancoEstado provides development finance for infrastructure and</w:t>
      </w:r>
      <w:r>
        <w:t xml:space="preserve"> </w:t>
      </w:r>
      <w:r>
        <w:t xml:space="preserve">productive sectors. The Chilean Economic Development Agency (CORFO)</w:t>
      </w:r>
      <w:r>
        <w:t xml:space="preserve"> </w:t>
      </w:r>
      <w:r>
        <w:t xml:space="preserve">promotes investment through innovation funds and infrastructure</w:t>
      </w:r>
      <w:r>
        <w:t xml:space="preserve"> </w:t>
      </w:r>
      <w:r>
        <w:t xml:space="preserve">programmes. Chile ranks as the leading Latin American OECD DAC donor</w:t>
      </w:r>
      <w:r>
        <w:t xml:space="preserve"> </w:t>
      </w:r>
      <w:r>
        <w:t xml:space="preserve">with well-established development cooperation systems. The country’s</w:t>
      </w:r>
      <w:r>
        <w:t xml:space="preserve"> </w:t>
      </w:r>
      <w:r>
        <w:t xml:space="preserve">pension fund administrators (AFPs) hold over US$200 billion in assets</w:t>
      </w:r>
      <w:r>
        <w:t xml:space="preserve"> </w:t>
      </w:r>
      <w:r>
        <w:t xml:space="preserve">under management and actively invest in infrastructure debt instruments.</w:t>
      </w:r>
      <w:r>
        <w:t xml:space="preserve"> </w:t>
      </w:r>
      <w:r>
        <w:t xml:space="preserve">Chile’s CAF membership provides additional coordination channels for</w:t>
      </w:r>
      <w:r>
        <w:t xml:space="preserve"> </w:t>
      </w:r>
      <w:r>
        <w:t xml:space="preserve">regional infrastructure investment. Access pathway: Chilean</w:t>
      </w:r>
      <w:r>
        <w:t xml:space="preserve"> </w:t>
      </w:r>
      <w:r>
        <w:t xml:space="preserve">participation channels through CORFO and the Ministry of Finance, with</w:t>
      </w:r>
      <w:r>
        <w:t xml:space="preserve"> </w:t>
      </w:r>
      <w:r>
        <w:t xml:space="preserve">CAF coordination. Proposed instrument: Chilean AFP infrastructure debt</w:t>
      </w:r>
      <w:r>
        <w:t xml:space="preserve"> </w:t>
      </w:r>
      <w:r>
        <w:t xml:space="preserve">investment in Sub-Fund VI through CAF-structured infrastructure debt</w:t>
      </w:r>
      <w:r>
        <w:t xml:space="preserve"> </w:t>
      </w:r>
      <w:r>
        <w:t xml:space="preserve">fund.</w:t>
      </w:r>
    </w:p>
    <w:p>
      <w:pPr>
        <w:pStyle w:val="BodyText"/>
      </w:pPr>
      <w:r>
        <w:t xml:space="preserve">Guyana</w:t>
      </w:r>
    </w:p>
    <w:p>
      <w:pPr>
        <w:pStyle w:val="BodyText"/>
      </w:pPr>
      <w:r>
        <w:t xml:space="preserve">Guyana is the world’s fastest-growing economy driven by offshore oil</w:t>
      </w:r>
      <w:r>
        <w:t xml:space="preserve"> </w:t>
      </w:r>
      <w:r>
        <w:t xml:space="preserve">discoveries. The Natural Resource Fund (NRF), Guyana’s sovereign wealth</w:t>
      </w:r>
      <w:r>
        <w:t xml:space="preserve"> </w:t>
      </w:r>
      <w:r>
        <w:t xml:space="preserve">fund, held a balance of approximately US$3.64 billion at the end of</w:t>
      </w:r>
      <w:r>
        <w:t xml:space="preserve"> </w:t>
      </w:r>
      <w:r>
        <w:t xml:space="preserve">March 2026. President Ali signals a shift toward investing a portion of</w:t>
      </w:r>
      <w:r>
        <w:t xml:space="preserve"> </w:t>
      </w:r>
      <w:r>
        <w:t xml:space="preserve">NRF funds internationally in safe, predictable economies. The Guyana</w:t>
      </w:r>
      <w:r>
        <w:t xml:space="preserve"> </w:t>
      </w:r>
      <w:r>
        <w:t xml:space="preserve">Development Bank received an initial US$100 million allocation in Budget</w:t>
      </w:r>
      <w:r>
        <w:t xml:space="preserve"> </w:t>
      </w:r>
      <w:r>
        <w:t xml:space="preserve">2026, with an eventual capital pledge of US$200 million, providing</w:t>
      </w:r>
      <w:r>
        <w:t xml:space="preserve"> </w:t>
      </w:r>
      <w:r>
        <w:t xml:space="preserve">collateral-free, interest-free loans to SMEs.</w:t>
      </w:r>
    </w:p>
    <w:p>
      <w:pPr>
        <w:pStyle w:val="BodyText"/>
      </w:pPr>
      <w:r>
        <w:t xml:space="preserve">International development partners maintain active financing</w:t>
      </w:r>
      <w:r>
        <w:t xml:space="preserve"> </w:t>
      </w:r>
      <w:r>
        <w:t xml:space="preserve">relationships with Guyana. IDB Invest provided a US$5 million loan to</w:t>
      </w:r>
      <w:r>
        <w:t xml:space="preserve"> </w:t>
      </w:r>
      <w:r>
        <w:t xml:space="preserve">the Institute of Private Enterprise Development (IPED) for micro and</w:t>
      </w:r>
      <w:r>
        <w:t xml:space="preserve"> </w:t>
      </w:r>
      <w:r>
        <w:t xml:space="preserve">small enterprises, including US$2.5 million from IDB Invest and US$2.5</w:t>
      </w:r>
      <w:r>
        <w:t xml:space="preserve"> </w:t>
      </w:r>
      <w:r>
        <w:t xml:space="preserve">million from a JICA trust fund. JICA’s TADAC Fund (US$1.5 billion)</w:t>
      </w:r>
      <w:r>
        <w:t xml:space="preserve"> </w:t>
      </w:r>
      <w:r>
        <w:t xml:space="preserve">supports private sector projects and co-finances with IDB Invest. UK</w:t>
      </w:r>
      <w:r>
        <w:t xml:space="preserve"> </w:t>
      </w:r>
      <w:r>
        <w:t xml:space="preserve">Export Finance raised its financing capacity for Guyana from GBP2.1</w:t>
      </w:r>
      <w:r>
        <w:t xml:space="preserve"> </w:t>
      </w:r>
      <w:r>
        <w:t xml:space="preserve">billion to GBP3 billion for infrastructure and private sector</w:t>
      </w:r>
      <w:r>
        <w:t xml:space="preserve"> </w:t>
      </w:r>
      <w:r>
        <w:t xml:space="preserve">development. Canada provided a CA$120 million policy-based loan through</w:t>
      </w:r>
      <w:r>
        <w:t xml:space="preserve"> </w:t>
      </w:r>
      <w:r>
        <w:t xml:space="preserve">the IDB for social protection, plus CA$9.5 million for the One Guyana</w:t>
      </w:r>
      <w:r>
        <w:t xml:space="preserve"> </w:t>
      </w:r>
      <w:r>
        <w:t xml:space="preserve">Digital Skills Development Programme.</w:t>
      </w:r>
    </w:p>
    <w:p>
      <w:pPr>
        <w:pStyle w:val="BodyText"/>
      </w:pPr>
      <w:r>
        <w:t xml:space="preserve">Access pathway: Guyana channels resources through the Ministry of</w:t>
      </w:r>
      <w:r>
        <w:t xml:space="preserve"> </w:t>
      </w:r>
      <w:r>
        <w:t xml:space="preserve">Finance and the NRF Board. Proposed instrument: NRF sovereign fund</w:t>
      </w:r>
      <w:r>
        <w:t xml:space="preserve"> </w:t>
      </w:r>
      <w:r>
        <w:t xml:space="preserve">co-investment in Sub-Fund I (Energy Infrastructure Restoration)</w:t>
      </w:r>
      <w:r>
        <w:t xml:space="preserve"> </w:t>
      </w:r>
      <w:r>
        <w:t xml:space="preserve">leveraging Guyana’s parallel experience in natural resource fund</w:t>
      </w:r>
      <w:r>
        <w:t xml:space="preserve"> </w:t>
      </w:r>
      <w:r>
        <w:t xml:space="preserve">management for infrastructure development.</w:t>
      </w:r>
    </w:p>
    <w:p>
      <w:pPr>
        <w:pStyle w:val="BodyText"/>
      </w:pPr>
      <w:r>
        <w:t xml:space="preserve">I.10 Additional Sovereign Wealth and Regional Funds</w:t>
      </w:r>
    </w:p>
    <w:p>
      <w:pPr>
        <w:pStyle w:val="BodyText"/>
      </w:pPr>
      <w:r>
        <w:t xml:space="preserve">Azerbaijan</w:t>
      </w:r>
    </w:p>
    <w:p>
      <w:pPr>
        <w:pStyle w:val="BodyText"/>
      </w:pPr>
      <w:r>
        <w:t xml:space="preserve">Azerbaijan’s State Oil Fund (SOFAZ) manages over US$50 billion in assets</w:t>
      </w:r>
      <w:r>
        <w:t xml:space="preserve"> </w:t>
      </w:r>
      <w:r>
        <w:t xml:space="preserve">derived from oil and gas revenues. SOFAZ invests internationally in real</w:t>
      </w:r>
      <w:r>
        <w:t xml:space="preserve"> </w:t>
      </w:r>
      <w:r>
        <w:t xml:space="preserve">estate, equities, and fixed income across developed and emerging</w:t>
      </w:r>
      <w:r>
        <w:t xml:space="preserve"> </w:t>
      </w:r>
      <w:r>
        <w:t xml:space="preserve">markets. The fund has financed major infrastructure reconstruction in</w:t>
      </w:r>
      <w:r>
        <w:t xml:space="preserve"> </w:t>
      </w:r>
      <w:r>
        <w:t xml:space="preserve">Azerbaijan and maintains appetite for energy-sector investments. The</w:t>
      </w:r>
      <w:r>
        <w:t xml:space="preserve"> </w:t>
      </w:r>
      <w:r>
        <w:t xml:space="preserve">Azerbaijan Investment Company seeks direct investment opportunities in</w:t>
      </w:r>
      <w:r>
        <w:t xml:space="preserve"> </w:t>
      </w:r>
      <w:r>
        <w:t xml:space="preserve">strategic sectors. Access pathway: SOFAZ evaluates international</w:t>
      </w:r>
      <w:r>
        <w:t xml:space="preserve"> </w:t>
      </w:r>
      <w:r>
        <w:t xml:space="preserve">investment proposals through its Baku headquarters with representative</w:t>
      </w:r>
      <w:r>
        <w:t xml:space="preserve"> </w:t>
      </w:r>
      <w:r>
        <w:t xml:space="preserve">offices in London and other financial centers. Proposed instrument:</w:t>
      </w:r>
      <w:r>
        <w:t xml:space="preserve"> </w:t>
      </w:r>
      <w:r>
        <w:t xml:space="preserve">SOFAZ participates in Sub-Fund I as equity co-investor in energy</w:t>
      </w:r>
      <w:r>
        <w:t xml:space="preserve"> </w:t>
      </w:r>
      <w:r>
        <w:t xml:space="preserve">infrastructure restoration.</w:t>
      </w:r>
    </w:p>
    <w:p>
      <w:pPr>
        <w:pStyle w:val="BodyText"/>
      </w:pPr>
      <w:r>
        <w:t xml:space="preserve">Serbia</w:t>
      </w:r>
    </w:p>
    <w:p>
      <w:pPr>
        <w:pStyle w:val="BodyText"/>
      </w:pPr>
      <w:r>
        <w:t xml:space="preserve">Serbia’s Development Fund of the Republic of Serbia provides</w:t>
      </w:r>
      <w:r>
        <w:t xml:space="preserve"> </w:t>
      </w:r>
      <w:r>
        <w:t xml:space="preserve">concessionary financing for infrastructure, agriculture, and</w:t>
      </w:r>
      <w:r>
        <w:t xml:space="preserve"> </w:t>
      </w:r>
      <w:r>
        <w:t xml:space="preserve">environmental projects. Serbia maintains active cooperation with EBRD,</w:t>
      </w:r>
      <w:r>
        <w:t xml:space="preserve"> </w:t>
      </w:r>
      <w:r>
        <w:t xml:space="preserve">EIB, and World Bank on infrastructure development. The country possesses</w:t>
      </w:r>
      <w:r>
        <w:t xml:space="preserve"> </w:t>
      </w:r>
      <w:r>
        <w:t xml:space="preserve">relevant post-conflict reconstruction experience from the 1999 Kosovo</w:t>
      </w:r>
      <w:r>
        <w:t xml:space="preserve"> </w:t>
      </w:r>
      <w:r>
        <w:t xml:space="preserve">war recovery period. Serbian construction firms have expertise in</w:t>
      </w:r>
      <w:r>
        <w:t xml:space="preserve"> </w:t>
      </w:r>
      <w:r>
        <w:t xml:space="preserve">rebuilding transport and energy infrastructure under challenging</w:t>
      </w:r>
      <w:r>
        <w:t xml:space="preserve"> </w:t>
      </w:r>
      <w:r>
        <w:t xml:space="preserve">conditions. Access pathway: Serbia engages through the Ministry of</w:t>
      </w:r>
      <w:r>
        <w:t xml:space="preserve"> </w:t>
      </w:r>
      <w:r>
        <w:t xml:space="preserve">Finance and the Development Fund in Belgrade. Proposed instrument:</w:t>
      </w:r>
      <w:r>
        <w:t xml:space="preserve"> </w:t>
      </w:r>
      <w:r>
        <w:t xml:space="preserve">Serbian reconstruction expertise contributes to Sub-Fund VI through</w:t>
      </w:r>
      <w:r>
        <w:t xml:space="preserve"> </w:t>
      </w:r>
      <w:r>
        <w:t xml:space="preserve">specialized contractor consortiums and technical assistance.</w:t>
      </w:r>
    </w:p>
    <w:p>
      <w:pPr>
        <w:pStyle w:val="BodyText"/>
      </w:pPr>
      <w:r>
        <w:t xml:space="preserve">Rwanda</w:t>
      </w:r>
    </w:p>
    <w:p>
      <w:pPr>
        <w:pStyle w:val="BodyText"/>
      </w:pPr>
      <w:r>
        <w:t xml:space="preserve">Rwanda’s Rwanda Finance Limited operates the Kigali International</w:t>
      </w:r>
      <w:r>
        <w:t xml:space="preserve"> </w:t>
      </w:r>
      <w:r>
        <w:t xml:space="preserve">Financial Centre, positioning the country as a pan-African financial</w:t>
      </w:r>
      <w:r>
        <w:t xml:space="preserve"> </w:t>
      </w:r>
      <w:r>
        <w:t xml:space="preserve">hub. The Rwanda Development Bank (BRD) provides long-term financing for</w:t>
      </w:r>
      <w:r>
        <w:t xml:space="preserve"> </w:t>
      </w:r>
      <w:r>
        <w:t xml:space="preserve">strategic infrastructure and green projects. Rwanda’s Fund for</w:t>
      </w:r>
      <w:r>
        <w:t xml:space="preserve"> </w:t>
      </w:r>
      <w:r>
        <w:t xml:space="preserve">Environment and Climate Change (FONERWA) channels climate finance into</w:t>
      </w:r>
      <w:r>
        <w:t xml:space="preserve"> </w:t>
      </w:r>
      <w:r>
        <w:t xml:space="preserve">adaptation and mitigation investments. The country’s post-genocide</w:t>
      </w:r>
      <w:r>
        <w:t xml:space="preserve"> </w:t>
      </w:r>
      <w:r>
        <w:t xml:space="preserve">reconstruction demonstrates institutional capacity for rapid large-scale</w:t>
      </w:r>
      <w:r>
        <w:t xml:space="preserve"> </w:t>
      </w:r>
      <w:r>
        <w:t xml:space="preserve">infrastructure recovery. Access pathway: Rwanda engages through the</w:t>
      </w:r>
      <w:r>
        <w:t xml:space="preserve"> </w:t>
      </w:r>
      <w:r>
        <w:t xml:space="preserve">Ministry of Finance and Economic Planning and BRD. Proposed instrument:</w:t>
      </w:r>
      <w:r>
        <w:t xml:space="preserve"> </w:t>
      </w:r>
      <w:r>
        <w:t xml:space="preserve">FONERWA contributes climate finance co-investment to Sub-Fund I (green</w:t>
      </w:r>
      <w:r>
        <w:t xml:space="preserve"> </w:t>
      </w:r>
      <w:r>
        <w:t xml:space="preserve">energy) and Sub-Fund III (climate-resilient agriculture).</w:t>
      </w:r>
    </w:p>
    <w:p>
      <w:pPr>
        <w:pStyle w:val="BodyText"/>
      </w:pPr>
      <w:r>
        <w:t xml:space="preserve">India (Additional Detail)</w:t>
      </w:r>
    </w:p>
    <w:p>
      <w:pPr>
        <w:pStyle w:val="BodyText"/>
      </w:pPr>
      <w:r>
        <w:t xml:space="preserve">India’s EXIM Bank operates a US$10 billion Africa infrastructure</w:t>
      </w:r>
      <w:r>
        <w:t xml:space="preserve"> </w:t>
      </w:r>
      <w:r>
        <w:t xml:space="preserve">financing window. The National Investment and Infrastructure Fund (NIIF)</w:t>
      </w:r>
      <w:r>
        <w:t xml:space="preserve"> </w:t>
      </w:r>
      <w:r>
        <w:t xml:space="preserve">manages over US$4.5 billion with active international co-investment</w:t>
      </w:r>
      <w:r>
        <w:t xml:space="preserve"> </w:t>
      </w:r>
      <w:r>
        <w:t xml:space="preserve">platforms. India’s SBI Holdings and other state banks maintain dedicated</w:t>
      </w:r>
      <w:r>
        <w:t xml:space="preserve"> </w:t>
      </w:r>
      <w:r>
        <w:t xml:space="preserve">infrastructure lending divisions. Indian construction conglomerates</w:t>
      </w:r>
      <w:r>
        <w:t xml:space="preserve"> </w:t>
      </w:r>
      <w:r>
        <w:t xml:space="preserve">(Larsen &amp; Toubro, Shapoorji Pallonji, Tata Projects) rank among the</w:t>
      </w:r>
      <w:r>
        <w:t xml:space="preserve"> </w:t>
      </w:r>
      <w:r>
        <w:t xml:space="preserve">world’s largest infrastructure contractors with proven reconstruction</w:t>
      </w:r>
      <w:r>
        <w:t xml:space="preserve"> </w:t>
      </w:r>
      <w:r>
        <w:t xml:space="preserve">capability. India participates in the Asian Infrastructure Investment</w:t>
      </w:r>
      <w:r>
        <w:t xml:space="preserve"> </w:t>
      </w:r>
      <w:r>
        <w:t xml:space="preserve">Bank and New Development Bank as founding member. Access pathway: EXIM</w:t>
      </w:r>
      <w:r>
        <w:t xml:space="preserve"> </w:t>
      </w:r>
      <w:r>
        <w:t xml:space="preserve">Bank and NIIF evaluate proposals through their New Delhi headquarters</w:t>
      </w:r>
      <w:r>
        <w:t xml:space="preserve"> </w:t>
      </w:r>
      <w:r>
        <w:t xml:space="preserve">and international offices. Proposed instrument: EXIM Bank provides</w:t>
      </w:r>
      <w:r>
        <w:t xml:space="preserve"> </w:t>
      </w:r>
      <w:r>
        <w:t xml:space="preserve">buyer’s credit for Indian contractor participation; NIIF co-invests</w:t>
      </w:r>
      <w:r>
        <w:t xml:space="preserve"> </w:t>
      </w:r>
      <w:r>
        <w:t xml:space="preserve">equity in Sub-Fund VI.</w:t>
      </w:r>
    </w:p>
    <w:p>
      <w:pPr>
        <w:pStyle w:val="BodyText"/>
      </w:pPr>
      <w:r>
        <w:t xml:space="preserve">Indonesia (Additional Detail)</w:t>
      </w:r>
    </w:p>
    <w:p>
      <w:pPr>
        <w:pStyle w:val="BodyText"/>
      </w:pPr>
      <w:r>
        <w:t xml:space="preserve">Indonesia’s Badan Pengelola Investasi Daya Anugerah Nusantara (BPI</w:t>
      </w:r>
      <w:r>
        <w:t xml:space="preserve"> </w:t>
      </w:r>
      <w:r>
        <w:t xml:space="preserve">Danantara) sovereign wealth fund manages over US$600 billion in assets,</w:t>
      </w:r>
      <w:r>
        <w:t xml:space="preserve"> </w:t>
      </w:r>
      <w:r>
        <w:t xml:space="preserve">making it one of the world’s largest. The Indonesia Investment Authority</w:t>
      </w:r>
      <w:r>
        <w:t xml:space="preserve"> </w:t>
      </w:r>
      <w:r>
        <w:t xml:space="preserve">(INA) targets infrastructure and strategic sector investments with</w:t>
      </w:r>
      <w:r>
        <w:t xml:space="preserve"> </w:t>
      </w:r>
      <w:r>
        <w:t xml:space="preserve">international co-investment mandates. Indonesia Eximbank provides trade</w:t>
      </w:r>
      <w:r>
        <w:t xml:space="preserve"> </w:t>
      </w:r>
      <w:r>
        <w:t xml:space="preserve">and project finance for international construction contracts. Indonesian</w:t>
      </w:r>
      <w:r>
        <w:t xml:space="preserve"> </w:t>
      </w:r>
      <w:r>
        <w:t xml:space="preserve">state construction firms (Waskita Karya, PP, Adhi Karya) execute major</w:t>
      </w:r>
      <w:r>
        <w:t xml:space="preserve"> </w:t>
      </w:r>
      <w:r>
        <w:t xml:space="preserve">infrastructure projects across Southeast Asia, the Middle East, and</w:t>
      </w:r>
      <w:r>
        <w:t xml:space="preserve"> </w:t>
      </w:r>
      <w:r>
        <w:t xml:space="preserve">Africa. Access pathway: INA and BPI Danantara review international</w:t>
      </w:r>
      <w:r>
        <w:t xml:space="preserve"> </w:t>
      </w:r>
      <w:r>
        <w:t xml:space="preserve">co-investment through Jakarta headquarters. Proposed instrument: INA</w:t>
      </w:r>
      <w:r>
        <w:t xml:space="preserve"> </w:t>
      </w:r>
      <w:r>
        <w:t xml:space="preserve">provides equity anchor alongside Indonesian contractor consortium</w:t>
      </w:r>
      <w:r>
        <w:t xml:space="preserve"> </w:t>
      </w:r>
      <w:r>
        <w:t xml:space="preserve">participation in Sub-Fund VI.</w:t>
      </w:r>
    </w:p>
    <w:bookmarkEnd w:id="171"/>
    <w:bookmarkStart w:id="172" w:name="appendix-i-summary-table-updated"/>
    <w:p>
      <w:pPr>
        <w:pStyle w:val="Heading3"/>
      </w:pPr>
      <w:r>
        <w:t xml:space="preserve">Appendix I Summary Table (Updated)</w:t>
      </w:r>
    </w:p>
    <w:p>
      <w:pPr>
        <w:pStyle w:val="FirstParagraph"/>
      </w:pPr>
      <w:r>
        <w:t xml:space="preserve">The following table aggregates the expanded country-by-country funding</w:t>
      </w:r>
      <w:r>
        <w:t xml:space="preserve"> </w:t>
      </w:r>
      <w:r>
        <w:t xml:space="preserve">coverage:</w:t>
      </w:r>
    </w:p>
    <w:p>
      <w:pPr>
        <w:pStyle w:val="BodyText"/>
      </w:pPr>
      <w:r>
        <w:t xml:space="preserve">, , , , , , , , , , , , , , , , , , , , , , , , , , , , , , , , , , , -</w:t>
      </w:r>
      <w:r>
        <w:t xml:space="preserve"> </w:t>
      </w:r>
      <w:r>
        <w:t xml:space="preserve">Region Countries Covered Est. Range</w:t>
      </w:r>
      <w:r>
        <w:t xml:space="preserve"> </w:t>
      </w:r>
      <w:r>
        <w:t xml:space="preserve">, , , , , , , - , , , , , , , , , , , , , , , , , , - , , , , , , , , -</w:t>
      </w:r>
      <w:r>
        <w:t xml:space="preserve"> </w:t>
      </w:r>
      <w:r>
        <w:t xml:space="preserve">East Asia and 16 countries $20-55B</w:t>
      </w:r>
      <w:r>
        <w:t xml:space="preserve"> </w:t>
      </w:r>
      <w:r>
        <w:t xml:space="preserve">Pacific</w:t>
      </w:r>
    </w:p>
    <w:p>
      <w:pPr>
        <w:pStyle w:val="BodyText"/>
      </w:pPr>
      <w:r>
        <w:t xml:space="preserve">Europe and 27 countries $8-16B</w:t>
      </w:r>
      <w:r>
        <w:t xml:space="preserve"> </w:t>
      </w:r>
      <w:r>
        <w:t xml:space="preserve">North America</w:t>
      </w:r>
    </w:p>
    <w:p>
      <w:pPr>
        <w:pStyle w:val="BodyText"/>
      </w:pPr>
      <w:r>
        <w:t xml:space="preserve">MENA, Africa, 20 countries $5-10B</w:t>
      </w:r>
      <w:r>
        <w:t xml:space="preserve"> </w:t>
      </w:r>
      <w:r>
        <w:t xml:space="preserve">and Central</w:t>
      </w:r>
      <w:r>
        <w:br/>
      </w:r>
      <w:r>
        <w:t xml:space="preserve">Asia</w:t>
      </w:r>
    </w:p>
    <w:p>
      <w:pPr>
        <w:pStyle w:val="BodyText"/>
      </w:pPr>
      <w:r>
        <w:t xml:space="preserve">Americas 8 countries $1.5-3B</w:t>
      </w:r>
    </w:p>
    <w:p>
      <w:pPr>
        <w:pStyle w:val="BodyText"/>
      </w:pPr>
      <w:r>
        <w:t xml:space="preserve">Additional OIC 6 countries $300-700M</w:t>
      </w:r>
      <w:r>
        <w:t xml:space="preserve"> </w:t>
      </w:r>
      <w:r>
        <w:t xml:space="preserve">Members</w:t>
      </w:r>
    </w:p>
    <w:p>
      <w:pPr>
        <w:pStyle w:val="BodyText"/>
      </w:pPr>
      <w:r>
        <w:t xml:space="preserve">Innovative Cross-cutting $3-7B enabled</w:t>
      </w:r>
      <w:r>
        <w:t xml:space="preserve"> </w:t>
      </w:r>
      <w:r>
        <w:t xml:space="preserve">Mechanisms</w:t>
      </w:r>
    </w:p>
    <w:p>
      <w:pPr>
        <w:pStyle w:val="BodyText"/>
      </w:pPr>
      <w:r>
        <w:t xml:space="preserve">TOTAL APPENDIX 77 countries + mechanisms $38-92B</w:t>
      </w:r>
      <w:r>
        <w:t xml:space="preserve"> </w:t>
      </w:r>
      <w:r>
        <w:t xml:space="preserve">I (Expanded)</w:t>
      </w:r>
      <w:r>
        <w:br/>
      </w:r>
      <w:r>
        <w:t xml:space="preserve">, , , , , , , , , , , , , , , , , , , , , , , , , , , , , , , , , , , -</w:t>
      </w:r>
    </w:p>
    <w:p>
      <w:pPr>
        <w:pStyle w:val="BodyText"/>
      </w:pPr>
      <w:r>
        <w:t xml:space="preserve">I.11 Conclusion of Funding Framework</w:t>
      </w:r>
    </w:p>
    <w:p>
      <w:pPr>
        <w:pStyle w:val="BodyText"/>
      </w:pPr>
      <w:r>
        <w:t xml:space="preserve">The aggregation of the aforementioned sovereign wealth funds,</w:t>
      </w:r>
      <w:r>
        <w:t xml:space="preserve"> </w:t>
      </w:r>
      <w:r>
        <w:t xml:space="preserve">multilateral development banks, OECD DAC donors, and specialized</w:t>
      </w:r>
      <w:r>
        <w:t xml:space="preserve"> </w:t>
      </w:r>
      <w:r>
        <w:t xml:space="preserve">international facilities establishes a sufficiently capitalized and</w:t>
      </w:r>
      <w:r>
        <w:t xml:space="preserve"> </w:t>
      </w:r>
      <w:r>
        <w:t xml:space="preserve">highly diversified funding base for the MRF. By distributing the</w:t>
      </w:r>
      <w:r>
        <w:t xml:space="preserve"> </w:t>
      </w:r>
      <w:r>
        <w:t xml:space="preserve">financial burden across multiple neutral and international channels, the</w:t>
      </w:r>
      <w:r>
        <w:t xml:space="preserve"> </w:t>
      </w:r>
      <w:r>
        <w:t xml:space="preserve">framework ensures the political viability of the $270 billion 10-year</w:t>
      </w:r>
      <w:r>
        <w:t xml:space="preserve"> </w:t>
      </w:r>
      <w:r>
        <w:t xml:space="preserve">target while insulating the reconstruction effort from bilateral</w:t>
      </w:r>
      <w:r>
        <w:t xml:space="preserve"> </w:t>
      </w:r>
      <w:r>
        <w:t xml:space="preserve">political disputes.</w:t>
      </w:r>
    </w:p>
    <w:p>
      <w:pPr>
        <w:pStyle w:val="BodyText"/>
      </w:pPr>
      <w:r>
        <w:t xml:space="preserve">The Mauritania case illustrates the emerging reality of concentrated</w:t>
      </w:r>
      <w:r>
        <w:t xml:space="preserve"> </w:t>
      </w:r>
      <w:r>
        <w:t xml:space="preserve">multilateral engagement in strategically positioned developing</w:t>
      </w:r>
      <w:r>
        <w:t xml:space="preserve"> </w:t>
      </w:r>
      <w:r>
        <w:t xml:space="preserve">economies. Mauritania advances a US$100 billion pipeline of planned</w:t>
      </w:r>
      <w:r>
        <w:t xml:space="preserve"> </w:t>
      </w:r>
      <w:r>
        <w:t xml:space="preserve">green hydrogen projects, including Project Aman (30 GW) and Project Nour</w:t>
      </w:r>
      <w:r>
        <w:t xml:space="preserve"> </w:t>
      </w:r>
      <w:r>
        <w:t xml:space="preserve">(10 GW), combining Saharan solar irradiation with continuous coastal</w:t>
      </w:r>
      <w:r>
        <w:t xml:space="preserve"> </w:t>
      </w:r>
      <w:r>
        <w:t xml:space="preserve">desert winds and direct Atlantic shipping access. The Greater Tortue</w:t>
      </w:r>
      <w:r>
        <w:t xml:space="preserve"> </w:t>
      </w:r>
      <w:r>
        <w:t xml:space="preserve">Ahmeyim (GTA) natural gas field launched LNG exports in early 2025,</w:t>
      </w:r>
      <w:r>
        <w:t xml:space="preserve"> </w:t>
      </w:r>
      <w:r>
        <w:t xml:space="preserve">creating an active revenue stream flowing into the National Fund for</w:t>
      </w:r>
      <w:r>
        <w:t xml:space="preserve"> </w:t>
      </w:r>
      <w:r>
        <w:t xml:space="preserve">Hydrocarbon Reserves (FNRH). The World Bank DREAM project anchors</w:t>
      </w:r>
      <w:r>
        <w:t xml:space="preserve"> </w:t>
      </w:r>
      <w:r>
        <w:t xml:space="preserve">Mauritania’s critical minerals and energy storage frameworks, turning</w:t>
      </w:r>
      <w:r>
        <w:t xml:space="preserve"> </w:t>
      </w:r>
      <w:r>
        <w:t xml:space="preserve">the nation into a credible hub for co-financing alongside Team Europe,</w:t>
      </w:r>
      <w:r>
        <w:t xml:space="preserve"> </w:t>
      </w:r>
      <w:r>
        <w:t xml:space="preserve">the UN, and major Gulf State sovereign wealth funds. These dynamics</w:t>
      </w:r>
      <w:r>
        <w:t xml:space="preserve"> </w:t>
      </w:r>
      <w:r>
        <w:t xml:space="preserve">demonstrate that countries with strategic geographic and resource</w:t>
      </w:r>
      <w:r>
        <w:t xml:space="preserve"> </w:t>
      </w:r>
      <w:r>
        <w:t xml:space="preserve">positioning attract disproportionate international financing flows, a</w:t>
      </w:r>
      <w:r>
        <w:t xml:space="preserve"> </w:t>
      </w:r>
      <w:r>
        <w:t xml:space="preserve">pattern the NDF leverages through Iran’s own energy, mineral, and</w:t>
      </w:r>
      <w:r>
        <w:t xml:space="preserve"> </w:t>
      </w:r>
      <w:r>
        <w:t xml:space="preserve">geographic assets.</w:t>
      </w:r>
    </w:p>
    <w:bookmarkEnd w:id="172"/>
    <w:bookmarkEnd w:id="173"/>
    <w:bookmarkEnd w:id="174"/>
    <w:bookmarkStart w:id="178" w:name="X2de7f7920c5134b447896fced057b16554d33ca"/>
    <w:p>
      <w:pPr>
        <w:pStyle w:val="Heading1"/>
      </w:pPr>
      <w:r>
        <w:t xml:space="preserve">ANNEX F: THE POLITICAL LAYER MESSAGING REGISTER AND SEQUENCED PUBLIC COMMUNICATIONS</w:t>
      </w:r>
    </w:p>
    <w:bookmarkStart w:id="175" w:name="f.1-the-agreed-silence-windows"/>
    <w:p>
      <w:pPr>
        <w:pStyle w:val="Heading2"/>
      </w:pPr>
      <w:r>
        <w:t xml:space="preserve">F.1 The Agreed Silence Windows</w:t>
      </w:r>
    </w:p>
    <w:p>
      <w:pPr>
        <w:pStyle w:val="FirstParagraph"/>
      </w:pPr>
      <w:r>
        <w:t xml:space="preserve">F.1.1 The first seventy-two hours after signature constitute a quiet window: both Parties confine official communication to the published operational facts of the reopening, and both defer victory declarations until the reopening certification logs in the Common Facts Register. The quiet window protects the most fragile hours of the Compact from narrative turbulence.</w:t>
      </w:r>
    </w:p>
    <w:p>
      <w:pPr>
        <w:pStyle w:val="BodyText"/>
      </w:pPr>
      <w:r>
        <w:t xml:space="preserve">F.1.2 A second quiet window covers Days 14 through 30 (inventory through down-blending certification), during which both Parties’ official communications describe the nuclear process in the agreed technical vocabulary of Annex C.</w:t>
      </w:r>
    </w:p>
    <w:bookmarkEnd w:id="175"/>
    <w:bookmarkStart w:id="176" w:name="f.2-the-parallel-announcement-texts"/>
    <w:p>
      <w:pPr>
        <w:pStyle w:val="Heading2"/>
      </w:pPr>
      <w:r>
        <w:t xml:space="preserve">F.2 The Parallel Announcement Texts</w:t>
      </w:r>
    </w:p>
    <w:p>
      <w:pPr>
        <w:pStyle w:val="FirstParagraph"/>
      </w:pPr>
      <w:r>
        <w:t xml:space="preserve">F.2.1 Each Party drafts, releases, and defends its own announcement. The framework architecture imposes no content obligation except one: no Party’s public text attributes to the other Party an admission, concession, or characterization that the other Party has not published in its own words. Facts are common; words are sovereign.</w:t>
      </w:r>
    </w:p>
    <w:p>
      <w:pPr>
        <w:pStyle w:val="BodyText"/>
      </w:pPr>
      <w:r>
        <w:t xml:space="preserve">F.2.2 Indicative framing, recorded without binding force: the United States emphasizes free and toll-free navigation, the end of the nuclear weapons pathway, verified withdrawal on its own terms, and no payment to Iran. The Islamic Republic of Iran emphasizes the end of the blockade, recognition of its coastal-state stewardship, the permanence of its right to peaceful nuclear energy, the release of its assets, and reconstruction at scale without conditionality. Oman emphasizes the institutionalization of co-management. Every listed emphasis is consistent with the Common Facts Register.</w:t>
      </w:r>
    </w:p>
    <w:bookmarkEnd w:id="176"/>
    <w:bookmarkStart w:id="177" w:name="X0923007fa5ac85ade163332e983f4fbebe0a2cd"/>
    <w:p>
      <w:pPr>
        <w:pStyle w:val="Heading2"/>
      </w:pPr>
      <w:r>
        <w:t xml:space="preserve">F.3 The Response Protocol for Hostile Characterization</w:t>
      </w:r>
    </w:p>
    <w:p>
      <w:pPr>
        <w:pStyle w:val="FirstParagraph"/>
      </w:pPr>
      <w:r>
        <w:t xml:space="preserve">F.3.1 When either Party’s domestic politics produce characterization that the other finds objectionable, the response protocol routes the objection to the Permanent Coordination Council liaison channel, never to operational retaliation. Words route to words. The corridors, the funds, and the telemetry never answer for speeches.</w:t>
      </w:r>
    </w:p>
    <w:p>
      <w:pPr>
        <w:pStyle w:val="BodyText"/>
      </w:pPr>
      <w:r>
        <w:t xml:space="preserve">F.3.2 The quarterly Narrative Review, conducted by the Permanent Coordination Council, assesses whether public characterization on either side has degraded implementation trust, and issues private counsel to both Parties. The Review publishes nothing. Its power lies in the standing it gives each government to say at home that it defended its honor through channels.</w:t>
      </w:r>
    </w:p>
    <w:bookmarkEnd w:id="177"/>
    <w:bookmarkEnd w:id="178"/>
    <w:bookmarkStart w:id="182" w:name="Xbb8782ff33a79f26e2cfcff43bb8cb9df82d5a6"/>
    <w:p>
      <w:pPr>
        <w:pStyle w:val="Heading1"/>
      </w:pPr>
      <w:r>
        <w:t xml:space="preserve">ANNEX G: DEFINITIONS, INTERPRETATION, AND SEVERABILITY</w:t>
      </w:r>
    </w:p>
    <w:bookmarkStart w:id="179" w:name="g.1-definitions"/>
    <w:p>
      <w:pPr>
        <w:pStyle w:val="Heading2"/>
      </w:pPr>
      <w:r>
        <w:t xml:space="preserve">G.1 Definitions</w:t>
      </w:r>
    </w:p>
    <w:p>
      <w:pPr>
        <w:pStyle w:val="FirstParagraph"/>
      </w:pPr>
      <w:r>
        <w:t xml:space="preserve">G.1.1 In this Compact:</w:t>
      </w:r>
      <w:r>
        <w:t xml:space="preserve"> </w:t>
      </w:r>
      <w:r>
        <w:t xml:space="preserve">“</w:t>
      </w:r>
      <w:r>
        <w:t xml:space="preserve">Common Facts Register</w:t>
      </w:r>
      <w:r>
        <w:t xml:space="preserve">”</w:t>
      </w:r>
      <w:r>
        <w:t xml:space="preserve"> </w:t>
      </w:r>
      <w:r>
        <w:t xml:space="preserve">means the factual baseline established by Article 0.2.</w:t>
      </w:r>
      <w:r>
        <w:t xml:space="preserve"> </w:t>
      </w:r>
      <w:r>
        <w:t xml:space="preserve">“</w:t>
      </w:r>
      <w:r>
        <w:t xml:space="preserve">Cothrom</w:t>
      </w:r>
      <w:r>
        <w:t xml:space="preserve">”</w:t>
      </w:r>
      <w:r>
        <w:t xml:space="preserve"> </w:t>
      </w:r>
      <w:r>
        <w:t xml:space="preserve">designates the verification and compliance method of Annex D, from the Irish word meaning equal, balanced, level, and fair.</w:t>
      </w:r>
      <w:r>
        <w:t xml:space="preserve"> </w:t>
      </w:r>
      <w:r>
        <w:t xml:space="preserve">“</w:t>
      </w:r>
      <w:r>
        <w:t xml:space="preserve">Corridor</w:t>
      </w:r>
      <w:r>
        <w:t xml:space="preserve">”</w:t>
      </w:r>
      <w:r>
        <w:t xml:space="preserve"> </w:t>
      </w:r>
      <w:r>
        <w:t xml:space="preserve">means Corridor One, Two, or Three of Annex A.</w:t>
      </w:r>
      <w:r>
        <w:t xml:space="preserve"> </w:t>
      </w:r>
      <w:r>
        <w:t xml:space="preserve">“</w:t>
      </w:r>
      <w:r>
        <w:t xml:space="preserve">Golden record</w:t>
      </w:r>
      <w:r>
        <w:t xml:space="preserve">”</w:t>
      </w:r>
      <w:r>
        <w:t xml:space="preserve"> </w:t>
      </w:r>
      <w:r>
        <w:t xml:space="preserve">means the unalterable cryptographically sealed data stream of Annex D.</w:t>
      </w:r>
      <w:r>
        <w:t xml:space="preserve"> </w:t>
      </w:r>
      <w:r>
        <w:t xml:space="preserve">“</w:t>
      </w:r>
      <w:r>
        <w:t xml:space="preserve">Guarantor Matrix</w:t>
      </w:r>
      <w:r>
        <w:t xml:space="preserve">”</w:t>
      </w:r>
      <w:r>
        <w:t xml:space="preserve"> </w:t>
      </w:r>
      <w:r>
        <w:t xml:space="preserve">means the body constituted by Article 11.1(d).</w:t>
      </w:r>
      <w:r>
        <w:t xml:space="preserve"> </w:t>
      </w:r>
      <w:r>
        <w:t xml:space="preserve">“</w:t>
      </w:r>
      <w:r>
        <w:t xml:space="preserve">JHA</w:t>
      </w:r>
      <w:r>
        <w:t xml:space="preserve">”</w:t>
      </w:r>
      <w:r>
        <w:t xml:space="preserve"> </w:t>
      </w:r>
      <w:r>
        <w:t xml:space="preserve">means the Joint Hormuz Authority.</w:t>
      </w:r>
      <w:r>
        <w:t xml:space="preserve"> </w:t>
      </w:r>
      <w:r>
        <w:t xml:space="preserve">“</w:t>
      </w:r>
      <w:r>
        <w:t xml:space="preserve">MRF</w:t>
      </w:r>
      <w:r>
        <w:t xml:space="preserve">”</w:t>
      </w:r>
      <w:r>
        <w:t xml:space="preserve"> </w:t>
      </w:r>
      <w:r>
        <w:t xml:space="preserve">means the Multilateral Reconstruction Fund of Annex E.</w:t>
      </w:r>
      <w:r>
        <w:t xml:space="preserve"> </w:t>
      </w:r>
      <w:r>
        <w:t xml:space="preserve">“</w:t>
      </w:r>
      <w:r>
        <w:t xml:space="preserve">Reciprocity Ledger</w:t>
      </w:r>
      <w:r>
        <w:t xml:space="preserve">”</w:t>
      </w:r>
      <w:r>
        <w:t xml:space="preserve"> </w:t>
      </w:r>
      <w:r>
        <w:t xml:space="preserve">means the paired-step record of Article 11.3.</w:t>
      </w:r>
      <w:r>
        <w:t xml:space="preserve"> </w:t>
      </w:r>
      <w:r>
        <w:t xml:space="preserve">“</w:t>
      </w:r>
      <w:r>
        <w:t xml:space="preserve">Service Boundary</w:t>
      </w:r>
      <w:r>
        <w:t xml:space="preserve">”</w:t>
      </w:r>
      <w:r>
        <w:t xml:space="preserve"> </w:t>
      </w:r>
      <w:r>
        <w:t xml:space="preserve">means the legal distinction of Title III between charges on passage, which are excluded absolutely, and charges for services actually rendered.</w:t>
      </w:r>
      <w:r>
        <w:t xml:space="preserve"> </w:t>
      </w:r>
      <w:r>
        <w:t xml:space="preserve">“</w:t>
      </w:r>
      <w:r>
        <w:t xml:space="preserve">Step-back</w:t>
      </w:r>
      <w:r>
        <w:t xml:space="preserve">”</w:t>
      </w:r>
      <w:r>
        <w:t xml:space="preserve"> </w:t>
      </w:r>
      <w:r>
        <w:t xml:space="preserve">and</w:t>
      </w:r>
      <w:r>
        <w:t xml:space="preserve"> </w:t>
      </w:r>
      <w:r>
        <w:t xml:space="preserve">“</w:t>
      </w:r>
      <w:r>
        <w:t xml:space="preserve">earn-back</w:t>
      </w:r>
      <w:r>
        <w:t xml:space="preserve">”</w:t>
      </w:r>
      <w:r>
        <w:t xml:space="preserve"> </w:t>
      </w:r>
      <w:r>
        <w:t xml:space="preserve">carry the meanings of Annex D.</w:t>
      </w:r>
      <w:r>
        <w:t xml:space="preserve"> </w:t>
      </w:r>
      <w:r>
        <w:t xml:space="preserve">“</w:t>
      </w:r>
      <w:r>
        <w:t xml:space="preserve">Twin-Key Rule</w:t>
      </w:r>
      <w:r>
        <w:t xml:space="preserve">”</w:t>
      </w:r>
      <w:r>
        <w:t xml:space="preserve"> </w:t>
      </w:r>
      <w:r>
        <w:t xml:space="preserve">means the dual-concurrence requirement of Article 2.3.3.</w:t>
      </w:r>
    </w:p>
    <w:bookmarkEnd w:id="179"/>
    <w:bookmarkStart w:id="180" w:name="g.2-interpretation"/>
    <w:p>
      <w:pPr>
        <w:pStyle w:val="Heading2"/>
      </w:pPr>
      <w:r>
        <w:t xml:space="preserve">G.2 Interpretation</w:t>
      </w:r>
    </w:p>
    <w:p>
      <w:pPr>
        <w:pStyle w:val="FirstParagraph"/>
      </w:pPr>
      <w:r>
        <w:t xml:space="preserve">G.2.1 This Compact interprets according to its object and purpose: the permanent end of the 2026 conflict, the permanent openness of the Strait of Hormuz, the permanent foreclosure of the nuclear weapons pathway, and the equal dignity and security of both Parties. Every ambiguity resolves toward the continuation of the framework, never toward its collapse.</w:t>
      </w:r>
    </w:p>
    <w:p>
      <w:pPr>
        <w:pStyle w:val="BodyText"/>
      </w:pPr>
      <w:r>
        <w:t xml:space="preserve">G.2.2 The non-imputability principle governs interpretation throughout: no act of participation, cooperation, verification, or data sharing under this Compact constitutes recognition, endorsement, or prejudice of any Party’s legal position on any matter beyond this Compact.</w:t>
      </w:r>
    </w:p>
    <w:p>
      <w:pPr>
        <w:pStyle w:val="BodyText"/>
      </w:pPr>
      <w:r>
        <w:t xml:space="preserve">G.2.3 Headings serve navigation only. The operative text governs over every public statement, diplomatic assurance, press release, or political declaration, per the severability and supremacy rule of Annex E, extended to the whole Compact.</w:t>
      </w:r>
    </w:p>
    <w:bookmarkEnd w:id="180"/>
    <w:bookmarkStart w:id="181" w:name="X10f89df21536d90610e04e9ee2309bc7af60252"/>
    <w:p>
      <w:pPr>
        <w:pStyle w:val="Heading2"/>
      </w:pPr>
      <w:r>
        <w:t xml:space="preserve">G.3 Severability and the Partial Success Doctrine</w:t>
      </w:r>
    </w:p>
    <w:p>
      <w:pPr>
        <w:pStyle w:val="FirstParagraph"/>
      </w:pPr>
      <w:r>
        <w:t xml:space="preserve">G.3.1 Every Title, Annex, and module of this Compact operates as an independent contractual track. Invalidity, suspension, or failure of any provision leaves every other provision fully operative. The partial success doctrine is binding and interpretive: partial success survives, and the framework endures even when individual modules lag.</w:t>
      </w:r>
    </w:p>
    <w:bookmarkEnd w:id="181"/>
    <w:bookmarkEnd w:id="182"/>
    <w:bookmarkStart w:id="186" w:name="X975f51195f594fcf8178e99d4ecabde8cc3d571"/>
    <w:p>
      <w:pPr>
        <w:pStyle w:val="Heading1"/>
      </w:pPr>
      <w:r>
        <w:t xml:space="preserve">ANNEX H: SIGNATURE INSTRUMENTS, DEPOSITARY PROCEDURES, AND UNSC ENDORSEMENT DRAFT</w:t>
      </w:r>
    </w:p>
    <w:bookmarkStart w:id="183" w:name="h.1-depositary"/>
    <w:p>
      <w:pPr>
        <w:pStyle w:val="Heading2"/>
      </w:pPr>
      <w:r>
        <w:t xml:space="preserve">H.1 Depositary</w:t>
      </w:r>
    </w:p>
    <w:p>
      <w:pPr>
        <w:pStyle w:val="FirstParagraph"/>
      </w:pPr>
      <w:r>
        <w:t xml:space="preserve">H.1.1 The Islamic Republic of Pakistan serves as Depositary of this Compact, consistent with its facilitation of the Islamabad process. Instruments of ratification deposit at Islamabad. The Depositary transmits certified copies to all signatories, the Guarantor Matrix, and the United Nations Secretary-General.</w:t>
      </w:r>
    </w:p>
    <w:bookmarkEnd w:id="183"/>
    <w:bookmarkStart w:id="184" w:name="Xaae05f9436f6e67aa030ec21b5e230ab064126f"/>
    <w:p>
      <w:pPr>
        <w:pStyle w:val="Heading2"/>
      </w:pPr>
      <w:r>
        <w:t xml:space="preserve">H.2 Draft United Nations Security Council Resolution (Operative Elements)</w:t>
      </w:r>
    </w:p>
    <w:p>
      <w:pPr>
        <w:pStyle w:val="FirstParagraph"/>
      </w:pPr>
      <w:r>
        <w:t xml:space="preserve">H.2.1 The draft resolution, agreed by the Parties for transmission upon signature, contains the following operative elements: endorsement of this Compact as the final settlement of the 2026 conflict; welcome of the restoration of freedom of navigation through the Strait of Hormuz; call upon all states to support implementation and to respect the corridor architecture; recognition of the dispute resolution architecture of Title XII as the agreed channel; termination of the prior sanctions resolutions file upon the certifications of Title V, Article 5.1(d); and a decision to remain seized of the matter in a supportive capacity, with no snapback, reversal, or enforcement mechanism outside the Compact’s own architecture.</w:t>
      </w:r>
    </w:p>
    <w:bookmarkEnd w:id="184"/>
    <w:bookmarkStart w:id="185" w:name="h.3-signature"/>
    <w:p>
      <w:pPr>
        <w:pStyle w:val="Heading2"/>
      </w:pPr>
      <w:r>
        <w:t xml:space="preserve">H.3 Signature</w:t>
      </w:r>
    </w:p>
    <w:p>
      <w:pPr>
        <w:pStyle w:val="FirstParagraph"/>
      </w:pPr>
      <w:r>
        <w:t xml:space="preserve">Done at Islamabad, this day of signature, in the English, Farsi, and Arabic languages, each text equally authoritative, with the English text prevailing in technical interpretation disputes referred to the agreed forum.</w:t>
      </w:r>
    </w:p>
    <w:p>
      <w:pPr>
        <w:pStyle w:val="BodyText"/>
      </w:pPr>
      <w:r>
        <w:t xml:space="preserve">For the Islamic Republic of Iran: ______________________</w:t>
      </w:r>
    </w:p>
    <w:p>
      <w:pPr>
        <w:pStyle w:val="BodyText"/>
      </w:pPr>
      <w:r>
        <w:t xml:space="preserve">For the United States of America: ______________________</w:t>
      </w:r>
    </w:p>
    <w:p>
      <w:pPr>
        <w:pStyle w:val="BodyText"/>
      </w:pPr>
      <w:r>
        <w:t xml:space="preserve">For the Sultanate of Oman (Coastal-State Signatory): ______________________</w:t>
      </w:r>
    </w:p>
    <w:p>
      <w:pPr>
        <w:pStyle w:val="BodyText"/>
      </w:pPr>
      <w:r>
        <w:t xml:space="preserve">For the State of Qatar (Escrow Signatory): ______________________</w:t>
      </w:r>
    </w:p>
    <w:p>
      <w:pPr>
        <w:pStyle w:val="BodyText"/>
      </w:pPr>
      <w:r>
        <w:t xml:space="preserve">For the Swiss Confederation (Facilitator Signatory): ______________________</w:t>
      </w:r>
    </w:p>
    <w:p>
      <w:pPr>
        <w:pStyle w:val="BodyText"/>
      </w:pPr>
      <w:r>
        <w:t xml:space="preserve">Witnessed for the Islamic Republic of Pakistan (Depositary): ______________________</w:t>
      </w:r>
    </w:p>
    <w:p>
      <w:pPr>
        <w:pStyle w:val="BodyText"/>
      </w:pPr>
      <w:r>
        <w:t xml:space="preserve">Witnessed for the Gulf Cooperation Council: ______________________</w:t>
      </w:r>
    </w:p>
    <w:p>
      <w:pPr>
        <w:pStyle w:val="BodyText"/>
      </w:pPr>
      <w:r>
        <w:t xml:space="preserve">Witnessed for the International Atomic Energy Agency (Technical Authority): ______________________</w:t>
      </w:r>
    </w:p>
    <w:p>
      <w:pPr>
        <w:pStyle w:val="BodyText"/>
      </w:pPr>
      <w:r>
        <w:t xml:space="preserve">Witnessed for the World Bank (Fiduciary Co-Administrator): ______________________</w:t>
      </w:r>
    </w:p>
    <w:p>
      <w:pPr>
        <w:pStyle w:val="BodyText"/>
      </w:pPr>
      <w:r>
        <w:t xml:space="preserve">Witnessed for the International Maritime Organization (Technical Authority): ______________________</w:t>
      </w:r>
    </w:p>
    <w:p>
      <w:r>
        <w:pict>
          <v:rect style="width:0;height:1.5pt" o:hralign="center" o:hrstd="t" o:hr="t"/>
        </w:pict>
      </w:r>
    </w:p>
    <w:bookmarkEnd w:id="185"/>
    <w:bookmarkEnd w:id="186"/>
    <w:bookmarkStart w:id="190" w:name="Xfcbfd1a93020533df1014ef6cce5a43298eba4c"/>
    <w:p>
      <w:pPr>
        <w:pStyle w:val="Heading1"/>
      </w:pPr>
      <w:r>
        <w:t xml:space="preserve">NEGOTIATOR’S MEMORANDUM (NON-BINDING EXPLANATORY RECORD)</w:t>
      </w:r>
    </w:p>
    <w:p>
      <w:pPr>
        <w:pStyle w:val="FirstParagraph"/>
      </w:pPr>
      <w:r>
        <w:t xml:space="preserve">The following memorandum records, for the negotiating teams and their principals, the strategic logic by which this Compact satisfies every serious demand tabled by either side, and the red-line map by which no obligation crosses any Party’s declared limit. It binds no one and interprets nothing; it exists so that the architecture’s intent survives its authors.</w:t>
      </w:r>
    </w:p>
    <w:bookmarkStart w:id="187" w:name="m.1-the-demand-map-answered"/>
    <w:p>
      <w:pPr>
        <w:pStyle w:val="Heading2"/>
      </w:pPr>
      <w:r>
        <w:t xml:space="preserve">M.1 The Demand Map, Answered</w:t>
      </w:r>
    </w:p>
    <w:p>
      <w:pPr>
        <w:numPr>
          <w:ilvl w:val="0"/>
          <w:numId w:val="1023"/>
        </w:numPr>
      </w:pPr>
      <w:r>
        <w:t xml:space="preserve">American demand, no nuclear weapons ever: answered by Title IV’s triple foreclosure, the thirty-day irreversible down-blend, permanent ceilings without sunset, continuous breakout computation, and a verification regime exceeding every predecessor.</w:t>
      </w:r>
    </w:p>
    <w:p>
      <w:pPr>
        <w:numPr>
          <w:ilvl w:val="0"/>
          <w:numId w:val="1023"/>
        </w:numPr>
      </w:pPr>
      <w:r>
        <w:t xml:space="preserve">American demand, toll-free reopening: answered by Article 2.1’s seventy-two-hour self-executing clock and Article 3.1’s absolute prohibition, which makes the toll structurally impossible rather than merely forbidden.</w:t>
      </w:r>
    </w:p>
    <w:p>
      <w:pPr>
        <w:numPr>
          <w:ilvl w:val="0"/>
          <w:numId w:val="1023"/>
        </w:numPr>
      </w:pPr>
      <w:r>
        <w:t xml:space="preserve">American demand, mine clearance: answered by Article 2.5’s multinational task group on the reopening clock.</w:t>
      </w:r>
    </w:p>
    <w:p>
      <w:pPr>
        <w:numPr>
          <w:ilvl w:val="0"/>
          <w:numId w:val="1023"/>
        </w:numPr>
      </w:pPr>
      <w:r>
        <w:t xml:space="preserve">American demand, disposition of enriched material: answered by Article 4.2’s on-site down-blend, satisfying the substance of destruction while honoring Iran’s territorial red line.</w:t>
      </w:r>
    </w:p>
    <w:p>
      <w:pPr>
        <w:numPr>
          <w:ilvl w:val="0"/>
          <w:numId w:val="1023"/>
        </w:numPr>
      </w:pPr>
      <w:r>
        <w:t xml:space="preserve">American political constraint, no cash to Iran: answered by Title V and Title IX’s multilateral channeling; no American dollar moves to Iran; American farmers access the optional Agricultural Window; American firms access the safe harbor and in-kind window.</w:t>
      </w:r>
    </w:p>
    <w:p>
      <w:pPr>
        <w:numPr>
          <w:ilvl w:val="0"/>
          <w:numId w:val="1023"/>
        </w:numPr>
      </w:pPr>
      <w:r>
        <w:t xml:space="preserve">Iranian demand, end the war permanently and lift the blockade: answered by Titles I and VII, with the blockade’s termination as a certified fact at Hour 72.</w:t>
      </w:r>
    </w:p>
    <w:p>
      <w:pPr>
        <w:numPr>
          <w:ilvl w:val="0"/>
          <w:numId w:val="1023"/>
        </w:numPr>
      </w:pPr>
      <w:r>
        <w:t xml:space="preserve">Iranian demand, sovereignty and no regime change: answered by Article 0.4’s structural guarantee and the total absence of any internal-affairs instrument.</w:t>
      </w:r>
    </w:p>
    <w:p>
      <w:pPr>
        <w:numPr>
          <w:ilvl w:val="0"/>
          <w:numId w:val="1023"/>
        </w:numPr>
      </w:pPr>
      <w:r>
        <w:t xml:space="preserve">Iranian demand, recognition of its Strait role and revenue: answered by the JHA executive seat, the Twin-Key Rule, corridor administration, and the Fund’s revenue architecture delivering more than any toll could.</w:t>
      </w:r>
    </w:p>
    <w:p>
      <w:pPr>
        <w:numPr>
          <w:ilvl w:val="0"/>
          <w:numId w:val="1023"/>
        </w:numPr>
      </w:pPr>
      <w:r>
        <w:t xml:space="preserve">Iranian demand, sanctions termination and frozen assets: answered by Title V’s automatic certification-triggered schedule, the Sunset Conversion fail-safe, and the four-tranche escrow release with absolute no-clawback.</w:t>
      </w:r>
    </w:p>
    <w:p>
      <w:pPr>
        <w:numPr>
          <w:ilvl w:val="0"/>
          <w:numId w:val="1023"/>
        </w:numPr>
      </w:pPr>
      <w:r>
        <w:t xml:space="preserve">Iranian demand, reconstruction at scale: answered by Title IX and Annex E’s three-hundred-billion-dollar architecture under Iranian project sovereignty.</w:t>
      </w:r>
    </w:p>
    <w:p>
      <w:pPr>
        <w:numPr>
          <w:ilvl w:val="0"/>
          <w:numId w:val="1023"/>
        </w:numPr>
      </w:pPr>
      <w:r>
        <w:t xml:space="preserve">Iranian demand, regional ceasefire including Lebanon: answered by Title VI’s Third-Party Guarantor Clause, achieving through triangular architecture what bilateral text could not.</w:t>
      </w:r>
    </w:p>
    <w:p>
      <w:pPr>
        <w:numPr>
          <w:ilvl w:val="0"/>
          <w:numId w:val="1023"/>
        </w:numPr>
      </w:pPr>
      <w:r>
        <w:t xml:space="preserve">Omani requirement, institutionalized co-governance: answered by the JHA seat, the Twin-Key Rule, and the Muscat institutions.</w:t>
      </w:r>
    </w:p>
    <w:p>
      <w:pPr>
        <w:numPr>
          <w:ilvl w:val="0"/>
          <w:numId w:val="1023"/>
        </w:numPr>
      </w:pPr>
      <w:r>
        <w:t xml:space="preserve">Gulf and industry requirement, predictability: answered by the Service Boundary Test, the Heavy-User Cap, the published schedules, and the boring-by-design monthly performance report.</w:t>
      </w:r>
    </w:p>
    <w:bookmarkEnd w:id="187"/>
    <w:bookmarkStart w:id="188" w:name="m.2-the-red-line-ledger"/>
    <w:p>
      <w:pPr>
        <w:pStyle w:val="Heading2"/>
      </w:pPr>
      <w:r>
        <w:t xml:space="preserve">M.2 The Red-Line Ledger</w:t>
      </w:r>
    </w:p>
    <w:p>
      <w:pPr>
        <w:pStyle w:val="FirstParagraph"/>
      </w:pPr>
      <w:r>
        <w:t xml:space="preserve">This Compact crosses no red line of any Party. The verification of that claim is textual: the American no-tolls red line holds in Article 3.1.2(a); the Iranian no-regime-change red line holds in Article 0.4.1(a); the American no-nuclear-weapon red line holds in Title IV; the Iranian no-material-abroad red line holds in Article 4.1.2; the American no-cash-to-Iran constraint holds in Articles 5.3 and 9.1.2; the Iranian sovereignty-over-procurement red line holds in Article 9.3.2; both Parties’ refusal of snapback holds in Article 12.2.2; and both Parties’ insistence on binding international force holds in Title XII.</w:t>
      </w:r>
    </w:p>
    <w:bookmarkEnd w:id="188"/>
    <w:bookmarkStart w:id="189" w:name="m.3-why-this-holds"/>
    <w:p>
      <w:pPr>
        <w:pStyle w:val="Heading2"/>
      </w:pPr>
      <w:r>
        <w:t xml:space="preserve">M.3 Why This Holds</w:t>
      </w:r>
    </w:p>
    <w:p>
      <w:pPr>
        <w:pStyle w:val="FirstParagraph"/>
      </w:pPr>
      <w:r>
        <w:t xml:space="preserve">Three load-bearing design choices carry the structure. First, symmetry of machinery: one Registry, one engine, one set of tiers, one earn-back, binding both Parties identically, so that verification reads as partnership rather than custody. Second, automaticity with dignity: every benefit activates on certified fact, and every penalty reverses on demonstrated conduct, so that neither government ever kneels before the other to receive what it already earned. Third, the economics of peace: the Good Behavior Escalator, the insurance channel’s compound dividend, and the reconstruction architecture make calm water the most profitable water either nation has ever sailed. The Compact succeeds when the Strait becomes boring, and it makes boring lucrative.</w:t>
      </w:r>
    </w:p>
    <w:p>
      <w:pPr>
        <w:pStyle w:val="BodyText"/>
      </w:pPr>
      <w:r>
        <w:rPr>
          <w:iCs/>
          <w:i/>
        </w:rPr>
        <w:t xml:space="preserve">End of the Islamabad Final Governance Compact.</w:t>
      </w:r>
    </w:p>
    <w:bookmarkEnd w:id="189"/>
    <w:bookmarkEnd w:id="1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2026-08-15T07:31:56Z</dcterms:created>
  <dcterms:modified xsi:type="dcterms:W3CDTF">2026-08-15T07:31:56Z</dcterms:modified>
</cp:coreProperties>
</file>

<file path=docProps/custom.xml><?xml version="1.0" encoding="utf-8"?>
<Properties xmlns="http://schemas.openxmlformats.org/officeDocument/2006/custom-properties" xmlns:vt="http://schemas.openxmlformats.org/officeDocument/2006/docPropsVTypes"/>
</file>