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970CF" w14:textId="77777777" w:rsidR="00CA7ABD" w:rsidRDefault="00CA7ABD">
      <w:pPr>
        <w:pageBreakBefore/>
        <w:rPr>
          <w:rFonts w:hint="eastAsia"/>
        </w:rPr>
      </w:pPr>
    </w:p>
    <w:p w14:paraId="34B24337" w14:textId="77777777" w:rsidR="00CA7ABD" w:rsidRDefault="00000000">
      <w:pPr>
        <w:spacing w:before="700" w:after="0"/>
        <w:jc w:val="center"/>
        <w:rPr>
          <w:rFonts w:hint="eastAsia"/>
        </w:rPr>
      </w:pPr>
      <w:r>
        <w:rPr>
          <w:b/>
          <w:color w:val="1A3242"/>
          <w:sz w:val="80"/>
        </w:rPr>
        <w:t>THE ISLAMABAD</w:t>
      </w:r>
    </w:p>
    <w:p w14:paraId="35C961DC" w14:textId="77777777" w:rsidR="00CA7ABD" w:rsidRDefault="00000000">
      <w:pPr>
        <w:spacing w:after="0"/>
        <w:jc w:val="center"/>
        <w:rPr>
          <w:rFonts w:hint="eastAsia"/>
        </w:rPr>
      </w:pPr>
      <w:r>
        <w:rPr>
          <w:b/>
          <w:color w:val="1A3242"/>
          <w:sz w:val="80"/>
        </w:rPr>
        <w:t>INFINITE HORIZON</w:t>
      </w:r>
    </w:p>
    <w:p w14:paraId="09BBF657" w14:textId="77777777" w:rsidR="00CA7ABD" w:rsidRDefault="00000000">
      <w:pPr>
        <w:spacing w:after="500"/>
        <w:jc w:val="center"/>
        <w:rPr>
          <w:rFonts w:hint="eastAsia"/>
        </w:rPr>
      </w:pPr>
      <w:r>
        <w:rPr>
          <w:b/>
          <w:color w:val="1A3242"/>
          <w:sz w:val="80"/>
        </w:rPr>
        <w:t>ACCORD</w:t>
      </w:r>
    </w:p>
    <w:p w14:paraId="0AE60AAD" w14:textId="77777777" w:rsidR="00CA7ABD" w:rsidRDefault="00000000">
      <w:pPr>
        <w:spacing w:before="200" w:after="0"/>
        <w:jc w:val="center"/>
        <w:rPr>
          <w:rFonts w:hint="eastAsia"/>
        </w:rPr>
      </w:pPr>
      <w:r>
        <w:rPr>
          <w:i/>
          <w:color w:val="546E7A"/>
          <w:sz w:val="26"/>
        </w:rPr>
        <w:t>A Layered Treaty Package between the Islamic Republic of Iran and the United States of America,</w:t>
      </w:r>
    </w:p>
    <w:p w14:paraId="363442A0" w14:textId="77777777" w:rsidR="00CA7ABD" w:rsidRDefault="00000000">
      <w:pPr>
        <w:spacing w:after="0"/>
        <w:jc w:val="center"/>
        <w:rPr>
          <w:rFonts w:hint="eastAsia"/>
        </w:rPr>
      </w:pPr>
      <w:r>
        <w:rPr>
          <w:i/>
          <w:color w:val="546E7A"/>
          <w:sz w:val="26"/>
        </w:rPr>
        <w:t>with the Sultanate of Oman, the State of Qatar, the Islamic Republic of Pakistan, and the Swiss Confederation</w:t>
      </w:r>
    </w:p>
    <w:p w14:paraId="0DECBB4F" w14:textId="77777777" w:rsidR="00CA7ABD" w:rsidRDefault="00000000">
      <w:pPr>
        <w:spacing w:before="900" w:after="0"/>
        <w:jc w:val="center"/>
        <w:rPr>
          <w:rFonts w:hint="eastAsia"/>
        </w:rPr>
      </w:pPr>
      <w:r>
        <w:rPr>
          <w:color w:val="37474F"/>
          <w:sz w:val="24"/>
        </w:rPr>
        <w:t>Islamabad · August 2026 · Version 1.0</w:t>
      </w:r>
    </w:p>
    <w:p w14:paraId="4DDA8E9B" w14:textId="77777777" w:rsidR="00CA7ABD" w:rsidRDefault="00000000">
      <w:pPr>
        <w:spacing w:before="300" w:after="0"/>
        <w:jc w:val="center"/>
        <w:rPr>
          <w:rFonts w:hint="eastAsia"/>
        </w:rPr>
      </w:pPr>
      <w:r>
        <w:rPr>
          <w:color w:val="78909C"/>
          <w:sz w:val="20"/>
        </w:rPr>
        <w:t>Layer upon layer. Verification first. The horizon is infinite.</w:t>
      </w:r>
    </w:p>
    <w:p w14:paraId="549DA008" w14:textId="77777777" w:rsidR="00CA7ABD" w:rsidRDefault="00CA7ABD">
      <w:pPr>
        <w:rPr>
          <w:rFonts w:hint="eastAsia"/>
        </w:rPr>
        <w:sectPr w:rsidR="00CA7ABD">
          <w:pgSz w:w="11906" w:h="16838"/>
          <w:pgMar w:top="1440" w:right="1440" w:bottom="1440" w:left="1440" w:header="720" w:footer="720" w:gutter="0"/>
          <w:pgBorders>
            <w:top w:val="double" w:sz="12" w:space="24" w:color="8C7B54"/>
            <w:left w:val="double" w:sz="12" w:space="24" w:color="8C7B54"/>
            <w:bottom w:val="double" w:sz="12" w:space="24" w:color="8C7B54"/>
            <w:right w:val="double" w:sz="12" w:space="24" w:color="8C7B54"/>
          </w:pgBorders>
          <w:cols w:space="720"/>
        </w:sectPr>
      </w:pPr>
    </w:p>
    <w:p w14:paraId="3E1136F0" w14:textId="77777777" w:rsidR="00CA7ABD" w:rsidRDefault="00000000">
      <w:pPr>
        <w:keepNext/>
        <w:spacing w:after="360"/>
        <w:rPr>
          <w:rFonts w:hint="eastAsia"/>
        </w:rPr>
      </w:pPr>
      <w:r>
        <w:rPr>
          <w:rFonts w:ascii="Calibri" w:eastAsia="Calibri" w:hAnsi="Calibri" w:cs="Calibri"/>
          <w:b/>
          <w:caps/>
          <w:color w:val="37474F"/>
          <w:sz w:val="32"/>
          <w:szCs w:val="32"/>
        </w:rPr>
        <w:lastRenderedPageBreak/>
        <w:t>Table of Contents</w:t>
      </w:r>
    </w:p>
    <w:p w14:paraId="35755B79" w14:textId="77777777" w:rsidR="00CA7ABD" w:rsidRDefault="00000000">
      <w:pPr>
        <w:rPr>
          <w:rFonts w:hint="eastAsia"/>
        </w:rPr>
      </w:pPr>
      <w:r>
        <w:fldChar w:fldCharType="begin"/>
      </w:r>
      <w:r>
        <w:instrText xml:space="preserve"> TOC \o "1-2" \h \z \u </w:instrText>
      </w:r>
      <w:r>
        <w:fldChar w:fldCharType="separate"/>
      </w:r>
    </w:p>
    <w:p w14:paraId="7242F2F7" w14:textId="77777777" w:rsidR="00CA7ABD" w:rsidRDefault="00000000">
      <w:pPr>
        <w:pStyle w:val="TOC1"/>
      </w:pPr>
      <w:r>
        <w:t>Preamble: The Moment of August 2026</w:t>
      </w:r>
      <w:r>
        <w:tab/>
        <w:t>6</w:t>
      </w:r>
    </w:p>
    <w:p w14:paraId="0D6FEEE9" w14:textId="77777777" w:rsidR="00CA7ABD" w:rsidRDefault="00000000">
      <w:pPr>
        <w:pStyle w:val="TOC1"/>
      </w:pPr>
      <w:r>
        <w:t>Drafting Convention and Method</w:t>
      </w:r>
      <w:r>
        <w:tab/>
        <w:t>7</w:t>
      </w:r>
    </w:p>
    <w:p w14:paraId="1A2D19D1" w14:textId="77777777" w:rsidR="00CA7ABD" w:rsidRDefault="00000000">
      <w:pPr>
        <w:pStyle w:val="TOC1"/>
      </w:pPr>
      <w:r>
        <w:t>The Shared Fact Ledger</w:t>
      </w:r>
      <w:r>
        <w:tab/>
        <w:t>7</w:t>
      </w:r>
    </w:p>
    <w:p w14:paraId="4F44311B" w14:textId="77777777" w:rsidR="00CA7ABD" w:rsidRDefault="00000000">
      <w:pPr>
        <w:pStyle w:val="TOC1"/>
      </w:pPr>
      <w:r>
        <w:t>The Red Lines Register and the Perimeter Test</w:t>
      </w:r>
      <w:r>
        <w:tab/>
        <w:t>9</w:t>
      </w:r>
    </w:p>
    <w:p w14:paraId="061CABE8" w14:textId="77777777" w:rsidR="00CA7ABD" w:rsidRDefault="00000000">
      <w:pPr>
        <w:pStyle w:val="TOC2"/>
      </w:pPr>
      <w:r>
        <w:t>Purpose and Method</w:t>
      </w:r>
      <w:r>
        <w:tab/>
        <w:t>9</w:t>
      </w:r>
    </w:p>
    <w:p w14:paraId="14FBA79E" w14:textId="77777777" w:rsidR="00CA7ABD" w:rsidRDefault="00000000">
      <w:pPr>
        <w:pStyle w:val="TOC2"/>
      </w:pPr>
      <w:r>
        <w:t>The Register in Summary</w:t>
      </w:r>
      <w:r>
        <w:tab/>
        <w:t>9</w:t>
      </w:r>
    </w:p>
    <w:p w14:paraId="155A250E" w14:textId="77777777" w:rsidR="00CA7ABD" w:rsidRDefault="00000000">
      <w:pPr>
        <w:pStyle w:val="TOC2"/>
      </w:pPr>
      <w:r>
        <w:t>The Perimeter Test</w:t>
      </w:r>
      <w:r>
        <w:tab/>
        <w:t>10</w:t>
      </w:r>
    </w:p>
    <w:p w14:paraId="3E4C3698" w14:textId="77777777" w:rsidR="00CA7ABD" w:rsidRDefault="00000000">
      <w:pPr>
        <w:pStyle w:val="TOC2"/>
      </w:pPr>
      <w:r>
        <w:t>Red Line Consultation</w:t>
      </w:r>
      <w:r>
        <w:tab/>
        <w:t>11</w:t>
      </w:r>
    </w:p>
    <w:p w14:paraId="0CD73B04" w14:textId="77777777" w:rsidR="00CA7ABD" w:rsidRDefault="00000000">
      <w:pPr>
        <w:pStyle w:val="TOC1"/>
      </w:pPr>
      <w:r>
        <w:t>The Architecture at a Glance</w:t>
      </w:r>
      <w:r>
        <w:tab/>
        <w:t>11</w:t>
      </w:r>
    </w:p>
    <w:p w14:paraId="37FFBB1B" w14:textId="77777777" w:rsidR="00CA7ABD" w:rsidRDefault="00000000">
      <w:pPr>
        <w:pStyle w:val="TOC1"/>
      </w:pPr>
      <w:r>
        <w:t>LAYER ZERO: THE POLITICAL FRAME PROTOCOL</w:t>
      </w:r>
      <w:r>
        <w:tab/>
        <w:t>13</w:t>
      </w:r>
    </w:p>
    <w:p w14:paraId="68B9CC8E" w14:textId="77777777" w:rsidR="00CA7ABD" w:rsidRDefault="00000000">
      <w:pPr>
        <w:pStyle w:val="TOC2"/>
      </w:pPr>
      <w:r>
        <w:t>Article 1: The Single Fact Base</w:t>
      </w:r>
      <w:r>
        <w:tab/>
        <w:t>13</w:t>
      </w:r>
    </w:p>
    <w:p w14:paraId="3AE943F2" w14:textId="77777777" w:rsidR="00CA7ABD" w:rsidRDefault="00000000">
      <w:pPr>
        <w:pStyle w:val="TOC2"/>
      </w:pPr>
      <w:r>
        <w:t>Article 2: Narrative Sovereignty</w:t>
      </w:r>
      <w:r>
        <w:tab/>
        <w:t>13</w:t>
      </w:r>
    </w:p>
    <w:p w14:paraId="21E06505" w14:textId="77777777" w:rsidR="00CA7ABD" w:rsidRDefault="00000000">
      <w:pPr>
        <w:pStyle w:val="TOC2"/>
      </w:pPr>
      <w:r>
        <w:t>Article 3: The No-Disavowal Covenant</w:t>
      </w:r>
      <w:r>
        <w:tab/>
        <w:t>15</w:t>
      </w:r>
    </w:p>
    <w:p w14:paraId="38903CF2" w14:textId="77777777" w:rsidR="00CA7ABD" w:rsidRDefault="00000000">
      <w:pPr>
        <w:pStyle w:val="TOC2"/>
      </w:pPr>
      <w:r>
        <w:t>Article 4: The Dignity and Respect Provisions</w:t>
      </w:r>
      <w:r>
        <w:tab/>
        <w:t>15</w:t>
      </w:r>
    </w:p>
    <w:p w14:paraId="107ED85F" w14:textId="77777777" w:rsidR="00CA7ABD" w:rsidRDefault="00000000">
      <w:pPr>
        <w:pStyle w:val="TOC2"/>
      </w:pPr>
      <w:r>
        <w:t>Article 5: The Political Impossibility Doctrine</w:t>
      </w:r>
      <w:r>
        <w:tab/>
        <w:t>15</w:t>
      </w:r>
    </w:p>
    <w:p w14:paraId="6D3F80C9" w14:textId="77777777" w:rsidR="00CA7ABD" w:rsidRDefault="00000000">
      <w:pPr>
        <w:pStyle w:val="TOC2"/>
      </w:pPr>
      <w:r>
        <w:t>Article 6: The Separate Podiums, Shared Facts Rule</w:t>
      </w:r>
      <w:r>
        <w:tab/>
        <w:t>16</w:t>
      </w:r>
    </w:p>
    <w:p w14:paraId="383C9BC7" w14:textId="77777777" w:rsidR="00CA7ABD" w:rsidRDefault="00000000">
      <w:pPr>
        <w:pStyle w:val="TOC1"/>
      </w:pPr>
      <w:r>
        <w:t>LAYER ONE: THE FINAL STATUS TREATY</w:t>
      </w:r>
      <w:r>
        <w:tab/>
        <w:t>17</w:t>
      </w:r>
    </w:p>
    <w:p w14:paraId="0830E568" w14:textId="77777777" w:rsidR="00CA7ABD" w:rsidRDefault="00000000">
      <w:pPr>
        <w:pStyle w:val="TOC1"/>
      </w:pPr>
      <w:r>
        <w:t>PART I: FOUNDATIONS</w:t>
      </w:r>
      <w:r>
        <w:tab/>
        <w:t>17</w:t>
      </w:r>
    </w:p>
    <w:p w14:paraId="56DD7E87" w14:textId="77777777" w:rsidR="00CA7ABD" w:rsidRDefault="00000000">
      <w:pPr>
        <w:pStyle w:val="TOC2"/>
      </w:pPr>
      <w:r>
        <w:t>Article 7: Establishment, Purpose, and Scope</w:t>
      </w:r>
      <w:r>
        <w:tab/>
        <w:t>17</w:t>
      </w:r>
    </w:p>
    <w:p w14:paraId="0A4BE048" w14:textId="77777777" w:rsidR="00CA7ABD" w:rsidRDefault="00000000">
      <w:pPr>
        <w:pStyle w:val="TOC2"/>
      </w:pPr>
      <w:r>
        <w:t>Article 8: The Parties, Facilitators, and Depositary</w:t>
      </w:r>
      <w:r>
        <w:tab/>
        <w:t>18</w:t>
      </w:r>
    </w:p>
    <w:p w14:paraId="1BE7D877" w14:textId="77777777" w:rsidR="00CA7ABD" w:rsidRDefault="00000000">
      <w:pPr>
        <w:pStyle w:val="TOC2"/>
      </w:pPr>
      <w:r>
        <w:t>Article 9: Legal Foundations</w:t>
      </w:r>
      <w:r>
        <w:tab/>
        <w:t>18</w:t>
      </w:r>
    </w:p>
    <w:p w14:paraId="28680A73" w14:textId="77777777" w:rsidR="00CA7ABD" w:rsidRDefault="00000000">
      <w:pPr>
        <w:pStyle w:val="TOC2"/>
      </w:pPr>
      <w:r>
        <w:t>Article 10: Core Operating Principles</w:t>
      </w:r>
      <w:r>
        <w:tab/>
        <w:t>19</w:t>
      </w:r>
    </w:p>
    <w:p w14:paraId="3A65A09D" w14:textId="77777777" w:rsidR="00CA7ABD" w:rsidRDefault="00000000">
      <w:pPr>
        <w:pStyle w:val="TOC2"/>
      </w:pPr>
      <w:r>
        <w:t>Article 11: Definitions and Interpretation</w:t>
      </w:r>
      <w:r>
        <w:tab/>
        <w:t>19</w:t>
      </w:r>
    </w:p>
    <w:p w14:paraId="67CF81C5" w14:textId="77777777" w:rsidR="00CA7ABD" w:rsidRDefault="00000000">
      <w:pPr>
        <w:pStyle w:val="TOC1"/>
      </w:pPr>
      <w:r>
        <w:t>PART II: PERMANENT CESSATION OF HOSTILITIES</w:t>
      </w:r>
      <w:r>
        <w:tab/>
        <w:t>21</w:t>
      </w:r>
    </w:p>
    <w:p w14:paraId="1EB2617F" w14:textId="77777777" w:rsidR="00CA7ABD" w:rsidRDefault="00000000">
      <w:pPr>
        <w:pStyle w:val="TOC2"/>
      </w:pPr>
      <w:r>
        <w:t>Article 12: The Permanent Termination</w:t>
      </w:r>
      <w:r>
        <w:tab/>
        <w:t>21</w:t>
      </w:r>
    </w:p>
    <w:p w14:paraId="3C531370" w14:textId="77777777" w:rsidR="00CA7ABD" w:rsidRDefault="00000000">
      <w:pPr>
        <w:pStyle w:val="TOC2"/>
      </w:pPr>
      <w:r>
        <w:t>Article 13: The Lebanon Resolution and the Third-Party Guarantor Clause</w:t>
      </w:r>
      <w:r>
        <w:tab/>
        <w:t>21</w:t>
      </w:r>
    </w:p>
    <w:p w14:paraId="5A1D8268" w14:textId="77777777" w:rsidR="00CA7ABD" w:rsidRDefault="00000000">
      <w:pPr>
        <w:pStyle w:val="TOC1"/>
      </w:pPr>
      <w:r>
        <w:t>PART III: SOVEREIGNTY AND NON-INTERFERENCE</w:t>
      </w:r>
      <w:r>
        <w:tab/>
        <w:t>23</w:t>
      </w:r>
    </w:p>
    <w:p w14:paraId="3920BE00" w14:textId="77777777" w:rsidR="00CA7ABD" w:rsidRDefault="00000000">
      <w:pPr>
        <w:pStyle w:val="TOC2"/>
      </w:pPr>
      <w:r>
        <w:t>Article 14: The Sovereignty and No Regime Change Covenant</w:t>
      </w:r>
      <w:r>
        <w:tab/>
        <w:t>23</w:t>
      </w:r>
    </w:p>
    <w:p w14:paraId="3825E742" w14:textId="77777777" w:rsidR="00CA7ABD" w:rsidRDefault="00000000">
      <w:pPr>
        <w:pStyle w:val="TOC1"/>
      </w:pPr>
      <w:r>
        <w:t>PART IV: MILITARY DISENGAGEMENT AND THE WITHDRAWAL PROTOCOL</w:t>
      </w:r>
      <w:r>
        <w:tab/>
        <w:t>24</w:t>
      </w:r>
    </w:p>
    <w:p w14:paraId="21259FFA" w14:textId="77777777" w:rsidR="00CA7ABD" w:rsidRDefault="00000000">
      <w:pPr>
        <w:pStyle w:val="TOC2"/>
      </w:pPr>
      <w:r>
        <w:t>Article 15: The Thirty-Day Withdrawal Protocol</w:t>
      </w:r>
      <w:r>
        <w:tab/>
        <w:t>24</w:t>
      </w:r>
    </w:p>
    <w:p w14:paraId="3B76FADC" w14:textId="77777777" w:rsidR="00CA7ABD" w:rsidRDefault="00000000">
      <w:pPr>
        <w:pStyle w:val="TOC2"/>
      </w:pPr>
      <w:r>
        <w:t>Article 16: The Deconfliction Permanence</w:t>
      </w:r>
      <w:r>
        <w:tab/>
        <w:t>25</w:t>
      </w:r>
    </w:p>
    <w:p w14:paraId="5E8296DF" w14:textId="77777777" w:rsidR="00CA7ABD" w:rsidRDefault="00000000">
      <w:pPr>
        <w:pStyle w:val="TOC1"/>
      </w:pPr>
      <w:r>
        <w:t>PART V: NUCLEAR FINAL STATUS</w:t>
      </w:r>
      <w:r>
        <w:tab/>
        <w:t>26</w:t>
      </w:r>
    </w:p>
    <w:p w14:paraId="52E2D7C1" w14:textId="77777777" w:rsidR="00CA7ABD" w:rsidRDefault="00000000">
      <w:pPr>
        <w:pStyle w:val="TOC2"/>
      </w:pPr>
      <w:r>
        <w:t>Article 17: The Permanent Commitment</w:t>
      </w:r>
      <w:r>
        <w:tab/>
        <w:t>26</w:t>
      </w:r>
    </w:p>
    <w:p w14:paraId="637BF2C9" w14:textId="77777777" w:rsidR="00CA7ABD" w:rsidRDefault="00000000">
      <w:pPr>
        <w:pStyle w:val="TOC2"/>
      </w:pPr>
      <w:r>
        <w:t>Article 18: The Stockpile Resolution (The 440-Kilogram Question)</w:t>
      </w:r>
      <w:r>
        <w:tab/>
        <w:t>26</w:t>
      </w:r>
    </w:p>
    <w:p w14:paraId="251DE389" w14:textId="77777777" w:rsidR="00CA7ABD" w:rsidRDefault="00000000">
      <w:pPr>
        <w:pStyle w:val="TOC2"/>
      </w:pPr>
      <w:r>
        <w:t>Article 19: The Permanent Caps</w:t>
      </w:r>
      <w:r>
        <w:tab/>
        <w:t>27</w:t>
      </w:r>
    </w:p>
    <w:p w14:paraId="06AEC26F" w14:textId="77777777" w:rsidR="00CA7ABD" w:rsidRDefault="00000000">
      <w:pPr>
        <w:pStyle w:val="TOC2"/>
      </w:pPr>
      <w:r>
        <w:t>Article 20: The Verification and Inspection Settlement</w:t>
      </w:r>
      <w:r>
        <w:tab/>
        <w:t>28</w:t>
      </w:r>
    </w:p>
    <w:p w14:paraId="7965D09F" w14:textId="77777777" w:rsidR="00CA7ABD" w:rsidRDefault="00000000">
      <w:pPr>
        <w:pStyle w:val="TOC2"/>
      </w:pPr>
      <w:r>
        <w:t>Article 21: The Nuclear Firewall</w:t>
      </w:r>
      <w:r>
        <w:tab/>
        <w:t>28</w:t>
      </w:r>
    </w:p>
    <w:p w14:paraId="52015BB9" w14:textId="77777777" w:rsidR="00CA7ABD" w:rsidRDefault="00000000">
      <w:pPr>
        <w:pStyle w:val="TOC1"/>
      </w:pPr>
      <w:r>
        <w:lastRenderedPageBreak/>
        <w:t>PART VI: THE PERMANENT GOVERNANCE OF THE STRAIT OF HORMUZ</w:t>
      </w:r>
      <w:r>
        <w:tab/>
        <w:t>30</w:t>
      </w:r>
    </w:p>
    <w:p w14:paraId="19289AB5" w14:textId="77777777" w:rsidR="00CA7ABD" w:rsidRDefault="00000000">
      <w:pPr>
        <w:pStyle w:val="TOC2"/>
      </w:pPr>
      <w:r>
        <w:t>Article 22: The Governance Area and the Corridor System</w:t>
      </w:r>
      <w:r>
        <w:tab/>
        <w:t>30</w:t>
      </w:r>
    </w:p>
    <w:p w14:paraId="45C3C4B5" w14:textId="77777777" w:rsidR="00CA7ABD" w:rsidRDefault="00000000">
      <w:pPr>
        <w:pStyle w:val="TOC2"/>
      </w:pPr>
      <w:r>
        <w:t>Article 23: Notification, Not Permission</w:t>
      </w:r>
      <w:r>
        <w:tab/>
        <w:t>30</w:t>
      </w:r>
    </w:p>
    <w:p w14:paraId="025E1B04" w14:textId="77777777" w:rsidR="00CA7ABD" w:rsidRDefault="00000000">
      <w:pPr>
        <w:pStyle w:val="TOC2"/>
      </w:pPr>
      <w:r>
        <w:t>Article 24: The Joint Hormuz Authority</w:t>
      </w:r>
      <w:r>
        <w:tab/>
        <w:t>31</w:t>
      </w:r>
    </w:p>
    <w:p w14:paraId="6F3F11F6" w14:textId="77777777" w:rsidR="00CA7ABD" w:rsidRDefault="00000000">
      <w:pPr>
        <w:pStyle w:val="TOC2"/>
      </w:pPr>
      <w:r>
        <w:t>Article 25: Naval and Military Transit</w:t>
      </w:r>
      <w:r>
        <w:tab/>
        <w:t>32</w:t>
      </w:r>
    </w:p>
    <w:p w14:paraId="61A0FC55" w14:textId="77777777" w:rsidR="00CA7ABD" w:rsidRDefault="00000000">
      <w:pPr>
        <w:pStyle w:val="TOC2"/>
      </w:pPr>
      <w:r>
        <w:t>Article 26: Mine Clearance and Hazard Certification</w:t>
      </w:r>
      <w:r>
        <w:tab/>
        <w:t>33</w:t>
      </w:r>
    </w:p>
    <w:p w14:paraId="77FD4448" w14:textId="77777777" w:rsidR="00CA7ABD" w:rsidRDefault="00000000">
      <w:pPr>
        <w:pStyle w:val="TOC1"/>
      </w:pPr>
      <w:r>
        <w:t>PART VII: THE FEES RESOLUTION (THE GRAND BARGAIN OF THE STRAIT)</w:t>
      </w:r>
      <w:r>
        <w:tab/>
        <w:t>34</w:t>
      </w:r>
    </w:p>
    <w:p w14:paraId="4A318494" w14:textId="77777777" w:rsidR="00CA7ABD" w:rsidRDefault="00000000">
      <w:pPr>
        <w:pStyle w:val="TOC2"/>
      </w:pPr>
      <w:r>
        <w:t>Article 27: The Zero-Toll Covenant</w:t>
      </w:r>
      <w:r>
        <w:tab/>
        <w:t>34</w:t>
      </w:r>
    </w:p>
    <w:p w14:paraId="68B7F682" w14:textId="77777777" w:rsidR="00CA7ABD" w:rsidRDefault="00000000">
      <w:pPr>
        <w:pStyle w:val="TOC2"/>
      </w:pPr>
      <w:r>
        <w:t>Article 28: The Service Distinction and the Verified Services Catalog</w:t>
      </w:r>
      <w:r>
        <w:tab/>
        <w:t>34</w:t>
      </w:r>
    </w:p>
    <w:p w14:paraId="7478C3C6" w14:textId="77777777" w:rsidR="00CA7ABD" w:rsidRDefault="00000000">
      <w:pPr>
        <w:pStyle w:val="TOC2"/>
      </w:pPr>
      <w:r>
        <w:t>Article 29: The Hormuz Maritime Stewardship Fund</w:t>
      </w:r>
      <w:r>
        <w:tab/>
        <w:t>35</w:t>
      </w:r>
    </w:p>
    <w:p w14:paraId="57FB6802" w14:textId="77777777" w:rsidR="00CA7ABD" w:rsidRDefault="00000000">
      <w:pPr>
        <w:pStyle w:val="TOC2"/>
      </w:pPr>
      <w:r>
        <w:t>Article 30: The Insurance Channel and the War-Risk Normalization</w:t>
      </w:r>
      <w:r>
        <w:tab/>
        <w:t>35</w:t>
      </w:r>
    </w:p>
    <w:p w14:paraId="62D1EFEA" w14:textId="77777777" w:rsidR="00CA7ABD" w:rsidRDefault="00000000">
      <w:pPr>
        <w:pStyle w:val="TOC2"/>
      </w:pPr>
      <w:r>
        <w:t>Article 31: The Iranian Revenue Settlement</w:t>
      </w:r>
      <w:r>
        <w:tab/>
        <w:t>36</w:t>
      </w:r>
    </w:p>
    <w:p w14:paraId="2AEDC005" w14:textId="77777777" w:rsidR="00CA7ABD" w:rsidRDefault="00000000">
      <w:pPr>
        <w:pStyle w:val="TOC2"/>
      </w:pPr>
      <w:r>
        <w:t>Article 32: The Legacy Annex and the Confidence Memorandum</w:t>
      </w:r>
      <w:r>
        <w:tab/>
        <w:t>36</w:t>
      </w:r>
    </w:p>
    <w:p w14:paraId="7DEC5BC0" w14:textId="77777777" w:rsidR="00CA7ABD" w:rsidRDefault="00000000">
      <w:pPr>
        <w:pStyle w:val="TOC1"/>
      </w:pPr>
      <w:r>
        <w:t>PART VIII: THE SANCTIONS TERMINATION PROTOCOL</w:t>
      </w:r>
      <w:r>
        <w:tab/>
        <w:t>38</w:t>
      </w:r>
    </w:p>
    <w:p w14:paraId="6F88D014" w14:textId="77777777" w:rsidR="00CA7ABD" w:rsidRDefault="00000000">
      <w:pPr>
        <w:pStyle w:val="TOC2"/>
      </w:pPr>
      <w:r>
        <w:t>Article 33: The Binding Termination Schedule</w:t>
      </w:r>
      <w:r>
        <w:tab/>
        <w:t>38</w:t>
      </w:r>
    </w:p>
    <w:p w14:paraId="6EA38EDE" w14:textId="77777777" w:rsidR="00CA7ABD" w:rsidRDefault="00000000">
      <w:pPr>
        <w:pStyle w:val="TOC2"/>
      </w:pPr>
      <w:r>
        <w:t>Article 34: The Congressional Track: Best Efforts with a Sunset</w:t>
      </w:r>
      <w:r>
        <w:tab/>
        <w:t>39</w:t>
      </w:r>
    </w:p>
    <w:p w14:paraId="13ACC161" w14:textId="77777777" w:rsidR="00CA7ABD" w:rsidRDefault="00000000">
      <w:pPr>
        <w:pStyle w:val="TOC2"/>
      </w:pPr>
      <w:r>
        <w:t>Article 35: United Nations and Agency Actions</w:t>
      </w:r>
      <w:r>
        <w:tab/>
        <w:t>40</w:t>
      </w:r>
    </w:p>
    <w:p w14:paraId="65835AE9" w14:textId="77777777" w:rsidR="00CA7ABD" w:rsidRDefault="00000000">
      <w:pPr>
        <w:pStyle w:val="TOC1"/>
      </w:pPr>
      <w:r>
        <w:t>PART IX: FROZEN ASSETS AND FINANCIAL NORMALIZATION</w:t>
      </w:r>
      <w:r>
        <w:tab/>
        <w:t>41</w:t>
      </w:r>
    </w:p>
    <w:p w14:paraId="7B439114" w14:textId="77777777" w:rsidR="00CA7ABD" w:rsidRDefault="00000000">
      <w:pPr>
        <w:pStyle w:val="TOC2"/>
      </w:pPr>
      <w:r>
        <w:t>Article 36: The Release Architecture</w:t>
      </w:r>
      <w:r>
        <w:tab/>
        <w:t>41</w:t>
      </w:r>
    </w:p>
    <w:p w14:paraId="6A21B6CE" w14:textId="77777777" w:rsidR="00CA7ABD" w:rsidRDefault="00000000">
      <w:pPr>
        <w:pStyle w:val="TOC1"/>
      </w:pPr>
      <w:r>
        <w:t>PART X: RECONSTRUCTION AND DEVELOPMENT</w:t>
      </w:r>
      <w:r>
        <w:tab/>
        <w:t>43</w:t>
      </w:r>
    </w:p>
    <w:p w14:paraId="2A6EF77F" w14:textId="77777777" w:rsidR="00CA7ABD" w:rsidRDefault="00000000">
      <w:pPr>
        <w:pStyle w:val="TOC2"/>
      </w:pPr>
      <w:r>
        <w:t>Article 37: Incorporation of the Reconstruction and Development Fund Protocol</w:t>
      </w:r>
      <w:r>
        <w:tab/>
        <w:t>43</w:t>
      </w:r>
    </w:p>
    <w:p w14:paraId="7E1983DF" w14:textId="77777777" w:rsidR="00CA7ABD" w:rsidRDefault="00000000">
      <w:pPr>
        <w:pStyle w:val="TOC2"/>
      </w:pPr>
      <w:r>
        <w:t>Article 38: Relationship to Other Economic Instruments</w:t>
      </w:r>
      <w:r>
        <w:tab/>
        <w:t>44</w:t>
      </w:r>
    </w:p>
    <w:p w14:paraId="33E4FFD1" w14:textId="77777777" w:rsidR="00CA7ABD" w:rsidRDefault="00000000">
      <w:pPr>
        <w:pStyle w:val="TOC1"/>
      </w:pPr>
      <w:r>
        <w:t>PART XI: THE REGIONAL DE-ESCALATION PACT</w:t>
      </w:r>
      <w:r>
        <w:tab/>
        <w:t>45</w:t>
      </w:r>
    </w:p>
    <w:p w14:paraId="7336CDDD" w14:textId="77777777" w:rsidR="00CA7ABD" w:rsidRDefault="00000000">
      <w:pPr>
        <w:pStyle w:val="TOC2"/>
      </w:pPr>
      <w:r>
        <w:t>Article 39: The Fronts Settlement</w:t>
      </w:r>
      <w:r>
        <w:tab/>
        <w:t>45</w:t>
      </w:r>
    </w:p>
    <w:p w14:paraId="1884886E" w14:textId="77777777" w:rsidR="00CA7ABD" w:rsidRDefault="00000000">
      <w:pPr>
        <w:pStyle w:val="TOC2"/>
      </w:pPr>
      <w:r>
        <w:t>Article 40: The Regional Charter Horizon</w:t>
      </w:r>
      <w:r>
        <w:tab/>
        <w:t>45</w:t>
      </w:r>
    </w:p>
    <w:p w14:paraId="2F72A23A" w14:textId="77777777" w:rsidR="00CA7ABD" w:rsidRDefault="00000000">
      <w:pPr>
        <w:pStyle w:val="TOC1"/>
      </w:pPr>
      <w:r>
        <w:t>PART XII: HUMANITARIAN PERMANENT PROVISIONS</w:t>
      </w:r>
      <w:r>
        <w:tab/>
        <w:t>47</w:t>
      </w:r>
    </w:p>
    <w:p w14:paraId="5BC662BC" w14:textId="77777777" w:rsidR="00CA7ABD" w:rsidRDefault="00000000">
      <w:pPr>
        <w:pStyle w:val="TOC2"/>
      </w:pPr>
      <w:r>
        <w:t>Article 41: Seafarers, Vessels, and the Humanitarian Permanence</w:t>
      </w:r>
      <w:r>
        <w:tab/>
        <w:t>47</w:t>
      </w:r>
    </w:p>
    <w:p w14:paraId="64C6B411" w14:textId="77777777" w:rsidR="00CA7ABD" w:rsidRDefault="00000000">
      <w:pPr>
        <w:pStyle w:val="TOC1"/>
      </w:pPr>
      <w:r>
        <w:t>PART XIII: THE EXCLUDED FILES AND THE FIREWALL</w:t>
      </w:r>
      <w:r>
        <w:tab/>
        <w:t>48</w:t>
      </w:r>
    </w:p>
    <w:p w14:paraId="35F6CDFD" w14:textId="77777777" w:rsidR="00CA7ABD" w:rsidRDefault="00000000">
      <w:pPr>
        <w:pStyle w:val="TOC2"/>
      </w:pPr>
      <w:r>
        <w:t>Article 42: The Missile File and the Separate Track</w:t>
      </w:r>
      <w:r>
        <w:tab/>
        <w:t>48</w:t>
      </w:r>
    </w:p>
    <w:p w14:paraId="58492645" w14:textId="77777777" w:rsidR="00CA7ABD" w:rsidRDefault="00000000">
      <w:pPr>
        <w:pStyle w:val="TOC2"/>
      </w:pPr>
      <w:r>
        <w:t>Article 43: The Firewall General Clause</w:t>
      </w:r>
      <w:r>
        <w:tab/>
        <w:t>48</w:t>
      </w:r>
    </w:p>
    <w:p w14:paraId="094E0A39" w14:textId="77777777" w:rsidR="00CA7ABD" w:rsidRDefault="00000000">
      <w:pPr>
        <w:pStyle w:val="TOC2"/>
      </w:pPr>
      <w:r>
        <w:t>Article 44: The Complete Settlement Clause</w:t>
      </w:r>
      <w:r>
        <w:tab/>
        <w:t>48</w:t>
      </w:r>
    </w:p>
    <w:p w14:paraId="11EAE86E" w14:textId="77777777" w:rsidR="00CA7ABD" w:rsidRDefault="00000000">
      <w:pPr>
        <w:pStyle w:val="TOC1"/>
      </w:pPr>
      <w:r>
        <w:t>LAYER TWO: THE COTHROM VERIFICATION PROTOCOL</w:t>
      </w:r>
      <w:r>
        <w:tab/>
        <w:t>50</w:t>
      </w:r>
    </w:p>
    <w:p w14:paraId="7BE36E84" w14:textId="77777777" w:rsidR="00CA7ABD" w:rsidRDefault="00000000">
      <w:pPr>
        <w:pStyle w:val="TOC2"/>
      </w:pPr>
      <w:r>
        <w:t>Article 45: Adoption of the Cothrom Method</w:t>
      </w:r>
      <w:r>
        <w:tab/>
        <w:t>50</w:t>
      </w:r>
    </w:p>
    <w:p w14:paraId="5F13C4BF" w14:textId="77777777" w:rsidR="00CA7ABD" w:rsidRDefault="00000000">
      <w:pPr>
        <w:pStyle w:val="TOC2"/>
      </w:pPr>
      <w:r>
        <w:t>Article 46: The Monitoring Systems</w:t>
      </w:r>
      <w:r>
        <w:tab/>
        <w:t>50</w:t>
      </w:r>
    </w:p>
    <w:p w14:paraId="146FCAE6" w14:textId="77777777" w:rsidR="00CA7ABD" w:rsidRDefault="00000000">
      <w:pPr>
        <w:pStyle w:val="TOC2"/>
      </w:pPr>
      <w:r>
        <w:t>Article 47: The Anomaly Classification and Response</w:t>
      </w:r>
      <w:r>
        <w:tab/>
        <w:t>51</w:t>
      </w:r>
    </w:p>
    <w:p w14:paraId="1FC7A888" w14:textId="77777777" w:rsidR="00CA7ABD" w:rsidRDefault="00000000">
      <w:pPr>
        <w:pStyle w:val="TOC2"/>
      </w:pPr>
      <w:r>
        <w:t>Article 48: The Verification Bonds and the Fund</w:t>
      </w:r>
      <w:r>
        <w:tab/>
        <w:t>52</w:t>
      </w:r>
    </w:p>
    <w:p w14:paraId="49992E1E" w14:textId="77777777" w:rsidR="00CA7ABD" w:rsidRDefault="00000000">
      <w:pPr>
        <w:pStyle w:val="TOC2"/>
      </w:pPr>
      <w:r>
        <w:t>Article 49: Adversarial Claim Verification</w:t>
      </w:r>
      <w:r>
        <w:tab/>
        <w:t>53</w:t>
      </w:r>
    </w:p>
    <w:p w14:paraId="148AFE08" w14:textId="77777777" w:rsidR="00CA7ABD" w:rsidRDefault="00000000">
      <w:pPr>
        <w:pStyle w:val="TOC2"/>
      </w:pPr>
      <w:r>
        <w:t>Article 50: The Three-Tier Breach Classification</w:t>
      </w:r>
      <w:r>
        <w:tab/>
        <w:t>54</w:t>
      </w:r>
    </w:p>
    <w:p w14:paraId="3340372C" w14:textId="77777777" w:rsidR="00CA7ABD" w:rsidRDefault="00000000">
      <w:pPr>
        <w:pStyle w:val="TOC2"/>
      </w:pPr>
      <w:r>
        <w:t>Article 51: The Graduated Step-Back Mechanism</w:t>
      </w:r>
      <w:r>
        <w:tab/>
        <w:t>55</w:t>
      </w:r>
    </w:p>
    <w:p w14:paraId="41916AA7" w14:textId="77777777" w:rsidR="00CA7ABD" w:rsidRDefault="00000000">
      <w:pPr>
        <w:pStyle w:val="TOC2"/>
      </w:pPr>
      <w:r>
        <w:t>Article 52: The Earn-Back Pathway</w:t>
      </w:r>
      <w:r>
        <w:tab/>
        <w:t>55</w:t>
      </w:r>
    </w:p>
    <w:p w14:paraId="02B55014" w14:textId="77777777" w:rsidR="00CA7ABD" w:rsidRDefault="00000000">
      <w:pPr>
        <w:pStyle w:val="TOC2"/>
      </w:pPr>
      <w:r>
        <w:t>Article 53: Cross-Module Spillover Protection</w:t>
      </w:r>
      <w:r>
        <w:tab/>
        <w:t>56</w:t>
      </w:r>
    </w:p>
    <w:p w14:paraId="00CDC6B7" w14:textId="77777777" w:rsidR="00CA7ABD" w:rsidRDefault="00000000">
      <w:pPr>
        <w:pStyle w:val="TOC2"/>
      </w:pPr>
      <w:r>
        <w:t>Article 54: The Protective Architecture</w:t>
      </w:r>
      <w:r>
        <w:tab/>
        <w:t>56</w:t>
      </w:r>
    </w:p>
    <w:p w14:paraId="714D1DD7" w14:textId="77777777" w:rsidR="00CA7ABD" w:rsidRDefault="00000000">
      <w:pPr>
        <w:pStyle w:val="TOC2"/>
      </w:pPr>
      <w:r>
        <w:lastRenderedPageBreak/>
        <w:t>Article 55: Red Team, Benchmarks, and Phase Assessment</w:t>
      </w:r>
      <w:r>
        <w:tab/>
        <w:t>57</w:t>
      </w:r>
    </w:p>
    <w:p w14:paraId="367EBD42" w14:textId="77777777" w:rsidR="00CA7ABD" w:rsidRDefault="00000000">
      <w:pPr>
        <w:pStyle w:val="TOC2"/>
      </w:pPr>
      <w:r>
        <w:t>Article 56: The Summary Operating Principles</w:t>
      </w:r>
      <w:r>
        <w:tab/>
        <w:t>58</w:t>
      </w:r>
    </w:p>
    <w:p w14:paraId="372F52E3" w14:textId="77777777" w:rsidR="00CA7ABD" w:rsidRDefault="00000000">
      <w:pPr>
        <w:pStyle w:val="TOC1"/>
      </w:pPr>
      <w:r>
        <w:t>LAYER THREE: IMPLEMENTATION, SEQUENCING, AND ENFORCEMENT</w:t>
      </w:r>
      <w:r>
        <w:tab/>
        <w:t>60</w:t>
      </w:r>
    </w:p>
    <w:p w14:paraId="2D8B9400" w14:textId="77777777" w:rsidR="00CA7ABD" w:rsidRDefault="00000000">
      <w:pPr>
        <w:pStyle w:val="TOC2"/>
      </w:pPr>
      <w:r>
        <w:t>Article 57: The Executive Mechanism (Joint Implementation Commission)</w:t>
      </w:r>
      <w:r>
        <w:tab/>
        <w:t>60</w:t>
      </w:r>
    </w:p>
    <w:p w14:paraId="5EB98D0E" w14:textId="77777777" w:rsidR="00CA7ABD" w:rsidRDefault="00000000">
      <w:pPr>
        <w:pStyle w:val="TOC2"/>
      </w:pPr>
      <w:r>
        <w:t>Article 58: The Master Sequencing Calendar</w:t>
      </w:r>
      <w:r>
        <w:tab/>
        <w:t>60</w:t>
      </w:r>
    </w:p>
    <w:p w14:paraId="0F652FC0" w14:textId="77777777" w:rsidR="00CA7ABD" w:rsidRDefault="00000000">
      <w:pPr>
        <w:pStyle w:val="TOC2"/>
      </w:pPr>
      <w:r>
        <w:t>Article 59: The Reciprocity Ledger</w:t>
      </w:r>
      <w:r>
        <w:tab/>
        <w:t>62</w:t>
      </w:r>
    </w:p>
    <w:p w14:paraId="37E58E2D" w14:textId="77777777" w:rsidR="00CA7ABD" w:rsidRDefault="00000000">
      <w:pPr>
        <w:pStyle w:val="TOC2"/>
      </w:pPr>
      <w:r>
        <w:t>Article 60: The Dispute Resolution Ladder</w:t>
      </w:r>
      <w:r>
        <w:tab/>
        <w:t>62</w:t>
      </w:r>
    </w:p>
    <w:p w14:paraId="7C8C1B60" w14:textId="77777777" w:rsidR="00CA7ABD" w:rsidRDefault="00000000">
      <w:pPr>
        <w:pStyle w:val="TOC2"/>
      </w:pPr>
      <w:r>
        <w:t>Article 61: The Nofade Guarantee (Standing Continuity)</w:t>
      </w:r>
      <w:r>
        <w:tab/>
        <w:t>63</w:t>
      </w:r>
    </w:p>
    <w:p w14:paraId="26033992" w14:textId="77777777" w:rsidR="00CA7ABD" w:rsidRDefault="00000000">
      <w:pPr>
        <w:pStyle w:val="TOC1"/>
      </w:pPr>
      <w:r>
        <w:t>LAYER FOUR: INTERNATIONAL LEGAL RATIFICATION</w:t>
      </w:r>
      <w:r>
        <w:tab/>
        <w:t>64</w:t>
      </w:r>
    </w:p>
    <w:p w14:paraId="64C46E14" w14:textId="77777777" w:rsidR="00CA7ABD" w:rsidRDefault="00000000">
      <w:pPr>
        <w:pStyle w:val="TOC2"/>
      </w:pPr>
      <w:r>
        <w:t>Article 62: The Binding United Nations Security Council Resolution</w:t>
      </w:r>
      <w:r>
        <w:tab/>
        <w:t>64</w:t>
      </w:r>
    </w:p>
    <w:p w14:paraId="5EBFDF83" w14:textId="77777777" w:rsidR="00CA7ABD" w:rsidRDefault="00000000">
      <w:pPr>
        <w:pStyle w:val="TOC2"/>
      </w:pPr>
      <w:r>
        <w:t>Article 63: The Depositary</w:t>
      </w:r>
      <w:r>
        <w:tab/>
        <w:t>64</w:t>
      </w:r>
    </w:p>
    <w:p w14:paraId="01EE942A" w14:textId="77777777" w:rsidR="00CA7ABD" w:rsidRDefault="00000000">
      <w:pPr>
        <w:pStyle w:val="TOC2"/>
      </w:pPr>
      <w:r>
        <w:t>Article 64: Accession and Participation</w:t>
      </w:r>
      <w:r>
        <w:tab/>
        <w:t>64</w:t>
      </w:r>
    </w:p>
    <w:p w14:paraId="38B6AE21" w14:textId="77777777" w:rsidR="00CA7ABD" w:rsidRDefault="00000000">
      <w:pPr>
        <w:pStyle w:val="TOC2"/>
      </w:pPr>
      <w:r>
        <w:t>Article 65: Amendment</w:t>
      </w:r>
      <w:r>
        <w:tab/>
        <w:t>65</w:t>
      </w:r>
    </w:p>
    <w:p w14:paraId="5342FB89" w14:textId="77777777" w:rsidR="00CA7ABD" w:rsidRDefault="00000000">
      <w:pPr>
        <w:pStyle w:val="TOC2"/>
      </w:pPr>
      <w:r>
        <w:t>Article 66: Withdrawal</w:t>
      </w:r>
      <w:r>
        <w:tab/>
        <w:t>65</w:t>
      </w:r>
    </w:p>
    <w:p w14:paraId="4BB8958E" w14:textId="77777777" w:rsidR="00CA7ABD" w:rsidRDefault="00000000">
      <w:pPr>
        <w:pStyle w:val="TOC2"/>
      </w:pPr>
      <w:r>
        <w:t>Article 67: Languages and the Authoritative Texts</w:t>
      </w:r>
      <w:r>
        <w:tab/>
        <w:t>65</w:t>
      </w:r>
    </w:p>
    <w:p w14:paraId="034E39D0" w14:textId="77777777" w:rsidR="00CA7ABD" w:rsidRDefault="00000000">
      <w:pPr>
        <w:pStyle w:val="TOC2"/>
      </w:pPr>
      <w:r>
        <w:t>Article 68: The Infinite Horizon Clause</w:t>
      </w:r>
      <w:r>
        <w:tab/>
        <w:t>66</w:t>
      </w:r>
    </w:p>
    <w:p w14:paraId="6B0C9024" w14:textId="77777777" w:rsidR="00CA7ABD" w:rsidRDefault="00000000">
      <w:pPr>
        <w:pStyle w:val="TOC1"/>
      </w:pPr>
      <w:r>
        <w:t>ANNEX A: THE GOVERNANCE AREA, CORRIDOR COORDINATES, AND THE VERIFIED SERVICES CATALOG</w:t>
      </w:r>
      <w:r>
        <w:tab/>
        <w:t>67</w:t>
      </w:r>
    </w:p>
    <w:p w14:paraId="5C029C08" w14:textId="77777777" w:rsidR="00CA7ABD" w:rsidRDefault="00000000">
      <w:pPr>
        <w:pStyle w:val="TOC2"/>
      </w:pPr>
      <w:r>
        <w:t>Section A.1: The Boundary Polygon</w:t>
      </w:r>
      <w:r>
        <w:tab/>
        <w:t>67</w:t>
      </w:r>
    </w:p>
    <w:p w14:paraId="6B28BF7D" w14:textId="77777777" w:rsidR="00CA7ABD" w:rsidRDefault="00000000">
      <w:pPr>
        <w:pStyle w:val="TOC2"/>
      </w:pPr>
      <w:r>
        <w:t>Section A.2: Corridor Technical Parameters</w:t>
      </w:r>
      <w:r>
        <w:tab/>
        <w:t>67</w:t>
      </w:r>
    </w:p>
    <w:p w14:paraId="1546FD6C" w14:textId="77777777" w:rsidR="00CA7ABD" w:rsidRDefault="00000000">
      <w:pPr>
        <w:pStyle w:val="TOC2"/>
      </w:pPr>
      <w:r>
        <w:t>Section A.3: The Verified Services Catalog</w:t>
      </w:r>
      <w:r>
        <w:tab/>
        <w:t>68</w:t>
      </w:r>
    </w:p>
    <w:p w14:paraId="5F74D7FF" w14:textId="77777777" w:rsidR="00CA7ABD" w:rsidRDefault="00000000">
      <w:pPr>
        <w:pStyle w:val="TOC1"/>
      </w:pPr>
      <w:r>
        <w:t>ANNEX B: THE NUCLEAR VERIFICATION ANNEX</w:t>
      </w:r>
      <w:r>
        <w:tab/>
        <w:t>70</w:t>
      </w:r>
    </w:p>
    <w:p w14:paraId="208F4195" w14:textId="77777777" w:rsidR="00CA7ABD" w:rsidRDefault="00000000">
      <w:pPr>
        <w:pStyle w:val="TOC2"/>
      </w:pPr>
      <w:r>
        <w:t>Section B.1: The Inventory and the Down-Blending Campaign</w:t>
      </w:r>
      <w:r>
        <w:tab/>
        <w:t>70</w:t>
      </w:r>
    </w:p>
    <w:p w14:paraId="32D3B2D8" w14:textId="77777777" w:rsidR="00CA7ABD" w:rsidRDefault="00000000">
      <w:pPr>
        <w:pStyle w:val="TOC2"/>
      </w:pPr>
      <w:r>
        <w:t>Section B.2: The Permanent Caps and the Cascade Table</w:t>
      </w:r>
      <w:r>
        <w:tab/>
        <w:t>70</w:t>
      </w:r>
    </w:p>
    <w:p w14:paraId="7E80C768" w14:textId="77777777" w:rsidR="00CA7ABD" w:rsidRDefault="00000000">
      <w:pPr>
        <w:pStyle w:val="TOC2"/>
      </w:pPr>
      <w:r>
        <w:t>Section B.3: The Fuel Cycle and Supply Assurance</w:t>
      </w:r>
      <w:r>
        <w:tab/>
        <w:t>71</w:t>
      </w:r>
    </w:p>
    <w:p w14:paraId="2D6ED0CD" w14:textId="77777777" w:rsidR="00CA7ABD" w:rsidRDefault="00000000">
      <w:pPr>
        <w:pStyle w:val="TOC2"/>
      </w:pPr>
      <w:r>
        <w:t>Section B.4: Access Regime</w:t>
      </w:r>
      <w:r>
        <w:tab/>
        <w:t>71</w:t>
      </w:r>
    </w:p>
    <w:p w14:paraId="0F4D113B" w14:textId="77777777" w:rsidR="00CA7ABD" w:rsidRDefault="00000000">
      <w:pPr>
        <w:pStyle w:val="TOC1"/>
      </w:pPr>
      <w:r>
        <w:t>ANNEX C: THE SANCTIONS TERMINATION AND ASSET RELEASE SCHEDULE</w:t>
      </w:r>
      <w:r>
        <w:tab/>
        <w:t>73</w:t>
      </w:r>
    </w:p>
    <w:p w14:paraId="1A9AC639" w14:textId="77777777" w:rsidR="00CA7ABD" w:rsidRDefault="00000000">
      <w:pPr>
        <w:pStyle w:val="TOC2"/>
      </w:pPr>
      <w:r>
        <w:t>Section C.1: The Termination Register</w:t>
      </w:r>
      <w:r>
        <w:tab/>
        <w:t>73</w:t>
      </w:r>
    </w:p>
    <w:p w14:paraId="3EB33E9E" w14:textId="77777777" w:rsidR="00CA7ABD" w:rsidRDefault="00000000">
      <w:pPr>
        <w:pStyle w:val="TOC2"/>
      </w:pPr>
      <w:r>
        <w:t>Section C.2: The Asset Release Table</w:t>
      </w:r>
      <w:r>
        <w:tab/>
        <w:t>73</w:t>
      </w:r>
    </w:p>
    <w:p w14:paraId="7D75F8EE" w14:textId="77777777" w:rsidR="00CA7ABD" w:rsidRDefault="00000000">
      <w:pPr>
        <w:pStyle w:val="TOC1"/>
      </w:pPr>
      <w:r>
        <w:t>ANNEX D: THE HORMUZ MARITIME STEWARDSHIP FUND CHARTER</w:t>
      </w:r>
      <w:r>
        <w:tab/>
        <w:t>75</w:t>
      </w:r>
    </w:p>
    <w:p w14:paraId="31DBB1E1" w14:textId="77777777" w:rsidR="00CA7ABD" w:rsidRDefault="00000000">
      <w:pPr>
        <w:pStyle w:val="TOC2"/>
      </w:pPr>
      <w:r>
        <w:t>Section D.1: Establishment and Governance</w:t>
      </w:r>
      <w:r>
        <w:tab/>
        <w:t>75</w:t>
      </w:r>
    </w:p>
    <w:p w14:paraId="5443E279" w14:textId="77777777" w:rsidR="00CA7ABD" w:rsidRDefault="00000000">
      <w:pPr>
        <w:pStyle w:val="TOC2"/>
      </w:pPr>
      <w:r>
        <w:t>Section D.2: Sources and the Tri-Channel Funding System</w:t>
      </w:r>
      <w:r>
        <w:tab/>
        <w:t>75</w:t>
      </w:r>
    </w:p>
    <w:p w14:paraId="4B541EB6" w14:textId="77777777" w:rsidR="00CA7ABD" w:rsidRDefault="00000000">
      <w:pPr>
        <w:pStyle w:val="TOC2"/>
      </w:pPr>
      <w:r>
        <w:t>Section D.3: The Commercial Parameters</w:t>
      </w:r>
      <w:r>
        <w:tab/>
        <w:t>75</w:t>
      </w:r>
    </w:p>
    <w:p w14:paraId="752B1563" w14:textId="77777777" w:rsidR="00CA7ABD" w:rsidRDefault="00000000">
      <w:pPr>
        <w:pStyle w:val="TOC2"/>
      </w:pPr>
      <w:r>
        <w:t>Section D.4: The Legacy Memorandum</w:t>
      </w:r>
      <w:r>
        <w:tab/>
        <w:t>76</w:t>
      </w:r>
    </w:p>
    <w:p w14:paraId="10E07F0A" w14:textId="77777777" w:rsidR="00CA7ABD" w:rsidRDefault="00000000">
      <w:pPr>
        <w:pStyle w:val="TOC1"/>
      </w:pPr>
      <w:r>
        <w:t>ANNEX F: ACCESSION, ARBITRATION, AND INSTITUTIONAL INSTRUMENTS</w:t>
      </w:r>
      <w:r>
        <w:tab/>
        <w:t>77</w:t>
      </w:r>
    </w:p>
    <w:p w14:paraId="0F7650B8" w14:textId="77777777" w:rsidR="00CA7ABD" w:rsidRDefault="00000000">
      <w:pPr>
        <w:pStyle w:val="TOC2"/>
      </w:pPr>
      <w:r>
        <w:t>Section F.1: The Accession Protocol</w:t>
      </w:r>
      <w:r>
        <w:tab/>
        <w:t>77</w:t>
      </w:r>
    </w:p>
    <w:p w14:paraId="49034B28" w14:textId="77777777" w:rsidR="00CA7ABD" w:rsidRDefault="00000000">
      <w:pPr>
        <w:pStyle w:val="TOC2"/>
      </w:pPr>
      <w:r>
        <w:t>Section F.2: The Treaty-Level Arbitral Tribunal</w:t>
      </w:r>
      <w:r>
        <w:tab/>
        <w:t>77</w:t>
      </w:r>
    </w:p>
    <w:p w14:paraId="1E670CBC" w14:textId="77777777" w:rsidR="00CA7ABD" w:rsidRDefault="00000000">
      <w:pPr>
        <w:pStyle w:val="TOC2"/>
      </w:pPr>
      <w:r>
        <w:t>Section F.3: Institutional Instruments</w:t>
      </w:r>
      <w:r>
        <w:tab/>
        <w:t>78</w:t>
      </w:r>
    </w:p>
    <w:p w14:paraId="72603B8C" w14:textId="77777777" w:rsidR="00CA7ABD" w:rsidRDefault="00000000">
      <w:pPr>
        <w:pStyle w:val="TOC1"/>
      </w:pPr>
      <w:r>
        <w:t>ANNEX G: THE RED LINES REGISTER (FULL TEXT)</w:t>
      </w:r>
      <w:r>
        <w:tab/>
        <w:t>79</w:t>
      </w:r>
    </w:p>
    <w:p w14:paraId="70D94CFD" w14:textId="77777777" w:rsidR="00CA7ABD" w:rsidRDefault="00000000">
      <w:pPr>
        <w:pStyle w:val="TOC2"/>
      </w:pPr>
      <w:r>
        <w:t>Section G.1: Registered Red Lines of the United States of America</w:t>
      </w:r>
      <w:r>
        <w:tab/>
        <w:t>79</w:t>
      </w:r>
    </w:p>
    <w:p w14:paraId="5B6B6BBD" w14:textId="77777777" w:rsidR="00CA7ABD" w:rsidRDefault="00000000">
      <w:pPr>
        <w:pStyle w:val="TOC2"/>
      </w:pPr>
      <w:r>
        <w:t>Section G.2: Registered Red Lines of the Islamic Republic of Iran</w:t>
      </w:r>
      <w:r>
        <w:tab/>
        <w:t>79</w:t>
      </w:r>
    </w:p>
    <w:p w14:paraId="431105CE" w14:textId="77777777" w:rsidR="00CA7ABD" w:rsidRDefault="00000000">
      <w:pPr>
        <w:pStyle w:val="TOC2"/>
      </w:pPr>
      <w:r>
        <w:t>Section G.3: Registered Red Lines of the Sultanate of Oman</w:t>
      </w:r>
      <w:r>
        <w:tab/>
        <w:t>80</w:t>
      </w:r>
    </w:p>
    <w:p w14:paraId="7F1888FF" w14:textId="77777777" w:rsidR="00CA7ABD" w:rsidRDefault="00000000">
      <w:pPr>
        <w:pStyle w:val="TOC2"/>
      </w:pPr>
      <w:r>
        <w:t>Section G.4: Registered Red Lines of the Facilitating Parties</w:t>
      </w:r>
      <w:r>
        <w:tab/>
        <w:t>80</w:t>
      </w:r>
    </w:p>
    <w:p w14:paraId="6B4CA4AE" w14:textId="77777777" w:rsidR="00CA7ABD" w:rsidRDefault="00000000">
      <w:pPr>
        <w:pStyle w:val="TOC2"/>
      </w:pPr>
      <w:r>
        <w:lastRenderedPageBreak/>
        <w:t>Section G.5: The Perimeter Test Procedure</w:t>
      </w:r>
      <w:r>
        <w:tab/>
        <w:t>80</w:t>
      </w:r>
    </w:p>
    <w:p w14:paraId="7656A5C3" w14:textId="77777777" w:rsidR="00CA7ABD" w:rsidRDefault="00000000">
      <w:pPr>
        <w:pStyle w:val="TOC1"/>
      </w:pPr>
      <w:r>
        <w:t>SIGNATURE AND EXECUTION</w:t>
      </w:r>
      <w:r>
        <w:tab/>
        <w:t>82</w:t>
      </w:r>
    </w:p>
    <w:p w14:paraId="75222219" w14:textId="77777777" w:rsidR="00CA7ABD" w:rsidRDefault="00000000">
      <w:pPr>
        <w:pStyle w:val="TOC1"/>
      </w:pPr>
      <w:r>
        <w:t>ANNEX E: THE COTHROM VERIFICATION METHOD (FULL TEXT, INCORPORATED AS OPERATIVE LAW)</w:t>
      </w:r>
      <w:r>
        <w:tab/>
        <w:t>83</w:t>
      </w:r>
    </w:p>
    <w:p w14:paraId="39830774" w14:textId="77777777" w:rsidR="00CA7ABD" w:rsidRDefault="00000000">
      <w:pPr>
        <w:pStyle w:val="TOC2"/>
      </w:pPr>
      <w:r>
        <w:t>PREAMBLE: THE COTHROM PRINCIPLE</w:t>
      </w:r>
      <w:r>
        <w:tab/>
        <w:t>83</w:t>
      </w:r>
    </w:p>
    <w:p w14:paraId="72C1B60B" w14:textId="77777777" w:rsidR="00CA7ABD" w:rsidRDefault="00000000">
      <w:pPr>
        <w:pStyle w:val="TOC2"/>
      </w:pPr>
      <w:r>
        <w:t>PART I: DATA INFRASTRUCTURE AND ANOMALY DETECTION</w:t>
      </w:r>
      <w:r>
        <w:tab/>
        <w:t>84</w:t>
      </w:r>
    </w:p>
    <w:p w14:paraId="0C71BA16" w14:textId="77777777" w:rsidR="00CA7ABD" w:rsidRDefault="00000000">
      <w:pPr>
        <w:pStyle w:val="TOC2"/>
      </w:pPr>
      <w:r>
        <w:t>PART II: ADVERSARIAL CLAIM VERIFICATION</w:t>
      </w:r>
      <w:r>
        <w:tab/>
        <w:t>88</w:t>
      </w:r>
    </w:p>
    <w:p w14:paraId="01FC9BAA" w14:textId="77777777" w:rsidR="00CA7ABD" w:rsidRDefault="00000000">
      <w:pPr>
        <w:pStyle w:val="TOC2"/>
      </w:pPr>
      <w:r>
        <w:t>PART III: THE STEP-BACK AND EARN-BACK COMPLIANCE ENGINE</w:t>
      </w:r>
      <w:r>
        <w:tab/>
        <w:t>96</w:t>
      </w:r>
    </w:p>
    <w:p w14:paraId="52EC68AD" w14:textId="77777777" w:rsidR="00CA7ABD" w:rsidRDefault="00000000">
      <w:pPr>
        <w:pStyle w:val="TOC2"/>
      </w:pPr>
      <w:r>
        <w:t>PART IV: PROTECTIVE ARCHITECTURE</w:t>
      </w:r>
      <w:r>
        <w:tab/>
        <w:t>100</w:t>
      </w:r>
    </w:p>
    <w:p w14:paraId="52789D39" w14:textId="77777777" w:rsidR="00CA7ABD" w:rsidRDefault="00000000">
      <w:pPr>
        <w:pStyle w:val="TOC2"/>
      </w:pPr>
      <w:r>
        <w:t>PART V: OPERATIONAL SUPPLEMENTS</w:t>
      </w:r>
      <w:r>
        <w:tab/>
        <w:t>103</w:t>
      </w:r>
    </w:p>
    <w:p w14:paraId="78348585" w14:textId="77777777" w:rsidR="00CA7ABD" w:rsidRDefault="00000000">
      <w:pPr>
        <w:pStyle w:val="TOC2"/>
      </w:pPr>
      <w:r>
        <w:t>CLOSING</w:t>
      </w:r>
      <w:r>
        <w:tab/>
        <w:t>108</w:t>
      </w:r>
    </w:p>
    <w:p w14:paraId="11F33C26" w14:textId="77777777" w:rsidR="00CA7ABD" w:rsidRDefault="00000000">
      <w:pPr>
        <w:pStyle w:val="TOC1"/>
      </w:pPr>
      <w:r>
        <w:t>ANNEX RDF: THE RECONSTRUCTION AND DEVELOPMENT FUND PROTOCOL (FULL TEXT, INCORPORATED AS OPERATIVE LAW)</w:t>
      </w:r>
      <w:r>
        <w:tab/>
        <w:t>110</w:t>
      </w:r>
    </w:p>
    <w:p w14:paraId="3B5748F5" w14:textId="77777777" w:rsidR="00CA7ABD" w:rsidRDefault="00000000">
      <w:pPr>
        <w:pStyle w:val="TOC2"/>
      </w:pPr>
      <w:r>
        <w:t>ANNEX RDF</w:t>
      </w:r>
      <w:r>
        <w:tab/>
        <w:t>110</w:t>
      </w:r>
    </w:p>
    <w:p w14:paraId="1E96BFF7" w14:textId="77777777" w:rsidR="00CA7ABD" w:rsidRDefault="00000000">
      <w:pPr>
        <w:pStyle w:val="TOC2"/>
      </w:pPr>
      <w:r>
        <w:t>Preamble</w:t>
      </w:r>
      <w:r>
        <w:tab/>
        <w:t>6</w:t>
      </w:r>
    </w:p>
    <w:p w14:paraId="184F1BDB" w14:textId="77777777" w:rsidR="00CA7ABD" w:rsidRDefault="00000000">
      <w:pPr>
        <w:pStyle w:val="TOC2"/>
      </w:pPr>
      <w:r>
        <w:t>Index</w:t>
      </w:r>
      <w:r>
        <w:tab/>
        <w:t>112</w:t>
      </w:r>
    </w:p>
    <w:p w14:paraId="2DEC7215" w14:textId="77777777" w:rsidR="00CA7ABD" w:rsidRDefault="00000000">
      <w:pPr>
        <w:pStyle w:val="TOC2"/>
      </w:pPr>
      <w:r>
        <w:t>Article 1: Definitions</w:t>
      </w:r>
      <w:r>
        <w:tab/>
        <w:t>112</w:t>
      </w:r>
    </w:p>
    <w:p w14:paraId="62E15B14" w14:textId="77777777" w:rsidR="00CA7ABD" w:rsidRDefault="00000000">
      <w:pPr>
        <w:pStyle w:val="TOC2"/>
      </w:pPr>
      <w:r>
        <w:t>Article 2: Capital Aggregation and Escrow</w:t>
      </w:r>
      <w:r>
        <w:tab/>
        <w:t>112</w:t>
      </w:r>
    </w:p>
    <w:p w14:paraId="7A700B18" w14:textId="77777777" w:rsidR="00CA7ABD" w:rsidRDefault="00000000">
      <w:pPr>
        <w:pStyle w:val="TOC2"/>
      </w:pPr>
      <w:r>
        <w:t>Article 3: Project Proposal and Approval Process</w:t>
      </w:r>
      <w:r>
        <w:tab/>
        <w:t>112</w:t>
      </w:r>
    </w:p>
    <w:p w14:paraId="37668916" w14:textId="77777777" w:rsidR="00CA7ABD" w:rsidRDefault="00000000">
      <w:pPr>
        <w:pStyle w:val="TOC2"/>
      </w:pPr>
      <w:r>
        <w:t>Article 4: Disbursement and Verification</w:t>
      </w:r>
      <w:r>
        <w:tab/>
        <w:t>112</w:t>
      </w:r>
    </w:p>
    <w:p w14:paraId="73A5E416" w14:textId="77777777" w:rsidR="00CA7ABD" w:rsidRDefault="00000000">
      <w:pPr>
        <w:pStyle w:val="TOC2"/>
      </w:pPr>
      <w:r>
        <w:t>Article 5: Governance and Transparency</w:t>
      </w:r>
      <w:r>
        <w:tab/>
        <w:t>112</w:t>
      </w:r>
    </w:p>
    <w:p w14:paraId="3E2C0AB1" w14:textId="77777777" w:rsidR="00CA7ABD" w:rsidRDefault="00000000">
      <w:pPr>
        <w:pStyle w:val="TOC2"/>
      </w:pPr>
      <w:r>
        <w:t>Article 6: Relationship to Other Annexes</w:t>
      </w:r>
      <w:r>
        <w:tab/>
        <w:t>112</w:t>
      </w:r>
    </w:p>
    <w:p w14:paraId="3AA2F4F4" w14:textId="77777777" w:rsidR="00CA7ABD" w:rsidRDefault="00000000">
      <w:pPr>
        <w:pStyle w:val="TOC2"/>
      </w:pPr>
      <w:r>
        <w:t>Article 7: Duration and Supersession</w:t>
      </w:r>
      <w:r>
        <w:tab/>
        <w:t>112</w:t>
      </w:r>
    </w:p>
    <w:p w14:paraId="189C0784" w14:textId="77777777" w:rsidR="00CA7ABD" w:rsidRDefault="00000000">
      <w:pPr>
        <w:pStyle w:val="TOC2"/>
      </w:pPr>
      <w:r>
        <w:t>Article 8: Sovereign Procurement and Non-Directed Purchasing</w:t>
      </w:r>
      <w:r>
        <w:tab/>
        <w:t>112</w:t>
      </w:r>
    </w:p>
    <w:p w14:paraId="34D90262" w14:textId="77777777" w:rsidR="00CA7ABD" w:rsidRDefault="00000000">
      <w:pPr>
        <w:pStyle w:val="TOC2"/>
      </w:pPr>
      <w:r>
        <w:t>Appendix A: Capital Contributor Registry</w:t>
      </w:r>
      <w:r>
        <w:tab/>
        <w:t>112</w:t>
      </w:r>
    </w:p>
    <w:p w14:paraId="043D429F" w14:textId="77777777" w:rsidR="00CA7ABD" w:rsidRDefault="00000000">
      <w:pPr>
        <w:pStyle w:val="TOC2"/>
      </w:pPr>
      <w:r>
        <w:t>Appendix B: Regional Development Funds and Grant Programs</w:t>
      </w:r>
      <w:r>
        <w:tab/>
        <w:t>112</w:t>
      </w:r>
    </w:p>
    <w:p w14:paraId="3D317925" w14:textId="77777777" w:rsidR="00CA7ABD" w:rsidRDefault="00000000">
      <w:pPr>
        <w:pStyle w:val="TOC2"/>
      </w:pPr>
      <w:r>
        <w:t>Appendix C: The Multilateral Architecture</w:t>
      </w:r>
      <w:r>
        <w:tab/>
        <w:t>112</w:t>
      </w:r>
    </w:p>
    <w:p w14:paraId="2E0160CD" w14:textId="77777777" w:rsidR="00CA7ABD" w:rsidRDefault="00000000">
      <w:pPr>
        <w:pStyle w:val="TOC2"/>
      </w:pPr>
      <w:r>
        <w:t>Appendix D: Supplementary Regional Programs</w:t>
      </w:r>
      <w:r>
        <w:tab/>
        <w:t>112</w:t>
      </w:r>
    </w:p>
    <w:p w14:paraId="05EB6295" w14:textId="77777777" w:rsidR="00CA7ABD" w:rsidRDefault="00000000">
      <w:pPr>
        <w:pStyle w:val="TOC2"/>
      </w:pPr>
      <w:r>
        <w:t>Signature Block</w:t>
      </w:r>
      <w:r>
        <w:tab/>
        <w:t>146</w:t>
      </w:r>
    </w:p>
    <w:p w14:paraId="323193E5" w14:textId="77777777" w:rsidR="00CA7ABD" w:rsidRDefault="00000000">
      <w:pPr>
        <w:pStyle w:val="TOC2"/>
      </w:pPr>
      <w:r>
        <w:t>Appendix E: International Funding Sources and Application Pathways</w:t>
      </w:r>
      <w:r>
        <w:tab/>
        <w:t>113</w:t>
      </w:r>
    </w:p>
    <w:p w14:paraId="330380A6" w14:textId="77777777" w:rsidR="00CA7ABD" w:rsidRDefault="00000000">
      <w:pPr>
        <w:pStyle w:val="TOC2"/>
      </w:pPr>
      <w:r>
        <w:t>Appendix F: Force Majeure and Sanctions Reimposition Fallback Protocol</w:t>
      </w:r>
      <w:r>
        <w:tab/>
        <w:t>113</w:t>
      </w:r>
    </w:p>
    <w:p w14:paraId="286B2C95" w14:textId="77777777" w:rsidR="00CA7ABD" w:rsidRDefault="00000000">
      <w:pPr>
        <w:pStyle w:val="TOC2"/>
      </w:pPr>
      <w:r>
        <w:t>End of Annex RDF</w:t>
      </w:r>
      <w:r>
        <w:tab/>
        <w:t>158</w:t>
      </w:r>
    </w:p>
    <w:p w14:paraId="329A2686" w14:textId="77777777" w:rsidR="00CA7ABD" w:rsidRDefault="00000000">
      <w:pPr>
        <w:pStyle w:val="TOC2"/>
      </w:pPr>
      <w:r>
        <w:t>Appendix G: Additional International Funding Sources</w:t>
      </w:r>
      <w:r>
        <w:tab/>
        <w:t>6</w:t>
      </w:r>
    </w:p>
    <w:p w14:paraId="5EC4A6B7" w14:textId="77777777" w:rsidR="00CA7ABD" w:rsidRDefault="00000000">
      <w:pPr>
        <w:pStyle w:val="TOC2"/>
      </w:pPr>
      <w:r>
        <w:t>Appendix H: Global South, BRICS, and Regional Development Partners</w:t>
      </w:r>
      <w:r>
        <w:tab/>
        <w:t>6</w:t>
      </w:r>
    </w:p>
    <w:p w14:paraId="393C919F" w14:textId="77777777" w:rsidR="00CA7ABD" w:rsidRDefault="00000000">
      <w:pPr>
        <w:pStyle w:val="TOC2"/>
      </w:pPr>
      <w:r>
        <w:t>Appendix I: Country-by-Country Funding Sources</w:t>
      </w:r>
      <w:r>
        <w:tab/>
        <w:t>6</w:t>
      </w:r>
    </w:p>
    <w:p w14:paraId="63AB641D" w14:textId="77777777" w:rsidR="00CA7ABD" w:rsidRDefault="00000000">
      <w:pPr>
        <w:rPr>
          <w:rFonts w:hint="eastAsia"/>
        </w:rPr>
      </w:pPr>
      <w:r>
        <w:fldChar w:fldCharType="end"/>
      </w:r>
    </w:p>
    <w:p w14:paraId="412CA731" w14:textId="77777777" w:rsidR="00CA7ABD" w:rsidRDefault="00000000">
      <w:pPr>
        <w:pStyle w:val="Heading1"/>
        <w:rPr>
          <w:rFonts w:hint="eastAsia"/>
        </w:rPr>
      </w:pPr>
      <w:r>
        <w:t>Preamble: The Moment of August 2026</w:t>
      </w:r>
    </w:p>
    <w:p w14:paraId="6916E9E6" w14:textId="77777777" w:rsidR="00CA7ABD" w:rsidRDefault="00000000">
      <w:pPr>
        <w:rPr>
          <w:rFonts w:hint="eastAsia"/>
        </w:rPr>
      </w:pPr>
      <w:r>
        <w:t>The Islamic Republic of Iran and the United States of America, hereinafter the Principal Parties, together with the Sultanate of Oman, the State of Qatar, the Islamic Republic of Pakistan, and the participating states and institutions named in the Participation Schedule, hereinafter the Facilitating Parties,</w:t>
      </w:r>
    </w:p>
    <w:p w14:paraId="2F181A5C" w14:textId="77777777" w:rsidR="00CA7ABD" w:rsidRDefault="00000000">
      <w:pPr>
        <w:rPr>
          <w:rFonts w:hint="eastAsia"/>
        </w:rPr>
      </w:pPr>
      <w:r>
        <w:lastRenderedPageBreak/>
        <w:t>Conscious that the war of 2026 inflicted grave damage upon the peoples, infrastructure, and economies of the region, and that the closure of the Strait of Hormuz imposed costs upon every nation that trades in energy, food, fertilizer, and medicine,</w:t>
      </w:r>
    </w:p>
    <w:p w14:paraId="4AB81449" w14:textId="77777777" w:rsidR="00CA7ABD" w:rsidRDefault="00000000">
      <w:pPr>
        <w:rPr>
          <w:rFonts w:hint="eastAsia"/>
        </w:rPr>
      </w:pPr>
      <w:r>
        <w:t>Recalling the Memorandum of Understanding signed in June 2026, hereinafter the Islamabad Memorandum, which established a sixty-day framework for the negotiation of a final agreement and committed the parties to endorsement of that final agreement by a binding resolution of the United Nations Security Council,</w:t>
      </w:r>
    </w:p>
    <w:p w14:paraId="12EF1EB2" w14:textId="77777777" w:rsidR="00CA7ABD" w:rsidRDefault="00000000">
      <w:pPr>
        <w:rPr>
          <w:rFonts w:hint="eastAsia"/>
        </w:rPr>
      </w:pPr>
      <w:r>
        <w:t>Recalling the temporary ceasefire of April 2026, the talks at Islamabad, the rounds at Muscat, Geneva, Rome, and Lake Lucerne, and the working group sessions between the Islamic Republic of Iran and the Sultanate of Oman on the governance of the Strait of Hormuz,</w:t>
      </w:r>
    </w:p>
    <w:p w14:paraId="7A7954E6" w14:textId="77777777" w:rsidR="00CA7ABD" w:rsidRDefault="00000000">
      <w:pPr>
        <w:rPr>
          <w:rFonts w:hint="eastAsia"/>
        </w:rPr>
      </w:pPr>
      <w:r>
        <w:t>Affirming that the Strait of Hormuz carries roughly one fifth of the petroleum liquids consumed on earth each day, and that its governance concerns all nations even as its shoreline belongs to its coastal states,</w:t>
      </w:r>
    </w:p>
    <w:p w14:paraId="1BBAEB46" w14:textId="77777777" w:rsidR="00CA7ABD" w:rsidRDefault="00000000">
      <w:pPr>
        <w:rPr>
          <w:rFonts w:hint="eastAsia"/>
        </w:rPr>
      </w:pPr>
      <w:r>
        <w:t>Determined that this settlement terminates the war once and for all, converts temporary leverage into permanent institutions, and replaces the logic of confrontation with the logic of mutual interest,</w:t>
      </w:r>
    </w:p>
    <w:p w14:paraId="6CE0AFAC" w14:textId="77777777" w:rsidR="00CA7ABD" w:rsidRDefault="00000000">
      <w:pPr>
        <w:rPr>
          <w:rFonts w:hint="eastAsia"/>
        </w:rPr>
      </w:pPr>
      <w:r>
        <w:t>Resolved that no provision of this Accord crosses the red line of any Party, that every obligation binds symmetrically within the framework architecture, and that verification operates as a reciprocal architecture in which all parties invest, all parties verify, and all parties recover,</w:t>
      </w:r>
    </w:p>
    <w:p w14:paraId="02C0521F" w14:textId="77777777" w:rsidR="00CA7ABD" w:rsidRDefault="00000000">
      <w:pPr>
        <w:rPr>
          <w:rFonts w:hint="eastAsia"/>
        </w:rPr>
      </w:pPr>
      <w:r>
        <w:t>Hereby establish THE ISLAMABAD INFINITE HORIZON ACCORD, a layered treaty package comprising one Final Status Treaty, one Verification Protocol, one Implementation and Enforcement Layer, one International Ratification Layer, and the Annexes that this Accord incorporates as operative law.</w:t>
      </w:r>
    </w:p>
    <w:p w14:paraId="271B33D3" w14:textId="77777777" w:rsidR="00CA7ABD" w:rsidRDefault="00000000">
      <w:pPr>
        <w:pStyle w:val="Heading1"/>
        <w:rPr>
          <w:rFonts w:hint="eastAsia"/>
        </w:rPr>
      </w:pPr>
      <w:r>
        <w:t>Drafting Convention and Method</w:t>
      </w:r>
    </w:p>
    <w:p w14:paraId="599FE0D9" w14:textId="77777777" w:rsidR="00CA7ABD" w:rsidRDefault="00000000">
      <w:pPr>
        <w:rPr>
          <w:rFonts w:hint="eastAsia"/>
        </w:rPr>
      </w:pPr>
      <w:r>
        <w:t>This Accord observes a strict drafting discipline. Every obligation appears in the active present tense. Every sentence names an active subject performing a direct action. The framework architecture states consequences as immediate realities rather than as threats, evaluations, or future contingencies. Prohibitions appear as features of the shared framework architecture, never as unilateral restraint by one Party for the benefit of another. This convention preserves legal force while eliminating the appearance of hierarchy, capitulation, or asymmetric burden. Both Principal Parties stand bound equally by the design of the framework, not by one Party restraining itself for the other.</w:t>
      </w:r>
    </w:p>
    <w:p w14:paraId="6581C257" w14:textId="77777777" w:rsidR="00CA7ABD" w:rsidRDefault="00000000">
      <w:pPr>
        <w:rPr>
          <w:rFonts w:hint="eastAsia"/>
        </w:rPr>
      </w:pPr>
      <w:r>
        <w:t>Interpretive rule on language: words of futurity, discretion, or hierarchy do not appear in this Accord by design. Where a reader imports such words from habit, the reader substitutes the present-tense, active, symmetric construction that this Drafting Convention establishes.</w:t>
      </w:r>
    </w:p>
    <w:p w14:paraId="3E0977D2" w14:textId="77777777" w:rsidR="00CA7ABD" w:rsidRDefault="00000000">
      <w:pPr>
        <w:rPr>
          <w:rFonts w:hint="eastAsia"/>
        </w:rPr>
      </w:pPr>
      <w:r>
        <w:t>The Accord executes in the English, Farsi, and Arabic languages, each text equally authoritative. Divergence among texts resolves through the interpretation notes of the Annexes. Persistent divergence resolves in favor of the reading that best preserves the corridor system, the Zero-Toll Rule, the nuclear prohibition, and the Red Lines Register. Where the Register does not resolve the divergence, the dispute-tier panel determines the prevailing reading for substantive articles, and the English text governs the technical annexes.</w:t>
      </w:r>
    </w:p>
    <w:p w14:paraId="0C468291" w14:textId="77777777" w:rsidR="00CA7ABD" w:rsidRDefault="00000000">
      <w:pPr>
        <w:pStyle w:val="Heading1"/>
        <w:rPr>
          <w:rFonts w:hint="eastAsia"/>
        </w:rPr>
      </w:pPr>
      <w:r>
        <w:t>The Shared Fact Ledger</w:t>
      </w:r>
    </w:p>
    <w:p w14:paraId="080BAEE6" w14:textId="77777777" w:rsidR="00CA7ABD" w:rsidRDefault="00000000">
      <w:pPr>
        <w:rPr>
          <w:rFonts w:hint="eastAsia"/>
        </w:rPr>
      </w:pPr>
      <w:r>
        <w:t>The Parties adopt a single factual foundation. Every government interprets these facts for its own audience under Layer Zero, and no government disputes the facts themselves. The Joint Implementation Commission maintains this Ledger, the Shared Digital Registry anchors it, and the Compliance Dashboard publishes its non-classified metrics. The Ledger records the following facts as the common factual floor of this Accord:</w:t>
      </w:r>
    </w:p>
    <w:p w14:paraId="43416633" w14:textId="77777777" w:rsidR="00CA7ABD" w:rsidRDefault="00000000">
      <w:pPr>
        <w:ind w:left="360"/>
        <w:rPr>
          <w:rFonts w:hint="eastAsia"/>
        </w:rPr>
      </w:pPr>
      <w:r>
        <w:rPr>
          <w:color w:val="37474F"/>
        </w:rPr>
        <w:t>•</w:t>
      </w:r>
      <w:r>
        <w:t>Fact 1: The war of 2026 began on 28 February 2026 and produced military operations on multiple fronts, including strikes inside Iran, strikes on regional bases, and the closure of the Strait of Hormuz to ordinary commercial transit.</w:t>
      </w:r>
    </w:p>
    <w:p w14:paraId="3EFA98A8" w14:textId="77777777" w:rsidR="00CA7ABD" w:rsidRDefault="00000000">
      <w:pPr>
        <w:ind w:left="360"/>
        <w:rPr>
          <w:rFonts w:hint="eastAsia"/>
        </w:rPr>
      </w:pPr>
      <w:r>
        <w:rPr>
          <w:color w:val="37474F"/>
        </w:rPr>
        <w:t>•</w:t>
      </w:r>
      <w:r>
        <w:t>Fact 2: The Strait of Hormuz, at its narrowest, measures approximately 21 nautical miles, and its inbound and outbound traffic lanes pass through the territorial waters of the Islamic Republic of Iran and the Sultanate of Oman.</w:t>
      </w:r>
    </w:p>
    <w:p w14:paraId="2EBF2E9D" w14:textId="77777777" w:rsidR="00CA7ABD" w:rsidRDefault="00000000">
      <w:pPr>
        <w:ind w:left="360"/>
        <w:rPr>
          <w:rFonts w:hint="eastAsia"/>
        </w:rPr>
      </w:pPr>
      <w:r>
        <w:rPr>
          <w:color w:val="37474F"/>
        </w:rPr>
        <w:t>•</w:t>
      </w:r>
      <w:r>
        <w:t>Fact 3: Approximately one fifth of global petroleum liquids consumption and a substantial share of global liquefied natural gas trade transits the Strait in ordinary times.</w:t>
      </w:r>
    </w:p>
    <w:p w14:paraId="776BFEBF" w14:textId="77777777" w:rsidR="00CA7ABD" w:rsidRDefault="00000000">
      <w:pPr>
        <w:ind w:left="360"/>
        <w:rPr>
          <w:rFonts w:hint="eastAsia"/>
        </w:rPr>
      </w:pPr>
      <w:r>
        <w:rPr>
          <w:color w:val="37474F"/>
        </w:rPr>
        <w:t>•</w:t>
      </w:r>
      <w:r>
        <w:t>Fact 4: At the height of the crisis, more than 3,000 vessels and approximately 20,000 seafarers remained stranded in the Gulf and its approaches, facing shortages of food, water, and medical supplies.</w:t>
      </w:r>
    </w:p>
    <w:p w14:paraId="0518CAB2" w14:textId="77777777" w:rsidR="00CA7ABD" w:rsidRDefault="00000000">
      <w:pPr>
        <w:ind w:left="360"/>
        <w:rPr>
          <w:rFonts w:hint="eastAsia"/>
        </w:rPr>
      </w:pPr>
      <w:r>
        <w:rPr>
          <w:color w:val="37474F"/>
        </w:rPr>
        <w:t>•</w:t>
      </w:r>
      <w:r>
        <w:t>Fact 5: Iran possesses a stockpile of uranium enriched to 60 percent purity, estimated at approximately 440 kilograms, alongside larger stocks enriched to lower levels, and enrichment facilities at Natanz, Fordow, and Isfahan.</w:t>
      </w:r>
    </w:p>
    <w:p w14:paraId="2324B1F5" w14:textId="77777777" w:rsidR="00CA7ABD" w:rsidRDefault="00000000">
      <w:pPr>
        <w:ind w:left="360"/>
        <w:rPr>
          <w:rFonts w:hint="eastAsia"/>
        </w:rPr>
      </w:pPr>
      <w:r>
        <w:rPr>
          <w:color w:val="37474F"/>
        </w:rPr>
        <w:t>•</w:t>
      </w:r>
      <w:r>
        <w:t>Fact 6: Iran affirms, as a matter of religious and strategic doctrine, that it neither seeks nor possesses nuclear weapons, and the United States affirms, as a matter of its own doctrine, that Iran is never permitted to obtain a nuclear weapon. This Accord converts both affirmations into one verifiable architecture.</w:t>
      </w:r>
    </w:p>
    <w:p w14:paraId="51CBCCAF" w14:textId="77777777" w:rsidR="00CA7ABD" w:rsidRDefault="00000000">
      <w:pPr>
        <w:ind w:left="360"/>
        <w:rPr>
          <w:rFonts w:hint="eastAsia"/>
        </w:rPr>
      </w:pPr>
      <w:r>
        <w:rPr>
          <w:color w:val="37474F"/>
        </w:rPr>
        <w:t>•</w:t>
      </w:r>
      <w:r>
        <w:t>Fact 7: The Memorandum of Understanding of June 2026 established a sixty-day negotiation window, a temporary toll-free passage regime, the release of a first tranche of frozen assets, and the commitment to a binding United Nations Security Council resolution endorsing the final agreement.</w:t>
      </w:r>
    </w:p>
    <w:p w14:paraId="127836C2" w14:textId="77777777" w:rsidR="00CA7ABD" w:rsidRDefault="00000000">
      <w:pPr>
        <w:ind w:left="360"/>
        <w:rPr>
          <w:rFonts w:hint="eastAsia"/>
        </w:rPr>
      </w:pPr>
      <w:r>
        <w:rPr>
          <w:color w:val="37474F"/>
        </w:rPr>
        <w:t>•</w:t>
      </w:r>
      <w:r>
        <w:t>Fact 8: The United States maintains naval and air forces in the region, and Iran maintains coastal defense forces on the northern shore of the Strait. The blockade of Iranian ports and the closure of the Strait each constitute leverage that this Accord converts into permanent settlement.</w:t>
      </w:r>
    </w:p>
    <w:p w14:paraId="28D97A82" w14:textId="77777777" w:rsidR="00CA7ABD" w:rsidRDefault="00000000">
      <w:pPr>
        <w:ind w:left="360"/>
        <w:rPr>
          <w:rFonts w:hint="eastAsia"/>
        </w:rPr>
      </w:pPr>
      <w:r>
        <w:rPr>
          <w:color w:val="37474F"/>
        </w:rPr>
        <w:t>•</w:t>
      </w:r>
      <w:r>
        <w:t>Fact 9: Reconstruction of damaged Iranian civilian infrastructure carries an estimated cost of approximately 270 billion dollars over a ten-year horizon, and the Memorandum contemplates international financing of at least 300 billion dollars for reconstruction and economic development.</w:t>
      </w:r>
    </w:p>
    <w:p w14:paraId="3A3D9263" w14:textId="77777777" w:rsidR="00CA7ABD" w:rsidRDefault="00000000">
      <w:pPr>
        <w:ind w:left="360"/>
        <w:rPr>
          <w:rFonts w:hint="eastAsia"/>
        </w:rPr>
      </w:pPr>
      <w:r>
        <w:rPr>
          <w:color w:val="37474F"/>
        </w:rPr>
        <w:t>•</w:t>
      </w:r>
      <w:r>
        <w:t>Fact 10: Neither Party recognizes the legitimacy of the demands of the other in full, and both Parties accept this Accord as the complete and final resolution of the disputes it enumerates, each for its own reasons, each in its own words.</w:t>
      </w:r>
    </w:p>
    <w:p w14:paraId="6725AC8A" w14:textId="77777777" w:rsidR="00CA7ABD" w:rsidRDefault="00000000">
      <w:pPr>
        <w:rPr>
          <w:rFonts w:hint="eastAsia"/>
        </w:rPr>
      </w:pPr>
      <w:r>
        <w:t>The Ledger functions as the factual floor. No Party conditions implementation on the other Party adopting its interpretation of these facts. Layer Zero governs interpretation. The Ledger governs fact.</w:t>
      </w:r>
    </w:p>
    <w:p w14:paraId="2B591C66" w14:textId="77777777" w:rsidR="00CA7ABD" w:rsidRDefault="00000000">
      <w:pPr>
        <w:pStyle w:val="Heading1"/>
        <w:rPr>
          <w:rFonts w:hint="eastAsia"/>
        </w:rPr>
      </w:pPr>
      <w:r>
        <w:t>The Red Lines Register and the Perimeter Test</w:t>
      </w:r>
    </w:p>
    <w:p w14:paraId="14A34EF9" w14:textId="77777777" w:rsidR="00CA7ABD" w:rsidRDefault="00000000">
      <w:pPr>
        <w:pStyle w:val="Heading2"/>
        <w:rPr>
          <w:rFonts w:hint="eastAsia"/>
        </w:rPr>
      </w:pPr>
      <w:r>
        <w:t>Purpose and Method</w:t>
      </w:r>
    </w:p>
    <w:p w14:paraId="581958BC" w14:textId="77777777" w:rsidR="00CA7ABD" w:rsidRDefault="00000000">
      <w:pPr>
        <w:rPr>
          <w:rFonts w:hint="eastAsia"/>
        </w:rPr>
      </w:pPr>
      <w:r>
        <w:t>Each Party registers, in Annex G, the positions it treats as existential. The Register binds every organ of this Accord. No provision, no interpretation, no dispute outcome, and no enforcement action crosses a registered Red Line. The Register operates as law within the framework, not as rhetoric outside it.</w:t>
      </w:r>
    </w:p>
    <w:p w14:paraId="5F6DF990" w14:textId="77777777" w:rsidR="00CA7ABD" w:rsidRDefault="00000000">
      <w:pPr>
        <w:pStyle w:val="Heading2"/>
        <w:rPr>
          <w:rFonts w:hint="eastAsia"/>
        </w:rPr>
      </w:pPr>
      <w:r>
        <w:t>The Register in Summary</w:t>
      </w:r>
    </w:p>
    <w:p w14:paraId="190BFE47" w14:textId="77777777" w:rsidR="00CA7ABD" w:rsidRDefault="00000000">
      <w:pPr>
        <w:rPr>
          <w:rFonts w:hint="eastAsia"/>
        </w:rPr>
      </w:pPr>
      <w:r>
        <w:t>Registered Red Lines of the United States:</w:t>
      </w:r>
    </w:p>
    <w:p w14:paraId="7C26B205" w14:textId="77777777" w:rsidR="00CA7ABD" w:rsidRDefault="00000000">
      <w:pPr>
        <w:ind w:left="360"/>
        <w:rPr>
          <w:rFonts w:hint="eastAsia"/>
        </w:rPr>
      </w:pPr>
      <w:r>
        <w:rPr>
          <w:color w:val="37474F"/>
        </w:rPr>
        <w:t>•</w:t>
      </w:r>
      <w:r>
        <w:t>US-1: Iran neither develops, acquires, nor possesses a nuclear weapon, and no pathway to a nuclear weapon survives this Accord.</w:t>
      </w:r>
    </w:p>
    <w:p w14:paraId="73886DEA" w14:textId="77777777" w:rsidR="00CA7ABD" w:rsidRDefault="00000000">
      <w:pPr>
        <w:ind w:left="360"/>
        <w:rPr>
          <w:rFonts w:hint="eastAsia"/>
        </w:rPr>
      </w:pPr>
      <w:r>
        <w:rPr>
          <w:color w:val="37474F"/>
        </w:rPr>
        <w:t>•</w:t>
      </w:r>
      <w:r>
        <w:t>US-2: The Strait of Hormuz operates without tolls, charges, or fees on passage, in both directions, for all vessels, permanently.</w:t>
      </w:r>
    </w:p>
    <w:p w14:paraId="53ED8CD6" w14:textId="77777777" w:rsidR="00CA7ABD" w:rsidRDefault="00000000">
      <w:pPr>
        <w:ind w:left="360"/>
        <w:rPr>
          <w:rFonts w:hint="eastAsia"/>
        </w:rPr>
      </w:pPr>
      <w:r>
        <w:rPr>
          <w:color w:val="37474F"/>
        </w:rPr>
        <w:t>•</w:t>
      </w:r>
      <w:r>
        <w:t>US-3: No nuclear-related sanction terminates except through the performance-based schedule of this Accord, and violation reactivates suspended measures through the proportionate engine of Layer Two, never through automatic war.</w:t>
      </w:r>
    </w:p>
    <w:p w14:paraId="5B40DE0F" w14:textId="77777777" w:rsidR="00CA7ABD" w:rsidRDefault="00000000">
      <w:pPr>
        <w:ind w:left="360"/>
        <w:rPr>
          <w:rFonts w:hint="eastAsia"/>
        </w:rPr>
      </w:pPr>
      <w:r>
        <w:rPr>
          <w:color w:val="37474F"/>
        </w:rPr>
        <w:t>•</w:t>
      </w:r>
      <w:r>
        <w:t>US-4: The security of regional allies of the United States, including Israel, remains outside the bargaining inventory of this Accord, and the framework architecture addresses regional fronts through the guarantor structure of Part XI rather than through any concession traded against them.</w:t>
      </w:r>
    </w:p>
    <w:p w14:paraId="6293CA00" w14:textId="77777777" w:rsidR="00CA7ABD" w:rsidRDefault="00000000">
      <w:pPr>
        <w:ind w:left="360"/>
        <w:rPr>
          <w:rFonts w:hint="eastAsia"/>
        </w:rPr>
      </w:pPr>
      <w:r>
        <w:rPr>
          <w:color w:val="37474F"/>
        </w:rPr>
        <w:t>•</w:t>
      </w:r>
      <w:r>
        <w:t>US-5: No payment of war reparations by the United States to Iran occurs under this Accord in any form labeled reparations, compensation, or damages.</w:t>
      </w:r>
    </w:p>
    <w:p w14:paraId="5AB9590F" w14:textId="77777777" w:rsidR="00CA7ABD" w:rsidRDefault="00000000">
      <w:pPr>
        <w:rPr>
          <w:rFonts w:hint="eastAsia"/>
        </w:rPr>
      </w:pPr>
      <w:r>
        <w:t>Registered Red Lines of the Islamic Republic of Iran:</w:t>
      </w:r>
    </w:p>
    <w:p w14:paraId="139A8658" w14:textId="77777777" w:rsidR="00CA7ABD" w:rsidRDefault="00000000">
      <w:pPr>
        <w:ind w:left="360"/>
        <w:rPr>
          <w:rFonts w:hint="eastAsia"/>
        </w:rPr>
      </w:pPr>
      <w:r>
        <w:rPr>
          <w:color w:val="37474F"/>
        </w:rPr>
        <w:t>•</w:t>
      </w:r>
      <w:r>
        <w:t>IR-1: Iran retains the inalienable right to the peaceful use of nuclear energy, including domestic enrichment within the permanent caps of Part V, and the framework architecture never orders the total dismantlement of the Iranian nuclear program.</w:t>
      </w:r>
    </w:p>
    <w:p w14:paraId="2A20950B" w14:textId="77777777" w:rsidR="00CA7ABD" w:rsidRDefault="00000000">
      <w:pPr>
        <w:ind w:left="360"/>
        <w:rPr>
          <w:rFonts w:hint="eastAsia"/>
        </w:rPr>
      </w:pPr>
      <w:r>
        <w:rPr>
          <w:color w:val="37474F"/>
        </w:rPr>
        <w:t>•</w:t>
      </w:r>
      <w:r>
        <w:t>IR-2: Enriched material remains on Iranian territory; the framework architecture down-blends it on site under international supervision and excludes any obligation of export or surrender of material abroad.</w:t>
      </w:r>
    </w:p>
    <w:p w14:paraId="3F028DE1" w14:textId="77777777" w:rsidR="00CA7ABD" w:rsidRDefault="00000000">
      <w:pPr>
        <w:ind w:left="360"/>
        <w:rPr>
          <w:rFonts w:hint="eastAsia"/>
        </w:rPr>
      </w:pPr>
      <w:r>
        <w:rPr>
          <w:color w:val="37474F"/>
        </w:rPr>
        <w:t>•</w:t>
      </w:r>
      <w:r>
        <w:t>IR-3: The sovereignty, territorial integrity, and political system of the Islamic Republic stand outside the scope of this Accord; the framework architecture codifies the No Regime Change Objective and excludes any instrument of internal political transformation.</w:t>
      </w:r>
    </w:p>
    <w:p w14:paraId="6009C422" w14:textId="77777777" w:rsidR="00CA7ABD" w:rsidRDefault="00000000">
      <w:pPr>
        <w:ind w:left="360"/>
        <w:rPr>
          <w:rFonts w:hint="eastAsia"/>
        </w:rPr>
      </w:pPr>
      <w:r>
        <w:rPr>
          <w:color w:val="37474F"/>
        </w:rPr>
        <w:t>•</w:t>
      </w:r>
      <w:r>
        <w:t>IR-4: Iran holds a recognized, institutionalized role in the administration of the Strait of Hormuz as a coastal state, and the post-war order does not restore the pre-war status quo without that recognition.</w:t>
      </w:r>
    </w:p>
    <w:p w14:paraId="71B62C8F" w14:textId="77777777" w:rsidR="00CA7ABD" w:rsidRDefault="00000000">
      <w:pPr>
        <w:ind w:left="360"/>
        <w:rPr>
          <w:rFonts w:hint="eastAsia"/>
        </w:rPr>
      </w:pPr>
      <w:r>
        <w:rPr>
          <w:color w:val="37474F"/>
        </w:rPr>
        <w:t>•</w:t>
      </w:r>
      <w:r>
        <w:t>IR-5: All sanctions terminate through the binding schedule of this Accord, frozen assets release in full, and reconstruction financing reaches the architecture that Annex RDF establishes.</w:t>
      </w:r>
    </w:p>
    <w:p w14:paraId="74D84C7A" w14:textId="77777777" w:rsidR="00CA7ABD" w:rsidRDefault="00000000">
      <w:pPr>
        <w:rPr>
          <w:rFonts w:hint="eastAsia"/>
        </w:rPr>
      </w:pPr>
      <w:r>
        <w:t>Registered Red Lines of the Sultanate of Oman:</w:t>
      </w:r>
    </w:p>
    <w:p w14:paraId="28FADF21" w14:textId="77777777" w:rsidR="00CA7ABD" w:rsidRDefault="00000000">
      <w:pPr>
        <w:ind w:left="360"/>
        <w:rPr>
          <w:rFonts w:hint="eastAsia"/>
        </w:rPr>
      </w:pPr>
      <w:r>
        <w:rPr>
          <w:color w:val="37474F"/>
        </w:rPr>
        <w:t>•</w:t>
      </w:r>
      <w:r>
        <w:t>OM-1: The southern corridor operates under Omani administration within Omani waters, and the sovereignty and neutrality of Oman stand unimpaired.</w:t>
      </w:r>
    </w:p>
    <w:p w14:paraId="3B4EC3BD" w14:textId="77777777" w:rsidR="00CA7ABD" w:rsidRDefault="00000000">
      <w:pPr>
        <w:ind w:left="360"/>
        <w:rPr>
          <w:rFonts w:hint="eastAsia"/>
        </w:rPr>
      </w:pPr>
      <w:r>
        <w:rPr>
          <w:color w:val="37474F"/>
        </w:rPr>
        <w:t>•</w:t>
      </w:r>
      <w:r>
        <w:t>OM-2: No arrangement militarizes Omani territory or imposes upon Oman any obligation to host foreign forces.</w:t>
      </w:r>
    </w:p>
    <w:p w14:paraId="57B7FFD4" w14:textId="77777777" w:rsidR="00CA7ABD" w:rsidRDefault="00000000">
      <w:pPr>
        <w:rPr>
          <w:rFonts w:hint="eastAsia"/>
        </w:rPr>
      </w:pPr>
      <w:r>
        <w:t>Registered Red Lines of the Facilitating Parties appear in Annex G and carry identical force.</w:t>
      </w:r>
    </w:p>
    <w:p w14:paraId="48DE3D82" w14:textId="77777777" w:rsidR="00CA7ABD" w:rsidRDefault="00000000">
      <w:pPr>
        <w:pStyle w:val="Heading2"/>
        <w:rPr>
          <w:rFonts w:hint="eastAsia"/>
        </w:rPr>
      </w:pPr>
      <w:r>
        <w:t>The Perimeter Test</w:t>
      </w:r>
    </w:p>
    <w:p w14:paraId="10EA87BC" w14:textId="77777777" w:rsidR="00CA7ABD" w:rsidRDefault="00000000">
      <w:pPr>
        <w:rPr>
          <w:rFonts w:hint="eastAsia"/>
        </w:rPr>
      </w:pPr>
      <w:r>
        <w:t>Every proposal, interpretation, amendment, and enforcement action within this Accord passes through the Perimeter Test: the Joint Implementation Commission checks the action against every registered Red Line. An action that crosses a Red Line exits the framework automatically and returns to the proposing body with a written statement of the line crossed. The Perimeter Test operates before adoption, never after. No Party trades a Red Line, and no organ of the Accord counts a Red Line as negotiable inventory.</w:t>
      </w:r>
    </w:p>
    <w:p w14:paraId="1065F32B" w14:textId="77777777" w:rsidR="00CA7ABD" w:rsidRDefault="00000000">
      <w:pPr>
        <w:pStyle w:val="Heading2"/>
        <w:rPr>
          <w:rFonts w:hint="eastAsia"/>
        </w:rPr>
      </w:pPr>
      <w:r>
        <w:t>Red Line Consultation</w:t>
      </w:r>
    </w:p>
    <w:p w14:paraId="322E711E" w14:textId="77777777" w:rsidR="00CA7ABD" w:rsidRDefault="00000000">
      <w:pPr>
        <w:rPr>
          <w:rFonts w:hint="eastAsia"/>
        </w:rPr>
      </w:pPr>
      <w:r>
        <w:t>Where an action approaches the perimeter without crossing it, the affected Party invokes Red Line Consultation. Consultation convenes within 72 hours at the level of the Permanent Coordination Council. The proposing body suspends the action pending consultation. Consultation concludes within 14 days with one of three outcomes: withdrawal of the action, modification within the perimeter, or referral to the Guarantor Matrix for political judgment.</w:t>
      </w:r>
    </w:p>
    <w:p w14:paraId="3AB66417" w14:textId="77777777" w:rsidR="00CA7ABD" w:rsidRDefault="00000000">
      <w:pPr>
        <w:pStyle w:val="Heading1"/>
        <w:rPr>
          <w:rFonts w:hint="eastAsia"/>
        </w:rPr>
      </w:pPr>
      <w:r>
        <w:t>The Architecture at a Glance</w:t>
      </w:r>
    </w:p>
    <w:p w14:paraId="022A982E" w14:textId="77777777" w:rsidR="00CA7ABD" w:rsidRDefault="00000000">
      <w:pPr>
        <w:rPr>
          <w:rFonts w:hint="eastAsia"/>
        </w:rPr>
      </w:pPr>
      <w:r>
        <w:t>This Accord builds one layer upon another. Each layer stands complete in itself, and each layer draws strength from the layers beneath it. The Partial Success Doctrine governs the whole: no single unresolved module invalidates the remainder of the framework.</w:t>
      </w:r>
    </w:p>
    <w:tbl>
      <w:tblPr>
        <w:tblW w:w="5000" w:type="pct"/>
        <w:tblInd w:w="-8"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994"/>
        <w:gridCol w:w="2641"/>
        <w:gridCol w:w="5591"/>
      </w:tblGrid>
      <w:tr w:rsidR="00CA7ABD" w14:paraId="190DA956" w14:textId="77777777">
        <w:tc>
          <w:tcPr>
            <w:tcW w:w="0" w:type="auto"/>
            <w:shd w:val="clear" w:color="auto" w:fill="37474F"/>
          </w:tcPr>
          <w:p w14:paraId="371CDDAD" w14:textId="77777777" w:rsidR="00CA7ABD" w:rsidRDefault="00000000">
            <w:pPr>
              <w:rPr>
                <w:rFonts w:hint="eastAsia"/>
              </w:rPr>
            </w:pPr>
            <w:r>
              <w:rPr>
                <w:b/>
                <w:color w:val="FFFFFF"/>
                <w:sz w:val="19"/>
              </w:rPr>
              <w:t>Layer</w:t>
            </w:r>
          </w:p>
        </w:tc>
        <w:tc>
          <w:tcPr>
            <w:tcW w:w="0" w:type="auto"/>
            <w:shd w:val="clear" w:color="auto" w:fill="37474F"/>
          </w:tcPr>
          <w:p w14:paraId="6970FBD5" w14:textId="77777777" w:rsidR="00CA7ABD" w:rsidRDefault="00000000">
            <w:pPr>
              <w:rPr>
                <w:rFonts w:hint="eastAsia"/>
              </w:rPr>
            </w:pPr>
            <w:r>
              <w:rPr>
                <w:b/>
                <w:color w:val="FFFFFF"/>
                <w:sz w:val="19"/>
              </w:rPr>
              <w:t>Instrument</w:t>
            </w:r>
          </w:p>
        </w:tc>
        <w:tc>
          <w:tcPr>
            <w:tcW w:w="0" w:type="auto"/>
            <w:shd w:val="clear" w:color="auto" w:fill="37474F"/>
          </w:tcPr>
          <w:p w14:paraId="2E79FDE3" w14:textId="77777777" w:rsidR="00CA7ABD" w:rsidRDefault="00000000">
            <w:pPr>
              <w:rPr>
                <w:rFonts w:hint="eastAsia"/>
              </w:rPr>
            </w:pPr>
            <w:r>
              <w:rPr>
                <w:b/>
                <w:color w:val="FFFFFF"/>
                <w:sz w:val="19"/>
              </w:rPr>
              <w:t>Function</w:t>
            </w:r>
          </w:p>
        </w:tc>
      </w:tr>
      <w:tr w:rsidR="00CA7ABD" w14:paraId="2533E3C8" w14:textId="77777777">
        <w:tc>
          <w:tcPr>
            <w:tcW w:w="0" w:type="auto"/>
          </w:tcPr>
          <w:p w14:paraId="3C2600BD" w14:textId="77777777" w:rsidR="00CA7ABD" w:rsidRDefault="00000000">
            <w:pPr>
              <w:rPr>
                <w:rFonts w:hint="eastAsia"/>
              </w:rPr>
            </w:pPr>
            <w:r>
              <w:rPr>
                <w:sz w:val="19"/>
              </w:rPr>
              <w:t>Layer Zero</w:t>
            </w:r>
          </w:p>
        </w:tc>
        <w:tc>
          <w:tcPr>
            <w:tcW w:w="0" w:type="auto"/>
          </w:tcPr>
          <w:p w14:paraId="18F72ADA" w14:textId="77777777" w:rsidR="00CA7ABD" w:rsidRDefault="00000000">
            <w:pPr>
              <w:rPr>
                <w:rFonts w:hint="eastAsia"/>
              </w:rPr>
            </w:pPr>
            <w:r>
              <w:rPr>
                <w:sz w:val="19"/>
              </w:rPr>
              <w:t>The Political Frame Protocol (Articles 1 to 6)</w:t>
            </w:r>
          </w:p>
        </w:tc>
        <w:tc>
          <w:tcPr>
            <w:tcW w:w="0" w:type="auto"/>
          </w:tcPr>
          <w:p w14:paraId="5D33BF04" w14:textId="77777777" w:rsidR="00CA7ABD" w:rsidRDefault="00000000">
            <w:pPr>
              <w:rPr>
                <w:rFonts w:hint="eastAsia"/>
              </w:rPr>
            </w:pPr>
            <w:r>
              <w:rPr>
                <w:sz w:val="19"/>
              </w:rPr>
              <w:t>One fact base; narrative sovereignty; every capital explains the settlement to its own audience in its own words</w:t>
            </w:r>
          </w:p>
        </w:tc>
      </w:tr>
      <w:tr w:rsidR="00CA7ABD" w14:paraId="7AD5DD58" w14:textId="77777777">
        <w:tc>
          <w:tcPr>
            <w:tcW w:w="0" w:type="auto"/>
            <w:shd w:val="clear" w:color="auto" w:fill="ECEFF1"/>
          </w:tcPr>
          <w:p w14:paraId="52B635A3" w14:textId="77777777" w:rsidR="00CA7ABD" w:rsidRDefault="00000000">
            <w:pPr>
              <w:rPr>
                <w:rFonts w:hint="eastAsia"/>
              </w:rPr>
            </w:pPr>
            <w:r>
              <w:rPr>
                <w:sz w:val="19"/>
              </w:rPr>
              <w:t>Layer One</w:t>
            </w:r>
          </w:p>
        </w:tc>
        <w:tc>
          <w:tcPr>
            <w:tcW w:w="0" w:type="auto"/>
            <w:shd w:val="clear" w:color="auto" w:fill="ECEFF1"/>
          </w:tcPr>
          <w:p w14:paraId="3334A115" w14:textId="77777777" w:rsidR="00CA7ABD" w:rsidRDefault="00000000">
            <w:pPr>
              <w:rPr>
                <w:rFonts w:hint="eastAsia"/>
              </w:rPr>
            </w:pPr>
            <w:r>
              <w:rPr>
                <w:sz w:val="19"/>
              </w:rPr>
              <w:t>The Final Status Treaty (Articles 7 to 44)</w:t>
            </w:r>
          </w:p>
        </w:tc>
        <w:tc>
          <w:tcPr>
            <w:tcW w:w="0" w:type="auto"/>
            <w:shd w:val="clear" w:color="auto" w:fill="ECEFF1"/>
          </w:tcPr>
          <w:p w14:paraId="05146791" w14:textId="77777777" w:rsidR="00CA7ABD" w:rsidRDefault="00000000">
            <w:pPr>
              <w:rPr>
                <w:rFonts w:hint="eastAsia"/>
              </w:rPr>
            </w:pPr>
            <w:r>
              <w:rPr>
                <w:sz w:val="19"/>
              </w:rPr>
              <w:t>Permanent settlement of war, sovereignty, withdrawal, nuclear status, Strait governance, fees, sanctions, assets, reconstruction, and regional fronts</w:t>
            </w:r>
          </w:p>
        </w:tc>
      </w:tr>
      <w:tr w:rsidR="00CA7ABD" w14:paraId="236818DB" w14:textId="77777777">
        <w:tc>
          <w:tcPr>
            <w:tcW w:w="0" w:type="auto"/>
          </w:tcPr>
          <w:p w14:paraId="79997798" w14:textId="77777777" w:rsidR="00CA7ABD" w:rsidRDefault="00000000">
            <w:pPr>
              <w:rPr>
                <w:rFonts w:hint="eastAsia"/>
              </w:rPr>
            </w:pPr>
            <w:r>
              <w:rPr>
                <w:sz w:val="19"/>
              </w:rPr>
              <w:t>Layer Two</w:t>
            </w:r>
          </w:p>
        </w:tc>
        <w:tc>
          <w:tcPr>
            <w:tcW w:w="0" w:type="auto"/>
          </w:tcPr>
          <w:p w14:paraId="0F8E0186" w14:textId="77777777" w:rsidR="00CA7ABD" w:rsidRDefault="00000000">
            <w:pPr>
              <w:rPr>
                <w:rFonts w:hint="eastAsia"/>
              </w:rPr>
            </w:pPr>
            <w:r>
              <w:rPr>
                <w:sz w:val="19"/>
              </w:rPr>
              <w:t>The Cothrom Verification Protocol (Articles 45 to 68)</w:t>
            </w:r>
          </w:p>
        </w:tc>
        <w:tc>
          <w:tcPr>
            <w:tcW w:w="0" w:type="auto"/>
          </w:tcPr>
          <w:p w14:paraId="55DD3C88" w14:textId="77777777" w:rsidR="00CA7ABD" w:rsidRDefault="00000000">
            <w:pPr>
              <w:rPr>
                <w:rFonts w:hint="eastAsia"/>
              </w:rPr>
            </w:pPr>
            <w:r>
              <w:rPr>
                <w:sz w:val="19"/>
              </w:rPr>
              <w:t>Reciprocal verification, graduated step-back, guaranteed earn-back; no snapback, no collapse dynamics</w:t>
            </w:r>
          </w:p>
        </w:tc>
      </w:tr>
      <w:tr w:rsidR="00CA7ABD" w14:paraId="683245D8" w14:textId="77777777">
        <w:tc>
          <w:tcPr>
            <w:tcW w:w="0" w:type="auto"/>
            <w:shd w:val="clear" w:color="auto" w:fill="ECEFF1"/>
          </w:tcPr>
          <w:p w14:paraId="6B8E4F2A" w14:textId="77777777" w:rsidR="00CA7ABD" w:rsidRDefault="00000000">
            <w:pPr>
              <w:rPr>
                <w:rFonts w:hint="eastAsia"/>
              </w:rPr>
            </w:pPr>
            <w:r>
              <w:rPr>
                <w:sz w:val="19"/>
              </w:rPr>
              <w:t>Layer Three</w:t>
            </w:r>
          </w:p>
        </w:tc>
        <w:tc>
          <w:tcPr>
            <w:tcW w:w="0" w:type="auto"/>
            <w:shd w:val="clear" w:color="auto" w:fill="ECEFF1"/>
          </w:tcPr>
          <w:p w14:paraId="4D7FF4A5" w14:textId="77777777" w:rsidR="00CA7ABD" w:rsidRDefault="00000000">
            <w:pPr>
              <w:rPr>
                <w:rFonts w:hint="eastAsia"/>
              </w:rPr>
            </w:pPr>
            <w:r>
              <w:rPr>
                <w:sz w:val="19"/>
              </w:rPr>
              <w:t>The Implementation and Enforcement Layer (Articles 69 to 80)</w:t>
            </w:r>
          </w:p>
        </w:tc>
        <w:tc>
          <w:tcPr>
            <w:tcW w:w="0" w:type="auto"/>
            <w:shd w:val="clear" w:color="auto" w:fill="ECEFF1"/>
          </w:tcPr>
          <w:p w14:paraId="40D9377B" w14:textId="77777777" w:rsidR="00CA7ABD" w:rsidRDefault="00000000">
            <w:pPr>
              <w:rPr>
                <w:rFonts w:hint="eastAsia"/>
              </w:rPr>
            </w:pPr>
            <w:r>
              <w:rPr>
                <w:sz w:val="19"/>
              </w:rPr>
              <w:t>The Executive Mechanism, the synchronized calendar, the Reciprocity Ledger, dispute resolution</w:t>
            </w:r>
          </w:p>
        </w:tc>
      </w:tr>
      <w:tr w:rsidR="00CA7ABD" w14:paraId="7BC26D88" w14:textId="77777777">
        <w:tc>
          <w:tcPr>
            <w:tcW w:w="0" w:type="auto"/>
          </w:tcPr>
          <w:p w14:paraId="6BAE5957" w14:textId="77777777" w:rsidR="00CA7ABD" w:rsidRDefault="00000000">
            <w:pPr>
              <w:rPr>
                <w:rFonts w:hint="eastAsia"/>
              </w:rPr>
            </w:pPr>
            <w:r>
              <w:rPr>
                <w:sz w:val="19"/>
              </w:rPr>
              <w:t>Layer Four</w:t>
            </w:r>
          </w:p>
        </w:tc>
        <w:tc>
          <w:tcPr>
            <w:tcW w:w="0" w:type="auto"/>
          </w:tcPr>
          <w:p w14:paraId="1AA651B3" w14:textId="77777777" w:rsidR="00CA7ABD" w:rsidRDefault="00000000">
            <w:pPr>
              <w:rPr>
                <w:rFonts w:hint="eastAsia"/>
              </w:rPr>
            </w:pPr>
            <w:r>
              <w:rPr>
                <w:sz w:val="19"/>
              </w:rPr>
              <w:t>The International Ratification Layer (Articles 81 to 90)</w:t>
            </w:r>
          </w:p>
        </w:tc>
        <w:tc>
          <w:tcPr>
            <w:tcW w:w="0" w:type="auto"/>
          </w:tcPr>
          <w:p w14:paraId="7998F380" w14:textId="77777777" w:rsidR="00CA7ABD" w:rsidRDefault="00000000">
            <w:pPr>
              <w:rPr>
                <w:rFonts w:hint="eastAsia"/>
              </w:rPr>
            </w:pPr>
            <w:r>
              <w:rPr>
                <w:sz w:val="19"/>
              </w:rPr>
              <w:t>United Nations Security Council endorsement, depositary, accession, amendment, languages, perpetuity</w:t>
            </w:r>
          </w:p>
        </w:tc>
      </w:tr>
      <w:tr w:rsidR="00CA7ABD" w14:paraId="7A5809AB" w14:textId="77777777">
        <w:tc>
          <w:tcPr>
            <w:tcW w:w="0" w:type="auto"/>
            <w:shd w:val="clear" w:color="auto" w:fill="ECEFF1"/>
          </w:tcPr>
          <w:p w14:paraId="6CF0FA4E" w14:textId="77777777" w:rsidR="00CA7ABD" w:rsidRDefault="00000000">
            <w:pPr>
              <w:rPr>
                <w:rFonts w:hint="eastAsia"/>
              </w:rPr>
            </w:pPr>
            <w:r>
              <w:rPr>
                <w:sz w:val="19"/>
              </w:rPr>
              <w:t>Annexes</w:t>
            </w:r>
          </w:p>
        </w:tc>
        <w:tc>
          <w:tcPr>
            <w:tcW w:w="0" w:type="auto"/>
            <w:shd w:val="clear" w:color="auto" w:fill="ECEFF1"/>
          </w:tcPr>
          <w:p w14:paraId="73BF84EF" w14:textId="77777777" w:rsidR="00CA7ABD" w:rsidRDefault="00000000">
            <w:pPr>
              <w:rPr>
                <w:rFonts w:hint="eastAsia"/>
              </w:rPr>
            </w:pPr>
            <w:r>
              <w:rPr>
                <w:sz w:val="19"/>
              </w:rPr>
              <w:t>Annexes A through G</w:t>
            </w:r>
          </w:p>
        </w:tc>
        <w:tc>
          <w:tcPr>
            <w:tcW w:w="0" w:type="auto"/>
            <w:shd w:val="clear" w:color="auto" w:fill="ECEFF1"/>
          </w:tcPr>
          <w:p w14:paraId="155BB5BE" w14:textId="77777777" w:rsidR="00CA7ABD" w:rsidRDefault="00000000">
            <w:pPr>
              <w:rPr>
                <w:rFonts w:hint="eastAsia"/>
              </w:rPr>
            </w:pPr>
            <w:r>
              <w:rPr>
                <w:sz w:val="19"/>
              </w:rPr>
              <w:t>Operative technical law: corridors, nuclear verification, sanctions schedule, fund charters, the full Cothrom Method, the Reconstruction and Development Fund Protocol, the full Red Lines Register</w:t>
            </w:r>
          </w:p>
        </w:tc>
      </w:tr>
    </w:tbl>
    <w:p w14:paraId="1E77E88C" w14:textId="77777777" w:rsidR="00CA7ABD" w:rsidRDefault="00000000">
      <w:pPr>
        <w:rPr>
          <w:rFonts w:hint="eastAsia"/>
        </w:rPr>
      </w:pPr>
      <w:r>
        <w:t>The framework architecture treats this Accord as a permanent instrument. It carries no sunset. It enters dormancy only through the defined act of the Nofade provisions, and it reconstitutes upon the filing of reactivation instruments. The horizon of this Accord is infinite by design: the architecture plans not for a world of perfect compliance, but for a world of human fallibility, political friction, and the enduring possibility of recovery.</w:t>
      </w:r>
    </w:p>
    <w:p w14:paraId="79210D69" w14:textId="77777777" w:rsidR="00CA7ABD" w:rsidRDefault="00CA7ABD">
      <w:pPr>
        <w:pageBreakBefore/>
        <w:rPr>
          <w:rFonts w:hint="eastAsia"/>
        </w:rPr>
      </w:pPr>
    </w:p>
    <w:p w14:paraId="040C6B16" w14:textId="77777777" w:rsidR="00CA7ABD" w:rsidRDefault="00000000">
      <w:pPr>
        <w:pStyle w:val="Heading1"/>
        <w:rPr>
          <w:rFonts w:hint="eastAsia"/>
        </w:rPr>
      </w:pPr>
      <w:r>
        <w:t>LAYER ZERO: THE POLITICAL FRAME PROTOCOL</w:t>
      </w:r>
    </w:p>
    <w:p w14:paraId="6B74DADE" w14:textId="77777777" w:rsidR="00CA7ABD" w:rsidRDefault="00000000">
      <w:pPr>
        <w:pStyle w:val="Quote"/>
        <w:rPr>
          <w:rFonts w:hint="eastAsia"/>
        </w:rPr>
      </w:pPr>
      <w:r>
        <w:t>The parties share one set of facts. Each party tells those facts to its own people in its own way. The framework protects both.</w:t>
      </w:r>
    </w:p>
    <w:p w14:paraId="7CFD7978" w14:textId="77777777" w:rsidR="00CA7ABD" w:rsidRDefault="00000000">
      <w:pPr>
        <w:pStyle w:val="Heading2"/>
        <w:rPr>
          <w:rFonts w:hint="eastAsia"/>
        </w:rPr>
      </w:pPr>
      <w:r>
        <w:t>Article 1: The Single Fact Base</w:t>
      </w:r>
    </w:p>
    <w:p w14:paraId="2329F67E" w14:textId="77777777" w:rsidR="00CA7ABD" w:rsidRDefault="00000000">
      <w:pPr>
        <w:rPr>
          <w:rFonts w:hint="eastAsia"/>
        </w:rPr>
      </w:pPr>
      <w:r>
        <w:t>1.1 The Shared Fact Ledger constitutes the single factual base of this Accord. All organs of the Accord, all verification products, and all public dashboards draw their facts from the Ledger and from the Shared Digital Registry that anchors it.</w:t>
      </w:r>
    </w:p>
    <w:p w14:paraId="1BE20A08" w14:textId="77777777" w:rsidR="00CA7ABD" w:rsidRDefault="00000000">
      <w:pPr>
        <w:rPr>
          <w:rFonts w:hint="eastAsia"/>
        </w:rPr>
      </w:pPr>
      <w:r>
        <w:t>1.2 The framework architecture publishes identical data to all Parties with identical latency. No Party receives preferential access, earlier notification, or exclusive feeds. Data symmetry is the foundation of narrative symmetry.</w:t>
      </w:r>
    </w:p>
    <w:p w14:paraId="49A7889B" w14:textId="77777777" w:rsidR="00CA7ABD" w:rsidRDefault="00000000">
      <w:pPr>
        <w:rPr>
          <w:rFonts w:hint="eastAsia"/>
        </w:rPr>
      </w:pPr>
      <w:r>
        <w:t>1.3 No Party conditions performance under this Accord upon any other Party adopting its characterization of the Ledger. The Accord binds conduct, not belief.</w:t>
      </w:r>
    </w:p>
    <w:p w14:paraId="3B3088E3" w14:textId="77777777" w:rsidR="00CA7ABD" w:rsidRDefault="00000000">
      <w:pPr>
        <w:pStyle w:val="Heading2"/>
        <w:rPr>
          <w:rFonts w:hint="eastAsia"/>
        </w:rPr>
      </w:pPr>
      <w:r>
        <w:t>Article 2: Narrative Sovereignty</w:t>
      </w:r>
    </w:p>
    <w:p w14:paraId="5000397E" w14:textId="77777777" w:rsidR="00CA7ABD" w:rsidRDefault="00000000">
      <w:pPr>
        <w:rPr>
          <w:rFonts w:hint="eastAsia"/>
        </w:rPr>
      </w:pPr>
      <w:r>
        <w:t>2.1 Each Party holds sovereign authority over the presentation of this Accord to its own domestic audience. The framework architecture protects this authority as the Narrative Sovereignty Doctrine: the same facts support divergent narratives, and the divergence itself forms part of the settlement.</w:t>
      </w:r>
    </w:p>
    <w:p w14:paraId="33AA6620" w14:textId="77777777" w:rsidR="00CA7ABD" w:rsidRDefault="00000000">
      <w:pPr>
        <w:rPr>
          <w:rFonts w:hint="eastAsia"/>
        </w:rPr>
      </w:pPr>
      <w:r>
        <w:t>2.2 Authorized framings. The following framings coexist under this Accord, each consistent with the Ledger, none binding on any other Party:</w:t>
      </w:r>
    </w:p>
    <w:p w14:paraId="2B1C9AD0" w14:textId="77777777" w:rsidR="00CA7ABD" w:rsidRDefault="00000000">
      <w:pPr>
        <w:ind w:left="360"/>
        <w:rPr>
          <w:rFonts w:hint="eastAsia"/>
        </w:rPr>
      </w:pPr>
      <w:r>
        <w:rPr>
          <w:color w:val="37474F"/>
        </w:rPr>
        <w:t>•</w:t>
      </w:r>
      <w:r>
        <w:t>Washington framing: the Accord constitutes the permanent, verified denial of any Iranian nuclear weapon; the restoration of free, toll-free navigation; the end of the blockade on terms of verified performance; the protection of the American taxpayer through a reconstruction architecture that routes third-party capital, not United States government cash; and the conversion of military leverage into a permanent enforcement engine that reactivates measures proportionately upon violation.</w:t>
      </w:r>
    </w:p>
    <w:p w14:paraId="036BF874" w14:textId="77777777" w:rsidR="00CA7ABD" w:rsidRDefault="00000000">
      <w:pPr>
        <w:ind w:left="360"/>
        <w:rPr>
          <w:rFonts w:hint="eastAsia"/>
        </w:rPr>
      </w:pPr>
      <w:r>
        <w:rPr>
          <w:color w:val="37474F"/>
        </w:rPr>
        <w:t>•</w:t>
      </w:r>
      <w:r>
        <w:t>Tehran framing: the Accord constitutes the recognition of Iran as a sovereign equal; the preservation of the peaceful nuclear program and of enrichment on Iranian soil; the termination of all sanctions and the release of all frozen assets; the institutionalization of the Iranian coastal-state role in the Strait; the withdrawal of United States forces from the proximity of Iran; and the financing of national reconstruction at the scale the Memorandum contemplates.</w:t>
      </w:r>
    </w:p>
    <w:p w14:paraId="60273A47" w14:textId="77777777" w:rsidR="00CA7ABD" w:rsidRDefault="00000000">
      <w:pPr>
        <w:ind w:left="360"/>
        <w:rPr>
          <w:rFonts w:hint="eastAsia"/>
        </w:rPr>
      </w:pPr>
      <w:r>
        <w:rPr>
          <w:color w:val="37474F"/>
        </w:rPr>
        <w:t>•</w:t>
      </w:r>
      <w:r>
        <w:t>Muscat framing: the Accord constitutes the vindication of Omani neutrality and mediation; the confirmation of Omani administration of the southern corridor; and the conversion of the Strait into a jointly governed waterway modeled on the cooperative straits of the world.</w:t>
      </w:r>
    </w:p>
    <w:p w14:paraId="5BF3A236" w14:textId="77777777" w:rsidR="00CA7ABD" w:rsidRDefault="00000000">
      <w:pPr>
        <w:ind w:left="360"/>
        <w:rPr>
          <w:rFonts w:hint="eastAsia"/>
        </w:rPr>
      </w:pPr>
      <w:r>
        <w:rPr>
          <w:color w:val="37474F"/>
        </w:rPr>
        <w:t>•</w:t>
      </w:r>
      <w:r>
        <w:t>Islamabad framing: the Accord constitutes the success of Pakistani mediation from the Memorandum to the final settlement, and the elevation of Pakistan as the depositary of a permanent regional peace architecture.</w:t>
      </w:r>
    </w:p>
    <w:p w14:paraId="2CA2EB74" w14:textId="77777777" w:rsidR="00CA7ABD" w:rsidRDefault="00000000">
      <w:pPr>
        <w:ind w:left="360"/>
        <w:rPr>
          <w:rFonts w:hint="eastAsia"/>
        </w:rPr>
      </w:pPr>
      <w:r>
        <w:rPr>
          <w:color w:val="37474F"/>
        </w:rPr>
        <w:t>•</w:t>
      </w:r>
      <w:r>
        <w:t>Doha framing: the Accord constitutes the confirmation of the State of Qatar as the trusted neutral financial intermediary of the region, administering the escrow and the reconstruction funds with technical integrity.</w:t>
      </w:r>
    </w:p>
    <w:p w14:paraId="012F81F5" w14:textId="77777777" w:rsidR="00CA7ABD" w:rsidRDefault="00000000">
      <w:pPr>
        <w:ind w:left="360"/>
        <w:rPr>
          <w:rFonts w:hint="eastAsia"/>
        </w:rPr>
      </w:pPr>
      <w:r>
        <w:rPr>
          <w:color w:val="37474F"/>
        </w:rPr>
        <w:t>•</w:t>
      </w:r>
      <w:r>
        <w:t>Gulf capitals framing: the Accord constitutes a regionally owned security framework in which the coastal states govern their own waterway, reconstruction flows stabilize the neighborhood, and the Gulf states lead the funding architecture as principal contributors and governors.</w:t>
      </w:r>
    </w:p>
    <w:p w14:paraId="16994C0E" w14:textId="77777777" w:rsidR="00CA7ABD" w:rsidRDefault="00000000">
      <w:pPr>
        <w:ind w:left="360"/>
        <w:rPr>
          <w:rFonts w:hint="eastAsia"/>
        </w:rPr>
      </w:pPr>
      <w:r>
        <w:rPr>
          <w:color w:val="37474F"/>
        </w:rPr>
        <w:t>•</w:t>
      </w:r>
      <w:r>
        <w:t>Jerusalem framing: the Accord constitutes the verified denial of an Iranian nuclear weapon and the codified commitment regarding southern Lebanon under Resolution 1701, with the United States guaranteeing the architecture with its full diplomatic and security leverage.</w:t>
      </w:r>
    </w:p>
    <w:p w14:paraId="12076379" w14:textId="77777777" w:rsidR="00CA7ABD" w:rsidRDefault="00000000">
      <w:pPr>
        <w:ind w:left="360"/>
        <w:rPr>
          <w:rFonts w:hint="eastAsia"/>
        </w:rPr>
      </w:pPr>
      <w:r>
        <w:rPr>
          <w:color w:val="37474F"/>
        </w:rPr>
        <w:t>•</w:t>
      </w:r>
      <w:r>
        <w:t>European, Chinese, Russian, Indian, and other contributor framings: the Accord constitutes the reopening of the energy artery of the world economy and a bankable, audited reconstruction market governed by international standards.</w:t>
      </w:r>
    </w:p>
    <w:p w14:paraId="407FC248" w14:textId="77777777" w:rsidR="00CA7ABD" w:rsidRDefault="00000000">
      <w:pPr>
        <w:rPr>
          <w:rFonts w:hint="eastAsia"/>
        </w:rPr>
      </w:pPr>
      <w:r>
        <w:t>2.3 The Joint Implementation Commission maintains a public Record of Framings. Each Party files its official framing with the Depositary within 30 days of signature. A framing remains valid so long as the Ledger supports it. A framing that contradicts the Ledger receives a technical note from the Commission, and the note publishes alongside the framing. The Commission never edits, approves, or censors a framing.</w:t>
      </w:r>
    </w:p>
    <w:p w14:paraId="004D1186" w14:textId="77777777" w:rsidR="00CA7ABD" w:rsidRDefault="00000000">
      <w:pPr>
        <w:pStyle w:val="Heading2"/>
        <w:rPr>
          <w:rFonts w:hint="eastAsia"/>
        </w:rPr>
      </w:pPr>
      <w:r>
        <w:t>Article 3: The No-Disavowal Covenant</w:t>
      </w:r>
    </w:p>
    <w:p w14:paraId="27A5F6E1" w14:textId="77777777" w:rsidR="00CA7ABD" w:rsidRDefault="00000000">
      <w:pPr>
        <w:rPr>
          <w:rFonts w:hint="eastAsia"/>
        </w:rPr>
      </w:pPr>
      <w:r>
        <w:t>3.1 No organ of this Accord, and no Party acting through an organ, characterizes the domestic presentation of another Party as false, perfidious, or in bad faith, provided the presentation remains consistent with the Ledger.</w:t>
      </w:r>
    </w:p>
    <w:p w14:paraId="24FCEE3B" w14:textId="77777777" w:rsidR="00CA7ABD" w:rsidRDefault="00000000">
      <w:pPr>
        <w:rPr>
          <w:rFonts w:hint="eastAsia"/>
        </w:rPr>
      </w:pPr>
      <w:r>
        <w:t>3.2 A Party that experiences domestic political difficulty from the framing of another Party raises the matter through the Narrative Consultation Channel of the Permanent Coordination Council, never through public repudiation of the Accord itself. The channel convenes within seven days and concludes with a joint technical statement of the underlying facts, attributed to the Commission rather than to either Party.</w:t>
      </w:r>
    </w:p>
    <w:p w14:paraId="164C2328" w14:textId="77777777" w:rsidR="00CA7ABD" w:rsidRDefault="00000000">
      <w:pPr>
        <w:rPr>
          <w:rFonts w:hint="eastAsia"/>
        </w:rPr>
      </w:pPr>
      <w:r>
        <w:t>3.3 Leaders retain full freedom to claim victory at home. The framework architecture treats victory claims as symmetric entitlements. A claim of victory by one Party does not constitute a concession by the other, and no victory claim alters any obligation, schedule, or verification standard of this Accord.</w:t>
      </w:r>
    </w:p>
    <w:p w14:paraId="01ED6138" w14:textId="77777777" w:rsidR="00CA7ABD" w:rsidRDefault="00000000">
      <w:pPr>
        <w:pStyle w:val="Heading2"/>
        <w:rPr>
          <w:rFonts w:hint="eastAsia"/>
        </w:rPr>
      </w:pPr>
      <w:r>
        <w:t>Article 4: The Dignity and Respect Provisions</w:t>
      </w:r>
    </w:p>
    <w:p w14:paraId="0AB750DA" w14:textId="77777777" w:rsidR="00CA7ABD" w:rsidRDefault="00000000">
      <w:pPr>
        <w:rPr>
          <w:rFonts w:hint="eastAsia"/>
        </w:rPr>
      </w:pPr>
      <w:r>
        <w:t>4.1 The era of threats and insults closes with the entry into force of this Accord. The framework architecture excludes threats of force, threats of economic ruin, and derogation of the leadership, faith, or national symbols of any Party from the conduct of relations among the Parties.</w:t>
      </w:r>
    </w:p>
    <w:p w14:paraId="35A574D2" w14:textId="77777777" w:rsidR="00CA7ABD" w:rsidRDefault="00000000">
      <w:pPr>
        <w:rPr>
          <w:rFonts w:hint="eastAsia"/>
        </w:rPr>
      </w:pPr>
      <w:r>
        <w:t>4.2 Official communications between the Parties observe the Standing Courtesy Protocol: communications route through the Shared Digital Registry or the diplomatic channel, carry neutral language, and receive acknowledgment within 24 hours.</w:t>
      </w:r>
    </w:p>
    <w:p w14:paraId="277F5A8C" w14:textId="77777777" w:rsidR="00CA7ABD" w:rsidRDefault="00000000">
      <w:pPr>
        <w:rPr>
          <w:rFonts w:hint="eastAsia"/>
        </w:rPr>
      </w:pPr>
      <w:r>
        <w:t>4.3 The framework architecture excludes the characterization of any Party's constitutional order as a negotiating object. The No Regime Change Objective of Article 14 operates as law, and public advocacy of the overthrow of the government of a Party by an organ of this Accord constitutes a Tier 1 event under the Cothrom Protocol.</w:t>
      </w:r>
    </w:p>
    <w:p w14:paraId="5BC1753D" w14:textId="77777777" w:rsidR="00CA7ABD" w:rsidRDefault="00000000">
      <w:pPr>
        <w:pStyle w:val="Heading2"/>
        <w:rPr>
          <w:rFonts w:hint="eastAsia"/>
        </w:rPr>
      </w:pPr>
      <w:r>
        <w:t>Article 5: The Political Impossibility Doctrine</w:t>
      </w:r>
    </w:p>
    <w:p w14:paraId="27BB90D5" w14:textId="77777777" w:rsidR="00CA7ABD" w:rsidRDefault="00000000">
      <w:pPr>
        <w:rPr>
          <w:rFonts w:hint="eastAsia"/>
        </w:rPr>
      </w:pPr>
      <w:r>
        <w:t>5.1 The Accord codifies the domestic constraints of each Party as design parameters, not as defects. The following constraints stand registered and binding upon the drafting and interpretation of every organ:</w:t>
      </w:r>
    </w:p>
    <w:p w14:paraId="61B015E4" w14:textId="77777777" w:rsidR="00CA7ABD" w:rsidRDefault="00000000">
      <w:pPr>
        <w:ind w:left="360"/>
        <w:rPr>
          <w:rFonts w:hint="eastAsia"/>
        </w:rPr>
      </w:pPr>
      <w:r>
        <w:rPr>
          <w:color w:val="37474F"/>
        </w:rPr>
        <w:t>•</w:t>
      </w:r>
      <w:r>
        <w:t>Washington constraint: no direct United States government cash transfers to Iran; no instrument styled as reparations; congressional statutes addressed through the best-efforts and sunset mechanism of Part VIII rather than through promises the Executive lacks the power to keep alone.</w:t>
      </w:r>
    </w:p>
    <w:p w14:paraId="3B44B5DA" w14:textId="77777777" w:rsidR="00CA7ABD" w:rsidRDefault="00000000">
      <w:pPr>
        <w:ind w:left="360"/>
        <w:rPr>
          <w:rFonts w:hint="eastAsia"/>
        </w:rPr>
      </w:pPr>
      <w:r>
        <w:rPr>
          <w:color w:val="37474F"/>
        </w:rPr>
        <w:t>•</w:t>
      </w:r>
      <w:r>
        <w:t>Tehran constraint: no export of enriched material from Iranian territory; no abandonment of enrichment as such; no instrument that reads as surrender, tutelage, or external governance of Iranian internal affairs.</w:t>
      </w:r>
    </w:p>
    <w:p w14:paraId="560146DC" w14:textId="77777777" w:rsidR="00CA7ABD" w:rsidRDefault="00000000">
      <w:pPr>
        <w:ind w:left="360"/>
        <w:rPr>
          <w:rFonts w:hint="eastAsia"/>
        </w:rPr>
      </w:pPr>
      <w:r>
        <w:rPr>
          <w:color w:val="37474F"/>
        </w:rPr>
        <w:t>•</w:t>
      </w:r>
      <w:r>
        <w:t>Muscat constraint: no militarization of Omani soil; no arrangement that compromises the neutrality that gives Omani mediation its value.</w:t>
      </w:r>
    </w:p>
    <w:p w14:paraId="0A083786" w14:textId="77777777" w:rsidR="00CA7ABD" w:rsidRDefault="00000000">
      <w:pPr>
        <w:rPr>
          <w:rFonts w:hint="eastAsia"/>
        </w:rPr>
      </w:pPr>
      <w:r>
        <w:t>5.2 Where a proposal collides with a registered constraint, the Perimeter Test returns the proposal for redesign. The framework treats constraint collisions as engineering problems, never as pretexts for escalation.</w:t>
      </w:r>
    </w:p>
    <w:p w14:paraId="7846BBBC" w14:textId="77777777" w:rsidR="00CA7ABD" w:rsidRDefault="00000000">
      <w:pPr>
        <w:pStyle w:val="Heading2"/>
        <w:rPr>
          <w:rFonts w:hint="eastAsia"/>
        </w:rPr>
      </w:pPr>
      <w:r>
        <w:t>Article 6: The Separate Podiums, Shared Facts Rule</w:t>
      </w:r>
    </w:p>
    <w:p w14:paraId="4C9D1402" w14:textId="77777777" w:rsidR="00CA7ABD" w:rsidRDefault="00000000">
      <w:pPr>
        <w:rPr>
          <w:rFonts w:hint="eastAsia"/>
        </w:rPr>
      </w:pPr>
      <w:r>
        <w:t>6.1 The Parties hold no joint victory press conference. Each Party addresses its own audience from its own podium, in its own language, on its own schedule. The Commission publishes the Ledger and the signature record, and the podiums draw from that common record.</w:t>
      </w:r>
    </w:p>
    <w:p w14:paraId="41155C2E" w14:textId="77777777" w:rsidR="00CA7ABD" w:rsidRDefault="00000000">
      <w:pPr>
        <w:rPr>
          <w:rFonts w:hint="eastAsia"/>
        </w:rPr>
      </w:pPr>
      <w:r>
        <w:t>6.2 Signature executes electronically or in person, at the election of each signatory, consistent with the digital signature practice the Parties adopted for the Memorandum. Each signature carries identical legal force regardless of the manner of execution.</w:t>
      </w:r>
    </w:p>
    <w:p w14:paraId="6B7E272D" w14:textId="77777777" w:rsidR="00CA7ABD" w:rsidRDefault="00000000">
      <w:pPr>
        <w:rPr>
          <w:rFonts w:hint="eastAsia"/>
        </w:rPr>
      </w:pPr>
      <w:r>
        <w:t>6.3 The Depositary publishes the authentic texts simultaneously in English, Farsi, and Arabic. No Party publishes a summary styled as the sole authoritative account of the Accord; summaries publish as national framings under Article 2.</w:t>
      </w:r>
    </w:p>
    <w:p w14:paraId="61B1DAB6" w14:textId="77777777" w:rsidR="00CA7ABD" w:rsidRDefault="00CA7ABD">
      <w:pPr>
        <w:pageBreakBefore/>
        <w:rPr>
          <w:rFonts w:hint="eastAsia"/>
        </w:rPr>
      </w:pPr>
    </w:p>
    <w:p w14:paraId="7F207193" w14:textId="77777777" w:rsidR="00CA7ABD" w:rsidRDefault="00000000">
      <w:pPr>
        <w:pStyle w:val="Heading1"/>
        <w:rPr>
          <w:rFonts w:hint="eastAsia"/>
        </w:rPr>
      </w:pPr>
      <w:r>
        <w:t>LAYER ONE: THE FINAL STATUS TREATY</w:t>
      </w:r>
    </w:p>
    <w:p w14:paraId="1AB1FF1A" w14:textId="77777777" w:rsidR="00CA7ABD" w:rsidRDefault="00000000">
      <w:pPr>
        <w:pStyle w:val="Quote"/>
        <w:rPr>
          <w:rFonts w:hint="eastAsia"/>
        </w:rPr>
      </w:pPr>
      <w:r>
        <w:t>The master settlement. This layer supersedes the Islamabad Memorandum and resolves permanently the disputes that the Memorandum deferred.</w:t>
      </w:r>
    </w:p>
    <w:p w14:paraId="39945519" w14:textId="77777777" w:rsidR="00CA7ABD" w:rsidRDefault="00000000">
      <w:pPr>
        <w:pStyle w:val="Heading1"/>
        <w:rPr>
          <w:rFonts w:hint="eastAsia"/>
        </w:rPr>
      </w:pPr>
      <w:r>
        <w:t>PART I: FOUNDATIONS</w:t>
      </w:r>
    </w:p>
    <w:p w14:paraId="0A9172F5" w14:textId="77777777" w:rsidR="00CA7ABD" w:rsidRDefault="00000000">
      <w:pPr>
        <w:pStyle w:val="Heading2"/>
        <w:rPr>
          <w:rFonts w:hint="eastAsia"/>
        </w:rPr>
      </w:pPr>
      <w:r>
        <w:t>Article 7: Establishment, Purpose, and Scope</w:t>
      </w:r>
    </w:p>
    <w:p w14:paraId="08F3D070" w14:textId="77777777" w:rsidR="00CA7ABD" w:rsidRDefault="00000000">
      <w:pPr>
        <w:rPr>
          <w:rFonts w:hint="eastAsia"/>
        </w:rPr>
      </w:pPr>
      <w:r>
        <w:t>7.1 Establishment. This Treaty establishes the permanent peace architecture between the Islamic Republic of Iran and the United States of America, with the participation of the Facilitating Parties, and supersedes the Islamabad Memorandum of June 2026 upon entry into force. Commitments the Memorandum records as performed remain performed; commitments the Memorandum deferred, this Treaty settles.</w:t>
      </w:r>
    </w:p>
    <w:p w14:paraId="0C900B58" w14:textId="77777777" w:rsidR="00CA7ABD" w:rsidRDefault="00000000">
      <w:pPr>
        <w:rPr>
          <w:rFonts w:hint="eastAsia"/>
        </w:rPr>
      </w:pPr>
      <w:r>
        <w:t>7.2 Purpose. The Treaty terminates the war permanently, restores and secures navigation through the Strait of Hormuz, forecloses every pathway to an Iranian nuclear weapon while preserving the peaceful Iranian nuclear program, terminates the sanctions architecture on a binding schedule, releases frozen assets, establishes the reconstruction architecture, and settles the regional fronts through the guarantor structure of Part XI.</w:t>
      </w:r>
    </w:p>
    <w:p w14:paraId="0D0FDA5B" w14:textId="77777777" w:rsidR="00CA7ABD" w:rsidRDefault="00000000">
      <w:pPr>
        <w:rPr>
          <w:rFonts w:hint="eastAsia"/>
        </w:rPr>
      </w:pPr>
      <w:r>
        <w:t>7.3 Geographic scope. The Treaty operates worldwide as to obligations of the Parties, and designates the Strait of Hormuz Governance Area per the coordinates of Annex A for the maritime regime.</w:t>
      </w:r>
    </w:p>
    <w:p w14:paraId="34388F0E" w14:textId="77777777" w:rsidR="00CA7ABD" w:rsidRDefault="00000000">
      <w:pPr>
        <w:rPr>
          <w:rFonts w:hint="eastAsia"/>
        </w:rPr>
      </w:pPr>
      <w:r>
        <w:t>7.4 Functional scope. The Treaty governs: cessation of hostilities; sovereignty and non-interference; military disengagement; nuclear final status; Strait governance and the fees resolution; sanctions termination; frozen assets; reconstruction; regional de-escalation; humanitarian protection; and the verification, implementation, and ratification architecture of Layers Two through Four.</w:t>
      </w:r>
    </w:p>
    <w:p w14:paraId="78D4D630" w14:textId="77777777" w:rsidR="00CA7ABD" w:rsidRDefault="00000000">
      <w:pPr>
        <w:rPr>
          <w:rFonts w:hint="eastAsia"/>
        </w:rPr>
      </w:pPr>
      <w:r>
        <w:t>7.5 What this Treaty does not do. The Treaty does not adjudicate history, does not award reparations in either direction, does not alter the constitutional order of any Party, does not resolve the Iranian ballistic missile file, does not establish diplomatic relations between the Principal Parties, and does not prejudice the legal position of any Party on any matter outside its functional scope. Article 43 firewalls the excluded files.</w:t>
      </w:r>
    </w:p>
    <w:p w14:paraId="1829E1EE" w14:textId="77777777" w:rsidR="00CA7ABD" w:rsidRDefault="00000000">
      <w:pPr>
        <w:pStyle w:val="Heading2"/>
        <w:rPr>
          <w:rFonts w:hint="eastAsia"/>
        </w:rPr>
      </w:pPr>
      <w:r>
        <w:t>Article 8: The Parties, Facilitators, and Depositary</w:t>
      </w:r>
    </w:p>
    <w:p w14:paraId="19CD2FEB" w14:textId="77777777" w:rsidR="00CA7ABD" w:rsidRDefault="00000000">
      <w:pPr>
        <w:rPr>
          <w:rFonts w:hint="eastAsia"/>
        </w:rPr>
      </w:pPr>
      <w:r>
        <w:t>8.1 Principal Parties: the Islamic Republic of Iran and the United States of America.</w:t>
      </w:r>
    </w:p>
    <w:p w14:paraId="6FB416A5" w14:textId="77777777" w:rsidR="00CA7ABD" w:rsidRDefault="00000000">
      <w:pPr>
        <w:rPr>
          <w:rFonts w:hint="eastAsia"/>
        </w:rPr>
      </w:pPr>
      <w:r>
        <w:t>8.2 Coastal Party: the Sultanate of Oman, as co-administrator of the Strait regime and holder of registered Red Lines OM-1 and OM-2.</w:t>
      </w:r>
    </w:p>
    <w:p w14:paraId="6AD5B4B2" w14:textId="77777777" w:rsidR="00CA7ABD" w:rsidRDefault="00000000">
      <w:pPr>
        <w:rPr>
          <w:rFonts w:hint="eastAsia"/>
        </w:rPr>
      </w:pPr>
      <w:r>
        <w:t>8.3 Facilitating Parties: the State of Qatar as Escrow Agent; the Islamic Republic of Pakistan as Depositary and convener of the Islamabad channel; the Swiss Confederation as Technical Facilitator and coordinator of the Third-Party Expert Pool; and the states and institutions acceding under Article 84.</w:t>
      </w:r>
    </w:p>
    <w:p w14:paraId="2381FB24" w14:textId="77777777" w:rsidR="00CA7ABD" w:rsidRDefault="00000000">
      <w:pPr>
        <w:rPr>
          <w:rFonts w:hint="eastAsia"/>
        </w:rPr>
      </w:pPr>
      <w:r>
        <w:t>8.4 Institutional participants: the International Atomic Energy Agency exercises the verification mandate of Part V and Annex B; the International Maritime Organization exercises the certification and registry functions of Part VI; the World Bank exercises the fiduciary functions of Annex RDF. Institutional participants act within their mandates and acquire no political functions.</w:t>
      </w:r>
    </w:p>
    <w:p w14:paraId="4C8C4BE6" w14:textId="77777777" w:rsidR="00CA7ABD" w:rsidRDefault="00000000">
      <w:pPr>
        <w:pStyle w:val="Heading2"/>
        <w:rPr>
          <w:rFonts w:hint="eastAsia"/>
        </w:rPr>
      </w:pPr>
      <w:r>
        <w:t>Article 9: Legal Foundations</w:t>
      </w:r>
    </w:p>
    <w:p w14:paraId="3D489CC2" w14:textId="77777777" w:rsidR="00CA7ABD" w:rsidRDefault="00000000">
      <w:pPr>
        <w:rPr>
          <w:rFonts w:hint="eastAsia"/>
        </w:rPr>
      </w:pPr>
      <w:r>
        <w:t>9.1 The Treaty rests upon the Charter of the United Nations, the sovereign equality of states, and the customary law of the sea, including the regime of transit passage through straits used for international navigation.</w:t>
      </w:r>
    </w:p>
    <w:p w14:paraId="25B28F07" w14:textId="77777777" w:rsidR="00CA7ABD" w:rsidRDefault="00000000">
      <w:pPr>
        <w:rPr>
          <w:rFonts w:hint="eastAsia"/>
        </w:rPr>
      </w:pPr>
      <w:r>
        <w:t>9.2 The Treaty preserves transit passage. Nothing in the corridor system, the services architecture, or the stewardship institutions suspends, conditions, or diminishes the right of transit passage. The corridor system organizes transit; it never rations it.</w:t>
      </w:r>
    </w:p>
    <w:p w14:paraId="4E25BD22" w14:textId="77777777" w:rsidR="00CA7ABD" w:rsidRDefault="00000000">
      <w:pPr>
        <w:rPr>
          <w:rFonts w:hint="eastAsia"/>
        </w:rPr>
      </w:pPr>
      <w:r>
        <w:t>9.3 The service distinction. International law distinguishes a charge on passage, which the framework excludes absolutely, from a charge for specific services rendered at the election of the vessel, which the framework organizes under Part VII. Every financial mechanism of this Accord operates on the services side of that distinction.</w:t>
      </w:r>
    </w:p>
    <w:p w14:paraId="18D5A708" w14:textId="77777777" w:rsidR="00CA7ABD" w:rsidRDefault="00000000">
      <w:pPr>
        <w:rPr>
          <w:rFonts w:hint="eastAsia"/>
        </w:rPr>
      </w:pPr>
      <w:r>
        <w:t>9.4 Non-prejudice and no precedent. Participation in this Treaty, in its monitoring systems, in its escrow structures, or in its funds constitutes neither recognition of any legal position nor precedent for any other waterway, dispute, or negotiation. Data collection under the Treaty carries no political meaning.</w:t>
      </w:r>
    </w:p>
    <w:p w14:paraId="5775A40A" w14:textId="77777777" w:rsidR="00CA7ABD" w:rsidRDefault="00000000">
      <w:pPr>
        <w:rPr>
          <w:rFonts w:hint="eastAsia"/>
        </w:rPr>
      </w:pPr>
      <w:r>
        <w:t>9.5 Relationship to the International Maritime Organization. The Parties route the navigation products of this Treaty through the IMO as the competent international body, and the IMO certifies the traffic scheme of Annex A as a routeing measure under its own procedures.</w:t>
      </w:r>
    </w:p>
    <w:p w14:paraId="5722EE12" w14:textId="77777777" w:rsidR="00CA7ABD" w:rsidRDefault="00000000">
      <w:pPr>
        <w:pStyle w:val="Heading2"/>
        <w:rPr>
          <w:rFonts w:hint="eastAsia"/>
        </w:rPr>
      </w:pPr>
      <w:r>
        <w:t>Article 10: Core Operating Principles</w:t>
      </w:r>
    </w:p>
    <w:p w14:paraId="72140B97" w14:textId="77777777" w:rsidR="00CA7ABD" w:rsidRDefault="00000000">
      <w:pPr>
        <w:ind w:left="360"/>
        <w:rPr>
          <w:rFonts w:hint="eastAsia"/>
        </w:rPr>
      </w:pPr>
      <w:r>
        <w:rPr>
          <w:color w:val="37474F"/>
        </w:rPr>
        <w:t>•</w:t>
      </w:r>
      <w:r>
        <w:t>Paired Action: every step pairs with a reciprocal step, and the Reciprocity Ledger records each pair. No step executes alone.</w:t>
      </w:r>
    </w:p>
    <w:p w14:paraId="060DA502" w14:textId="77777777" w:rsidR="00CA7ABD" w:rsidRDefault="00000000">
      <w:pPr>
        <w:ind w:left="360"/>
        <w:rPr>
          <w:rFonts w:hint="eastAsia"/>
        </w:rPr>
      </w:pPr>
      <w:r>
        <w:rPr>
          <w:color w:val="37474F"/>
        </w:rPr>
        <w:t>•</w:t>
      </w:r>
      <w:r>
        <w:t>Mutual Architecture: constraints bind the framework, not one Party for the benefit of the other.</w:t>
      </w:r>
    </w:p>
    <w:p w14:paraId="547FE8A9" w14:textId="77777777" w:rsidR="00CA7ABD" w:rsidRDefault="00000000">
      <w:pPr>
        <w:ind w:left="360"/>
        <w:rPr>
          <w:rFonts w:hint="eastAsia"/>
        </w:rPr>
      </w:pPr>
      <w:r>
        <w:rPr>
          <w:color w:val="37474F"/>
        </w:rPr>
        <w:t>•</w:t>
      </w:r>
      <w:r>
        <w:t>Nofade Continuity: the Treaty carries no sunset; earned progress never expires by the passage of time; exit is an act, never a fade.</w:t>
      </w:r>
    </w:p>
    <w:p w14:paraId="4A0D784E" w14:textId="77777777" w:rsidR="00CA7ABD" w:rsidRDefault="00000000">
      <w:pPr>
        <w:ind w:left="360"/>
        <w:rPr>
          <w:rFonts w:hint="eastAsia"/>
        </w:rPr>
      </w:pPr>
      <w:r>
        <w:rPr>
          <w:color w:val="37474F"/>
        </w:rPr>
        <w:t>•</w:t>
      </w:r>
      <w:r>
        <w:t>Proportionality: consequences fit the violation; the Cothrom engine of Layer Two replaces snapback.</w:t>
      </w:r>
    </w:p>
    <w:p w14:paraId="01CD2B2C" w14:textId="77777777" w:rsidR="00CA7ABD" w:rsidRDefault="00000000">
      <w:pPr>
        <w:ind w:left="360"/>
        <w:rPr>
          <w:rFonts w:hint="eastAsia"/>
        </w:rPr>
      </w:pPr>
      <w:r>
        <w:rPr>
          <w:color w:val="37474F"/>
        </w:rPr>
        <w:t>•</w:t>
      </w:r>
      <w:r>
        <w:t>Transparency over Trust: the architecture substitutes shared data for demanded faith.</w:t>
      </w:r>
    </w:p>
    <w:p w14:paraId="36FDDA80" w14:textId="77777777" w:rsidR="00CA7ABD" w:rsidRDefault="00000000">
      <w:pPr>
        <w:ind w:left="360"/>
        <w:rPr>
          <w:rFonts w:hint="eastAsia"/>
        </w:rPr>
      </w:pPr>
      <w:r>
        <w:rPr>
          <w:color w:val="37474F"/>
        </w:rPr>
        <w:t>•</w:t>
      </w:r>
      <w:r>
        <w:t>Civilian Character: the Strait institutions operate as civilian bodies; security functions remain functions, never commands.</w:t>
      </w:r>
    </w:p>
    <w:p w14:paraId="43B43E16" w14:textId="77777777" w:rsidR="00CA7ABD" w:rsidRDefault="00000000">
      <w:pPr>
        <w:ind w:left="360"/>
        <w:rPr>
          <w:rFonts w:hint="eastAsia"/>
        </w:rPr>
      </w:pPr>
      <w:r>
        <w:rPr>
          <w:color w:val="37474F"/>
        </w:rPr>
        <w:t>•</w:t>
      </w:r>
      <w:r>
        <w:t>Partial Success: modules operate as independent tracks; failure in one never cascades without certification under the Consensus Minus One rule.</w:t>
      </w:r>
    </w:p>
    <w:p w14:paraId="74BEBDD0" w14:textId="77777777" w:rsidR="00CA7ABD" w:rsidRDefault="00000000">
      <w:pPr>
        <w:ind w:left="360"/>
        <w:rPr>
          <w:rFonts w:hint="eastAsia"/>
        </w:rPr>
      </w:pPr>
      <w:r>
        <w:rPr>
          <w:color w:val="37474F"/>
        </w:rPr>
        <w:t>•</w:t>
      </w:r>
      <w:r>
        <w:t>The Political Acceptability Rule: every mechanism of this Treaty satisfies the registered constraints of Article 5, and the Perimeter Test enforces that satisfaction.</w:t>
      </w:r>
    </w:p>
    <w:p w14:paraId="5484BD03" w14:textId="77777777" w:rsidR="00CA7ABD" w:rsidRDefault="00000000">
      <w:pPr>
        <w:pStyle w:val="Heading2"/>
        <w:rPr>
          <w:rFonts w:hint="eastAsia"/>
        </w:rPr>
      </w:pPr>
      <w:r>
        <w:t>Article 11: Definitions and Interpretation</w:t>
      </w:r>
    </w:p>
    <w:p w14:paraId="0353FE06" w14:textId="77777777" w:rsidR="00CA7ABD" w:rsidRDefault="00000000">
      <w:pPr>
        <w:rPr>
          <w:rFonts w:hint="eastAsia"/>
        </w:rPr>
      </w:pPr>
      <w:r>
        <w:t>11.1 Definitions. In this Treaty: the Governance Area means the area bounded by the polygon of Annex A; Corridor means a designated transit lane within the Governance Area; Verified Service means a service listed in the Verified Services Catalog of Annex A; the Fund means the Hormuz Maritime Stewardship Fund of Annex D; the JIC means the Joint Implementation Commission of Article 69; the JMC means the Joint Monitoring Cell of Layer Two; the Registry means the Shared Digital Registry; Step-Back and Earn-Back carry the meanings Layer Two assigns; Red Line means a position registered under Annex G; and Day Zero means the date of entry into force under Article 82.</w:t>
      </w:r>
    </w:p>
    <w:p w14:paraId="4844EF2A" w14:textId="77777777" w:rsidR="00CA7ABD" w:rsidRDefault="00000000">
      <w:pPr>
        <w:rPr>
          <w:rFonts w:hint="eastAsia"/>
        </w:rPr>
      </w:pPr>
      <w:r>
        <w:t>11.2 Interpretation. The Treaty reads as a single instrument with its Annexes. Operative articles govern over recitals. Specific provisions govern over general ones. No interpretation defeats a Red Line, the Zero-Toll Rule, the nuclear prohibition, or the humanitarian protections.</w:t>
      </w:r>
    </w:p>
    <w:p w14:paraId="179806F0" w14:textId="77777777" w:rsidR="00CA7ABD" w:rsidRDefault="00CA7ABD">
      <w:pPr>
        <w:pageBreakBefore/>
        <w:rPr>
          <w:rFonts w:hint="eastAsia"/>
        </w:rPr>
      </w:pPr>
    </w:p>
    <w:p w14:paraId="3E4EE627" w14:textId="77777777" w:rsidR="00CA7ABD" w:rsidRDefault="00000000">
      <w:pPr>
        <w:pStyle w:val="Heading1"/>
        <w:rPr>
          <w:rFonts w:hint="eastAsia"/>
        </w:rPr>
      </w:pPr>
      <w:r>
        <w:t>PART II: PERMANENT CESSATION OF HOSTILITIES</w:t>
      </w:r>
    </w:p>
    <w:p w14:paraId="73E02C26" w14:textId="77777777" w:rsidR="00CA7ABD" w:rsidRDefault="00000000">
      <w:pPr>
        <w:pStyle w:val="Heading2"/>
        <w:rPr>
          <w:rFonts w:hint="eastAsia"/>
        </w:rPr>
      </w:pPr>
      <w:r>
        <w:t>Article 12: The Permanent Termination</w:t>
      </w:r>
    </w:p>
    <w:p w14:paraId="7A0AA0AB" w14:textId="77777777" w:rsidR="00CA7ABD" w:rsidRDefault="00000000">
      <w:pPr>
        <w:rPr>
          <w:rFonts w:hint="eastAsia"/>
        </w:rPr>
      </w:pPr>
      <w:r>
        <w:t>12.1 The war ends with this Treaty. The framework architecture records the permanent termination of all military operations between the Principal Parties and on all fronts addressed by Part XI, including Lebanon, effective Day Zero. The termination carries no expiration date.</w:t>
      </w:r>
    </w:p>
    <w:p w14:paraId="04C2AB7F" w14:textId="77777777" w:rsidR="00CA7ABD" w:rsidRDefault="00000000">
      <w:pPr>
        <w:rPr>
          <w:rFonts w:hint="eastAsia"/>
        </w:rPr>
      </w:pPr>
      <w:r>
        <w:t>12.2 The framework architecture excludes the threat or use of force between the Principal Parties, in any domain, for any purpose connected with the disputes this Treaty settles. This exclusion operates as a feature of the architecture, binding both Parties identically, and not as a concession of either.</w:t>
      </w:r>
    </w:p>
    <w:p w14:paraId="3B39E5DA" w14:textId="77777777" w:rsidR="00CA7ABD" w:rsidRDefault="00000000">
      <w:pPr>
        <w:rPr>
          <w:rFonts w:hint="eastAsia"/>
        </w:rPr>
      </w:pPr>
      <w:r>
        <w:t>12.3 Force posture freeze. Military postures within the Governance Area and within 50 nautical miles of the Strait freeze at their Day Zero positions pending the disengagement schedule of Part IV. The freeze excludes new deployments, new live-fire exercises, and new forward positioning within the frozen zone.</w:t>
      </w:r>
    </w:p>
    <w:p w14:paraId="3733B74F" w14:textId="77777777" w:rsidR="00CA7ABD" w:rsidRDefault="00000000">
      <w:pPr>
        <w:rPr>
          <w:rFonts w:hint="eastAsia"/>
        </w:rPr>
      </w:pPr>
      <w:r>
        <w:t>12.4 The Naval blockade of Iranian ports and coastal areas terminates on Day Zero in its entirety. The United States Navy completes stand-down of interception posture within 72 hours, and the JMC certifies stand-down through the telemetry of Layer Two. The termination of the blockade pairs, in the Reciprocity Ledger, with the simultaneous opening of all corridors under Part VI.</w:t>
      </w:r>
    </w:p>
    <w:p w14:paraId="560C26BE" w14:textId="77777777" w:rsidR="00CA7ABD" w:rsidRDefault="00000000">
      <w:pPr>
        <w:pStyle w:val="Heading2"/>
        <w:rPr>
          <w:rFonts w:hint="eastAsia"/>
        </w:rPr>
      </w:pPr>
      <w:r>
        <w:t>Article 13: The Lebanon Resolution and the Third-Party Guarantor Clause</w:t>
      </w:r>
    </w:p>
    <w:p w14:paraId="2B372715" w14:textId="77777777" w:rsidR="00CA7ABD" w:rsidRDefault="00000000">
      <w:pPr>
        <w:rPr>
          <w:rFonts w:hint="eastAsia"/>
        </w:rPr>
      </w:pPr>
      <w:r>
        <w:t>13.1 The structural gap. The cessation on the Lebanese front engages a state that holds no signature on this Treaty. The framework architecture closes this gap not by pretending the gap is small, but by binding the party that holds leverage over that state.</w:t>
      </w:r>
    </w:p>
    <w:p w14:paraId="7DE32538" w14:textId="77777777" w:rsidR="00CA7ABD" w:rsidRDefault="00000000">
      <w:pPr>
        <w:rPr>
          <w:rFonts w:hint="eastAsia"/>
        </w:rPr>
      </w:pPr>
      <w:r>
        <w:t>13.2 The Guarantor Clause. The United States guarantees, within this Treaty and toward Iran and the Guarantor Matrix, that it applies its full diplomatic and security leverage to maintain the cessation of strikes on Lebanese territory and to support the implementation of United Nations Security Council Resolution 1701. This guarantee constitutes an obligation of the United States under this Treaty, verifiable through the Layer Two regime as the conduct of a Party.</w:t>
      </w:r>
    </w:p>
    <w:p w14:paraId="0E17D852" w14:textId="77777777" w:rsidR="00CA7ABD" w:rsidRDefault="00000000">
      <w:pPr>
        <w:rPr>
          <w:rFonts w:hint="eastAsia"/>
        </w:rPr>
      </w:pPr>
      <w:r>
        <w:t>13.3 The paired codification. Iran codifies, within this Treaty and toward the United States and the Guarantor Matrix, its commitment to the disarmament of non-state armed groups in southern Lebanon south of the Litani River consistent with Resolution 1701, and channels its relationships with Lebanese parties into state-to-state and political tracks. This codification constitutes an obligation of Iran under this Treaty, verifiable through the Layer Two regime.</w:t>
      </w:r>
    </w:p>
    <w:p w14:paraId="43D288BF" w14:textId="77777777" w:rsidR="00CA7ABD" w:rsidRDefault="00000000">
      <w:pPr>
        <w:rPr>
          <w:rFonts w:hint="eastAsia"/>
        </w:rPr>
      </w:pPr>
      <w:r>
        <w:t>13.4 Triangular architecture. Obligations 13.2 and 13.3 bind simultaneously and verify independently. A breach of one does not license breach of the other; the Cothrom engine addresses each on its own module. The Guarantor Matrix convenes within 48 hours upon a Tier 2 or Tier 3 classification on the Lebanon module.</w:t>
      </w:r>
    </w:p>
    <w:p w14:paraId="7ED4E1BF" w14:textId="77777777" w:rsidR="00CA7ABD" w:rsidRDefault="00000000">
      <w:pPr>
        <w:rPr>
          <w:rFonts w:hint="eastAsia"/>
        </w:rPr>
      </w:pPr>
      <w:r>
        <w:t>13.5 The other fronts. The cessation architecture of this Article extends to Yemen, Iraq, and Syria through the same structure: the Principal Parties codify the termination of support for military operations against each other and against the forces of the other on those fronts, and the Regional De-escalation Pact of Part XI operationalizes the codification state by state.</w:t>
      </w:r>
    </w:p>
    <w:p w14:paraId="47E55ED6" w14:textId="77777777" w:rsidR="00CA7ABD" w:rsidRDefault="00CA7ABD">
      <w:pPr>
        <w:pageBreakBefore/>
        <w:rPr>
          <w:rFonts w:hint="eastAsia"/>
        </w:rPr>
      </w:pPr>
    </w:p>
    <w:p w14:paraId="45741AB9" w14:textId="77777777" w:rsidR="00CA7ABD" w:rsidRDefault="00000000">
      <w:pPr>
        <w:pStyle w:val="Heading1"/>
        <w:rPr>
          <w:rFonts w:hint="eastAsia"/>
        </w:rPr>
      </w:pPr>
      <w:r>
        <w:t>PART III: SOVEREIGNTY AND NON-INTERFERENCE</w:t>
      </w:r>
    </w:p>
    <w:p w14:paraId="12320307" w14:textId="77777777" w:rsidR="00CA7ABD" w:rsidRDefault="00000000">
      <w:pPr>
        <w:pStyle w:val="Heading2"/>
        <w:rPr>
          <w:rFonts w:hint="eastAsia"/>
        </w:rPr>
      </w:pPr>
      <w:r>
        <w:t>Article 14: The Sovereignty and No Regime Change Covenant</w:t>
      </w:r>
    </w:p>
    <w:p w14:paraId="23AAD286" w14:textId="77777777" w:rsidR="00CA7ABD" w:rsidRDefault="00000000">
      <w:pPr>
        <w:rPr>
          <w:rFonts w:hint="eastAsia"/>
        </w:rPr>
      </w:pPr>
      <w:r>
        <w:t>14.1 The framework architecture codifies the sovereign equality of the Principal Parties and excludes interference in the internal affairs of either, in any form: political, economic, cyber, informational, or covert.</w:t>
      </w:r>
    </w:p>
    <w:p w14:paraId="6B5B343F" w14:textId="77777777" w:rsidR="00CA7ABD" w:rsidRDefault="00000000">
      <w:pPr>
        <w:rPr>
          <w:rFonts w:hint="eastAsia"/>
        </w:rPr>
      </w:pPr>
      <w:r>
        <w:t>14.2 The No Regime Change Objective. The framework architecture excludes the overthrow, replacement, or transformation of the constitutional order of either Principal Party as an objective, an instrument, or a funded activity. No organ, fund, escrow, or program of this Accord finances, facilitates, or provides cover for any such activity. The Political Discretion Fund of Layer Two lists such purposes among its prohibited uses.</w:t>
      </w:r>
    </w:p>
    <w:p w14:paraId="24F03F5D" w14:textId="77777777" w:rsidR="00CA7ABD" w:rsidRDefault="00000000">
      <w:pPr>
        <w:rPr>
          <w:rFonts w:hint="eastAsia"/>
        </w:rPr>
      </w:pPr>
      <w:r>
        <w:t>14.3 Mutual non-hostility in international bodies. The Principal Parties terminate sponsorship of measures directed against the other in international organizations, excepting participation in the verification and safeguards processes this Treaty itself establishes.</w:t>
      </w:r>
    </w:p>
    <w:p w14:paraId="2FBB8A9C" w14:textId="77777777" w:rsidR="00CA7ABD" w:rsidRDefault="00000000">
      <w:pPr>
        <w:rPr>
          <w:rFonts w:hint="eastAsia"/>
        </w:rPr>
      </w:pPr>
      <w:r>
        <w:t>14.4 Cyber non-interference. The framework architecture excludes state-directed cyber operations against the critical infrastructure, financial systems, verification systems, or command systems of the other Party. The JMC maintains a cyber-anomaly channel, and suspected operations route through the attribution-deferral protocol of Layer Two, including the False Flag Protocol.</w:t>
      </w:r>
    </w:p>
    <w:p w14:paraId="48C14283" w14:textId="77777777" w:rsidR="00CA7ABD" w:rsidRDefault="00000000">
      <w:pPr>
        <w:rPr>
          <w:rFonts w:hint="eastAsia"/>
        </w:rPr>
      </w:pPr>
      <w:r>
        <w:t>14.5 The respect provisions of Layer Zero Article 4 bind as operational law under this Part.</w:t>
      </w:r>
    </w:p>
    <w:p w14:paraId="39216C23" w14:textId="77777777" w:rsidR="00CA7ABD" w:rsidRDefault="00CA7ABD">
      <w:pPr>
        <w:pageBreakBefore/>
        <w:rPr>
          <w:rFonts w:hint="eastAsia"/>
        </w:rPr>
      </w:pPr>
    </w:p>
    <w:p w14:paraId="523E5EAB" w14:textId="77777777" w:rsidR="00CA7ABD" w:rsidRDefault="00000000">
      <w:pPr>
        <w:pStyle w:val="Heading1"/>
        <w:rPr>
          <w:rFonts w:hint="eastAsia"/>
        </w:rPr>
      </w:pPr>
      <w:r>
        <w:t>PART IV: MILITARY DISENGAGEMENT AND THE WITHDRAWAL PROTOCOL</w:t>
      </w:r>
    </w:p>
    <w:p w14:paraId="3DC2ABCD" w14:textId="77777777" w:rsidR="00CA7ABD" w:rsidRDefault="00000000">
      <w:pPr>
        <w:pStyle w:val="Heading2"/>
        <w:rPr>
          <w:rFonts w:hint="eastAsia"/>
        </w:rPr>
      </w:pPr>
      <w:r>
        <w:t>Article 15: The Thirty-Day Withdrawal Protocol</w:t>
      </w:r>
    </w:p>
    <w:p w14:paraId="70459D9A" w14:textId="77777777" w:rsidR="00CA7ABD" w:rsidRDefault="00000000">
      <w:pPr>
        <w:rPr>
          <w:rFonts w:hint="eastAsia"/>
        </w:rPr>
      </w:pPr>
      <w:r>
        <w:t>15.1 The United States completes the withdrawal of its combat forces from the proximity of Iran within 30 days after Day Zero. Proximity means: the Persian Gulf, the Gulf of Oman within the defined line of Annex A, and the forward posture established for the 2026 campaign, as scheduled in the Withdrawal Table of this Article.</w:t>
      </w:r>
    </w:p>
    <w:p w14:paraId="39BC1DBF" w14:textId="77777777" w:rsidR="00CA7ABD" w:rsidRDefault="00000000">
      <w:pPr>
        <w:rPr>
          <w:rFonts w:hint="eastAsia"/>
        </w:rPr>
      </w:pPr>
      <w:r>
        <w:t>15.2 Withdrawal Table:</w:t>
      </w:r>
    </w:p>
    <w:tbl>
      <w:tblPr>
        <w:tblW w:w="5000" w:type="pct"/>
        <w:tblInd w:w="-8"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782"/>
        <w:gridCol w:w="1079"/>
        <w:gridCol w:w="4543"/>
        <w:gridCol w:w="2822"/>
      </w:tblGrid>
      <w:tr w:rsidR="00CA7ABD" w14:paraId="374F53C3" w14:textId="77777777">
        <w:tc>
          <w:tcPr>
            <w:tcW w:w="0" w:type="auto"/>
            <w:shd w:val="clear" w:color="auto" w:fill="37474F"/>
          </w:tcPr>
          <w:p w14:paraId="00CE0B85" w14:textId="77777777" w:rsidR="00CA7ABD" w:rsidRDefault="00000000">
            <w:pPr>
              <w:rPr>
                <w:rFonts w:hint="eastAsia"/>
              </w:rPr>
            </w:pPr>
            <w:r>
              <w:rPr>
                <w:b/>
                <w:color w:val="FFFFFF"/>
                <w:sz w:val="19"/>
              </w:rPr>
              <w:t>Phase</w:t>
            </w:r>
          </w:p>
        </w:tc>
        <w:tc>
          <w:tcPr>
            <w:tcW w:w="0" w:type="auto"/>
            <w:shd w:val="clear" w:color="auto" w:fill="37474F"/>
          </w:tcPr>
          <w:p w14:paraId="7B9CACB4" w14:textId="77777777" w:rsidR="00CA7ABD" w:rsidRDefault="00000000">
            <w:pPr>
              <w:rPr>
                <w:rFonts w:hint="eastAsia"/>
              </w:rPr>
            </w:pPr>
            <w:r>
              <w:rPr>
                <w:b/>
                <w:color w:val="FFFFFF"/>
                <w:sz w:val="19"/>
              </w:rPr>
              <w:t>Deadline</w:t>
            </w:r>
          </w:p>
        </w:tc>
        <w:tc>
          <w:tcPr>
            <w:tcW w:w="0" w:type="auto"/>
            <w:shd w:val="clear" w:color="auto" w:fill="37474F"/>
          </w:tcPr>
          <w:p w14:paraId="449A68DB" w14:textId="77777777" w:rsidR="00CA7ABD" w:rsidRDefault="00000000">
            <w:pPr>
              <w:rPr>
                <w:rFonts w:hint="eastAsia"/>
              </w:rPr>
            </w:pPr>
            <w:r>
              <w:rPr>
                <w:b/>
                <w:color w:val="FFFFFF"/>
                <w:sz w:val="19"/>
              </w:rPr>
              <w:t>Action</w:t>
            </w:r>
          </w:p>
        </w:tc>
        <w:tc>
          <w:tcPr>
            <w:tcW w:w="0" w:type="auto"/>
            <w:shd w:val="clear" w:color="auto" w:fill="37474F"/>
          </w:tcPr>
          <w:p w14:paraId="72B57B7D" w14:textId="77777777" w:rsidR="00CA7ABD" w:rsidRDefault="00000000">
            <w:pPr>
              <w:rPr>
                <w:rFonts w:hint="eastAsia"/>
              </w:rPr>
            </w:pPr>
            <w:r>
              <w:rPr>
                <w:b/>
                <w:color w:val="FFFFFF"/>
                <w:sz w:val="19"/>
              </w:rPr>
              <w:t>Verification</w:t>
            </w:r>
          </w:p>
        </w:tc>
      </w:tr>
      <w:tr w:rsidR="00CA7ABD" w14:paraId="5FDBC068" w14:textId="77777777">
        <w:tc>
          <w:tcPr>
            <w:tcW w:w="0" w:type="auto"/>
          </w:tcPr>
          <w:p w14:paraId="794D224C" w14:textId="77777777" w:rsidR="00CA7ABD" w:rsidRDefault="00000000">
            <w:pPr>
              <w:rPr>
                <w:rFonts w:hint="eastAsia"/>
              </w:rPr>
            </w:pPr>
            <w:r>
              <w:rPr>
                <w:sz w:val="19"/>
              </w:rPr>
              <w:t>W-1</w:t>
            </w:r>
          </w:p>
        </w:tc>
        <w:tc>
          <w:tcPr>
            <w:tcW w:w="0" w:type="auto"/>
          </w:tcPr>
          <w:p w14:paraId="1F29C23C" w14:textId="77777777" w:rsidR="00CA7ABD" w:rsidRDefault="00000000">
            <w:pPr>
              <w:rPr>
                <w:rFonts w:hint="eastAsia"/>
              </w:rPr>
            </w:pPr>
            <w:r>
              <w:rPr>
                <w:sz w:val="19"/>
              </w:rPr>
              <w:t>Day 3</w:t>
            </w:r>
          </w:p>
        </w:tc>
        <w:tc>
          <w:tcPr>
            <w:tcW w:w="0" w:type="auto"/>
          </w:tcPr>
          <w:p w14:paraId="200D3EC2" w14:textId="77777777" w:rsidR="00CA7ABD" w:rsidRDefault="00000000">
            <w:pPr>
              <w:rPr>
                <w:rFonts w:hint="eastAsia"/>
              </w:rPr>
            </w:pPr>
            <w:r>
              <w:rPr>
                <w:sz w:val="19"/>
              </w:rPr>
              <w:t>Carrier strike groups depart the Gulf of Oman operating box</w:t>
            </w:r>
          </w:p>
        </w:tc>
        <w:tc>
          <w:tcPr>
            <w:tcW w:w="0" w:type="auto"/>
          </w:tcPr>
          <w:p w14:paraId="372D4C7A" w14:textId="77777777" w:rsidR="00CA7ABD" w:rsidRDefault="00000000">
            <w:pPr>
              <w:rPr>
                <w:rFonts w:hint="eastAsia"/>
              </w:rPr>
            </w:pPr>
            <w:r>
              <w:rPr>
                <w:sz w:val="19"/>
              </w:rPr>
              <w:t>JMC telemetry; satellite confirmation</w:t>
            </w:r>
          </w:p>
        </w:tc>
      </w:tr>
      <w:tr w:rsidR="00CA7ABD" w14:paraId="2050B3F9" w14:textId="77777777">
        <w:tc>
          <w:tcPr>
            <w:tcW w:w="0" w:type="auto"/>
            <w:shd w:val="clear" w:color="auto" w:fill="ECEFF1"/>
          </w:tcPr>
          <w:p w14:paraId="0C7138B1" w14:textId="77777777" w:rsidR="00CA7ABD" w:rsidRDefault="00000000">
            <w:pPr>
              <w:rPr>
                <w:rFonts w:hint="eastAsia"/>
              </w:rPr>
            </w:pPr>
            <w:r>
              <w:rPr>
                <w:sz w:val="19"/>
              </w:rPr>
              <w:t>W-2</w:t>
            </w:r>
          </w:p>
        </w:tc>
        <w:tc>
          <w:tcPr>
            <w:tcW w:w="0" w:type="auto"/>
            <w:shd w:val="clear" w:color="auto" w:fill="ECEFF1"/>
          </w:tcPr>
          <w:p w14:paraId="6E9888C8" w14:textId="77777777" w:rsidR="00CA7ABD" w:rsidRDefault="00000000">
            <w:pPr>
              <w:rPr>
                <w:rFonts w:hint="eastAsia"/>
              </w:rPr>
            </w:pPr>
            <w:r>
              <w:rPr>
                <w:sz w:val="19"/>
              </w:rPr>
              <w:t>Day 7</w:t>
            </w:r>
          </w:p>
        </w:tc>
        <w:tc>
          <w:tcPr>
            <w:tcW w:w="0" w:type="auto"/>
            <w:shd w:val="clear" w:color="auto" w:fill="ECEFF1"/>
          </w:tcPr>
          <w:p w14:paraId="6CC4607B" w14:textId="77777777" w:rsidR="00CA7ABD" w:rsidRDefault="00000000">
            <w:pPr>
              <w:rPr>
                <w:rFonts w:hint="eastAsia"/>
              </w:rPr>
            </w:pPr>
            <w:r>
              <w:rPr>
                <w:sz w:val="19"/>
              </w:rPr>
              <w:t>Blockade intercept posture fully demobilized; minesweeping transfers to the joint program of Article 26</w:t>
            </w:r>
          </w:p>
        </w:tc>
        <w:tc>
          <w:tcPr>
            <w:tcW w:w="0" w:type="auto"/>
            <w:shd w:val="clear" w:color="auto" w:fill="ECEFF1"/>
          </w:tcPr>
          <w:p w14:paraId="44B64A64" w14:textId="77777777" w:rsidR="00CA7ABD" w:rsidRDefault="00000000">
            <w:pPr>
              <w:rPr>
                <w:rFonts w:hint="eastAsia"/>
              </w:rPr>
            </w:pPr>
            <w:r>
              <w:rPr>
                <w:sz w:val="19"/>
              </w:rPr>
              <w:t>JMC incident mesh; IMO registry</w:t>
            </w:r>
          </w:p>
        </w:tc>
      </w:tr>
      <w:tr w:rsidR="00CA7ABD" w14:paraId="5131660D" w14:textId="77777777">
        <w:tc>
          <w:tcPr>
            <w:tcW w:w="0" w:type="auto"/>
          </w:tcPr>
          <w:p w14:paraId="53152289" w14:textId="77777777" w:rsidR="00CA7ABD" w:rsidRDefault="00000000">
            <w:pPr>
              <w:rPr>
                <w:rFonts w:hint="eastAsia"/>
              </w:rPr>
            </w:pPr>
            <w:r>
              <w:rPr>
                <w:sz w:val="19"/>
              </w:rPr>
              <w:t>W-3</w:t>
            </w:r>
          </w:p>
        </w:tc>
        <w:tc>
          <w:tcPr>
            <w:tcW w:w="0" w:type="auto"/>
          </w:tcPr>
          <w:p w14:paraId="6CDABBC2" w14:textId="77777777" w:rsidR="00CA7ABD" w:rsidRDefault="00000000">
            <w:pPr>
              <w:rPr>
                <w:rFonts w:hint="eastAsia"/>
              </w:rPr>
            </w:pPr>
            <w:r>
              <w:rPr>
                <w:sz w:val="19"/>
              </w:rPr>
              <w:t>Day 15</w:t>
            </w:r>
          </w:p>
        </w:tc>
        <w:tc>
          <w:tcPr>
            <w:tcW w:w="0" w:type="auto"/>
          </w:tcPr>
          <w:p w14:paraId="1E61E116" w14:textId="77777777" w:rsidR="00CA7ABD" w:rsidRDefault="00000000">
            <w:pPr>
              <w:rPr>
                <w:rFonts w:hint="eastAsia"/>
              </w:rPr>
            </w:pPr>
            <w:r>
              <w:rPr>
                <w:sz w:val="19"/>
              </w:rPr>
              <w:t>Expeditionary air and missile-defense augmentations redeploy to home or pre-crisis stations</w:t>
            </w:r>
          </w:p>
        </w:tc>
        <w:tc>
          <w:tcPr>
            <w:tcW w:w="0" w:type="auto"/>
          </w:tcPr>
          <w:p w14:paraId="2C04DA24" w14:textId="77777777" w:rsidR="00CA7ABD" w:rsidRDefault="00000000">
            <w:pPr>
              <w:rPr>
                <w:rFonts w:hint="eastAsia"/>
              </w:rPr>
            </w:pPr>
            <w:r>
              <w:rPr>
                <w:sz w:val="19"/>
              </w:rPr>
              <w:t>Third-party telemetry tie-breaker feed</w:t>
            </w:r>
          </w:p>
        </w:tc>
      </w:tr>
      <w:tr w:rsidR="00CA7ABD" w14:paraId="3FDF0D00" w14:textId="77777777">
        <w:tc>
          <w:tcPr>
            <w:tcW w:w="0" w:type="auto"/>
            <w:shd w:val="clear" w:color="auto" w:fill="ECEFF1"/>
          </w:tcPr>
          <w:p w14:paraId="6F24EBCB" w14:textId="77777777" w:rsidR="00CA7ABD" w:rsidRDefault="00000000">
            <w:pPr>
              <w:rPr>
                <w:rFonts w:hint="eastAsia"/>
              </w:rPr>
            </w:pPr>
            <w:r>
              <w:rPr>
                <w:sz w:val="19"/>
              </w:rPr>
              <w:t>W-4</w:t>
            </w:r>
          </w:p>
        </w:tc>
        <w:tc>
          <w:tcPr>
            <w:tcW w:w="0" w:type="auto"/>
            <w:shd w:val="clear" w:color="auto" w:fill="ECEFF1"/>
          </w:tcPr>
          <w:p w14:paraId="7676BA3D" w14:textId="77777777" w:rsidR="00CA7ABD" w:rsidRDefault="00000000">
            <w:pPr>
              <w:rPr>
                <w:rFonts w:hint="eastAsia"/>
              </w:rPr>
            </w:pPr>
            <w:r>
              <w:rPr>
                <w:sz w:val="19"/>
              </w:rPr>
              <w:t>Day 30</w:t>
            </w:r>
          </w:p>
        </w:tc>
        <w:tc>
          <w:tcPr>
            <w:tcW w:w="0" w:type="auto"/>
            <w:shd w:val="clear" w:color="auto" w:fill="ECEFF1"/>
          </w:tcPr>
          <w:p w14:paraId="43D39ACA" w14:textId="77777777" w:rsidR="00CA7ABD" w:rsidRDefault="00000000">
            <w:pPr>
              <w:rPr>
                <w:rFonts w:hint="eastAsia"/>
              </w:rPr>
            </w:pPr>
            <w:r>
              <w:rPr>
                <w:sz w:val="19"/>
              </w:rPr>
              <w:t>Residual posture reaches the Steady-State Line of Annex A; withdrawal certificate issues</w:t>
            </w:r>
          </w:p>
        </w:tc>
        <w:tc>
          <w:tcPr>
            <w:tcW w:w="0" w:type="auto"/>
            <w:shd w:val="clear" w:color="auto" w:fill="ECEFF1"/>
          </w:tcPr>
          <w:p w14:paraId="27E60F20" w14:textId="77777777" w:rsidR="00CA7ABD" w:rsidRDefault="00000000">
            <w:pPr>
              <w:rPr>
                <w:rFonts w:hint="eastAsia"/>
              </w:rPr>
            </w:pPr>
            <w:r>
              <w:rPr>
                <w:sz w:val="19"/>
              </w:rPr>
              <w:t>Stability Audit; Guarantor Matrix countersignature</w:t>
            </w:r>
          </w:p>
        </w:tc>
      </w:tr>
    </w:tbl>
    <w:p w14:paraId="6B0292B0" w14:textId="77777777" w:rsidR="00CA7ABD" w:rsidRDefault="00000000">
      <w:pPr>
        <w:rPr>
          <w:rFonts w:hint="eastAsia"/>
        </w:rPr>
      </w:pPr>
      <w:r>
        <w:t>15.3 The Steady-State Line. The residual United States posture after Day 30 conforms to the peacetime baseline that the Parties record in Annex A: access agreements and facilities that predate the crisis remain governed by their own instruments with host states, and the framework architecture excludes the use of any regional facility for operations against Iran. Iran likewise maintains its coastal posture within the notified peacetime baseline recorded in Annex A.</w:t>
      </w:r>
    </w:p>
    <w:p w14:paraId="5CC25409" w14:textId="77777777" w:rsidR="00CA7ABD" w:rsidRDefault="00000000">
      <w:pPr>
        <w:rPr>
          <w:rFonts w:hint="eastAsia"/>
        </w:rPr>
      </w:pPr>
      <w:r>
        <w:t>15.4 Verification of withdrawal operates under Layer Two as a standing verification module, with the Third-Party Telemetry Tie-Breaker resolving any data conflict automatically.</w:t>
      </w:r>
    </w:p>
    <w:p w14:paraId="261EBEE7" w14:textId="77777777" w:rsidR="00CA7ABD" w:rsidRDefault="00000000">
      <w:pPr>
        <w:rPr>
          <w:rFonts w:hint="eastAsia"/>
        </w:rPr>
      </w:pPr>
      <w:r>
        <w:t>15.5 The framework architecture excludes permanent United States enforcement presence in the Governance Area. Security functions within the Governance Area rest with the coastal states and the institutions of Part VI. Distant support arrangements, where any state requests them, operate outside the Governance Area and outside this Treaty.</w:t>
      </w:r>
    </w:p>
    <w:p w14:paraId="048E7166" w14:textId="77777777" w:rsidR="00CA7ABD" w:rsidRDefault="00000000">
      <w:pPr>
        <w:pStyle w:val="Heading2"/>
        <w:rPr>
          <w:rFonts w:hint="eastAsia"/>
        </w:rPr>
      </w:pPr>
      <w:r>
        <w:t>Article 16: The Deconfliction Permanence</w:t>
      </w:r>
    </w:p>
    <w:p w14:paraId="67A1027C" w14:textId="77777777" w:rsidR="00CA7ABD" w:rsidRDefault="00000000">
      <w:pPr>
        <w:rPr>
          <w:rFonts w:hint="eastAsia"/>
        </w:rPr>
      </w:pPr>
      <w:r>
        <w:t>16.1 The deconfliction hotline established during the crisis converts into a permanent Standing Channel connecting the Iranian, Omani, and United States operational commands, with the 15-minute answer standard and satellite fallback. The Standing Channel operates in perpetuity and survives any dispute, pause, or dormancy of other modules.</w:t>
      </w:r>
    </w:p>
    <w:p w14:paraId="26E9443D" w14:textId="77777777" w:rsidR="00CA7ABD" w:rsidRDefault="00000000">
      <w:pPr>
        <w:rPr>
          <w:rFonts w:hint="eastAsia"/>
        </w:rPr>
      </w:pPr>
      <w:r>
        <w:t>16.2 Incidents at sea or in the air route first through the Standing Channel, second through the JMC incident mesh, and third through the Tier system of Layer Two. No incident answers itself with force.</w:t>
      </w:r>
    </w:p>
    <w:p w14:paraId="5DEB8EEE" w14:textId="77777777" w:rsidR="00CA7ABD" w:rsidRDefault="00000000">
      <w:pPr>
        <w:rPr>
          <w:rFonts w:hint="eastAsia"/>
        </w:rPr>
      </w:pPr>
      <w:r>
        <w:t>16.3 The framework architecture excludes live-fire exercises within 50 nautical miles of the Strait absent 14-day advance notification through the Registry, and excludes any exercise profile simulating blockade or interdiction of commercial traffic.</w:t>
      </w:r>
    </w:p>
    <w:p w14:paraId="30D73833" w14:textId="77777777" w:rsidR="00CA7ABD" w:rsidRDefault="00CA7ABD">
      <w:pPr>
        <w:pageBreakBefore/>
        <w:rPr>
          <w:rFonts w:hint="eastAsia"/>
        </w:rPr>
      </w:pPr>
    </w:p>
    <w:p w14:paraId="4B93BA0B" w14:textId="77777777" w:rsidR="00CA7ABD" w:rsidRDefault="00000000">
      <w:pPr>
        <w:pStyle w:val="Heading1"/>
        <w:rPr>
          <w:rFonts w:hint="eastAsia"/>
        </w:rPr>
      </w:pPr>
      <w:r>
        <w:t>PART V: NUCLEAR FINAL STATUS</w:t>
      </w:r>
    </w:p>
    <w:p w14:paraId="7D5516B4" w14:textId="77777777" w:rsidR="00CA7ABD" w:rsidRDefault="00000000">
      <w:pPr>
        <w:pStyle w:val="Heading2"/>
        <w:rPr>
          <w:rFonts w:hint="eastAsia"/>
        </w:rPr>
      </w:pPr>
      <w:r>
        <w:t>Article 17: The Permanent Commitment</w:t>
      </w:r>
    </w:p>
    <w:p w14:paraId="4454E802" w14:textId="77777777" w:rsidR="00CA7ABD" w:rsidRDefault="00000000">
      <w:pPr>
        <w:rPr>
          <w:rFonts w:hint="eastAsia"/>
        </w:rPr>
      </w:pPr>
      <w:r>
        <w:t>17.1 Iran commits, permanently and without time limit, never to develop, acquire, manufacture, stockpile, or possess nuclear weapons or other nuclear explosive devices. This commitment carries no sunset, and the verification architecture of this Treaty and of Annex B renders it continuously verifiable.</w:t>
      </w:r>
    </w:p>
    <w:p w14:paraId="08556EDE" w14:textId="77777777" w:rsidR="00CA7ABD" w:rsidRDefault="00000000">
      <w:pPr>
        <w:rPr>
          <w:rFonts w:hint="eastAsia"/>
        </w:rPr>
      </w:pPr>
      <w:r>
        <w:t>17.2 The framework architecture recognizes the inalienable right of Iran to the peaceful use of nuclear energy, including domestic enrichment within the permanent caps of Article 19. The commitment of 17.1 and the right of 17.2 operate as one integrated settlement: neither survives the destruction of the other, and the verification architecture protects both simultaneously.</w:t>
      </w:r>
    </w:p>
    <w:p w14:paraId="508B01D4" w14:textId="77777777" w:rsidR="00CA7ABD" w:rsidRDefault="00000000">
      <w:pPr>
        <w:rPr>
          <w:rFonts w:hint="eastAsia"/>
        </w:rPr>
      </w:pPr>
      <w:r>
        <w:t>17.3 The United States commits, permanently, to treat the verified maintenance of the settlement of this Part as the complete and final resolution of the Iranian nuclear file, and to normalize the treatment of the Iranian nuclear program in international bodies accordingly.</w:t>
      </w:r>
    </w:p>
    <w:p w14:paraId="7FD21148" w14:textId="77777777" w:rsidR="00CA7ABD" w:rsidRDefault="00000000">
      <w:pPr>
        <w:pStyle w:val="Heading2"/>
        <w:rPr>
          <w:rFonts w:hint="eastAsia"/>
        </w:rPr>
      </w:pPr>
      <w:r>
        <w:t>Article 18: The Stockpile Resolution (The 440-Kilogram Question)</w:t>
      </w:r>
    </w:p>
    <w:p w14:paraId="38EDED3E" w14:textId="77777777" w:rsidR="00CA7ABD" w:rsidRDefault="00000000">
      <w:pPr>
        <w:rPr>
          <w:rFonts w:hint="eastAsia"/>
        </w:rPr>
      </w:pPr>
      <w:r>
        <w:t>18.1 Inventory Day. On Day One of this Treaty, Iran provides the International Atomic Energy Agency a complete declaration and physical inventory of all enriched uranium on its territory, including all material enriched to 60 percent, all material dispersed or relocated during the conflict, and all feed, product, tails, and scrap. IAEA inspectors receive full access to all declared sites upon signature: Natanz, Fordow, Isfahan, and every location the declaration identifies. Access upon signature constitutes a Day One obligation, not a post-ratification aspiration.</w:t>
      </w:r>
    </w:p>
    <w:p w14:paraId="1AB3478E" w14:textId="77777777" w:rsidR="00CA7ABD" w:rsidRDefault="00000000">
      <w:pPr>
        <w:rPr>
          <w:rFonts w:hint="eastAsia"/>
        </w:rPr>
      </w:pPr>
      <w:r>
        <w:t>18.2 On-site down-blending. The entire stockpile of uranium enriched above 3.67 percent, including the approximately 440 kilograms of material enriched to 60 percent, down-blends to below 3.67 percent uranium-235 on Iranian territory, at declared facilities, under continuous IAEA supervision with in-room containment and surveillance. Down-blending completes within 30 days of Day Zero. The material never leaves Iranian territory, satisfying Red Line IR-2, and its weapons utility reaches zero, satisfying Red Line US-1. The architecture treats these two satisfactions as one indivisible act.</w:t>
      </w:r>
    </w:p>
    <w:p w14:paraId="6ACCD8DE" w14:textId="77777777" w:rsidR="00CA7ABD" w:rsidRDefault="00000000">
      <w:pPr>
        <w:rPr>
          <w:rFonts w:hint="eastAsia"/>
        </w:rPr>
      </w:pPr>
      <w:r>
        <w:t>18.3 Joint execution. The down-blending campaign operates as a trilateral technical program of Iran, the IAEA, and a United States technical liaison attached to the IAEA team, consistent with the demand architecture of the negotiation for joint disposition of the material. The United States liaison observes through the IAEA chain of custody and holds no independent authority on Iranian soil.</w:t>
      </w:r>
    </w:p>
    <w:p w14:paraId="4FA8A506" w14:textId="77777777" w:rsidR="00CA7ABD" w:rsidRDefault="00000000">
      <w:pPr>
        <w:rPr>
          <w:rFonts w:hint="eastAsia"/>
        </w:rPr>
      </w:pPr>
      <w:r>
        <w:t>18.4 Irreversibility. Down-blended material converts to fuel-appropriate chemical form under the schedule of Annex B. The architecture excludes re-enrichment pathways for the down-blended inventory through the caps of Article 19 and the continuous monitoring of Annex B.</w:t>
      </w:r>
    </w:p>
    <w:p w14:paraId="13CFB212" w14:textId="77777777" w:rsidR="00CA7ABD" w:rsidRDefault="00000000">
      <w:pPr>
        <w:rPr>
          <w:rFonts w:hint="eastAsia"/>
        </w:rPr>
      </w:pPr>
      <w:r>
        <w:t>18.5 Sequencing. The down-blending obligation activates Day One and completes Day 30. The first sanctions tranche of Part VIII pairs with verified completion of the inventory; the second tranche pairs with verified completion of down-blending. Verification first, relief second: the Reciprocity Ledger records the pairing.</w:t>
      </w:r>
    </w:p>
    <w:p w14:paraId="21EF1CAE" w14:textId="77777777" w:rsidR="00CA7ABD" w:rsidRDefault="00000000">
      <w:pPr>
        <w:pStyle w:val="Heading2"/>
        <w:rPr>
          <w:rFonts w:hint="eastAsia"/>
        </w:rPr>
      </w:pPr>
      <w:r>
        <w:t>Article 19: The Permanent Caps</w:t>
      </w:r>
    </w:p>
    <w:p w14:paraId="6D2C0544" w14:textId="77777777" w:rsidR="00CA7ABD" w:rsidRDefault="00000000">
      <w:pPr>
        <w:rPr>
          <w:rFonts w:hint="eastAsia"/>
        </w:rPr>
      </w:pPr>
      <w:r>
        <w:t>19.1 Enrichment ceiling. Enrichment on Iranian territory operates at or below 3.67 percent uranium-235, permanently.</w:t>
      </w:r>
    </w:p>
    <w:p w14:paraId="4CD2FB89" w14:textId="77777777" w:rsidR="00CA7ABD" w:rsidRDefault="00000000">
      <w:pPr>
        <w:rPr>
          <w:rFonts w:hint="eastAsia"/>
        </w:rPr>
      </w:pPr>
      <w:r>
        <w:t>19.2 Stockpile ceiling. The total stockpile of enriched uranium on Iranian territory operates at or below 300 kilograms of uranium enriched up to 3.67 percent, measured in uranium mass, permanently, with the excess above the ceiling converting to fuel elements or diluting on a running basis under Annex B.</w:t>
      </w:r>
    </w:p>
    <w:p w14:paraId="55089E18" w14:textId="77777777" w:rsidR="00CA7ABD" w:rsidRDefault="00000000">
      <w:pPr>
        <w:rPr>
          <w:rFonts w:hint="eastAsia"/>
        </w:rPr>
      </w:pPr>
      <w:r>
        <w:t>19.3 Capacity architecture. Installed enrichment capacity conforms to the Cascade Table of Annex B, sized to the fuel needs of the Bushehr reactor program and the Tehran Research Reactor on a rolling 15-year planning basis. Fordow converts to a non-enrichment nuclear, physics, and technology center under IAEA monitoring. Natanz and Isfahan operate within the declared configuration of Annex B.</w:t>
      </w:r>
    </w:p>
    <w:p w14:paraId="46A5EB11" w14:textId="77777777" w:rsidR="00CA7ABD" w:rsidRDefault="00000000">
      <w:pPr>
        <w:rPr>
          <w:rFonts w:hint="eastAsia"/>
        </w:rPr>
      </w:pPr>
      <w:r>
        <w:t>19.4 The caps carry no expiration. The framework architecture excludes sunset clauses from this Part. The verification intensity of Annex B follows a trust-graduated schedule: verification relaxes in form as clean certifications accumulate, and the caps themselves never relax.</w:t>
      </w:r>
    </w:p>
    <w:p w14:paraId="6637B7AD" w14:textId="77777777" w:rsidR="00CA7ABD" w:rsidRDefault="00000000">
      <w:pPr>
        <w:pStyle w:val="Heading2"/>
        <w:rPr>
          <w:rFonts w:hint="eastAsia"/>
        </w:rPr>
      </w:pPr>
      <w:r>
        <w:t>Article 20: The Verification and Inspection Settlement</w:t>
      </w:r>
    </w:p>
    <w:p w14:paraId="028E5326" w14:textId="77777777" w:rsidR="00CA7ABD" w:rsidRDefault="00000000">
      <w:pPr>
        <w:rPr>
          <w:rFonts w:hint="eastAsia"/>
        </w:rPr>
      </w:pPr>
      <w:r>
        <w:t>20.1 Iran applies the Additional Protocol provisionally from Day Zero and ratifies it within 12 months, and observes the modified Code 3.1 of the Subsidiary Arrangements permanently.</w:t>
      </w:r>
    </w:p>
    <w:p w14:paraId="2918907A" w14:textId="77777777" w:rsidR="00CA7ABD" w:rsidRDefault="00000000">
      <w:pPr>
        <w:rPr>
          <w:rFonts w:hint="eastAsia"/>
        </w:rPr>
      </w:pPr>
      <w:r>
        <w:t>20.2 Managed access. The IAEA exercises complementary access to declared sites on a continuous basis and managed access to undeclared locations under the challenge procedure of Annex B, which protects legitimate security interests through managed techniques while preserving the technical integrity of the inspection. The Annex B procedure resolves any access request within defined days, and unresolved access disputes escalate through the technical truth chain of Layer Two, never through political rupture.</w:t>
      </w:r>
    </w:p>
    <w:p w14:paraId="2E6B7097" w14:textId="77777777" w:rsidR="00CA7ABD" w:rsidRDefault="00000000">
      <w:pPr>
        <w:rPr>
          <w:rFonts w:hint="eastAsia"/>
        </w:rPr>
      </w:pPr>
      <w:r>
        <w:t>20.3 Outstanding safeguards issues. The Parties and the IAEA close the file of outstanding safeguards questions through the structured process of Annex B: Iran provides the technical accesses and explanations the Agency lists, the Agency reports closure to its Board of Governors, and the Board resolution of Annex C terminates the prior non-compliance findings in the same motion that endorses this settlement.</w:t>
      </w:r>
    </w:p>
    <w:p w14:paraId="6ACB1A48" w14:textId="77777777" w:rsidR="00CA7ABD" w:rsidRDefault="00000000">
      <w:pPr>
        <w:rPr>
          <w:rFonts w:hint="eastAsia"/>
        </w:rPr>
      </w:pPr>
      <w:r>
        <w:t>20.4 Continuous presence. The IAEA maintains a resident inspection office in Iran with standing access to enrichment sites, environmental sampling, online enrichment monitors, and real-time cascade telemetry feeding the Shared Digital Registry under the data rules of Layer Two.</w:t>
      </w:r>
    </w:p>
    <w:p w14:paraId="0CBC3CA9" w14:textId="77777777" w:rsidR="00CA7ABD" w:rsidRDefault="00000000">
      <w:pPr>
        <w:rPr>
          <w:rFonts w:hint="eastAsia"/>
        </w:rPr>
      </w:pPr>
      <w:r>
        <w:t>20.5 Long-duration supply assurance. The Fuel Assurance Window of Annex B guarantees Iran fuel supply for power and research reactors at market terms through an international consortium, removing the scarcity argument for excess capacity while leaving the sovereign choice of supply with Iran.</w:t>
      </w:r>
    </w:p>
    <w:p w14:paraId="2C6FE6A7" w14:textId="77777777" w:rsidR="00CA7ABD" w:rsidRDefault="00000000">
      <w:pPr>
        <w:pStyle w:val="Heading2"/>
        <w:rPr>
          <w:rFonts w:hint="eastAsia"/>
        </w:rPr>
      </w:pPr>
      <w:r>
        <w:t>Article 21: The Nuclear Firewall</w:t>
      </w:r>
    </w:p>
    <w:p w14:paraId="5BF0648A" w14:textId="77777777" w:rsidR="00CA7ABD" w:rsidRDefault="00000000">
      <w:pPr>
        <w:rPr>
          <w:rFonts w:hint="eastAsia"/>
        </w:rPr>
      </w:pPr>
      <w:r>
        <w:t>21.1 The nuclear module operates as an independent track under the Partial Success Doctrine. No dispute in the maritime, financial, or regional modules suspends the nuclear verification regime, and no nuclear dispute suspends the humanitarian, corridor, or reconstruction modules, absent certification under the Consensus Minus One rule.</w:t>
      </w:r>
    </w:p>
    <w:p w14:paraId="304DF41A" w14:textId="77777777" w:rsidR="00CA7ABD" w:rsidRDefault="00000000">
      <w:pPr>
        <w:rPr>
          <w:rFonts w:hint="eastAsia"/>
        </w:rPr>
      </w:pPr>
      <w:r>
        <w:t>21.2 The framework architecture excludes military action against the nuclear facilities of Iran as an enforcement instrument of this Treaty. Compliance failures route exclusively through the Cothrom engine of Layer Two. The No Automatic Military Escalation Clause of Layer Two restates this exclusion as absolute and non-waivable.</w:t>
      </w:r>
    </w:p>
    <w:p w14:paraId="399A477D" w14:textId="77777777" w:rsidR="00CA7ABD" w:rsidRDefault="00CA7ABD">
      <w:pPr>
        <w:pageBreakBefore/>
        <w:rPr>
          <w:rFonts w:hint="eastAsia"/>
        </w:rPr>
      </w:pPr>
    </w:p>
    <w:p w14:paraId="6EB5492B" w14:textId="77777777" w:rsidR="00CA7ABD" w:rsidRDefault="00000000">
      <w:pPr>
        <w:pStyle w:val="Heading1"/>
        <w:rPr>
          <w:rFonts w:hint="eastAsia"/>
        </w:rPr>
      </w:pPr>
      <w:r>
        <w:t>PART VI: THE PERMANENT GOVERNANCE OF THE STRAIT OF HORMUZ</w:t>
      </w:r>
    </w:p>
    <w:p w14:paraId="3BC4F0C1" w14:textId="77777777" w:rsidR="00CA7ABD" w:rsidRDefault="00000000">
      <w:pPr>
        <w:pStyle w:val="Heading2"/>
        <w:rPr>
          <w:rFonts w:hint="eastAsia"/>
        </w:rPr>
      </w:pPr>
      <w:r>
        <w:t>Article 22: The Governance Area and the Corridor System</w:t>
      </w:r>
    </w:p>
    <w:p w14:paraId="0D54F8F4" w14:textId="77777777" w:rsidR="00CA7ABD" w:rsidRDefault="00000000">
      <w:pPr>
        <w:rPr>
          <w:rFonts w:hint="eastAsia"/>
        </w:rPr>
      </w:pPr>
      <w:r>
        <w:t>22.1 The Governance Area. The Strait of Hormuz Governance Area comprises the waters bounded by the polygon of Annex A, from the approaches off Musandam to the line northwest of Qeshm, as charted in the Neutral Coordinate Registry that the Depositary and the IMO jointly hold.</w:t>
      </w:r>
    </w:p>
    <w:p w14:paraId="0FDF5E25" w14:textId="77777777" w:rsidR="00CA7ABD" w:rsidRDefault="00000000">
      <w:pPr>
        <w:rPr>
          <w:rFonts w:hint="eastAsia"/>
        </w:rPr>
      </w:pPr>
      <w:r>
        <w:t>22.2 The Three Corridors. Transit through the Governance Area flows through three corridors:</w:t>
      </w:r>
    </w:p>
    <w:p w14:paraId="072B5915" w14:textId="77777777" w:rsidR="00CA7ABD" w:rsidRDefault="00000000">
      <w:pPr>
        <w:ind w:left="360"/>
        <w:rPr>
          <w:rFonts w:hint="eastAsia"/>
        </w:rPr>
      </w:pPr>
      <w:r>
        <w:rPr>
          <w:color w:val="37474F"/>
        </w:rPr>
        <w:t>•</w:t>
      </w:r>
      <w:r>
        <w:t>Corridor One, the Northern Stewardship Corridor: the inbound lane through Iranian territorial waters, administered by Iran as coastal state within the rules of this Part.</w:t>
      </w:r>
    </w:p>
    <w:p w14:paraId="2505317A" w14:textId="77777777" w:rsidR="00CA7ABD" w:rsidRDefault="00000000">
      <w:pPr>
        <w:ind w:left="360"/>
        <w:rPr>
          <w:rFonts w:hint="eastAsia"/>
        </w:rPr>
      </w:pPr>
      <w:r>
        <w:rPr>
          <w:color w:val="37474F"/>
        </w:rPr>
        <w:t>•</w:t>
      </w:r>
      <w:r>
        <w:t>Corridor Two, the Central Buffer Corridor: the jointly managed middle lane, administered by the Joint Hormuz Authority under the Twin-Key Rule.</w:t>
      </w:r>
    </w:p>
    <w:p w14:paraId="5347EDA9" w14:textId="77777777" w:rsidR="00CA7ABD" w:rsidRDefault="00000000">
      <w:pPr>
        <w:ind w:left="360"/>
        <w:rPr>
          <w:rFonts w:hint="eastAsia"/>
        </w:rPr>
      </w:pPr>
      <w:r>
        <w:rPr>
          <w:color w:val="37474F"/>
        </w:rPr>
        <w:t>•</w:t>
      </w:r>
      <w:r>
        <w:t>Corridor Three, the Southern Assurance Corridor: the outbound lane through Omani territorial waters, administered by Oman as coastal state, with the segment transiting Iranian waters operating under the standing concurrence recorded in Annex A.</w:t>
      </w:r>
    </w:p>
    <w:p w14:paraId="09754C28" w14:textId="77777777" w:rsidR="00CA7ABD" w:rsidRDefault="00000000">
      <w:pPr>
        <w:rPr>
          <w:rFonts w:hint="eastAsia"/>
        </w:rPr>
      </w:pPr>
      <w:r>
        <w:t>22.3 The wartime lane sunset. The temporary wartime routing arrangements, including the single-channel routing and prior-approval mechanisms of the conflict period, terminate on Day Zero and convert into the notification regime of Article 23. The Iran-Oman temporary corridor understanding of 2026 converts, with the concurrence of both coastal states, into the permanent corridor system of this Article.</w:t>
      </w:r>
    </w:p>
    <w:p w14:paraId="73F75340" w14:textId="77777777" w:rsidR="00CA7ABD" w:rsidRDefault="00000000">
      <w:pPr>
        <w:rPr>
          <w:rFonts w:hint="eastAsia"/>
        </w:rPr>
      </w:pPr>
      <w:r>
        <w:t>22.4 Corridor modification proceeds through the Joint Hormuz Authority with IMO certification, under the Twin-Key Rule, and never unilaterally.</w:t>
      </w:r>
    </w:p>
    <w:p w14:paraId="7241AB58" w14:textId="77777777" w:rsidR="00CA7ABD" w:rsidRDefault="00000000">
      <w:pPr>
        <w:pStyle w:val="Heading2"/>
        <w:rPr>
          <w:rFonts w:hint="eastAsia"/>
        </w:rPr>
      </w:pPr>
      <w:r>
        <w:t>Article 23: Notification, Not Permission</w:t>
      </w:r>
    </w:p>
    <w:p w14:paraId="5C573ACA" w14:textId="77777777" w:rsidR="00CA7ABD" w:rsidRDefault="00000000">
      <w:pPr>
        <w:rPr>
          <w:rFonts w:hint="eastAsia"/>
        </w:rPr>
      </w:pPr>
      <w:r>
        <w:t>23.1 Transit operates on file-and-acknowledge. A transiting vessel files a Vessel Intent Form through the common channel; the Maritime Coordination Center acknowledges receipt with a track number and routing assignment; the vessel transits. The framework architecture excludes permit requirements, prior approval, and condition-based passage for commercial vessels.</w:t>
      </w:r>
    </w:p>
    <w:p w14:paraId="19773FE9" w14:textId="77777777" w:rsidR="00CA7ABD" w:rsidRDefault="00000000">
      <w:pPr>
        <w:rPr>
          <w:rFonts w:hint="eastAsia"/>
        </w:rPr>
      </w:pPr>
      <w:r>
        <w:t>23.2 The acknowledgement arrives within 60 minutes of filing, automatically. Absence of acknowledgement within 60 minutes constitutes acknowledgement by default. Silence never strands a ship.</w:t>
      </w:r>
    </w:p>
    <w:p w14:paraId="0EDB9009" w14:textId="77777777" w:rsidR="00CA7ABD" w:rsidRDefault="00000000">
      <w:pPr>
        <w:rPr>
          <w:rFonts w:hint="eastAsia"/>
        </w:rPr>
      </w:pPr>
      <w:r>
        <w:t>23.3 Vessel classification and differentiated treatment follow the schedule of Annex A: commercial vessels in ordinary trade; humanitarian vessels with absolute priority; naval and state vessels under the notification-plus regime of Article 25; and vessels in distress under the rescue regime of the Standing Rules.</w:t>
      </w:r>
    </w:p>
    <w:p w14:paraId="18315A33" w14:textId="77777777" w:rsidR="00CA7ABD" w:rsidRDefault="00000000">
      <w:pPr>
        <w:rPr>
          <w:rFonts w:hint="eastAsia"/>
        </w:rPr>
      </w:pPr>
      <w:r>
        <w:t>23.4 The Absolute Non-Interdiction Protocol. Commercial transit operates under an absolute non-interdiction rule within the framework. No organ, force, or agent of any Party boards, diverts, detains, or interdicts a commercial vessel in transit within the Governance Area, except under the narrow safety and environmental exceptions of Annex A executed by the Joint Hormuz Authority under the Twin-Key Rule, with every exception logged, justified, and reviewable.</w:t>
      </w:r>
    </w:p>
    <w:p w14:paraId="385E2175" w14:textId="77777777" w:rsidR="00CA7ABD" w:rsidRDefault="00000000">
      <w:pPr>
        <w:pStyle w:val="Heading2"/>
        <w:rPr>
          <w:rFonts w:hint="eastAsia"/>
        </w:rPr>
      </w:pPr>
      <w:r>
        <w:t>Article 24: The Joint Hormuz Authority</w:t>
      </w:r>
    </w:p>
    <w:p w14:paraId="0E36518F" w14:textId="77777777" w:rsidR="00CA7ABD" w:rsidRDefault="00000000">
      <w:pPr>
        <w:rPr>
          <w:rFonts w:hint="eastAsia"/>
        </w:rPr>
      </w:pPr>
      <w:r>
        <w:t>24.1 Establishment. The Parties establish the Joint Hormuz Authority, a permanent civilian institution with international legal personality, headquartered in Muscat with a liaison office in Bandar Abbas. The Authority comprises the Authority Council, the Secretariat, the Maritime Coordination Center, and the Verification and Surveillance Directorate.</w:t>
      </w:r>
    </w:p>
    <w:p w14:paraId="54E39C70" w14:textId="77777777" w:rsidR="00CA7ABD" w:rsidRDefault="00000000">
      <w:pPr>
        <w:rPr>
          <w:rFonts w:hint="eastAsia"/>
        </w:rPr>
      </w:pPr>
      <w:r>
        <w:t>24.2 The Council. Voting seats: Iran, Oman. Observer seats with voice: the United States, the Gulf Cooperation Council collectively, the IMO, and one rotating seat for a major shipping nation elected annually by the Stakeholder Panel. Decisions of the Council take effect by consensus of the voting seats on corridor, safety, and financial matters, consistent with the Twin-Key Rule.</w:t>
      </w:r>
    </w:p>
    <w:p w14:paraId="3AF54516" w14:textId="77777777" w:rsidR="00CA7ABD" w:rsidRDefault="00000000">
      <w:pPr>
        <w:rPr>
          <w:rFonts w:hint="eastAsia"/>
        </w:rPr>
      </w:pPr>
      <w:r>
        <w:t>24.3 The Twin-Key Rule. No consequential action within the Governance Area executes on one key. Consequential actions, meaning corridor modification, flow-state changes, safety exceptions to non-interdiction, and fee-schedule changes within the services architecture, execute only with the concurrence of both coastal-state keys. The Rule converts control into shared administration: Iran holds a recognized, institutionalized administrative role (satisfying Red Line IR-4), and no state holds unilateral control of the waterway (satisfying Red Line US-2 and the Gulf interest).</w:t>
      </w:r>
    </w:p>
    <w:p w14:paraId="6E683302" w14:textId="77777777" w:rsidR="00CA7ABD" w:rsidRDefault="00000000">
      <w:pPr>
        <w:rPr>
          <w:rFonts w:hint="eastAsia"/>
        </w:rPr>
      </w:pPr>
      <w:r>
        <w:t>24.4 The PGSA Transition Protocol. The Persian Gulf Strait Authority established by Iran in June 2026 transitions into the Iranian technical component within the operational directorate of the Joint Hormuz Authority. The transition is functional: the permit-issuing function terminates and converts into the notification protocol of Article 23; the traffic-coordination, hazard-bulletin, and environmental-monitoring functions continue under the joint civilian structure. The transition delivers the recognized Iranian administrative role within a structure in which the other Parties participate.</w:t>
      </w:r>
    </w:p>
    <w:p w14:paraId="2E79C1A6" w14:textId="77777777" w:rsidR="00CA7ABD" w:rsidRDefault="00000000">
      <w:pPr>
        <w:rPr>
          <w:rFonts w:hint="eastAsia"/>
        </w:rPr>
      </w:pPr>
      <w:r>
        <w:t>24.5 The Maritime Coordination Center operates 24/7 with joint staffing, the common channel, the Standing Logbook, the incident-alert mesh, and the Open Water Bulletin, which publishes flow states, hazard notices, and corridor status to the world in near-real time.</w:t>
      </w:r>
    </w:p>
    <w:p w14:paraId="1006C2C4" w14:textId="77777777" w:rsidR="00CA7ABD" w:rsidRDefault="00000000">
      <w:pPr>
        <w:rPr>
          <w:rFonts w:hint="eastAsia"/>
        </w:rPr>
      </w:pPr>
      <w:r>
        <w:t>24.6 Budget discipline. The Authority operates on the budget of Annex D, funded through the Tri-Channel system of Part VII, with an annual independent audit published on the transparency dashboard.</w:t>
      </w:r>
    </w:p>
    <w:p w14:paraId="6E6A9B4A" w14:textId="77777777" w:rsidR="00CA7ABD" w:rsidRDefault="00000000">
      <w:pPr>
        <w:pStyle w:val="Heading2"/>
        <w:rPr>
          <w:rFonts w:hint="eastAsia"/>
        </w:rPr>
      </w:pPr>
      <w:r>
        <w:t>Article 25: Naval and Military Transit</w:t>
      </w:r>
    </w:p>
    <w:p w14:paraId="0AD447AB" w14:textId="77777777" w:rsidR="00CA7ABD" w:rsidRDefault="00000000">
      <w:pPr>
        <w:rPr>
          <w:rFonts w:hint="eastAsia"/>
        </w:rPr>
      </w:pPr>
      <w:r>
        <w:t>25.1 Naval and state vessels transit under notification-plus: filing of intent 48 hours ahead, acknowledgment through the Standing Channel, and transit in ordinary formation without hostile profiles. The framework architecture excludes interference with lawful naval transit, and excludes provocative profile within the Governance Area.</w:t>
      </w:r>
    </w:p>
    <w:p w14:paraId="0CCE2040" w14:textId="77777777" w:rsidR="00CA7ABD" w:rsidRDefault="00000000">
      <w:pPr>
        <w:rPr>
          <w:rFonts w:hint="eastAsia"/>
        </w:rPr>
      </w:pPr>
      <w:r>
        <w:t>25.2 The United States Transit Assurance. United States naval vessels transit the Governance Area under the same notification-plus regime as all states, and the framework architecture records the assurance of the United States that its naval posture in the region serves the steady-state baseline of Article 15. Symmetrically, the framework records the assurance of Iran that coastal-defense profiles remain non-targeting toward transiting vessels. Both assurances verify through the fused picture of Layer Two.</w:t>
      </w:r>
    </w:p>
    <w:p w14:paraId="5AB7E268" w14:textId="77777777" w:rsidR="00CA7ABD" w:rsidRDefault="00000000">
      <w:pPr>
        <w:pStyle w:val="Heading2"/>
        <w:rPr>
          <w:rFonts w:hint="eastAsia"/>
        </w:rPr>
      </w:pPr>
      <w:r>
        <w:t>Article 26: Mine Clearance and Hazard Certification</w:t>
      </w:r>
    </w:p>
    <w:p w14:paraId="5B75A199" w14:textId="77777777" w:rsidR="00CA7ABD" w:rsidRDefault="00000000">
      <w:pPr>
        <w:rPr>
          <w:rFonts w:hint="eastAsia"/>
        </w:rPr>
      </w:pPr>
      <w:r>
        <w:t>26.1 The Joint Mine Action Program clears and certifies the Governance Area. The program operates under the Joint Hormuz Authority with the participation of Iranian, Omani, and invited multinational mine-countermeasure assets, and with UNMAS coordination for the approaches.</w:t>
      </w:r>
    </w:p>
    <w:p w14:paraId="4AC5410D" w14:textId="77777777" w:rsidR="00CA7ABD" w:rsidRDefault="00000000">
      <w:pPr>
        <w:rPr>
          <w:rFonts w:hint="eastAsia"/>
        </w:rPr>
      </w:pPr>
      <w:r>
        <w:t>26.2 The program executes in parallel with the opening: Corridor Three certifies first (Day 10 target), Corridor Two second (Day 20 target), Corridor One third (Day 30 target). Certification publishes through the IMO registry as the Seal of Safe Transit upon completion of each corridor sweep.</w:t>
      </w:r>
    </w:p>
    <w:p w14:paraId="0C5D5ABB" w14:textId="77777777" w:rsidR="00CA7ABD" w:rsidRDefault="00000000">
      <w:pPr>
        <w:rPr>
          <w:rFonts w:hint="eastAsia"/>
        </w:rPr>
      </w:pPr>
      <w:r>
        <w:t>26.3 Hazard data, including mine locations as reported by all parties, flows into the Joint Drift-Prediction and Hazard Model and the Shared Weather and Hazard Service, which operate permanently as services of the Authority.</w:t>
      </w:r>
    </w:p>
    <w:p w14:paraId="746E6497" w14:textId="77777777" w:rsidR="00CA7ABD" w:rsidRDefault="00CA7ABD">
      <w:pPr>
        <w:pageBreakBefore/>
        <w:rPr>
          <w:rFonts w:hint="eastAsia"/>
        </w:rPr>
      </w:pPr>
    </w:p>
    <w:p w14:paraId="4A15D896" w14:textId="77777777" w:rsidR="00CA7ABD" w:rsidRDefault="00000000">
      <w:pPr>
        <w:pStyle w:val="Heading1"/>
        <w:rPr>
          <w:rFonts w:hint="eastAsia"/>
        </w:rPr>
      </w:pPr>
      <w:r>
        <w:t>PART VII: THE FEES RESOLUTION (THE GRAND BARGAIN OF THE STRAIT)</w:t>
      </w:r>
    </w:p>
    <w:p w14:paraId="4322C357" w14:textId="77777777" w:rsidR="00CA7ABD" w:rsidRDefault="00000000">
      <w:pPr>
        <w:pStyle w:val="Heading2"/>
        <w:rPr>
          <w:rFonts w:hint="eastAsia"/>
        </w:rPr>
      </w:pPr>
      <w:r>
        <w:t>Article 27: The Zero-Toll Covenant</w:t>
      </w:r>
    </w:p>
    <w:p w14:paraId="27ACBA12" w14:textId="77777777" w:rsidR="00CA7ABD" w:rsidRDefault="00000000">
      <w:pPr>
        <w:rPr>
          <w:rFonts w:hint="eastAsia"/>
        </w:rPr>
      </w:pPr>
      <w:r>
        <w:t>27.1 The framework architecture excludes tolls, charges, fees, dues, or any mandatory payment as a condition of passage through the Strait of Hormuz, in both directions, for all vessels, permanently. Passage is free. This covenant satisfies Red Line US-2 as a permanent feature of the architecture, and it carries no sunset and no exception.</w:t>
      </w:r>
    </w:p>
    <w:p w14:paraId="286B19BC" w14:textId="77777777" w:rsidR="00CA7ABD" w:rsidRDefault="00000000">
      <w:pPr>
        <w:rPr>
          <w:rFonts w:hint="eastAsia"/>
        </w:rPr>
      </w:pPr>
      <w:r>
        <w:t>27.2 The Zero-Toll Covenant binds every organ of this Treaty and every participating institution. No corridor authority, no fund, no escrow, and no future amendment reintroduces a charge on passage. The Perimeter Test returns any such proposal automatically.</w:t>
      </w:r>
    </w:p>
    <w:p w14:paraId="2FC708EE" w14:textId="77777777" w:rsidR="00CA7ABD" w:rsidRDefault="00000000">
      <w:pPr>
        <w:pStyle w:val="Heading2"/>
        <w:rPr>
          <w:rFonts w:hint="eastAsia"/>
        </w:rPr>
      </w:pPr>
      <w:r>
        <w:t>Article 28: The Service Distinction and the Verified Services Catalog</w:t>
      </w:r>
    </w:p>
    <w:p w14:paraId="01AE5ED1" w14:textId="77777777" w:rsidR="00CA7ABD" w:rsidRDefault="00000000">
      <w:pPr>
        <w:rPr>
          <w:rFonts w:hint="eastAsia"/>
        </w:rPr>
      </w:pPr>
      <w:r>
        <w:t>28.1 The law of the sea distinguishes passage from services. The framework prices services, never passage. Annex A publishes the Verified Services Catalog: pilotage, tug assistance, deep-draft escort through the buffer corridor, search and rescue beyond standing obligations, environmental response standby, wreck removal, navigational data products, and the scheduled convoy-window program.</w:t>
      </w:r>
    </w:p>
    <w:p w14:paraId="19782EED" w14:textId="77777777" w:rsidR="00CA7ABD" w:rsidRDefault="00000000">
      <w:pPr>
        <w:rPr>
          <w:rFonts w:hint="eastAsia"/>
        </w:rPr>
      </w:pPr>
      <w:r>
        <w:t>28.2 Vessels request services at their election. A vessel that requests no service pays nothing, transits freely, and owes nothing. The request, the service, and the payment each log in the Registry, and the Joint Hormuz Authority publishes the rate schedule annually.</w:t>
      </w:r>
    </w:p>
    <w:p w14:paraId="32ACFA04" w14:textId="77777777" w:rsidR="00CA7ABD" w:rsidRDefault="00000000">
      <w:pPr>
        <w:rPr>
          <w:rFonts w:hint="eastAsia"/>
        </w:rPr>
      </w:pPr>
      <w:r>
        <w:t>28.3 Service charges are non-discriminatory, cost-related, and identical for all flags. The Heavy-User Cap guarantees that no single operator's annual service charges exceed the cap of Annex D, delivering predictability to the largest tanker and gas fleets. The Green Discount applies a sliding reduction for vessels meeting the emissions standard of Annex D, turning the tariff book into an environmental instrument.</w:t>
      </w:r>
    </w:p>
    <w:p w14:paraId="3100339C" w14:textId="77777777" w:rsidR="00CA7ABD" w:rsidRDefault="00000000">
      <w:pPr>
        <w:pStyle w:val="Heading2"/>
        <w:rPr>
          <w:rFonts w:hint="eastAsia"/>
        </w:rPr>
      </w:pPr>
      <w:r>
        <w:t>Article 29: The Hormuz Maritime Stewardship Fund</w:t>
      </w:r>
    </w:p>
    <w:p w14:paraId="6FC8BE70" w14:textId="77777777" w:rsidR="00CA7ABD" w:rsidRDefault="00000000">
      <w:pPr>
        <w:rPr>
          <w:rFonts w:hint="eastAsia"/>
        </w:rPr>
      </w:pPr>
      <w:r>
        <w:t>29.1 The Parties establish the Hormuz Maritime Stewardship Fund, modeled on the cooperative arrangement of the Strait of Malacca, administered by the Joint Hormuz Authority with the Qatar Central Bank as financial agent under the neutral-escrow architecture.</w:t>
      </w:r>
    </w:p>
    <w:p w14:paraId="033EB591" w14:textId="77777777" w:rsidR="00CA7ABD" w:rsidRDefault="00000000">
      <w:pPr>
        <w:rPr>
          <w:rFonts w:hint="eastAsia"/>
        </w:rPr>
      </w:pPr>
      <w:r>
        <w:t>29.2 Sources of the Fund: voluntary contributions of user states and shipping nations; voluntary industry contributions through the classification societies and P&amp;I clubs; a dedicated allocation from the insurance channel of Article 30; contributions of the coastal states; and grants of international bodies. The Fund finances: navigation aids, the hazard service, environmental protection and response capacity, search and rescue, the mine-action reserve, and the operating budget of the Authority.</w:t>
      </w:r>
    </w:p>
    <w:p w14:paraId="17C83E4A" w14:textId="77777777" w:rsidR="00CA7ABD" w:rsidRDefault="00000000">
      <w:pPr>
        <w:rPr>
          <w:rFonts w:hint="eastAsia"/>
        </w:rPr>
      </w:pPr>
      <w:r>
        <w:t>29.3 The voluntary character of the Fund preserves the Zero-Toll Covenant absolutely. No vessel conditions passage upon contribution. The Fund publishes its contributors and its accounts quarterly, and the social license of the system, not any legal compulsion, sustains it. The Malacca experience demonstrates the model: a cooperative fund sustains services without a single compulsory charge on passage.</w:t>
      </w:r>
    </w:p>
    <w:p w14:paraId="780A62B7" w14:textId="77777777" w:rsidR="00CA7ABD" w:rsidRDefault="00000000">
      <w:pPr>
        <w:rPr>
          <w:rFonts w:hint="eastAsia"/>
        </w:rPr>
      </w:pPr>
      <w:r>
        <w:t>29.4 The route assurance data service. The Authority offers a Route Assurance Data Subscription: verified safety, tracking, weather, and hazard data products for fleets and insurers, priced as a commercial data product under Annex D. The subscription wraps value in a product, never in a condition of passage, and operates as a revenue line of the Fund.</w:t>
      </w:r>
    </w:p>
    <w:p w14:paraId="417A026A" w14:textId="77777777" w:rsidR="00CA7ABD" w:rsidRDefault="00000000">
      <w:pPr>
        <w:pStyle w:val="Heading2"/>
        <w:rPr>
          <w:rFonts w:hint="eastAsia"/>
        </w:rPr>
      </w:pPr>
      <w:r>
        <w:t>Article 30: The Insurance Channel and the War-Risk Normalization</w:t>
      </w:r>
    </w:p>
    <w:p w14:paraId="00BB60C6" w14:textId="77777777" w:rsidR="00CA7ABD" w:rsidRDefault="00000000">
      <w:pPr>
        <w:rPr>
          <w:rFonts w:hint="eastAsia"/>
        </w:rPr>
      </w:pPr>
      <w:r>
        <w:t>30.1 The war-risk premium architecture converts into the stability dividend. Upon certification of each corridor under Article 26 and upon each clean Stability Audit, the Stakeholder Panel of shipping and insurance representatives issues the market signal for premium reduction, and the Panel issues the Confidence Trigger upon 180 consecutive days of stable operation, recommending normalization of premiums to the pre-conflict baseline. The Council responds to the Confidence Trigger within 30 days, and silence constitutes acceptance.</w:t>
      </w:r>
    </w:p>
    <w:p w14:paraId="2F7C2B40" w14:textId="77777777" w:rsidR="00CA7ABD" w:rsidRDefault="00000000">
      <w:pPr>
        <w:rPr>
          <w:rFonts w:hint="eastAsia"/>
        </w:rPr>
      </w:pPr>
      <w:r>
        <w:t>30.2 A defined fraction of war-risk and transit premiums during the normalization period flows into the Fund through the insurance channel: insurers collect the fraction within the premium the market already bears, and remit it to the Fund as a stewardship contribution. The charge rides a commercial risk product, never the act of passage, and it sunsets automatically upon premium normalization.</w:t>
      </w:r>
    </w:p>
    <w:p w14:paraId="49940D3E" w14:textId="77777777" w:rsidR="00CA7ABD" w:rsidRDefault="00000000">
      <w:pPr>
        <w:rPr>
          <w:rFonts w:hint="eastAsia"/>
        </w:rPr>
      </w:pPr>
      <w:r>
        <w:t>30.3 Port-of-origin processing. Administrative documentation for Strait services processes at the port of origin through the Authority's documentation window, as a service of the port call rather than of the transit. This placement reinforces the legal character of every charge as payment for processing and services, not for passage.</w:t>
      </w:r>
    </w:p>
    <w:p w14:paraId="4FCCE471" w14:textId="77777777" w:rsidR="00CA7ABD" w:rsidRDefault="00000000">
      <w:pPr>
        <w:pStyle w:val="Heading2"/>
        <w:rPr>
          <w:rFonts w:hint="eastAsia"/>
        </w:rPr>
      </w:pPr>
      <w:r>
        <w:t>Article 31: The Iranian Revenue Settlement</w:t>
      </w:r>
    </w:p>
    <w:p w14:paraId="0264AE34" w14:textId="77777777" w:rsidR="00CA7ABD" w:rsidRDefault="00000000">
      <w:pPr>
        <w:rPr>
          <w:rFonts w:hint="eastAsia"/>
        </w:rPr>
      </w:pPr>
      <w:r>
        <w:t>31.1 The settlement of the fees question completes in three channels, none of which is a toll:</w:t>
      </w:r>
    </w:p>
    <w:p w14:paraId="6B7BAAA0" w14:textId="77777777" w:rsidR="00CA7ABD" w:rsidRDefault="00000000">
      <w:pPr>
        <w:ind w:left="360"/>
        <w:rPr>
          <w:rFonts w:hint="eastAsia"/>
        </w:rPr>
      </w:pPr>
      <w:r>
        <w:rPr>
          <w:color w:val="37474F"/>
        </w:rPr>
        <w:t>•</w:t>
      </w:r>
      <w:r>
        <w:t>Channel One: the service revenues of the Verified Services Catalog, in which the Iranian component of the joint services apparatus earns the commercial value of the services it delivers.</w:t>
      </w:r>
    </w:p>
    <w:p w14:paraId="024D9CA4" w14:textId="77777777" w:rsidR="00CA7ABD" w:rsidRDefault="00000000">
      <w:pPr>
        <w:ind w:left="360"/>
        <w:rPr>
          <w:rFonts w:hint="eastAsia"/>
        </w:rPr>
      </w:pPr>
      <w:r>
        <w:rPr>
          <w:color w:val="37474F"/>
        </w:rPr>
        <w:t>•</w:t>
      </w:r>
      <w:r>
        <w:t>Channel Two: the Stewardship Fund, in which the multilateral community finances the stewardship functions the coastal states perform, with disbursement shares per Annex D.</w:t>
      </w:r>
    </w:p>
    <w:p w14:paraId="767EE1F8" w14:textId="77777777" w:rsidR="00CA7ABD" w:rsidRDefault="00000000">
      <w:pPr>
        <w:ind w:left="360"/>
        <w:rPr>
          <w:rFonts w:hint="eastAsia"/>
        </w:rPr>
      </w:pPr>
      <w:r>
        <w:rPr>
          <w:color w:val="37474F"/>
        </w:rPr>
        <w:t>•</w:t>
      </w:r>
      <w:r>
        <w:t>Channel Three: the Hormuz Development Facility within Annex RDF, under which the reconstruction architecture prioritizes the coastal provinces and the maritime infrastructure of Iran within the reconstruction program, delivering economic development at a scale no toll could reach.</w:t>
      </w:r>
    </w:p>
    <w:p w14:paraId="7CAFCF3E" w14:textId="77777777" w:rsidR="00CA7ABD" w:rsidRDefault="00000000">
      <w:pPr>
        <w:rPr>
          <w:rFonts w:hint="eastAsia"/>
        </w:rPr>
      </w:pPr>
      <w:r>
        <w:t>31.2 The Reciprocity Ledger records the pairing: the Zero-Toll Covenant of Article 27 pairs with the three channels of this Article and with the reconstruction prioritization of Annex RDF. The pairing satisfies the Iranian interest in recognized stewardship and economic benefit, the American red line against tolls, the Omani interest in cooperative administration, and the Gulf interest in a boring, predictable waterway.</w:t>
      </w:r>
    </w:p>
    <w:p w14:paraId="7FAE80DF" w14:textId="77777777" w:rsidR="00CA7ABD" w:rsidRDefault="00000000">
      <w:pPr>
        <w:rPr>
          <w:rFonts w:hint="eastAsia"/>
        </w:rPr>
      </w:pPr>
      <w:r>
        <w:t>31.3 The success metric of this Part is boredom. The architecture succeeds when the Strait becomes a mundane administrative waterway: ships file, ships transit, services price like services anywhere, and the politics of the Strait exits the front page. The Boredom Standard governs the annual review of this Part.</w:t>
      </w:r>
    </w:p>
    <w:p w14:paraId="6492D4E2" w14:textId="77777777" w:rsidR="00CA7ABD" w:rsidRDefault="00000000">
      <w:pPr>
        <w:pStyle w:val="Heading2"/>
        <w:rPr>
          <w:rFonts w:hint="eastAsia"/>
        </w:rPr>
      </w:pPr>
      <w:r>
        <w:t>Article 32: The Legacy Annex and the Confidence Memorandum</w:t>
      </w:r>
    </w:p>
    <w:p w14:paraId="6FFDD544" w14:textId="77777777" w:rsidR="00CA7ABD" w:rsidRDefault="00000000">
      <w:pPr>
        <w:rPr>
          <w:rFonts w:hint="eastAsia"/>
        </w:rPr>
      </w:pPr>
      <w:r>
        <w:t>32.1 Annex D records the historical context of the fees dispute, acknowledges its political sensitivity, and memorializes the confidence-building measures that resolved it. The architecture treats the memory of the dispute as institutional knowledge, not as open grievance.</w:t>
      </w:r>
    </w:p>
    <w:p w14:paraId="77EB7282" w14:textId="77777777" w:rsidR="00CA7ABD" w:rsidRDefault="00000000">
      <w:pPr>
        <w:rPr>
          <w:rFonts w:hint="eastAsia"/>
        </w:rPr>
      </w:pPr>
      <w:r>
        <w:t>32.2 The phased activation record: the temporary toll-free window of the Memorandum, the interim Iran-Oman corridor arrangement, and the early fee simulation of the crisis period each form steps on the record that produced this settlement, and the Registry preserves them for audit and for history.</w:t>
      </w:r>
    </w:p>
    <w:p w14:paraId="1E94D925" w14:textId="77777777" w:rsidR="00CA7ABD" w:rsidRDefault="00CA7ABD">
      <w:pPr>
        <w:pageBreakBefore/>
        <w:rPr>
          <w:rFonts w:hint="eastAsia"/>
        </w:rPr>
      </w:pPr>
    </w:p>
    <w:p w14:paraId="4F5B13EB" w14:textId="77777777" w:rsidR="00CA7ABD" w:rsidRDefault="00000000">
      <w:pPr>
        <w:pStyle w:val="Heading1"/>
        <w:rPr>
          <w:rFonts w:hint="eastAsia"/>
        </w:rPr>
      </w:pPr>
      <w:r>
        <w:t>PART VIII: THE SANCTIONS TERMINATION PROTOCOL</w:t>
      </w:r>
    </w:p>
    <w:p w14:paraId="7417F00A" w14:textId="77777777" w:rsidR="00CA7ABD" w:rsidRDefault="00000000">
      <w:pPr>
        <w:pStyle w:val="Heading2"/>
        <w:rPr>
          <w:rFonts w:hint="eastAsia"/>
        </w:rPr>
      </w:pPr>
      <w:r>
        <w:t>Article 33: The Binding Termination Schedule</w:t>
      </w:r>
    </w:p>
    <w:p w14:paraId="5560AF62" w14:textId="77777777" w:rsidR="00CA7ABD" w:rsidRDefault="00000000">
      <w:pPr>
        <w:rPr>
          <w:rFonts w:hint="eastAsia"/>
        </w:rPr>
      </w:pPr>
      <w:r>
        <w:t>33.1 The sanctions architecture terminates on the binding schedule of Annex C. The schedule is law, not intention. Each tranche of termination pairs with a verified milestone of this Treaty, and the Reciprocity Ledger records each pairing. Verification first, relief second; and relief, once delivered, never evaporates by the passage of time.</w:t>
      </w:r>
    </w:p>
    <w:p w14:paraId="79353743" w14:textId="77777777" w:rsidR="00CA7ABD" w:rsidRDefault="00000000">
      <w:pPr>
        <w:rPr>
          <w:rFonts w:hint="eastAsia"/>
        </w:rPr>
      </w:pPr>
      <w:r>
        <w:t>33.2 Termination categories and schedule:</w:t>
      </w:r>
    </w:p>
    <w:tbl>
      <w:tblPr>
        <w:tblW w:w="5000" w:type="pct"/>
        <w:tblInd w:w="-8"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1012"/>
        <w:gridCol w:w="4072"/>
        <w:gridCol w:w="3102"/>
        <w:gridCol w:w="1040"/>
      </w:tblGrid>
      <w:tr w:rsidR="00CA7ABD" w14:paraId="5939D61F" w14:textId="77777777">
        <w:tc>
          <w:tcPr>
            <w:tcW w:w="0" w:type="auto"/>
            <w:shd w:val="clear" w:color="auto" w:fill="37474F"/>
          </w:tcPr>
          <w:p w14:paraId="0995FE6D" w14:textId="77777777" w:rsidR="00CA7ABD" w:rsidRDefault="00000000">
            <w:pPr>
              <w:rPr>
                <w:rFonts w:hint="eastAsia"/>
              </w:rPr>
            </w:pPr>
            <w:r>
              <w:rPr>
                <w:b/>
                <w:color w:val="FFFFFF"/>
                <w:sz w:val="19"/>
              </w:rPr>
              <w:t>Tranche</w:t>
            </w:r>
          </w:p>
        </w:tc>
        <w:tc>
          <w:tcPr>
            <w:tcW w:w="0" w:type="auto"/>
            <w:shd w:val="clear" w:color="auto" w:fill="37474F"/>
          </w:tcPr>
          <w:p w14:paraId="5A4E6374" w14:textId="77777777" w:rsidR="00CA7ABD" w:rsidRDefault="00000000">
            <w:pPr>
              <w:rPr>
                <w:rFonts w:hint="eastAsia"/>
              </w:rPr>
            </w:pPr>
            <w:r>
              <w:rPr>
                <w:b/>
                <w:color w:val="FFFFFF"/>
                <w:sz w:val="19"/>
              </w:rPr>
              <w:t>Scope</w:t>
            </w:r>
          </w:p>
        </w:tc>
        <w:tc>
          <w:tcPr>
            <w:tcW w:w="0" w:type="auto"/>
            <w:shd w:val="clear" w:color="auto" w:fill="37474F"/>
          </w:tcPr>
          <w:p w14:paraId="0C4A3A67" w14:textId="77777777" w:rsidR="00CA7ABD" w:rsidRDefault="00000000">
            <w:pPr>
              <w:rPr>
                <w:rFonts w:hint="eastAsia"/>
              </w:rPr>
            </w:pPr>
            <w:r>
              <w:rPr>
                <w:b/>
                <w:color w:val="FFFFFF"/>
                <w:sz w:val="19"/>
              </w:rPr>
              <w:t>Trigger milestone</w:t>
            </w:r>
          </w:p>
        </w:tc>
        <w:tc>
          <w:tcPr>
            <w:tcW w:w="0" w:type="auto"/>
            <w:shd w:val="clear" w:color="auto" w:fill="37474F"/>
          </w:tcPr>
          <w:p w14:paraId="16AF2C0E" w14:textId="77777777" w:rsidR="00CA7ABD" w:rsidRDefault="00000000">
            <w:pPr>
              <w:rPr>
                <w:rFonts w:hint="eastAsia"/>
              </w:rPr>
            </w:pPr>
            <w:r>
              <w:rPr>
                <w:b/>
                <w:color w:val="FFFFFF"/>
                <w:sz w:val="19"/>
              </w:rPr>
              <w:t>Target date</w:t>
            </w:r>
          </w:p>
        </w:tc>
      </w:tr>
      <w:tr w:rsidR="00CA7ABD" w14:paraId="79549040" w14:textId="77777777">
        <w:tc>
          <w:tcPr>
            <w:tcW w:w="0" w:type="auto"/>
          </w:tcPr>
          <w:p w14:paraId="1AD85694" w14:textId="77777777" w:rsidR="00CA7ABD" w:rsidRDefault="00000000">
            <w:pPr>
              <w:rPr>
                <w:rFonts w:hint="eastAsia"/>
              </w:rPr>
            </w:pPr>
            <w:r>
              <w:rPr>
                <w:sz w:val="19"/>
              </w:rPr>
              <w:t>T-1</w:t>
            </w:r>
          </w:p>
        </w:tc>
        <w:tc>
          <w:tcPr>
            <w:tcW w:w="0" w:type="auto"/>
          </w:tcPr>
          <w:p w14:paraId="787E3425" w14:textId="77777777" w:rsidR="00CA7ABD" w:rsidRDefault="00000000">
            <w:pPr>
              <w:rPr>
                <w:rFonts w:hint="eastAsia"/>
              </w:rPr>
            </w:pPr>
            <w:r>
              <w:rPr>
                <w:sz w:val="19"/>
              </w:rPr>
              <w:t>Humanitarian, agricultural, medical, and civil aviation sanctions and licenses; first oil waivers</w:t>
            </w:r>
          </w:p>
        </w:tc>
        <w:tc>
          <w:tcPr>
            <w:tcW w:w="0" w:type="auto"/>
          </w:tcPr>
          <w:p w14:paraId="1CA35B1E" w14:textId="77777777" w:rsidR="00CA7ABD" w:rsidRDefault="00000000">
            <w:pPr>
              <w:rPr>
                <w:rFonts w:hint="eastAsia"/>
              </w:rPr>
            </w:pPr>
            <w:r>
              <w:rPr>
                <w:sz w:val="19"/>
              </w:rPr>
              <w:t>Entry into force; Inventory Day complete (Article 18.1)</w:t>
            </w:r>
          </w:p>
        </w:tc>
        <w:tc>
          <w:tcPr>
            <w:tcW w:w="0" w:type="auto"/>
          </w:tcPr>
          <w:p w14:paraId="41EB4220" w14:textId="77777777" w:rsidR="00CA7ABD" w:rsidRDefault="00000000">
            <w:pPr>
              <w:rPr>
                <w:rFonts w:hint="eastAsia"/>
              </w:rPr>
            </w:pPr>
            <w:r>
              <w:rPr>
                <w:sz w:val="19"/>
              </w:rPr>
              <w:t>Day 1 to Day 7</w:t>
            </w:r>
          </w:p>
        </w:tc>
      </w:tr>
      <w:tr w:rsidR="00CA7ABD" w14:paraId="09EBFC1D" w14:textId="77777777">
        <w:tc>
          <w:tcPr>
            <w:tcW w:w="0" w:type="auto"/>
            <w:shd w:val="clear" w:color="auto" w:fill="ECEFF1"/>
          </w:tcPr>
          <w:p w14:paraId="3C2EE428" w14:textId="77777777" w:rsidR="00CA7ABD" w:rsidRDefault="00000000">
            <w:pPr>
              <w:rPr>
                <w:rFonts w:hint="eastAsia"/>
              </w:rPr>
            </w:pPr>
            <w:r>
              <w:rPr>
                <w:sz w:val="19"/>
              </w:rPr>
              <w:t>T-2</w:t>
            </w:r>
          </w:p>
        </w:tc>
        <w:tc>
          <w:tcPr>
            <w:tcW w:w="0" w:type="auto"/>
            <w:shd w:val="clear" w:color="auto" w:fill="ECEFF1"/>
          </w:tcPr>
          <w:p w14:paraId="6DF3A493" w14:textId="77777777" w:rsidR="00CA7ABD" w:rsidRDefault="00000000">
            <w:pPr>
              <w:rPr>
                <w:rFonts w:hint="eastAsia"/>
              </w:rPr>
            </w:pPr>
            <w:r>
              <w:rPr>
                <w:sz w:val="19"/>
              </w:rPr>
              <w:t>Financial messaging and banking channels; standing OFAC general licenses for trade finance; second oil waivers</w:t>
            </w:r>
          </w:p>
        </w:tc>
        <w:tc>
          <w:tcPr>
            <w:tcW w:w="0" w:type="auto"/>
            <w:shd w:val="clear" w:color="auto" w:fill="ECEFF1"/>
          </w:tcPr>
          <w:p w14:paraId="36FD97A2" w14:textId="77777777" w:rsidR="00CA7ABD" w:rsidRDefault="00000000">
            <w:pPr>
              <w:rPr>
                <w:rFonts w:hint="eastAsia"/>
              </w:rPr>
            </w:pPr>
            <w:r>
              <w:rPr>
                <w:sz w:val="19"/>
              </w:rPr>
              <w:t>Verified completion of 60-percent stockpile down-blending start; corridor certifications under way</w:t>
            </w:r>
          </w:p>
        </w:tc>
        <w:tc>
          <w:tcPr>
            <w:tcW w:w="0" w:type="auto"/>
            <w:shd w:val="clear" w:color="auto" w:fill="ECEFF1"/>
          </w:tcPr>
          <w:p w14:paraId="39AF01FC" w14:textId="77777777" w:rsidR="00CA7ABD" w:rsidRDefault="00000000">
            <w:pPr>
              <w:rPr>
                <w:rFonts w:hint="eastAsia"/>
              </w:rPr>
            </w:pPr>
            <w:r>
              <w:rPr>
                <w:sz w:val="19"/>
              </w:rPr>
              <w:t>Day 15</w:t>
            </w:r>
          </w:p>
        </w:tc>
      </w:tr>
      <w:tr w:rsidR="00CA7ABD" w14:paraId="2C305961" w14:textId="77777777">
        <w:tc>
          <w:tcPr>
            <w:tcW w:w="0" w:type="auto"/>
          </w:tcPr>
          <w:p w14:paraId="3D3396AA" w14:textId="77777777" w:rsidR="00CA7ABD" w:rsidRDefault="00000000">
            <w:pPr>
              <w:rPr>
                <w:rFonts w:hint="eastAsia"/>
              </w:rPr>
            </w:pPr>
            <w:r>
              <w:rPr>
                <w:sz w:val="19"/>
              </w:rPr>
              <w:t>T-3</w:t>
            </w:r>
          </w:p>
        </w:tc>
        <w:tc>
          <w:tcPr>
            <w:tcW w:w="0" w:type="auto"/>
          </w:tcPr>
          <w:p w14:paraId="7F27BF16" w14:textId="77777777" w:rsidR="00CA7ABD" w:rsidRDefault="00000000">
            <w:pPr>
              <w:rPr>
                <w:rFonts w:hint="eastAsia"/>
              </w:rPr>
            </w:pPr>
            <w:r>
              <w:rPr>
                <w:sz w:val="19"/>
              </w:rPr>
              <w:t>Termination of nuclear-related secondary sanctions; petroleum and petrochemical export normalization; shipping and insurance sanctions</w:t>
            </w:r>
          </w:p>
        </w:tc>
        <w:tc>
          <w:tcPr>
            <w:tcW w:w="0" w:type="auto"/>
          </w:tcPr>
          <w:p w14:paraId="32DAAC33" w14:textId="77777777" w:rsidR="00CA7ABD" w:rsidRDefault="00000000">
            <w:pPr>
              <w:rPr>
                <w:rFonts w:hint="eastAsia"/>
              </w:rPr>
            </w:pPr>
            <w:r>
              <w:rPr>
                <w:sz w:val="19"/>
              </w:rPr>
              <w:t>Verified completion of down-blending (Article 18.2); Corridor One certification</w:t>
            </w:r>
          </w:p>
        </w:tc>
        <w:tc>
          <w:tcPr>
            <w:tcW w:w="0" w:type="auto"/>
          </w:tcPr>
          <w:p w14:paraId="0A0CE816" w14:textId="77777777" w:rsidR="00CA7ABD" w:rsidRDefault="00000000">
            <w:pPr>
              <w:rPr>
                <w:rFonts w:hint="eastAsia"/>
              </w:rPr>
            </w:pPr>
            <w:r>
              <w:rPr>
                <w:sz w:val="19"/>
              </w:rPr>
              <w:t>Day 30 to Day 45</w:t>
            </w:r>
          </w:p>
        </w:tc>
      </w:tr>
      <w:tr w:rsidR="00CA7ABD" w14:paraId="5D92B5BC" w14:textId="77777777">
        <w:tc>
          <w:tcPr>
            <w:tcW w:w="0" w:type="auto"/>
            <w:shd w:val="clear" w:color="auto" w:fill="ECEFF1"/>
          </w:tcPr>
          <w:p w14:paraId="55E1995B" w14:textId="77777777" w:rsidR="00CA7ABD" w:rsidRDefault="00000000">
            <w:pPr>
              <w:rPr>
                <w:rFonts w:hint="eastAsia"/>
              </w:rPr>
            </w:pPr>
            <w:r>
              <w:rPr>
                <w:sz w:val="19"/>
              </w:rPr>
              <w:t>T-4</w:t>
            </w:r>
          </w:p>
        </w:tc>
        <w:tc>
          <w:tcPr>
            <w:tcW w:w="0" w:type="auto"/>
            <w:shd w:val="clear" w:color="auto" w:fill="ECEFF1"/>
          </w:tcPr>
          <w:p w14:paraId="4AC51DF6" w14:textId="77777777" w:rsidR="00CA7ABD" w:rsidRDefault="00000000">
            <w:pPr>
              <w:rPr>
                <w:rFonts w:hint="eastAsia"/>
              </w:rPr>
            </w:pPr>
            <w:r>
              <w:rPr>
                <w:sz w:val="19"/>
              </w:rPr>
              <w:t>Termination of remaining primary sanctions within executive authority; UNSC and IAEA Board actions of Annex C</w:t>
            </w:r>
          </w:p>
        </w:tc>
        <w:tc>
          <w:tcPr>
            <w:tcW w:w="0" w:type="auto"/>
            <w:shd w:val="clear" w:color="auto" w:fill="ECEFF1"/>
          </w:tcPr>
          <w:p w14:paraId="071B4169" w14:textId="77777777" w:rsidR="00CA7ABD" w:rsidRDefault="00000000">
            <w:pPr>
              <w:rPr>
                <w:rFonts w:hint="eastAsia"/>
              </w:rPr>
            </w:pPr>
            <w:r>
              <w:rPr>
                <w:sz w:val="19"/>
              </w:rPr>
              <w:t>First clean quarterly certification of Annex B</w:t>
            </w:r>
          </w:p>
        </w:tc>
        <w:tc>
          <w:tcPr>
            <w:tcW w:w="0" w:type="auto"/>
            <w:shd w:val="clear" w:color="auto" w:fill="ECEFF1"/>
          </w:tcPr>
          <w:p w14:paraId="3BA900DB" w14:textId="77777777" w:rsidR="00CA7ABD" w:rsidRDefault="00000000">
            <w:pPr>
              <w:rPr>
                <w:rFonts w:hint="eastAsia"/>
              </w:rPr>
            </w:pPr>
            <w:r>
              <w:rPr>
                <w:sz w:val="19"/>
              </w:rPr>
              <w:t>Day 90</w:t>
            </w:r>
          </w:p>
        </w:tc>
      </w:tr>
      <w:tr w:rsidR="00CA7ABD" w14:paraId="20779B87" w14:textId="77777777">
        <w:tc>
          <w:tcPr>
            <w:tcW w:w="0" w:type="auto"/>
          </w:tcPr>
          <w:p w14:paraId="6052E7E1" w14:textId="77777777" w:rsidR="00CA7ABD" w:rsidRDefault="00000000">
            <w:pPr>
              <w:rPr>
                <w:rFonts w:hint="eastAsia"/>
              </w:rPr>
            </w:pPr>
            <w:r>
              <w:rPr>
                <w:sz w:val="19"/>
              </w:rPr>
              <w:t>T-5</w:t>
            </w:r>
          </w:p>
        </w:tc>
        <w:tc>
          <w:tcPr>
            <w:tcW w:w="0" w:type="auto"/>
          </w:tcPr>
          <w:p w14:paraId="679682DF" w14:textId="77777777" w:rsidR="00CA7ABD" w:rsidRDefault="00000000">
            <w:pPr>
              <w:rPr>
                <w:rFonts w:hint="eastAsia"/>
              </w:rPr>
            </w:pPr>
            <w:r>
              <w:rPr>
                <w:sz w:val="19"/>
              </w:rPr>
              <w:t>Residual statutory architecture: congressional track of Article 34 completes or converts</w:t>
            </w:r>
          </w:p>
        </w:tc>
        <w:tc>
          <w:tcPr>
            <w:tcW w:w="0" w:type="auto"/>
          </w:tcPr>
          <w:p w14:paraId="14278094" w14:textId="77777777" w:rsidR="00CA7ABD" w:rsidRDefault="00000000">
            <w:pPr>
              <w:rPr>
                <w:rFonts w:hint="eastAsia"/>
              </w:rPr>
            </w:pPr>
            <w:r>
              <w:rPr>
                <w:sz w:val="19"/>
              </w:rPr>
              <w:t>12-month mark</w:t>
            </w:r>
          </w:p>
        </w:tc>
        <w:tc>
          <w:tcPr>
            <w:tcW w:w="0" w:type="auto"/>
          </w:tcPr>
          <w:p w14:paraId="4A7C5FE4" w14:textId="77777777" w:rsidR="00CA7ABD" w:rsidRDefault="00000000">
            <w:pPr>
              <w:rPr>
                <w:rFonts w:hint="eastAsia"/>
              </w:rPr>
            </w:pPr>
            <w:r>
              <w:rPr>
                <w:sz w:val="19"/>
              </w:rPr>
              <w:t>Day 365</w:t>
            </w:r>
          </w:p>
        </w:tc>
      </w:tr>
    </w:tbl>
    <w:p w14:paraId="27963A86" w14:textId="77777777" w:rsidR="00CA7ABD" w:rsidRDefault="00000000">
      <w:pPr>
        <w:rPr>
          <w:rFonts w:hint="eastAsia"/>
        </w:rPr>
      </w:pPr>
      <w:r>
        <w:t>33.3 The oil normalization. United States Treasury waivers for the export of Iranian crude oil, petroleum products, and petrochemicals, and for associated banking, insurance, and transportation services, issue immediately upon the T-1 trigger and convert into permanent general licenses at T-3. Iranian petroleum re-enters the market as an ordinary commodity.</w:t>
      </w:r>
    </w:p>
    <w:p w14:paraId="494FEE29" w14:textId="77777777" w:rsidR="00CA7ABD" w:rsidRDefault="00000000">
      <w:pPr>
        <w:rPr>
          <w:rFonts w:hint="eastAsia"/>
        </w:rPr>
      </w:pPr>
      <w:r>
        <w:t>33.4 The framework architecture excludes the imposition of new sanctions upon Iran for the matters this Treaty settles. Measures addressing conduct outside the scope of this Treaty follow the notification and consultation protocol of Article 70 before adoption, and the Perimeter Test applies.</w:t>
      </w:r>
    </w:p>
    <w:p w14:paraId="1A707FAD" w14:textId="77777777" w:rsidR="00CA7ABD" w:rsidRDefault="00000000">
      <w:pPr>
        <w:pStyle w:val="Heading2"/>
        <w:rPr>
          <w:rFonts w:hint="eastAsia"/>
        </w:rPr>
      </w:pPr>
      <w:r>
        <w:t>Article 34: The Congressional Track: Best Efforts with a Sunset</w:t>
      </w:r>
    </w:p>
    <w:p w14:paraId="68DECF16" w14:textId="77777777" w:rsidR="00CA7ABD" w:rsidRDefault="00000000">
      <w:pPr>
        <w:rPr>
          <w:rFonts w:hint="eastAsia"/>
        </w:rPr>
      </w:pPr>
      <w:r>
        <w:t>34.1 The United States executive branch actively seeks, through a sustained legislative program, the repeal or permanent statutory termination of congressionally mandated sanctions within the scope of Annex C. This commitment binds the executive to a genuine, documented effort: transmission of the legislative package within 60 days, designation of administration witnesses, and inclusion in the President's legislative priorities.</w:t>
      </w:r>
    </w:p>
    <w:p w14:paraId="46BB6485" w14:textId="77777777" w:rsidR="00CA7ABD" w:rsidRDefault="00000000">
      <w:pPr>
        <w:rPr>
          <w:rFonts w:hint="eastAsia"/>
        </w:rPr>
      </w:pPr>
      <w:r>
        <w:t>34.2 The sunset conversion. Where the Congress fails to act on a listed statute within 12 months of Day Zero, the termination obligation of this Treaty converts, automatically and without further act, into a permanent, non-revocable executive waiver of that statute's secondary application for all activity consistent with this Treaty. The waiver architecture delivers the commercial certainty that international business needs: the letter of the statute survives for the domestic record, and the practice of the sanction terminates for the world.</w:t>
      </w:r>
    </w:p>
    <w:p w14:paraId="1E0C20E1" w14:textId="77777777" w:rsidR="00CA7ABD" w:rsidRDefault="00000000">
      <w:pPr>
        <w:rPr>
          <w:rFonts w:hint="eastAsia"/>
        </w:rPr>
      </w:pPr>
      <w:r>
        <w:t>34.3 The executive reports to the JIC every 90 days on the congressional track, and the report publishes on the dashboard. Failure of the congressional track never constitutes a breach of this Treaty where the sunset conversion of 34.2 operates; failure to issue or maintain the conversion waiver constitutes a Tier 2 event on the financial module.</w:t>
      </w:r>
    </w:p>
    <w:p w14:paraId="5256140E" w14:textId="77777777" w:rsidR="00CA7ABD" w:rsidRDefault="00000000">
      <w:pPr>
        <w:pStyle w:val="Heading2"/>
        <w:rPr>
          <w:rFonts w:hint="eastAsia"/>
        </w:rPr>
      </w:pPr>
      <w:r>
        <w:t>Article 35: United Nations and Agency Actions</w:t>
      </w:r>
    </w:p>
    <w:p w14:paraId="4B4C3F64" w14:textId="77777777" w:rsidR="00CA7ABD" w:rsidRDefault="00000000">
      <w:pPr>
        <w:rPr>
          <w:rFonts w:hint="eastAsia"/>
        </w:rPr>
      </w:pPr>
      <w:r>
        <w:t>35.1 The United Nations Security Council resolution of Layer Four terminates the prior sanctions resolutions within the scope of Annex C and endorses this Treaty in the same instrument.</w:t>
      </w:r>
    </w:p>
    <w:p w14:paraId="4728C528" w14:textId="77777777" w:rsidR="00CA7ABD" w:rsidRDefault="00000000">
      <w:pPr>
        <w:rPr>
          <w:rFonts w:hint="eastAsia"/>
        </w:rPr>
      </w:pPr>
      <w:r>
        <w:t>35.2 The IAEA Board of Governors, upon the Director General's report of the verified completion of Articles 18 and 20.3, closes the outstanding safeguards file and terminates the prior non-compliance resolution, replacing them with the standing verification mandate of Annex B.</w:t>
      </w:r>
    </w:p>
    <w:p w14:paraId="0220639B" w14:textId="77777777" w:rsidR="00CA7ABD" w:rsidRDefault="00CA7ABD">
      <w:pPr>
        <w:pageBreakBefore/>
        <w:rPr>
          <w:rFonts w:hint="eastAsia"/>
        </w:rPr>
      </w:pPr>
    </w:p>
    <w:p w14:paraId="2F99DD25" w14:textId="77777777" w:rsidR="00CA7ABD" w:rsidRDefault="00000000">
      <w:pPr>
        <w:pStyle w:val="Heading1"/>
        <w:rPr>
          <w:rFonts w:hint="eastAsia"/>
        </w:rPr>
      </w:pPr>
      <w:r>
        <w:t>PART IX: FROZEN ASSETS AND FINANCIAL NORMALIZATION</w:t>
      </w:r>
    </w:p>
    <w:p w14:paraId="3CC591E3" w14:textId="77777777" w:rsidR="00CA7ABD" w:rsidRDefault="00000000">
      <w:pPr>
        <w:pStyle w:val="Heading2"/>
        <w:rPr>
          <w:rFonts w:hint="eastAsia"/>
        </w:rPr>
      </w:pPr>
      <w:r>
        <w:t>Article 36: The Release Architecture</w:t>
      </w:r>
    </w:p>
    <w:p w14:paraId="027A79DA" w14:textId="77777777" w:rsidR="00CA7ABD" w:rsidRDefault="00000000">
      <w:pPr>
        <w:rPr>
          <w:rFonts w:hint="eastAsia"/>
        </w:rPr>
      </w:pPr>
      <w:r>
        <w:t>36.1 All frozen Iranian assets release in full. The release operates through the Neutral Escrow administered by the Qatar Central Bank, in the tranches of Annex C, each tranche paired with a verified milestone in the Reciprocity Ledger. The first tranche of 12 billion dollars, released under the Memorandum, stands confirmed as delivered and enters the Ledger as the opening entry.</w:t>
      </w:r>
    </w:p>
    <w:p w14:paraId="2FA13F24" w14:textId="77777777" w:rsidR="00CA7ABD" w:rsidRDefault="00000000">
      <w:pPr>
        <w:rPr>
          <w:rFonts w:hint="eastAsia"/>
        </w:rPr>
      </w:pPr>
      <w:r>
        <w:t>36.2 Pools. The Escrow maintains Pool A (sovereign assets of the Central Bank of Iran), Pool B (commercial and trade-credit assets), and Pool C (the frozen asset conversion window of Annex RDF, under which holdings in third countries convert directly into reconstruction contracts with contractors of the holding nation). The conversion window targets 6 to 10 billion dollars of immediately deployable reconstruction capital.</w:t>
      </w:r>
    </w:p>
    <w:p w14:paraId="58002298" w14:textId="77777777" w:rsidR="00CA7ABD" w:rsidRDefault="00000000">
      <w:pPr>
        <w:rPr>
          <w:rFonts w:hint="eastAsia"/>
        </w:rPr>
      </w:pPr>
      <w:r>
        <w:t>36.3 No-clawback. Assets and funds released under this Treaty are irrevocable. The framework architecture excludes clawback, re-freezing, or rescission of released funds under any circumstances, including dispute, suspension, or termination of any module. This absolute rule gives the release real economic meaning.</w:t>
      </w:r>
    </w:p>
    <w:p w14:paraId="183BFBE2" w14:textId="77777777" w:rsidR="00CA7ABD" w:rsidRDefault="00000000">
      <w:pPr>
        <w:rPr>
          <w:rFonts w:hint="eastAsia"/>
        </w:rPr>
      </w:pPr>
      <w:r>
        <w:t>36.4 Priority consideration, never direction. Within Pool A, the release window opens with a priority-consideration track for purchases of United States agricultural products: Iranian buyers receive streamlined licensing for agricultural purchases from United States suppliers during the first 12 months. This track creates opportunity, not obligation. Consistent with Article 8 of Annex RDF, Iran holds no obligation to purchase from any particular country, holds full sovereign authority over procurement, and the affirmation of the Governor of the Central Bank of Iran on this point stands incorporated as a binding interpretive understanding. The track delivers American farmers a fair first look, and delivers Iran the absolute preservation of sovereign purchasing.</w:t>
      </w:r>
    </w:p>
    <w:p w14:paraId="503ADEB3" w14:textId="77777777" w:rsidR="00CA7ABD" w:rsidRDefault="00000000">
      <w:pPr>
        <w:rPr>
          <w:rFonts w:hint="eastAsia"/>
        </w:rPr>
      </w:pPr>
      <w:r>
        <w:t>36.5 Financial normalization. Iranian banks reconnect to international financial messaging under the T-2 licenses; correspondent relationships receive the comfort letters of Annex C; and the United States issues the general licenses that permit ordinary trade finance, insurance, and shipping services for Iran.</w:t>
      </w:r>
    </w:p>
    <w:p w14:paraId="7D7E4B72" w14:textId="77777777" w:rsidR="00CA7ABD" w:rsidRDefault="00CA7ABD">
      <w:pPr>
        <w:pageBreakBefore/>
        <w:rPr>
          <w:rFonts w:hint="eastAsia"/>
        </w:rPr>
      </w:pPr>
    </w:p>
    <w:p w14:paraId="71214D1F" w14:textId="77777777" w:rsidR="00CA7ABD" w:rsidRDefault="00000000">
      <w:pPr>
        <w:pStyle w:val="Heading1"/>
        <w:rPr>
          <w:rFonts w:hint="eastAsia"/>
        </w:rPr>
      </w:pPr>
      <w:r>
        <w:t>PART X: RECONSTRUCTION AND DEVELOPMENT</w:t>
      </w:r>
    </w:p>
    <w:p w14:paraId="25989014" w14:textId="77777777" w:rsidR="00CA7ABD" w:rsidRDefault="00000000">
      <w:pPr>
        <w:pStyle w:val="Heading2"/>
        <w:rPr>
          <w:rFonts w:hint="eastAsia"/>
        </w:rPr>
      </w:pPr>
      <w:r>
        <w:t>Article 37: Incorporation of the Reconstruction and Development Fund Protocol</w:t>
      </w:r>
    </w:p>
    <w:p w14:paraId="68DC25CE" w14:textId="77777777" w:rsidR="00CA7ABD" w:rsidRDefault="00000000">
      <w:pPr>
        <w:rPr>
          <w:rFonts w:hint="eastAsia"/>
        </w:rPr>
      </w:pPr>
      <w:r>
        <w:t>37.1 This Treaty incorporates Annex RDF, the Reconstruction and Development Fund Protocol, in full, as operative law of this Accord. The Multilateral Reconstruction Fund (MRF), its Sub-Funds, its governance, its escrow architecture, its procurement protections, and its appendices bind as integral parts of this Treaty.</w:t>
      </w:r>
    </w:p>
    <w:p w14:paraId="60A3482B" w14:textId="77777777" w:rsidR="00CA7ABD" w:rsidRDefault="00000000">
      <w:pPr>
        <w:rPr>
          <w:rFonts w:hint="eastAsia"/>
        </w:rPr>
      </w:pPr>
      <w:r>
        <w:t>37.2 The headline settlement. The reconstruction architecture targets the scale the Memorandum contemplates: at least 300 billion dollars in international financing for the reconstruction and economic development of Iran, assembled through the MRF Sub-Funds (270 billion dollar ten-year capitalization target), the frozen asset conversion window, the bilateral programs, the SDR channeling window, the carbon pre-financing facility, and the supplementary sources the RDF appendices catalog.</w:t>
      </w:r>
    </w:p>
    <w:p w14:paraId="73148EE2" w14:textId="77777777" w:rsidR="00CA7ABD" w:rsidRDefault="00000000">
      <w:pPr>
        <w:rPr>
          <w:rFonts w:hint="eastAsia"/>
        </w:rPr>
      </w:pPr>
      <w:r>
        <w:t>37.3 The political settlement of reconstruction finance. The framework architecture excludes direct United States government cash transfers to Iran (Washington constraint, Article 5). The United States participates through technical assistance, capacity building, regulatory facilitation through the OFAC general licenses and the sanctions firewall, diplomatic encouragement of third-party contributions, and the private-sector Safe Harbor and In-Kind Contribution Window of Annex RDF. Iran retains sovereign authority over project selection and procurement, and no contributor imposes projects. Gulf sovereign funds anchor the architecture; the World Bank verifies; the Qatar Central Bank administers the escrow.</w:t>
      </w:r>
    </w:p>
    <w:p w14:paraId="76BA5834" w14:textId="77777777" w:rsidR="00CA7ABD" w:rsidRDefault="00000000">
      <w:pPr>
        <w:rPr>
          <w:rFonts w:hint="eastAsia"/>
        </w:rPr>
      </w:pPr>
      <w:r>
        <w:t>37.4 The Hormuz Development Facility. Within the MRF-Transport and MRF-Energy Sub-Funds, a dedicated window prioritizes the coastal provinces, ports, and maritime infrastructure of the Hormuz littoral, pairing the fees settlement of Article 31 with tangible regional development.</w:t>
      </w:r>
    </w:p>
    <w:p w14:paraId="65D6B681" w14:textId="77777777" w:rsidR="00CA7ABD" w:rsidRDefault="00000000">
      <w:pPr>
        <w:rPr>
          <w:rFonts w:hint="eastAsia"/>
        </w:rPr>
      </w:pPr>
      <w:r>
        <w:t>37.5 Performance-based disbursement and no-clawback operate per Articles 4 and 5 of Annex RDF. The quarterly site-visit audit, the whistleblower mechanism, the political risk insurance pool, the hard-currency facility, the contingency reserves, and the contractor performance bond regime of Annex RDF each apply as written.</w:t>
      </w:r>
    </w:p>
    <w:p w14:paraId="79245730" w14:textId="77777777" w:rsidR="00CA7ABD" w:rsidRDefault="00000000">
      <w:pPr>
        <w:rPr>
          <w:rFonts w:hint="eastAsia"/>
        </w:rPr>
      </w:pPr>
      <w:r>
        <w:t>37.6 The United Nations coordination. The MRF coordinates with UNMAS for pre-reconstruction clearance of unexploded ordnance and with the UN Peacebuilding Fund for stabilization programming, per Article 6.3 of Annex RDF.</w:t>
      </w:r>
    </w:p>
    <w:p w14:paraId="0231D4F6" w14:textId="77777777" w:rsidR="00CA7ABD" w:rsidRDefault="00000000">
      <w:pPr>
        <w:pStyle w:val="Heading2"/>
        <w:rPr>
          <w:rFonts w:hint="eastAsia"/>
        </w:rPr>
      </w:pPr>
      <w:r>
        <w:t>Article 38: Relationship to Other Economic Instruments</w:t>
      </w:r>
    </w:p>
    <w:p w14:paraId="4CC3930B" w14:textId="77777777" w:rsidR="00CA7ABD" w:rsidRDefault="00000000">
      <w:pPr>
        <w:rPr>
          <w:rFonts w:hint="eastAsia"/>
        </w:rPr>
      </w:pPr>
      <w:r>
        <w:t>38.1 The MRF firewalls from every other module: a breach on the Lebanon module, the nuclear module, or the maritime module never suspends humanitarian tranches, and suspends reconstruction disbursements only upon certification under the Consensus Minus One rule that the breach directly and materially undermines the reconstruction module.</w:t>
      </w:r>
    </w:p>
    <w:p w14:paraId="05ECF740" w14:textId="77777777" w:rsidR="00CA7ABD" w:rsidRDefault="00000000">
      <w:pPr>
        <w:rPr>
          <w:rFonts w:hint="eastAsia"/>
        </w:rPr>
      </w:pPr>
      <w:r>
        <w:t>38.2 Force majeure events, including any reimposition of sanctions overriding the OFAC firewall, activate the Fallback Protocol of Appendix F of Annex RDF: disbursed funds stand protected absolutely; undisbursed funds remain in trust at the Qatar Central Bank, earning interest, protected from attachment, pending resolution or reactivation.</w:t>
      </w:r>
    </w:p>
    <w:p w14:paraId="6ED60C18" w14:textId="77777777" w:rsidR="00CA7ABD" w:rsidRDefault="00CA7ABD">
      <w:pPr>
        <w:pageBreakBefore/>
        <w:rPr>
          <w:rFonts w:hint="eastAsia"/>
        </w:rPr>
      </w:pPr>
    </w:p>
    <w:p w14:paraId="249AD740" w14:textId="77777777" w:rsidR="00CA7ABD" w:rsidRDefault="00000000">
      <w:pPr>
        <w:pStyle w:val="Heading1"/>
        <w:rPr>
          <w:rFonts w:hint="eastAsia"/>
        </w:rPr>
      </w:pPr>
      <w:r>
        <w:t>PART XI: THE REGIONAL DE-ESCALATION PACT</w:t>
      </w:r>
    </w:p>
    <w:p w14:paraId="634086B1" w14:textId="77777777" w:rsidR="00CA7ABD" w:rsidRDefault="00000000">
      <w:pPr>
        <w:pStyle w:val="Heading2"/>
        <w:rPr>
          <w:rFonts w:hint="eastAsia"/>
        </w:rPr>
      </w:pPr>
      <w:r>
        <w:t>Article 39: The Fronts Settlement</w:t>
      </w:r>
    </w:p>
    <w:p w14:paraId="3D7C2957" w14:textId="77777777" w:rsidR="00CA7ABD" w:rsidRDefault="00000000">
      <w:pPr>
        <w:rPr>
          <w:rFonts w:hint="eastAsia"/>
        </w:rPr>
      </w:pPr>
      <w:r>
        <w:t>39.1 Scope. This Part settles the fronts the war engaged: Lebanon, Yemen, Iraq, and Syria. Each front settles through the same architecture: codified cessation, guarantor leverage, and conversion of support relationships into state-to-state and political channels.</w:t>
      </w:r>
    </w:p>
    <w:p w14:paraId="5F4ABDCE" w14:textId="77777777" w:rsidR="00CA7ABD" w:rsidRDefault="00000000">
      <w:pPr>
        <w:rPr>
          <w:rFonts w:hint="eastAsia"/>
        </w:rPr>
      </w:pPr>
      <w:r>
        <w:t>39.2 Lebanon. Article 13 operates as the Lebanon instrument: the United States guarantee of full diplomatic and security leverage for the cessation of strikes, paired with the Iranian codification regarding southern Lebanon under Resolution 1701. The Guarantor Matrix reviews the Lebanon module every 90 days during the first year.</w:t>
      </w:r>
    </w:p>
    <w:p w14:paraId="51606173" w14:textId="77777777" w:rsidR="00CA7ABD" w:rsidRDefault="00000000">
      <w:pPr>
        <w:rPr>
          <w:rFonts w:hint="eastAsia"/>
        </w:rPr>
      </w:pPr>
      <w:r>
        <w:t>39.3 Yemen. The Parties codify support for the United Nations-led Yemen process, the cessation of external military supply to the parties of the Yemen conflict by the Principal Parties, and the maritime security arrangements for the Bab el-Mandeb that Annex A references as the Southern Approaches Protocol.</w:t>
      </w:r>
    </w:p>
    <w:p w14:paraId="79875BE7" w14:textId="77777777" w:rsidR="00CA7ABD" w:rsidRDefault="00000000">
      <w:pPr>
        <w:rPr>
          <w:rFonts w:hint="eastAsia"/>
        </w:rPr>
      </w:pPr>
      <w:r>
        <w:t>39.4 Iraq and Syria. The Parties codify respect for the sovereignty and territorial integrity of Iraq and Syria, the cessation of operations against the forces of the other Party on those territories, and the conversion of remaining presence questions into bilateral state-to-state tracks with those governments.</w:t>
      </w:r>
    </w:p>
    <w:p w14:paraId="58DDB908" w14:textId="77777777" w:rsidR="00CA7ABD" w:rsidRDefault="00000000">
      <w:pPr>
        <w:rPr>
          <w:rFonts w:hint="eastAsia"/>
        </w:rPr>
      </w:pPr>
      <w:r>
        <w:t>39.5 The proxy paradigm resolution. The framework architecture records the strategic shift of the region from proxy confrontation to institutional de-escalation. Iran channels its regional relationships into diplomatic, economic, and political support within international law; the United States codifies the termination of the forward military campaign architecture of 2026; and both record the shift as the mutual architecture of the settlement, not as the unilateral abandonment of any relationship by either.</w:t>
      </w:r>
    </w:p>
    <w:p w14:paraId="4D105B85" w14:textId="77777777" w:rsidR="00CA7ABD" w:rsidRDefault="00000000">
      <w:pPr>
        <w:pStyle w:val="Heading2"/>
        <w:rPr>
          <w:rFonts w:hint="eastAsia"/>
        </w:rPr>
      </w:pPr>
      <w:r>
        <w:t>Article 40: The Regional Charter Horizon</w:t>
      </w:r>
    </w:p>
    <w:p w14:paraId="0793E193" w14:textId="77777777" w:rsidR="00CA7ABD" w:rsidRDefault="00000000">
      <w:pPr>
        <w:rPr>
          <w:rFonts w:hint="eastAsia"/>
        </w:rPr>
      </w:pPr>
      <w:r>
        <w:t>40.1 The Parties sponsor, within 12 months, a regional conference under Pakistani and Omani convening toward a Regional Multi-Lateral Charter codifying the security, maritime, and economic architecture of this Accord at the regional level, with the Gulf Cooperation Council, Iraq, and other regional states as principals.</w:t>
      </w:r>
    </w:p>
    <w:p w14:paraId="4F41793A" w14:textId="77777777" w:rsidR="00CA7ABD" w:rsidRDefault="00000000">
      <w:pPr>
        <w:rPr>
          <w:rFonts w:hint="eastAsia"/>
        </w:rPr>
      </w:pPr>
      <w:r>
        <w:t>40.2 The Charter track operates as an independent module. Its pace never conditions the obligations of this Treaty, and its eventual adoption supplements, never replaces, this Accord.</w:t>
      </w:r>
    </w:p>
    <w:p w14:paraId="1DD48216" w14:textId="77777777" w:rsidR="00CA7ABD" w:rsidRDefault="00CA7ABD">
      <w:pPr>
        <w:pageBreakBefore/>
        <w:rPr>
          <w:rFonts w:hint="eastAsia"/>
        </w:rPr>
      </w:pPr>
    </w:p>
    <w:p w14:paraId="7C8F3B90" w14:textId="77777777" w:rsidR="00CA7ABD" w:rsidRDefault="00000000">
      <w:pPr>
        <w:pStyle w:val="Heading1"/>
        <w:rPr>
          <w:rFonts w:hint="eastAsia"/>
        </w:rPr>
      </w:pPr>
      <w:r>
        <w:t>PART XII: HUMANITARIAN PERMANENT PROVISIONS</w:t>
      </w:r>
    </w:p>
    <w:p w14:paraId="1DECFEA6" w14:textId="77777777" w:rsidR="00CA7ABD" w:rsidRDefault="00000000">
      <w:pPr>
        <w:pStyle w:val="Heading2"/>
        <w:rPr>
          <w:rFonts w:hint="eastAsia"/>
        </w:rPr>
      </w:pPr>
      <w:r>
        <w:t>Article 41: Seafarers, Vessels, and the Humanitarian Permanence</w:t>
      </w:r>
    </w:p>
    <w:p w14:paraId="27F1D92F" w14:textId="77777777" w:rsidR="00CA7ABD" w:rsidRDefault="00000000">
      <w:pPr>
        <w:rPr>
          <w:rFonts w:hint="eastAsia"/>
        </w:rPr>
      </w:pPr>
      <w:r>
        <w:t>41.1 The stranded-crew emergency of 2026 closes permanently. The evacuation framework completed under the crisis instruments enters the record, and the Standing Rules of this Article guarantee: no detention of seafarers for transit; no prosecution of crews for lawful passage; consular access within 24 hours in any future contingency; and the absolute priority of humanitarian vessels in every corridor and every flow state.</w:t>
      </w:r>
    </w:p>
    <w:p w14:paraId="0425A05E" w14:textId="77777777" w:rsidR="00CA7ABD" w:rsidRDefault="00000000">
      <w:pPr>
        <w:rPr>
          <w:rFonts w:hint="eastAsia"/>
        </w:rPr>
      </w:pPr>
      <w:r>
        <w:t>41.2 Detained vessels and crews of the conflict period release under the schedule already established by the humanitarian instruments, and the JIC certifies completion. The Non-Prosecution Covenant of the crisis framework continues permanently.</w:t>
      </w:r>
    </w:p>
    <w:p w14:paraId="3285E3C8" w14:textId="77777777" w:rsidR="00CA7ABD" w:rsidRDefault="00000000">
      <w:pPr>
        <w:rPr>
          <w:rFonts w:hint="eastAsia"/>
        </w:rPr>
      </w:pPr>
      <w:r>
        <w:t>41.3 The Humanitarian Bridge converts into a standing Humanitarian Lane: a permanently designated priority routing for vessels carrying food, medicine, medical equipment, and relief supplies, certified by the Authority and published in the Open Water Bulletin. Humanitarian protections remain absolute under every circumstance of this Accord, including dispute, suspension, step-back, and dormancy.</w:t>
      </w:r>
    </w:p>
    <w:p w14:paraId="55803AE2" w14:textId="77777777" w:rsidR="00CA7ABD" w:rsidRDefault="00000000">
      <w:pPr>
        <w:rPr>
          <w:rFonts w:hint="eastAsia"/>
        </w:rPr>
      </w:pPr>
      <w:r>
        <w:t>41.4 The framework architecture excludes, permanently and absolutely, the targeting of desalination plants, power plants serving civilian populations, hospitals, and civilian water infrastructure, by any Party, in any contingency. This exclusion survives every other provision of this Accord and stands outside the step-back engine entirely.</w:t>
      </w:r>
    </w:p>
    <w:p w14:paraId="335FD807" w14:textId="77777777" w:rsidR="00CA7ABD" w:rsidRDefault="00CA7ABD">
      <w:pPr>
        <w:pageBreakBefore/>
        <w:rPr>
          <w:rFonts w:hint="eastAsia"/>
        </w:rPr>
      </w:pPr>
    </w:p>
    <w:p w14:paraId="7EEF5BE8" w14:textId="77777777" w:rsidR="00CA7ABD" w:rsidRDefault="00000000">
      <w:pPr>
        <w:pStyle w:val="Heading1"/>
        <w:rPr>
          <w:rFonts w:hint="eastAsia"/>
        </w:rPr>
      </w:pPr>
      <w:r>
        <w:t>PART XIII: THE EXCLUDED FILES AND THE FIREWALL</w:t>
      </w:r>
    </w:p>
    <w:p w14:paraId="3FA5CB8B" w14:textId="77777777" w:rsidR="00CA7ABD" w:rsidRDefault="00000000">
      <w:pPr>
        <w:pStyle w:val="Heading2"/>
        <w:rPr>
          <w:rFonts w:hint="eastAsia"/>
        </w:rPr>
      </w:pPr>
      <w:r>
        <w:t>Article 42: The Missile File and the Separate Track</w:t>
      </w:r>
    </w:p>
    <w:p w14:paraId="567E5B80" w14:textId="77777777" w:rsidR="00CA7ABD" w:rsidRDefault="00000000">
      <w:pPr>
        <w:rPr>
          <w:rFonts w:hint="eastAsia"/>
        </w:rPr>
      </w:pPr>
      <w:r>
        <w:t>42.1 The Iranian ballistic missile program stands outside this Treaty. The Parties acknowledge the file as a legitimate security concern of the United States and its partners, and acknowledge the Iranian position that its conventional deterrent stands outside negotiation under threat. The framework architecture resolves the impasse by firewall: the missile file proceeds, if at all, through a separate, voluntary, future track, and no provision of this Treaty conditions upon it.</w:t>
      </w:r>
    </w:p>
    <w:p w14:paraId="48892CB2" w14:textId="77777777" w:rsidR="00CA7ABD" w:rsidRDefault="00000000">
      <w:pPr>
        <w:rPr>
          <w:rFonts w:hint="eastAsia"/>
        </w:rPr>
      </w:pPr>
      <w:r>
        <w:t>42.2 The firewall binds in both directions: progress or failure on the missile file never activates step-back within this Accord, and obligations of this Accord never leverage the missile file. The Guarantor Matrix notes the file annually on the record, without action.</w:t>
      </w:r>
    </w:p>
    <w:p w14:paraId="5184716B" w14:textId="77777777" w:rsidR="00CA7ABD" w:rsidRDefault="00000000">
      <w:pPr>
        <w:pStyle w:val="Heading2"/>
        <w:rPr>
          <w:rFonts w:hint="eastAsia"/>
        </w:rPr>
      </w:pPr>
      <w:r>
        <w:t>Article 43: The Firewall General Clause</w:t>
      </w:r>
    </w:p>
    <w:p w14:paraId="60FFFE05" w14:textId="77777777" w:rsidR="00CA7ABD" w:rsidRDefault="00000000">
      <w:pPr>
        <w:rPr>
          <w:rFonts w:hint="eastAsia"/>
        </w:rPr>
      </w:pPr>
      <w:r>
        <w:t>43.1 Matters this Treaty excludes by Article 7.5 operate under the Partial Success Doctrine as independent tracks. No organ of this Accord trades, links, or leverages an excluded file against an included obligation.</w:t>
      </w:r>
    </w:p>
    <w:p w14:paraId="57C0F216" w14:textId="77777777" w:rsidR="00CA7ABD" w:rsidRDefault="00000000">
      <w:pPr>
        <w:rPr>
          <w:rFonts w:hint="eastAsia"/>
        </w:rPr>
      </w:pPr>
      <w:r>
        <w:t>43.2 The Abraham Accords track, diplomatic recognition questions, and bilateral relationship questions between Iran and third states stand outside this Treaty entirely. Nothing in this Accord conditions any obligation upon any normalization, and nothing in any normalization modifies this Accord.</w:t>
      </w:r>
    </w:p>
    <w:p w14:paraId="201421E4" w14:textId="77777777" w:rsidR="00CA7ABD" w:rsidRDefault="00000000">
      <w:pPr>
        <w:pStyle w:val="Heading2"/>
        <w:rPr>
          <w:rFonts w:hint="eastAsia"/>
        </w:rPr>
      </w:pPr>
      <w:r>
        <w:t>Article 44: The Complete Settlement Clause</w:t>
      </w:r>
    </w:p>
    <w:p w14:paraId="3F64F0E2" w14:textId="77777777" w:rsidR="00CA7ABD" w:rsidRDefault="00000000">
      <w:pPr>
        <w:rPr>
          <w:rFonts w:hint="eastAsia"/>
        </w:rPr>
      </w:pPr>
      <w:r>
        <w:t>44.1 Within its functional scope, this Treaty constitutes the complete and final settlement of the disputes it enumerates. The Parties discharge each other, permanently, from claims arising from the 2026 war, through the architecture of this Treaty: no reparations flow in either direction in any form labeled reparations, compensation, or damages, and the reconstruction architecture of Part X, the asset releases of Part IX, and the sanctions termination of Part VIII together constitute the economic settlement in full.</w:t>
      </w:r>
    </w:p>
    <w:p w14:paraId="1E79EBC4" w14:textId="77777777" w:rsidR="00CA7ABD" w:rsidRDefault="00000000">
      <w:pPr>
        <w:rPr>
          <w:rFonts w:hint="eastAsia"/>
        </w:rPr>
      </w:pPr>
      <w:r>
        <w:t>44.2 Demands outside this settlement, including historical claims spanning prior decades, stand discharged as between the Parties for the purposes of this Accord, each Party reserving its narrative of history for its own people under Layer Zero.</w:t>
      </w:r>
    </w:p>
    <w:p w14:paraId="465673A0" w14:textId="77777777" w:rsidR="00CA7ABD" w:rsidRDefault="00CA7ABD">
      <w:pPr>
        <w:pageBreakBefore/>
        <w:rPr>
          <w:rFonts w:hint="eastAsia"/>
        </w:rPr>
      </w:pPr>
    </w:p>
    <w:p w14:paraId="7D9EAE84" w14:textId="77777777" w:rsidR="00CA7ABD" w:rsidRDefault="00000000">
      <w:pPr>
        <w:pStyle w:val="Heading1"/>
        <w:rPr>
          <w:rFonts w:hint="eastAsia"/>
        </w:rPr>
      </w:pPr>
      <w:r>
        <w:t>LAYER TWO: THE COTHROM VERIFICATION PROTOCOL</w:t>
      </w:r>
    </w:p>
    <w:p w14:paraId="4B9A05A6" w14:textId="77777777" w:rsidR="00CA7ABD" w:rsidRDefault="00000000">
      <w:pPr>
        <w:pStyle w:val="Quote"/>
        <w:rPr>
          <w:rFonts w:hint="eastAsia"/>
        </w:rPr>
      </w:pPr>
      <w:r>
        <w:t>Cothrom: equal, balanced, level, fair. Verification as a reciprocal architecture: all parties invest, all parties verify, all parties recover. Snapback kills agreements; this framework breathes.</w:t>
      </w:r>
    </w:p>
    <w:p w14:paraId="6ED78958" w14:textId="77777777" w:rsidR="00CA7ABD" w:rsidRDefault="00000000">
      <w:pPr>
        <w:pStyle w:val="Heading2"/>
        <w:rPr>
          <w:rFonts w:hint="eastAsia"/>
        </w:rPr>
      </w:pPr>
      <w:r>
        <w:t>Article 45: Adoption of the Cothrom Method</w:t>
      </w:r>
    </w:p>
    <w:p w14:paraId="5DBCDF37" w14:textId="77777777" w:rsidR="00CA7ABD" w:rsidRDefault="00000000">
      <w:pPr>
        <w:rPr>
          <w:rFonts w:hint="eastAsia"/>
        </w:rPr>
      </w:pPr>
      <w:r>
        <w:t>45.1 The Parties adopt the Cothrom Verification Method as the exclusive compliance and verification engine of this Accord. Annex E incorporates the full text of the Method as operative law. This Layer states its application to this Accord and its binding summary principles.</w:t>
      </w:r>
    </w:p>
    <w:p w14:paraId="31CC30B3" w14:textId="77777777" w:rsidR="00CA7ABD" w:rsidRDefault="00000000">
      <w:pPr>
        <w:rPr>
          <w:rFonts w:hint="eastAsia"/>
        </w:rPr>
      </w:pPr>
      <w:r>
        <w:t>45.2 Core operating principle: the framework architecture does not collapse upon breach. It breathes. Discretionary benefits pause first. Core constraints survive longest. Humanitarian protections remain absolute. Minor infractions produce minor proportional consequences. Sustained compliance restores full benefits. No violation creates permanent exclusion.</w:t>
      </w:r>
    </w:p>
    <w:p w14:paraId="01751634" w14:textId="77777777" w:rsidR="00CA7ABD" w:rsidRDefault="00000000">
      <w:pPr>
        <w:rPr>
          <w:rFonts w:hint="eastAsia"/>
        </w:rPr>
      </w:pPr>
      <w:r>
        <w:t>45.3 The Method replaces snapback with a graduated, reversible, proportionate compliance engine. Verification under this Accord treats the monitored Party and the monitoring Party as joint investors in one architecture: both deposit verification bonds, both submit and challenge claims through identical procedures, and both recover through identical earn-back pathways.</w:t>
      </w:r>
    </w:p>
    <w:p w14:paraId="03E16DD6" w14:textId="77777777" w:rsidR="00CA7ABD" w:rsidRDefault="00000000">
      <w:pPr>
        <w:pStyle w:val="Heading2"/>
        <w:rPr>
          <w:rFonts w:hint="eastAsia"/>
        </w:rPr>
      </w:pPr>
      <w:r>
        <w:t>Article 46: The Monitoring Systems</w:t>
      </w:r>
    </w:p>
    <w:p w14:paraId="7A3F4CE8" w14:textId="77777777" w:rsidR="00CA7ABD" w:rsidRDefault="00000000">
      <w:pPr>
        <w:rPr>
          <w:rFonts w:hint="eastAsia"/>
        </w:rPr>
      </w:pPr>
      <w:r>
        <w:t>46.1 Upon signature, the following systems activate immediately and operate continuously: primary telemetry feeds (satellite, radar, sensor networks); coastal and territorial sensor integration; the nuclear telemetry of Annex B (online enrichment monitors, cascade telemetry, environmental sampling seals); the maritime fused picture of Part VI (the incident-alert mesh, the common channel log, the corridor tracking system); and the withdrawal verification feeds of Part IV.</w:t>
      </w:r>
    </w:p>
    <w:p w14:paraId="69766562" w14:textId="77777777" w:rsidR="00CA7ABD" w:rsidRDefault="00000000">
      <w:pPr>
        <w:rPr>
          <w:rFonts w:hint="eastAsia"/>
        </w:rPr>
      </w:pPr>
      <w:r>
        <w:t>46.2 The Joint Monitoring Cell (JMC) convenes at Muscat within 72 hours of signature and operates 24/7 with pre-accredited personnel of both Principal Parties and the neutral technical staff of the Third-Party Expert Pool.</w:t>
      </w:r>
    </w:p>
    <w:p w14:paraId="7E1C605A" w14:textId="77777777" w:rsidR="00CA7ABD" w:rsidRDefault="00000000">
      <w:pPr>
        <w:rPr>
          <w:rFonts w:hint="eastAsia"/>
        </w:rPr>
      </w:pPr>
      <w:r>
        <w:t>46.3 The Shared Digital Registry logs all tracks, alerts, claims, verification packages, and notifications with cryptographic chain-of-custody. The Registry retains all logged data for a minimum of five years. No Party modifies, deletes, or redacts logged data.</w:t>
      </w:r>
    </w:p>
    <w:p w14:paraId="21A95149" w14:textId="77777777" w:rsidR="00CA7ABD" w:rsidRDefault="00000000">
      <w:pPr>
        <w:rPr>
          <w:rFonts w:hint="eastAsia"/>
        </w:rPr>
      </w:pPr>
      <w:r>
        <w:t>46.4 The Compliance Dashboard publishes non-classified metrics to the public. Data reaches all Parties with identical latency, and the Third-Party Telemetry Tie-Breaker, an independent commercial provider under contract to the Swiss Technical Facilitator, activates automatically upon any conflict between primary feeds.</w:t>
      </w:r>
    </w:p>
    <w:p w14:paraId="77A02945" w14:textId="77777777" w:rsidR="00CA7ABD" w:rsidRDefault="00000000">
      <w:pPr>
        <w:rPr>
          <w:rFonts w:hint="eastAsia"/>
        </w:rPr>
      </w:pPr>
      <w:r>
        <w:t>46.5 Data standards. All data conforms to the simultaneous, unalterable, transparent, non-attributable, and non-imputable standards of the Method. Data serves technical verification exclusively. No political meaning attaches to its collection, transmission, or receipt, and no participation in data systems constitutes recognition of any legal position.</w:t>
      </w:r>
    </w:p>
    <w:p w14:paraId="565C2E68" w14:textId="77777777" w:rsidR="00CA7ABD" w:rsidRDefault="00000000">
      <w:pPr>
        <w:rPr>
          <w:rFonts w:hint="eastAsia"/>
        </w:rPr>
      </w:pPr>
      <w:r>
        <w:t>46.6 Data quality. Each Party maintains the signal-to-noise and format standards of the technical annexes. Persistent failure, meaning three or more consecutive formatting alerts or signal violations within 72 hours, constitutes a breach of the transparency requirement and enters the Tier system.</w:t>
      </w:r>
    </w:p>
    <w:p w14:paraId="296D2CD1" w14:textId="77777777" w:rsidR="00CA7ABD" w:rsidRDefault="00000000">
      <w:pPr>
        <w:pStyle w:val="Heading2"/>
        <w:rPr>
          <w:rFonts w:hint="eastAsia"/>
        </w:rPr>
      </w:pPr>
      <w:r>
        <w:t>Article 47: The Anomaly Classification and Response</w:t>
      </w:r>
    </w:p>
    <w:p w14:paraId="5C5D0A04" w14:textId="77777777" w:rsidR="00CA7ABD" w:rsidRDefault="00000000">
      <w:pPr>
        <w:rPr>
          <w:rFonts w:hint="eastAsia"/>
        </w:rPr>
      </w:pPr>
      <w:r>
        <w:t>47.1 Alert severity classification filters noise from genuine compliance events:</w:t>
      </w:r>
    </w:p>
    <w:tbl>
      <w:tblPr>
        <w:tblW w:w="5000" w:type="pct"/>
        <w:tblInd w:w="-8"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745"/>
        <w:gridCol w:w="1518"/>
        <w:gridCol w:w="3021"/>
        <w:gridCol w:w="3942"/>
      </w:tblGrid>
      <w:tr w:rsidR="00CA7ABD" w14:paraId="4D6FF39A" w14:textId="77777777">
        <w:tc>
          <w:tcPr>
            <w:tcW w:w="0" w:type="auto"/>
            <w:shd w:val="clear" w:color="auto" w:fill="37474F"/>
          </w:tcPr>
          <w:p w14:paraId="78562F37" w14:textId="77777777" w:rsidR="00CA7ABD" w:rsidRDefault="00000000">
            <w:pPr>
              <w:rPr>
                <w:rFonts w:hint="eastAsia"/>
              </w:rPr>
            </w:pPr>
            <w:r>
              <w:rPr>
                <w:b/>
                <w:color w:val="FFFFFF"/>
                <w:sz w:val="19"/>
              </w:rPr>
              <w:t>Level</w:t>
            </w:r>
          </w:p>
        </w:tc>
        <w:tc>
          <w:tcPr>
            <w:tcW w:w="0" w:type="auto"/>
            <w:shd w:val="clear" w:color="auto" w:fill="37474F"/>
          </w:tcPr>
          <w:p w14:paraId="1D5E432C" w14:textId="77777777" w:rsidR="00CA7ABD" w:rsidRDefault="00000000">
            <w:pPr>
              <w:rPr>
                <w:rFonts w:hint="eastAsia"/>
              </w:rPr>
            </w:pPr>
            <w:r>
              <w:rPr>
                <w:b/>
                <w:color w:val="FFFFFF"/>
                <w:sz w:val="19"/>
              </w:rPr>
              <w:t>Class</w:t>
            </w:r>
          </w:p>
        </w:tc>
        <w:tc>
          <w:tcPr>
            <w:tcW w:w="0" w:type="auto"/>
            <w:shd w:val="clear" w:color="auto" w:fill="37474F"/>
          </w:tcPr>
          <w:p w14:paraId="4443C1EE" w14:textId="77777777" w:rsidR="00CA7ABD" w:rsidRDefault="00000000">
            <w:pPr>
              <w:rPr>
                <w:rFonts w:hint="eastAsia"/>
              </w:rPr>
            </w:pPr>
            <w:r>
              <w:rPr>
                <w:b/>
                <w:color w:val="FFFFFF"/>
                <w:sz w:val="19"/>
              </w:rPr>
              <w:t>Examples</w:t>
            </w:r>
          </w:p>
        </w:tc>
        <w:tc>
          <w:tcPr>
            <w:tcW w:w="0" w:type="auto"/>
            <w:shd w:val="clear" w:color="auto" w:fill="37474F"/>
          </w:tcPr>
          <w:p w14:paraId="7673A438" w14:textId="77777777" w:rsidR="00CA7ABD" w:rsidRDefault="00000000">
            <w:pPr>
              <w:rPr>
                <w:rFonts w:hint="eastAsia"/>
              </w:rPr>
            </w:pPr>
            <w:r>
              <w:rPr>
                <w:b/>
                <w:color w:val="FFFFFF"/>
                <w:sz w:val="19"/>
              </w:rPr>
              <w:t>Response</w:t>
            </w:r>
          </w:p>
        </w:tc>
      </w:tr>
      <w:tr w:rsidR="00CA7ABD" w14:paraId="1FF77629" w14:textId="77777777">
        <w:tc>
          <w:tcPr>
            <w:tcW w:w="0" w:type="auto"/>
          </w:tcPr>
          <w:p w14:paraId="5AE12D24" w14:textId="77777777" w:rsidR="00CA7ABD" w:rsidRDefault="00000000">
            <w:pPr>
              <w:rPr>
                <w:rFonts w:hint="eastAsia"/>
              </w:rPr>
            </w:pPr>
            <w:r>
              <w:rPr>
                <w:sz w:val="19"/>
              </w:rPr>
              <w:t>Level 1</w:t>
            </w:r>
          </w:p>
        </w:tc>
        <w:tc>
          <w:tcPr>
            <w:tcW w:w="0" w:type="auto"/>
          </w:tcPr>
          <w:p w14:paraId="0B8DA1E3" w14:textId="77777777" w:rsidR="00CA7ABD" w:rsidRDefault="00000000">
            <w:pPr>
              <w:rPr>
                <w:rFonts w:hint="eastAsia"/>
              </w:rPr>
            </w:pPr>
            <w:r>
              <w:rPr>
                <w:sz w:val="19"/>
              </w:rPr>
              <w:t>Informational</w:t>
            </w:r>
          </w:p>
        </w:tc>
        <w:tc>
          <w:tcPr>
            <w:tcW w:w="0" w:type="auto"/>
          </w:tcPr>
          <w:p w14:paraId="538832D7" w14:textId="77777777" w:rsidR="00CA7ABD" w:rsidRDefault="00000000">
            <w:pPr>
              <w:rPr>
                <w:rFonts w:hint="eastAsia"/>
              </w:rPr>
            </w:pPr>
            <w:r>
              <w:rPr>
                <w:sz w:val="19"/>
              </w:rPr>
              <w:t>Sensor maintenance, scheduled downtime, minor transmission interruption</w:t>
            </w:r>
          </w:p>
        </w:tc>
        <w:tc>
          <w:tcPr>
            <w:tcW w:w="0" w:type="auto"/>
          </w:tcPr>
          <w:p w14:paraId="2B1356D8" w14:textId="77777777" w:rsidR="00CA7ABD" w:rsidRDefault="00000000">
            <w:pPr>
              <w:rPr>
                <w:rFonts w:hint="eastAsia"/>
              </w:rPr>
            </w:pPr>
            <w:r>
              <w:rPr>
                <w:sz w:val="19"/>
              </w:rPr>
              <w:t>No action; no notification</w:t>
            </w:r>
          </w:p>
        </w:tc>
      </w:tr>
      <w:tr w:rsidR="00CA7ABD" w14:paraId="0682645F" w14:textId="77777777">
        <w:tc>
          <w:tcPr>
            <w:tcW w:w="0" w:type="auto"/>
            <w:shd w:val="clear" w:color="auto" w:fill="ECEFF1"/>
          </w:tcPr>
          <w:p w14:paraId="737CC6A0" w14:textId="77777777" w:rsidR="00CA7ABD" w:rsidRDefault="00000000">
            <w:pPr>
              <w:rPr>
                <w:rFonts w:hint="eastAsia"/>
              </w:rPr>
            </w:pPr>
            <w:r>
              <w:rPr>
                <w:sz w:val="19"/>
              </w:rPr>
              <w:t>Level 2</w:t>
            </w:r>
          </w:p>
        </w:tc>
        <w:tc>
          <w:tcPr>
            <w:tcW w:w="0" w:type="auto"/>
            <w:shd w:val="clear" w:color="auto" w:fill="ECEFF1"/>
          </w:tcPr>
          <w:p w14:paraId="14DCF01F" w14:textId="77777777" w:rsidR="00CA7ABD" w:rsidRDefault="00000000">
            <w:pPr>
              <w:rPr>
                <w:rFonts w:hint="eastAsia"/>
              </w:rPr>
            </w:pPr>
            <w:r>
              <w:rPr>
                <w:sz w:val="19"/>
              </w:rPr>
              <w:t>Technical Review</w:t>
            </w:r>
          </w:p>
        </w:tc>
        <w:tc>
          <w:tcPr>
            <w:tcW w:w="0" w:type="auto"/>
            <w:shd w:val="clear" w:color="auto" w:fill="ECEFF1"/>
          </w:tcPr>
          <w:p w14:paraId="7AF4A2CF" w14:textId="77777777" w:rsidR="00CA7ABD" w:rsidRDefault="00000000">
            <w:pPr>
              <w:rPr>
                <w:rFonts w:hint="eastAsia"/>
              </w:rPr>
            </w:pPr>
            <w:r>
              <w:rPr>
                <w:sz w:val="19"/>
              </w:rPr>
              <w:t>Unscheduled downtime under 4 hours; single anomalous reading without pattern</w:t>
            </w:r>
          </w:p>
        </w:tc>
        <w:tc>
          <w:tcPr>
            <w:tcW w:w="0" w:type="auto"/>
            <w:shd w:val="clear" w:color="auto" w:fill="ECEFF1"/>
          </w:tcPr>
          <w:p w14:paraId="1616DF54" w14:textId="77777777" w:rsidR="00CA7ABD" w:rsidRDefault="00000000">
            <w:pPr>
              <w:rPr>
                <w:rFonts w:hint="eastAsia"/>
              </w:rPr>
            </w:pPr>
            <w:r>
              <w:rPr>
                <w:sz w:val="19"/>
              </w:rPr>
              <w:t>JMC technical review within 7 days; no penalty</w:t>
            </w:r>
          </w:p>
        </w:tc>
      </w:tr>
      <w:tr w:rsidR="00CA7ABD" w14:paraId="23CD4EF7" w14:textId="77777777">
        <w:tc>
          <w:tcPr>
            <w:tcW w:w="0" w:type="auto"/>
          </w:tcPr>
          <w:p w14:paraId="53515598" w14:textId="77777777" w:rsidR="00CA7ABD" w:rsidRDefault="00000000">
            <w:pPr>
              <w:rPr>
                <w:rFonts w:hint="eastAsia"/>
              </w:rPr>
            </w:pPr>
            <w:r>
              <w:rPr>
                <w:sz w:val="19"/>
              </w:rPr>
              <w:t>Level 3</w:t>
            </w:r>
          </w:p>
        </w:tc>
        <w:tc>
          <w:tcPr>
            <w:tcW w:w="0" w:type="auto"/>
          </w:tcPr>
          <w:p w14:paraId="724D9430" w14:textId="77777777" w:rsidR="00CA7ABD" w:rsidRDefault="00000000">
            <w:pPr>
              <w:rPr>
                <w:rFonts w:hint="eastAsia"/>
              </w:rPr>
            </w:pPr>
            <w:r>
              <w:rPr>
                <w:sz w:val="19"/>
              </w:rPr>
              <w:t>Compliance Review</w:t>
            </w:r>
          </w:p>
        </w:tc>
        <w:tc>
          <w:tcPr>
            <w:tcW w:w="0" w:type="auto"/>
          </w:tcPr>
          <w:p w14:paraId="253AEBD3" w14:textId="77777777" w:rsidR="00CA7ABD" w:rsidRDefault="00000000">
            <w:pPr>
              <w:rPr>
                <w:rFonts w:hint="eastAsia"/>
              </w:rPr>
            </w:pPr>
            <w:r>
              <w:rPr>
                <w:sz w:val="19"/>
              </w:rPr>
              <w:t>Downtime over 4 hours; pattern of anomalous readings</w:t>
            </w:r>
          </w:p>
        </w:tc>
        <w:tc>
          <w:tcPr>
            <w:tcW w:w="0" w:type="auto"/>
          </w:tcPr>
          <w:p w14:paraId="6075D731" w14:textId="77777777" w:rsidR="00CA7ABD" w:rsidRDefault="00000000">
            <w:pPr>
              <w:rPr>
                <w:rFonts w:hint="eastAsia"/>
              </w:rPr>
            </w:pPr>
            <w:r>
              <w:rPr>
                <w:sz w:val="19"/>
              </w:rPr>
              <w:t>Enhanced inspection within 72 hours; potential Tier 1 if unresolved in 14 days</w:t>
            </w:r>
          </w:p>
        </w:tc>
      </w:tr>
      <w:tr w:rsidR="00CA7ABD" w14:paraId="468E72EF" w14:textId="77777777">
        <w:tc>
          <w:tcPr>
            <w:tcW w:w="0" w:type="auto"/>
            <w:shd w:val="clear" w:color="auto" w:fill="ECEFF1"/>
          </w:tcPr>
          <w:p w14:paraId="165B1D3E" w14:textId="77777777" w:rsidR="00CA7ABD" w:rsidRDefault="00000000">
            <w:pPr>
              <w:rPr>
                <w:rFonts w:hint="eastAsia"/>
              </w:rPr>
            </w:pPr>
            <w:r>
              <w:rPr>
                <w:sz w:val="19"/>
              </w:rPr>
              <w:t>Level 4</w:t>
            </w:r>
          </w:p>
        </w:tc>
        <w:tc>
          <w:tcPr>
            <w:tcW w:w="0" w:type="auto"/>
            <w:shd w:val="clear" w:color="auto" w:fill="ECEFF1"/>
          </w:tcPr>
          <w:p w14:paraId="407DA040" w14:textId="77777777" w:rsidR="00CA7ABD" w:rsidRDefault="00000000">
            <w:pPr>
              <w:rPr>
                <w:rFonts w:hint="eastAsia"/>
              </w:rPr>
            </w:pPr>
            <w:r>
              <w:rPr>
                <w:sz w:val="19"/>
              </w:rPr>
              <w:t>Breach Indicator</w:t>
            </w:r>
          </w:p>
        </w:tc>
        <w:tc>
          <w:tcPr>
            <w:tcW w:w="0" w:type="auto"/>
            <w:shd w:val="clear" w:color="auto" w:fill="ECEFF1"/>
          </w:tcPr>
          <w:p w14:paraId="2E799117" w14:textId="77777777" w:rsidR="00CA7ABD" w:rsidRDefault="00000000">
            <w:pPr>
              <w:rPr>
                <w:rFonts w:hint="eastAsia"/>
              </w:rPr>
            </w:pPr>
            <w:r>
              <w:rPr>
                <w:sz w:val="19"/>
              </w:rPr>
              <w:t>Evidence of tampering, deliberate disablement, material diversion</w:t>
            </w:r>
          </w:p>
        </w:tc>
        <w:tc>
          <w:tcPr>
            <w:tcW w:w="0" w:type="auto"/>
            <w:shd w:val="clear" w:color="auto" w:fill="ECEFF1"/>
          </w:tcPr>
          <w:p w14:paraId="08BFF108" w14:textId="77777777" w:rsidR="00CA7ABD" w:rsidRDefault="00000000">
            <w:pPr>
              <w:rPr>
                <w:rFonts w:hint="eastAsia"/>
              </w:rPr>
            </w:pPr>
            <w:r>
              <w:rPr>
                <w:sz w:val="19"/>
              </w:rPr>
              <w:t>Tier 2 step-back consideration; JMC convenes within 24 hours; mandatory executive consultation before any penalty</w:t>
            </w:r>
          </w:p>
        </w:tc>
      </w:tr>
    </w:tbl>
    <w:p w14:paraId="61DC090C" w14:textId="77777777" w:rsidR="00CA7ABD" w:rsidRDefault="00000000">
      <w:pPr>
        <w:rPr>
          <w:rFonts w:hint="eastAsia"/>
        </w:rPr>
      </w:pPr>
      <w:r>
        <w:t>47.2 Only Level 4 triggers potential step-back. Levels 1 through 3 resolve through technical channels without penalty.</w:t>
      </w:r>
    </w:p>
    <w:p w14:paraId="51540379" w14:textId="77777777" w:rsidR="00CA7ABD" w:rsidRDefault="00000000">
      <w:pPr>
        <w:rPr>
          <w:rFonts w:hint="eastAsia"/>
        </w:rPr>
      </w:pPr>
      <w:r>
        <w:t>47.3 The Anomaly Response Playbook binds both Parties from signature: automated communication to both Parties within five minutes of a Level 3 or Level 4 alert; pre-vetted operational stand-down for forces in the vicinity; emergency video-conference within 30 minutes; all steps logged in the Registry.</w:t>
      </w:r>
    </w:p>
    <w:p w14:paraId="1F162B4D" w14:textId="77777777" w:rsidR="00CA7ABD" w:rsidRDefault="00000000">
      <w:pPr>
        <w:rPr>
          <w:rFonts w:hint="eastAsia"/>
        </w:rPr>
      </w:pPr>
      <w:r>
        <w:t>47.4 The Technical Truth Escalation Chain resolves data fidelity disputes on a binding clock: Day 1, preliminary technical finding by the JMC Chief Technical Officer; Day 3, Technical Working Group corroboration report; Day 5, binding determination by the neutral expert panel, final and unappealable. Registration of a technical dispute freezes all operational responses to the disputed event for 24 hours; the hold lifts automatically upon resolution.</w:t>
      </w:r>
    </w:p>
    <w:p w14:paraId="3087E37E" w14:textId="77777777" w:rsidR="00CA7ABD" w:rsidRDefault="00000000">
      <w:pPr>
        <w:rPr>
          <w:rFonts w:hint="eastAsia"/>
        </w:rPr>
      </w:pPr>
      <w:r>
        <w:t>47.5 The sole automatic trigger. If telemetry from a verification-relevant facility remains unavailable for 48 consecutive hours and the Technical Working Group certifies the unavailability is not equipment failure or maintenance, all framework benefits related to that facility suspend automatically, and no human veto overrides the suspension. Restoration and authentication of telemetry lifts the suspension immediately. This automatic suspension is the only penalty that activates without executive consultation.</w:t>
      </w:r>
    </w:p>
    <w:p w14:paraId="682F2D4A" w14:textId="77777777" w:rsidR="00CA7ABD" w:rsidRDefault="00000000">
      <w:pPr>
        <w:pStyle w:val="Heading2"/>
        <w:rPr>
          <w:rFonts w:hint="eastAsia"/>
        </w:rPr>
      </w:pPr>
      <w:r>
        <w:t>Article 48: The Verification Bonds and the Fund</w:t>
      </w:r>
    </w:p>
    <w:p w14:paraId="74E96BE3" w14:textId="77777777" w:rsidR="00CA7ABD" w:rsidRDefault="00000000">
      <w:pPr>
        <w:rPr>
          <w:rFonts w:hint="eastAsia"/>
        </w:rPr>
      </w:pPr>
      <w:r>
        <w:t>48.1 Both Principal Parties deposit a Verification Bond with the Swiss Technical Facilitator before the first phase commences. The bond is a performance stake, never a fee. Release and forfeit conditions follow Annex E: the Claimant bond releases upon accumulation of 50 or more verified credits; the Verifier bond releases upon an objection upheld rate of 50 percent or greater; frivolous objection rates above 30 percent forfeit.</w:t>
      </w:r>
    </w:p>
    <w:p w14:paraId="39DCD4E8" w14:textId="77777777" w:rsidR="00CA7ABD" w:rsidRDefault="00000000">
      <w:pPr>
        <w:rPr>
          <w:rFonts w:hint="eastAsia"/>
        </w:rPr>
      </w:pPr>
      <w:r>
        <w:t>48.2 The Contingency Reserve equals 10 percent of the phase allocation and releases only upon joint written request or JMC certification of cost overrun. Budget continuity holds across fallback and extension: released tranches remain available, and neither Party recalls released funds because of fallback activation.</w:t>
      </w:r>
    </w:p>
    <w:p w14:paraId="67E0A26B" w14:textId="77777777" w:rsidR="00CA7ABD" w:rsidRDefault="00000000">
      <w:pPr>
        <w:pStyle w:val="Heading2"/>
        <w:rPr>
          <w:rFonts w:hint="eastAsia"/>
        </w:rPr>
      </w:pPr>
      <w:r>
        <w:t>Article 49: Adversarial Claim Verification</w:t>
      </w:r>
    </w:p>
    <w:p w14:paraId="2FC3D06B" w14:textId="77777777" w:rsidR="00CA7ABD" w:rsidRDefault="00000000">
      <w:pPr>
        <w:rPr>
          <w:rFonts w:hint="eastAsia"/>
        </w:rPr>
      </w:pPr>
      <w:r>
        <w:t>49.1 Claims. Service and compliance claims submit through the Registry with primary evidence, supporting documentation with chain-of-custody, and JMC liaison certification, each within 24 hours of service delivery. The Technical Working Group assigns each claim a confirmation level against the golden record, and credits accumulate per the schedule of Annex E, with rapid-confirmation bonuses for verification within 12 hours.</w:t>
      </w:r>
    </w:p>
    <w:p w14:paraId="061F61C8" w14:textId="77777777" w:rsidR="00CA7ABD" w:rsidRDefault="00000000">
      <w:pPr>
        <w:rPr>
          <w:rFonts w:hint="eastAsia"/>
        </w:rPr>
      </w:pPr>
      <w:r>
        <w:t>49.2 Challenges. The opposing Party holds a 48-hour challenge window. Challenge types and costs follow Annex E: acceptance (zero cost); technical review request (5 credits, multiplier applies); full objection (20 credits, penalty of twice the reimbursement value upon failure). The Technical Review Panel convenes within 24 hours, decides solely on the unalterable Registry data, and issues a binding determination with a verification score.</w:t>
      </w:r>
    </w:p>
    <w:p w14:paraId="7CF6DF03" w14:textId="77777777" w:rsidR="00CA7ABD" w:rsidRDefault="00000000">
      <w:pPr>
        <w:rPr>
          <w:rFonts w:hint="eastAsia"/>
        </w:rPr>
      </w:pPr>
      <w:r>
        <w:t>49.3 The Frivolous Review Escalation Ladder disciplines the challenge function: first failure, standard penalty; second, double penalty plus 24-hour moratorium; third, quadruple penalty plus 72-hour moratorium and Council review; fourth, quadruple penalty plus automatic bad-faith designation, under which the opposing Party's claims receive automatic verification for 7 days. The ladder resets at each phase boundary.</w:t>
      </w:r>
    </w:p>
    <w:p w14:paraId="25D6807C" w14:textId="77777777" w:rsidR="00CA7ABD" w:rsidRDefault="00000000">
      <w:pPr>
        <w:rPr>
          <w:rFonts w:hint="eastAsia"/>
        </w:rPr>
      </w:pPr>
      <w:r>
        <w:t>49.4 Anonymous Review. All challenges submit anonymously; the challenged Party receives notice without the challenger's identity; overturned challenges reveal the challenger only to the challenged Party through secure diplomatic channels. Verification stays data-driven, never accusatory.</w:t>
      </w:r>
    </w:p>
    <w:p w14:paraId="310BDB68" w14:textId="77777777" w:rsidR="00CA7ABD" w:rsidRDefault="00000000">
      <w:pPr>
        <w:rPr>
          <w:rFonts w:hint="eastAsia"/>
        </w:rPr>
      </w:pPr>
      <w:r>
        <w:t>49.5 Partial credit. The Panel awards credit proportionally to accuracy: 90 to 100 percent earns full credit plus bonus; 70 to 89 percent earns 75 percent; 50 to 69 percent earns 50 percent; below 50 percent earns rejection with ladder penalty. High-value claims pass through the Escrow Reserve of Annex E: 21 to 50 credits, half held in reserve; 51 credits and above, three quarters held in reserve, releasing upon final adjudication.</w:t>
      </w:r>
    </w:p>
    <w:p w14:paraId="2EECEDC3" w14:textId="77777777" w:rsidR="00CA7ABD" w:rsidRDefault="00000000">
      <w:pPr>
        <w:rPr>
          <w:rFonts w:hint="eastAsia"/>
        </w:rPr>
      </w:pPr>
      <w:r>
        <w:t>49.6 Third-Party Expert Oversight. A standing pool of five neutral experts, accredited by the Swiss Technical Facilitator, with the composition of Annex E (Switzerland as coordinator and tie-breaker; Japan; the United Arab Emirates; Singapore; one rotating seat), reviews determinations through the Second Opinion mechanism: a failed Second Opinion costs 10 credits; a successful one vacates the Panel determination, re-adjudicates the claim on the Second Opinion as authoritative, and rotates the Panel.</w:t>
      </w:r>
    </w:p>
    <w:p w14:paraId="526A2888" w14:textId="77777777" w:rsidR="00CA7ABD" w:rsidRDefault="00000000">
      <w:pPr>
        <w:rPr>
          <w:rFonts w:hint="eastAsia"/>
        </w:rPr>
      </w:pPr>
      <w:r>
        <w:t>49.7 Pacing buffers prevent flooding: daily claim and challenge limits scale by phase per Annex E, and the JMC enforces them automatically.</w:t>
      </w:r>
    </w:p>
    <w:p w14:paraId="4DA1C950" w14:textId="77777777" w:rsidR="00CA7ABD" w:rsidRDefault="00000000">
      <w:pPr>
        <w:pStyle w:val="Heading2"/>
        <w:rPr>
          <w:rFonts w:hint="eastAsia"/>
        </w:rPr>
      </w:pPr>
      <w:r>
        <w:t>Article 50: The Three-Tier Breach Classification</w:t>
      </w:r>
    </w:p>
    <w:p w14:paraId="52B4EF15" w14:textId="77777777" w:rsidR="00CA7ABD" w:rsidRDefault="00000000">
      <w:pPr>
        <w:rPr>
          <w:rFonts w:hint="eastAsia"/>
        </w:rPr>
      </w:pPr>
      <w:r>
        <w:t>50.1 Tier 1, Technical Dispute (de minimis): readings less than 0.5 percent above ceiling; two or fewer elements outside agreed status; reporting delays of 48 hours or less with administrative cause. Response: no benefit reduction, no step-back, technical assistance within 72 hours, 14-day engineering window, confidential handling. Tier 1 events never accumulate toward Tier 2.</w:t>
      </w:r>
    </w:p>
    <w:p w14:paraId="0244DD7D" w14:textId="77777777" w:rsidR="00CA7ABD" w:rsidRDefault="00000000">
      <w:pPr>
        <w:rPr>
          <w:rFonts w:hint="eastAsia"/>
        </w:rPr>
      </w:pPr>
      <w:r>
        <w:t>50.2 Tier 2, Material Disruption: readings exceeding 0.5 percent above ceiling; more than two elements outside agreed status; more than 72 hours of obstruction or denied access; unscheduled sensor downtime over 4 hours without documented cause; patterns suggesting systematic manipulation; confirmed tampering; falsified telemetry; any discovered backdoor in cryptographic systems. Response graduates by duration: days 1 to 7, ten percent reduction in non-humanitarian benefits; days 7 to 14, fifteen percent; days 15 to 30, twenty-five percent; beyond 30 days, twenty-five percent plus mandatory referral to the Guarantor Matrix. Humanitarian tranches remain fully protected at all times; the Political Discretion Fund remains exempt; a 30-day remediation window opens automatically; executive consultation precedes any penalty.</w:t>
      </w:r>
    </w:p>
    <w:p w14:paraId="26F1A442" w14:textId="77777777" w:rsidR="00CA7ABD" w:rsidRDefault="00000000">
      <w:pPr>
        <w:rPr>
          <w:rFonts w:hint="eastAsia"/>
        </w:rPr>
      </w:pPr>
      <w:r>
        <w:t>50.3 Tier 3, Deliberate Hostile Violation: prohibited weapons activity detected; fissile or hazardous material diversion confirmed; physical attack on inspectors or facilities; deliberate compromise of framework sensors undermining the verification architecture; deliberately falsified telemetry that, if believed, would have triggered step-back or military response; systematic Tier 2 patterns demonstrating institutional bad faith. Response graduates by remediation speed: remediation begun within 72 hours, twenty-five percent reduction; after 72 hours without remediation, thirty-five percent; after 30 days, fifty percent. Tier 3 modules enter hold; a 90-day remediation window opens; the Guarantor Matrix convenes within 48 hours.</w:t>
      </w:r>
    </w:p>
    <w:p w14:paraId="1F373306" w14:textId="77777777" w:rsidR="00CA7ABD" w:rsidRDefault="00000000">
      <w:pPr>
        <w:pStyle w:val="Heading2"/>
        <w:rPr>
          <w:rFonts w:hint="eastAsia"/>
        </w:rPr>
      </w:pPr>
      <w:r>
        <w:t>Article 51: The Graduated Step-Back Mechanism</w:t>
      </w:r>
    </w:p>
    <w:p w14:paraId="23AD3CC1" w14:textId="77777777" w:rsidR="00CA7ABD" w:rsidRDefault="00000000">
      <w:pPr>
        <w:rPr>
          <w:rFonts w:hint="eastAsia"/>
        </w:rPr>
      </w:pPr>
      <w:r>
        <w:t>51.1 Proportionality. Penalty equals Base Tier Penalty multiplied by Duration Multiplier (0.4 for correction within 24 hours, rising to 1.0 at uncured expiry of the remediation window) multiplied by Remediation Factor (0.5 full remediation, 0.75 partial, 1.0 none).</w:t>
      </w:r>
    </w:p>
    <w:p w14:paraId="48008E35" w14:textId="77777777" w:rsidR="00CA7ABD" w:rsidRDefault="00000000">
      <w:pPr>
        <w:rPr>
          <w:rFonts w:hint="eastAsia"/>
        </w:rPr>
      </w:pPr>
      <w:r>
        <w:t>51.2 Sequenced impact. Step-back pauses benefits in this exact order: first, discretionary measures (reconstruction credits, over-compliance credits, bonus funds); second, commercial financial benefits (expanded access, export licenses, non-humanitarian trade facilitation); third, core relief tranches (frozen asset releases, general license renewals); last, core constraints and verification obligations; never, humanitarian tranches, released escrowed funds, or hotline and deconfliction protocols.</w:t>
      </w:r>
    </w:p>
    <w:p w14:paraId="585C55C7" w14:textId="77777777" w:rsidR="00CA7ABD" w:rsidRDefault="00000000">
      <w:pPr>
        <w:rPr>
          <w:rFonts w:hint="eastAsia"/>
        </w:rPr>
      </w:pPr>
      <w:r>
        <w:t>51.3 Human-in-the-loop. AI systems flag anomalies and present evidence packages within 6 hours; the JMC duty officer reviews within 12 hours; senior officials of both Parties confer within 48 hours, the mandatory cooling-off; executive consultation confirms tier classification before any penalty activates. The Annual Human-in-the-Loop Audit verifies that no autonomous penalty decision occurs, and failure of any audit criterion triggers recalibration of the AI system within 30 days.</w:t>
      </w:r>
    </w:p>
    <w:p w14:paraId="69539AEB" w14:textId="77777777" w:rsidR="00CA7ABD" w:rsidRDefault="00000000">
      <w:pPr>
        <w:rPr>
          <w:rFonts w:hint="eastAsia"/>
        </w:rPr>
      </w:pPr>
      <w:r>
        <w:t>51.4 The 48-hour cooling-off architecture. Before any step-back activates: no penalties accrue; senior officials confer directly; the Swiss Technical Facilitator proposes de-escalation measures; the period extends to 72 hours by mutual agreement.</w:t>
      </w:r>
    </w:p>
    <w:p w14:paraId="476B0B3A" w14:textId="77777777" w:rsidR="00CA7ABD" w:rsidRDefault="00000000">
      <w:pPr>
        <w:pStyle w:val="Heading2"/>
        <w:rPr>
          <w:rFonts w:hint="eastAsia"/>
        </w:rPr>
      </w:pPr>
      <w:r>
        <w:t>Article 52: The Earn-Back Pathway</w:t>
      </w:r>
    </w:p>
    <w:p w14:paraId="709A9273" w14:textId="77777777" w:rsidR="00CA7ABD" w:rsidRDefault="00000000">
      <w:pPr>
        <w:rPr>
          <w:rFonts w:hint="eastAsia"/>
        </w:rPr>
      </w:pPr>
      <w:r>
        <w:t>52.1 Earn-back is a structural feature, not a privilege. Every step-back penalty carries an automatic, defined earn-back route. No penalty is permanent.</w:t>
      </w:r>
    </w:p>
    <w:p w14:paraId="74F13292" w14:textId="77777777" w:rsidR="00CA7ABD" w:rsidRDefault="00000000">
      <w:pPr>
        <w:rPr>
          <w:rFonts w:hint="eastAsia"/>
        </w:rPr>
      </w:pPr>
      <w:r>
        <w:t>52.2 Tier 1: resolution within 14 days returns full status automatically. Tier 2: full earn-back follows 14 days of clean compliance after remediation, with clean certification restoring full benefits automatically on Day 15; over-compliance credit compresses the period by up to 25 percent, minimum 11 days. Tier 3: full earn-back follows 90 days of sustained clean compliance on the intensive-to-reduced monitoring schedule of Annex E, with clean certification plus majority confirmation restoring full benefits on Day 91; over-compliance credit compresses the period by up to 25 percent, minimum 68 days.</w:t>
      </w:r>
    </w:p>
    <w:p w14:paraId="642E0159" w14:textId="77777777" w:rsidR="00CA7ABD" w:rsidRDefault="00000000">
      <w:pPr>
        <w:rPr>
          <w:rFonts w:hint="eastAsia"/>
        </w:rPr>
      </w:pPr>
      <w:r>
        <w:t>52.3 Earn-back never requires admission of guilt, payment of damages, political concessions beyond return to compliance, or renegotiation of the underlying commitment. Earn-back requires verified compliance, sustained compliance for the monitoring period, technical or majority confirmation, and no new Tier 2 or Tier 3 violation during the period.</w:t>
      </w:r>
    </w:p>
    <w:p w14:paraId="53F6AC57" w14:textId="77777777" w:rsidR="00CA7ABD" w:rsidRDefault="00000000">
      <w:pPr>
        <w:rPr>
          <w:rFonts w:hint="eastAsia"/>
        </w:rPr>
      </w:pPr>
      <w:r>
        <w:t>52.4 The earn-back credit system banks compliance: each month of sustained compliance beyond baseline accrues one credit week, applicable to future earn-back periods.</w:t>
      </w:r>
    </w:p>
    <w:p w14:paraId="393E6CDB" w14:textId="77777777" w:rsidR="00CA7ABD" w:rsidRDefault="00000000">
      <w:pPr>
        <w:pStyle w:val="Heading2"/>
        <w:rPr>
          <w:rFonts w:hint="eastAsia"/>
        </w:rPr>
      </w:pPr>
      <w:r>
        <w:t>Article 53: Cross-Module Spillover Protection</w:t>
      </w:r>
    </w:p>
    <w:p w14:paraId="2AE2F2F0" w14:textId="77777777" w:rsidR="00CA7ABD" w:rsidRDefault="00000000">
      <w:pPr>
        <w:rPr>
          <w:rFonts w:hint="eastAsia"/>
        </w:rPr>
      </w:pPr>
      <w:r>
        <w:t>53.1 Default rule: step-back applies only within the module where the violation occurred. A maritime violation touches maritime benefits; it never touches nuclear relief, reconstruction disbursements, or humanitarian flows.</w:t>
      </w:r>
    </w:p>
    <w:p w14:paraId="5F8EB1CF" w14:textId="77777777" w:rsidR="00CA7ABD" w:rsidRDefault="00000000">
      <w:pPr>
        <w:rPr>
          <w:rFonts w:hint="eastAsia"/>
        </w:rPr>
      </w:pPr>
      <w:r>
        <w:t>53.2 Exception: cross-module spillover requires certification by two-thirds majority that the violation directly and materially undermines a different module, under the Consensus Minus One rule excluding the affected Party's vote. Failure of certification refers the question to the Guarantor Matrix for final political judgment.</w:t>
      </w:r>
    </w:p>
    <w:p w14:paraId="00483D20" w14:textId="77777777" w:rsidR="00CA7ABD" w:rsidRDefault="00000000">
      <w:pPr>
        <w:rPr>
          <w:rFonts w:hint="eastAsia"/>
        </w:rPr>
      </w:pPr>
      <w:r>
        <w:t>53.3 The Partial Success Doctrine: no single unresolved module invalidates the remainder of the framework. Each module operates as an independent contractual track. This doctrine is binding and interpretive.</w:t>
      </w:r>
    </w:p>
    <w:p w14:paraId="6E5DAFD1" w14:textId="77777777" w:rsidR="00CA7ABD" w:rsidRDefault="00000000">
      <w:pPr>
        <w:pStyle w:val="Heading2"/>
        <w:rPr>
          <w:rFonts w:hint="eastAsia"/>
        </w:rPr>
      </w:pPr>
      <w:r>
        <w:t>Article 54: The Protective Architecture</w:t>
      </w:r>
    </w:p>
    <w:p w14:paraId="1B2ED1CD" w14:textId="77777777" w:rsidR="00CA7ABD" w:rsidRDefault="00000000">
      <w:pPr>
        <w:rPr>
          <w:rFonts w:hint="eastAsia"/>
        </w:rPr>
      </w:pPr>
      <w:r>
        <w:t>54.1 Temporary Operational Suspension. Either Principal Party invokes suspension for up to 14 days per invocation, maximum three invocations per calendar year. Suspension freezes new obligations and preserves verification custody, the Standing Channel, humanitarian corridors, and escrowed funds. Suspension is a safety valve, never a breach, and it pauses both earn-back timelines and penalty durations.</w:t>
      </w:r>
    </w:p>
    <w:p w14:paraId="6E33647C" w14:textId="77777777" w:rsidR="00CA7ABD" w:rsidRDefault="00000000">
      <w:pPr>
        <w:rPr>
          <w:rFonts w:hint="eastAsia"/>
        </w:rPr>
      </w:pPr>
      <w:r>
        <w:t>54.2 The Good Faith Reset. A Party whose Verification Fund score falls to negative 20 or below resets to zero once per phase, upon written acknowledgment of errors logged in the Registry and a 7-day enhanced-cooperation commitment of daily liaison contact and same-day verification responses. The reset prevents irreversible negative spirals; the once-per-phase limit prevents abuse.</w:t>
      </w:r>
    </w:p>
    <w:p w14:paraId="44A2E008" w14:textId="77777777" w:rsidR="00CA7ABD" w:rsidRDefault="00000000">
      <w:pPr>
        <w:rPr>
          <w:rFonts w:hint="eastAsia"/>
        </w:rPr>
      </w:pPr>
      <w:r>
        <w:t>54.3 Mutual Consent Escalation. The verification score is advisory. Both Parties, by joint written agreement transmitted simultaneously, override score-based outcomes, defer a Decision Point for joint telemetry review, or recalculate from the raw golden record. Either Party withdraws consent within 24 hours without penalty, whereupon the score-based pathway resumes automatically.</w:t>
      </w:r>
    </w:p>
    <w:p w14:paraId="37797DD4" w14:textId="77777777" w:rsidR="00CA7ABD" w:rsidRDefault="00000000">
      <w:pPr>
        <w:rPr>
          <w:rFonts w:hint="eastAsia"/>
        </w:rPr>
      </w:pPr>
      <w:r>
        <w:t>54.4 The No Automatic Military Escalation Clause. Under no circumstances does any compliance dispute, Tier classification, step-back penalty, or framework suspension automatically authorize, trigger, or justify the use of military force by any Party. The step-back architecture is purely economic and diplomatic. Military action requires separate, explicit decision by the head of government of a Party under its constitutional procedures. This separation is absolute and non-waivable.</w:t>
      </w:r>
    </w:p>
    <w:p w14:paraId="4ADD0F92" w14:textId="77777777" w:rsidR="00CA7ABD" w:rsidRDefault="00000000">
      <w:pPr>
        <w:rPr>
          <w:rFonts w:hint="eastAsia"/>
        </w:rPr>
      </w:pPr>
      <w:r>
        <w:t>54.5 The False Flag Protocol. Upon attacks by unknown actors: both Parties operate under a presumption of good faith; a 48-hour attribution-deferral window applies before any penalty assignment; forensic investigation precedes breach classification; rogue actors and false-flag operations stand explicitly excluded from bilateral penalties. The Integrity Cell conducts a standing false-flag forensic analysis of every incident in the Governance Area, examining weapons residue, intercepts where available, vessel-track anomalies, and third-party staging evidence, and publishes a classification within 14 days: confirmed state actor, confirmed non-state actor, inconclusive, or confirmed false flag. A confirmed false flag finding restores standing automatically for any Party targeted by the staged incident.</w:t>
      </w:r>
    </w:p>
    <w:p w14:paraId="1DAB40EA" w14:textId="77777777" w:rsidR="00CA7ABD" w:rsidRDefault="00000000">
      <w:pPr>
        <w:rPr>
          <w:rFonts w:hint="eastAsia"/>
        </w:rPr>
      </w:pPr>
      <w:r>
        <w:t>54.6 The Political Discretion Fund. A fund of 50 million dollars, capitalized equally by the Principal Parties, held in a dedicated sub-account of the Qatar escrow, operates outside the step-back system entirely. No Tier 2 or Tier 3 penalty reduces, freezes, or delays it. Disbursement requires unanimous agreement of both heads of government plus the Swiss Technical Facilitator. Permitted uses: goodwill projects, partial compliance rewards, confidence-building measures. Prohibited uses: military purposes, intelligence activities, penalty payments, and any purpose violating the No Regime Change Objective.</w:t>
      </w:r>
    </w:p>
    <w:p w14:paraId="4DE60190" w14:textId="77777777" w:rsidR="00CA7ABD" w:rsidRDefault="00000000">
      <w:pPr>
        <w:pStyle w:val="Heading2"/>
        <w:rPr>
          <w:rFonts w:hint="eastAsia"/>
        </w:rPr>
      </w:pPr>
      <w:r>
        <w:t>Article 55: Red Team, Benchmarks, and Phase Assessment</w:t>
      </w:r>
    </w:p>
    <w:p w14:paraId="0BD6BFC4" w14:textId="77777777" w:rsidR="00CA7ABD" w:rsidRDefault="00000000">
      <w:pPr>
        <w:rPr>
          <w:rFonts w:hint="eastAsia"/>
        </w:rPr>
      </w:pPr>
      <w:r>
        <w:t>55.1 The JMC maintains a standing Red Team that probes the monitoring system continuously, produces a findings report every seven days, and verifies corrective actions in its subsequent report. The Registry logs all findings and actions.</w:t>
      </w:r>
    </w:p>
    <w:p w14:paraId="48877C7F" w14:textId="77777777" w:rsidR="00CA7ABD" w:rsidRDefault="00000000">
      <w:pPr>
        <w:rPr>
          <w:rFonts w:hint="eastAsia"/>
        </w:rPr>
      </w:pPr>
      <w:r>
        <w:t>55.2 Performance benchmarks at each phase conclusion: system uptime above 95 percent across feeds; data latency differential below 30 seconds; false-positive rates below the defined thresholds; full 24/7 JMC staffing; Registry continuity with no data gap exceeding 15 minutes. The Phase Report transmits simultaneously to both Parties and the Council, constitutes presumptive evidence of system functionality, and no Party blocks, delays, or redacts it.</w:t>
      </w:r>
    </w:p>
    <w:p w14:paraId="10BFFA1E" w14:textId="77777777" w:rsidR="00CA7ABD" w:rsidRDefault="00000000">
      <w:pPr>
        <w:rPr>
          <w:rFonts w:hint="eastAsia"/>
        </w:rPr>
      </w:pPr>
      <w:r>
        <w:t>55.3 Score-based pathway determination, the unified assessment checklist, score publication contents, the expedited verification track (4-hour claim submission, 6-hour response, 12-hour panel determination, double credit), the Counter-Evidence Review procedure, score resets at phase boundaries, the Material Breach Protocol, the Technical Corrections Protocol, and the Declassification Schedule each operate as written in Annex E.</w:t>
      </w:r>
    </w:p>
    <w:p w14:paraId="2FEB0C8B" w14:textId="77777777" w:rsidR="00CA7ABD" w:rsidRDefault="00000000">
      <w:pPr>
        <w:pStyle w:val="Heading2"/>
        <w:rPr>
          <w:rFonts w:hint="eastAsia"/>
        </w:rPr>
      </w:pPr>
      <w:r>
        <w:t>Article 56: The Summary Operating Principles</w:t>
      </w:r>
    </w:p>
    <w:p w14:paraId="674CFA73" w14:textId="77777777" w:rsidR="00CA7ABD" w:rsidRDefault="00000000">
      <w:pPr>
        <w:rPr>
          <w:rFonts w:hint="eastAsia"/>
        </w:rPr>
      </w:pPr>
      <w:r>
        <w:t>The following principles govern every organ, official, and process of this Accord:</w:t>
      </w:r>
    </w:p>
    <w:p w14:paraId="0F30F256" w14:textId="77777777" w:rsidR="00CA7ABD" w:rsidRDefault="00000000">
      <w:pPr>
        <w:ind w:left="360"/>
        <w:rPr>
          <w:rFonts w:hint="eastAsia"/>
        </w:rPr>
      </w:pPr>
      <w:r>
        <w:rPr>
          <w:color w:val="37474F"/>
        </w:rPr>
        <w:t>•</w:t>
      </w:r>
      <w:r>
        <w:t>1. Proportionality governs everything. The penalty fits the violation.</w:t>
      </w:r>
    </w:p>
    <w:p w14:paraId="63CD7793" w14:textId="77777777" w:rsidR="00CA7ABD" w:rsidRDefault="00000000">
      <w:pPr>
        <w:ind w:left="360"/>
        <w:rPr>
          <w:rFonts w:hint="eastAsia"/>
        </w:rPr>
      </w:pPr>
      <w:r>
        <w:rPr>
          <w:color w:val="37474F"/>
        </w:rPr>
        <w:t>•</w:t>
      </w:r>
      <w:r>
        <w:t>2. Human judgment sits above automation. AI informs; humans decide.</w:t>
      </w:r>
    </w:p>
    <w:p w14:paraId="5C71344B" w14:textId="77777777" w:rsidR="00CA7ABD" w:rsidRDefault="00000000">
      <w:pPr>
        <w:ind w:left="360"/>
        <w:rPr>
          <w:rFonts w:hint="eastAsia"/>
        </w:rPr>
      </w:pPr>
      <w:r>
        <w:rPr>
          <w:color w:val="37474F"/>
        </w:rPr>
        <w:t>•</w:t>
      </w:r>
      <w:r>
        <w:t>3. Earn-back is always available. No violation creates permanent exclusion.</w:t>
      </w:r>
    </w:p>
    <w:p w14:paraId="7DEFFEAE" w14:textId="77777777" w:rsidR="00CA7ABD" w:rsidRDefault="00000000">
      <w:pPr>
        <w:ind w:left="360"/>
        <w:rPr>
          <w:rFonts w:hint="eastAsia"/>
        </w:rPr>
      </w:pPr>
      <w:r>
        <w:rPr>
          <w:color w:val="37474F"/>
        </w:rPr>
        <w:t>•</w:t>
      </w:r>
      <w:r>
        <w:t>4. Humanitarian flows are sacred. No step-back touches food, medicine, or safety.</w:t>
      </w:r>
    </w:p>
    <w:p w14:paraId="7B0A4674" w14:textId="77777777" w:rsidR="00CA7ABD" w:rsidRDefault="00000000">
      <w:pPr>
        <w:ind w:left="360"/>
        <w:rPr>
          <w:rFonts w:hint="eastAsia"/>
        </w:rPr>
      </w:pPr>
      <w:r>
        <w:rPr>
          <w:color w:val="37474F"/>
        </w:rPr>
        <w:t>•</w:t>
      </w:r>
      <w:r>
        <w:t>5. Modules fire independently. Failure in one does not collapse the rest.</w:t>
      </w:r>
    </w:p>
    <w:p w14:paraId="543DCA0C" w14:textId="77777777" w:rsidR="00CA7ABD" w:rsidRDefault="00000000">
      <w:pPr>
        <w:ind w:left="360"/>
        <w:rPr>
          <w:rFonts w:hint="eastAsia"/>
        </w:rPr>
      </w:pPr>
      <w:r>
        <w:rPr>
          <w:color w:val="37474F"/>
        </w:rPr>
        <w:t>•</w:t>
      </w:r>
      <w:r>
        <w:t>6. Cooling-off prevents heat-of-moment escalation. Every penalty pauses for consultation.</w:t>
      </w:r>
    </w:p>
    <w:p w14:paraId="617D1C94" w14:textId="77777777" w:rsidR="00CA7ABD" w:rsidRDefault="00000000">
      <w:pPr>
        <w:ind w:left="360"/>
        <w:rPr>
          <w:rFonts w:hint="eastAsia"/>
        </w:rPr>
      </w:pPr>
      <w:r>
        <w:rPr>
          <w:color w:val="37474F"/>
        </w:rPr>
        <w:t>•</w:t>
      </w:r>
      <w:r>
        <w:t>7. Monitoring gaps trigger automatic protection. The 48-hour telemetry rule admits no human override.</w:t>
      </w:r>
    </w:p>
    <w:p w14:paraId="17BE3B06" w14:textId="77777777" w:rsidR="00CA7ABD" w:rsidRDefault="00000000">
      <w:pPr>
        <w:ind w:left="360"/>
        <w:rPr>
          <w:rFonts w:hint="eastAsia"/>
        </w:rPr>
      </w:pPr>
      <w:r>
        <w:rPr>
          <w:color w:val="37474F"/>
        </w:rPr>
        <w:t>•</w:t>
      </w:r>
      <w:r>
        <w:t>8. Partial success survives. The framework endures even when individual modules lag.</w:t>
      </w:r>
    </w:p>
    <w:p w14:paraId="77EB262D" w14:textId="77777777" w:rsidR="00CA7ABD" w:rsidRDefault="00000000">
      <w:pPr>
        <w:ind w:left="360"/>
        <w:rPr>
          <w:rFonts w:hint="eastAsia"/>
        </w:rPr>
      </w:pPr>
      <w:r>
        <w:rPr>
          <w:color w:val="37474F"/>
        </w:rPr>
        <w:t>•</w:t>
      </w:r>
      <w:r>
        <w:t>9. Military escalation is structurally decoupled. Economic penalties never authorize force.</w:t>
      </w:r>
    </w:p>
    <w:p w14:paraId="132473C0" w14:textId="77777777" w:rsidR="00CA7ABD" w:rsidRDefault="00000000">
      <w:pPr>
        <w:ind w:left="360"/>
        <w:rPr>
          <w:rFonts w:hint="eastAsia"/>
        </w:rPr>
      </w:pPr>
      <w:r>
        <w:rPr>
          <w:color w:val="37474F"/>
        </w:rPr>
        <w:t>•</w:t>
      </w:r>
      <w:r>
        <w:t>10. The framework presumes good faith. Attribution requires evidence. False flags stand excluded.</w:t>
      </w:r>
    </w:p>
    <w:p w14:paraId="787959B3" w14:textId="77777777" w:rsidR="00CA7ABD" w:rsidRDefault="00000000">
      <w:pPr>
        <w:ind w:left="360"/>
        <w:rPr>
          <w:rFonts w:hint="eastAsia"/>
        </w:rPr>
      </w:pPr>
      <w:r>
        <w:rPr>
          <w:color w:val="37474F"/>
        </w:rPr>
        <w:t>•</w:t>
      </w:r>
      <w:r>
        <w:t>11. Data is data. No political meaning attaches to its collection or sharing.</w:t>
      </w:r>
    </w:p>
    <w:p w14:paraId="627316C5" w14:textId="77777777" w:rsidR="00CA7ABD" w:rsidRDefault="00000000">
      <w:pPr>
        <w:ind w:left="360"/>
        <w:rPr>
          <w:rFonts w:hint="eastAsia"/>
        </w:rPr>
      </w:pPr>
      <w:r>
        <w:rPr>
          <w:color w:val="37474F"/>
        </w:rPr>
        <w:t>•</w:t>
      </w:r>
      <w:r>
        <w:t>12. Verification is reciprocal. All parties invest; all parties verify; all parties recover.</w:t>
      </w:r>
    </w:p>
    <w:p w14:paraId="743D6F63" w14:textId="77777777" w:rsidR="00CA7ABD" w:rsidRDefault="00CA7ABD">
      <w:pPr>
        <w:pageBreakBefore/>
        <w:rPr>
          <w:rFonts w:hint="eastAsia"/>
        </w:rPr>
      </w:pPr>
    </w:p>
    <w:p w14:paraId="73E71169" w14:textId="77777777" w:rsidR="00CA7ABD" w:rsidRDefault="00000000">
      <w:pPr>
        <w:pStyle w:val="Heading1"/>
        <w:rPr>
          <w:rFonts w:hint="eastAsia"/>
        </w:rPr>
      </w:pPr>
      <w:r>
        <w:t>LAYER THREE: IMPLEMENTATION, SEQUENCING, AND ENFORCEMENT</w:t>
      </w:r>
    </w:p>
    <w:p w14:paraId="0293F171" w14:textId="77777777" w:rsidR="00CA7ABD" w:rsidRDefault="00000000">
      <w:pPr>
        <w:pStyle w:val="Heading2"/>
        <w:rPr>
          <w:rFonts w:hint="eastAsia"/>
        </w:rPr>
      </w:pPr>
      <w:r>
        <w:t>Article 57: The Executive Mechanism (Joint Implementation Commission)</w:t>
      </w:r>
    </w:p>
    <w:p w14:paraId="00A23F1E" w14:textId="77777777" w:rsidR="00CA7ABD" w:rsidRDefault="00000000">
      <w:pPr>
        <w:rPr>
          <w:rFonts w:hint="eastAsia"/>
        </w:rPr>
      </w:pPr>
      <w:r>
        <w:t>57.1 Establishment. The Parties establish the Joint Implementation Commission (JIC) as the executive mechanism of this Accord, succeeding the executive mechanism the Memorandum contemplated. The JIC seats: the two Principal Parties (one commissioner each, with one vote each), the Sultanate of Oman (one commissioner, one vote on maritime matters), the State of Qatar (one commissioner, one vote on financial matters), the Swiss Technical Facilitator (non-voting technical chair), and the Depositary (non-voting secretary). The IAEA, the IMO, and the World Bank attend as institutional observers within their mandates.</w:t>
      </w:r>
    </w:p>
    <w:p w14:paraId="6B5C04D1" w14:textId="77777777" w:rsidR="00CA7ABD" w:rsidRDefault="00000000">
      <w:pPr>
        <w:rPr>
          <w:rFonts w:hint="eastAsia"/>
        </w:rPr>
      </w:pPr>
      <w:r>
        <w:t>57.2 Functions. The JIC oversees implementation of every module; certifies milestones for the Reciprocity Ledger; operates the Perimeter Test; manages the technical dispute ladder; convenes the Permanent Coordination Council; and reports quarterly to the Parties, the Guarantor Matrix, and the United Nations Security Council.</w:t>
      </w:r>
    </w:p>
    <w:p w14:paraId="4431A920" w14:textId="77777777" w:rsidR="00CA7ABD" w:rsidRDefault="00000000">
      <w:pPr>
        <w:rPr>
          <w:rFonts w:hint="eastAsia"/>
        </w:rPr>
      </w:pPr>
      <w:r>
        <w:t>57.3 The Permanent Coordination Council. Senior political representatives of the Principal Parties and the Facilitating Parties meet monthly, and in emergency session within 48 hours upon call of any member. The Council handles the political tier of every dispute and every extension decision.</w:t>
      </w:r>
    </w:p>
    <w:p w14:paraId="40320A51" w14:textId="77777777" w:rsidR="00CA7ABD" w:rsidRDefault="00000000">
      <w:pPr>
        <w:rPr>
          <w:rFonts w:hint="eastAsia"/>
        </w:rPr>
      </w:pPr>
      <w:r>
        <w:t>57.4 The Guarantor Matrix. The Matrix comprises the Facilitating Parties plus the rotating regional seat. It convenes within 48 hours of any Tier 3 classification, any failed Consensus Minus One certification, any RSC deadlock referral under Annex RDF, or any request of a Principal Party supported by a Facilitating Party. The Matrix issues binding procedural decisions and non-binding substantive recommendations, and it never amends the Treaty.</w:t>
      </w:r>
    </w:p>
    <w:p w14:paraId="5AC28929" w14:textId="77777777" w:rsidR="00CA7ABD" w:rsidRDefault="00000000">
      <w:pPr>
        <w:pStyle w:val="Heading2"/>
        <w:rPr>
          <w:rFonts w:hint="eastAsia"/>
        </w:rPr>
      </w:pPr>
      <w:r>
        <w:t>Article 58: The Master Sequencing Calendar</w:t>
      </w:r>
    </w:p>
    <w:p w14:paraId="7414CB86" w14:textId="77777777" w:rsidR="00CA7ABD" w:rsidRDefault="00000000">
      <w:pPr>
        <w:rPr>
          <w:rFonts w:hint="eastAsia"/>
        </w:rPr>
      </w:pPr>
      <w:r>
        <w:t>58.1 The Treaty executes on the following synchronized calendar. Each row records a pair: no step executes alone.</w:t>
      </w:r>
    </w:p>
    <w:tbl>
      <w:tblPr>
        <w:tblW w:w="5000" w:type="pct"/>
        <w:tblInd w:w="-8"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752"/>
        <w:gridCol w:w="5458"/>
        <w:gridCol w:w="3016"/>
      </w:tblGrid>
      <w:tr w:rsidR="00CA7ABD" w14:paraId="436D1157" w14:textId="77777777">
        <w:tc>
          <w:tcPr>
            <w:tcW w:w="0" w:type="auto"/>
            <w:shd w:val="clear" w:color="auto" w:fill="37474F"/>
          </w:tcPr>
          <w:p w14:paraId="5CD0C784" w14:textId="77777777" w:rsidR="00CA7ABD" w:rsidRDefault="00000000">
            <w:pPr>
              <w:rPr>
                <w:rFonts w:hint="eastAsia"/>
              </w:rPr>
            </w:pPr>
            <w:r>
              <w:rPr>
                <w:b/>
                <w:color w:val="FFFFFF"/>
                <w:sz w:val="19"/>
              </w:rPr>
              <w:t>Date</w:t>
            </w:r>
          </w:p>
        </w:tc>
        <w:tc>
          <w:tcPr>
            <w:tcW w:w="0" w:type="auto"/>
            <w:shd w:val="clear" w:color="auto" w:fill="37474F"/>
          </w:tcPr>
          <w:p w14:paraId="50830C43" w14:textId="77777777" w:rsidR="00CA7ABD" w:rsidRDefault="00000000">
            <w:pPr>
              <w:rPr>
                <w:rFonts w:hint="eastAsia"/>
              </w:rPr>
            </w:pPr>
            <w:r>
              <w:rPr>
                <w:b/>
                <w:color w:val="FFFFFF"/>
                <w:sz w:val="19"/>
              </w:rPr>
              <w:t>Event</w:t>
            </w:r>
          </w:p>
        </w:tc>
        <w:tc>
          <w:tcPr>
            <w:tcW w:w="0" w:type="auto"/>
            <w:shd w:val="clear" w:color="auto" w:fill="37474F"/>
          </w:tcPr>
          <w:p w14:paraId="4E7A431A" w14:textId="77777777" w:rsidR="00CA7ABD" w:rsidRDefault="00000000">
            <w:pPr>
              <w:rPr>
                <w:rFonts w:hint="eastAsia"/>
              </w:rPr>
            </w:pPr>
            <w:r>
              <w:rPr>
                <w:b/>
                <w:color w:val="FFFFFF"/>
                <w:sz w:val="19"/>
              </w:rPr>
              <w:t>Paired reciprocal event</w:t>
            </w:r>
          </w:p>
        </w:tc>
      </w:tr>
      <w:tr w:rsidR="00CA7ABD" w14:paraId="20835918" w14:textId="77777777">
        <w:tc>
          <w:tcPr>
            <w:tcW w:w="0" w:type="auto"/>
          </w:tcPr>
          <w:p w14:paraId="4A3F08BA" w14:textId="77777777" w:rsidR="00CA7ABD" w:rsidRDefault="00000000">
            <w:pPr>
              <w:rPr>
                <w:rFonts w:hint="eastAsia"/>
              </w:rPr>
            </w:pPr>
            <w:r>
              <w:rPr>
                <w:sz w:val="19"/>
              </w:rPr>
              <w:t>Day Zero</w:t>
            </w:r>
          </w:p>
        </w:tc>
        <w:tc>
          <w:tcPr>
            <w:tcW w:w="0" w:type="auto"/>
          </w:tcPr>
          <w:p w14:paraId="6F3EA467" w14:textId="77777777" w:rsidR="00CA7ABD" w:rsidRDefault="00000000">
            <w:pPr>
              <w:rPr>
                <w:rFonts w:hint="eastAsia"/>
              </w:rPr>
            </w:pPr>
            <w:r>
              <w:rPr>
                <w:sz w:val="19"/>
              </w:rPr>
              <w:t>Entry into force; permanent cessation of hostilities; blockade termination order; corridors open on notification regime; humanitarian lane absolute; IAEA access activates</w:t>
            </w:r>
          </w:p>
        </w:tc>
        <w:tc>
          <w:tcPr>
            <w:tcW w:w="0" w:type="auto"/>
          </w:tcPr>
          <w:p w14:paraId="513605A5" w14:textId="77777777" w:rsidR="00CA7ABD" w:rsidRDefault="00000000">
            <w:pPr>
              <w:rPr>
                <w:rFonts w:hint="eastAsia"/>
              </w:rPr>
            </w:pPr>
            <w:r>
              <w:rPr>
                <w:sz w:val="19"/>
              </w:rPr>
              <w:t>All listed steps execute simultaneously as one indivisible event</w:t>
            </w:r>
          </w:p>
        </w:tc>
      </w:tr>
      <w:tr w:rsidR="00CA7ABD" w14:paraId="3C22D06B" w14:textId="77777777">
        <w:tc>
          <w:tcPr>
            <w:tcW w:w="0" w:type="auto"/>
            <w:shd w:val="clear" w:color="auto" w:fill="ECEFF1"/>
          </w:tcPr>
          <w:p w14:paraId="69FDB280" w14:textId="77777777" w:rsidR="00CA7ABD" w:rsidRDefault="00000000">
            <w:pPr>
              <w:rPr>
                <w:rFonts w:hint="eastAsia"/>
              </w:rPr>
            </w:pPr>
            <w:r>
              <w:rPr>
                <w:sz w:val="19"/>
              </w:rPr>
              <w:t>Day 1</w:t>
            </w:r>
          </w:p>
        </w:tc>
        <w:tc>
          <w:tcPr>
            <w:tcW w:w="0" w:type="auto"/>
            <w:shd w:val="clear" w:color="auto" w:fill="ECEFF1"/>
          </w:tcPr>
          <w:p w14:paraId="44B5CEF6" w14:textId="77777777" w:rsidR="00CA7ABD" w:rsidRDefault="00000000">
            <w:pPr>
              <w:rPr>
                <w:rFonts w:hint="eastAsia"/>
              </w:rPr>
            </w:pPr>
            <w:r>
              <w:rPr>
                <w:sz w:val="19"/>
              </w:rPr>
              <w:t>Inventory Day: complete nuclear declaration and IAEA physical inventory</w:t>
            </w:r>
          </w:p>
        </w:tc>
        <w:tc>
          <w:tcPr>
            <w:tcW w:w="0" w:type="auto"/>
            <w:shd w:val="clear" w:color="auto" w:fill="ECEFF1"/>
          </w:tcPr>
          <w:p w14:paraId="0DD193E1" w14:textId="77777777" w:rsidR="00CA7ABD" w:rsidRDefault="00000000">
            <w:pPr>
              <w:rPr>
                <w:rFonts w:hint="eastAsia"/>
              </w:rPr>
            </w:pPr>
            <w:r>
              <w:rPr>
                <w:sz w:val="19"/>
              </w:rPr>
              <w:t>T-1 sanctions tranche issues; Pool A first release window opens</w:t>
            </w:r>
          </w:p>
        </w:tc>
      </w:tr>
      <w:tr w:rsidR="00CA7ABD" w14:paraId="26A1DDBF" w14:textId="77777777">
        <w:tc>
          <w:tcPr>
            <w:tcW w:w="0" w:type="auto"/>
          </w:tcPr>
          <w:p w14:paraId="1EA25CC2" w14:textId="77777777" w:rsidR="00CA7ABD" w:rsidRDefault="00000000">
            <w:pPr>
              <w:rPr>
                <w:rFonts w:hint="eastAsia"/>
              </w:rPr>
            </w:pPr>
            <w:r>
              <w:rPr>
                <w:sz w:val="19"/>
              </w:rPr>
              <w:t>Day 3</w:t>
            </w:r>
          </w:p>
        </w:tc>
        <w:tc>
          <w:tcPr>
            <w:tcW w:w="0" w:type="auto"/>
          </w:tcPr>
          <w:p w14:paraId="55CD47AE" w14:textId="77777777" w:rsidR="00CA7ABD" w:rsidRDefault="00000000">
            <w:pPr>
              <w:rPr>
                <w:rFonts w:hint="eastAsia"/>
              </w:rPr>
            </w:pPr>
            <w:r>
              <w:rPr>
                <w:sz w:val="19"/>
              </w:rPr>
              <w:t>W-1 withdrawal phase complete</w:t>
            </w:r>
          </w:p>
        </w:tc>
        <w:tc>
          <w:tcPr>
            <w:tcW w:w="0" w:type="auto"/>
          </w:tcPr>
          <w:p w14:paraId="3F43C9CF" w14:textId="77777777" w:rsidR="00CA7ABD" w:rsidRDefault="00000000">
            <w:pPr>
              <w:rPr>
                <w:rFonts w:hint="eastAsia"/>
              </w:rPr>
            </w:pPr>
            <w:r>
              <w:rPr>
                <w:sz w:val="19"/>
              </w:rPr>
              <w:t>JMC certification; Registry publication</w:t>
            </w:r>
          </w:p>
        </w:tc>
      </w:tr>
      <w:tr w:rsidR="00CA7ABD" w14:paraId="16B8D5DE" w14:textId="77777777">
        <w:tc>
          <w:tcPr>
            <w:tcW w:w="0" w:type="auto"/>
            <w:shd w:val="clear" w:color="auto" w:fill="ECEFF1"/>
          </w:tcPr>
          <w:p w14:paraId="2AC4B02B" w14:textId="77777777" w:rsidR="00CA7ABD" w:rsidRDefault="00000000">
            <w:pPr>
              <w:rPr>
                <w:rFonts w:hint="eastAsia"/>
              </w:rPr>
            </w:pPr>
            <w:r>
              <w:rPr>
                <w:sz w:val="19"/>
              </w:rPr>
              <w:t>Day 7</w:t>
            </w:r>
          </w:p>
        </w:tc>
        <w:tc>
          <w:tcPr>
            <w:tcW w:w="0" w:type="auto"/>
            <w:shd w:val="clear" w:color="auto" w:fill="ECEFF1"/>
          </w:tcPr>
          <w:p w14:paraId="56A73BE9" w14:textId="77777777" w:rsidR="00CA7ABD" w:rsidRDefault="00000000">
            <w:pPr>
              <w:rPr>
                <w:rFonts w:hint="eastAsia"/>
              </w:rPr>
            </w:pPr>
            <w:r>
              <w:rPr>
                <w:sz w:val="19"/>
              </w:rPr>
              <w:t>T-1 fully effective; agricultural priority-consideration window operational</w:t>
            </w:r>
          </w:p>
        </w:tc>
        <w:tc>
          <w:tcPr>
            <w:tcW w:w="0" w:type="auto"/>
            <w:shd w:val="clear" w:color="auto" w:fill="ECEFF1"/>
          </w:tcPr>
          <w:p w14:paraId="68B22EC3" w14:textId="77777777" w:rsidR="00CA7ABD" w:rsidRDefault="00000000">
            <w:pPr>
              <w:rPr>
                <w:rFonts w:hint="eastAsia"/>
              </w:rPr>
            </w:pPr>
            <w:r>
              <w:rPr>
                <w:sz w:val="19"/>
              </w:rPr>
              <w:t>Crew and vessel release certification completes</w:t>
            </w:r>
          </w:p>
        </w:tc>
      </w:tr>
      <w:tr w:rsidR="00CA7ABD" w14:paraId="514237B2" w14:textId="77777777">
        <w:tc>
          <w:tcPr>
            <w:tcW w:w="0" w:type="auto"/>
          </w:tcPr>
          <w:p w14:paraId="4BF1761F" w14:textId="77777777" w:rsidR="00CA7ABD" w:rsidRDefault="00000000">
            <w:pPr>
              <w:rPr>
                <w:rFonts w:hint="eastAsia"/>
              </w:rPr>
            </w:pPr>
            <w:r>
              <w:rPr>
                <w:sz w:val="19"/>
              </w:rPr>
              <w:t>Day 10</w:t>
            </w:r>
          </w:p>
        </w:tc>
        <w:tc>
          <w:tcPr>
            <w:tcW w:w="0" w:type="auto"/>
          </w:tcPr>
          <w:p w14:paraId="094D6040" w14:textId="77777777" w:rsidR="00CA7ABD" w:rsidRDefault="00000000">
            <w:pPr>
              <w:rPr>
                <w:rFonts w:hint="eastAsia"/>
              </w:rPr>
            </w:pPr>
            <w:r>
              <w:rPr>
                <w:sz w:val="19"/>
              </w:rPr>
              <w:t>Corridor Three mine certification</w:t>
            </w:r>
          </w:p>
        </w:tc>
        <w:tc>
          <w:tcPr>
            <w:tcW w:w="0" w:type="auto"/>
          </w:tcPr>
          <w:p w14:paraId="78723AAF" w14:textId="77777777" w:rsidR="00CA7ABD" w:rsidRDefault="00000000">
            <w:pPr>
              <w:rPr>
                <w:rFonts w:hint="eastAsia"/>
              </w:rPr>
            </w:pPr>
            <w:r>
              <w:rPr>
                <w:sz w:val="19"/>
              </w:rPr>
              <w:t>Insurance channel activation</w:t>
            </w:r>
          </w:p>
        </w:tc>
      </w:tr>
      <w:tr w:rsidR="00CA7ABD" w14:paraId="3B41D637" w14:textId="77777777">
        <w:tc>
          <w:tcPr>
            <w:tcW w:w="0" w:type="auto"/>
            <w:shd w:val="clear" w:color="auto" w:fill="ECEFF1"/>
          </w:tcPr>
          <w:p w14:paraId="745F85B2" w14:textId="77777777" w:rsidR="00CA7ABD" w:rsidRDefault="00000000">
            <w:pPr>
              <w:rPr>
                <w:rFonts w:hint="eastAsia"/>
              </w:rPr>
            </w:pPr>
            <w:r>
              <w:rPr>
                <w:sz w:val="19"/>
              </w:rPr>
              <w:t>Day 15</w:t>
            </w:r>
          </w:p>
        </w:tc>
        <w:tc>
          <w:tcPr>
            <w:tcW w:w="0" w:type="auto"/>
            <w:shd w:val="clear" w:color="auto" w:fill="ECEFF1"/>
          </w:tcPr>
          <w:p w14:paraId="0F98FC4C" w14:textId="77777777" w:rsidR="00CA7ABD" w:rsidRDefault="00000000">
            <w:pPr>
              <w:rPr>
                <w:rFonts w:hint="eastAsia"/>
              </w:rPr>
            </w:pPr>
            <w:r>
              <w:rPr>
                <w:sz w:val="19"/>
              </w:rPr>
              <w:t>T-2 tranche; down-blending campaign verified under way</w:t>
            </w:r>
          </w:p>
        </w:tc>
        <w:tc>
          <w:tcPr>
            <w:tcW w:w="0" w:type="auto"/>
            <w:shd w:val="clear" w:color="auto" w:fill="ECEFF1"/>
          </w:tcPr>
          <w:p w14:paraId="7B13A22F" w14:textId="77777777" w:rsidR="00CA7ABD" w:rsidRDefault="00000000">
            <w:pPr>
              <w:rPr>
                <w:rFonts w:hint="eastAsia"/>
              </w:rPr>
            </w:pPr>
            <w:r>
              <w:rPr>
                <w:sz w:val="19"/>
              </w:rPr>
              <w:t>W-2 and W-3 withdrawal phases verified</w:t>
            </w:r>
          </w:p>
        </w:tc>
      </w:tr>
      <w:tr w:rsidR="00CA7ABD" w14:paraId="4B0F95E6" w14:textId="77777777">
        <w:tc>
          <w:tcPr>
            <w:tcW w:w="0" w:type="auto"/>
          </w:tcPr>
          <w:p w14:paraId="67C3E09B" w14:textId="77777777" w:rsidR="00CA7ABD" w:rsidRDefault="00000000">
            <w:pPr>
              <w:rPr>
                <w:rFonts w:hint="eastAsia"/>
              </w:rPr>
            </w:pPr>
            <w:r>
              <w:rPr>
                <w:sz w:val="19"/>
              </w:rPr>
              <w:t>Day 30</w:t>
            </w:r>
          </w:p>
        </w:tc>
        <w:tc>
          <w:tcPr>
            <w:tcW w:w="0" w:type="auto"/>
          </w:tcPr>
          <w:p w14:paraId="608C9856" w14:textId="77777777" w:rsidR="00CA7ABD" w:rsidRDefault="00000000">
            <w:pPr>
              <w:rPr>
                <w:rFonts w:hint="eastAsia"/>
              </w:rPr>
            </w:pPr>
            <w:r>
              <w:rPr>
                <w:sz w:val="19"/>
              </w:rPr>
              <w:t>Down-blending complete; Corridor One certification; W-4 withdrawal certificate</w:t>
            </w:r>
          </w:p>
        </w:tc>
        <w:tc>
          <w:tcPr>
            <w:tcW w:w="0" w:type="auto"/>
          </w:tcPr>
          <w:p w14:paraId="0CBD0904" w14:textId="77777777" w:rsidR="00CA7ABD" w:rsidRDefault="00000000">
            <w:pPr>
              <w:rPr>
                <w:rFonts w:hint="eastAsia"/>
              </w:rPr>
            </w:pPr>
            <w:r>
              <w:rPr>
                <w:sz w:val="19"/>
              </w:rPr>
              <w:t>T-3 tranche: secondary sanctions terminate; petroleum normalization</w:t>
            </w:r>
          </w:p>
        </w:tc>
      </w:tr>
      <w:tr w:rsidR="00CA7ABD" w14:paraId="0FCDCA90" w14:textId="77777777">
        <w:tc>
          <w:tcPr>
            <w:tcW w:w="0" w:type="auto"/>
            <w:shd w:val="clear" w:color="auto" w:fill="ECEFF1"/>
          </w:tcPr>
          <w:p w14:paraId="2FF68248" w14:textId="77777777" w:rsidR="00CA7ABD" w:rsidRDefault="00000000">
            <w:pPr>
              <w:rPr>
                <w:rFonts w:hint="eastAsia"/>
              </w:rPr>
            </w:pPr>
            <w:r>
              <w:rPr>
                <w:sz w:val="19"/>
              </w:rPr>
              <w:t>Day 45</w:t>
            </w:r>
          </w:p>
        </w:tc>
        <w:tc>
          <w:tcPr>
            <w:tcW w:w="0" w:type="auto"/>
            <w:shd w:val="clear" w:color="auto" w:fill="ECEFF1"/>
          </w:tcPr>
          <w:p w14:paraId="1EF0C2F3" w14:textId="77777777" w:rsidR="00CA7ABD" w:rsidRDefault="00000000">
            <w:pPr>
              <w:rPr>
                <w:rFonts w:hint="eastAsia"/>
              </w:rPr>
            </w:pPr>
            <w:r>
              <w:rPr>
                <w:sz w:val="19"/>
              </w:rPr>
              <w:t>First Stability Audit of the corridor system</w:t>
            </w:r>
          </w:p>
        </w:tc>
        <w:tc>
          <w:tcPr>
            <w:tcW w:w="0" w:type="auto"/>
            <w:shd w:val="clear" w:color="auto" w:fill="ECEFF1"/>
          </w:tcPr>
          <w:p w14:paraId="1573A000" w14:textId="77777777" w:rsidR="00CA7ABD" w:rsidRDefault="00000000">
            <w:pPr>
              <w:rPr>
                <w:rFonts w:hint="eastAsia"/>
              </w:rPr>
            </w:pPr>
            <w:r>
              <w:rPr>
                <w:sz w:val="19"/>
              </w:rPr>
              <w:t>Stewardship Fund capitalization target met</w:t>
            </w:r>
          </w:p>
        </w:tc>
      </w:tr>
      <w:tr w:rsidR="00CA7ABD" w14:paraId="5EEFEE63" w14:textId="77777777">
        <w:tc>
          <w:tcPr>
            <w:tcW w:w="0" w:type="auto"/>
          </w:tcPr>
          <w:p w14:paraId="64E0B061" w14:textId="77777777" w:rsidR="00CA7ABD" w:rsidRDefault="00000000">
            <w:pPr>
              <w:rPr>
                <w:rFonts w:hint="eastAsia"/>
              </w:rPr>
            </w:pPr>
            <w:r>
              <w:rPr>
                <w:sz w:val="19"/>
              </w:rPr>
              <w:t>Day 60</w:t>
            </w:r>
          </w:p>
        </w:tc>
        <w:tc>
          <w:tcPr>
            <w:tcW w:w="0" w:type="auto"/>
          </w:tcPr>
          <w:p w14:paraId="1ADB70AD" w14:textId="77777777" w:rsidR="00CA7ABD" w:rsidRDefault="00000000">
            <w:pPr>
              <w:rPr>
                <w:rFonts w:hint="eastAsia"/>
              </w:rPr>
            </w:pPr>
            <w:r>
              <w:rPr>
                <w:sz w:val="19"/>
              </w:rPr>
              <w:t>RSC Day-60 Progress Assessment under Annex RDF; MRF sub-funds operational</w:t>
            </w:r>
          </w:p>
        </w:tc>
        <w:tc>
          <w:tcPr>
            <w:tcW w:w="0" w:type="auto"/>
          </w:tcPr>
          <w:p w14:paraId="6F7E64DA" w14:textId="77777777" w:rsidR="00CA7ABD" w:rsidRDefault="00000000">
            <w:pPr>
              <w:rPr>
                <w:rFonts w:hint="eastAsia"/>
              </w:rPr>
            </w:pPr>
            <w:r>
              <w:rPr>
                <w:sz w:val="19"/>
              </w:rPr>
              <w:t>Second Pool A tranche per Annex C</w:t>
            </w:r>
          </w:p>
        </w:tc>
      </w:tr>
      <w:tr w:rsidR="00CA7ABD" w14:paraId="0126E237" w14:textId="77777777">
        <w:tc>
          <w:tcPr>
            <w:tcW w:w="0" w:type="auto"/>
            <w:shd w:val="clear" w:color="auto" w:fill="ECEFF1"/>
          </w:tcPr>
          <w:p w14:paraId="35993B16" w14:textId="77777777" w:rsidR="00CA7ABD" w:rsidRDefault="00000000">
            <w:pPr>
              <w:rPr>
                <w:rFonts w:hint="eastAsia"/>
              </w:rPr>
            </w:pPr>
            <w:r>
              <w:rPr>
                <w:sz w:val="19"/>
              </w:rPr>
              <w:t>Day 90</w:t>
            </w:r>
          </w:p>
        </w:tc>
        <w:tc>
          <w:tcPr>
            <w:tcW w:w="0" w:type="auto"/>
            <w:shd w:val="clear" w:color="auto" w:fill="ECEFF1"/>
          </w:tcPr>
          <w:p w14:paraId="527C7CC7" w14:textId="77777777" w:rsidR="00CA7ABD" w:rsidRDefault="00000000">
            <w:pPr>
              <w:rPr>
                <w:rFonts w:hint="eastAsia"/>
              </w:rPr>
            </w:pPr>
            <w:r>
              <w:rPr>
                <w:sz w:val="19"/>
              </w:rPr>
              <w:t>First clean Annex B quarterly certification</w:t>
            </w:r>
          </w:p>
        </w:tc>
        <w:tc>
          <w:tcPr>
            <w:tcW w:w="0" w:type="auto"/>
            <w:shd w:val="clear" w:color="auto" w:fill="ECEFF1"/>
          </w:tcPr>
          <w:p w14:paraId="0CCBCA91" w14:textId="77777777" w:rsidR="00CA7ABD" w:rsidRDefault="00000000">
            <w:pPr>
              <w:rPr>
                <w:rFonts w:hint="eastAsia"/>
              </w:rPr>
            </w:pPr>
            <w:r>
              <w:rPr>
                <w:sz w:val="19"/>
              </w:rPr>
              <w:t>T-4 tranche; UNSC/IAEA Board actions complete</w:t>
            </w:r>
          </w:p>
        </w:tc>
      </w:tr>
      <w:tr w:rsidR="00CA7ABD" w14:paraId="2E467BAE" w14:textId="77777777">
        <w:tc>
          <w:tcPr>
            <w:tcW w:w="0" w:type="auto"/>
          </w:tcPr>
          <w:p w14:paraId="4BC0FAAC" w14:textId="77777777" w:rsidR="00CA7ABD" w:rsidRDefault="00000000">
            <w:pPr>
              <w:rPr>
                <w:rFonts w:hint="eastAsia"/>
              </w:rPr>
            </w:pPr>
            <w:r>
              <w:rPr>
                <w:sz w:val="19"/>
              </w:rPr>
              <w:t>Day 180</w:t>
            </w:r>
          </w:p>
        </w:tc>
        <w:tc>
          <w:tcPr>
            <w:tcW w:w="0" w:type="auto"/>
          </w:tcPr>
          <w:p w14:paraId="455D7625" w14:textId="77777777" w:rsidR="00CA7ABD" w:rsidRDefault="00000000">
            <w:pPr>
              <w:rPr>
                <w:rFonts w:hint="eastAsia"/>
              </w:rPr>
            </w:pPr>
            <w:r>
              <w:rPr>
                <w:sz w:val="19"/>
              </w:rPr>
              <w:t>Stakeholder Panel Confidence Trigger evaluation</w:t>
            </w:r>
          </w:p>
        </w:tc>
        <w:tc>
          <w:tcPr>
            <w:tcW w:w="0" w:type="auto"/>
          </w:tcPr>
          <w:p w14:paraId="2D8A50B2" w14:textId="77777777" w:rsidR="00CA7ABD" w:rsidRDefault="00000000">
            <w:pPr>
              <w:rPr>
                <w:rFonts w:hint="eastAsia"/>
              </w:rPr>
            </w:pPr>
            <w:r>
              <w:rPr>
                <w:sz w:val="19"/>
              </w:rPr>
              <w:t>Premium normalization recommendation</w:t>
            </w:r>
          </w:p>
        </w:tc>
      </w:tr>
      <w:tr w:rsidR="00CA7ABD" w14:paraId="3235E6EA" w14:textId="77777777">
        <w:tc>
          <w:tcPr>
            <w:tcW w:w="0" w:type="auto"/>
            <w:shd w:val="clear" w:color="auto" w:fill="ECEFF1"/>
          </w:tcPr>
          <w:p w14:paraId="610392D5" w14:textId="77777777" w:rsidR="00CA7ABD" w:rsidRDefault="00000000">
            <w:pPr>
              <w:rPr>
                <w:rFonts w:hint="eastAsia"/>
              </w:rPr>
            </w:pPr>
            <w:r>
              <w:rPr>
                <w:sz w:val="19"/>
              </w:rPr>
              <w:t>Day 365</w:t>
            </w:r>
          </w:p>
        </w:tc>
        <w:tc>
          <w:tcPr>
            <w:tcW w:w="0" w:type="auto"/>
            <w:shd w:val="clear" w:color="auto" w:fill="ECEFF1"/>
          </w:tcPr>
          <w:p w14:paraId="6124E04D" w14:textId="77777777" w:rsidR="00CA7ABD" w:rsidRDefault="00000000">
            <w:pPr>
              <w:rPr>
                <w:rFonts w:hint="eastAsia"/>
              </w:rPr>
            </w:pPr>
            <w:r>
              <w:rPr>
                <w:sz w:val="19"/>
              </w:rPr>
              <w:t>Congressional track completes or sunset conversion executes under Article 34.2</w:t>
            </w:r>
          </w:p>
        </w:tc>
        <w:tc>
          <w:tcPr>
            <w:tcW w:w="0" w:type="auto"/>
            <w:shd w:val="clear" w:color="auto" w:fill="ECEFF1"/>
          </w:tcPr>
          <w:p w14:paraId="5EBDCB87" w14:textId="77777777" w:rsidR="00CA7ABD" w:rsidRDefault="00000000">
            <w:pPr>
              <w:rPr>
                <w:rFonts w:hint="eastAsia"/>
              </w:rPr>
            </w:pPr>
            <w:r>
              <w:rPr>
                <w:sz w:val="19"/>
              </w:rPr>
              <w:t>T-5 tranche; residual Pool releases complete</w:t>
            </w:r>
          </w:p>
        </w:tc>
      </w:tr>
    </w:tbl>
    <w:p w14:paraId="58E875EC" w14:textId="77777777" w:rsidR="00CA7ABD" w:rsidRDefault="00000000">
      <w:pPr>
        <w:rPr>
          <w:rFonts w:hint="eastAsia"/>
        </w:rPr>
      </w:pPr>
      <w:r>
        <w:t>58.2 The Synchronized Relief Track. Relief tranches pair with gate certifications as the calendar records. Where the Parties jointly certify that a diplomatic window warrants acceleration, the track advances by up to two tranches at once, provided the paired verification gate stands certified and the JMC confirms the system absorbs the acceleration without destabilization.</w:t>
      </w:r>
    </w:p>
    <w:p w14:paraId="6900D38C" w14:textId="77777777" w:rsidR="00CA7ABD" w:rsidRDefault="00000000">
      <w:pPr>
        <w:rPr>
          <w:rFonts w:hint="eastAsia"/>
        </w:rPr>
      </w:pPr>
      <w:r>
        <w:t>58.3 Drift prevention. A missed date enters the Tier system automatically: administrative delay classifies Tier 1; material non-performance classifies Tier 2 or Tier 3 per the Method. No date dies quietly; every date produces either performance, certification, or a classified event with a defined remediation path.</w:t>
      </w:r>
    </w:p>
    <w:p w14:paraId="5FC08284" w14:textId="77777777" w:rsidR="00CA7ABD" w:rsidRDefault="00000000">
      <w:pPr>
        <w:pStyle w:val="Heading2"/>
        <w:rPr>
          <w:rFonts w:hint="eastAsia"/>
        </w:rPr>
      </w:pPr>
      <w:r>
        <w:t>Article 59: The Reciprocity Ledger</w:t>
      </w:r>
    </w:p>
    <w:p w14:paraId="775BE7ED" w14:textId="77777777" w:rsidR="00CA7ABD" w:rsidRDefault="00000000">
      <w:pPr>
        <w:rPr>
          <w:rFonts w:hint="eastAsia"/>
        </w:rPr>
      </w:pPr>
      <w:r>
        <w:t>59.1 The JIC maintains the Reciprocity Ledger as the authoritative record of paired performance. Every obligation performed and every benefit delivered enters the Ledger with its pair, its date, and its verification reference.</w:t>
      </w:r>
    </w:p>
    <w:p w14:paraId="1BDD7778" w14:textId="77777777" w:rsidR="00CA7ABD" w:rsidRDefault="00000000">
      <w:pPr>
        <w:rPr>
          <w:rFonts w:hint="eastAsia"/>
        </w:rPr>
      </w:pPr>
      <w:r>
        <w:t>59.2 The Ledger publishes monthly. Domestic audiences of each Party read the Ledger through their own framing under Layer Zero; the Ledger itself records fact, not framing.</w:t>
      </w:r>
    </w:p>
    <w:p w14:paraId="1A3D008D" w14:textId="77777777" w:rsidR="00CA7ABD" w:rsidRDefault="00000000">
      <w:pPr>
        <w:pStyle w:val="Heading2"/>
        <w:rPr>
          <w:rFonts w:hint="eastAsia"/>
        </w:rPr>
      </w:pPr>
      <w:r>
        <w:t>Article 60: The Dispute Resolution Ladder</w:t>
      </w:r>
    </w:p>
    <w:p w14:paraId="314ADF6A" w14:textId="77777777" w:rsidR="00CA7ABD" w:rsidRDefault="00000000">
      <w:pPr>
        <w:rPr>
          <w:rFonts w:hint="eastAsia"/>
        </w:rPr>
      </w:pPr>
      <w:r>
        <w:t>60.1 Disputes ascend the following ladder, and no rung is skipped: (1) technical consultation in the JMC, 14 days; (2) the Technical Truth Escalation Chain for data disputes, per Article 47.4; (3) the Permanent Coordination Council, 14 days; (4) the Guarantor Matrix, 30 days; (5) for project-level contractual disputes under Annex RDF, fast-track arbitration under the ICC Rules at Geneva, final and binding, 60 days; (6) for treaty-level legal disputes persisting beyond the Matrix, an arbitral tribunal under the rules of Annex F, seat at The Hague, three members, deciding on the basis of this Treaty and international law.</w:t>
      </w:r>
    </w:p>
    <w:p w14:paraId="2069B635" w14:textId="77777777" w:rsidR="00CA7ABD" w:rsidRDefault="00000000">
      <w:pPr>
        <w:rPr>
          <w:rFonts w:hint="eastAsia"/>
        </w:rPr>
      </w:pPr>
      <w:r>
        <w:t>60.2 Performance continues during dispute. Pending resolution, the status quo of performance holds: obligations continue, benefits continue, and the disputed item alone holds in suspension. The framework architecture excludes self-help suspension of the whole.</w:t>
      </w:r>
    </w:p>
    <w:p w14:paraId="127FDAC9" w14:textId="77777777" w:rsidR="00CA7ABD" w:rsidRDefault="00000000">
      <w:pPr>
        <w:rPr>
          <w:rFonts w:hint="eastAsia"/>
        </w:rPr>
      </w:pPr>
      <w:r>
        <w:t>60.3 Technical corrections. The JMC Chief Technical Officer, with the Swiss Technical Facilitator, issues technical corrections for non-material errors (typography, cross-references, numbering), logged, notified within 48 hours, effective immediately, subject to a 7-day objection window. Technical corrections never alter substantive obligations, rights, or timelines.</w:t>
      </w:r>
    </w:p>
    <w:p w14:paraId="4DF90817" w14:textId="77777777" w:rsidR="00CA7ABD" w:rsidRDefault="00000000">
      <w:pPr>
        <w:pStyle w:val="Heading2"/>
        <w:rPr>
          <w:rFonts w:hint="eastAsia"/>
        </w:rPr>
      </w:pPr>
      <w:r>
        <w:t>Article 61: The Nofade Guarantee (Standing Continuity)</w:t>
      </w:r>
    </w:p>
    <w:p w14:paraId="65B84799" w14:textId="77777777" w:rsidR="00CA7ABD" w:rsidRDefault="00000000">
      <w:pPr>
        <w:rPr>
          <w:rFonts w:hint="eastAsia"/>
        </w:rPr>
      </w:pPr>
      <w:r>
        <w:t>61.1 No sunset. This Accord carries no expiration date. Its obligations, caps, corridors, funds, and verification architecture operate in perpetuity.</w:t>
      </w:r>
    </w:p>
    <w:p w14:paraId="699FB257" w14:textId="77777777" w:rsidR="00CA7ABD" w:rsidRDefault="00000000">
      <w:pPr>
        <w:rPr>
          <w:rFonts w:hint="eastAsia"/>
        </w:rPr>
      </w:pPr>
      <w:r>
        <w:t>61.2 No fade of earned progress. Banked milestones, certified gates, released assets, delivered tranches, and clean certifications never expire by the passage of time and never reopen by a change of government in any Party.</w:t>
      </w:r>
    </w:p>
    <w:p w14:paraId="2E8993D1" w14:textId="77777777" w:rsidR="00CA7ABD" w:rsidRDefault="00000000">
      <w:pPr>
        <w:rPr>
          <w:rFonts w:hint="eastAsia"/>
        </w:rPr>
      </w:pPr>
      <w:r>
        <w:t>61.3 No fade of verification. Verification relaxes in form only as clean certifications accumulate under Annex B and Annex E, and never below the permanent baseline those Annexes fix.</w:t>
      </w:r>
    </w:p>
    <w:p w14:paraId="6EF87517" w14:textId="77777777" w:rsidR="00CA7ABD" w:rsidRDefault="00000000">
      <w:pPr>
        <w:rPr>
          <w:rFonts w:hint="eastAsia"/>
        </w:rPr>
      </w:pPr>
      <w:r>
        <w:t>61.4 Renewal by silence. Review cycles renew by default. Absent a Party's written notice of objection 30 days before a review date, the cycle continues unchanged.</w:t>
      </w:r>
    </w:p>
    <w:p w14:paraId="4CB0EE16" w14:textId="77777777" w:rsidR="00CA7ABD" w:rsidRDefault="00000000">
      <w:pPr>
        <w:rPr>
          <w:rFonts w:hint="eastAsia"/>
        </w:rPr>
      </w:pPr>
      <w:r>
        <w:t>61.5 Exit is an act, not a fade. Withdrawal executes only through Article 86: written instrument, 180-day notice, continuation of humanitarian and no-clawback protections without condition, and preservation of all banked progress for any returning Party.</w:t>
      </w:r>
    </w:p>
    <w:p w14:paraId="3AAAB036" w14:textId="77777777" w:rsidR="00CA7ABD" w:rsidRDefault="00000000">
      <w:pPr>
        <w:rPr>
          <w:rFonts w:hint="eastAsia"/>
        </w:rPr>
      </w:pPr>
      <w:r>
        <w:t>61.6 Reconstitution from dormancy. Where the Accord or a module enters dormancy, any two Principal or Facilitating Parties file reactivation instruments with the Depositary, and the module reconstitutes in its entirety within 14 days, resuming from the last certified gate, with all banked performance, permanent floors, and certified achievements reasserting automatically.</w:t>
      </w:r>
    </w:p>
    <w:p w14:paraId="4136E8E0" w14:textId="77777777" w:rsidR="00CA7ABD" w:rsidRDefault="00CA7ABD">
      <w:pPr>
        <w:pageBreakBefore/>
        <w:rPr>
          <w:rFonts w:hint="eastAsia"/>
        </w:rPr>
      </w:pPr>
    </w:p>
    <w:p w14:paraId="7290AA5F" w14:textId="77777777" w:rsidR="00CA7ABD" w:rsidRDefault="00000000">
      <w:pPr>
        <w:pStyle w:val="Heading1"/>
        <w:rPr>
          <w:rFonts w:hint="eastAsia"/>
        </w:rPr>
      </w:pPr>
      <w:r>
        <w:t>LAYER FOUR: INTERNATIONAL LEGAL RATIFICATION</w:t>
      </w:r>
    </w:p>
    <w:p w14:paraId="32E4E5EA" w14:textId="77777777" w:rsidR="00CA7ABD" w:rsidRDefault="00000000">
      <w:pPr>
        <w:pStyle w:val="Heading2"/>
        <w:rPr>
          <w:rFonts w:hint="eastAsia"/>
        </w:rPr>
      </w:pPr>
      <w:r>
        <w:t>Article 62: The Binding United Nations Security Council Resolution</w:t>
      </w:r>
    </w:p>
    <w:p w14:paraId="12550EF6" w14:textId="77777777" w:rsidR="00CA7ABD" w:rsidRDefault="00000000">
      <w:pPr>
        <w:rPr>
          <w:rFonts w:hint="eastAsia"/>
        </w:rPr>
      </w:pPr>
      <w:r>
        <w:t>62.1 The Parties submit this Accord to the United Nations Security Council within 7 days of signature. The resolution endorses the Accord, terminates the prior sanctions resolutions per Annex C, establishes the reporting channel of the JIC to the Council, and confirms the compliance architecture of Layer Two as the exclusive mechanism for compliance questions, displacing any prior snapback mechanism. The framework architecture replaces automatic reimposition with the graduated, reversible, human-supervised engine of this Accord, and the resolution records that replacement explicitly.</w:t>
      </w:r>
    </w:p>
    <w:p w14:paraId="642BBBBF" w14:textId="77777777" w:rsidR="00CA7ABD" w:rsidRDefault="00000000">
      <w:pPr>
        <w:rPr>
          <w:rFonts w:hint="eastAsia"/>
        </w:rPr>
      </w:pPr>
      <w:r>
        <w:t>62.2 Endorsement gives the Accord its international legal force. A compliance finding under Layer Two transmits to the Council for information; enforcement within the framework remains with the organs of this Accord.</w:t>
      </w:r>
    </w:p>
    <w:p w14:paraId="7CCE7A0E" w14:textId="77777777" w:rsidR="00CA7ABD" w:rsidRDefault="00000000">
      <w:pPr>
        <w:rPr>
          <w:rFonts w:hint="eastAsia"/>
        </w:rPr>
      </w:pPr>
      <w:r>
        <w:t>62.3 The IAEA Board of Governors adopts the parallel resolution of Article 35.2 in the same week, completing the international ratification pair.</w:t>
      </w:r>
    </w:p>
    <w:p w14:paraId="182D6BF7" w14:textId="77777777" w:rsidR="00CA7ABD" w:rsidRDefault="00000000">
      <w:pPr>
        <w:pStyle w:val="Heading2"/>
        <w:rPr>
          <w:rFonts w:hint="eastAsia"/>
        </w:rPr>
      </w:pPr>
      <w:r>
        <w:t>Article 63: The Depositary</w:t>
      </w:r>
    </w:p>
    <w:p w14:paraId="2193A665" w14:textId="77777777" w:rsidR="00CA7ABD" w:rsidRDefault="00000000">
      <w:pPr>
        <w:rPr>
          <w:rFonts w:hint="eastAsia"/>
        </w:rPr>
      </w:pPr>
      <w:r>
        <w:t>63.1 The Islamic Republic of Pakistan serves as Depositary: custodian of the authentic texts, the instruments of signature, ratification, accession, reservation-free acceptance, amendment, and reactivation, and registrar of the Record of Framings under Layer Zero. The Depositary convenes the annual Review Conference at Islamabad.</w:t>
      </w:r>
    </w:p>
    <w:p w14:paraId="386324FE" w14:textId="77777777" w:rsidR="00CA7ABD" w:rsidRDefault="00000000">
      <w:pPr>
        <w:rPr>
          <w:rFonts w:hint="eastAsia"/>
        </w:rPr>
      </w:pPr>
      <w:r>
        <w:t>63.2 The Depositary publishes every instrument, certification, and notification upon receipt, and maintains the public archive of the Accord in English, Farsi, and Arabic.</w:t>
      </w:r>
    </w:p>
    <w:p w14:paraId="4E8EF5DF" w14:textId="77777777" w:rsidR="00CA7ABD" w:rsidRDefault="00000000">
      <w:pPr>
        <w:pStyle w:val="Heading2"/>
        <w:rPr>
          <w:rFonts w:hint="eastAsia"/>
        </w:rPr>
      </w:pPr>
      <w:r>
        <w:t>Article 64: Accession and Participation</w:t>
      </w:r>
    </w:p>
    <w:p w14:paraId="5D7B3E6E" w14:textId="77777777" w:rsidR="00CA7ABD" w:rsidRDefault="00000000">
      <w:pPr>
        <w:rPr>
          <w:rFonts w:hint="eastAsia"/>
        </w:rPr>
      </w:pPr>
      <w:r>
        <w:t>64.1 Accession opens to the Gulf Cooperation Council member states, Iraq, and other states and institutions on the invitation of the JIC. Accession executes through the Accession Protocol of Annex F.</w:t>
      </w:r>
    </w:p>
    <w:p w14:paraId="5C16FAAB" w14:textId="77777777" w:rsidR="00CA7ABD" w:rsidRDefault="00000000">
      <w:pPr>
        <w:rPr>
          <w:rFonts w:hint="eastAsia"/>
        </w:rPr>
      </w:pPr>
      <w:r>
        <w:t>64.2 Fast-track accession. For the United Arab Emirates, Qatar, Bahrain, Kuwait, Saudi Arabia, and Iraq, accession executes by the Minister of Foreign Affairs, and observer rights take effect upon deposit, without waiting period. Fast-track accession includes the observer seat, watch contributions, and full fused-picture access consistent with the Ledger access tiers.</w:t>
      </w:r>
    </w:p>
    <w:p w14:paraId="789B63DC" w14:textId="77777777" w:rsidR="00CA7ABD" w:rsidRDefault="00000000">
      <w:pPr>
        <w:rPr>
          <w:rFonts w:hint="eastAsia"/>
        </w:rPr>
      </w:pPr>
      <w:r>
        <w:t>64.3 Institutional accession. The IAEA, IMO, World Bank, and United Nations bodies participate within their mandates under the institutional instruments of Annex F.</w:t>
      </w:r>
    </w:p>
    <w:p w14:paraId="7C52E4C8" w14:textId="77777777" w:rsidR="00CA7ABD" w:rsidRDefault="00000000">
      <w:pPr>
        <w:pStyle w:val="Heading2"/>
        <w:rPr>
          <w:rFonts w:hint="eastAsia"/>
        </w:rPr>
      </w:pPr>
      <w:r>
        <w:t>Article 65: Amendment</w:t>
      </w:r>
    </w:p>
    <w:p w14:paraId="131FC239" w14:textId="77777777" w:rsidR="00CA7ABD" w:rsidRDefault="00000000">
      <w:pPr>
        <w:rPr>
          <w:rFonts w:hint="eastAsia"/>
        </w:rPr>
      </w:pPr>
      <w:r>
        <w:t>65.1 An amendment proposes through the JIC, passes the Perimeter Test, and adopts by consensus of the Principal Parties and, for maritime matters, the Coastal Party. Amendments enter into force upon deposit of the instruments of acceptance of the Principal Parties.</w:t>
      </w:r>
    </w:p>
    <w:p w14:paraId="446AB808" w14:textId="77777777" w:rsidR="00CA7ABD" w:rsidRDefault="00000000">
      <w:pPr>
        <w:rPr>
          <w:rFonts w:hint="eastAsia"/>
        </w:rPr>
      </w:pPr>
      <w:r>
        <w:t>65.2 No amendment touches a Red Line, the Zero-Toll Covenant, the nuclear prohibition, the no-clawback rule, or the humanitarian absolutes. The Perimeter Test returns any such proposal automatically, and the Depositary declines to receive it.</w:t>
      </w:r>
    </w:p>
    <w:p w14:paraId="4D22F501" w14:textId="77777777" w:rsidR="00CA7ABD" w:rsidRDefault="00000000">
      <w:pPr>
        <w:pStyle w:val="Heading2"/>
        <w:rPr>
          <w:rFonts w:hint="eastAsia"/>
        </w:rPr>
      </w:pPr>
      <w:r>
        <w:t>Article 66: Withdrawal</w:t>
      </w:r>
    </w:p>
    <w:p w14:paraId="511E08FE" w14:textId="77777777" w:rsidR="00CA7ABD" w:rsidRDefault="00000000">
      <w:pPr>
        <w:rPr>
          <w:rFonts w:hint="eastAsia"/>
        </w:rPr>
      </w:pPr>
      <w:r>
        <w:t>66.1 A Principal Party withdraws only by written instrument to the Depositary, effective 180 days after deposit. During the notice period, all obligations continue in full.</w:t>
      </w:r>
    </w:p>
    <w:p w14:paraId="084BEC1E" w14:textId="77777777" w:rsidR="00CA7ABD" w:rsidRDefault="00000000">
      <w:pPr>
        <w:rPr>
          <w:rFonts w:hint="eastAsia"/>
        </w:rPr>
      </w:pPr>
      <w:r>
        <w:t>66.2 Withdrawal never revives: tolls (the Zero-Toll Covenant binds as the law the Parties have created among themselves for the Governance Area's administration), clawback of released assets, the humanitarian absolutes, or the No Automatic Military Escalation Clause. These protections stand outside withdrawal.</w:t>
      </w:r>
    </w:p>
    <w:p w14:paraId="63ADE754" w14:textId="77777777" w:rsidR="00CA7ABD" w:rsidRDefault="00000000">
      <w:pPr>
        <w:rPr>
          <w:rFonts w:hint="eastAsia"/>
        </w:rPr>
      </w:pPr>
      <w:r>
        <w:t>66.3 Withdrawal triggers automatic referral to the Guarantor Matrix and the United Nations Security Council, and the remaining Parties continue the framework among themselves under the Partial Success Doctrine.</w:t>
      </w:r>
    </w:p>
    <w:p w14:paraId="219076B5" w14:textId="77777777" w:rsidR="00CA7ABD" w:rsidRDefault="00000000">
      <w:pPr>
        <w:pStyle w:val="Heading2"/>
        <w:rPr>
          <w:rFonts w:hint="eastAsia"/>
        </w:rPr>
      </w:pPr>
      <w:r>
        <w:t>Article 67: Languages and the Authoritative Texts</w:t>
      </w:r>
    </w:p>
    <w:p w14:paraId="3E26B487" w14:textId="77777777" w:rsidR="00CA7ABD" w:rsidRDefault="00000000">
      <w:pPr>
        <w:rPr>
          <w:rFonts w:hint="eastAsia"/>
        </w:rPr>
      </w:pPr>
      <w:r>
        <w:t>67.1 The Accord executes in English, Farsi, and Arabic, each text equally authoritative, under the reconciliation rule of the Drafting Convention.</w:t>
      </w:r>
    </w:p>
    <w:p w14:paraId="6DE8706A" w14:textId="77777777" w:rsidR="00CA7ABD" w:rsidRDefault="00000000">
      <w:pPr>
        <w:rPr>
          <w:rFonts w:hint="eastAsia"/>
        </w:rPr>
      </w:pPr>
      <w:r>
        <w:t>67.2 The technical annexes publish in English with certified Farsi and Arabic translations. The Depositary holds the reconciliation notes of the drafting conference, which guide interpretation of divergent renderings.</w:t>
      </w:r>
    </w:p>
    <w:p w14:paraId="092D7664" w14:textId="77777777" w:rsidR="00CA7ABD" w:rsidRDefault="00000000">
      <w:pPr>
        <w:pStyle w:val="Heading2"/>
        <w:rPr>
          <w:rFonts w:hint="eastAsia"/>
        </w:rPr>
      </w:pPr>
      <w:r>
        <w:t>Article 68: The Infinite Horizon Clause</w:t>
      </w:r>
    </w:p>
    <w:p w14:paraId="302392C0" w14:textId="77777777" w:rsidR="00CA7ABD" w:rsidRDefault="00000000">
      <w:pPr>
        <w:rPr>
          <w:rFonts w:hint="eastAsia"/>
        </w:rPr>
      </w:pPr>
      <w:r>
        <w:t>68.1 This Accord designs for permanence. Its institutions plan in decades; its verification relaxes in form and never in floor; its reconstruction architecture builds for a generation; its corridors intend to be boring for a century.</w:t>
      </w:r>
    </w:p>
    <w:p w14:paraId="5FC1A0F8" w14:textId="77777777" w:rsidR="00CA7ABD" w:rsidRDefault="00000000">
      <w:pPr>
        <w:rPr>
          <w:rFonts w:hint="eastAsia"/>
        </w:rPr>
      </w:pPr>
      <w:r>
        <w:t>68.2 The Parties record their shared intention: that the war of 2026 stands as the last war between them; that the Strait of Hormuz stands as a waterway of commerce, never again of closure; and that this Accord, layer upon layer, carries the settlement beyond the horizon of any single government, any single crisis, or any single generation. The horizon of this Accord is infinite, and its architecture builds accordingly.</w:t>
      </w:r>
    </w:p>
    <w:p w14:paraId="22494667" w14:textId="77777777" w:rsidR="00CA7ABD" w:rsidRDefault="00CA7ABD">
      <w:pPr>
        <w:pageBreakBefore/>
        <w:rPr>
          <w:rFonts w:hint="eastAsia"/>
        </w:rPr>
      </w:pPr>
    </w:p>
    <w:p w14:paraId="701E9E01" w14:textId="77777777" w:rsidR="00CA7ABD" w:rsidRDefault="00000000">
      <w:pPr>
        <w:pStyle w:val="Heading1"/>
        <w:rPr>
          <w:rFonts w:hint="eastAsia"/>
        </w:rPr>
      </w:pPr>
      <w:r>
        <w:t>ANNEX A: THE GOVERNANCE AREA, CORRIDOR COORDINATES, AND THE VERIFIED SERVICES CATALOG</w:t>
      </w:r>
    </w:p>
    <w:p w14:paraId="61A07C3B" w14:textId="77777777" w:rsidR="00CA7ABD" w:rsidRDefault="00000000">
      <w:pPr>
        <w:pStyle w:val="Heading2"/>
        <w:rPr>
          <w:rFonts w:hint="eastAsia"/>
        </w:rPr>
      </w:pPr>
      <w:r>
        <w:t>Section A.1: The Boundary Polygon</w:t>
      </w:r>
    </w:p>
    <w:p w14:paraId="64CAC49D" w14:textId="77777777" w:rsidR="00CA7ABD" w:rsidRDefault="00000000">
      <w:pPr>
        <w:rPr>
          <w:rFonts w:hint="eastAsia"/>
        </w:rPr>
      </w:pPr>
      <w:r>
        <w:t>A.1.1 The Governance Area boundary follows the polygon defined by the following geographic coordinates (WGS-84), held in the Neutral Coordinate Registry under joint custody of the Depositary and the International Maritime Organization:</w:t>
      </w:r>
    </w:p>
    <w:tbl>
      <w:tblPr>
        <w:tblW w:w="5000" w:type="pct"/>
        <w:tblInd w:w="-8"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1453"/>
        <w:gridCol w:w="3908"/>
        <w:gridCol w:w="3865"/>
      </w:tblGrid>
      <w:tr w:rsidR="00CA7ABD" w14:paraId="61527128" w14:textId="77777777">
        <w:tc>
          <w:tcPr>
            <w:tcW w:w="0" w:type="auto"/>
            <w:shd w:val="clear" w:color="auto" w:fill="37474F"/>
          </w:tcPr>
          <w:p w14:paraId="51E5AB6D" w14:textId="77777777" w:rsidR="00CA7ABD" w:rsidRDefault="00000000">
            <w:pPr>
              <w:rPr>
                <w:rFonts w:hint="eastAsia"/>
              </w:rPr>
            </w:pPr>
            <w:r>
              <w:rPr>
                <w:b/>
                <w:color w:val="FFFFFF"/>
                <w:sz w:val="19"/>
              </w:rPr>
              <w:t>Vertex</w:t>
            </w:r>
          </w:p>
        </w:tc>
        <w:tc>
          <w:tcPr>
            <w:tcW w:w="0" w:type="auto"/>
            <w:shd w:val="clear" w:color="auto" w:fill="37474F"/>
          </w:tcPr>
          <w:p w14:paraId="72EE601E" w14:textId="77777777" w:rsidR="00CA7ABD" w:rsidRDefault="00000000">
            <w:pPr>
              <w:rPr>
                <w:rFonts w:hint="eastAsia"/>
              </w:rPr>
            </w:pPr>
            <w:r>
              <w:rPr>
                <w:b/>
                <w:color w:val="FFFFFF"/>
                <w:sz w:val="19"/>
              </w:rPr>
              <w:t>Latitude</w:t>
            </w:r>
          </w:p>
        </w:tc>
        <w:tc>
          <w:tcPr>
            <w:tcW w:w="0" w:type="auto"/>
            <w:shd w:val="clear" w:color="auto" w:fill="37474F"/>
          </w:tcPr>
          <w:p w14:paraId="3DEA51D7" w14:textId="77777777" w:rsidR="00CA7ABD" w:rsidRDefault="00000000">
            <w:pPr>
              <w:rPr>
                <w:rFonts w:hint="eastAsia"/>
              </w:rPr>
            </w:pPr>
            <w:r>
              <w:rPr>
                <w:b/>
                <w:color w:val="FFFFFF"/>
                <w:sz w:val="19"/>
              </w:rPr>
              <w:t>Longitude</w:t>
            </w:r>
          </w:p>
        </w:tc>
      </w:tr>
      <w:tr w:rsidR="00CA7ABD" w14:paraId="09668460" w14:textId="77777777">
        <w:tc>
          <w:tcPr>
            <w:tcW w:w="0" w:type="auto"/>
          </w:tcPr>
          <w:p w14:paraId="32CBF362" w14:textId="77777777" w:rsidR="00CA7ABD" w:rsidRDefault="00000000">
            <w:pPr>
              <w:rPr>
                <w:rFonts w:hint="eastAsia"/>
              </w:rPr>
            </w:pPr>
            <w:r>
              <w:rPr>
                <w:sz w:val="19"/>
              </w:rPr>
              <w:t>GA-1</w:t>
            </w:r>
          </w:p>
        </w:tc>
        <w:tc>
          <w:tcPr>
            <w:tcW w:w="0" w:type="auto"/>
          </w:tcPr>
          <w:p w14:paraId="5544C700" w14:textId="77777777" w:rsidR="00CA7ABD" w:rsidRDefault="00000000">
            <w:pPr>
              <w:rPr>
                <w:rFonts w:hint="eastAsia"/>
              </w:rPr>
            </w:pPr>
            <w:r>
              <w:rPr>
                <w:sz w:val="19"/>
              </w:rPr>
              <w:t>26 degrees 57 minutes N</w:t>
            </w:r>
          </w:p>
        </w:tc>
        <w:tc>
          <w:tcPr>
            <w:tcW w:w="0" w:type="auto"/>
          </w:tcPr>
          <w:p w14:paraId="4A932104" w14:textId="77777777" w:rsidR="00CA7ABD" w:rsidRDefault="00000000">
            <w:pPr>
              <w:rPr>
                <w:rFonts w:hint="eastAsia"/>
              </w:rPr>
            </w:pPr>
            <w:r>
              <w:rPr>
                <w:sz w:val="19"/>
              </w:rPr>
              <w:t>56 degrees 17 minutes E</w:t>
            </w:r>
          </w:p>
        </w:tc>
      </w:tr>
      <w:tr w:rsidR="00CA7ABD" w14:paraId="2B659FD2" w14:textId="77777777">
        <w:tc>
          <w:tcPr>
            <w:tcW w:w="0" w:type="auto"/>
            <w:shd w:val="clear" w:color="auto" w:fill="ECEFF1"/>
          </w:tcPr>
          <w:p w14:paraId="3CF11C42" w14:textId="77777777" w:rsidR="00CA7ABD" w:rsidRDefault="00000000">
            <w:pPr>
              <w:rPr>
                <w:rFonts w:hint="eastAsia"/>
              </w:rPr>
            </w:pPr>
            <w:r>
              <w:rPr>
                <w:sz w:val="19"/>
              </w:rPr>
              <w:t>GA-2</w:t>
            </w:r>
          </w:p>
        </w:tc>
        <w:tc>
          <w:tcPr>
            <w:tcW w:w="0" w:type="auto"/>
            <w:shd w:val="clear" w:color="auto" w:fill="ECEFF1"/>
          </w:tcPr>
          <w:p w14:paraId="08D5F176" w14:textId="77777777" w:rsidR="00CA7ABD" w:rsidRDefault="00000000">
            <w:pPr>
              <w:rPr>
                <w:rFonts w:hint="eastAsia"/>
              </w:rPr>
            </w:pPr>
            <w:r>
              <w:rPr>
                <w:sz w:val="19"/>
              </w:rPr>
              <w:t>26 degrees 35 minutes N</w:t>
            </w:r>
          </w:p>
        </w:tc>
        <w:tc>
          <w:tcPr>
            <w:tcW w:w="0" w:type="auto"/>
            <w:shd w:val="clear" w:color="auto" w:fill="ECEFF1"/>
          </w:tcPr>
          <w:p w14:paraId="129CFB69" w14:textId="77777777" w:rsidR="00CA7ABD" w:rsidRDefault="00000000">
            <w:pPr>
              <w:rPr>
                <w:rFonts w:hint="eastAsia"/>
              </w:rPr>
            </w:pPr>
            <w:r>
              <w:rPr>
                <w:sz w:val="19"/>
              </w:rPr>
              <w:t>56 degrees 50 minutes E</w:t>
            </w:r>
          </w:p>
        </w:tc>
      </w:tr>
      <w:tr w:rsidR="00CA7ABD" w14:paraId="668D1D47" w14:textId="77777777">
        <w:tc>
          <w:tcPr>
            <w:tcW w:w="0" w:type="auto"/>
          </w:tcPr>
          <w:p w14:paraId="74B1095D" w14:textId="77777777" w:rsidR="00CA7ABD" w:rsidRDefault="00000000">
            <w:pPr>
              <w:rPr>
                <w:rFonts w:hint="eastAsia"/>
              </w:rPr>
            </w:pPr>
            <w:r>
              <w:rPr>
                <w:sz w:val="19"/>
              </w:rPr>
              <w:t>GA-3</w:t>
            </w:r>
          </w:p>
        </w:tc>
        <w:tc>
          <w:tcPr>
            <w:tcW w:w="0" w:type="auto"/>
          </w:tcPr>
          <w:p w14:paraId="46C118F7" w14:textId="77777777" w:rsidR="00CA7ABD" w:rsidRDefault="00000000">
            <w:pPr>
              <w:rPr>
                <w:rFonts w:hint="eastAsia"/>
              </w:rPr>
            </w:pPr>
            <w:r>
              <w:rPr>
                <w:sz w:val="19"/>
              </w:rPr>
              <w:t>26 degrees 12 minutes N</w:t>
            </w:r>
          </w:p>
        </w:tc>
        <w:tc>
          <w:tcPr>
            <w:tcW w:w="0" w:type="auto"/>
          </w:tcPr>
          <w:p w14:paraId="78E79006" w14:textId="77777777" w:rsidR="00CA7ABD" w:rsidRDefault="00000000">
            <w:pPr>
              <w:rPr>
                <w:rFonts w:hint="eastAsia"/>
              </w:rPr>
            </w:pPr>
            <w:r>
              <w:rPr>
                <w:sz w:val="19"/>
              </w:rPr>
              <w:t>57 degrees 08 minutes E</w:t>
            </w:r>
          </w:p>
        </w:tc>
      </w:tr>
      <w:tr w:rsidR="00CA7ABD" w14:paraId="2B454E18" w14:textId="77777777">
        <w:tc>
          <w:tcPr>
            <w:tcW w:w="0" w:type="auto"/>
            <w:shd w:val="clear" w:color="auto" w:fill="ECEFF1"/>
          </w:tcPr>
          <w:p w14:paraId="4EA92A99" w14:textId="77777777" w:rsidR="00CA7ABD" w:rsidRDefault="00000000">
            <w:pPr>
              <w:rPr>
                <w:rFonts w:hint="eastAsia"/>
              </w:rPr>
            </w:pPr>
            <w:r>
              <w:rPr>
                <w:sz w:val="19"/>
              </w:rPr>
              <w:t>GA-4</w:t>
            </w:r>
          </w:p>
        </w:tc>
        <w:tc>
          <w:tcPr>
            <w:tcW w:w="0" w:type="auto"/>
            <w:shd w:val="clear" w:color="auto" w:fill="ECEFF1"/>
          </w:tcPr>
          <w:p w14:paraId="4AD40872" w14:textId="77777777" w:rsidR="00CA7ABD" w:rsidRDefault="00000000">
            <w:pPr>
              <w:rPr>
                <w:rFonts w:hint="eastAsia"/>
              </w:rPr>
            </w:pPr>
            <w:r>
              <w:rPr>
                <w:sz w:val="19"/>
              </w:rPr>
              <w:t>25 degrees 39 minutes N</w:t>
            </w:r>
          </w:p>
        </w:tc>
        <w:tc>
          <w:tcPr>
            <w:tcW w:w="0" w:type="auto"/>
            <w:shd w:val="clear" w:color="auto" w:fill="ECEFF1"/>
          </w:tcPr>
          <w:p w14:paraId="4354E796" w14:textId="77777777" w:rsidR="00CA7ABD" w:rsidRDefault="00000000">
            <w:pPr>
              <w:rPr>
                <w:rFonts w:hint="eastAsia"/>
              </w:rPr>
            </w:pPr>
            <w:r>
              <w:rPr>
                <w:sz w:val="19"/>
              </w:rPr>
              <w:t>57 degrees 20 minutes E</w:t>
            </w:r>
          </w:p>
        </w:tc>
      </w:tr>
      <w:tr w:rsidR="00CA7ABD" w14:paraId="773DF1C8" w14:textId="77777777">
        <w:tc>
          <w:tcPr>
            <w:tcW w:w="0" w:type="auto"/>
          </w:tcPr>
          <w:p w14:paraId="1CD1B813" w14:textId="77777777" w:rsidR="00CA7ABD" w:rsidRDefault="00000000">
            <w:pPr>
              <w:rPr>
                <w:rFonts w:hint="eastAsia"/>
              </w:rPr>
            </w:pPr>
            <w:r>
              <w:rPr>
                <w:sz w:val="19"/>
              </w:rPr>
              <w:t>GA-5</w:t>
            </w:r>
          </w:p>
        </w:tc>
        <w:tc>
          <w:tcPr>
            <w:tcW w:w="0" w:type="auto"/>
          </w:tcPr>
          <w:p w14:paraId="348F8413" w14:textId="77777777" w:rsidR="00CA7ABD" w:rsidRDefault="00000000">
            <w:pPr>
              <w:rPr>
                <w:rFonts w:hint="eastAsia"/>
              </w:rPr>
            </w:pPr>
            <w:r>
              <w:rPr>
                <w:sz w:val="19"/>
              </w:rPr>
              <w:t>25 degrees 20 minutes N</w:t>
            </w:r>
          </w:p>
        </w:tc>
        <w:tc>
          <w:tcPr>
            <w:tcW w:w="0" w:type="auto"/>
          </w:tcPr>
          <w:p w14:paraId="00CA9836" w14:textId="77777777" w:rsidR="00CA7ABD" w:rsidRDefault="00000000">
            <w:pPr>
              <w:rPr>
                <w:rFonts w:hint="eastAsia"/>
              </w:rPr>
            </w:pPr>
            <w:r>
              <w:rPr>
                <w:sz w:val="19"/>
              </w:rPr>
              <w:t>56 degrees 50 minutes E</w:t>
            </w:r>
          </w:p>
        </w:tc>
      </w:tr>
      <w:tr w:rsidR="00CA7ABD" w14:paraId="65B3441B" w14:textId="77777777">
        <w:tc>
          <w:tcPr>
            <w:tcW w:w="0" w:type="auto"/>
            <w:shd w:val="clear" w:color="auto" w:fill="ECEFF1"/>
          </w:tcPr>
          <w:p w14:paraId="1E717F45" w14:textId="77777777" w:rsidR="00CA7ABD" w:rsidRDefault="00000000">
            <w:pPr>
              <w:rPr>
                <w:rFonts w:hint="eastAsia"/>
              </w:rPr>
            </w:pPr>
            <w:r>
              <w:rPr>
                <w:sz w:val="19"/>
              </w:rPr>
              <w:t>GA-6</w:t>
            </w:r>
          </w:p>
        </w:tc>
        <w:tc>
          <w:tcPr>
            <w:tcW w:w="0" w:type="auto"/>
            <w:shd w:val="clear" w:color="auto" w:fill="ECEFF1"/>
          </w:tcPr>
          <w:p w14:paraId="032C3198" w14:textId="77777777" w:rsidR="00CA7ABD" w:rsidRDefault="00000000">
            <w:pPr>
              <w:rPr>
                <w:rFonts w:hint="eastAsia"/>
              </w:rPr>
            </w:pPr>
            <w:r>
              <w:rPr>
                <w:sz w:val="19"/>
              </w:rPr>
              <w:t>25 degrees 44 minutes N</w:t>
            </w:r>
          </w:p>
        </w:tc>
        <w:tc>
          <w:tcPr>
            <w:tcW w:w="0" w:type="auto"/>
            <w:shd w:val="clear" w:color="auto" w:fill="ECEFF1"/>
          </w:tcPr>
          <w:p w14:paraId="5177382F" w14:textId="77777777" w:rsidR="00CA7ABD" w:rsidRDefault="00000000">
            <w:pPr>
              <w:rPr>
                <w:rFonts w:hint="eastAsia"/>
              </w:rPr>
            </w:pPr>
            <w:r>
              <w:rPr>
                <w:sz w:val="19"/>
              </w:rPr>
              <w:t>56 degrees 23 minutes E</w:t>
            </w:r>
          </w:p>
        </w:tc>
      </w:tr>
      <w:tr w:rsidR="00CA7ABD" w14:paraId="38402169" w14:textId="77777777">
        <w:tc>
          <w:tcPr>
            <w:tcW w:w="0" w:type="auto"/>
          </w:tcPr>
          <w:p w14:paraId="2948B945" w14:textId="77777777" w:rsidR="00CA7ABD" w:rsidRDefault="00000000">
            <w:pPr>
              <w:rPr>
                <w:rFonts w:hint="eastAsia"/>
              </w:rPr>
            </w:pPr>
            <w:r>
              <w:rPr>
                <w:sz w:val="19"/>
              </w:rPr>
              <w:t>GA-7</w:t>
            </w:r>
          </w:p>
        </w:tc>
        <w:tc>
          <w:tcPr>
            <w:tcW w:w="0" w:type="auto"/>
          </w:tcPr>
          <w:p w14:paraId="65F85066" w14:textId="77777777" w:rsidR="00CA7ABD" w:rsidRDefault="00000000">
            <w:pPr>
              <w:rPr>
                <w:rFonts w:hint="eastAsia"/>
              </w:rPr>
            </w:pPr>
            <w:r>
              <w:rPr>
                <w:sz w:val="19"/>
              </w:rPr>
              <w:t>26 degrees 10 minutes N</w:t>
            </w:r>
          </w:p>
        </w:tc>
        <w:tc>
          <w:tcPr>
            <w:tcW w:w="0" w:type="auto"/>
          </w:tcPr>
          <w:p w14:paraId="02314C13" w14:textId="77777777" w:rsidR="00CA7ABD" w:rsidRDefault="00000000">
            <w:pPr>
              <w:rPr>
                <w:rFonts w:hint="eastAsia"/>
              </w:rPr>
            </w:pPr>
            <w:r>
              <w:rPr>
                <w:sz w:val="19"/>
              </w:rPr>
              <w:t>55 degrees 54 minutes E</w:t>
            </w:r>
          </w:p>
        </w:tc>
      </w:tr>
    </w:tbl>
    <w:p w14:paraId="0F4E8EF1" w14:textId="77777777" w:rsidR="00CA7ABD" w:rsidRDefault="00000000">
      <w:pPr>
        <w:rPr>
          <w:rFonts w:hint="eastAsia"/>
        </w:rPr>
      </w:pPr>
      <w:r>
        <w:t>A.1.2 The chart custody rule: the definitive chart resides with the IMO registry. Amendment of the polygon or of any corridor centerline executes only through the Joint Hormuz Authority under the Twin-Key Rule, with IMO certification and Depositary registration.</w:t>
      </w:r>
    </w:p>
    <w:p w14:paraId="53CE7D34" w14:textId="77777777" w:rsidR="00CA7ABD" w:rsidRDefault="00000000">
      <w:pPr>
        <w:rPr>
          <w:rFonts w:hint="eastAsia"/>
        </w:rPr>
      </w:pPr>
      <w:r>
        <w:t>A.1.3 Internal reference lines, approach lanes, anchorages, and holding areas appear on the definitive chart. Waiting areas off Musandam and off Bandar Abbas operate under the standing rules of the Maritime Coordination Center.</w:t>
      </w:r>
    </w:p>
    <w:p w14:paraId="33A622EF" w14:textId="77777777" w:rsidR="00CA7ABD" w:rsidRDefault="00000000">
      <w:pPr>
        <w:pStyle w:val="Heading2"/>
        <w:rPr>
          <w:rFonts w:hint="eastAsia"/>
        </w:rPr>
      </w:pPr>
      <w:r>
        <w:t>Section A.2: Corridor Technical Parameters</w:t>
      </w:r>
    </w:p>
    <w:tbl>
      <w:tblPr>
        <w:tblW w:w="5000" w:type="pct"/>
        <w:tblInd w:w="-8"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1818"/>
        <w:gridCol w:w="1734"/>
        <w:gridCol w:w="3446"/>
        <w:gridCol w:w="2228"/>
      </w:tblGrid>
      <w:tr w:rsidR="00CA7ABD" w14:paraId="7951F5A5" w14:textId="77777777">
        <w:tc>
          <w:tcPr>
            <w:tcW w:w="0" w:type="auto"/>
            <w:shd w:val="clear" w:color="auto" w:fill="37474F"/>
          </w:tcPr>
          <w:p w14:paraId="07970C03" w14:textId="77777777" w:rsidR="00CA7ABD" w:rsidRDefault="00000000">
            <w:pPr>
              <w:rPr>
                <w:rFonts w:hint="eastAsia"/>
              </w:rPr>
            </w:pPr>
            <w:r>
              <w:rPr>
                <w:b/>
                <w:color w:val="FFFFFF"/>
                <w:sz w:val="19"/>
              </w:rPr>
              <w:t>Corridor</w:t>
            </w:r>
          </w:p>
        </w:tc>
        <w:tc>
          <w:tcPr>
            <w:tcW w:w="0" w:type="auto"/>
            <w:shd w:val="clear" w:color="auto" w:fill="37474F"/>
          </w:tcPr>
          <w:p w14:paraId="48B472C1" w14:textId="77777777" w:rsidR="00CA7ABD" w:rsidRDefault="00000000">
            <w:pPr>
              <w:rPr>
                <w:rFonts w:hint="eastAsia"/>
              </w:rPr>
            </w:pPr>
            <w:r>
              <w:rPr>
                <w:b/>
                <w:color w:val="FFFFFF"/>
                <w:sz w:val="19"/>
              </w:rPr>
              <w:t>Function</w:t>
            </w:r>
          </w:p>
        </w:tc>
        <w:tc>
          <w:tcPr>
            <w:tcW w:w="0" w:type="auto"/>
            <w:shd w:val="clear" w:color="auto" w:fill="37474F"/>
          </w:tcPr>
          <w:p w14:paraId="4DA341A3" w14:textId="77777777" w:rsidR="00CA7ABD" w:rsidRDefault="00000000">
            <w:pPr>
              <w:rPr>
                <w:rFonts w:hint="eastAsia"/>
              </w:rPr>
            </w:pPr>
            <w:r>
              <w:rPr>
                <w:b/>
                <w:color w:val="FFFFFF"/>
                <w:sz w:val="19"/>
              </w:rPr>
              <w:t>Administration</w:t>
            </w:r>
          </w:p>
        </w:tc>
        <w:tc>
          <w:tcPr>
            <w:tcW w:w="0" w:type="auto"/>
            <w:shd w:val="clear" w:color="auto" w:fill="37474F"/>
          </w:tcPr>
          <w:p w14:paraId="0B19D6CC" w14:textId="77777777" w:rsidR="00CA7ABD" w:rsidRDefault="00000000">
            <w:pPr>
              <w:rPr>
                <w:rFonts w:hint="eastAsia"/>
              </w:rPr>
            </w:pPr>
            <w:r>
              <w:rPr>
                <w:b/>
                <w:color w:val="FFFFFF"/>
                <w:sz w:val="19"/>
              </w:rPr>
              <w:t>Width (reference)</w:t>
            </w:r>
          </w:p>
        </w:tc>
      </w:tr>
      <w:tr w:rsidR="00CA7ABD" w14:paraId="5492D246" w14:textId="77777777">
        <w:tc>
          <w:tcPr>
            <w:tcW w:w="0" w:type="auto"/>
          </w:tcPr>
          <w:p w14:paraId="5849BB38" w14:textId="77777777" w:rsidR="00CA7ABD" w:rsidRDefault="00000000">
            <w:pPr>
              <w:rPr>
                <w:rFonts w:hint="eastAsia"/>
              </w:rPr>
            </w:pPr>
            <w:r>
              <w:rPr>
                <w:sz w:val="19"/>
              </w:rPr>
              <w:t>Corridor One (Northern Stewardship)</w:t>
            </w:r>
          </w:p>
        </w:tc>
        <w:tc>
          <w:tcPr>
            <w:tcW w:w="0" w:type="auto"/>
          </w:tcPr>
          <w:p w14:paraId="1FA02BFC" w14:textId="77777777" w:rsidR="00CA7ABD" w:rsidRDefault="00000000">
            <w:pPr>
              <w:rPr>
                <w:rFonts w:hint="eastAsia"/>
              </w:rPr>
            </w:pPr>
            <w:r>
              <w:rPr>
                <w:sz w:val="19"/>
              </w:rPr>
              <w:t>Inbound traffic</w:t>
            </w:r>
          </w:p>
        </w:tc>
        <w:tc>
          <w:tcPr>
            <w:tcW w:w="0" w:type="auto"/>
          </w:tcPr>
          <w:p w14:paraId="5EC437D0" w14:textId="77777777" w:rsidR="00CA7ABD" w:rsidRDefault="00000000">
            <w:pPr>
              <w:rPr>
                <w:rFonts w:hint="eastAsia"/>
              </w:rPr>
            </w:pPr>
            <w:r>
              <w:rPr>
                <w:sz w:val="19"/>
              </w:rPr>
              <w:t>Iran, as coastal state, within Part VI rules</w:t>
            </w:r>
          </w:p>
        </w:tc>
        <w:tc>
          <w:tcPr>
            <w:tcW w:w="0" w:type="auto"/>
          </w:tcPr>
          <w:p w14:paraId="289E1B87" w14:textId="77777777" w:rsidR="00CA7ABD" w:rsidRDefault="00000000">
            <w:pPr>
              <w:rPr>
                <w:rFonts w:hint="eastAsia"/>
              </w:rPr>
            </w:pPr>
            <w:r>
              <w:rPr>
                <w:sz w:val="19"/>
              </w:rPr>
              <w:t>Two nautical miles, one-way</w:t>
            </w:r>
          </w:p>
        </w:tc>
      </w:tr>
      <w:tr w:rsidR="00CA7ABD" w14:paraId="586F7A37" w14:textId="77777777">
        <w:tc>
          <w:tcPr>
            <w:tcW w:w="0" w:type="auto"/>
            <w:shd w:val="clear" w:color="auto" w:fill="ECEFF1"/>
          </w:tcPr>
          <w:p w14:paraId="1F99A52B" w14:textId="77777777" w:rsidR="00CA7ABD" w:rsidRDefault="00000000">
            <w:pPr>
              <w:rPr>
                <w:rFonts w:hint="eastAsia"/>
              </w:rPr>
            </w:pPr>
            <w:r>
              <w:rPr>
                <w:sz w:val="19"/>
              </w:rPr>
              <w:t>Corridor Two (Central Buffer)</w:t>
            </w:r>
          </w:p>
        </w:tc>
        <w:tc>
          <w:tcPr>
            <w:tcW w:w="0" w:type="auto"/>
            <w:shd w:val="clear" w:color="auto" w:fill="ECEFF1"/>
          </w:tcPr>
          <w:p w14:paraId="64621F03" w14:textId="77777777" w:rsidR="00CA7ABD" w:rsidRDefault="00000000">
            <w:pPr>
              <w:rPr>
                <w:rFonts w:hint="eastAsia"/>
              </w:rPr>
            </w:pPr>
            <w:r>
              <w:rPr>
                <w:sz w:val="19"/>
              </w:rPr>
              <w:t>Two-way buffer and heavy-traffic overflow</w:t>
            </w:r>
          </w:p>
        </w:tc>
        <w:tc>
          <w:tcPr>
            <w:tcW w:w="0" w:type="auto"/>
            <w:shd w:val="clear" w:color="auto" w:fill="ECEFF1"/>
          </w:tcPr>
          <w:p w14:paraId="234C9F5E" w14:textId="77777777" w:rsidR="00CA7ABD" w:rsidRDefault="00000000">
            <w:pPr>
              <w:rPr>
                <w:rFonts w:hint="eastAsia"/>
              </w:rPr>
            </w:pPr>
            <w:r>
              <w:rPr>
                <w:sz w:val="19"/>
              </w:rPr>
              <w:t>Joint Hormuz Authority under Twin-Key</w:t>
            </w:r>
          </w:p>
        </w:tc>
        <w:tc>
          <w:tcPr>
            <w:tcW w:w="0" w:type="auto"/>
            <w:shd w:val="clear" w:color="auto" w:fill="ECEFF1"/>
          </w:tcPr>
          <w:p w14:paraId="4D8A947E" w14:textId="77777777" w:rsidR="00CA7ABD" w:rsidRDefault="00000000">
            <w:pPr>
              <w:rPr>
                <w:rFonts w:hint="eastAsia"/>
              </w:rPr>
            </w:pPr>
            <w:r>
              <w:rPr>
                <w:sz w:val="19"/>
              </w:rPr>
              <w:t>Three nautical miles, one-way each direction within buffer</w:t>
            </w:r>
          </w:p>
        </w:tc>
      </w:tr>
      <w:tr w:rsidR="00CA7ABD" w14:paraId="5B3F9416" w14:textId="77777777">
        <w:tc>
          <w:tcPr>
            <w:tcW w:w="0" w:type="auto"/>
          </w:tcPr>
          <w:p w14:paraId="47B08505" w14:textId="77777777" w:rsidR="00CA7ABD" w:rsidRDefault="00000000">
            <w:pPr>
              <w:rPr>
                <w:rFonts w:hint="eastAsia"/>
              </w:rPr>
            </w:pPr>
            <w:r>
              <w:rPr>
                <w:sz w:val="19"/>
              </w:rPr>
              <w:t>Corridor Three (Southern Assurance)</w:t>
            </w:r>
          </w:p>
        </w:tc>
        <w:tc>
          <w:tcPr>
            <w:tcW w:w="0" w:type="auto"/>
          </w:tcPr>
          <w:p w14:paraId="59EBE004" w14:textId="77777777" w:rsidR="00CA7ABD" w:rsidRDefault="00000000">
            <w:pPr>
              <w:rPr>
                <w:rFonts w:hint="eastAsia"/>
              </w:rPr>
            </w:pPr>
            <w:r>
              <w:rPr>
                <w:sz w:val="19"/>
              </w:rPr>
              <w:t>Outbound traffic</w:t>
            </w:r>
          </w:p>
        </w:tc>
        <w:tc>
          <w:tcPr>
            <w:tcW w:w="0" w:type="auto"/>
          </w:tcPr>
          <w:p w14:paraId="48FDD311" w14:textId="77777777" w:rsidR="00CA7ABD" w:rsidRDefault="00000000">
            <w:pPr>
              <w:rPr>
                <w:rFonts w:hint="eastAsia"/>
              </w:rPr>
            </w:pPr>
            <w:r>
              <w:rPr>
                <w:sz w:val="19"/>
              </w:rPr>
              <w:t>Oman, as coastal state; standing concurrence for the segment transiting Iranian waters recorded herein</w:t>
            </w:r>
          </w:p>
        </w:tc>
        <w:tc>
          <w:tcPr>
            <w:tcW w:w="0" w:type="auto"/>
          </w:tcPr>
          <w:p w14:paraId="4C97164E" w14:textId="77777777" w:rsidR="00CA7ABD" w:rsidRDefault="00000000">
            <w:pPr>
              <w:rPr>
                <w:rFonts w:hint="eastAsia"/>
              </w:rPr>
            </w:pPr>
            <w:r>
              <w:rPr>
                <w:sz w:val="19"/>
              </w:rPr>
              <w:t>Two nautical miles, one-way</w:t>
            </w:r>
          </w:p>
        </w:tc>
      </w:tr>
    </w:tbl>
    <w:p w14:paraId="31210375" w14:textId="77777777" w:rsidR="00CA7ABD" w:rsidRDefault="00000000">
      <w:pPr>
        <w:rPr>
          <w:rFonts w:hint="eastAsia"/>
        </w:rPr>
      </w:pPr>
      <w:r>
        <w:t>A.2.1 Flow states. The Maritime Coordination Center publishes flow states (Green, Amber, Red) in the Open Water Bulletin. Red flow states meter traffic by schedule, never by denial; humanitarian priority holds in every state.</w:t>
      </w:r>
    </w:p>
    <w:p w14:paraId="5A8E75D2" w14:textId="77777777" w:rsidR="00CA7ABD" w:rsidRDefault="00000000">
      <w:pPr>
        <w:rPr>
          <w:rFonts w:hint="eastAsia"/>
        </w:rPr>
      </w:pPr>
      <w:r>
        <w:t>A.2.2 The Southern Approaches Protocol. The coordination practices of this Annex extend, by reference, to the Bab el-Mandeb approaches under the Yemen settlement of Article 39.3, through the same notification, non-interdiction, and data standards, administered by the Authority in coordination with the IMO and the littoral states of that strait.</w:t>
      </w:r>
    </w:p>
    <w:p w14:paraId="264ADCB9" w14:textId="77777777" w:rsidR="00CA7ABD" w:rsidRDefault="00000000">
      <w:pPr>
        <w:pStyle w:val="Heading2"/>
        <w:rPr>
          <w:rFonts w:hint="eastAsia"/>
        </w:rPr>
      </w:pPr>
      <w:r>
        <w:t>Section A.3: The Verified Services Catalog</w:t>
      </w:r>
    </w:p>
    <w:p w14:paraId="21025A1C" w14:textId="77777777" w:rsidR="00CA7ABD" w:rsidRDefault="00000000">
      <w:pPr>
        <w:rPr>
          <w:rFonts w:hint="eastAsia"/>
        </w:rPr>
      </w:pPr>
      <w:r>
        <w:t>A.3.1 The following services, and only the following services, carry charges within the Governance Area. Each service executes at the election of the vessel, at rates the Joint Hormuz Authority publishes annually, non-discriminatory and cost-related:</w:t>
      </w:r>
    </w:p>
    <w:tbl>
      <w:tblPr>
        <w:tblW w:w="5000" w:type="pct"/>
        <w:tblInd w:w="-8"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692"/>
        <w:gridCol w:w="3315"/>
        <w:gridCol w:w="2990"/>
        <w:gridCol w:w="2229"/>
      </w:tblGrid>
      <w:tr w:rsidR="00CA7ABD" w14:paraId="3B318A3D" w14:textId="77777777">
        <w:tc>
          <w:tcPr>
            <w:tcW w:w="0" w:type="auto"/>
            <w:shd w:val="clear" w:color="auto" w:fill="37474F"/>
          </w:tcPr>
          <w:p w14:paraId="7247A0C9" w14:textId="77777777" w:rsidR="00CA7ABD" w:rsidRDefault="00000000">
            <w:pPr>
              <w:rPr>
                <w:rFonts w:hint="eastAsia"/>
              </w:rPr>
            </w:pPr>
            <w:r>
              <w:rPr>
                <w:b/>
                <w:color w:val="FFFFFF"/>
                <w:sz w:val="19"/>
              </w:rPr>
              <w:t>Code</w:t>
            </w:r>
          </w:p>
        </w:tc>
        <w:tc>
          <w:tcPr>
            <w:tcW w:w="0" w:type="auto"/>
            <w:shd w:val="clear" w:color="auto" w:fill="37474F"/>
          </w:tcPr>
          <w:p w14:paraId="40F03D33" w14:textId="77777777" w:rsidR="00CA7ABD" w:rsidRDefault="00000000">
            <w:pPr>
              <w:rPr>
                <w:rFonts w:hint="eastAsia"/>
              </w:rPr>
            </w:pPr>
            <w:r>
              <w:rPr>
                <w:b/>
                <w:color w:val="FFFFFF"/>
                <w:sz w:val="19"/>
              </w:rPr>
              <w:t>Service</w:t>
            </w:r>
          </w:p>
        </w:tc>
        <w:tc>
          <w:tcPr>
            <w:tcW w:w="0" w:type="auto"/>
            <w:shd w:val="clear" w:color="auto" w:fill="37474F"/>
          </w:tcPr>
          <w:p w14:paraId="5B68A2DF" w14:textId="77777777" w:rsidR="00CA7ABD" w:rsidRDefault="00000000">
            <w:pPr>
              <w:rPr>
                <w:rFonts w:hint="eastAsia"/>
              </w:rPr>
            </w:pPr>
            <w:r>
              <w:rPr>
                <w:b/>
                <w:color w:val="FFFFFF"/>
                <w:sz w:val="19"/>
              </w:rPr>
              <w:t>Provider</w:t>
            </w:r>
          </w:p>
        </w:tc>
        <w:tc>
          <w:tcPr>
            <w:tcW w:w="0" w:type="auto"/>
            <w:shd w:val="clear" w:color="auto" w:fill="37474F"/>
          </w:tcPr>
          <w:p w14:paraId="583D1A94" w14:textId="77777777" w:rsidR="00CA7ABD" w:rsidRDefault="00000000">
            <w:pPr>
              <w:rPr>
                <w:rFonts w:hint="eastAsia"/>
              </w:rPr>
            </w:pPr>
            <w:r>
              <w:rPr>
                <w:b/>
                <w:color w:val="FFFFFF"/>
                <w:sz w:val="19"/>
              </w:rPr>
              <w:t>Rate basis</w:t>
            </w:r>
          </w:p>
        </w:tc>
      </w:tr>
      <w:tr w:rsidR="00CA7ABD" w14:paraId="38C5CCA0" w14:textId="77777777">
        <w:tc>
          <w:tcPr>
            <w:tcW w:w="0" w:type="auto"/>
          </w:tcPr>
          <w:p w14:paraId="76912444" w14:textId="77777777" w:rsidR="00CA7ABD" w:rsidRDefault="00000000">
            <w:pPr>
              <w:rPr>
                <w:rFonts w:hint="eastAsia"/>
              </w:rPr>
            </w:pPr>
            <w:r>
              <w:rPr>
                <w:sz w:val="19"/>
              </w:rPr>
              <w:t>VS-1</w:t>
            </w:r>
          </w:p>
        </w:tc>
        <w:tc>
          <w:tcPr>
            <w:tcW w:w="0" w:type="auto"/>
          </w:tcPr>
          <w:p w14:paraId="39294A4D" w14:textId="77777777" w:rsidR="00CA7ABD" w:rsidRDefault="00000000">
            <w:pPr>
              <w:rPr>
                <w:rFonts w:hint="eastAsia"/>
              </w:rPr>
            </w:pPr>
            <w:r>
              <w:rPr>
                <w:sz w:val="19"/>
              </w:rPr>
              <w:t>Pilotage (requested)</w:t>
            </w:r>
          </w:p>
        </w:tc>
        <w:tc>
          <w:tcPr>
            <w:tcW w:w="0" w:type="auto"/>
          </w:tcPr>
          <w:p w14:paraId="001440B9" w14:textId="77777777" w:rsidR="00CA7ABD" w:rsidRDefault="00000000">
            <w:pPr>
              <w:rPr>
                <w:rFonts w:hint="eastAsia"/>
              </w:rPr>
            </w:pPr>
            <w:r>
              <w:rPr>
                <w:sz w:val="19"/>
              </w:rPr>
              <w:t>Coastal-state pilots under Authority coordination</w:t>
            </w:r>
          </w:p>
        </w:tc>
        <w:tc>
          <w:tcPr>
            <w:tcW w:w="0" w:type="auto"/>
          </w:tcPr>
          <w:p w14:paraId="24039708" w14:textId="77777777" w:rsidR="00CA7ABD" w:rsidRDefault="00000000">
            <w:pPr>
              <w:rPr>
                <w:rFonts w:hint="eastAsia"/>
              </w:rPr>
            </w:pPr>
            <w:r>
              <w:rPr>
                <w:sz w:val="19"/>
              </w:rPr>
              <w:t>Per transit, published rate</w:t>
            </w:r>
          </w:p>
        </w:tc>
      </w:tr>
      <w:tr w:rsidR="00CA7ABD" w14:paraId="1B5445DB" w14:textId="77777777">
        <w:tc>
          <w:tcPr>
            <w:tcW w:w="0" w:type="auto"/>
            <w:shd w:val="clear" w:color="auto" w:fill="ECEFF1"/>
          </w:tcPr>
          <w:p w14:paraId="1747D884" w14:textId="77777777" w:rsidR="00CA7ABD" w:rsidRDefault="00000000">
            <w:pPr>
              <w:rPr>
                <w:rFonts w:hint="eastAsia"/>
              </w:rPr>
            </w:pPr>
            <w:r>
              <w:rPr>
                <w:sz w:val="19"/>
              </w:rPr>
              <w:t>VS-2</w:t>
            </w:r>
          </w:p>
        </w:tc>
        <w:tc>
          <w:tcPr>
            <w:tcW w:w="0" w:type="auto"/>
            <w:shd w:val="clear" w:color="auto" w:fill="ECEFF1"/>
          </w:tcPr>
          <w:p w14:paraId="3A49F0E2" w14:textId="77777777" w:rsidR="00CA7ABD" w:rsidRDefault="00000000">
            <w:pPr>
              <w:rPr>
                <w:rFonts w:hint="eastAsia"/>
              </w:rPr>
            </w:pPr>
            <w:r>
              <w:rPr>
                <w:sz w:val="19"/>
              </w:rPr>
              <w:t>Tug assistance (requested)</w:t>
            </w:r>
          </w:p>
        </w:tc>
        <w:tc>
          <w:tcPr>
            <w:tcW w:w="0" w:type="auto"/>
            <w:shd w:val="clear" w:color="auto" w:fill="ECEFF1"/>
          </w:tcPr>
          <w:p w14:paraId="41AAD908" w14:textId="77777777" w:rsidR="00CA7ABD" w:rsidRDefault="00000000">
            <w:pPr>
              <w:rPr>
                <w:rFonts w:hint="eastAsia"/>
              </w:rPr>
            </w:pPr>
            <w:r>
              <w:rPr>
                <w:sz w:val="19"/>
              </w:rPr>
              <w:t>Licensed tug operators</w:t>
            </w:r>
          </w:p>
        </w:tc>
        <w:tc>
          <w:tcPr>
            <w:tcW w:w="0" w:type="auto"/>
            <w:shd w:val="clear" w:color="auto" w:fill="ECEFF1"/>
          </w:tcPr>
          <w:p w14:paraId="5254D3F5" w14:textId="77777777" w:rsidR="00CA7ABD" w:rsidRDefault="00000000">
            <w:pPr>
              <w:rPr>
                <w:rFonts w:hint="eastAsia"/>
              </w:rPr>
            </w:pPr>
            <w:r>
              <w:rPr>
                <w:sz w:val="19"/>
              </w:rPr>
              <w:t>Per operation</w:t>
            </w:r>
          </w:p>
        </w:tc>
      </w:tr>
      <w:tr w:rsidR="00CA7ABD" w14:paraId="32D9277B" w14:textId="77777777">
        <w:tc>
          <w:tcPr>
            <w:tcW w:w="0" w:type="auto"/>
          </w:tcPr>
          <w:p w14:paraId="0B08B2F6" w14:textId="77777777" w:rsidR="00CA7ABD" w:rsidRDefault="00000000">
            <w:pPr>
              <w:rPr>
                <w:rFonts w:hint="eastAsia"/>
              </w:rPr>
            </w:pPr>
            <w:r>
              <w:rPr>
                <w:sz w:val="19"/>
              </w:rPr>
              <w:t>VS-3</w:t>
            </w:r>
          </w:p>
        </w:tc>
        <w:tc>
          <w:tcPr>
            <w:tcW w:w="0" w:type="auto"/>
          </w:tcPr>
          <w:p w14:paraId="67C63705" w14:textId="77777777" w:rsidR="00CA7ABD" w:rsidRDefault="00000000">
            <w:pPr>
              <w:rPr>
                <w:rFonts w:hint="eastAsia"/>
              </w:rPr>
            </w:pPr>
            <w:r>
              <w:rPr>
                <w:sz w:val="19"/>
              </w:rPr>
              <w:t>Deep-draft escort through Corridor Two</w:t>
            </w:r>
          </w:p>
        </w:tc>
        <w:tc>
          <w:tcPr>
            <w:tcW w:w="0" w:type="auto"/>
          </w:tcPr>
          <w:p w14:paraId="3A39A8BD" w14:textId="77777777" w:rsidR="00CA7ABD" w:rsidRDefault="00000000">
            <w:pPr>
              <w:rPr>
                <w:rFonts w:hint="eastAsia"/>
              </w:rPr>
            </w:pPr>
            <w:r>
              <w:rPr>
                <w:sz w:val="19"/>
              </w:rPr>
              <w:t>Authority escort pool</w:t>
            </w:r>
          </w:p>
        </w:tc>
        <w:tc>
          <w:tcPr>
            <w:tcW w:w="0" w:type="auto"/>
          </w:tcPr>
          <w:p w14:paraId="510B200B" w14:textId="77777777" w:rsidR="00CA7ABD" w:rsidRDefault="00000000">
            <w:pPr>
              <w:rPr>
                <w:rFonts w:hint="eastAsia"/>
              </w:rPr>
            </w:pPr>
            <w:r>
              <w:rPr>
                <w:sz w:val="19"/>
              </w:rPr>
              <w:t>Per transit</w:t>
            </w:r>
          </w:p>
        </w:tc>
      </w:tr>
      <w:tr w:rsidR="00CA7ABD" w14:paraId="35F7FE52" w14:textId="77777777">
        <w:tc>
          <w:tcPr>
            <w:tcW w:w="0" w:type="auto"/>
            <w:shd w:val="clear" w:color="auto" w:fill="ECEFF1"/>
          </w:tcPr>
          <w:p w14:paraId="4FCC5939" w14:textId="77777777" w:rsidR="00CA7ABD" w:rsidRDefault="00000000">
            <w:pPr>
              <w:rPr>
                <w:rFonts w:hint="eastAsia"/>
              </w:rPr>
            </w:pPr>
            <w:r>
              <w:rPr>
                <w:sz w:val="19"/>
              </w:rPr>
              <w:t>VS-4</w:t>
            </w:r>
          </w:p>
        </w:tc>
        <w:tc>
          <w:tcPr>
            <w:tcW w:w="0" w:type="auto"/>
            <w:shd w:val="clear" w:color="auto" w:fill="ECEFF1"/>
          </w:tcPr>
          <w:p w14:paraId="6D87BABE" w14:textId="77777777" w:rsidR="00CA7ABD" w:rsidRDefault="00000000">
            <w:pPr>
              <w:rPr>
                <w:rFonts w:hint="eastAsia"/>
              </w:rPr>
            </w:pPr>
            <w:r>
              <w:rPr>
                <w:sz w:val="19"/>
              </w:rPr>
              <w:t>Scheduled convoy window (premium scheduling)</w:t>
            </w:r>
          </w:p>
        </w:tc>
        <w:tc>
          <w:tcPr>
            <w:tcW w:w="0" w:type="auto"/>
            <w:shd w:val="clear" w:color="auto" w:fill="ECEFF1"/>
          </w:tcPr>
          <w:p w14:paraId="0B13FF77" w14:textId="77777777" w:rsidR="00CA7ABD" w:rsidRDefault="00000000">
            <w:pPr>
              <w:rPr>
                <w:rFonts w:hint="eastAsia"/>
              </w:rPr>
            </w:pPr>
            <w:r>
              <w:rPr>
                <w:sz w:val="19"/>
              </w:rPr>
              <w:t>Maritime Coordination Center</w:t>
            </w:r>
          </w:p>
        </w:tc>
        <w:tc>
          <w:tcPr>
            <w:tcW w:w="0" w:type="auto"/>
            <w:shd w:val="clear" w:color="auto" w:fill="ECEFF1"/>
          </w:tcPr>
          <w:p w14:paraId="193C3633" w14:textId="77777777" w:rsidR="00CA7ABD" w:rsidRDefault="00000000">
            <w:pPr>
              <w:rPr>
                <w:rFonts w:hint="eastAsia"/>
              </w:rPr>
            </w:pPr>
            <w:r>
              <w:rPr>
                <w:sz w:val="19"/>
              </w:rPr>
              <w:t>Per window booking</w:t>
            </w:r>
          </w:p>
        </w:tc>
      </w:tr>
      <w:tr w:rsidR="00CA7ABD" w14:paraId="4698728C" w14:textId="77777777">
        <w:tc>
          <w:tcPr>
            <w:tcW w:w="0" w:type="auto"/>
          </w:tcPr>
          <w:p w14:paraId="05E467AF" w14:textId="77777777" w:rsidR="00CA7ABD" w:rsidRDefault="00000000">
            <w:pPr>
              <w:rPr>
                <w:rFonts w:hint="eastAsia"/>
              </w:rPr>
            </w:pPr>
            <w:r>
              <w:rPr>
                <w:sz w:val="19"/>
              </w:rPr>
              <w:t>VS-5</w:t>
            </w:r>
          </w:p>
        </w:tc>
        <w:tc>
          <w:tcPr>
            <w:tcW w:w="0" w:type="auto"/>
          </w:tcPr>
          <w:p w14:paraId="266A5A86" w14:textId="77777777" w:rsidR="00CA7ABD" w:rsidRDefault="00000000">
            <w:pPr>
              <w:rPr>
                <w:rFonts w:hint="eastAsia"/>
              </w:rPr>
            </w:pPr>
            <w:r>
              <w:rPr>
                <w:sz w:val="19"/>
              </w:rPr>
              <w:t>Search and rescue beyond standing SOLAS obligations</w:t>
            </w:r>
          </w:p>
        </w:tc>
        <w:tc>
          <w:tcPr>
            <w:tcW w:w="0" w:type="auto"/>
          </w:tcPr>
          <w:p w14:paraId="591F9820" w14:textId="77777777" w:rsidR="00CA7ABD" w:rsidRDefault="00000000">
            <w:pPr>
              <w:rPr>
                <w:rFonts w:hint="eastAsia"/>
              </w:rPr>
            </w:pPr>
            <w:r>
              <w:rPr>
                <w:sz w:val="19"/>
              </w:rPr>
              <w:t>Coastal-state SAR services</w:t>
            </w:r>
          </w:p>
        </w:tc>
        <w:tc>
          <w:tcPr>
            <w:tcW w:w="0" w:type="auto"/>
          </w:tcPr>
          <w:p w14:paraId="2C1BEE79" w14:textId="77777777" w:rsidR="00CA7ABD" w:rsidRDefault="00000000">
            <w:pPr>
              <w:rPr>
                <w:rFonts w:hint="eastAsia"/>
              </w:rPr>
            </w:pPr>
            <w:r>
              <w:rPr>
                <w:sz w:val="19"/>
              </w:rPr>
              <w:t>Cost recovery</w:t>
            </w:r>
          </w:p>
        </w:tc>
      </w:tr>
      <w:tr w:rsidR="00CA7ABD" w14:paraId="24B5C765" w14:textId="77777777">
        <w:tc>
          <w:tcPr>
            <w:tcW w:w="0" w:type="auto"/>
            <w:shd w:val="clear" w:color="auto" w:fill="ECEFF1"/>
          </w:tcPr>
          <w:p w14:paraId="616F2F7C" w14:textId="77777777" w:rsidR="00CA7ABD" w:rsidRDefault="00000000">
            <w:pPr>
              <w:rPr>
                <w:rFonts w:hint="eastAsia"/>
              </w:rPr>
            </w:pPr>
            <w:r>
              <w:rPr>
                <w:sz w:val="19"/>
              </w:rPr>
              <w:t>VS-6</w:t>
            </w:r>
          </w:p>
        </w:tc>
        <w:tc>
          <w:tcPr>
            <w:tcW w:w="0" w:type="auto"/>
            <w:shd w:val="clear" w:color="auto" w:fill="ECEFF1"/>
          </w:tcPr>
          <w:p w14:paraId="017DA4F5" w14:textId="77777777" w:rsidR="00CA7ABD" w:rsidRDefault="00000000">
            <w:pPr>
              <w:rPr>
                <w:rFonts w:hint="eastAsia"/>
              </w:rPr>
            </w:pPr>
            <w:r>
              <w:rPr>
                <w:sz w:val="19"/>
              </w:rPr>
              <w:t>Environmental response standby and pollution response</w:t>
            </w:r>
          </w:p>
        </w:tc>
        <w:tc>
          <w:tcPr>
            <w:tcW w:w="0" w:type="auto"/>
            <w:shd w:val="clear" w:color="auto" w:fill="ECEFF1"/>
          </w:tcPr>
          <w:p w14:paraId="4C2DF69D" w14:textId="77777777" w:rsidR="00CA7ABD" w:rsidRDefault="00000000">
            <w:pPr>
              <w:rPr>
                <w:rFonts w:hint="eastAsia"/>
              </w:rPr>
            </w:pPr>
            <w:r>
              <w:rPr>
                <w:sz w:val="19"/>
              </w:rPr>
              <w:t>Authority environmental service</w:t>
            </w:r>
          </w:p>
        </w:tc>
        <w:tc>
          <w:tcPr>
            <w:tcW w:w="0" w:type="auto"/>
            <w:shd w:val="clear" w:color="auto" w:fill="ECEFF1"/>
          </w:tcPr>
          <w:p w14:paraId="1A5AB3F0" w14:textId="77777777" w:rsidR="00CA7ABD" w:rsidRDefault="00000000">
            <w:pPr>
              <w:rPr>
                <w:rFonts w:hint="eastAsia"/>
              </w:rPr>
            </w:pPr>
            <w:r>
              <w:rPr>
                <w:sz w:val="19"/>
              </w:rPr>
              <w:t>Annual subscription or per callout</w:t>
            </w:r>
          </w:p>
        </w:tc>
      </w:tr>
      <w:tr w:rsidR="00CA7ABD" w14:paraId="25B47C26" w14:textId="77777777">
        <w:tc>
          <w:tcPr>
            <w:tcW w:w="0" w:type="auto"/>
          </w:tcPr>
          <w:p w14:paraId="6CAF32EC" w14:textId="77777777" w:rsidR="00CA7ABD" w:rsidRDefault="00000000">
            <w:pPr>
              <w:rPr>
                <w:rFonts w:hint="eastAsia"/>
              </w:rPr>
            </w:pPr>
            <w:r>
              <w:rPr>
                <w:sz w:val="19"/>
              </w:rPr>
              <w:t>VS-7</w:t>
            </w:r>
          </w:p>
        </w:tc>
        <w:tc>
          <w:tcPr>
            <w:tcW w:w="0" w:type="auto"/>
          </w:tcPr>
          <w:p w14:paraId="184181A5" w14:textId="77777777" w:rsidR="00CA7ABD" w:rsidRDefault="00000000">
            <w:pPr>
              <w:rPr>
                <w:rFonts w:hint="eastAsia"/>
              </w:rPr>
            </w:pPr>
            <w:r>
              <w:rPr>
                <w:sz w:val="19"/>
              </w:rPr>
              <w:t>Wreck removal and hazard abatement</w:t>
            </w:r>
          </w:p>
        </w:tc>
        <w:tc>
          <w:tcPr>
            <w:tcW w:w="0" w:type="auto"/>
          </w:tcPr>
          <w:p w14:paraId="24175ECD" w14:textId="77777777" w:rsidR="00CA7ABD" w:rsidRDefault="00000000">
            <w:pPr>
              <w:rPr>
                <w:rFonts w:hint="eastAsia"/>
              </w:rPr>
            </w:pPr>
            <w:r>
              <w:rPr>
                <w:sz w:val="19"/>
              </w:rPr>
              <w:t>Authority contractors</w:t>
            </w:r>
          </w:p>
        </w:tc>
        <w:tc>
          <w:tcPr>
            <w:tcW w:w="0" w:type="auto"/>
          </w:tcPr>
          <w:p w14:paraId="2F9C995E" w14:textId="77777777" w:rsidR="00CA7ABD" w:rsidRDefault="00000000">
            <w:pPr>
              <w:rPr>
                <w:rFonts w:hint="eastAsia"/>
              </w:rPr>
            </w:pPr>
            <w:r>
              <w:rPr>
                <w:sz w:val="19"/>
              </w:rPr>
              <w:t>Cost recovery</w:t>
            </w:r>
          </w:p>
        </w:tc>
      </w:tr>
      <w:tr w:rsidR="00CA7ABD" w14:paraId="18F80845" w14:textId="77777777">
        <w:tc>
          <w:tcPr>
            <w:tcW w:w="0" w:type="auto"/>
            <w:shd w:val="clear" w:color="auto" w:fill="ECEFF1"/>
          </w:tcPr>
          <w:p w14:paraId="180B7ED8" w14:textId="77777777" w:rsidR="00CA7ABD" w:rsidRDefault="00000000">
            <w:pPr>
              <w:rPr>
                <w:rFonts w:hint="eastAsia"/>
              </w:rPr>
            </w:pPr>
            <w:r>
              <w:rPr>
                <w:sz w:val="19"/>
              </w:rPr>
              <w:t>VS-8</w:t>
            </w:r>
          </w:p>
        </w:tc>
        <w:tc>
          <w:tcPr>
            <w:tcW w:w="0" w:type="auto"/>
            <w:shd w:val="clear" w:color="auto" w:fill="ECEFF1"/>
          </w:tcPr>
          <w:p w14:paraId="0C0DF16C" w14:textId="77777777" w:rsidR="00CA7ABD" w:rsidRDefault="00000000">
            <w:pPr>
              <w:rPr>
                <w:rFonts w:hint="eastAsia"/>
              </w:rPr>
            </w:pPr>
            <w:r>
              <w:rPr>
                <w:sz w:val="19"/>
              </w:rPr>
              <w:t>Route Assurance Data Subscription</w:t>
            </w:r>
          </w:p>
        </w:tc>
        <w:tc>
          <w:tcPr>
            <w:tcW w:w="0" w:type="auto"/>
            <w:shd w:val="clear" w:color="auto" w:fill="ECEFF1"/>
          </w:tcPr>
          <w:p w14:paraId="0DF3849E" w14:textId="77777777" w:rsidR="00CA7ABD" w:rsidRDefault="00000000">
            <w:pPr>
              <w:rPr>
                <w:rFonts w:hint="eastAsia"/>
              </w:rPr>
            </w:pPr>
            <w:r>
              <w:rPr>
                <w:sz w:val="19"/>
              </w:rPr>
              <w:t>Authority data service</w:t>
            </w:r>
          </w:p>
        </w:tc>
        <w:tc>
          <w:tcPr>
            <w:tcW w:w="0" w:type="auto"/>
            <w:shd w:val="clear" w:color="auto" w:fill="ECEFF1"/>
          </w:tcPr>
          <w:p w14:paraId="523366B5" w14:textId="77777777" w:rsidR="00CA7ABD" w:rsidRDefault="00000000">
            <w:pPr>
              <w:rPr>
                <w:rFonts w:hint="eastAsia"/>
              </w:rPr>
            </w:pPr>
            <w:r>
              <w:rPr>
                <w:sz w:val="19"/>
              </w:rPr>
              <w:t>Annual or per-voyage subscription</w:t>
            </w:r>
          </w:p>
        </w:tc>
      </w:tr>
      <w:tr w:rsidR="00CA7ABD" w14:paraId="4A03CAAA" w14:textId="77777777">
        <w:tc>
          <w:tcPr>
            <w:tcW w:w="0" w:type="auto"/>
          </w:tcPr>
          <w:p w14:paraId="7E6202B9" w14:textId="77777777" w:rsidR="00CA7ABD" w:rsidRDefault="00000000">
            <w:pPr>
              <w:rPr>
                <w:rFonts w:hint="eastAsia"/>
              </w:rPr>
            </w:pPr>
            <w:r>
              <w:rPr>
                <w:sz w:val="19"/>
              </w:rPr>
              <w:t>VS-9</w:t>
            </w:r>
          </w:p>
        </w:tc>
        <w:tc>
          <w:tcPr>
            <w:tcW w:w="0" w:type="auto"/>
          </w:tcPr>
          <w:p w14:paraId="110F743D" w14:textId="77777777" w:rsidR="00CA7ABD" w:rsidRDefault="00000000">
            <w:pPr>
              <w:rPr>
                <w:rFonts w:hint="eastAsia"/>
              </w:rPr>
            </w:pPr>
            <w:r>
              <w:rPr>
                <w:sz w:val="19"/>
              </w:rPr>
              <w:t>Port-of-origin documentation processing</w:t>
            </w:r>
          </w:p>
        </w:tc>
        <w:tc>
          <w:tcPr>
            <w:tcW w:w="0" w:type="auto"/>
          </w:tcPr>
          <w:p w14:paraId="18EAF38C" w14:textId="77777777" w:rsidR="00CA7ABD" w:rsidRDefault="00000000">
            <w:pPr>
              <w:rPr>
                <w:rFonts w:hint="eastAsia"/>
              </w:rPr>
            </w:pPr>
            <w:r>
              <w:rPr>
                <w:sz w:val="19"/>
              </w:rPr>
              <w:t>Authority documentation window</w:t>
            </w:r>
          </w:p>
        </w:tc>
        <w:tc>
          <w:tcPr>
            <w:tcW w:w="0" w:type="auto"/>
          </w:tcPr>
          <w:p w14:paraId="088DFBDC" w14:textId="77777777" w:rsidR="00CA7ABD" w:rsidRDefault="00000000">
            <w:pPr>
              <w:rPr>
                <w:rFonts w:hint="eastAsia"/>
              </w:rPr>
            </w:pPr>
            <w:r>
              <w:rPr>
                <w:sz w:val="19"/>
              </w:rPr>
              <w:t>Per document set</w:t>
            </w:r>
          </w:p>
        </w:tc>
      </w:tr>
    </w:tbl>
    <w:p w14:paraId="0E82A7E3" w14:textId="77777777" w:rsidR="00CA7ABD" w:rsidRDefault="00000000">
      <w:pPr>
        <w:rPr>
          <w:rFonts w:hint="eastAsia"/>
        </w:rPr>
      </w:pPr>
      <w:r>
        <w:t>A.3.2 A vessel requesting no service pays nothing and transits freely. The absence of a service request never delays acknowledgment, routing, or transit. This rule satisfies the service distinction of Article 9.3 and the Zero-Toll Covenant of Article 27 simultaneously.</w:t>
      </w:r>
    </w:p>
    <w:p w14:paraId="456F77EC" w14:textId="77777777" w:rsidR="00CA7ABD" w:rsidRDefault="00000000">
      <w:pPr>
        <w:rPr>
          <w:rFonts w:hint="eastAsia"/>
        </w:rPr>
      </w:pPr>
      <w:r>
        <w:t>A.3.3 Safety exceptions to non-interdiction: the Authority executes boarding or diversion only upon Twin-Key concurrence, only for documented, immediate threats to life, safety of navigation, or the marine environment, with every action logged in the Registry within one hour and reviewable by the JIC within 72 hours.</w:t>
      </w:r>
    </w:p>
    <w:p w14:paraId="60586502" w14:textId="77777777" w:rsidR="00CA7ABD" w:rsidRDefault="00CA7ABD">
      <w:pPr>
        <w:pageBreakBefore/>
        <w:rPr>
          <w:rFonts w:hint="eastAsia"/>
        </w:rPr>
      </w:pPr>
    </w:p>
    <w:p w14:paraId="3A27FA7C" w14:textId="77777777" w:rsidR="00CA7ABD" w:rsidRDefault="00000000">
      <w:pPr>
        <w:pStyle w:val="Heading1"/>
        <w:rPr>
          <w:rFonts w:hint="eastAsia"/>
        </w:rPr>
      </w:pPr>
      <w:r>
        <w:t>ANNEX B: THE NUCLEAR VERIFICATION ANNEX</w:t>
      </w:r>
    </w:p>
    <w:p w14:paraId="2AC12B15" w14:textId="77777777" w:rsidR="00CA7ABD" w:rsidRDefault="00000000">
      <w:pPr>
        <w:pStyle w:val="Heading2"/>
        <w:rPr>
          <w:rFonts w:hint="eastAsia"/>
        </w:rPr>
      </w:pPr>
      <w:r>
        <w:t>Section B.1: The Inventory and the Down-Blending Campaign</w:t>
      </w:r>
    </w:p>
    <w:p w14:paraId="4F9E9BC5" w14:textId="77777777" w:rsidR="00CA7ABD" w:rsidRDefault="00000000">
      <w:pPr>
        <w:rPr>
          <w:rFonts w:hint="eastAsia"/>
        </w:rPr>
      </w:pPr>
      <w:r>
        <w:t>B.1.1 Inventory protocol. On Day One, Iran delivers the complete declaration of Article 18.1. The IAEA verifies the declaration through physical inventory verification at every declared location, environmental sampling, and reconciliation against the Agency's records and the continuity-of-knowledge archive. The inventory completes within 14 days, and the Director General reports it to the Board of Governors and to the JIC simultaneously.</w:t>
      </w:r>
    </w:p>
    <w:p w14:paraId="12CAB7ED" w14:textId="77777777" w:rsidR="00CA7ABD" w:rsidRDefault="00000000">
      <w:pPr>
        <w:rPr>
          <w:rFonts w:hint="eastAsia"/>
        </w:rPr>
      </w:pPr>
      <w:r>
        <w:t>B.1.2 Down-blending execution. The campaign operates at declared facilities under continuous IAEA presence: in-room cameras, seals, and process monitoring; mass-balance accounting at each campaign step; daily reporting to the Registry. The campaign completes within 30 days. The end state: no uranium enriched above 3.67 percent remains on Iranian territory, and the down-blended inventory enters the fuel-cycle accounting of Section B.3.</w:t>
      </w:r>
    </w:p>
    <w:p w14:paraId="05FEAD08" w14:textId="77777777" w:rsidR="00CA7ABD" w:rsidRDefault="00000000">
      <w:pPr>
        <w:rPr>
          <w:rFonts w:hint="eastAsia"/>
        </w:rPr>
      </w:pPr>
      <w:r>
        <w:t>B.1.3 The United States technical liaison attaches to the IAEA team under Agency confidentiality rules, observes chain-of-custody through the Agency, and reports through the JIC channel. The liaison holds no independent access rights, consistent with Red Line IR-3.</w:t>
      </w:r>
    </w:p>
    <w:p w14:paraId="1640CCA6" w14:textId="77777777" w:rsidR="00CA7ABD" w:rsidRDefault="00000000">
      <w:pPr>
        <w:pStyle w:val="Heading2"/>
        <w:rPr>
          <w:rFonts w:hint="eastAsia"/>
        </w:rPr>
      </w:pPr>
      <w:r>
        <w:t>Section B.2: The Permanent Caps and the Cascade Table</w:t>
      </w:r>
    </w:p>
    <w:tbl>
      <w:tblPr>
        <w:tblW w:w="5000" w:type="pct"/>
        <w:tblInd w:w="-8"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1789"/>
        <w:gridCol w:w="4728"/>
        <w:gridCol w:w="2709"/>
      </w:tblGrid>
      <w:tr w:rsidR="00CA7ABD" w14:paraId="3AA5E405" w14:textId="77777777">
        <w:tc>
          <w:tcPr>
            <w:tcW w:w="0" w:type="auto"/>
            <w:shd w:val="clear" w:color="auto" w:fill="37474F"/>
          </w:tcPr>
          <w:p w14:paraId="4EF7AD62" w14:textId="77777777" w:rsidR="00CA7ABD" w:rsidRDefault="00000000">
            <w:pPr>
              <w:rPr>
                <w:rFonts w:hint="eastAsia"/>
              </w:rPr>
            </w:pPr>
            <w:r>
              <w:rPr>
                <w:b/>
                <w:color w:val="FFFFFF"/>
                <w:sz w:val="19"/>
              </w:rPr>
              <w:t>Parameter</w:t>
            </w:r>
          </w:p>
        </w:tc>
        <w:tc>
          <w:tcPr>
            <w:tcW w:w="0" w:type="auto"/>
            <w:shd w:val="clear" w:color="auto" w:fill="37474F"/>
          </w:tcPr>
          <w:p w14:paraId="0EC36178" w14:textId="77777777" w:rsidR="00CA7ABD" w:rsidRDefault="00000000">
            <w:pPr>
              <w:rPr>
                <w:rFonts w:hint="eastAsia"/>
              </w:rPr>
            </w:pPr>
            <w:r>
              <w:rPr>
                <w:b/>
                <w:color w:val="FFFFFF"/>
                <w:sz w:val="19"/>
              </w:rPr>
              <w:t>Permanent limit</w:t>
            </w:r>
          </w:p>
        </w:tc>
        <w:tc>
          <w:tcPr>
            <w:tcW w:w="0" w:type="auto"/>
            <w:shd w:val="clear" w:color="auto" w:fill="37474F"/>
          </w:tcPr>
          <w:p w14:paraId="787EFC67" w14:textId="77777777" w:rsidR="00CA7ABD" w:rsidRDefault="00000000">
            <w:pPr>
              <w:rPr>
                <w:rFonts w:hint="eastAsia"/>
              </w:rPr>
            </w:pPr>
            <w:r>
              <w:rPr>
                <w:b/>
                <w:color w:val="FFFFFF"/>
                <w:sz w:val="19"/>
              </w:rPr>
              <w:t>Monitoring</w:t>
            </w:r>
          </w:p>
        </w:tc>
      </w:tr>
      <w:tr w:rsidR="00CA7ABD" w14:paraId="4D8AB346" w14:textId="77777777">
        <w:tc>
          <w:tcPr>
            <w:tcW w:w="0" w:type="auto"/>
          </w:tcPr>
          <w:p w14:paraId="09295D2D" w14:textId="77777777" w:rsidR="00CA7ABD" w:rsidRDefault="00000000">
            <w:pPr>
              <w:rPr>
                <w:rFonts w:hint="eastAsia"/>
              </w:rPr>
            </w:pPr>
            <w:r>
              <w:rPr>
                <w:sz w:val="19"/>
              </w:rPr>
              <w:t>Enrichment level</w:t>
            </w:r>
          </w:p>
        </w:tc>
        <w:tc>
          <w:tcPr>
            <w:tcW w:w="0" w:type="auto"/>
          </w:tcPr>
          <w:p w14:paraId="12E83428" w14:textId="77777777" w:rsidR="00CA7ABD" w:rsidRDefault="00000000">
            <w:pPr>
              <w:rPr>
                <w:rFonts w:hint="eastAsia"/>
              </w:rPr>
            </w:pPr>
            <w:r>
              <w:rPr>
                <w:sz w:val="19"/>
              </w:rPr>
              <w:t>At or below 3.67 percent U-235</w:t>
            </w:r>
          </w:p>
        </w:tc>
        <w:tc>
          <w:tcPr>
            <w:tcW w:w="0" w:type="auto"/>
          </w:tcPr>
          <w:p w14:paraId="7125ADD5" w14:textId="77777777" w:rsidR="00CA7ABD" w:rsidRDefault="00000000">
            <w:pPr>
              <w:rPr>
                <w:rFonts w:hint="eastAsia"/>
              </w:rPr>
            </w:pPr>
            <w:r>
              <w:rPr>
                <w:sz w:val="19"/>
              </w:rPr>
              <w:t>Online enrichment monitors, continuous</w:t>
            </w:r>
          </w:p>
        </w:tc>
      </w:tr>
      <w:tr w:rsidR="00CA7ABD" w14:paraId="1DB4691B" w14:textId="77777777">
        <w:tc>
          <w:tcPr>
            <w:tcW w:w="0" w:type="auto"/>
            <w:shd w:val="clear" w:color="auto" w:fill="ECEFF1"/>
          </w:tcPr>
          <w:p w14:paraId="5D0C57AC" w14:textId="77777777" w:rsidR="00CA7ABD" w:rsidRDefault="00000000">
            <w:pPr>
              <w:rPr>
                <w:rFonts w:hint="eastAsia"/>
              </w:rPr>
            </w:pPr>
            <w:r>
              <w:rPr>
                <w:sz w:val="19"/>
              </w:rPr>
              <w:t>Enriched stockpile</w:t>
            </w:r>
          </w:p>
        </w:tc>
        <w:tc>
          <w:tcPr>
            <w:tcW w:w="0" w:type="auto"/>
            <w:shd w:val="clear" w:color="auto" w:fill="ECEFF1"/>
          </w:tcPr>
          <w:p w14:paraId="3D8C5A1F" w14:textId="77777777" w:rsidR="00CA7ABD" w:rsidRDefault="00000000">
            <w:pPr>
              <w:rPr>
                <w:rFonts w:hint="eastAsia"/>
              </w:rPr>
            </w:pPr>
            <w:r>
              <w:rPr>
                <w:sz w:val="19"/>
              </w:rPr>
              <w:t>At or below 300 kilograms UF6 (uranium mass), up to 3.67 percent</w:t>
            </w:r>
          </w:p>
        </w:tc>
        <w:tc>
          <w:tcPr>
            <w:tcW w:w="0" w:type="auto"/>
            <w:shd w:val="clear" w:color="auto" w:fill="ECEFF1"/>
          </w:tcPr>
          <w:p w14:paraId="4C6A1BAC" w14:textId="77777777" w:rsidR="00CA7ABD" w:rsidRDefault="00000000">
            <w:pPr>
              <w:rPr>
                <w:rFonts w:hint="eastAsia"/>
              </w:rPr>
            </w:pPr>
            <w:r>
              <w:rPr>
                <w:sz w:val="19"/>
              </w:rPr>
              <w:t>Continuous accounting; quarterly physical inventory</w:t>
            </w:r>
          </w:p>
        </w:tc>
      </w:tr>
      <w:tr w:rsidR="00CA7ABD" w14:paraId="2F27C2D6" w14:textId="77777777">
        <w:tc>
          <w:tcPr>
            <w:tcW w:w="0" w:type="auto"/>
          </w:tcPr>
          <w:p w14:paraId="2D30FF8F" w14:textId="77777777" w:rsidR="00CA7ABD" w:rsidRDefault="00000000">
            <w:pPr>
              <w:rPr>
                <w:rFonts w:hint="eastAsia"/>
              </w:rPr>
            </w:pPr>
            <w:r>
              <w:rPr>
                <w:sz w:val="19"/>
              </w:rPr>
              <w:t>Operating cascades</w:t>
            </w:r>
          </w:p>
        </w:tc>
        <w:tc>
          <w:tcPr>
            <w:tcW w:w="0" w:type="auto"/>
          </w:tcPr>
          <w:p w14:paraId="4BC8E71E" w14:textId="77777777" w:rsidR="00CA7ABD" w:rsidRDefault="00000000">
            <w:pPr>
              <w:rPr>
                <w:rFonts w:hint="eastAsia"/>
              </w:rPr>
            </w:pPr>
            <w:r>
              <w:rPr>
                <w:sz w:val="19"/>
              </w:rPr>
              <w:t>Per the Cascade Table sized to the Bushehr and Tehran Research Reactor fuel needs on a 15-year rolling basis</w:t>
            </w:r>
          </w:p>
        </w:tc>
        <w:tc>
          <w:tcPr>
            <w:tcW w:w="0" w:type="auto"/>
          </w:tcPr>
          <w:p w14:paraId="75573F64" w14:textId="77777777" w:rsidR="00CA7ABD" w:rsidRDefault="00000000">
            <w:pPr>
              <w:rPr>
                <w:rFonts w:hint="eastAsia"/>
              </w:rPr>
            </w:pPr>
            <w:r>
              <w:rPr>
                <w:sz w:val="19"/>
              </w:rPr>
              <w:t>Cascade telemetry to the Registry</w:t>
            </w:r>
          </w:p>
        </w:tc>
      </w:tr>
      <w:tr w:rsidR="00CA7ABD" w14:paraId="352F4E68" w14:textId="77777777">
        <w:tc>
          <w:tcPr>
            <w:tcW w:w="0" w:type="auto"/>
            <w:shd w:val="clear" w:color="auto" w:fill="ECEFF1"/>
          </w:tcPr>
          <w:p w14:paraId="236A479D" w14:textId="77777777" w:rsidR="00CA7ABD" w:rsidRDefault="00000000">
            <w:pPr>
              <w:rPr>
                <w:rFonts w:hint="eastAsia"/>
              </w:rPr>
            </w:pPr>
            <w:r>
              <w:rPr>
                <w:sz w:val="19"/>
              </w:rPr>
              <w:t>Fordow</w:t>
            </w:r>
          </w:p>
        </w:tc>
        <w:tc>
          <w:tcPr>
            <w:tcW w:w="0" w:type="auto"/>
            <w:shd w:val="clear" w:color="auto" w:fill="ECEFF1"/>
          </w:tcPr>
          <w:p w14:paraId="3F4A0A88" w14:textId="77777777" w:rsidR="00CA7ABD" w:rsidRDefault="00000000">
            <w:pPr>
              <w:rPr>
                <w:rFonts w:hint="eastAsia"/>
              </w:rPr>
            </w:pPr>
            <w:r>
              <w:rPr>
                <w:sz w:val="19"/>
              </w:rPr>
              <w:t>Non-enrichment nuclear, physics, and technology center; no enrichment operations; no fissile storage</w:t>
            </w:r>
          </w:p>
        </w:tc>
        <w:tc>
          <w:tcPr>
            <w:tcW w:w="0" w:type="auto"/>
            <w:shd w:val="clear" w:color="auto" w:fill="ECEFF1"/>
          </w:tcPr>
          <w:p w14:paraId="1682DB9A" w14:textId="77777777" w:rsidR="00CA7ABD" w:rsidRDefault="00000000">
            <w:pPr>
              <w:rPr>
                <w:rFonts w:hint="eastAsia"/>
              </w:rPr>
            </w:pPr>
            <w:r>
              <w:rPr>
                <w:sz w:val="19"/>
              </w:rPr>
              <w:t>Continuous presence; seals</w:t>
            </w:r>
          </w:p>
        </w:tc>
      </w:tr>
      <w:tr w:rsidR="00CA7ABD" w14:paraId="760B0C20" w14:textId="77777777">
        <w:tc>
          <w:tcPr>
            <w:tcW w:w="0" w:type="auto"/>
          </w:tcPr>
          <w:p w14:paraId="72DFACBE" w14:textId="77777777" w:rsidR="00CA7ABD" w:rsidRDefault="00000000">
            <w:pPr>
              <w:rPr>
                <w:rFonts w:hint="eastAsia"/>
              </w:rPr>
            </w:pPr>
            <w:r>
              <w:rPr>
                <w:sz w:val="19"/>
              </w:rPr>
              <w:t>Research and development</w:t>
            </w:r>
          </w:p>
        </w:tc>
        <w:tc>
          <w:tcPr>
            <w:tcW w:w="0" w:type="auto"/>
          </w:tcPr>
          <w:p w14:paraId="09F2E160" w14:textId="77777777" w:rsidR="00CA7ABD" w:rsidRDefault="00000000">
            <w:pPr>
              <w:rPr>
                <w:rFonts w:hint="eastAsia"/>
              </w:rPr>
            </w:pPr>
            <w:r>
              <w:rPr>
                <w:sz w:val="19"/>
              </w:rPr>
              <w:t>Declared, within the R&amp;D plan filed with the IAEA; no accumulation of material above the caps</w:t>
            </w:r>
          </w:p>
        </w:tc>
        <w:tc>
          <w:tcPr>
            <w:tcW w:w="0" w:type="auto"/>
          </w:tcPr>
          <w:p w14:paraId="45BCC62A" w14:textId="77777777" w:rsidR="00CA7ABD" w:rsidRDefault="00000000">
            <w:pPr>
              <w:rPr>
                <w:rFonts w:hint="eastAsia"/>
              </w:rPr>
            </w:pPr>
            <w:r>
              <w:rPr>
                <w:sz w:val="19"/>
              </w:rPr>
              <w:t>Declared-site access</w:t>
            </w:r>
          </w:p>
        </w:tc>
      </w:tr>
    </w:tbl>
    <w:p w14:paraId="20DD23C9" w14:textId="77777777" w:rsidR="00CA7ABD" w:rsidRDefault="00000000">
      <w:pPr>
        <w:rPr>
          <w:rFonts w:hint="eastAsia"/>
        </w:rPr>
      </w:pPr>
      <w:r>
        <w:t>B.2.1 Conversion and dilution running rule. Material approaching the stockpile ceiling converts to fuel plates or dilutes on a running basis, so the ceiling holds continuously, not merely at inspection dates.</w:t>
      </w:r>
    </w:p>
    <w:p w14:paraId="5EB288BF" w14:textId="77777777" w:rsidR="00CA7ABD" w:rsidRDefault="00000000">
      <w:pPr>
        <w:pStyle w:val="Heading2"/>
        <w:rPr>
          <w:rFonts w:hint="eastAsia"/>
        </w:rPr>
      </w:pPr>
      <w:r>
        <w:t>Section B.3: The Fuel Cycle and Supply Assurance</w:t>
      </w:r>
    </w:p>
    <w:p w14:paraId="0234E01B" w14:textId="77777777" w:rsidR="00CA7ABD" w:rsidRDefault="00000000">
      <w:pPr>
        <w:rPr>
          <w:rFonts w:hint="eastAsia"/>
        </w:rPr>
      </w:pPr>
      <w:r>
        <w:t>B.3.1 The Fuel Assurance Window guarantees Iran reactor fuel at market terms through an international consortium of suppliers, with escrowed supply contracts administered through the Qatar Central Bank channel. Iran selects suppliers at its sovereign election; the Window guarantees availability and price discipline, never a source.</w:t>
      </w:r>
    </w:p>
    <w:p w14:paraId="418621AF" w14:textId="77777777" w:rsidR="00CA7ABD" w:rsidRDefault="00000000">
      <w:pPr>
        <w:rPr>
          <w:rFonts w:hint="eastAsia"/>
        </w:rPr>
      </w:pPr>
      <w:r>
        <w:t>B.3.2 Bushehr expansion proceeds under IAEA safeguards with international participation, per the bilateral programs recorded in Annex RDF.</w:t>
      </w:r>
    </w:p>
    <w:p w14:paraId="51C7010E" w14:textId="77777777" w:rsidR="00CA7ABD" w:rsidRDefault="00000000">
      <w:pPr>
        <w:pStyle w:val="Heading2"/>
        <w:rPr>
          <w:rFonts w:hint="eastAsia"/>
        </w:rPr>
      </w:pPr>
      <w:r>
        <w:t>Section B.4: Access Regime</w:t>
      </w:r>
    </w:p>
    <w:p w14:paraId="5A8055B1" w14:textId="77777777" w:rsidR="00CA7ABD" w:rsidRDefault="00000000">
      <w:pPr>
        <w:rPr>
          <w:rFonts w:hint="eastAsia"/>
        </w:rPr>
      </w:pPr>
      <w:r>
        <w:t>B.4.1 Declared sites: continuous access per Article 20.4. Undeclared locations: managed access under the challenge procedure: the Agency requests access with its technical basis; access executes within the defined period the procedure fixes (24 hours for declared-adjacent locations; 14 days maximum for any location, with managed techniques protecting legitimate security interests); refusal or expiry without access classifies as a Level 4 anomaly and enters the Tier system.</w:t>
      </w:r>
    </w:p>
    <w:p w14:paraId="08645ED1" w14:textId="77777777" w:rsidR="00CA7ABD" w:rsidRDefault="00000000">
      <w:pPr>
        <w:rPr>
          <w:rFonts w:hint="eastAsia"/>
        </w:rPr>
      </w:pPr>
      <w:r>
        <w:t>B.4.2 The outstanding safeguards file closes through the structured process: the Agency lists its questions and access requests in one consolidated schedule within 30 days of Day Zero; Iran provides the accesses and explanations within 90 days; the Agency reports closure; the Board acts per Article 35.2. The process has a beginning, a middle, and an end, by design.</w:t>
      </w:r>
    </w:p>
    <w:p w14:paraId="0D96208A" w14:textId="77777777" w:rsidR="00CA7ABD" w:rsidRDefault="00000000">
      <w:pPr>
        <w:rPr>
          <w:rFonts w:hint="eastAsia"/>
        </w:rPr>
      </w:pPr>
      <w:r>
        <w:t>B.4.3 Trust-graduated intensity. After eight consecutive clean quarterly certifications, routine inspection frequency relaxes one step per the schedule of this Annex; after sixteen, a further step. Any Tier 2 or Tier 3 event on the nuclear module restores the prior intensity automatically. The caps and the baseline presence never relax.</w:t>
      </w:r>
    </w:p>
    <w:p w14:paraId="536B12D7" w14:textId="77777777" w:rsidR="00CA7ABD" w:rsidRDefault="00CA7ABD">
      <w:pPr>
        <w:pageBreakBefore/>
        <w:rPr>
          <w:rFonts w:hint="eastAsia"/>
        </w:rPr>
      </w:pPr>
    </w:p>
    <w:p w14:paraId="4DBEB199" w14:textId="77777777" w:rsidR="00CA7ABD" w:rsidRDefault="00000000">
      <w:pPr>
        <w:pStyle w:val="Heading1"/>
        <w:rPr>
          <w:rFonts w:hint="eastAsia"/>
        </w:rPr>
      </w:pPr>
      <w:r>
        <w:t>ANNEX C: THE SANCTIONS TERMINATION AND ASSET RELEASE SCHEDULE</w:t>
      </w:r>
    </w:p>
    <w:p w14:paraId="27B01F36" w14:textId="77777777" w:rsidR="00CA7ABD" w:rsidRDefault="00000000">
      <w:pPr>
        <w:pStyle w:val="Heading2"/>
        <w:rPr>
          <w:rFonts w:hint="eastAsia"/>
        </w:rPr>
      </w:pPr>
      <w:r>
        <w:t>Section C.1: The Termination Register</w:t>
      </w:r>
    </w:p>
    <w:p w14:paraId="2AAA3249" w14:textId="77777777" w:rsidR="00CA7ABD" w:rsidRDefault="00000000">
      <w:pPr>
        <w:rPr>
          <w:rFonts w:hint="eastAsia"/>
        </w:rPr>
      </w:pPr>
      <w:r>
        <w:t>C.1.1 Annex C lists, in its Register tables, every sanctions instrument within scope: the United Nations Security Council resolutions terminated by the Layer Four resolution; the IAEA Board resolutions superseded; the United States statutory authorities subject to the congressional track of Article 34; the executive orders terminated at T-3; and the secondary-sanctions applications waived under the T-2 and T-3 general licenses. The Register is exhaustive: an instrument omitted from the Register terminates as an instrument within scope upon JIC determination, and the omission corrects by technical correction under Article 60.3.</w:t>
      </w:r>
    </w:p>
    <w:p w14:paraId="5E57E1ED" w14:textId="77777777" w:rsidR="00CA7ABD" w:rsidRDefault="00000000">
      <w:pPr>
        <w:rPr>
          <w:rFonts w:hint="eastAsia"/>
        </w:rPr>
      </w:pPr>
      <w:r>
        <w:t>C.1.2 Categories within scope: nuclear-related sanctions; petroleum, petrochemical, shipping, and insurance sanctions; financial and banking measures including financial messaging access; trade and investment restrictions; designations of the entities and individuals listed in the Register. Categories outside scope: measures addressing conduct subsequent to Day Zero outside the matters this Treaty settles, which route through Article 33.4.</w:t>
      </w:r>
    </w:p>
    <w:p w14:paraId="6C831EE8" w14:textId="77777777" w:rsidR="00CA7ABD" w:rsidRDefault="00000000">
      <w:pPr>
        <w:pStyle w:val="Heading2"/>
        <w:rPr>
          <w:rFonts w:hint="eastAsia"/>
        </w:rPr>
      </w:pPr>
      <w:r>
        <w:t>Section C.2: The Asset Release Table</w:t>
      </w:r>
    </w:p>
    <w:tbl>
      <w:tblPr>
        <w:tblW w:w="5000" w:type="pct"/>
        <w:tblInd w:w="-8"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954"/>
        <w:gridCol w:w="3311"/>
        <w:gridCol w:w="2357"/>
        <w:gridCol w:w="2604"/>
      </w:tblGrid>
      <w:tr w:rsidR="00CA7ABD" w14:paraId="48659933" w14:textId="77777777">
        <w:tc>
          <w:tcPr>
            <w:tcW w:w="0" w:type="auto"/>
            <w:shd w:val="clear" w:color="auto" w:fill="37474F"/>
          </w:tcPr>
          <w:p w14:paraId="7D459400" w14:textId="77777777" w:rsidR="00CA7ABD" w:rsidRDefault="00000000">
            <w:pPr>
              <w:rPr>
                <w:rFonts w:hint="eastAsia"/>
              </w:rPr>
            </w:pPr>
            <w:r>
              <w:rPr>
                <w:b/>
                <w:color w:val="FFFFFF"/>
                <w:sz w:val="19"/>
              </w:rPr>
              <w:t>Release</w:t>
            </w:r>
          </w:p>
        </w:tc>
        <w:tc>
          <w:tcPr>
            <w:tcW w:w="0" w:type="auto"/>
            <w:shd w:val="clear" w:color="auto" w:fill="37474F"/>
          </w:tcPr>
          <w:p w14:paraId="714BCF97" w14:textId="77777777" w:rsidR="00CA7ABD" w:rsidRDefault="00000000">
            <w:pPr>
              <w:rPr>
                <w:rFonts w:hint="eastAsia"/>
              </w:rPr>
            </w:pPr>
            <w:r>
              <w:rPr>
                <w:b/>
                <w:color w:val="FFFFFF"/>
                <w:sz w:val="19"/>
              </w:rPr>
              <w:t>Amount (approximate)</w:t>
            </w:r>
          </w:p>
        </w:tc>
        <w:tc>
          <w:tcPr>
            <w:tcW w:w="0" w:type="auto"/>
            <w:shd w:val="clear" w:color="auto" w:fill="37474F"/>
          </w:tcPr>
          <w:p w14:paraId="0467BCFC" w14:textId="77777777" w:rsidR="00CA7ABD" w:rsidRDefault="00000000">
            <w:pPr>
              <w:rPr>
                <w:rFonts w:hint="eastAsia"/>
              </w:rPr>
            </w:pPr>
            <w:r>
              <w:rPr>
                <w:b/>
                <w:color w:val="FFFFFF"/>
                <w:sz w:val="19"/>
              </w:rPr>
              <w:t>Trigger</w:t>
            </w:r>
          </w:p>
        </w:tc>
        <w:tc>
          <w:tcPr>
            <w:tcW w:w="0" w:type="auto"/>
            <w:shd w:val="clear" w:color="auto" w:fill="37474F"/>
          </w:tcPr>
          <w:p w14:paraId="1AC9BD08" w14:textId="77777777" w:rsidR="00CA7ABD" w:rsidRDefault="00000000">
            <w:pPr>
              <w:rPr>
                <w:rFonts w:hint="eastAsia"/>
              </w:rPr>
            </w:pPr>
            <w:r>
              <w:rPr>
                <w:b/>
                <w:color w:val="FFFFFF"/>
                <w:sz w:val="19"/>
              </w:rPr>
              <w:t>Channel</w:t>
            </w:r>
          </w:p>
        </w:tc>
      </w:tr>
      <w:tr w:rsidR="00CA7ABD" w14:paraId="5BA0C758" w14:textId="77777777">
        <w:tc>
          <w:tcPr>
            <w:tcW w:w="0" w:type="auto"/>
          </w:tcPr>
          <w:p w14:paraId="7CB30354" w14:textId="77777777" w:rsidR="00CA7ABD" w:rsidRDefault="00000000">
            <w:pPr>
              <w:rPr>
                <w:rFonts w:hint="eastAsia"/>
              </w:rPr>
            </w:pPr>
            <w:r>
              <w:rPr>
                <w:sz w:val="19"/>
              </w:rPr>
              <w:t>R-1</w:t>
            </w:r>
          </w:p>
        </w:tc>
        <w:tc>
          <w:tcPr>
            <w:tcW w:w="0" w:type="auto"/>
          </w:tcPr>
          <w:p w14:paraId="7A93AA7E" w14:textId="77777777" w:rsidR="00CA7ABD" w:rsidRDefault="00000000">
            <w:pPr>
              <w:rPr>
                <w:rFonts w:hint="eastAsia"/>
              </w:rPr>
            </w:pPr>
            <w:r>
              <w:rPr>
                <w:sz w:val="19"/>
              </w:rPr>
              <w:t>12 billion dollars</w:t>
            </w:r>
          </w:p>
        </w:tc>
        <w:tc>
          <w:tcPr>
            <w:tcW w:w="0" w:type="auto"/>
          </w:tcPr>
          <w:p w14:paraId="0E00A314" w14:textId="77777777" w:rsidR="00CA7ABD" w:rsidRDefault="00000000">
            <w:pPr>
              <w:rPr>
                <w:rFonts w:hint="eastAsia"/>
              </w:rPr>
            </w:pPr>
            <w:r>
              <w:rPr>
                <w:sz w:val="19"/>
              </w:rPr>
              <w:t>Delivered under the Memorandum; confirmed</w:t>
            </w:r>
          </w:p>
        </w:tc>
        <w:tc>
          <w:tcPr>
            <w:tcW w:w="0" w:type="auto"/>
          </w:tcPr>
          <w:p w14:paraId="497D011E" w14:textId="77777777" w:rsidR="00CA7ABD" w:rsidRDefault="00000000">
            <w:pPr>
              <w:rPr>
                <w:rFonts w:hint="eastAsia"/>
              </w:rPr>
            </w:pPr>
            <w:r>
              <w:rPr>
                <w:sz w:val="19"/>
              </w:rPr>
              <w:t>Recorded as Ledger opening entry</w:t>
            </w:r>
          </w:p>
        </w:tc>
      </w:tr>
      <w:tr w:rsidR="00CA7ABD" w14:paraId="2FF34BDD" w14:textId="77777777">
        <w:tc>
          <w:tcPr>
            <w:tcW w:w="0" w:type="auto"/>
            <w:shd w:val="clear" w:color="auto" w:fill="ECEFF1"/>
          </w:tcPr>
          <w:p w14:paraId="420C66F1" w14:textId="77777777" w:rsidR="00CA7ABD" w:rsidRDefault="00000000">
            <w:pPr>
              <w:rPr>
                <w:rFonts w:hint="eastAsia"/>
              </w:rPr>
            </w:pPr>
            <w:r>
              <w:rPr>
                <w:sz w:val="19"/>
              </w:rPr>
              <w:t>R-2</w:t>
            </w:r>
          </w:p>
        </w:tc>
        <w:tc>
          <w:tcPr>
            <w:tcW w:w="0" w:type="auto"/>
            <w:shd w:val="clear" w:color="auto" w:fill="ECEFF1"/>
          </w:tcPr>
          <w:p w14:paraId="70D5FB92" w14:textId="77777777" w:rsidR="00CA7ABD" w:rsidRDefault="00000000">
            <w:pPr>
              <w:rPr>
                <w:rFonts w:hint="eastAsia"/>
              </w:rPr>
            </w:pPr>
            <w:r>
              <w:rPr>
                <w:sz w:val="19"/>
              </w:rPr>
              <w:t>10 billion dollars</w:t>
            </w:r>
          </w:p>
        </w:tc>
        <w:tc>
          <w:tcPr>
            <w:tcW w:w="0" w:type="auto"/>
            <w:shd w:val="clear" w:color="auto" w:fill="ECEFF1"/>
          </w:tcPr>
          <w:p w14:paraId="5C210FF1" w14:textId="77777777" w:rsidR="00CA7ABD" w:rsidRDefault="00000000">
            <w:pPr>
              <w:rPr>
                <w:rFonts w:hint="eastAsia"/>
              </w:rPr>
            </w:pPr>
            <w:r>
              <w:rPr>
                <w:sz w:val="19"/>
              </w:rPr>
              <w:t>Inventory Day verified (Day 1 to 7)</w:t>
            </w:r>
          </w:p>
        </w:tc>
        <w:tc>
          <w:tcPr>
            <w:tcW w:w="0" w:type="auto"/>
            <w:shd w:val="clear" w:color="auto" w:fill="ECEFF1"/>
          </w:tcPr>
          <w:p w14:paraId="7B6D6CC9" w14:textId="77777777" w:rsidR="00CA7ABD" w:rsidRDefault="00000000">
            <w:pPr>
              <w:rPr>
                <w:rFonts w:hint="eastAsia"/>
              </w:rPr>
            </w:pPr>
            <w:r>
              <w:rPr>
                <w:sz w:val="19"/>
              </w:rPr>
              <w:t>Qatar Central Bank escrow, Pool A</w:t>
            </w:r>
          </w:p>
        </w:tc>
      </w:tr>
      <w:tr w:rsidR="00CA7ABD" w14:paraId="05C15FB2" w14:textId="77777777">
        <w:tc>
          <w:tcPr>
            <w:tcW w:w="0" w:type="auto"/>
          </w:tcPr>
          <w:p w14:paraId="23B2260B" w14:textId="77777777" w:rsidR="00CA7ABD" w:rsidRDefault="00000000">
            <w:pPr>
              <w:rPr>
                <w:rFonts w:hint="eastAsia"/>
              </w:rPr>
            </w:pPr>
            <w:r>
              <w:rPr>
                <w:sz w:val="19"/>
              </w:rPr>
              <w:t>R-3</w:t>
            </w:r>
          </w:p>
        </w:tc>
        <w:tc>
          <w:tcPr>
            <w:tcW w:w="0" w:type="auto"/>
          </w:tcPr>
          <w:p w14:paraId="046A35C9" w14:textId="77777777" w:rsidR="00CA7ABD" w:rsidRDefault="00000000">
            <w:pPr>
              <w:rPr>
                <w:rFonts w:hint="eastAsia"/>
              </w:rPr>
            </w:pPr>
            <w:r>
              <w:rPr>
                <w:sz w:val="19"/>
              </w:rPr>
              <w:t>8 billion dollars</w:t>
            </w:r>
          </w:p>
        </w:tc>
        <w:tc>
          <w:tcPr>
            <w:tcW w:w="0" w:type="auto"/>
          </w:tcPr>
          <w:p w14:paraId="799E25ED" w14:textId="77777777" w:rsidR="00CA7ABD" w:rsidRDefault="00000000">
            <w:pPr>
              <w:rPr>
                <w:rFonts w:hint="eastAsia"/>
              </w:rPr>
            </w:pPr>
            <w:r>
              <w:rPr>
                <w:sz w:val="19"/>
              </w:rPr>
              <w:t>Down-blending complete (Day 30)</w:t>
            </w:r>
          </w:p>
        </w:tc>
        <w:tc>
          <w:tcPr>
            <w:tcW w:w="0" w:type="auto"/>
          </w:tcPr>
          <w:p w14:paraId="4321E0FF" w14:textId="77777777" w:rsidR="00CA7ABD" w:rsidRDefault="00000000">
            <w:pPr>
              <w:rPr>
                <w:rFonts w:hint="eastAsia"/>
              </w:rPr>
            </w:pPr>
            <w:r>
              <w:rPr>
                <w:sz w:val="19"/>
              </w:rPr>
              <w:t>Pool A; agricultural priority-consideration window operational</w:t>
            </w:r>
          </w:p>
        </w:tc>
      </w:tr>
      <w:tr w:rsidR="00CA7ABD" w14:paraId="537C22E8" w14:textId="77777777">
        <w:tc>
          <w:tcPr>
            <w:tcW w:w="0" w:type="auto"/>
            <w:shd w:val="clear" w:color="auto" w:fill="ECEFF1"/>
          </w:tcPr>
          <w:p w14:paraId="6680E6F6" w14:textId="77777777" w:rsidR="00CA7ABD" w:rsidRDefault="00000000">
            <w:pPr>
              <w:rPr>
                <w:rFonts w:hint="eastAsia"/>
              </w:rPr>
            </w:pPr>
            <w:r>
              <w:rPr>
                <w:sz w:val="19"/>
              </w:rPr>
              <w:t>R-4</w:t>
            </w:r>
          </w:p>
        </w:tc>
        <w:tc>
          <w:tcPr>
            <w:tcW w:w="0" w:type="auto"/>
            <w:shd w:val="clear" w:color="auto" w:fill="ECEFF1"/>
          </w:tcPr>
          <w:p w14:paraId="7A294727" w14:textId="77777777" w:rsidR="00CA7ABD" w:rsidRDefault="00000000">
            <w:pPr>
              <w:rPr>
                <w:rFonts w:hint="eastAsia"/>
              </w:rPr>
            </w:pPr>
            <w:r>
              <w:rPr>
                <w:sz w:val="19"/>
              </w:rPr>
              <w:t>Remaining Pool A and Pool B balances</w:t>
            </w:r>
          </w:p>
        </w:tc>
        <w:tc>
          <w:tcPr>
            <w:tcW w:w="0" w:type="auto"/>
            <w:shd w:val="clear" w:color="auto" w:fill="ECEFF1"/>
          </w:tcPr>
          <w:p w14:paraId="1C9B9091" w14:textId="77777777" w:rsidR="00CA7ABD" w:rsidRDefault="00000000">
            <w:pPr>
              <w:rPr>
                <w:rFonts w:hint="eastAsia"/>
              </w:rPr>
            </w:pPr>
            <w:r>
              <w:rPr>
                <w:sz w:val="19"/>
              </w:rPr>
              <w:t>First clean Annex B quarterly certification (Day 90)</w:t>
            </w:r>
          </w:p>
        </w:tc>
        <w:tc>
          <w:tcPr>
            <w:tcW w:w="0" w:type="auto"/>
            <w:shd w:val="clear" w:color="auto" w:fill="ECEFF1"/>
          </w:tcPr>
          <w:p w14:paraId="1705C5A6" w14:textId="77777777" w:rsidR="00CA7ABD" w:rsidRDefault="00000000">
            <w:pPr>
              <w:rPr>
                <w:rFonts w:hint="eastAsia"/>
              </w:rPr>
            </w:pPr>
            <w:r>
              <w:rPr>
                <w:sz w:val="19"/>
              </w:rPr>
              <w:t>Full release; unrestricted use</w:t>
            </w:r>
          </w:p>
        </w:tc>
      </w:tr>
      <w:tr w:rsidR="00CA7ABD" w14:paraId="08405981" w14:textId="77777777">
        <w:tc>
          <w:tcPr>
            <w:tcW w:w="0" w:type="auto"/>
          </w:tcPr>
          <w:p w14:paraId="5C54018F" w14:textId="77777777" w:rsidR="00CA7ABD" w:rsidRDefault="00000000">
            <w:pPr>
              <w:rPr>
                <w:rFonts w:hint="eastAsia"/>
              </w:rPr>
            </w:pPr>
            <w:r>
              <w:rPr>
                <w:sz w:val="19"/>
              </w:rPr>
              <w:t>R-5</w:t>
            </w:r>
          </w:p>
        </w:tc>
        <w:tc>
          <w:tcPr>
            <w:tcW w:w="0" w:type="auto"/>
          </w:tcPr>
          <w:p w14:paraId="1DCCBEA4" w14:textId="77777777" w:rsidR="00CA7ABD" w:rsidRDefault="00000000">
            <w:pPr>
              <w:rPr>
                <w:rFonts w:hint="eastAsia"/>
              </w:rPr>
            </w:pPr>
            <w:r>
              <w:rPr>
                <w:sz w:val="19"/>
              </w:rPr>
              <w:t>Third-country holdings (approximately 11 billion dollars across multiple jurisdictions)</w:t>
            </w:r>
          </w:p>
        </w:tc>
        <w:tc>
          <w:tcPr>
            <w:tcW w:w="0" w:type="auto"/>
          </w:tcPr>
          <w:p w14:paraId="52BA5E70" w14:textId="77777777" w:rsidR="00CA7ABD" w:rsidRDefault="00000000">
            <w:pPr>
              <w:rPr>
                <w:rFonts w:hint="eastAsia"/>
              </w:rPr>
            </w:pPr>
            <w:r>
              <w:rPr>
                <w:sz w:val="19"/>
              </w:rPr>
              <w:t>Conversion agreements executed</w:t>
            </w:r>
          </w:p>
        </w:tc>
        <w:tc>
          <w:tcPr>
            <w:tcW w:w="0" w:type="auto"/>
          </w:tcPr>
          <w:p w14:paraId="52C5C5C1" w14:textId="77777777" w:rsidR="00CA7ABD" w:rsidRDefault="00000000">
            <w:pPr>
              <w:rPr>
                <w:rFonts w:hint="eastAsia"/>
              </w:rPr>
            </w:pPr>
            <w:r>
              <w:rPr>
                <w:sz w:val="19"/>
              </w:rPr>
              <w:t>Pool C frozen asset conversion into reconstruction contracts</w:t>
            </w:r>
          </w:p>
        </w:tc>
      </w:tr>
    </w:tbl>
    <w:p w14:paraId="27B65BEB" w14:textId="77777777" w:rsidR="00CA7ABD" w:rsidRDefault="00000000">
      <w:pPr>
        <w:rPr>
          <w:rFonts w:hint="eastAsia"/>
        </w:rPr>
      </w:pPr>
      <w:r>
        <w:t>C.2.1 All releases carry the no-clawback protection of Article 36.3. Released funds are irrevocable, and the framework architecture excludes re-freeze under every circumstance.</w:t>
      </w:r>
    </w:p>
    <w:p w14:paraId="19F106BD" w14:textId="77777777" w:rsidR="00CA7ABD" w:rsidRDefault="00000000">
      <w:pPr>
        <w:rPr>
          <w:rFonts w:hint="eastAsia"/>
        </w:rPr>
      </w:pPr>
      <w:r>
        <w:t>C.2.2 Comfort letters. The United States Treasury issues standing comfort letters to correspondent banks, insurers, and carriers for all activity consistent with this Treaty, and updates them within 7 days of any tranche event.</w:t>
      </w:r>
    </w:p>
    <w:p w14:paraId="4E9C3542" w14:textId="77777777" w:rsidR="00CA7ABD" w:rsidRDefault="00CA7ABD">
      <w:pPr>
        <w:pageBreakBefore/>
        <w:rPr>
          <w:rFonts w:hint="eastAsia"/>
        </w:rPr>
      </w:pPr>
    </w:p>
    <w:p w14:paraId="59B41272" w14:textId="77777777" w:rsidR="00CA7ABD" w:rsidRDefault="00000000">
      <w:pPr>
        <w:pStyle w:val="Heading1"/>
        <w:rPr>
          <w:rFonts w:hint="eastAsia"/>
        </w:rPr>
      </w:pPr>
      <w:r>
        <w:t>ANNEX D: THE HORMUZ MARITIME STEWARDSHIP FUND CHARTER</w:t>
      </w:r>
    </w:p>
    <w:p w14:paraId="6C3487B6" w14:textId="77777777" w:rsidR="00CA7ABD" w:rsidRDefault="00000000">
      <w:pPr>
        <w:pStyle w:val="Heading2"/>
        <w:rPr>
          <w:rFonts w:hint="eastAsia"/>
        </w:rPr>
      </w:pPr>
      <w:r>
        <w:t>Section D.1: Establishment and Governance</w:t>
      </w:r>
    </w:p>
    <w:p w14:paraId="36474B53" w14:textId="77777777" w:rsidR="00CA7ABD" w:rsidRDefault="00000000">
      <w:pPr>
        <w:rPr>
          <w:rFonts w:hint="eastAsia"/>
        </w:rPr>
      </w:pPr>
      <w:r>
        <w:t>D.1.1 The Hormuz Maritime Stewardship Fund establishes under Article 29 as a fund of the Joint Hormuz Authority, with the Qatar Central Bank as financial agent. Governance: the Fund Board comprises the two coastal states (voting), the Authority Secretary (non-voting), and two contributor-elected seats. Decisions adopt by consensus of the voting seats, consistent with the Twin-Key Rule.</w:t>
      </w:r>
    </w:p>
    <w:p w14:paraId="682192E1" w14:textId="77777777" w:rsidR="00CA7ABD" w:rsidRDefault="00000000">
      <w:pPr>
        <w:rPr>
          <w:rFonts w:hint="eastAsia"/>
        </w:rPr>
      </w:pPr>
      <w:r>
        <w:t>D.1.2 Purposes: navigation aids and their maintenance; the Shared Weather and Hazard Service; environmental protection and pollution response capacity; search and rescue capability; the mine-action reserve; the data service; and the operating budget of the Authority.</w:t>
      </w:r>
    </w:p>
    <w:p w14:paraId="6B0CB8DF" w14:textId="77777777" w:rsidR="00CA7ABD" w:rsidRDefault="00000000">
      <w:pPr>
        <w:pStyle w:val="Heading2"/>
        <w:rPr>
          <w:rFonts w:hint="eastAsia"/>
        </w:rPr>
      </w:pPr>
      <w:r>
        <w:t>Section D.2: Sources and the Tri-Channel Funding System</w:t>
      </w:r>
    </w:p>
    <w:p w14:paraId="621D3BDF" w14:textId="77777777" w:rsidR="00CA7ABD" w:rsidRDefault="00000000">
      <w:pPr>
        <w:rPr>
          <w:rFonts w:hint="eastAsia"/>
        </w:rPr>
      </w:pPr>
      <w:r>
        <w:t>D.2.1 Channel One: voluntary state contributions, with indicative shares published annually. Channel Two: industry contributions through classification societies, P&amp;I clubs, and fleet subscriptions to the Route Assurance Data Service. Channel Three: the insurance-channel fraction of Article 30.2 during the normalization period.</w:t>
      </w:r>
    </w:p>
    <w:p w14:paraId="168EB367" w14:textId="77777777" w:rsidR="00CA7ABD" w:rsidRDefault="00000000">
      <w:pPr>
        <w:rPr>
          <w:rFonts w:hint="eastAsia"/>
        </w:rPr>
      </w:pPr>
      <w:r>
        <w:t>D.2.2 The sanctions firewall applies: contributions and disbursements under this Annex operate under the OFAC general license architecture of Annex C, and no contribution constitutes a payment to any government as a condition of passage.</w:t>
      </w:r>
    </w:p>
    <w:p w14:paraId="7B8544A4" w14:textId="77777777" w:rsidR="00CA7ABD" w:rsidRDefault="00000000">
      <w:pPr>
        <w:rPr>
          <w:rFonts w:hint="eastAsia"/>
        </w:rPr>
      </w:pPr>
      <w:r>
        <w:t>D.2.3 Disbursement shares: stewardship services delivered by each coastal state reimburse from the Fund at cost-related rates the Fund Board publishes, per the verified services accounting of the Registry. The Fund's accounts audit annually by an independent firm and publish on the transparency dashboard.</w:t>
      </w:r>
    </w:p>
    <w:p w14:paraId="42A739B2" w14:textId="77777777" w:rsidR="00CA7ABD" w:rsidRDefault="00000000">
      <w:pPr>
        <w:pStyle w:val="Heading2"/>
        <w:rPr>
          <w:rFonts w:hint="eastAsia"/>
        </w:rPr>
      </w:pPr>
      <w:r>
        <w:t>Section D.3: The Commercial Parameters</w:t>
      </w:r>
    </w:p>
    <w:p w14:paraId="245D2DB8" w14:textId="77777777" w:rsidR="00CA7ABD" w:rsidRDefault="00000000">
      <w:pPr>
        <w:rPr>
          <w:rFonts w:hint="eastAsia"/>
        </w:rPr>
      </w:pPr>
      <w:r>
        <w:t>D.3.1 The Heavy-User Cap: no single operator's annual service charges exceed the cap the Fund Board fixes annually, set at a level guaranteeing predictability for the largest tanker and gas fleets.</w:t>
      </w:r>
    </w:p>
    <w:p w14:paraId="25AFAD55" w14:textId="77777777" w:rsidR="00CA7ABD" w:rsidRDefault="00000000">
      <w:pPr>
        <w:rPr>
          <w:rFonts w:hint="eastAsia"/>
        </w:rPr>
      </w:pPr>
      <w:r>
        <w:t>D.3.2 The Green Discount: vessels meeting the emissions standard of the Fund Board's schedule receive a sliding reduction on catalog services, operationalizing the environmental mandate as a commercial incentive.</w:t>
      </w:r>
    </w:p>
    <w:p w14:paraId="5F996646" w14:textId="77777777" w:rsidR="00CA7ABD" w:rsidRDefault="00000000">
      <w:pPr>
        <w:rPr>
          <w:rFonts w:hint="eastAsia"/>
        </w:rPr>
      </w:pPr>
      <w:r>
        <w:t>D.3.3 The Confidence Trigger of Article 30.1 and the Boredom Standard of Article 31.3 govern the annual review of this Annex.</w:t>
      </w:r>
    </w:p>
    <w:p w14:paraId="1AF587D0" w14:textId="77777777" w:rsidR="00CA7ABD" w:rsidRDefault="00000000">
      <w:pPr>
        <w:pStyle w:val="Heading2"/>
        <w:rPr>
          <w:rFonts w:hint="eastAsia"/>
        </w:rPr>
      </w:pPr>
      <w:r>
        <w:t>Section D.4: The Legacy Memorandum</w:t>
      </w:r>
    </w:p>
    <w:p w14:paraId="5867FE1E" w14:textId="77777777" w:rsidR="00CA7ABD" w:rsidRDefault="00000000">
      <w:pPr>
        <w:rPr>
          <w:rFonts w:hint="eastAsia"/>
        </w:rPr>
      </w:pPr>
      <w:r>
        <w:t>D.4.1 This Section records the historical context of the fees question: the wartime closure, the temporary toll-free window of the Memorandum, the interim coastal-state corridor arrangement of 2026, and the voluntary-fund models of the cooperative straits. The record acknowledges the political sensitivity of the question, memorializes the confidence-building measures that resolved it, and preserves the institutional memory of the settlement for the review organs of this Accord.</w:t>
      </w:r>
    </w:p>
    <w:p w14:paraId="288CB0A6" w14:textId="77777777" w:rsidR="00CA7ABD" w:rsidRDefault="00CA7ABD">
      <w:pPr>
        <w:pageBreakBefore/>
        <w:rPr>
          <w:rFonts w:hint="eastAsia"/>
        </w:rPr>
      </w:pPr>
    </w:p>
    <w:p w14:paraId="38618B6D" w14:textId="77777777" w:rsidR="00CA7ABD" w:rsidRDefault="00000000">
      <w:pPr>
        <w:pStyle w:val="Heading1"/>
        <w:rPr>
          <w:rFonts w:hint="eastAsia"/>
        </w:rPr>
      </w:pPr>
      <w:r>
        <w:t>ANNEX F: ACCESSION, ARBITRATION, AND INSTITUTIONAL INSTRUMENTS</w:t>
      </w:r>
    </w:p>
    <w:p w14:paraId="112E9424" w14:textId="77777777" w:rsidR="00CA7ABD" w:rsidRDefault="00000000">
      <w:pPr>
        <w:pStyle w:val="Heading2"/>
        <w:rPr>
          <w:rFonts w:hint="eastAsia"/>
        </w:rPr>
      </w:pPr>
      <w:r>
        <w:t>Section F.1: The Accession Protocol</w:t>
      </w:r>
    </w:p>
    <w:p w14:paraId="42F5DDC1" w14:textId="77777777" w:rsidR="00CA7ABD" w:rsidRDefault="00000000">
      <w:pPr>
        <w:rPr>
          <w:rFonts w:hint="eastAsia"/>
        </w:rPr>
      </w:pPr>
      <w:r>
        <w:t>F.1.1 An acceding state or institution executes the Accession Instrument in the form the Depositary publishes, deposits it with the Depositary, and assumes the obligations of this Accord corresponding to its participation tier. Fast-track accession under Article 64.2 takes effect upon deposit.</w:t>
      </w:r>
    </w:p>
    <w:p w14:paraId="6D490330" w14:textId="77777777" w:rsidR="00CA7ABD" w:rsidRDefault="00000000">
      <w:pPr>
        <w:rPr>
          <w:rFonts w:hint="eastAsia"/>
        </w:rPr>
      </w:pPr>
      <w:r>
        <w:t>F.1.2 Participation tiers: Coastal Principal (Iran, Oman); Principal Party (Iran, the United States); Facilitating Party (Qatar, Pakistan, Switzerland); Regional Participant (acceding Gulf states and Iraq); Institutional Participant (IAEA, IMO, World Bank, United Nations bodies within mandate); Observer (other states and the Stakeholder Panel).</w:t>
      </w:r>
    </w:p>
    <w:p w14:paraId="250C2C9E" w14:textId="77777777" w:rsidR="00CA7ABD" w:rsidRDefault="00000000">
      <w:pPr>
        <w:rPr>
          <w:rFonts w:hint="eastAsia"/>
        </w:rPr>
      </w:pPr>
      <w:r>
        <w:t>F.1.3 The Stakeholder Panel: shipping industry, insurance market, and classification society representatives, twelve seats, selected through the industry bodies the Authority recognizes, holding the Confidence Trigger function of Article 30.1 and the consultative functions of Part VI.</w:t>
      </w:r>
    </w:p>
    <w:p w14:paraId="5F187DB1" w14:textId="77777777" w:rsidR="00CA7ABD" w:rsidRDefault="00000000">
      <w:pPr>
        <w:pStyle w:val="Heading2"/>
        <w:rPr>
          <w:rFonts w:hint="eastAsia"/>
        </w:rPr>
      </w:pPr>
      <w:r>
        <w:t>Section F.2: The Treaty-Level Arbitral Tribunal</w:t>
      </w:r>
    </w:p>
    <w:p w14:paraId="499AD667" w14:textId="77777777" w:rsidR="00CA7ABD" w:rsidRDefault="00000000">
      <w:pPr>
        <w:rPr>
          <w:rFonts w:hint="eastAsia"/>
        </w:rPr>
      </w:pPr>
      <w:r>
        <w:t>F.2.1 Composition: three arbitrators; each Principal Party appoints one; the two appointed members appoint the presiding member within 30 days, and the Swiss Technical Facilitator appoints the presiding member upon default. Seat: The Hague. Language: English, with interpretation into Farsi and Arabic upon request.</w:t>
      </w:r>
    </w:p>
    <w:p w14:paraId="542004DC" w14:textId="77777777" w:rsidR="00CA7ABD" w:rsidRDefault="00000000">
      <w:pPr>
        <w:rPr>
          <w:rFonts w:hint="eastAsia"/>
        </w:rPr>
      </w:pPr>
      <w:r>
        <w:t>F.2.2 Procedure: written submissions on 60-day cycles; hearing at the request of either party or the tribunal; award within 180 days of constitution; awards final and binding. The tribunal decides on the basis of this Accord and international law, and its jurisdiction excludes the Red Lines Register, which no body interprets against the registering Party.</w:t>
      </w:r>
    </w:p>
    <w:p w14:paraId="6B6744C9" w14:textId="77777777" w:rsidR="00CA7ABD" w:rsidRDefault="00000000">
      <w:pPr>
        <w:rPr>
          <w:rFonts w:hint="eastAsia"/>
        </w:rPr>
      </w:pPr>
      <w:r>
        <w:t>F.2.3 Performance continues during arbitration per Article 60.2. Awards enforce through the organs of this Accord and, where applicable, the New York Convention.</w:t>
      </w:r>
    </w:p>
    <w:p w14:paraId="73C6BD31" w14:textId="77777777" w:rsidR="00CA7ABD" w:rsidRDefault="00000000">
      <w:pPr>
        <w:pStyle w:val="Heading2"/>
        <w:rPr>
          <w:rFonts w:hint="eastAsia"/>
        </w:rPr>
      </w:pPr>
      <w:r>
        <w:t>Section F.3: Institutional Instruments</w:t>
      </w:r>
    </w:p>
    <w:p w14:paraId="2A54E97A" w14:textId="77777777" w:rsidR="00CA7ABD" w:rsidRDefault="00000000">
      <w:pPr>
        <w:rPr>
          <w:rFonts w:hint="eastAsia"/>
        </w:rPr>
      </w:pPr>
      <w:r>
        <w:t>F.3.1 The IAEA instrument: a structured agreement recording the verification mandate of Part V and Annex B, executed between the Agency and the JIC within 30 days of Day Zero.</w:t>
      </w:r>
    </w:p>
    <w:p w14:paraId="168DBDB9" w14:textId="77777777" w:rsidR="00CA7ABD" w:rsidRDefault="00000000">
      <w:pPr>
        <w:rPr>
          <w:rFonts w:hint="eastAsia"/>
        </w:rPr>
      </w:pPr>
      <w:r>
        <w:t>F.3.2 The IMO instrument: a routeing and certification memorandum recording the corridor certification functions of Part VI and Annex A.</w:t>
      </w:r>
    </w:p>
    <w:p w14:paraId="56B411DC" w14:textId="77777777" w:rsidR="00CA7ABD" w:rsidRDefault="00000000">
      <w:pPr>
        <w:rPr>
          <w:rFonts w:hint="eastAsia"/>
        </w:rPr>
      </w:pPr>
      <w:r>
        <w:t>F.3.3 The World Bank instrument: the fiduciary administration memorandum recording the functions of Annex RDF.</w:t>
      </w:r>
    </w:p>
    <w:p w14:paraId="551E12D7" w14:textId="77777777" w:rsidR="00CA7ABD" w:rsidRDefault="00000000">
      <w:pPr>
        <w:rPr>
          <w:rFonts w:hint="eastAsia"/>
        </w:rPr>
      </w:pPr>
      <w:r>
        <w:t>F.3.4 The escrow instruments: the escrow agreements among the Qatar Central Bank, the JIC, and the Swiss Technical Facilitator, establishing the Neutral Escrow, the Verification Bond sub-account, the Political Discretion Fund sub-account, and the Contingency Reserve.</w:t>
      </w:r>
    </w:p>
    <w:p w14:paraId="7DC5ADD9" w14:textId="77777777" w:rsidR="00CA7ABD" w:rsidRDefault="00CA7ABD">
      <w:pPr>
        <w:pageBreakBefore/>
        <w:rPr>
          <w:rFonts w:hint="eastAsia"/>
        </w:rPr>
      </w:pPr>
    </w:p>
    <w:p w14:paraId="23AB65AE" w14:textId="77777777" w:rsidR="00CA7ABD" w:rsidRDefault="00000000">
      <w:pPr>
        <w:pStyle w:val="Heading1"/>
        <w:rPr>
          <w:rFonts w:hint="eastAsia"/>
        </w:rPr>
      </w:pPr>
      <w:r>
        <w:t>ANNEX G: THE RED LINES REGISTER (FULL TEXT)</w:t>
      </w:r>
    </w:p>
    <w:p w14:paraId="016883D4" w14:textId="77777777" w:rsidR="00CA7ABD" w:rsidRDefault="00000000">
      <w:pPr>
        <w:pStyle w:val="Heading2"/>
        <w:rPr>
          <w:rFonts w:hint="eastAsia"/>
        </w:rPr>
      </w:pPr>
      <w:r>
        <w:t>Section G.1: Registered Red Lines of the United States of America</w:t>
      </w:r>
    </w:p>
    <w:p w14:paraId="219617A9" w14:textId="77777777" w:rsidR="00CA7ABD" w:rsidRDefault="00000000">
      <w:pPr>
        <w:rPr>
          <w:rFonts w:hint="eastAsia"/>
        </w:rPr>
      </w:pPr>
      <w:r>
        <w:t>US-1: Iran neither develops, acquires, manufactures, stockpiles, nor possesses a nuclear weapon or other nuclear explosive device, and no pathway to a nuclear weapon survives this Accord. Registered as existential.</w:t>
      </w:r>
    </w:p>
    <w:p w14:paraId="1616785A" w14:textId="77777777" w:rsidR="00CA7ABD" w:rsidRDefault="00000000">
      <w:pPr>
        <w:rPr>
          <w:rFonts w:hint="eastAsia"/>
        </w:rPr>
      </w:pPr>
      <w:r>
        <w:t>US-2: The Strait of Hormuz operates without tolls, charges, fees, dues, or any mandatory payment as a condition of passage, in both directions, for all vessels, permanently, without sunset or exception. Registered as existential.</w:t>
      </w:r>
    </w:p>
    <w:p w14:paraId="7713DE62" w14:textId="77777777" w:rsidR="00CA7ABD" w:rsidRDefault="00000000">
      <w:pPr>
        <w:rPr>
          <w:rFonts w:hint="eastAsia"/>
        </w:rPr>
      </w:pPr>
      <w:r>
        <w:t>US-3: No nuclear-related sanction terminates except through the performance-based schedule of this Accord; compliance failures reactivate suspended measures exclusively through the proportionate engine of Layer Two. Registered as existential.</w:t>
      </w:r>
    </w:p>
    <w:p w14:paraId="50475B4F" w14:textId="77777777" w:rsidR="00CA7ABD" w:rsidRDefault="00000000">
      <w:pPr>
        <w:rPr>
          <w:rFonts w:hint="eastAsia"/>
        </w:rPr>
      </w:pPr>
      <w:r>
        <w:t>US-4: The security of regional allies of the United States, including Israel, remains outside the bargaining inventory of this Accord; regional fronts settle through the guarantor structure of Part XI. Registered as existential.</w:t>
      </w:r>
    </w:p>
    <w:p w14:paraId="5C86D81D" w14:textId="77777777" w:rsidR="00CA7ABD" w:rsidRDefault="00000000">
      <w:pPr>
        <w:rPr>
          <w:rFonts w:hint="eastAsia"/>
        </w:rPr>
      </w:pPr>
      <w:r>
        <w:t>US-5: No payment flows from the United States to Iran in any form labeled reparations, compensation, or damages. Registered as existential.</w:t>
      </w:r>
    </w:p>
    <w:p w14:paraId="3C1DB863" w14:textId="77777777" w:rsidR="00CA7ABD" w:rsidRDefault="00000000">
      <w:pPr>
        <w:rPr>
          <w:rFonts w:hint="eastAsia"/>
        </w:rPr>
      </w:pPr>
      <w:r>
        <w:t>US-6: No direct United States government cash transfers to the Iranian state occur under the reconstruction architecture; United States participation remains technical, regulatory, diplomatic, and private-sector. Registered as a binding constraint.</w:t>
      </w:r>
    </w:p>
    <w:p w14:paraId="5B377E5D" w14:textId="77777777" w:rsidR="00CA7ABD" w:rsidRDefault="00000000">
      <w:pPr>
        <w:pStyle w:val="Heading2"/>
        <w:rPr>
          <w:rFonts w:hint="eastAsia"/>
        </w:rPr>
      </w:pPr>
      <w:r>
        <w:t>Section G.2: Registered Red Lines of the Islamic Republic of Iran</w:t>
      </w:r>
    </w:p>
    <w:p w14:paraId="7AF78BCD" w14:textId="77777777" w:rsidR="00CA7ABD" w:rsidRDefault="00000000">
      <w:pPr>
        <w:rPr>
          <w:rFonts w:hint="eastAsia"/>
        </w:rPr>
      </w:pPr>
      <w:r>
        <w:t>IR-1: Iran retains the inalienable right to the peaceful use of nuclear energy, including domestic enrichment within the permanent caps of Part V; the framework architecture never orders the total dismantlement of the Iranian nuclear program. Registered as existential.</w:t>
      </w:r>
    </w:p>
    <w:p w14:paraId="05BB2565" w14:textId="77777777" w:rsidR="00CA7ABD" w:rsidRDefault="00000000">
      <w:pPr>
        <w:rPr>
          <w:rFonts w:hint="eastAsia"/>
        </w:rPr>
      </w:pPr>
      <w:r>
        <w:t>IR-2: Enriched material remains on Iranian territory; disposition executes on site under international supervision; the framework architecture excludes export or surrender of material abroad. Registered as existential.</w:t>
      </w:r>
    </w:p>
    <w:p w14:paraId="77965926" w14:textId="77777777" w:rsidR="00CA7ABD" w:rsidRDefault="00000000">
      <w:pPr>
        <w:rPr>
          <w:rFonts w:hint="eastAsia"/>
        </w:rPr>
      </w:pPr>
      <w:r>
        <w:t>IR-3: The sovereignty, territorial integrity, constitutional order, and political system of the Islamic Republic stand outside the scope of this Accord; the No Regime Change Objective binds as law. Registered as existential.</w:t>
      </w:r>
    </w:p>
    <w:p w14:paraId="5DE6EF41" w14:textId="77777777" w:rsidR="00CA7ABD" w:rsidRDefault="00000000">
      <w:pPr>
        <w:rPr>
          <w:rFonts w:hint="eastAsia"/>
        </w:rPr>
      </w:pPr>
      <w:r>
        <w:t>IR-4: Iran holds a recognized, institutionalized coastal-state role in the administration of the Strait of Hormuz; the post-war order does not restore the pre-war status quo without that recognition. Registered as existential.</w:t>
      </w:r>
    </w:p>
    <w:p w14:paraId="7F75728A" w14:textId="77777777" w:rsidR="00CA7ABD" w:rsidRDefault="00000000">
      <w:pPr>
        <w:rPr>
          <w:rFonts w:hint="eastAsia"/>
        </w:rPr>
      </w:pPr>
      <w:r>
        <w:t>IR-5: All sanctions within scope terminate on the binding schedule; all frozen assets release in full; the reconstruction architecture operates at the scale the Memorandum contemplates. Registered as existential.</w:t>
      </w:r>
    </w:p>
    <w:p w14:paraId="57B827D8" w14:textId="77777777" w:rsidR="00CA7ABD" w:rsidRDefault="00000000">
      <w:pPr>
        <w:rPr>
          <w:rFonts w:hint="eastAsia"/>
        </w:rPr>
      </w:pPr>
      <w:r>
        <w:t>IR-6: The security of the Iranian homeland, its coastal approaches, and its airspace remains free of foreign military enforcement presence; security functions within the Governance Area rest with the coastal states and the joint civilian institutions. Registered as existential.</w:t>
      </w:r>
    </w:p>
    <w:p w14:paraId="4EDD724B" w14:textId="77777777" w:rsidR="00CA7ABD" w:rsidRDefault="00000000">
      <w:pPr>
        <w:pStyle w:val="Heading2"/>
        <w:rPr>
          <w:rFonts w:hint="eastAsia"/>
        </w:rPr>
      </w:pPr>
      <w:r>
        <w:t>Section G.3: Registered Red Lines of the Sultanate of Oman</w:t>
      </w:r>
    </w:p>
    <w:p w14:paraId="20768582" w14:textId="77777777" w:rsidR="00CA7ABD" w:rsidRDefault="00000000">
      <w:pPr>
        <w:rPr>
          <w:rFonts w:hint="eastAsia"/>
        </w:rPr>
      </w:pPr>
      <w:r>
        <w:t>OM-1: The southern corridor operates under Omani administration within Omani waters; Omani sovereignty and neutrality stand unimpaired. Registered as existential.</w:t>
      </w:r>
    </w:p>
    <w:p w14:paraId="7DEC9308" w14:textId="77777777" w:rsidR="00CA7ABD" w:rsidRDefault="00000000">
      <w:pPr>
        <w:rPr>
          <w:rFonts w:hint="eastAsia"/>
        </w:rPr>
      </w:pPr>
      <w:r>
        <w:t>OM-2: No arrangement militarizes Omani territory or imposes upon Oman any obligation to host foreign forces. Registered as existential.</w:t>
      </w:r>
    </w:p>
    <w:p w14:paraId="77D18CB1" w14:textId="77777777" w:rsidR="00CA7ABD" w:rsidRDefault="00000000">
      <w:pPr>
        <w:pStyle w:val="Heading2"/>
        <w:rPr>
          <w:rFonts w:hint="eastAsia"/>
        </w:rPr>
      </w:pPr>
      <w:r>
        <w:t>Section G.4: Registered Red Lines of the Facilitating Parties</w:t>
      </w:r>
    </w:p>
    <w:p w14:paraId="3D0F6CFE" w14:textId="77777777" w:rsidR="00CA7ABD" w:rsidRDefault="00000000">
      <w:pPr>
        <w:rPr>
          <w:rFonts w:hint="eastAsia"/>
        </w:rPr>
      </w:pPr>
      <w:r>
        <w:t>QA-1 (Qatar): The escrow administration operates with technical integrity and neutrality; no Party instructs the Escrow Agent outside the instruments of this Accord.</w:t>
      </w:r>
    </w:p>
    <w:p w14:paraId="13D52E82" w14:textId="77777777" w:rsidR="00CA7ABD" w:rsidRDefault="00000000">
      <w:pPr>
        <w:rPr>
          <w:rFonts w:hint="eastAsia"/>
        </w:rPr>
      </w:pPr>
      <w:r>
        <w:t>PK-1 (Pakistan): The depositary functions operate with neutrality; the Islamabad channel remains open to all Parties on equal terms.</w:t>
      </w:r>
    </w:p>
    <w:p w14:paraId="7465E9B8" w14:textId="77777777" w:rsidR="00CA7ABD" w:rsidRDefault="00000000">
      <w:pPr>
        <w:rPr>
          <w:rFonts w:hint="eastAsia"/>
        </w:rPr>
      </w:pPr>
      <w:r>
        <w:t>CH-1 (Switzerland): The technical facilitation, expert pool, and audit functions operate free of political instruction from any Party.</w:t>
      </w:r>
    </w:p>
    <w:p w14:paraId="04C43667" w14:textId="77777777" w:rsidR="00CA7ABD" w:rsidRDefault="00000000">
      <w:pPr>
        <w:pStyle w:val="Heading2"/>
        <w:rPr>
          <w:rFonts w:hint="eastAsia"/>
        </w:rPr>
      </w:pPr>
      <w:r>
        <w:t>Section G.5: The Perimeter Test Procedure</w:t>
      </w:r>
    </w:p>
    <w:p w14:paraId="7667B8F3" w14:textId="77777777" w:rsidR="00CA7ABD" w:rsidRDefault="00000000">
      <w:pPr>
        <w:rPr>
          <w:rFonts w:hint="eastAsia"/>
        </w:rPr>
      </w:pPr>
      <w:r>
        <w:t>G.5.1 Every proposal, interpretation, amendment, and enforcement action passes the Perimeter Test before adoption: the JIC secretariat checks the action against every line of this Register and issues a perimeter certificate or a perimeter return with a written statement of the line crossed. A perimeter return suspends the action automatically.</w:t>
      </w:r>
    </w:p>
    <w:p w14:paraId="042F3093" w14:textId="77777777" w:rsidR="00CA7ABD" w:rsidRDefault="00000000">
      <w:pPr>
        <w:rPr>
          <w:rFonts w:hint="eastAsia"/>
        </w:rPr>
      </w:pPr>
      <w:r>
        <w:t>G.5.2 No trading of Red Lines. No organ counts a Red Line as negotiable inventory, and no dispute outcome, arbitration award, or political judgment crosses a Red Line. A purported act crossing a Red Line is void ab initio within the framework.</w:t>
      </w:r>
    </w:p>
    <w:p w14:paraId="21673944" w14:textId="77777777" w:rsidR="00CA7ABD" w:rsidRDefault="00000000">
      <w:pPr>
        <w:rPr>
          <w:rFonts w:hint="eastAsia"/>
        </w:rPr>
      </w:pPr>
      <w:r>
        <w:t>G.5.3 Red Line Consultation operates per the procedure of the Layer Zero register: 72-hour convening, suspension pending consultation, 14-day conclusion, three outcomes (withdrawal, modification within the perimeter, referral to the Guarantor Matrix).</w:t>
      </w:r>
    </w:p>
    <w:p w14:paraId="100CB295" w14:textId="77777777" w:rsidR="00CA7ABD" w:rsidRDefault="00CA7ABD">
      <w:pPr>
        <w:pageBreakBefore/>
        <w:rPr>
          <w:rFonts w:hint="eastAsia"/>
        </w:rPr>
      </w:pPr>
    </w:p>
    <w:p w14:paraId="522BBF8A" w14:textId="77777777" w:rsidR="00CA7ABD" w:rsidRDefault="00000000">
      <w:pPr>
        <w:pStyle w:val="Heading1"/>
        <w:rPr>
          <w:rFonts w:hint="eastAsia"/>
        </w:rPr>
      </w:pPr>
      <w:r>
        <w:t>SIGNATURE AND EXECUTION</w:t>
      </w:r>
    </w:p>
    <w:p w14:paraId="736000EC" w14:textId="77777777" w:rsidR="00CA7ABD" w:rsidRDefault="00000000">
      <w:pPr>
        <w:rPr>
          <w:rFonts w:hint="eastAsia"/>
        </w:rPr>
      </w:pPr>
      <w:r>
        <w:t>In witness whereof, the undersigned, duly authorized by their respective governments and institutions, execute this Accord, in triplicate in the English, Farsi, and Arabic languages, each text equally authoritative. Signature executes electronically or in person at the election of each signatory, each manner carrying identical legal force.</w:t>
      </w:r>
    </w:p>
    <w:p w14:paraId="45105E3D" w14:textId="77777777" w:rsidR="00CA7ABD" w:rsidRDefault="00000000">
      <w:pPr>
        <w:rPr>
          <w:rFonts w:hint="eastAsia"/>
        </w:rPr>
      </w:pPr>
      <w:r>
        <w:t>Done at Islamabad, this ____ day of ____________, 2026.</w:t>
      </w:r>
    </w:p>
    <w:tbl>
      <w:tblPr>
        <w:tblW w:w="5000" w:type="pct"/>
        <w:tblInd w:w="-8"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4548"/>
        <w:gridCol w:w="4678"/>
      </w:tblGrid>
      <w:tr w:rsidR="00CA7ABD" w14:paraId="212A3BFE" w14:textId="77777777">
        <w:tc>
          <w:tcPr>
            <w:tcW w:w="0" w:type="auto"/>
            <w:shd w:val="clear" w:color="auto" w:fill="37474F"/>
          </w:tcPr>
          <w:p w14:paraId="1FFC116B" w14:textId="77777777" w:rsidR="00CA7ABD" w:rsidRDefault="00000000">
            <w:pPr>
              <w:rPr>
                <w:rFonts w:hint="eastAsia"/>
              </w:rPr>
            </w:pPr>
            <w:r>
              <w:rPr>
                <w:b/>
                <w:color w:val="FFFFFF"/>
                <w:sz w:val="19"/>
              </w:rPr>
              <w:t>For the Islamic Republic of Iran</w:t>
            </w:r>
          </w:p>
        </w:tc>
        <w:tc>
          <w:tcPr>
            <w:tcW w:w="0" w:type="auto"/>
            <w:shd w:val="clear" w:color="auto" w:fill="37474F"/>
          </w:tcPr>
          <w:p w14:paraId="243505BF" w14:textId="77777777" w:rsidR="00CA7ABD" w:rsidRDefault="00000000">
            <w:pPr>
              <w:rPr>
                <w:rFonts w:hint="eastAsia"/>
              </w:rPr>
            </w:pPr>
            <w:r>
              <w:rPr>
                <w:b/>
                <w:color w:val="FFFFFF"/>
                <w:sz w:val="19"/>
              </w:rPr>
              <w:t>For the United States of America</w:t>
            </w:r>
          </w:p>
        </w:tc>
      </w:tr>
      <w:tr w:rsidR="00CA7ABD" w14:paraId="79287847" w14:textId="77777777">
        <w:tc>
          <w:tcPr>
            <w:tcW w:w="0" w:type="auto"/>
          </w:tcPr>
          <w:p w14:paraId="6C4C3D50" w14:textId="77777777" w:rsidR="00CA7ABD" w:rsidRDefault="00000000">
            <w:pPr>
              <w:rPr>
                <w:rFonts w:hint="eastAsia"/>
              </w:rPr>
            </w:pPr>
            <w:r>
              <w:rPr>
                <w:sz w:val="19"/>
              </w:rPr>
              <w:t>Name: ________________________</w:t>
            </w:r>
          </w:p>
        </w:tc>
        <w:tc>
          <w:tcPr>
            <w:tcW w:w="0" w:type="auto"/>
          </w:tcPr>
          <w:p w14:paraId="43D90F30" w14:textId="77777777" w:rsidR="00CA7ABD" w:rsidRDefault="00000000">
            <w:pPr>
              <w:rPr>
                <w:rFonts w:hint="eastAsia"/>
              </w:rPr>
            </w:pPr>
            <w:r>
              <w:rPr>
                <w:sz w:val="19"/>
              </w:rPr>
              <w:t>Name: ________________________</w:t>
            </w:r>
          </w:p>
        </w:tc>
      </w:tr>
      <w:tr w:rsidR="00CA7ABD" w14:paraId="3750DA82" w14:textId="77777777">
        <w:tc>
          <w:tcPr>
            <w:tcW w:w="0" w:type="auto"/>
            <w:shd w:val="clear" w:color="auto" w:fill="ECEFF1"/>
          </w:tcPr>
          <w:p w14:paraId="209B45D0" w14:textId="77777777" w:rsidR="00CA7ABD" w:rsidRDefault="00000000">
            <w:pPr>
              <w:rPr>
                <w:rFonts w:hint="eastAsia"/>
              </w:rPr>
            </w:pPr>
            <w:r>
              <w:rPr>
                <w:sz w:val="19"/>
              </w:rPr>
              <w:t>Title: ________________________</w:t>
            </w:r>
          </w:p>
        </w:tc>
        <w:tc>
          <w:tcPr>
            <w:tcW w:w="0" w:type="auto"/>
            <w:shd w:val="clear" w:color="auto" w:fill="ECEFF1"/>
          </w:tcPr>
          <w:p w14:paraId="7FD20683" w14:textId="77777777" w:rsidR="00CA7ABD" w:rsidRDefault="00000000">
            <w:pPr>
              <w:rPr>
                <w:rFonts w:hint="eastAsia"/>
              </w:rPr>
            </w:pPr>
            <w:r>
              <w:rPr>
                <w:sz w:val="19"/>
              </w:rPr>
              <w:t>Title: ________________________</w:t>
            </w:r>
          </w:p>
        </w:tc>
      </w:tr>
      <w:tr w:rsidR="00CA7ABD" w14:paraId="09968358" w14:textId="77777777">
        <w:tc>
          <w:tcPr>
            <w:tcW w:w="0" w:type="auto"/>
          </w:tcPr>
          <w:p w14:paraId="33DB7E13" w14:textId="77777777" w:rsidR="00CA7ABD" w:rsidRDefault="00000000">
            <w:pPr>
              <w:rPr>
                <w:rFonts w:hint="eastAsia"/>
              </w:rPr>
            </w:pPr>
            <w:r>
              <w:rPr>
                <w:sz w:val="19"/>
              </w:rPr>
              <w:t>Date: ________________________</w:t>
            </w:r>
          </w:p>
        </w:tc>
        <w:tc>
          <w:tcPr>
            <w:tcW w:w="0" w:type="auto"/>
          </w:tcPr>
          <w:p w14:paraId="0680785F" w14:textId="77777777" w:rsidR="00CA7ABD" w:rsidRDefault="00000000">
            <w:pPr>
              <w:rPr>
                <w:rFonts w:hint="eastAsia"/>
              </w:rPr>
            </w:pPr>
            <w:r>
              <w:rPr>
                <w:sz w:val="19"/>
              </w:rPr>
              <w:t>Date: ________________________</w:t>
            </w:r>
          </w:p>
        </w:tc>
      </w:tr>
      <w:tr w:rsidR="00CA7ABD" w14:paraId="45671F0C" w14:textId="77777777">
        <w:tc>
          <w:tcPr>
            <w:tcW w:w="0" w:type="auto"/>
            <w:shd w:val="clear" w:color="auto" w:fill="37474F"/>
          </w:tcPr>
          <w:p w14:paraId="6E398E99" w14:textId="77777777" w:rsidR="00CA7ABD" w:rsidRDefault="00000000">
            <w:pPr>
              <w:rPr>
                <w:rFonts w:hint="eastAsia"/>
              </w:rPr>
            </w:pPr>
            <w:r>
              <w:rPr>
                <w:b/>
                <w:color w:val="FFFFFF"/>
                <w:sz w:val="19"/>
              </w:rPr>
              <w:t>For the Sultanate of Oman (Coastal Party)</w:t>
            </w:r>
          </w:p>
        </w:tc>
        <w:tc>
          <w:tcPr>
            <w:tcW w:w="0" w:type="auto"/>
            <w:shd w:val="clear" w:color="auto" w:fill="37474F"/>
          </w:tcPr>
          <w:p w14:paraId="3120764C" w14:textId="77777777" w:rsidR="00CA7ABD" w:rsidRDefault="00000000">
            <w:pPr>
              <w:rPr>
                <w:rFonts w:hint="eastAsia"/>
              </w:rPr>
            </w:pPr>
            <w:r>
              <w:rPr>
                <w:b/>
                <w:color w:val="FFFFFF"/>
                <w:sz w:val="19"/>
              </w:rPr>
              <w:t>For the State of Qatar (Escrow Agent)</w:t>
            </w:r>
          </w:p>
        </w:tc>
      </w:tr>
      <w:tr w:rsidR="00CA7ABD" w14:paraId="60BAA694" w14:textId="77777777">
        <w:tc>
          <w:tcPr>
            <w:tcW w:w="0" w:type="auto"/>
          </w:tcPr>
          <w:p w14:paraId="201ED63E" w14:textId="77777777" w:rsidR="00CA7ABD" w:rsidRDefault="00000000">
            <w:pPr>
              <w:rPr>
                <w:rFonts w:hint="eastAsia"/>
              </w:rPr>
            </w:pPr>
            <w:r>
              <w:rPr>
                <w:sz w:val="19"/>
              </w:rPr>
              <w:t>Name: ________________________</w:t>
            </w:r>
          </w:p>
        </w:tc>
        <w:tc>
          <w:tcPr>
            <w:tcW w:w="0" w:type="auto"/>
          </w:tcPr>
          <w:p w14:paraId="5A0DDBEB" w14:textId="77777777" w:rsidR="00CA7ABD" w:rsidRDefault="00000000">
            <w:pPr>
              <w:rPr>
                <w:rFonts w:hint="eastAsia"/>
              </w:rPr>
            </w:pPr>
            <w:r>
              <w:rPr>
                <w:sz w:val="19"/>
              </w:rPr>
              <w:t>Name: ________________________</w:t>
            </w:r>
          </w:p>
        </w:tc>
      </w:tr>
      <w:tr w:rsidR="00CA7ABD" w14:paraId="33D52E0A" w14:textId="77777777">
        <w:tc>
          <w:tcPr>
            <w:tcW w:w="0" w:type="auto"/>
            <w:shd w:val="clear" w:color="auto" w:fill="ECEFF1"/>
          </w:tcPr>
          <w:p w14:paraId="73955E4B" w14:textId="77777777" w:rsidR="00CA7ABD" w:rsidRDefault="00000000">
            <w:pPr>
              <w:rPr>
                <w:rFonts w:hint="eastAsia"/>
              </w:rPr>
            </w:pPr>
            <w:r>
              <w:rPr>
                <w:sz w:val="19"/>
              </w:rPr>
              <w:t>Title: ________________________</w:t>
            </w:r>
          </w:p>
        </w:tc>
        <w:tc>
          <w:tcPr>
            <w:tcW w:w="0" w:type="auto"/>
            <w:shd w:val="clear" w:color="auto" w:fill="ECEFF1"/>
          </w:tcPr>
          <w:p w14:paraId="444F5DFB" w14:textId="77777777" w:rsidR="00CA7ABD" w:rsidRDefault="00000000">
            <w:pPr>
              <w:rPr>
                <w:rFonts w:hint="eastAsia"/>
              </w:rPr>
            </w:pPr>
            <w:r>
              <w:rPr>
                <w:sz w:val="19"/>
              </w:rPr>
              <w:t>Title: ________________________</w:t>
            </w:r>
          </w:p>
        </w:tc>
      </w:tr>
      <w:tr w:rsidR="00CA7ABD" w14:paraId="68C2FB0D" w14:textId="77777777">
        <w:tc>
          <w:tcPr>
            <w:tcW w:w="0" w:type="auto"/>
          </w:tcPr>
          <w:p w14:paraId="145416E5" w14:textId="77777777" w:rsidR="00CA7ABD" w:rsidRDefault="00000000">
            <w:pPr>
              <w:rPr>
                <w:rFonts w:hint="eastAsia"/>
              </w:rPr>
            </w:pPr>
            <w:r>
              <w:rPr>
                <w:sz w:val="19"/>
              </w:rPr>
              <w:t>Date: ________________________</w:t>
            </w:r>
          </w:p>
        </w:tc>
        <w:tc>
          <w:tcPr>
            <w:tcW w:w="0" w:type="auto"/>
          </w:tcPr>
          <w:p w14:paraId="78FEF9D3" w14:textId="77777777" w:rsidR="00CA7ABD" w:rsidRDefault="00000000">
            <w:pPr>
              <w:rPr>
                <w:rFonts w:hint="eastAsia"/>
              </w:rPr>
            </w:pPr>
            <w:r>
              <w:rPr>
                <w:sz w:val="19"/>
              </w:rPr>
              <w:t>Date: ________________________</w:t>
            </w:r>
          </w:p>
        </w:tc>
      </w:tr>
      <w:tr w:rsidR="00CA7ABD" w14:paraId="275503C3" w14:textId="77777777">
        <w:tc>
          <w:tcPr>
            <w:tcW w:w="0" w:type="auto"/>
            <w:shd w:val="clear" w:color="auto" w:fill="37474F"/>
          </w:tcPr>
          <w:p w14:paraId="1B26150A" w14:textId="77777777" w:rsidR="00CA7ABD" w:rsidRDefault="00000000">
            <w:pPr>
              <w:rPr>
                <w:rFonts w:hint="eastAsia"/>
              </w:rPr>
            </w:pPr>
            <w:r>
              <w:rPr>
                <w:b/>
                <w:color w:val="FFFFFF"/>
                <w:sz w:val="19"/>
              </w:rPr>
              <w:t>For the Islamic Republic of Pakistan (Depositary)</w:t>
            </w:r>
          </w:p>
        </w:tc>
        <w:tc>
          <w:tcPr>
            <w:tcW w:w="0" w:type="auto"/>
            <w:shd w:val="clear" w:color="auto" w:fill="37474F"/>
          </w:tcPr>
          <w:p w14:paraId="1F01E904" w14:textId="77777777" w:rsidR="00CA7ABD" w:rsidRDefault="00000000">
            <w:pPr>
              <w:rPr>
                <w:rFonts w:hint="eastAsia"/>
              </w:rPr>
            </w:pPr>
            <w:r>
              <w:rPr>
                <w:b/>
                <w:color w:val="FFFFFF"/>
                <w:sz w:val="19"/>
              </w:rPr>
              <w:t>For the Swiss Confederation (Technical Facilitator)</w:t>
            </w:r>
          </w:p>
        </w:tc>
      </w:tr>
      <w:tr w:rsidR="00CA7ABD" w14:paraId="17F47582" w14:textId="77777777">
        <w:tc>
          <w:tcPr>
            <w:tcW w:w="0" w:type="auto"/>
          </w:tcPr>
          <w:p w14:paraId="037E2A5B" w14:textId="77777777" w:rsidR="00CA7ABD" w:rsidRDefault="00000000">
            <w:pPr>
              <w:rPr>
                <w:rFonts w:hint="eastAsia"/>
              </w:rPr>
            </w:pPr>
            <w:r>
              <w:rPr>
                <w:sz w:val="19"/>
              </w:rPr>
              <w:t>Name: ________________________</w:t>
            </w:r>
          </w:p>
        </w:tc>
        <w:tc>
          <w:tcPr>
            <w:tcW w:w="0" w:type="auto"/>
          </w:tcPr>
          <w:p w14:paraId="1A2BA8B9" w14:textId="77777777" w:rsidR="00CA7ABD" w:rsidRDefault="00000000">
            <w:pPr>
              <w:rPr>
                <w:rFonts w:hint="eastAsia"/>
              </w:rPr>
            </w:pPr>
            <w:r>
              <w:rPr>
                <w:sz w:val="19"/>
              </w:rPr>
              <w:t>Name: ________________________</w:t>
            </w:r>
          </w:p>
        </w:tc>
      </w:tr>
      <w:tr w:rsidR="00CA7ABD" w14:paraId="4DA0AD3F" w14:textId="77777777">
        <w:tc>
          <w:tcPr>
            <w:tcW w:w="0" w:type="auto"/>
            <w:shd w:val="clear" w:color="auto" w:fill="ECEFF1"/>
          </w:tcPr>
          <w:p w14:paraId="184CCDD4" w14:textId="77777777" w:rsidR="00CA7ABD" w:rsidRDefault="00000000">
            <w:pPr>
              <w:rPr>
                <w:rFonts w:hint="eastAsia"/>
              </w:rPr>
            </w:pPr>
            <w:r>
              <w:rPr>
                <w:sz w:val="19"/>
              </w:rPr>
              <w:t>Title: ________________________</w:t>
            </w:r>
          </w:p>
        </w:tc>
        <w:tc>
          <w:tcPr>
            <w:tcW w:w="0" w:type="auto"/>
            <w:shd w:val="clear" w:color="auto" w:fill="ECEFF1"/>
          </w:tcPr>
          <w:p w14:paraId="5580EA13" w14:textId="77777777" w:rsidR="00CA7ABD" w:rsidRDefault="00000000">
            <w:pPr>
              <w:rPr>
                <w:rFonts w:hint="eastAsia"/>
              </w:rPr>
            </w:pPr>
            <w:r>
              <w:rPr>
                <w:sz w:val="19"/>
              </w:rPr>
              <w:t>Title: ________________________</w:t>
            </w:r>
          </w:p>
        </w:tc>
      </w:tr>
      <w:tr w:rsidR="00CA7ABD" w14:paraId="7E4FDF08" w14:textId="77777777">
        <w:tc>
          <w:tcPr>
            <w:tcW w:w="0" w:type="auto"/>
          </w:tcPr>
          <w:p w14:paraId="28233BA1" w14:textId="77777777" w:rsidR="00CA7ABD" w:rsidRDefault="00000000">
            <w:pPr>
              <w:rPr>
                <w:rFonts w:hint="eastAsia"/>
              </w:rPr>
            </w:pPr>
            <w:r>
              <w:rPr>
                <w:sz w:val="19"/>
              </w:rPr>
              <w:t>Date: ________________________</w:t>
            </w:r>
          </w:p>
        </w:tc>
        <w:tc>
          <w:tcPr>
            <w:tcW w:w="0" w:type="auto"/>
          </w:tcPr>
          <w:p w14:paraId="6AB35EFC" w14:textId="77777777" w:rsidR="00CA7ABD" w:rsidRDefault="00000000">
            <w:pPr>
              <w:rPr>
                <w:rFonts w:hint="eastAsia"/>
              </w:rPr>
            </w:pPr>
            <w:r>
              <w:rPr>
                <w:sz w:val="19"/>
              </w:rPr>
              <w:t>Date: ________________________</w:t>
            </w:r>
          </w:p>
        </w:tc>
      </w:tr>
    </w:tbl>
    <w:p w14:paraId="592C2EEA" w14:textId="77777777" w:rsidR="00CA7ABD" w:rsidRDefault="00000000">
      <w:pPr>
        <w:rPr>
          <w:rFonts w:hint="eastAsia"/>
        </w:rPr>
      </w:pPr>
      <w:r>
        <w:t>Witnessed by the Joint Implementation Commission and recorded in the Shared Digital Registry upon execution of the final signature.</w:t>
      </w:r>
    </w:p>
    <w:p w14:paraId="0F10AE56" w14:textId="77777777" w:rsidR="00CA7ABD" w:rsidRDefault="00CA7ABD">
      <w:pPr>
        <w:pageBreakBefore/>
        <w:rPr>
          <w:rFonts w:hint="eastAsia"/>
        </w:rPr>
      </w:pPr>
    </w:p>
    <w:p w14:paraId="0DFCDF3B" w14:textId="77777777" w:rsidR="00CA7ABD" w:rsidRDefault="00000000">
      <w:pPr>
        <w:pStyle w:val="Heading1"/>
        <w:rPr>
          <w:rFonts w:hint="eastAsia"/>
        </w:rPr>
      </w:pPr>
      <w:r>
        <w:t>ANNEX E: THE COTHROM VERIFICATION METHOD (FULL TEXT, INCORPORATED AS OPERATIVE LAW)</w:t>
      </w:r>
    </w:p>
    <w:p w14:paraId="390C8093" w14:textId="77777777" w:rsidR="00CA7ABD" w:rsidRDefault="00000000">
      <w:pPr>
        <w:pStyle w:val="Quote"/>
        <w:rPr>
          <w:rFonts w:hint="eastAsia"/>
        </w:rPr>
      </w:pPr>
      <w:r>
        <w:t>Cothrom (Irish): equal, balanced, level, fair. Integrated from the HITP Adversarial Verification Architecture v1.8 and the Step-Back/Earn-Back Proportional Compliance Engine v1.8, adapted for this Accord.</w:t>
      </w:r>
    </w:p>
    <w:p w14:paraId="2FAD4C56" w14:textId="77777777" w:rsidR="00CA7ABD" w:rsidRDefault="00000000">
      <w:pPr>
        <w:rPr>
          <w:rFonts w:hint="eastAsia"/>
        </w:rPr>
      </w:pPr>
      <w:r>
        <w:t>This method treats verification not as surveillance but as a reciprocal architecture where both parties invest, both parties verify, and both parties recover.</w:t>
      </w:r>
    </w:p>
    <w:p w14:paraId="26565D47" w14:textId="77777777" w:rsidR="00CA7ABD" w:rsidRDefault="00000000">
      <w:pPr>
        <w:pStyle w:val="Heading2"/>
        <w:rPr>
          <w:rFonts w:hint="eastAsia"/>
        </w:rPr>
      </w:pPr>
      <w:r>
        <w:t>PREAMBLE: THE COTHROM PRINCIPLE</w:t>
      </w:r>
    </w:p>
    <w:p w14:paraId="5A45450F" w14:textId="77777777" w:rsidR="00CA7ABD" w:rsidRDefault="00000000">
      <w:pPr>
        <w:rPr>
          <w:rFonts w:hint="eastAsia"/>
        </w:rPr>
      </w:pPr>
      <w:r>
        <w:t>Snapback kills agreements. It converts every minor infraction into an existential crisis, incentivizes the accused party to escalate rather than remediate, and destroys the trust that stabilization requires. Binary collapse dynamics produce binary collapse outcomes.</w:t>
      </w:r>
    </w:p>
    <w:p w14:paraId="2E77293E" w14:textId="77777777" w:rsidR="00CA7ABD" w:rsidRDefault="00000000">
      <w:pPr>
        <w:rPr>
          <w:rFonts w:hint="eastAsia"/>
        </w:rPr>
      </w:pPr>
      <w:r>
        <w:t>The Cothrom Method replaces snapback with a graduated, reversible, proportionate compliance engine. It combines the operational infrastructure of adversarial claim verification with the philosophical architecture of proportional penalty and guaranteed recuperation.</w:t>
      </w:r>
    </w:p>
    <w:p w14:paraId="2C75EC5E" w14:textId="77777777" w:rsidR="00CA7ABD" w:rsidRDefault="00000000">
      <w:pPr>
        <w:rPr>
          <w:rFonts w:hint="eastAsia"/>
        </w:rPr>
      </w:pPr>
      <w:r>
        <w:t>Core operating principle: The framework architecture does not collapse upon breach. It breathes. Discretionary benefits pause first. Core constraints survive longest. Humanitarian protections remain absolute. Minor infractions produce minor proportional consequences. Sustained compliance restores full benefits. No violation creates permanent exclusion.</w:t>
      </w:r>
    </w:p>
    <w:p w14:paraId="42F99882" w14:textId="77777777" w:rsidR="00CA7ABD" w:rsidRDefault="00000000">
      <w:pPr>
        <w:rPr>
          <w:rFonts w:hint="eastAsia"/>
        </w:rPr>
      </w:pPr>
      <w:r>
        <w:t>The Cothrom Method achieves the following objectives: it incentivizes accurate claim submission by the Claimant Party; it enables rigorous but fair review by the Verifier Party; it prevents frivolous submissions through forfeit risk; it prevents frivolous objections through escalating penalty ladders; it protects both Parties from information asymmetry; it provides neutral third-party expert oversight; it generates objective, auditable verification scores; it ensures proportionate penalties for breaches; and it guarantees defined earn-back pathways for every penalty.</w:t>
      </w:r>
    </w:p>
    <w:p w14:paraId="7C5C7C34" w14:textId="77777777" w:rsidR="00CA7ABD" w:rsidRDefault="00000000">
      <w:pPr>
        <w:pStyle w:val="Heading2"/>
        <w:rPr>
          <w:rFonts w:hint="eastAsia"/>
        </w:rPr>
      </w:pPr>
      <w:r>
        <w:t>PART I: DATA INFRASTRUCTURE AND ANOMALY DETECTION</w:t>
      </w:r>
    </w:p>
    <w:p w14:paraId="0315D3F3" w14:textId="77777777" w:rsidR="00CA7ABD" w:rsidRDefault="00000000">
      <w:pPr>
        <w:pStyle w:val="Heading3"/>
        <w:rPr>
          <w:rFonts w:hint="eastAsia"/>
        </w:rPr>
      </w:pPr>
      <w:r>
        <w:t>SECTION 1: MONITORING SYSTEMS AND DATA STANDARDS</w:t>
      </w:r>
    </w:p>
    <w:p w14:paraId="7770CAE5" w14:textId="77777777" w:rsidR="00CA7ABD" w:rsidRDefault="00000000">
      <w:pPr>
        <w:rPr>
          <w:rFonts w:hint="eastAsia"/>
        </w:rPr>
      </w:pPr>
      <w:r>
        <w:t>1.1 System Activation</w:t>
      </w:r>
    </w:p>
    <w:p w14:paraId="3D24A72F" w14:textId="77777777" w:rsidR="00CA7ABD" w:rsidRDefault="00000000">
      <w:pPr>
        <w:rPr>
          <w:rFonts w:hint="eastAsia"/>
        </w:rPr>
      </w:pPr>
      <w:r>
        <w:t>Upon signature, the following monitoring systems activate immediately and operate on a continuous basis:</w:t>
      </w:r>
    </w:p>
    <w:p w14:paraId="422E8785" w14:textId="77777777" w:rsidR="00CA7ABD" w:rsidRDefault="00000000">
      <w:pPr>
        <w:rPr>
          <w:rFonts w:hint="eastAsia"/>
        </w:rPr>
      </w:pPr>
      <w:r>
        <w:t>System: Primary telemetry feeds (satellite, radar, sensor networks)</w:t>
      </w:r>
    </w:p>
    <w:p w14:paraId="0E11E42B" w14:textId="77777777" w:rsidR="00CA7ABD" w:rsidRDefault="00000000">
      <w:pPr>
        <w:rPr>
          <w:rFonts w:hint="eastAsia"/>
        </w:rPr>
      </w:pPr>
      <w:r>
        <w:t>Activation: Primary and secondary feeds begin continuous data collection</w:t>
      </w:r>
    </w:p>
    <w:p w14:paraId="5F6AF9D8" w14:textId="77777777" w:rsidR="00CA7ABD" w:rsidRDefault="00000000">
      <w:pPr>
        <w:rPr>
          <w:rFonts w:hint="eastAsia"/>
        </w:rPr>
      </w:pPr>
      <w:r>
        <w:t>Data Recipients: Joint Monitoring Cell, both Parties, Shared Digital Registry</w:t>
      </w:r>
    </w:p>
    <w:p w14:paraId="25FFC476" w14:textId="77777777" w:rsidR="00CA7ABD" w:rsidRDefault="00000000">
      <w:pPr>
        <w:rPr>
          <w:rFonts w:hint="eastAsia"/>
        </w:rPr>
      </w:pPr>
      <w:r>
        <w:t>System: Coastal and territorial sensor integration</w:t>
      </w:r>
    </w:p>
    <w:p w14:paraId="6020B968" w14:textId="77777777" w:rsidR="00CA7ABD" w:rsidRDefault="00000000">
      <w:pPr>
        <w:rPr>
          <w:rFonts w:hint="eastAsia"/>
        </w:rPr>
      </w:pPr>
      <w:r>
        <w:t>Activation: All designated sensor stations begin data transmission</w:t>
      </w:r>
    </w:p>
    <w:p w14:paraId="6275C31D" w14:textId="77777777" w:rsidR="00CA7ABD" w:rsidRDefault="00000000">
      <w:pPr>
        <w:rPr>
          <w:rFonts w:hint="eastAsia"/>
        </w:rPr>
      </w:pPr>
      <w:r>
        <w:t>Data Recipients: Joint Monitoring Cell, both Parties, Shared Digital Registry</w:t>
      </w:r>
    </w:p>
    <w:p w14:paraId="5ACB24CC" w14:textId="77777777" w:rsidR="00CA7ABD" w:rsidRDefault="00000000">
      <w:pPr>
        <w:rPr>
          <w:rFonts w:hint="eastAsia"/>
        </w:rPr>
      </w:pPr>
      <w:r>
        <w:t>System: Joint Monitoring Cell</w:t>
      </w:r>
    </w:p>
    <w:p w14:paraId="3E4F8A37" w14:textId="77777777" w:rsidR="00CA7ABD" w:rsidRDefault="00000000">
      <w:pPr>
        <w:rPr>
          <w:rFonts w:hint="eastAsia"/>
        </w:rPr>
      </w:pPr>
      <w:r>
        <w:t>Activation: Pre-accredited JMC personnel convene at the designated host location within 72 hours of signature and begin 24/7 operations</w:t>
      </w:r>
    </w:p>
    <w:p w14:paraId="0C762D3C" w14:textId="77777777" w:rsidR="00CA7ABD" w:rsidRDefault="00000000">
      <w:pPr>
        <w:rPr>
          <w:rFonts w:hint="eastAsia"/>
        </w:rPr>
      </w:pPr>
      <w:r>
        <w:t>Data Recipients: Joint Monitoring Cell, both Parties, Permanent Coordination Council</w:t>
      </w:r>
    </w:p>
    <w:p w14:paraId="2CB214B0" w14:textId="77777777" w:rsidR="00CA7ABD" w:rsidRDefault="00000000">
      <w:pPr>
        <w:rPr>
          <w:rFonts w:hint="eastAsia"/>
        </w:rPr>
      </w:pPr>
      <w:r>
        <w:t>System: Shared Digital Registry</w:t>
      </w:r>
    </w:p>
    <w:p w14:paraId="46D07F20" w14:textId="77777777" w:rsidR="00CA7ABD" w:rsidRDefault="00000000">
      <w:pPr>
        <w:rPr>
          <w:rFonts w:hint="eastAsia"/>
        </w:rPr>
      </w:pPr>
      <w:r>
        <w:t>Activation: The Registry begins logging all tracks, anomaly alerts, and verification packages</w:t>
      </w:r>
    </w:p>
    <w:p w14:paraId="47A9CAA3" w14:textId="77777777" w:rsidR="00CA7ABD" w:rsidRDefault="00000000">
      <w:pPr>
        <w:rPr>
          <w:rFonts w:hint="eastAsia"/>
        </w:rPr>
      </w:pPr>
      <w:r>
        <w:t>Data Recipients: All Parties, Guarantor Matrix</w:t>
      </w:r>
    </w:p>
    <w:p w14:paraId="57CFAB27" w14:textId="77777777" w:rsidR="00CA7ABD" w:rsidRDefault="00000000">
      <w:pPr>
        <w:rPr>
          <w:rFonts w:hint="eastAsia"/>
        </w:rPr>
      </w:pPr>
      <w:r>
        <w:t>System: Compliance Dashboard</w:t>
      </w:r>
    </w:p>
    <w:p w14:paraId="54E5CC23" w14:textId="77777777" w:rsidR="00CA7ABD" w:rsidRDefault="00000000">
      <w:pPr>
        <w:rPr>
          <w:rFonts w:hint="eastAsia"/>
        </w:rPr>
      </w:pPr>
      <w:r>
        <w:t>Activation: The dashboard publishes and becomes accessible to all Parties and accredited observers</w:t>
      </w:r>
    </w:p>
    <w:p w14:paraId="0ED533CF" w14:textId="77777777" w:rsidR="00CA7ABD" w:rsidRDefault="00000000">
      <w:pPr>
        <w:rPr>
          <w:rFonts w:hint="eastAsia"/>
        </w:rPr>
      </w:pPr>
      <w:r>
        <w:t>Data Recipients: Public (non-classified metrics)</w:t>
      </w:r>
    </w:p>
    <w:p w14:paraId="24313E8E" w14:textId="77777777" w:rsidR="00CA7ABD" w:rsidRDefault="00000000">
      <w:pPr>
        <w:rPr>
          <w:rFonts w:hint="eastAsia"/>
        </w:rPr>
      </w:pPr>
      <w:r>
        <w:t>System: Third-Party Telemetry Tie-Breaker</w:t>
      </w:r>
    </w:p>
    <w:p w14:paraId="10398376" w14:textId="77777777" w:rsidR="00CA7ABD" w:rsidRDefault="00000000">
      <w:pPr>
        <w:rPr>
          <w:rFonts w:hint="eastAsia"/>
        </w:rPr>
      </w:pPr>
      <w:r>
        <w:t>Activation: An independent commercial provider, under contract to the Swiss facilitator, provides independent telemetry. This source activates automatically upon detection of a data conflict between the primary Party feeds.</w:t>
      </w:r>
    </w:p>
    <w:p w14:paraId="09751059" w14:textId="77777777" w:rsidR="00CA7ABD" w:rsidRDefault="00000000">
      <w:pPr>
        <w:rPr>
          <w:rFonts w:hint="eastAsia"/>
        </w:rPr>
      </w:pPr>
      <w:r>
        <w:t>Data Recipients: Joint Monitoring Cell, Swiss Facilitator, Permanent Coordination Council</w:t>
      </w:r>
    </w:p>
    <w:p w14:paraId="6B00EEEF" w14:textId="77777777" w:rsidR="00CA7ABD" w:rsidRDefault="00000000">
      <w:pPr>
        <w:rPr>
          <w:rFonts w:hint="eastAsia"/>
        </w:rPr>
      </w:pPr>
      <w:r>
        <w:t>1.2 Data Collection Standards</w:t>
      </w:r>
    </w:p>
    <w:p w14:paraId="1DDB4767" w14:textId="77777777" w:rsidR="00CA7ABD" w:rsidRDefault="00000000">
      <w:pPr>
        <w:rPr>
          <w:rFonts w:hint="eastAsia"/>
        </w:rPr>
      </w:pPr>
      <w:r>
        <w:t>All data collected under this Method conforms to the following standards:</w:t>
      </w:r>
    </w:p>
    <w:p w14:paraId="004F0893" w14:textId="77777777" w:rsidR="00CA7ABD" w:rsidRDefault="00000000">
      <w:pPr>
        <w:rPr>
          <w:rFonts w:hint="eastAsia"/>
        </w:rPr>
      </w:pPr>
      <w:r>
        <w:t>Simultaneous: The framework architecture transmits all data to both Parties with identical latency. Neither Party receives preferential access, earlier notification, or exclusive data feeds.</w:t>
      </w:r>
    </w:p>
    <w:p w14:paraId="73088DD2" w14:textId="77777777" w:rsidR="00CA7ABD" w:rsidRDefault="00000000">
      <w:pPr>
        <w:rPr>
          <w:rFonts w:hint="eastAsia"/>
        </w:rPr>
      </w:pPr>
      <w:r>
        <w:t>Unalterable: The Shared Digital Registry logs all data with cryptographic chain-of-custody. No Party modifies, deletes, or redacts logged data.</w:t>
      </w:r>
    </w:p>
    <w:p w14:paraId="2A35A7C1" w14:textId="77777777" w:rsidR="00CA7ABD" w:rsidRDefault="00000000">
      <w:pPr>
        <w:rPr>
          <w:rFonts w:hint="eastAsia"/>
        </w:rPr>
      </w:pPr>
      <w:r>
        <w:t>Transparent: All data is accessible to both Parties, the Guarantor Matrix, and the Joint Monitoring Cell through the secure data portal.</w:t>
      </w:r>
    </w:p>
    <w:p w14:paraId="67715FB7" w14:textId="77777777" w:rsidR="00CA7ABD" w:rsidRDefault="00000000">
      <w:pPr>
        <w:rPr>
          <w:rFonts w:hint="eastAsia"/>
        </w:rPr>
      </w:pPr>
      <w:r>
        <w:t>Non-attributable for political purposes: The framework architecture collects and shares data for technical verification only. It does not constitute recognition of any Party's legal position.</w:t>
      </w:r>
    </w:p>
    <w:p w14:paraId="0371F010" w14:textId="77777777" w:rsidR="00CA7ABD" w:rsidRDefault="00000000">
      <w:pPr>
        <w:rPr>
          <w:rFonts w:hint="eastAsia"/>
        </w:rPr>
      </w:pPr>
      <w:r>
        <w:t>Non-imputability: Neither Party's participation in data collection, transmission, or receipt constitutes endorsement of the political character, legal status, or governance implications of any monitoring system or data product. Data serves technical verification exclusively. No political meaning attaches to its collection or sharing.</w:t>
      </w:r>
    </w:p>
    <w:p w14:paraId="45133D99" w14:textId="77777777" w:rsidR="00CA7ABD" w:rsidRDefault="00000000">
      <w:pPr>
        <w:rPr>
          <w:rFonts w:hint="eastAsia"/>
        </w:rPr>
      </w:pPr>
      <w:r>
        <w:t>Retention and audit: The Shared Digital Registry retains all logged data for a minimum of five years from the date of logging. Either Party requests an independent forensic audit of any data segment. The Swiss facilitator selects the auditor from the Third-Party Expert Pool. The auditor completes the review within 30 days of request. The requesting Party bears the audit cost. If the audit reveals material data manipulation, the manipulating Party bears all costs including the requesting Party's costs.</w:t>
      </w:r>
    </w:p>
    <w:p w14:paraId="0E2F01BC" w14:textId="77777777" w:rsidR="00CA7ABD" w:rsidRDefault="00000000">
      <w:pPr>
        <w:rPr>
          <w:rFonts w:hint="eastAsia"/>
        </w:rPr>
      </w:pPr>
      <w:r>
        <w:t>1.3 Data Quality and Anti-Dumping Standards</w:t>
      </w:r>
    </w:p>
    <w:p w14:paraId="3C623308" w14:textId="77777777" w:rsidR="00CA7ABD" w:rsidRDefault="00000000">
      <w:pPr>
        <w:rPr>
          <w:rFonts w:hint="eastAsia"/>
        </w:rPr>
      </w:pPr>
      <w:r>
        <w:t>The framework architecture enforces the following data quality standards for all telemetry transmitted by either Party:</w:t>
      </w:r>
    </w:p>
    <w:p w14:paraId="1E4C9A6B" w14:textId="77777777" w:rsidR="00CA7ABD" w:rsidRDefault="00000000">
      <w:pPr>
        <w:rPr>
          <w:rFonts w:hint="eastAsia"/>
        </w:rPr>
      </w:pPr>
      <w:r>
        <w:t>Signal-to-noise ratio: Each Party maintains a signal-to-noise ratio above the minimum threshold defined in the technical annexes, across all data feeds. Consistent transmission below this threshold constitutes a technical failure.</w:t>
      </w:r>
    </w:p>
    <w:p w14:paraId="7BCCAC8C" w14:textId="77777777" w:rsidR="00CA7ABD" w:rsidRDefault="00000000">
      <w:pPr>
        <w:rPr>
          <w:rFonts w:hint="eastAsia"/>
        </w:rPr>
      </w:pPr>
      <w:r>
        <w:t>Format compliance: Each Party transmits data in the format specified in the shared protocol. Data in an incorrect format triggers an automatic formatting alert in the Shared Digital Registry.</w:t>
      </w:r>
    </w:p>
    <w:p w14:paraId="7604611B" w14:textId="77777777" w:rsidR="00CA7ABD" w:rsidRDefault="00000000">
      <w:pPr>
        <w:rPr>
          <w:rFonts w:hint="eastAsia"/>
        </w:rPr>
      </w:pPr>
      <w:r>
        <w:t>The framework architecture treats persistent data quality failures as a breach of the Simultaneous and Transparent requirements. Persistent failure means three or more consecutive formatting alerts or signal-to-noise violations within any seventy-two-hour period.</w:t>
      </w:r>
    </w:p>
    <w:p w14:paraId="210E3887" w14:textId="77777777" w:rsidR="00CA7ABD" w:rsidRDefault="00000000">
      <w:pPr>
        <w:pStyle w:val="Heading3"/>
        <w:rPr>
          <w:rFonts w:hint="eastAsia"/>
        </w:rPr>
      </w:pPr>
      <w:r>
        <w:t>SECTION 2: ANOMALY DETECTION AND RESPONSE</w:t>
      </w:r>
    </w:p>
    <w:p w14:paraId="399B664A" w14:textId="77777777" w:rsidR="00CA7ABD" w:rsidRDefault="00000000">
      <w:pPr>
        <w:rPr>
          <w:rFonts w:hint="eastAsia"/>
        </w:rPr>
      </w:pPr>
      <w:r>
        <w:t>2.1 Alert Severity Classification</w:t>
      </w:r>
    </w:p>
    <w:p w14:paraId="19AFF728" w14:textId="77777777" w:rsidR="00CA7ABD" w:rsidRDefault="00000000">
      <w:pPr>
        <w:rPr>
          <w:rFonts w:hint="eastAsia"/>
        </w:rPr>
      </w:pPr>
      <w:r>
        <w:t>Not every anomaly triggers enforcement. The alert system filters noise from genuine compliance events.</w:t>
      </w:r>
    </w:p>
    <w:p w14:paraId="0EA97DF2" w14:textId="77777777" w:rsidR="00CA7ABD" w:rsidRDefault="00000000">
      <w:pPr>
        <w:rPr>
          <w:rFonts w:hint="eastAsia"/>
        </w:rPr>
      </w:pPr>
      <w:r>
        <w:t>Level 1 (Informational): Sensor maintenance, scheduled downtime, minor data transmission interruption. The framework architecture needs no further action. The Joint Monitoring Cell issues no notification.</w:t>
      </w:r>
    </w:p>
    <w:p w14:paraId="17515A2C" w14:textId="77777777" w:rsidR="00CA7ABD" w:rsidRDefault="00000000">
      <w:pPr>
        <w:rPr>
          <w:rFonts w:hint="eastAsia"/>
        </w:rPr>
      </w:pPr>
      <w:r>
        <w:t>Level 2 (Technical Review): Unscheduled downtime under 4 hours, single anomalous reading without pattern. The Joint Monitoring Cell technical review occurs within 7 days. No penalty attaches.</w:t>
      </w:r>
    </w:p>
    <w:p w14:paraId="26FD18BC" w14:textId="77777777" w:rsidR="00CA7ABD" w:rsidRDefault="00000000">
      <w:pPr>
        <w:rPr>
          <w:rFonts w:hint="eastAsia"/>
        </w:rPr>
      </w:pPr>
      <w:r>
        <w:t>Level 3 (Compliance Review): Unscheduled downtime over 4 hours, pattern of anomalous readings. Enhanced inspection occurs within 72 hours. Potential Tier 1 classification applies if the issue remains unresolved within 14 days.</w:t>
      </w:r>
    </w:p>
    <w:p w14:paraId="56AABA77" w14:textId="77777777" w:rsidR="00CA7ABD" w:rsidRDefault="00000000">
      <w:pPr>
        <w:rPr>
          <w:rFonts w:hint="eastAsia"/>
        </w:rPr>
      </w:pPr>
      <w:r>
        <w:t>Level 4 (Breach Indicator): Evidence of tampering, deliberate disablement, or material diversion. This triggers Tier 2 step-back consideration. The Joint Monitoring Cell convenes within 24 hours. Executive consultation is mandatory before any penalty activates.</w:t>
      </w:r>
    </w:p>
    <w:p w14:paraId="6EC03CB9" w14:textId="77777777" w:rsidR="00CA7ABD" w:rsidRDefault="00000000">
      <w:pPr>
        <w:rPr>
          <w:rFonts w:hint="eastAsia"/>
        </w:rPr>
      </w:pPr>
      <w:r>
        <w:t>Only Level 4 triggers potential step-back. Levels 1 through 3 are managed through technical channels without penalty.</w:t>
      </w:r>
    </w:p>
    <w:p w14:paraId="5FE668B6" w14:textId="77777777" w:rsidR="00CA7ABD" w:rsidRDefault="00000000">
      <w:pPr>
        <w:rPr>
          <w:rFonts w:hint="eastAsia"/>
        </w:rPr>
      </w:pPr>
      <w:r>
        <w:t>2.2 Anomaly Response Protocol</w:t>
      </w:r>
    </w:p>
    <w:p w14:paraId="254BF05A" w14:textId="77777777" w:rsidR="00CA7ABD" w:rsidRDefault="00000000">
      <w:pPr>
        <w:rPr>
          <w:rFonts w:hint="eastAsia"/>
        </w:rPr>
      </w:pPr>
      <w:r>
        <w:t>Upon automatic generation of a Level 3 or Level 4 anomaly alert, the following response protocol activates immediately:</w:t>
      </w:r>
    </w:p>
    <w:p w14:paraId="6D506530" w14:textId="77777777" w:rsidR="00CA7ABD" w:rsidRDefault="00000000">
      <w:pPr>
        <w:rPr>
          <w:rFonts w:hint="eastAsia"/>
        </w:rPr>
      </w:pPr>
      <w:r>
        <w:t>Step 1: The Joint Monitoring Cell Duty Officer transmits an automated communication to both Parties within five minutes of alert generation. The communication contains the anomaly classification, identifier, and deviation type.</w:t>
      </w:r>
    </w:p>
    <w:p w14:paraId="4046E0FE" w14:textId="77777777" w:rsidR="00CA7ABD" w:rsidRDefault="00000000">
      <w:pPr>
        <w:rPr>
          <w:rFonts w:hint="eastAsia"/>
        </w:rPr>
      </w:pPr>
      <w:r>
        <w:t>Step 2: Both Parties implement a pre-vetted operational stand-down order for any forces in the vicinity of the alert location. The stand-down order remains active until the Joint Monitoring Cell Chief Technical Officer confirms resolution or upgrades the alert.</w:t>
      </w:r>
    </w:p>
    <w:p w14:paraId="7A32422B" w14:textId="77777777" w:rsidR="00CA7ABD" w:rsidRDefault="00000000">
      <w:pPr>
        <w:rPr>
          <w:rFonts w:hint="eastAsia"/>
        </w:rPr>
      </w:pPr>
      <w:r>
        <w:t>Step 3: The Joint Monitoring Cell convenes an emergency video-conference between both Parties' designated technical representatives within thirty minutes of alert generation. The Shared Digital Registry logs all communications and stand-down confirmations.</w:t>
      </w:r>
    </w:p>
    <w:p w14:paraId="752159EA" w14:textId="77777777" w:rsidR="00CA7ABD" w:rsidRDefault="00000000">
      <w:pPr>
        <w:rPr>
          <w:rFonts w:hint="eastAsia"/>
        </w:rPr>
      </w:pPr>
      <w:r>
        <w:t>The framework architecture designates this response as the Anomaly Response Playbook. The Playbook binds both Parties from the moment of signature. Neither Party deviates from the Playbook without written mutual agreement.</w:t>
      </w:r>
    </w:p>
    <w:p w14:paraId="1B834E3C" w14:textId="77777777" w:rsidR="00CA7ABD" w:rsidRDefault="00000000">
      <w:pPr>
        <w:rPr>
          <w:rFonts w:hint="eastAsia"/>
        </w:rPr>
      </w:pPr>
      <w:r>
        <w:t>2.3 Technical Truth Escalation Chain</w:t>
      </w:r>
    </w:p>
    <w:p w14:paraId="175D20C0" w14:textId="77777777" w:rsidR="00CA7ABD" w:rsidRDefault="00000000">
      <w:pPr>
        <w:rPr>
          <w:rFonts w:hint="eastAsia"/>
        </w:rPr>
      </w:pPr>
      <w:r>
        <w:t>The framework architecture includes a binding, time-bound escalation chain for all data fidelity disputes. The chain operates automatically upon registration of a discrepancy in the Shared Digital Registry.</w:t>
      </w:r>
    </w:p>
    <w:p w14:paraId="6ABE2E21" w14:textId="77777777" w:rsidR="00CA7ABD" w:rsidRDefault="00000000">
      <w:pPr>
        <w:rPr>
          <w:rFonts w:hint="eastAsia"/>
        </w:rPr>
      </w:pPr>
      <w:r>
        <w:t>Day 1: The Joint Monitoring Cell Chief Technical Officer reviews the raw data feeds, source telemetry, and chain-of-custody records for the disputed data point. The Officer issues a preliminary technical finding within 24 hours of dispute registration.</w:t>
      </w:r>
    </w:p>
    <w:p w14:paraId="1CFC93AA" w14:textId="77777777" w:rsidR="00CA7ABD" w:rsidRDefault="00000000">
      <w:pPr>
        <w:rPr>
          <w:rFonts w:hint="eastAsia"/>
        </w:rPr>
      </w:pPr>
      <w:r>
        <w:t>Day 3: Either Party escalates the unresolved dispute to the Technical Working Group. The Technical Working Group convenes within 48 hours, reviews the full data package, and issues a corroboration report.</w:t>
      </w:r>
    </w:p>
    <w:p w14:paraId="20B994E9" w14:textId="77777777" w:rsidR="00CA7ABD" w:rsidRDefault="00000000">
      <w:pPr>
        <w:rPr>
          <w:rFonts w:hint="eastAsia"/>
        </w:rPr>
      </w:pPr>
      <w:r>
        <w:t>Day 5: Either Party escalates the unresolved dispute to a pre-selected panel of three neutral technical experts. The Swiss facilitator maintains these experts under standing accreditation. The panel reviews all evidence and issues a binding determination on data fidelity. This determination is final. Neither Party appeals it.</w:t>
      </w:r>
    </w:p>
    <w:p w14:paraId="0A92724F" w14:textId="77777777" w:rsidR="00CA7ABD" w:rsidRDefault="00000000">
      <w:pPr>
        <w:rPr>
          <w:rFonts w:hint="eastAsia"/>
        </w:rPr>
      </w:pPr>
      <w:r>
        <w:t>The Shared Digital Registry logs every escalation step automatically. The framework architecture freezes all operational responses to the disputed event for 24 hours upon registration of a technical dispute. This Technical Dispute Hold remains in effect pending Technical Working Group resolution or panel determination. The framework architecture lifts the hold automatically upon resolution.</w:t>
      </w:r>
    </w:p>
    <w:p w14:paraId="2F37F500" w14:textId="77777777" w:rsidR="00CA7ABD" w:rsidRDefault="00000000">
      <w:pPr>
        <w:rPr>
          <w:rFonts w:hint="eastAsia"/>
        </w:rPr>
      </w:pPr>
      <w:r>
        <w:t>2.4 Automatic Suspension for Monitoring Failure</w:t>
      </w:r>
    </w:p>
    <w:p w14:paraId="10BED29A" w14:textId="77777777" w:rsidR="00CA7ABD" w:rsidRDefault="00000000">
      <w:pPr>
        <w:rPr>
          <w:rFonts w:hint="eastAsia"/>
        </w:rPr>
      </w:pPr>
      <w:r>
        <w:t>This is the sole exception to the human-in-the-loop requirement: a purely technical, automatic trigger.</w:t>
      </w:r>
    </w:p>
    <w:p w14:paraId="03A20A02" w14:textId="77777777" w:rsidR="00CA7ABD" w:rsidRDefault="00000000">
      <w:pPr>
        <w:rPr>
          <w:rFonts w:hint="eastAsia"/>
        </w:rPr>
      </w:pPr>
      <w:r>
        <w:t>Trigger: If telemetry from a verification-relevant facility is unavailable for 48 consecutive hours, and the Technical Working Group certifies that this unavailability is not due to equipment failure or maintenance:</w:t>
      </w:r>
    </w:p>
    <w:p w14:paraId="7A669AB5" w14:textId="77777777" w:rsidR="00CA7ABD" w:rsidRDefault="00000000">
      <w:pPr>
        <w:rPr>
          <w:rFonts w:hint="eastAsia"/>
        </w:rPr>
      </w:pPr>
      <w:r>
        <w:t>All framework benefits related to that facility suspend automatically. No human veto overrides this suspension. The suspension lifts immediately upon Technical Working Group certification that telemetry restores and verifies as authentic. This automatic suspension is the only penalty that activates without executive consultation.</w:t>
      </w:r>
    </w:p>
    <w:p w14:paraId="4D4A037F" w14:textId="77777777" w:rsidR="00CA7ABD" w:rsidRDefault="00000000">
      <w:pPr>
        <w:pStyle w:val="Heading3"/>
        <w:rPr>
          <w:rFonts w:hint="eastAsia"/>
        </w:rPr>
      </w:pPr>
      <w:r>
        <w:t>SECTION 3: NOTIFICATION PROTOCOL</w:t>
      </w:r>
    </w:p>
    <w:p w14:paraId="2B74EEC9" w14:textId="77777777" w:rsidR="00CA7ABD" w:rsidRDefault="00000000">
      <w:pPr>
        <w:rPr>
          <w:rFonts w:hint="eastAsia"/>
        </w:rPr>
      </w:pPr>
      <w:r>
        <w:t>All formal notifications required under this Method transmit through the Shared Digital Registry. The Registry distributes notifications automatically to all relevant recipients according to the following routing hierarchy:</w:t>
      </w:r>
    </w:p>
    <w:p w14:paraId="3FF97215" w14:textId="77777777" w:rsidR="00CA7ABD" w:rsidRDefault="00000000">
      <w:pPr>
        <w:rPr>
          <w:rFonts w:hint="eastAsia"/>
        </w:rPr>
      </w:pPr>
      <w:r>
        <w:t>Operational notifications: Anomalies, data disputes, and technical findings route to the Joint Monitoring Cell and both Parties.</w:t>
      </w:r>
    </w:p>
    <w:p w14:paraId="5F9A5A08" w14:textId="77777777" w:rsidR="00CA7ABD" w:rsidRDefault="00000000">
      <w:pPr>
        <w:rPr>
          <w:rFonts w:hint="eastAsia"/>
        </w:rPr>
      </w:pPr>
      <w:r>
        <w:t>Political notifications: Extension requests, pilot exit notices, and consent to final arrangements route to the Permanent Coordination Council, both Parties, and the Guarantor Matrix.</w:t>
      </w:r>
    </w:p>
    <w:p w14:paraId="3F7CCCE8" w14:textId="77777777" w:rsidR="00CA7ABD" w:rsidRDefault="00000000">
      <w:pPr>
        <w:rPr>
          <w:rFonts w:hint="eastAsia"/>
        </w:rPr>
      </w:pPr>
      <w:r>
        <w:t>Financial notifications: Payments, bond releases, and audit requests route to the Swiss facilitator, the Joint Monitoring Cell, and both Parties.</w:t>
      </w:r>
    </w:p>
    <w:p w14:paraId="31CDBE9E" w14:textId="77777777" w:rsidR="00CA7ABD" w:rsidRDefault="00000000">
      <w:pPr>
        <w:rPr>
          <w:rFonts w:hint="eastAsia"/>
        </w:rPr>
      </w:pPr>
      <w:r>
        <w:t>The Shared Digital Registry timestamps every notification at transmission. The framework architecture deems a notification received by all required recipients at the moment of transmission.</w:t>
      </w:r>
    </w:p>
    <w:p w14:paraId="3D16812D" w14:textId="77777777" w:rsidR="00CA7ABD" w:rsidRDefault="00000000">
      <w:pPr>
        <w:rPr>
          <w:rFonts w:hint="eastAsia"/>
        </w:rPr>
      </w:pPr>
      <w:r>
        <w:t>Either Party requests confirmation of delivery for any notification. The Joint Monitoring Cell Duty Officer confirms delivery within 4 hours of the request. Failed delivery triggers automatic escalation to the Swiss facilitator for alternative routing.</w:t>
      </w:r>
    </w:p>
    <w:p w14:paraId="236663A8" w14:textId="77777777" w:rsidR="00CA7ABD" w:rsidRDefault="00000000">
      <w:pPr>
        <w:pStyle w:val="Heading2"/>
        <w:rPr>
          <w:rFonts w:hint="eastAsia"/>
        </w:rPr>
      </w:pPr>
      <w:r>
        <w:t>PART II: ADVERSARIAL CLAIM VERIFICATION</w:t>
      </w:r>
    </w:p>
    <w:p w14:paraId="2A09E260" w14:textId="77777777" w:rsidR="00CA7ABD" w:rsidRDefault="00000000">
      <w:pPr>
        <w:pStyle w:val="Heading3"/>
        <w:rPr>
          <w:rFonts w:hint="eastAsia"/>
        </w:rPr>
      </w:pPr>
      <w:r>
        <w:t>SECTION 4: VERIFICATION BOND AND FINANCIAL ARCHITECTURE</w:t>
      </w:r>
    </w:p>
    <w:p w14:paraId="583E3525" w14:textId="77777777" w:rsidR="00CA7ABD" w:rsidRDefault="00000000">
      <w:pPr>
        <w:rPr>
          <w:rFonts w:hint="eastAsia"/>
        </w:rPr>
      </w:pPr>
      <w:r>
        <w:t>4.1 Verification Bond</w:t>
      </w:r>
    </w:p>
    <w:p w14:paraId="6589B617" w14:textId="77777777" w:rsidR="00CA7ABD" w:rsidRDefault="00000000">
      <w:pPr>
        <w:rPr>
          <w:rFonts w:hint="eastAsia"/>
        </w:rPr>
      </w:pPr>
      <w:r>
        <w:t>Both Parties deposit a Verification Bond with the Swiss facilitator before the Testing Phase commences. The framework architecture treats the bond as a performance stake, not a fee. Neither Party recovers its bond automatically. Recovery depends on demonstrated good faith participation.</w:t>
      </w:r>
    </w:p>
    <w:p w14:paraId="6F1B6E8A" w14:textId="77777777" w:rsidR="00CA7ABD" w:rsidRDefault="00000000">
      <w:pPr>
        <w:rPr>
          <w:rFonts w:hint="eastAsia"/>
        </w:rPr>
      </w:pPr>
      <w:r>
        <w:t>Party: Claimant Party</w:t>
      </w:r>
    </w:p>
    <w:p w14:paraId="0A6C8A57" w14:textId="77777777" w:rsidR="00CA7ABD" w:rsidRDefault="00000000">
      <w:pPr>
        <w:rPr>
          <w:rFonts w:hint="eastAsia"/>
        </w:rPr>
      </w:pPr>
      <w:r>
        <w:t>Bond Amount: 200 credits</w:t>
      </w:r>
    </w:p>
    <w:p w14:paraId="0103D5CB" w14:textId="77777777" w:rsidR="00CA7ABD" w:rsidRDefault="00000000">
      <w:pPr>
        <w:rPr>
          <w:rFonts w:hint="eastAsia"/>
        </w:rPr>
      </w:pPr>
      <w:r>
        <w:t>Release Condition: The Claimant Party accumulates 50 or more verified credits</w:t>
      </w:r>
    </w:p>
    <w:p w14:paraId="0B2D8A57" w14:textId="77777777" w:rsidR="00CA7ABD" w:rsidRDefault="00000000">
      <w:pPr>
        <w:rPr>
          <w:rFonts w:hint="eastAsia"/>
        </w:rPr>
      </w:pPr>
      <w:r>
        <w:t>Forfeit Condition: The Claimant Party submits zero verifiable claims during the Testing Phase</w:t>
      </w:r>
    </w:p>
    <w:p w14:paraId="6D20EAEB" w14:textId="77777777" w:rsidR="00CA7ABD" w:rsidRDefault="00000000">
      <w:pPr>
        <w:rPr>
          <w:rFonts w:hint="eastAsia"/>
        </w:rPr>
      </w:pPr>
      <w:r>
        <w:t>Party: Verifier Party</w:t>
      </w:r>
    </w:p>
    <w:p w14:paraId="22E1315F" w14:textId="77777777" w:rsidR="00CA7ABD" w:rsidRDefault="00000000">
      <w:pPr>
        <w:rPr>
          <w:rFonts w:hint="eastAsia"/>
        </w:rPr>
      </w:pPr>
      <w:r>
        <w:t>Bond Amount: 200 credits</w:t>
      </w:r>
    </w:p>
    <w:p w14:paraId="342FCC46" w14:textId="77777777" w:rsidR="00CA7ABD" w:rsidRDefault="00000000">
      <w:pPr>
        <w:rPr>
          <w:rFonts w:hint="eastAsia"/>
        </w:rPr>
      </w:pPr>
      <w:r>
        <w:t>Release Condition: Verifier objections achieve 50 percent or greater upheld rate</w:t>
      </w:r>
    </w:p>
    <w:p w14:paraId="28BC6D34" w14:textId="77777777" w:rsidR="00CA7ABD" w:rsidRDefault="00000000">
      <w:pPr>
        <w:rPr>
          <w:rFonts w:hint="eastAsia"/>
        </w:rPr>
      </w:pPr>
      <w:r>
        <w:t>Forfeit Condition: Frivolous objection rate exceeds 30 percent</w:t>
      </w:r>
    </w:p>
    <w:p w14:paraId="5FB61A36" w14:textId="77777777" w:rsidR="00CA7ABD" w:rsidRDefault="00000000">
      <w:pPr>
        <w:rPr>
          <w:rFonts w:hint="eastAsia"/>
        </w:rPr>
      </w:pPr>
      <w:r>
        <w:t>The Swiss facilitator holds both bonds in a dedicated sub-account of the escrow. The framework architecture releases each bond automatically upon satisfaction of the release condition. The framework architecture forfeits each bond automatically upon satisfaction of the forfeit condition. Bond status appears on the Compliance Dashboard at all times.</w:t>
      </w:r>
    </w:p>
    <w:p w14:paraId="68187DE7" w14:textId="77777777" w:rsidR="00CA7ABD" w:rsidRDefault="00000000">
      <w:pPr>
        <w:rPr>
          <w:rFonts w:hint="eastAsia"/>
        </w:rPr>
      </w:pPr>
      <w:r>
        <w:t>4.2 Contingency Reserve</w:t>
      </w:r>
    </w:p>
    <w:p w14:paraId="0EA30387" w14:textId="77777777" w:rsidR="00CA7ABD" w:rsidRDefault="00000000">
      <w:pPr>
        <w:rPr>
          <w:rFonts w:hint="eastAsia"/>
        </w:rPr>
      </w:pPr>
      <w:r>
        <w:t>The escrow mechanism maintains a contingency reserve equal to 10 percent of the total Testing Phase and Cooling-Off Period allocation. The Swiss facilitator releases this reserve only upon joint written request from both Parties or upon certification by the Joint Monitoring Cell Chief Technical Officer that operational costs exceed the released tranches by more than 10 percent. The Shared Digital Registry logs all contingency releases with supporting justification. The contingency reserve protects against minor cost overruns without creating a political dispute.</w:t>
      </w:r>
    </w:p>
    <w:p w14:paraId="1ECB0825" w14:textId="77777777" w:rsidR="00CA7ABD" w:rsidRDefault="00000000">
      <w:pPr>
        <w:rPr>
          <w:rFonts w:hint="eastAsia"/>
        </w:rPr>
      </w:pPr>
      <w:r>
        <w:t>4.3 Budget Continuity</w:t>
      </w:r>
    </w:p>
    <w:p w14:paraId="6E042C76" w14:textId="77777777" w:rsidR="00CA7ABD" w:rsidRDefault="00000000">
      <w:pPr>
        <w:rPr>
          <w:rFonts w:hint="eastAsia"/>
        </w:rPr>
      </w:pPr>
      <w:r>
        <w:t>All escrow budget tranches released prior to fallback activation remain fully available during any fallback or extension period. The Swiss facilitator maintains the escrow accounts and disbursement mechanisms without interruption. Neither Party renegotiates or recalls released funds solely because of fallback activation. Budget continuity ensures that monitoring operations continue without funding gaps during political stalemate.</w:t>
      </w:r>
    </w:p>
    <w:p w14:paraId="312A8D79" w14:textId="77777777" w:rsidR="00CA7ABD" w:rsidRDefault="00000000">
      <w:pPr>
        <w:pStyle w:val="Heading3"/>
        <w:rPr>
          <w:rFonts w:hint="eastAsia"/>
        </w:rPr>
      </w:pPr>
      <w:r>
        <w:t>SECTION 5: CLAIM SUBMISSION AND BUNDLING</w:t>
      </w:r>
    </w:p>
    <w:p w14:paraId="4882364B" w14:textId="77777777" w:rsidR="00CA7ABD" w:rsidRDefault="00000000">
      <w:pPr>
        <w:rPr>
          <w:rFonts w:hint="eastAsia"/>
        </w:rPr>
      </w:pPr>
      <w:r>
        <w:t>5.1 Claim Submission Requirements</w:t>
      </w:r>
    </w:p>
    <w:p w14:paraId="4669C532" w14:textId="77777777" w:rsidR="00CA7ABD" w:rsidRDefault="00000000">
      <w:pPr>
        <w:rPr>
          <w:rFonts w:hint="eastAsia"/>
        </w:rPr>
      </w:pPr>
      <w:r>
        <w:t>The Claimant Party submits a service claim through the Shared Digital Registry. Every claim requires primary evidence, supporting documentation, and certification by the Claimant Party's Joint Monitoring Cell liaison.</w:t>
      </w:r>
    </w:p>
    <w:p w14:paraId="62BEE2DB" w14:textId="77777777" w:rsidR="00CA7ABD" w:rsidRDefault="00000000">
      <w:pPr>
        <w:rPr>
          <w:rFonts w:hint="eastAsia"/>
        </w:rPr>
      </w:pPr>
      <w:r>
        <w:t>Primary evidence: Telemetry, radar data, operational logs, or equivalent objective recordings. Time limit: 24 hours from service delivery.</w:t>
      </w:r>
    </w:p>
    <w:p w14:paraId="5011E7A4" w14:textId="77777777" w:rsidR="00CA7ABD" w:rsidRDefault="00000000">
      <w:pPr>
        <w:rPr>
          <w:rFonts w:hint="eastAsia"/>
        </w:rPr>
      </w:pPr>
      <w:r>
        <w:t>Supporting documentation: Time-stamped operational logs with chain-of-custody records. Time limit: 24 hours from service delivery.</w:t>
      </w:r>
    </w:p>
    <w:p w14:paraId="59F050A0" w14:textId="77777777" w:rsidR="00CA7ABD" w:rsidRDefault="00000000">
      <w:pPr>
        <w:rPr>
          <w:rFonts w:hint="eastAsia"/>
        </w:rPr>
      </w:pPr>
      <w:r>
        <w:t>Joint Monitoring Cell liaison certification: Signed attestation by the accredited national representative. Time limit: 24 hours from service delivery.</w:t>
      </w:r>
    </w:p>
    <w:p w14:paraId="7351DFFD" w14:textId="77777777" w:rsidR="00CA7ABD" w:rsidRDefault="00000000">
      <w:pPr>
        <w:rPr>
          <w:rFonts w:hint="eastAsia"/>
        </w:rPr>
      </w:pPr>
      <w:r>
        <w:t>The Joint Monitoring Cell timestamps every claim upon receipt. The timestamp determines the claim's position in the review queue and its eligibility for the rapid-response bonus. Claims arriving without all three components return to the Claimant Party automatically. The Claimant Party corrects and resubmits the claim within the original 24-hour window.</w:t>
      </w:r>
    </w:p>
    <w:p w14:paraId="270AF342" w14:textId="77777777" w:rsidR="00CA7ABD" w:rsidRDefault="00000000">
      <w:pPr>
        <w:rPr>
          <w:rFonts w:hint="eastAsia"/>
        </w:rPr>
      </w:pPr>
      <w:r>
        <w:t>5.2 Bundled Claims</w:t>
      </w:r>
    </w:p>
    <w:p w14:paraId="6A22F8AD" w14:textId="77777777" w:rsidR="00CA7ABD" w:rsidRDefault="00000000">
      <w:pPr>
        <w:rPr>
          <w:rFonts w:hint="eastAsia"/>
        </w:rPr>
      </w:pPr>
      <w:r>
        <w:t>The Claimant Party submits bundled claims for repetitive services in a single submission. A bundle covers multiple instances of the same service type across a defined period. The bundle includes all required evidence for each instance. The Joint Monitoring Cell verifies the bundle as a single claim for purposes of pacing limits and credit calculation. The credit value for a bundle equals the sum of the individual instance credits. Bundling reduces administrative burden for routine services and allows the Joint Monitoring Cell to focus on higher-value or contested claims.</w:t>
      </w:r>
    </w:p>
    <w:p w14:paraId="5AAAEC8C" w14:textId="77777777" w:rsidR="00CA7ABD" w:rsidRDefault="00000000">
      <w:pPr>
        <w:pStyle w:val="Heading3"/>
        <w:rPr>
          <w:rFonts w:hint="eastAsia"/>
        </w:rPr>
      </w:pPr>
      <w:r>
        <w:t>SECTION 6: INITIAL VERIFICATION AND THE VERIFICATION FUND</w:t>
      </w:r>
    </w:p>
    <w:p w14:paraId="6A419FAF" w14:textId="77777777" w:rsidR="00CA7ABD" w:rsidRDefault="00000000">
      <w:pPr>
        <w:rPr>
          <w:rFonts w:hint="eastAsia"/>
        </w:rPr>
      </w:pPr>
      <w:r>
        <w:t>6.1 Confirmation Levels</w:t>
      </w:r>
    </w:p>
    <w:p w14:paraId="7297DAD5" w14:textId="77777777" w:rsidR="00CA7ABD" w:rsidRDefault="00000000">
      <w:pPr>
        <w:rPr>
          <w:rFonts w:hint="eastAsia"/>
        </w:rPr>
      </w:pPr>
      <w:r>
        <w:t>The Technical Working Group assesses every submitted claim against the objective data in the Shared Digital Registry. The Group compares the Claimant Party's evidence against the golden record: the unalterable, cryptographically sealed data stream that both Parties contribute to continuously.</w:t>
      </w:r>
    </w:p>
    <w:p w14:paraId="46B30A8D" w14:textId="77777777" w:rsidR="00CA7ABD" w:rsidRDefault="00000000">
      <w:pPr>
        <w:rPr>
          <w:rFonts w:hint="eastAsia"/>
        </w:rPr>
      </w:pPr>
      <w:r>
        <w:t>The Technical Working Group assigns a confirmation level to every claim:</w:t>
      </w:r>
    </w:p>
    <w:p w14:paraId="5DA88FB9" w14:textId="77777777" w:rsidR="00CA7ABD" w:rsidRDefault="00000000">
      <w:pPr>
        <w:rPr>
          <w:rFonts w:hint="eastAsia"/>
        </w:rPr>
      </w:pPr>
      <w:r>
        <w:t>Full confirmation: 100 percent data alignment between claim and golden record. Effect: Verifier challenge cost multiplies by 1.5 times.</w:t>
      </w:r>
    </w:p>
    <w:p w14:paraId="269E9782" w14:textId="77777777" w:rsidR="00CA7ABD" w:rsidRDefault="00000000">
      <w:pPr>
        <w:rPr>
          <w:rFonts w:hint="eastAsia"/>
        </w:rPr>
      </w:pPr>
      <w:r>
        <w:t>Partial confirmation: 50 to 99 percent data alignment. Effect: Verifier challenge cost remains at standard rate.</w:t>
      </w:r>
    </w:p>
    <w:p w14:paraId="2D270DE6" w14:textId="77777777" w:rsidR="00CA7ABD" w:rsidRDefault="00000000">
      <w:pPr>
        <w:rPr>
          <w:rFonts w:hint="eastAsia"/>
        </w:rPr>
      </w:pPr>
      <w:r>
        <w:t>No confirmation: Below 50 percent data alignment. Effect: Verifier challenge cost reduces to 0.5 times.</w:t>
      </w:r>
    </w:p>
    <w:p w14:paraId="4E4D08D2" w14:textId="77777777" w:rsidR="00CA7ABD" w:rsidRDefault="00000000">
      <w:pPr>
        <w:rPr>
          <w:rFonts w:hint="eastAsia"/>
        </w:rPr>
      </w:pPr>
      <w:r>
        <w:t>6.2 Credit Accumulation</w:t>
      </w:r>
    </w:p>
    <w:p w14:paraId="7C583913" w14:textId="77777777" w:rsidR="00CA7ABD" w:rsidRDefault="00000000">
      <w:pPr>
        <w:rPr>
          <w:rFonts w:hint="eastAsia"/>
        </w:rPr>
      </w:pPr>
      <w:r>
        <w:t>Upon confirmation by the Technical Working Group, the claim enters the Verification Fund. Credits accumulate according to the following schedule:</w:t>
      </w:r>
    </w:p>
    <w:p w14:paraId="5F929778" w14:textId="77777777" w:rsidR="00CA7ABD" w:rsidRDefault="00000000">
      <w:pPr>
        <w:rPr>
          <w:rFonts w:hint="eastAsia"/>
        </w:rPr>
      </w:pPr>
      <w:r>
        <w:t>Service Type: Primary monitoring (per day)</w:t>
      </w:r>
    </w:p>
    <w:p w14:paraId="15C9C351" w14:textId="77777777" w:rsidR="00CA7ABD" w:rsidRDefault="00000000">
      <w:pPr>
        <w:rPr>
          <w:rFonts w:hint="eastAsia"/>
        </w:rPr>
      </w:pPr>
      <w:r>
        <w:t>Base Credit Value: 5 credits</w:t>
      </w:r>
    </w:p>
    <w:p w14:paraId="7856C367" w14:textId="77777777" w:rsidR="00CA7ABD" w:rsidRDefault="00000000">
      <w:pPr>
        <w:rPr>
          <w:rFonts w:hint="eastAsia"/>
        </w:rPr>
      </w:pPr>
      <w:r>
        <w:t>Rapid-Confirmation Bonus (within 12 hours): +1 credit</w:t>
      </w:r>
    </w:p>
    <w:p w14:paraId="33934379" w14:textId="77777777" w:rsidR="00CA7ABD" w:rsidRDefault="00000000">
      <w:pPr>
        <w:rPr>
          <w:rFonts w:hint="eastAsia"/>
        </w:rPr>
      </w:pPr>
      <w:r>
        <w:t>Service Type: Secondary observation (per incident)</w:t>
      </w:r>
    </w:p>
    <w:p w14:paraId="339058F1" w14:textId="77777777" w:rsidR="00CA7ABD" w:rsidRDefault="00000000">
      <w:pPr>
        <w:rPr>
          <w:rFonts w:hint="eastAsia"/>
        </w:rPr>
      </w:pPr>
      <w:r>
        <w:t>Base Credit Value: 8 credits</w:t>
      </w:r>
    </w:p>
    <w:p w14:paraId="43B0E32D" w14:textId="77777777" w:rsidR="00CA7ABD" w:rsidRDefault="00000000">
      <w:pPr>
        <w:rPr>
          <w:rFonts w:hint="eastAsia"/>
        </w:rPr>
      </w:pPr>
      <w:r>
        <w:t>Rapid-Confirmation Bonus (within 12 hours): +1 credit</w:t>
      </w:r>
    </w:p>
    <w:p w14:paraId="74081614" w14:textId="77777777" w:rsidR="00CA7ABD" w:rsidRDefault="00000000">
      <w:pPr>
        <w:rPr>
          <w:rFonts w:hint="eastAsia"/>
        </w:rPr>
      </w:pPr>
      <w:r>
        <w:t>Service Type: Environmental or hazard response (per incident)</w:t>
      </w:r>
    </w:p>
    <w:p w14:paraId="7543EA35" w14:textId="77777777" w:rsidR="00CA7ABD" w:rsidRDefault="00000000">
      <w:pPr>
        <w:rPr>
          <w:rFonts w:hint="eastAsia"/>
        </w:rPr>
      </w:pPr>
      <w:r>
        <w:t>Base Credit Value: 6 credits</w:t>
      </w:r>
    </w:p>
    <w:p w14:paraId="497CF7A7" w14:textId="77777777" w:rsidR="00CA7ABD" w:rsidRDefault="00000000">
      <w:pPr>
        <w:rPr>
          <w:rFonts w:hint="eastAsia"/>
        </w:rPr>
      </w:pPr>
      <w:r>
        <w:t>Rapid-Confirmation Bonus (within 12 hours): +1 credit</w:t>
      </w:r>
    </w:p>
    <w:p w14:paraId="5A359A02" w14:textId="77777777" w:rsidR="00CA7ABD" w:rsidRDefault="00000000">
      <w:pPr>
        <w:rPr>
          <w:rFonts w:hint="eastAsia"/>
        </w:rPr>
      </w:pPr>
      <w:r>
        <w:t>Service Type: Infrastructure clearance (per linear kilometer)</w:t>
      </w:r>
    </w:p>
    <w:p w14:paraId="55621E7C" w14:textId="77777777" w:rsidR="00CA7ABD" w:rsidRDefault="00000000">
      <w:pPr>
        <w:rPr>
          <w:rFonts w:hint="eastAsia"/>
        </w:rPr>
      </w:pPr>
      <w:r>
        <w:t>Base Credit Value: 10 credits</w:t>
      </w:r>
    </w:p>
    <w:p w14:paraId="30385A22" w14:textId="77777777" w:rsidR="00CA7ABD" w:rsidRDefault="00000000">
      <w:pPr>
        <w:rPr>
          <w:rFonts w:hint="eastAsia"/>
        </w:rPr>
      </w:pPr>
      <w:r>
        <w:t>Rapid-Confirmation Bonus (within 12 hours): +2 credits</w:t>
      </w:r>
    </w:p>
    <w:p w14:paraId="7CE69115" w14:textId="77777777" w:rsidR="00CA7ABD" w:rsidRDefault="00000000">
      <w:pPr>
        <w:rPr>
          <w:rFonts w:hint="eastAsia"/>
        </w:rPr>
      </w:pPr>
      <w:r>
        <w:t>The framework architecture awards the rapid-confirmation bonus automatically when the Technical Working Group confirms the claim within 12 hours of submission. The bonus rewards prompt, well-documented claims and accelerates the verification pipeline.</w:t>
      </w:r>
    </w:p>
    <w:p w14:paraId="3458BE74" w14:textId="77777777" w:rsidR="00CA7ABD" w:rsidRDefault="00000000">
      <w:pPr>
        <w:rPr>
          <w:rFonts w:hint="eastAsia"/>
        </w:rPr>
      </w:pPr>
      <w:r>
        <w:t>The 50-credit threshold determines the Testing Phase outcome. Accumulation of 50 or more verified credits triggers automatic progression to the Cooling-Off Period with positive momentum designation. The framework architecture fixes this threshold. No Party renegotiates it.</w:t>
      </w:r>
    </w:p>
    <w:p w14:paraId="4B8F2A4D" w14:textId="77777777" w:rsidR="00CA7ABD" w:rsidRDefault="00000000">
      <w:pPr>
        <w:pStyle w:val="Heading3"/>
        <w:rPr>
          <w:rFonts w:hint="eastAsia"/>
        </w:rPr>
      </w:pPr>
      <w:r>
        <w:t>SECTION 7: ADVERSARIAL REVIEW AND CHALLENGE PHASE</w:t>
      </w:r>
    </w:p>
    <w:p w14:paraId="4E56B4B9" w14:textId="77777777" w:rsidR="00CA7ABD" w:rsidRDefault="00000000">
      <w:pPr>
        <w:rPr>
          <w:rFonts w:hint="eastAsia"/>
        </w:rPr>
      </w:pPr>
      <w:r>
        <w:t>7.1 Challenge Types and Costs</w:t>
      </w:r>
    </w:p>
    <w:p w14:paraId="6F5FF47F" w14:textId="77777777" w:rsidR="00CA7ABD" w:rsidRDefault="00000000">
      <w:pPr>
        <w:rPr>
          <w:rFonts w:hint="eastAsia"/>
        </w:rPr>
      </w:pPr>
      <w:r>
        <w:t>The Verifier Party possesses a 48-hour challenge window following Joint Monitoring Cell confirmation of any claim. The Verifier Party exercises this window by submitting a formal objection notice through the Shared Digital Registry. Every objection specifies the exact evidence in dispute and pays the applicable challenge cost from the Verifier Party's Verification Fund.</w:t>
      </w:r>
    </w:p>
    <w:p w14:paraId="4F339D6D" w14:textId="77777777" w:rsidR="00CA7ABD" w:rsidRDefault="00000000">
      <w:pPr>
        <w:rPr>
          <w:rFonts w:hint="eastAsia"/>
        </w:rPr>
      </w:pPr>
      <w:r>
        <w:t>Acceptance: The Verifier Party accepts the confirmation without objection. Cost: 0 credits. Penalty if wrong: None; claim stands; reimbursement proceeds.</w:t>
      </w:r>
    </w:p>
    <w:p w14:paraId="0A2B5104" w14:textId="77777777" w:rsidR="00CA7ABD" w:rsidRDefault="00000000">
      <w:pPr>
        <w:rPr>
          <w:rFonts w:hint="eastAsia"/>
        </w:rPr>
      </w:pPr>
      <w:r>
        <w:t>Technical review request: The Verifier Party requests panel review of specific evidence elements. Cost: 5 credits (subject to Joint Monitoring Cell multiplier). Penalty if wrong: 10-credit penalty to Verifier Fund if review confirms claim.</w:t>
      </w:r>
    </w:p>
    <w:p w14:paraId="3ACFC7F1" w14:textId="77777777" w:rsidR="00CA7ABD" w:rsidRDefault="00000000">
      <w:pPr>
        <w:rPr>
          <w:rFonts w:hint="eastAsia"/>
        </w:rPr>
      </w:pPr>
      <w:r>
        <w:t>Full objection: The Verifier Party asserts the claim is false and provides counter-evidence. Cost: 20 credits (subject to Joint Monitoring Cell multiplier). Penalty if wrong: Twice the reimbursement value if objection fails.</w:t>
      </w:r>
    </w:p>
    <w:p w14:paraId="503638F3" w14:textId="77777777" w:rsidR="00CA7ABD" w:rsidRDefault="00000000">
      <w:pPr>
        <w:rPr>
          <w:rFonts w:hint="eastAsia"/>
        </w:rPr>
      </w:pPr>
      <w:r>
        <w:t>The Technical Review Panel convenes within 24 hours of challenge receipt. Both Parties present evidence to the Panel. The Panel bases its decision solely on the unalterable data in the Shared Digital Registry. The Panel issues a binding determination. The Shared Digital Registry logs the determination with a verification score.</w:t>
      </w:r>
    </w:p>
    <w:p w14:paraId="4B33984B" w14:textId="77777777" w:rsidR="00CA7ABD" w:rsidRDefault="00000000">
      <w:pPr>
        <w:rPr>
          <w:rFonts w:hint="eastAsia"/>
        </w:rPr>
      </w:pPr>
      <w:r>
        <w:t>7.2 Frivolous Review Escalation Ladder</w:t>
      </w:r>
    </w:p>
    <w:p w14:paraId="1566632B" w14:textId="77777777" w:rsidR="00CA7ABD" w:rsidRDefault="00000000">
      <w:pPr>
        <w:rPr>
          <w:rFonts w:hint="eastAsia"/>
        </w:rPr>
      </w:pPr>
      <w:r>
        <w:t>The framework architecture treats repeated failed challenges as a systemic risk. A three-strike escalation system applies to failed challenges by either Party. The escalation ladder resets at the start of each new phase.</w:t>
      </w:r>
    </w:p>
    <w:p w14:paraId="13F72E02" w14:textId="77777777" w:rsidR="00CA7ABD" w:rsidRDefault="00000000">
      <w:pPr>
        <w:rPr>
          <w:rFonts w:hint="eastAsia"/>
        </w:rPr>
      </w:pPr>
      <w:r>
        <w:t>First failure: Standard penalty (loss of challenge cost). No procedural consequence.</w:t>
      </w:r>
    </w:p>
    <w:p w14:paraId="0CACBDD9" w14:textId="77777777" w:rsidR="00CA7ABD" w:rsidRDefault="00000000">
      <w:pPr>
        <w:rPr>
          <w:rFonts w:hint="eastAsia"/>
        </w:rPr>
      </w:pPr>
      <w:r>
        <w:t>Second failure: Double penalty (twice the challenge cost). Procedural consequence: 24-hour challenge moratorium.</w:t>
      </w:r>
    </w:p>
    <w:p w14:paraId="59FBED5F" w14:textId="77777777" w:rsidR="00CA7ABD" w:rsidRDefault="00000000">
      <w:pPr>
        <w:rPr>
          <w:rFonts w:hint="eastAsia"/>
        </w:rPr>
      </w:pPr>
      <w:r>
        <w:t>Third failure: Quadruple penalty (four times the challenge cost). Procedural consequence: 72-hour challenge moratorium plus mandatory Permanent Coordination Council review.</w:t>
      </w:r>
    </w:p>
    <w:p w14:paraId="30CE308D" w14:textId="77777777" w:rsidR="00CA7ABD" w:rsidRDefault="00000000">
      <w:pPr>
        <w:rPr>
          <w:rFonts w:hint="eastAsia"/>
        </w:rPr>
      </w:pPr>
      <w:r>
        <w:t>Fourth and subsequent: Quadruple penalty continues. Procedural consequence: Automatic bad-faith designation; all claims by the opposing Party receive automatic verification for 7 days.</w:t>
      </w:r>
    </w:p>
    <w:p w14:paraId="71295F4C" w14:textId="77777777" w:rsidR="00CA7ABD" w:rsidRDefault="00000000">
      <w:pPr>
        <w:rPr>
          <w:rFonts w:hint="eastAsia"/>
        </w:rPr>
      </w:pPr>
      <w:r>
        <w:t>The bad-faith designation is the highest procedural sanction under this Method. It activates automatically upon the fourth failed challenge within a single phase. During the 7-day automatic verification period, claims by the protected Party skip the challenge phase entirely and enter the Verification Fund immediately upon Joint Monitoring Cell confirmation. The Shared Digital Registry publishes the bad-faith designation and its trigger history to both Parties.</w:t>
      </w:r>
    </w:p>
    <w:p w14:paraId="5B39CACA" w14:textId="77777777" w:rsidR="00CA7ABD" w:rsidRDefault="00000000">
      <w:pPr>
        <w:rPr>
          <w:rFonts w:hint="eastAsia"/>
        </w:rPr>
      </w:pPr>
      <w:r>
        <w:t>7.3 Anonymous Review Protocol</w:t>
      </w:r>
    </w:p>
    <w:p w14:paraId="53257BAD" w14:textId="77777777" w:rsidR="00CA7ABD" w:rsidRDefault="00000000">
      <w:pPr>
        <w:rPr>
          <w:rFonts w:hint="eastAsia"/>
        </w:rPr>
      </w:pPr>
      <w:r>
        <w:t>All challenges submit anonymously to the Joint Monitoring Cell. The framework architecture treats the review process as data-driven, not accusatory. Anonymity depersonalizes verification and prevents challenges from becoming diplomatic incidents.</w:t>
      </w:r>
    </w:p>
    <w:p w14:paraId="600682F3" w14:textId="77777777" w:rsidR="00CA7ABD" w:rsidRDefault="00000000">
      <w:pPr>
        <w:rPr>
          <w:rFonts w:hint="eastAsia"/>
        </w:rPr>
      </w:pPr>
      <w:r>
        <w:t>Challenge submission: The challenged Party receives notice: "Your claim has been challenged. Submit supporting evidence by [date]." The challenging Party's identity remains concealed.</w:t>
      </w:r>
    </w:p>
    <w:p w14:paraId="74DA7BB7" w14:textId="77777777" w:rsidR="00CA7ABD" w:rsidRDefault="00000000">
      <w:pPr>
        <w:rPr>
          <w:rFonts w:hint="eastAsia"/>
        </w:rPr>
      </w:pPr>
      <w:r>
        <w:t>Adjudication: Both Parties submit evidence to the Panel but do not see each other's evidence during the review process.</w:t>
      </w:r>
    </w:p>
    <w:p w14:paraId="7CC91AB5" w14:textId="77777777" w:rsidR="00CA7ABD" w:rsidRDefault="00000000">
      <w:pPr>
        <w:rPr>
          <w:rFonts w:hint="eastAsia"/>
        </w:rPr>
      </w:pPr>
      <w:r>
        <w:t>Upheld claim: The challenger remains anonymous. No Party learns the challenging Party's identity.</w:t>
      </w:r>
    </w:p>
    <w:p w14:paraId="4A127C14" w14:textId="77777777" w:rsidR="00CA7ABD" w:rsidRDefault="00000000">
      <w:pPr>
        <w:rPr>
          <w:rFonts w:hint="eastAsia"/>
        </w:rPr>
      </w:pPr>
      <w:r>
        <w:t>Overturned claim: The Panel reveals the challenger only to the challenged Party, not publicly. The revelation occurs through secure diplomatic channels, not the Shared Digital Registry.</w:t>
      </w:r>
    </w:p>
    <w:p w14:paraId="422EDB84" w14:textId="77777777" w:rsidR="00CA7ABD" w:rsidRDefault="00000000">
      <w:pPr>
        <w:rPr>
          <w:rFonts w:hint="eastAsia"/>
        </w:rPr>
      </w:pPr>
      <w:r>
        <w:t>The Anonymous Review Protocol protects the integrity of the verification process. A Party that identifies the challenger through evidence patterns bears no penalty for that identification. The framework architecture treats anonymity as a procedural guarantee, not a permanent concealment mechanism.</w:t>
      </w:r>
    </w:p>
    <w:p w14:paraId="1AA81F09" w14:textId="77777777" w:rsidR="00CA7ABD" w:rsidRDefault="00000000">
      <w:pPr>
        <w:pStyle w:val="Heading3"/>
        <w:rPr>
          <w:rFonts w:hint="eastAsia"/>
        </w:rPr>
      </w:pPr>
      <w:r>
        <w:t>SECTION 8: ADJUDICATION AND PARTIAL CREDIT</w:t>
      </w:r>
    </w:p>
    <w:p w14:paraId="3EBB6C12" w14:textId="77777777" w:rsidR="00CA7ABD" w:rsidRDefault="00000000">
      <w:pPr>
        <w:rPr>
          <w:rFonts w:hint="eastAsia"/>
        </w:rPr>
      </w:pPr>
      <w:r>
        <w:t>8.1 Partial Credit Award System</w:t>
      </w:r>
    </w:p>
    <w:p w14:paraId="372DB32D" w14:textId="77777777" w:rsidR="00CA7ABD" w:rsidRDefault="00000000">
      <w:pPr>
        <w:rPr>
          <w:rFonts w:hint="eastAsia"/>
        </w:rPr>
      </w:pPr>
      <w:r>
        <w:t>The Technical Review Panel awards partial credit when a claim contains both accurate and inaccurate elements. The all-or-nothing approach creates inflation incentives. Partial credit rewards precision and penalizes exaggeration proportionally.</w:t>
      </w:r>
    </w:p>
    <w:p w14:paraId="6F3F8782" w14:textId="77777777" w:rsidR="00CA7ABD" w:rsidRDefault="00000000">
      <w:pPr>
        <w:rPr>
          <w:rFonts w:hint="eastAsia"/>
        </w:rPr>
      </w:pPr>
      <w:r>
        <w:t>90 to 100 percent accuracy: Full credit plus rapid-confirmation bonus. 100 percent reimbursement.</w:t>
      </w:r>
    </w:p>
    <w:p w14:paraId="733E6EF9" w14:textId="77777777" w:rsidR="00CA7ABD" w:rsidRDefault="00000000">
      <w:pPr>
        <w:rPr>
          <w:rFonts w:hint="eastAsia"/>
        </w:rPr>
      </w:pPr>
      <w:r>
        <w:t>70 to 89 percent accuracy: 75 percent of base credit. 75 percent reimbursement.</w:t>
      </w:r>
    </w:p>
    <w:p w14:paraId="3D344443" w14:textId="77777777" w:rsidR="00CA7ABD" w:rsidRDefault="00000000">
      <w:pPr>
        <w:rPr>
          <w:rFonts w:hint="eastAsia"/>
        </w:rPr>
      </w:pPr>
      <w:r>
        <w:t>50 to 69 percent accuracy: 50 percent of base credit. 50 percent reimbursement.</w:t>
      </w:r>
    </w:p>
    <w:p w14:paraId="192B9748" w14:textId="77777777" w:rsidR="00CA7ABD" w:rsidRDefault="00000000">
      <w:pPr>
        <w:rPr>
          <w:rFonts w:hint="eastAsia"/>
        </w:rPr>
      </w:pPr>
      <w:r>
        <w:t>Below 50 percent accuracy: 0 credit; claim rejection. No reimbursement; penalty applies per the Frivolous Review Escalation Ladder.</w:t>
      </w:r>
    </w:p>
    <w:p w14:paraId="38576FEF" w14:textId="77777777" w:rsidR="00CA7ABD" w:rsidRDefault="00000000">
      <w:pPr>
        <w:rPr>
          <w:rFonts w:hint="eastAsia"/>
        </w:rPr>
      </w:pPr>
      <w:r>
        <w:t>The Panel determines accuracy percentage by comparing the claim's scope, location, timing, and outcome against the golden record. The Panel publishes its percentage calculation methodology with every determination.</w:t>
      </w:r>
    </w:p>
    <w:p w14:paraId="0D6E084E" w14:textId="77777777" w:rsidR="00CA7ABD" w:rsidRDefault="00000000">
      <w:pPr>
        <w:rPr>
          <w:rFonts w:hint="eastAsia"/>
        </w:rPr>
      </w:pPr>
      <w:r>
        <w:t>8.2 Escrow Reserve for High-Value Claims</w:t>
      </w:r>
    </w:p>
    <w:p w14:paraId="51416211" w14:textId="77777777" w:rsidR="00CA7ABD" w:rsidRDefault="00000000">
      <w:pPr>
        <w:rPr>
          <w:rFonts w:hint="eastAsia"/>
        </w:rPr>
      </w:pPr>
      <w:r>
        <w:t>High-value claims carry disproportionate score risk. A single rejected major claim eliminates a Party's accumulated progress. The Escrow Reserve reduces this risk by holding a portion of the claim's credit value in suspense until adjudication completes.</w:t>
      </w:r>
    </w:p>
    <w:p w14:paraId="545BF5D3" w14:textId="77777777" w:rsidR="00CA7ABD" w:rsidRDefault="00000000">
      <w:pPr>
        <w:rPr>
          <w:rFonts w:hint="eastAsia"/>
        </w:rPr>
      </w:pPr>
      <w:r>
        <w:t>0 to 20 credits: No reserve. Full credit value enters the Verification Fund immediately upon confirmation.</w:t>
      </w:r>
    </w:p>
    <w:p w14:paraId="66F27CB6" w14:textId="77777777" w:rsidR="00CA7ABD" w:rsidRDefault="00000000">
      <w:pPr>
        <w:rPr>
          <w:rFonts w:hint="eastAsia"/>
        </w:rPr>
      </w:pPr>
      <w:r>
        <w:t>21 to 50 credits: 50 percent held in reserve. 50 percent enters the Fund upon confirmation; remaining 50 percent releases upon final adjudication.</w:t>
      </w:r>
    </w:p>
    <w:p w14:paraId="7FA742E1" w14:textId="77777777" w:rsidR="00CA7ABD" w:rsidRDefault="00000000">
      <w:pPr>
        <w:rPr>
          <w:rFonts w:hint="eastAsia"/>
        </w:rPr>
      </w:pPr>
      <w:r>
        <w:t>51 credits and above: 75 percent held in reserve. 25 percent enters the Fund upon confirmation; remaining 75 percent releases upon final adjudication.</w:t>
      </w:r>
    </w:p>
    <w:p w14:paraId="4EBDC01A" w14:textId="77777777" w:rsidR="00CA7ABD" w:rsidRDefault="00000000">
      <w:pPr>
        <w:rPr>
          <w:rFonts w:hint="eastAsia"/>
        </w:rPr>
      </w:pPr>
      <w:r>
        <w:t>The framework architecture releases reserved credits automatically upon claim verification. The framework architecture forfeits reserved credits automatically upon claim rejection. The Escrow Reserve protects the Claimant Party from catastrophic score loss while maintaining the Verifier Party's incentive to challenge inflated claims.</w:t>
      </w:r>
    </w:p>
    <w:p w14:paraId="607F83C7" w14:textId="77777777" w:rsidR="00CA7ABD" w:rsidRDefault="00000000">
      <w:pPr>
        <w:pStyle w:val="Heading3"/>
        <w:rPr>
          <w:rFonts w:hint="eastAsia"/>
        </w:rPr>
      </w:pPr>
      <w:r>
        <w:t>SECTION 9: THIRD-PARTY EXPERT OVERSIGHT</w:t>
      </w:r>
    </w:p>
    <w:p w14:paraId="16EF5D6F" w14:textId="77777777" w:rsidR="00CA7ABD" w:rsidRDefault="00000000">
      <w:pPr>
        <w:rPr>
          <w:rFonts w:hint="eastAsia"/>
        </w:rPr>
      </w:pPr>
      <w:r>
        <w:t>9.1 Expert Pool</w:t>
      </w:r>
    </w:p>
    <w:p w14:paraId="77E033A0" w14:textId="77777777" w:rsidR="00CA7ABD" w:rsidRDefault="00000000">
      <w:pPr>
        <w:rPr>
          <w:rFonts w:hint="eastAsia"/>
        </w:rPr>
      </w:pPr>
      <w:r>
        <w:t>The framework architecture maintains a standing pool of five neutral technical experts. The Swiss facilitator accredits all five experts before the Testing Phase begins. Each expert holds technical qualifications in telemetry, data forensics, or a related field. No expert holds nationality from either Party.</w:t>
      </w:r>
    </w:p>
    <w:p w14:paraId="6F298C30" w14:textId="77777777" w:rsidR="00CA7ABD" w:rsidRDefault="00000000">
      <w:pPr>
        <w:rPr>
          <w:rFonts w:hint="eastAsia"/>
        </w:rPr>
      </w:pPr>
      <w:r>
        <w:t>Pool coordinator and tie-breaker: Switzerland</w:t>
      </w:r>
    </w:p>
    <w:p w14:paraId="27F41270" w14:textId="77777777" w:rsidR="00CA7ABD" w:rsidRDefault="00000000">
      <w:pPr>
        <w:rPr>
          <w:rFonts w:hint="eastAsia"/>
        </w:rPr>
      </w:pPr>
      <w:r>
        <w:t>Telemetry and sensor expert: Japan</w:t>
      </w:r>
    </w:p>
    <w:p w14:paraId="5974160C" w14:textId="77777777" w:rsidR="00CA7ABD" w:rsidRDefault="00000000">
      <w:pPr>
        <w:rPr>
          <w:rFonts w:hint="eastAsia"/>
        </w:rPr>
      </w:pPr>
      <w:r>
        <w:t>Regional operations expert: United Arab Emirates</w:t>
      </w:r>
    </w:p>
    <w:p w14:paraId="557EAF83" w14:textId="77777777" w:rsidR="00CA7ABD" w:rsidRDefault="00000000">
      <w:pPr>
        <w:rPr>
          <w:rFonts w:hint="eastAsia"/>
        </w:rPr>
      </w:pPr>
      <w:r>
        <w:t>Maritime traffic systems expert: Singapore</w:t>
      </w:r>
    </w:p>
    <w:p w14:paraId="782016AB" w14:textId="77777777" w:rsidR="00CA7ABD" w:rsidRDefault="00000000">
      <w:pPr>
        <w:rPr>
          <w:rFonts w:hint="eastAsia"/>
        </w:rPr>
      </w:pPr>
      <w:r>
        <w:t>Rotating expert: A state not party to this framework, selected by mutual agreement</w:t>
      </w:r>
    </w:p>
    <w:p w14:paraId="02129569" w14:textId="77777777" w:rsidR="00CA7ABD" w:rsidRDefault="00000000">
      <w:pPr>
        <w:rPr>
          <w:rFonts w:hint="eastAsia"/>
        </w:rPr>
      </w:pPr>
      <w:r>
        <w:t>9.2 Second Opinion Mechanism</w:t>
      </w:r>
    </w:p>
    <w:p w14:paraId="1DFA9737" w14:textId="77777777" w:rsidR="00CA7ABD" w:rsidRDefault="00000000">
      <w:pPr>
        <w:rPr>
          <w:rFonts w:hint="eastAsia"/>
        </w:rPr>
      </w:pPr>
      <w:r>
        <w:t>Either Party challenges a Panel determination by requesting a Second Opinion. The Swiss facilitator randomly selects one expert from the pool. The selected expert reviews all evidence independently and issues a Second Opinion within 72 hours.</w:t>
      </w:r>
    </w:p>
    <w:p w14:paraId="3187EA0E" w14:textId="77777777" w:rsidR="00CA7ABD" w:rsidRDefault="00000000">
      <w:pPr>
        <w:rPr>
          <w:rFonts w:hint="eastAsia"/>
        </w:rPr>
      </w:pPr>
      <w:r>
        <w:t>Second Opinion confirms the Panel determination: The challenging Party loses 10 credits from its Verification Fund as a procedural penalty.</w:t>
      </w:r>
    </w:p>
    <w:p w14:paraId="462AFA18" w14:textId="77777777" w:rsidR="00CA7ABD" w:rsidRDefault="00000000">
      <w:pPr>
        <w:rPr>
          <w:rFonts w:hint="eastAsia"/>
        </w:rPr>
      </w:pPr>
      <w:r>
        <w:t>Second Opinion overturns the Panel determination: The Panel's decision vacates automatically; the claim re-adjudicates with the Second Opinion as the authoritative finding; the vacated Panel members rotate out and the Swiss facilitator appoints replacements within 14 days.</w:t>
      </w:r>
    </w:p>
    <w:p w14:paraId="79C950D8" w14:textId="77777777" w:rsidR="00CA7ABD" w:rsidRDefault="00000000">
      <w:pPr>
        <w:rPr>
          <w:rFonts w:hint="eastAsia"/>
        </w:rPr>
      </w:pPr>
      <w:r>
        <w:t>The Second Opinion mechanism provides a check on Panel error without paralyzing the verification pipeline. The 10-credit penalty for a failed Second Opinion request prevents frivolous appeals. The automatic Panel rotation ensures accountability without personalizing the outcome.</w:t>
      </w:r>
    </w:p>
    <w:p w14:paraId="3B2F5E6A" w14:textId="77777777" w:rsidR="00CA7ABD" w:rsidRDefault="00000000">
      <w:pPr>
        <w:pStyle w:val="Heading3"/>
        <w:rPr>
          <w:rFonts w:hint="eastAsia"/>
        </w:rPr>
      </w:pPr>
      <w:r>
        <w:t>SECTION 10: PACING BUFFER</w:t>
      </w:r>
    </w:p>
    <w:p w14:paraId="2345CA5F" w14:textId="77777777" w:rsidR="00CA7ABD" w:rsidRDefault="00000000">
      <w:pPr>
        <w:rPr>
          <w:rFonts w:hint="eastAsia"/>
        </w:rPr>
      </w:pPr>
      <w:r>
        <w:t>The framework architecture enforces pacing limits that prevent either Party from flooding the system with claims or challenges. The limits scale by phase and prioritize quality over volume.</w:t>
      </w:r>
    </w:p>
    <w:p w14:paraId="47716B63" w14:textId="77777777" w:rsidR="00CA7ABD" w:rsidRDefault="00000000">
      <w:pPr>
        <w:rPr>
          <w:rFonts w:hint="eastAsia"/>
        </w:rPr>
      </w:pPr>
      <w:r>
        <w:t>Days 1 through 10 (Testing Phase): Maximum 3 claims per day, 2 challenges per day.</w:t>
      </w:r>
    </w:p>
    <w:p w14:paraId="65319CBD" w14:textId="77777777" w:rsidR="00CA7ABD" w:rsidRDefault="00000000">
      <w:pPr>
        <w:rPr>
          <w:rFonts w:hint="eastAsia"/>
        </w:rPr>
      </w:pPr>
      <w:r>
        <w:t>Days 11 through 14 (Testing Phase): Maximum 5 claims per day, 3 challenges per day.</w:t>
      </w:r>
    </w:p>
    <w:p w14:paraId="3B56EE74" w14:textId="77777777" w:rsidR="00CA7ABD" w:rsidRDefault="00000000">
      <w:pPr>
        <w:rPr>
          <w:rFonts w:hint="eastAsia"/>
        </w:rPr>
      </w:pPr>
      <w:r>
        <w:t>Days 15 through 44 (Cooling-Off Period): Maximum 2 claims per day, 2 challenges per day.</w:t>
      </w:r>
    </w:p>
    <w:p w14:paraId="1106B248" w14:textId="77777777" w:rsidR="00CA7ABD" w:rsidRDefault="00000000">
      <w:pPr>
        <w:rPr>
          <w:rFonts w:hint="eastAsia"/>
        </w:rPr>
      </w:pPr>
      <w:r>
        <w:t>Final 5 days before Decision Point: Maximum 1 claim per day, 1 challenge per day.</w:t>
      </w:r>
    </w:p>
    <w:p w14:paraId="48F23B57" w14:textId="77777777" w:rsidR="00CA7ABD" w:rsidRDefault="00000000">
      <w:pPr>
        <w:rPr>
          <w:rFonts w:hint="eastAsia"/>
        </w:rPr>
      </w:pPr>
      <w:r>
        <w:t>The Joint Monitoring Cell enforces pacing limits automatically. Claims or challenges exceeding the daily limit queue for the next available day. The Shared Digital Registry displays the current day's utilization status for both Parties. Neither Party gains priority from queue position.</w:t>
      </w:r>
    </w:p>
    <w:p w14:paraId="0FDB4184" w14:textId="77777777" w:rsidR="00CA7ABD" w:rsidRDefault="00000000">
      <w:pPr>
        <w:pStyle w:val="Heading2"/>
        <w:rPr>
          <w:rFonts w:hint="eastAsia"/>
        </w:rPr>
      </w:pPr>
      <w:r>
        <w:t>PART III: THE STEP-BACK AND EARN-BACK COMPLIANCE ENGINE</w:t>
      </w:r>
    </w:p>
    <w:p w14:paraId="696D0E50" w14:textId="77777777" w:rsidR="00CA7ABD" w:rsidRDefault="00000000">
      <w:pPr>
        <w:pStyle w:val="Heading3"/>
        <w:rPr>
          <w:rFonts w:hint="eastAsia"/>
        </w:rPr>
      </w:pPr>
      <w:r>
        <w:t>SECTION 11: THREE-TIER BREACH CLASSIFICATION</w:t>
      </w:r>
    </w:p>
    <w:p w14:paraId="17CAF718" w14:textId="77777777" w:rsidR="00CA7ABD" w:rsidRDefault="00000000">
      <w:pPr>
        <w:rPr>
          <w:rFonts w:hint="eastAsia"/>
        </w:rPr>
      </w:pPr>
      <w:r>
        <w:t>All compliance events sort into one of three tiers based on severity, intent, and material impact. This classification determines every subsequent response.</w:t>
      </w:r>
    </w:p>
    <w:p w14:paraId="60761A00" w14:textId="77777777" w:rsidR="00CA7ABD" w:rsidRDefault="00000000">
      <w:pPr>
        <w:rPr>
          <w:rFonts w:hint="eastAsia"/>
        </w:rPr>
      </w:pPr>
      <w:r>
        <w:t>11.1 Tier 1: Technical Dispute (De Minimis)</w:t>
      </w:r>
    </w:p>
    <w:p w14:paraId="2DD05A60" w14:textId="77777777" w:rsidR="00CA7ABD" w:rsidRDefault="00000000">
      <w:pPr>
        <w:rPr>
          <w:rFonts w:hint="eastAsia"/>
        </w:rPr>
      </w:pPr>
      <w:r>
        <w:t>Telemetry signature: Verification readings measure less than 0.5 percent above the agreed ceiling. Two or fewer verification elements found outside agreed status. Reporting delays of 48 hours or less attributable to administrative or technical causes. Minor sensor data transmission interruptions with documented cause. Scheduled sensor maintenance within the 48-hour advance notice window.</w:t>
      </w:r>
    </w:p>
    <w:p w14:paraId="2D27EFB1" w14:textId="77777777" w:rsidR="00CA7ABD" w:rsidRDefault="00000000">
      <w:pPr>
        <w:rPr>
          <w:rFonts w:hint="eastAsia"/>
        </w:rPr>
      </w:pPr>
      <w:r>
        <w:t>Base response: No benefit reduction. No step-back triggers. The Joint Monitoring Cell provides technical assistance within 72 hours. Engineering resolution window: 14 days. Confidential handling. No public disclosure. Quiet compliance correction through standard technical channels.</w:t>
      </w:r>
    </w:p>
    <w:p w14:paraId="70231278" w14:textId="77777777" w:rsidR="00CA7ABD" w:rsidRDefault="00000000">
      <w:pPr>
        <w:rPr>
          <w:rFonts w:hint="eastAsia"/>
        </w:rPr>
      </w:pPr>
      <w:r>
        <w:t>De minimis thresholds: Tier 1 events do not accumulate toward Tier 2. Each Tier 1 event resolves independently.</w:t>
      </w:r>
    </w:p>
    <w:p w14:paraId="0C887624" w14:textId="77777777" w:rsidR="00CA7ABD" w:rsidRDefault="00000000">
      <w:pPr>
        <w:rPr>
          <w:rFonts w:hint="eastAsia"/>
        </w:rPr>
      </w:pPr>
      <w:r>
        <w:t>11.2 Tier 2: Material Disruption</w:t>
      </w:r>
    </w:p>
    <w:p w14:paraId="6A28EFF5" w14:textId="77777777" w:rsidR="00CA7ABD" w:rsidRDefault="00000000">
      <w:pPr>
        <w:rPr>
          <w:rFonts w:hint="eastAsia"/>
        </w:rPr>
      </w:pPr>
      <w:r>
        <w:t>Telemetry signature: Verification readings exceed 0.5 percent above ceiling. More than 2 verification elements outside agreed status. More than 72 hours of Joint Monitoring Cell obstruction or denied access. Unscheduled sensor downtime exceeding 4 hours without documented cause. Pattern of anomalous readings suggesting systematic data manipulation. Confirmed evidence of sensor tampering, deliberate disablement, or material diversion. Falsified telemetry data submission. Any discovered backdoor in cryptographic systems.</w:t>
      </w:r>
    </w:p>
    <w:p w14:paraId="3F8A82A4" w14:textId="77777777" w:rsidR="00CA7ABD" w:rsidRDefault="00000000">
      <w:pPr>
        <w:rPr>
          <w:rFonts w:hint="eastAsia"/>
        </w:rPr>
      </w:pPr>
      <w:r>
        <w:t>Base response (graduated by duration):</w:t>
      </w:r>
    </w:p>
    <w:p w14:paraId="3FC291FD" w14:textId="77777777" w:rsidR="00CA7ABD" w:rsidRDefault="00000000">
      <w:pPr>
        <w:rPr>
          <w:rFonts w:hint="eastAsia"/>
        </w:rPr>
      </w:pPr>
      <w:r>
        <w:t>Days 1 through 7 of disruption: 10 percent reduction in non-humanitarian benefits.</w:t>
      </w:r>
    </w:p>
    <w:p w14:paraId="26676A88" w14:textId="77777777" w:rsidR="00CA7ABD" w:rsidRDefault="00000000">
      <w:pPr>
        <w:rPr>
          <w:rFonts w:hint="eastAsia"/>
        </w:rPr>
      </w:pPr>
      <w:r>
        <w:t>Days 7 through 14 of disruption: 15 percent reduction in non-humanitarian benefits.</w:t>
      </w:r>
    </w:p>
    <w:p w14:paraId="686EB227" w14:textId="77777777" w:rsidR="00CA7ABD" w:rsidRDefault="00000000">
      <w:pPr>
        <w:rPr>
          <w:rFonts w:hint="eastAsia"/>
        </w:rPr>
      </w:pPr>
      <w:r>
        <w:t>Days 15 through 30 of disruption: 25 percent reduction in non-humanitarian benefits.</w:t>
      </w:r>
    </w:p>
    <w:p w14:paraId="79B57EB2" w14:textId="77777777" w:rsidR="00CA7ABD" w:rsidRDefault="00000000">
      <w:pPr>
        <w:rPr>
          <w:rFonts w:hint="eastAsia"/>
        </w:rPr>
      </w:pPr>
      <w:r>
        <w:t>After 30 days: 25 percent reduction plus mandatory referral to the Guarantor Matrix.</w:t>
      </w:r>
    </w:p>
    <w:p w14:paraId="42CA6E85" w14:textId="77777777" w:rsidR="00CA7ABD" w:rsidRDefault="00000000">
      <w:pPr>
        <w:rPr>
          <w:rFonts w:hint="eastAsia"/>
        </w:rPr>
      </w:pPr>
      <w:r>
        <w:t>Protections during Tier 2: Humanitarian tranches remain fully protected at all times. No Tier 2 penalty touches food, medicine, medical equipment, or safety payments. The Political Discretion Fund remains exempt from all Tier 2 reductions. The Joint Monitoring Cell convenes within 24 hours of Tier 2 classification. A 30-day remediation window opens automatically. Executive consultation occurs before any penalty activates.</w:t>
      </w:r>
    </w:p>
    <w:p w14:paraId="6AFEC7E5" w14:textId="77777777" w:rsidR="00CA7ABD" w:rsidRDefault="00000000">
      <w:pPr>
        <w:rPr>
          <w:rFonts w:hint="eastAsia"/>
        </w:rPr>
      </w:pPr>
      <w:r>
        <w:t>11.3 Tier 3: Deliberate Hostile Violation</w:t>
      </w:r>
    </w:p>
    <w:p w14:paraId="4B478564" w14:textId="77777777" w:rsidR="00CA7ABD" w:rsidRDefault="00000000">
      <w:pPr>
        <w:rPr>
          <w:rFonts w:hint="eastAsia"/>
        </w:rPr>
      </w:pPr>
      <w:r>
        <w:t>Telemetry signature: Prohibited weapons activity detected. Fissile or hazardous material diversion confirmed. Physical attack on inspectors or facilities. Confirmed deliberate compromise of framework sensors that undermines the entire verification architecture. Submission of deliberately falsified telemetry data that, if believed, would have triggered automatic step-back or military response. Systematic pattern of Tier 2 violations demonstrating institutional bad faith.</w:t>
      </w:r>
    </w:p>
    <w:p w14:paraId="11D52812" w14:textId="77777777" w:rsidR="00CA7ABD" w:rsidRDefault="00000000">
      <w:pPr>
        <w:rPr>
          <w:rFonts w:hint="eastAsia"/>
        </w:rPr>
      </w:pPr>
      <w:r>
        <w:t>Base response (graduated by response speed):</w:t>
      </w:r>
    </w:p>
    <w:p w14:paraId="396EECBE" w14:textId="77777777" w:rsidR="00CA7ABD" w:rsidRDefault="00000000">
      <w:pPr>
        <w:rPr>
          <w:rFonts w:hint="eastAsia"/>
        </w:rPr>
      </w:pPr>
      <w:r>
        <w:t>Immediate remediation begins within 72 hours of detection: 25 percent reduction in benefits.</w:t>
      </w:r>
    </w:p>
    <w:p w14:paraId="6F7D0352" w14:textId="77777777" w:rsidR="00CA7ABD" w:rsidRDefault="00000000">
      <w:pPr>
        <w:rPr>
          <w:rFonts w:hint="eastAsia"/>
        </w:rPr>
      </w:pPr>
      <w:r>
        <w:t>After 72 hours without remediation: 35 percent reduction in benefits.</w:t>
      </w:r>
    </w:p>
    <w:p w14:paraId="29F559E0" w14:textId="77777777" w:rsidR="00CA7ABD" w:rsidRDefault="00000000">
      <w:pPr>
        <w:rPr>
          <w:rFonts w:hint="eastAsia"/>
        </w:rPr>
      </w:pPr>
      <w:r>
        <w:t>After 30 days without remediation: 50 percent reduction in benefits.</w:t>
      </w:r>
    </w:p>
    <w:p w14:paraId="4485AE3B" w14:textId="77777777" w:rsidR="00CA7ABD" w:rsidRDefault="00000000">
      <w:pPr>
        <w:rPr>
          <w:rFonts w:hint="eastAsia"/>
        </w:rPr>
      </w:pPr>
      <w:r>
        <w:t>Additional Tier 3 measures: All Tier 3-classified modules enter hold status. The framework architecture mandates a 90-day remediation window. The Guarantor Matrix convenes within 48 hours. Full earn-back requires 90 consecutive days of sustained clean compliance plus clean certification plus majority confirmation.</w:t>
      </w:r>
    </w:p>
    <w:p w14:paraId="5779EEB0" w14:textId="77777777" w:rsidR="00CA7ABD" w:rsidRDefault="00000000">
      <w:pPr>
        <w:pStyle w:val="Heading3"/>
        <w:rPr>
          <w:rFonts w:hint="eastAsia"/>
        </w:rPr>
      </w:pPr>
      <w:r>
        <w:t>SECTION 12: THE GRADUATED STEP-BACK MECHANISM</w:t>
      </w:r>
    </w:p>
    <w:p w14:paraId="7BC6CD4C" w14:textId="77777777" w:rsidR="00CA7ABD" w:rsidRDefault="00000000">
      <w:pPr>
        <w:rPr>
          <w:rFonts w:hint="eastAsia"/>
        </w:rPr>
      </w:pPr>
      <w:r>
        <w:t>The step-back mechanism operates on three principles:</w:t>
      </w:r>
    </w:p>
    <w:p w14:paraId="14BEC403" w14:textId="77777777" w:rsidR="00CA7ABD" w:rsidRDefault="00000000">
      <w:pPr>
        <w:rPr>
          <w:rFonts w:hint="eastAsia"/>
        </w:rPr>
      </w:pPr>
      <w:r>
        <w:t>12.1 Proportionality</w:t>
      </w:r>
    </w:p>
    <w:p w14:paraId="7572740A" w14:textId="77777777" w:rsidR="00CA7ABD" w:rsidRDefault="00000000">
      <w:pPr>
        <w:rPr>
          <w:rFonts w:hint="eastAsia"/>
        </w:rPr>
      </w:pPr>
      <w:r>
        <w:t>Step-back reductions match the severity and duration of the breach. Minor or quickly-cured violations trigger reduced penalties. Full reductions apply only after the remediation window expires without compliance. This proportionality rule prevents minor technical glitches from producing disproportionate economic punishment.</w:t>
      </w:r>
    </w:p>
    <w:p w14:paraId="42DA9261" w14:textId="77777777" w:rsidR="00CA7ABD" w:rsidRDefault="00000000">
      <w:pPr>
        <w:rPr>
          <w:rFonts w:hint="eastAsia"/>
        </w:rPr>
      </w:pPr>
      <w:r>
        <w:t>Penalty formula: Penalty equals Base Tier Penalty multiplied by Duration Multiplier multiplied by Remediation Factor.</w:t>
      </w:r>
    </w:p>
    <w:p w14:paraId="562E58B2" w14:textId="77777777" w:rsidR="00CA7ABD" w:rsidRDefault="00000000">
      <w:pPr>
        <w:rPr>
          <w:rFonts w:hint="eastAsia"/>
        </w:rPr>
      </w:pPr>
      <w:r>
        <w:t>Duration Multiplier scales from 0.4 (corrected within 24 hours) to 1.0 (remediation window expires uncured).</w:t>
      </w:r>
    </w:p>
    <w:p w14:paraId="4B0D8D1D" w14:textId="77777777" w:rsidR="00CA7ABD" w:rsidRDefault="00000000">
      <w:pPr>
        <w:rPr>
          <w:rFonts w:hint="eastAsia"/>
        </w:rPr>
      </w:pPr>
      <w:r>
        <w:t>Remediation Factor: Full remediation completed equals 0.5. Partial remediation equals 0.75. No remediation equals 1.0.</w:t>
      </w:r>
    </w:p>
    <w:p w14:paraId="61EB7351" w14:textId="77777777" w:rsidR="00CA7ABD" w:rsidRDefault="00000000">
      <w:pPr>
        <w:rPr>
          <w:rFonts w:hint="eastAsia"/>
        </w:rPr>
      </w:pPr>
      <w:r>
        <w:t>12.2 Sequenced Impact</w:t>
      </w:r>
    </w:p>
    <w:p w14:paraId="20B3C5D7" w14:textId="77777777" w:rsidR="00CA7ABD" w:rsidRDefault="00000000">
      <w:pPr>
        <w:rPr>
          <w:rFonts w:hint="eastAsia"/>
        </w:rPr>
      </w:pPr>
      <w:r>
        <w:t>When step-back activates, benefits pause in this exact sequence:</w:t>
      </w:r>
    </w:p>
    <w:p w14:paraId="2BB993A9" w14:textId="77777777" w:rsidR="00CA7ABD" w:rsidRDefault="00000000">
      <w:pPr>
        <w:rPr>
          <w:rFonts w:hint="eastAsia"/>
        </w:rPr>
      </w:pPr>
      <w:r>
        <w:t>First affected: Discretionary measures (reconstruction credits, over-compliance credits, bonus funds).</w:t>
      </w:r>
    </w:p>
    <w:p w14:paraId="096289F9" w14:textId="77777777" w:rsidR="00CA7ABD" w:rsidRDefault="00000000">
      <w:pPr>
        <w:rPr>
          <w:rFonts w:hint="eastAsia"/>
        </w:rPr>
      </w:pPr>
      <w:r>
        <w:t>Second affected: Commercial financial benefits (expanded access, export licenses, non-humanitarian trade facilitation).</w:t>
      </w:r>
    </w:p>
    <w:p w14:paraId="2453C530" w14:textId="77777777" w:rsidR="00CA7ABD" w:rsidRDefault="00000000">
      <w:pPr>
        <w:rPr>
          <w:rFonts w:hint="eastAsia"/>
        </w:rPr>
      </w:pPr>
      <w:r>
        <w:t>Third affected: Core relief tranches (frozen asset releases, general license renewals).</w:t>
      </w:r>
    </w:p>
    <w:p w14:paraId="3CC090F6" w14:textId="77777777" w:rsidR="00CA7ABD" w:rsidRDefault="00000000">
      <w:pPr>
        <w:rPr>
          <w:rFonts w:hint="eastAsia"/>
        </w:rPr>
      </w:pPr>
      <w:r>
        <w:t>Last affected: Core constraints and verification obligations (custody protocols, monitoring freeze agreements).</w:t>
      </w:r>
    </w:p>
    <w:p w14:paraId="428614FE" w14:textId="77777777" w:rsidR="00CA7ABD" w:rsidRDefault="00000000">
      <w:pPr>
        <w:rPr>
          <w:rFonts w:hint="eastAsia"/>
        </w:rPr>
      </w:pPr>
      <w:r>
        <w:t>Never affected: Humanitarian tranches (food, medicine, medical equipment, safety), escrowed funds already released, hotline and deconfliction protocols.</w:t>
      </w:r>
    </w:p>
    <w:p w14:paraId="2CE03622" w14:textId="77777777" w:rsidR="00CA7ABD" w:rsidRDefault="00000000">
      <w:pPr>
        <w:rPr>
          <w:rFonts w:hint="eastAsia"/>
        </w:rPr>
      </w:pPr>
      <w:r>
        <w:t>12.3 Human-in-the-Loop Requirement</w:t>
      </w:r>
    </w:p>
    <w:p w14:paraId="3089725F" w14:textId="77777777" w:rsidR="00CA7ABD" w:rsidRDefault="00000000">
      <w:pPr>
        <w:rPr>
          <w:rFonts w:hint="eastAsia"/>
        </w:rPr>
      </w:pPr>
      <w:r>
        <w:t>Before any step-back penalty activates:</w:t>
      </w:r>
    </w:p>
    <w:p w14:paraId="23F56CF2" w14:textId="77777777" w:rsidR="00CA7ABD" w:rsidRDefault="00000000">
      <w:pPr>
        <w:rPr>
          <w:rFonts w:hint="eastAsia"/>
        </w:rPr>
      </w:pPr>
      <w:r>
        <w:t>AI systems flag anomalies and present evidence packages within 6 hours of detection.</w:t>
      </w:r>
    </w:p>
    <w:p w14:paraId="19614FDD" w14:textId="77777777" w:rsidR="00CA7ABD" w:rsidRDefault="00000000">
      <w:pPr>
        <w:rPr>
          <w:rFonts w:hint="eastAsia"/>
        </w:rPr>
      </w:pPr>
      <w:r>
        <w:t>Joint Monitoring Cell duty officer reviews the evidence package within 12 hours.</w:t>
      </w:r>
    </w:p>
    <w:p w14:paraId="4541A3DB" w14:textId="77777777" w:rsidR="00CA7ABD" w:rsidRDefault="00000000">
      <w:pPr>
        <w:rPr>
          <w:rFonts w:hint="eastAsia"/>
        </w:rPr>
      </w:pPr>
      <w:r>
        <w:t>Senior officials from both Parties confer within 48 hours (mandatory cooling-off period).</w:t>
      </w:r>
    </w:p>
    <w:p w14:paraId="0237E8D8" w14:textId="77777777" w:rsidR="00CA7ABD" w:rsidRDefault="00000000">
      <w:pPr>
        <w:rPr>
          <w:rFonts w:hint="eastAsia"/>
        </w:rPr>
      </w:pPr>
      <w:r>
        <w:t>Executive consultation confirms the tier classification before penalties apply.</w:t>
      </w:r>
    </w:p>
    <w:p w14:paraId="35EC699B" w14:textId="77777777" w:rsidR="00CA7ABD" w:rsidRDefault="00000000">
      <w:pPr>
        <w:rPr>
          <w:rFonts w:hint="eastAsia"/>
        </w:rPr>
      </w:pPr>
      <w:r>
        <w:t>The Annual Human-in-the-Loop Audit verifies that AI systems are not making autonomous penalty decisions and that human review occurs within 24 hours of all AI flags.</w:t>
      </w:r>
    </w:p>
    <w:p w14:paraId="499C2F8F" w14:textId="77777777" w:rsidR="00CA7ABD" w:rsidRDefault="00000000">
      <w:pPr>
        <w:rPr>
          <w:rFonts w:hint="eastAsia"/>
        </w:rPr>
      </w:pPr>
      <w:r>
        <w:t>If any audit criterion is not met, the Joint Monitoring Cell recalibrates the AI system within 30 days.</w:t>
      </w:r>
    </w:p>
    <w:p w14:paraId="07D96009" w14:textId="77777777" w:rsidR="00CA7ABD" w:rsidRDefault="00000000">
      <w:pPr>
        <w:pStyle w:val="Heading3"/>
        <w:rPr>
          <w:rFonts w:hint="eastAsia"/>
        </w:rPr>
      </w:pPr>
      <w:r>
        <w:t>SECTION 13: THE EARN-BACK PATHWAY</w:t>
      </w:r>
    </w:p>
    <w:p w14:paraId="39460001" w14:textId="77777777" w:rsidR="00CA7ABD" w:rsidRDefault="00000000">
      <w:pPr>
        <w:rPr>
          <w:rFonts w:hint="eastAsia"/>
        </w:rPr>
      </w:pPr>
      <w:r>
        <w:t>Earn-back is not a privilege. It is a structural feature of the Method. Every step-back penalty carries an automatic, defined earn-back route. No penalty is permanent.</w:t>
      </w:r>
    </w:p>
    <w:p w14:paraId="4D7AEBD2" w14:textId="77777777" w:rsidR="00CA7ABD" w:rsidRDefault="00000000">
      <w:pPr>
        <w:rPr>
          <w:rFonts w:hint="eastAsia"/>
        </w:rPr>
      </w:pPr>
      <w:r>
        <w:t>13.1 Earn-Back Schedule</w:t>
      </w:r>
    </w:p>
    <w:p w14:paraId="7FB5BFBC" w14:textId="77777777" w:rsidR="00CA7ABD" w:rsidRDefault="00000000">
      <w:pPr>
        <w:rPr>
          <w:rFonts w:hint="eastAsia"/>
        </w:rPr>
      </w:pPr>
      <w:r>
        <w:t>Tier 1: No earn-back requirement exists. Resolution within 14 days returns the Party to full status automatically.</w:t>
      </w:r>
    </w:p>
    <w:p w14:paraId="7A899770" w14:textId="77777777" w:rsidR="00CA7ABD" w:rsidRDefault="00000000">
      <w:pPr>
        <w:rPr>
          <w:rFonts w:hint="eastAsia"/>
        </w:rPr>
      </w:pPr>
      <w:r>
        <w:t>Tier 2: Full earn-back is available after 14 days of clean compliance following remediation completion.</w:t>
      </w:r>
    </w:p>
    <w:p w14:paraId="0B83A58B" w14:textId="77777777" w:rsidR="00CA7ABD" w:rsidRDefault="00000000">
      <w:pPr>
        <w:rPr>
          <w:rFonts w:hint="eastAsia"/>
        </w:rPr>
      </w:pPr>
      <w:r>
        <w:t>Day 1 through 14 post-remediation: Monitoring period. Enhanced verification occurs.</w:t>
      </w:r>
    </w:p>
    <w:p w14:paraId="547270BB" w14:textId="77777777" w:rsidR="00CA7ABD" w:rsidRDefault="00000000">
      <w:pPr>
        <w:rPr>
          <w:rFonts w:hint="eastAsia"/>
        </w:rPr>
      </w:pPr>
      <w:r>
        <w:t>Day 15: If clean certification issues, full benefits restore automatically.</w:t>
      </w:r>
    </w:p>
    <w:p w14:paraId="455B885B" w14:textId="77777777" w:rsidR="00CA7ABD" w:rsidRDefault="00000000">
      <w:pPr>
        <w:rPr>
          <w:rFonts w:hint="eastAsia"/>
        </w:rPr>
      </w:pPr>
      <w:r>
        <w:t>Acceleration: Over-compliance credit reduces the 14-day monitoring period by up to 25 percent (minimum 11 days).</w:t>
      </w:r>
    </w:p>
    <w:p w14:paraId="638ADD67" w14:textId="77777777" w:rsidR="00CA7ABD" w:rsidRDefault="00000000">
      <w:pPr>
        <w:rPr>
          <w:rFonts w:hint="eastAsia"/>
        </w:rPr>
      </w:pPr>
      <w:r>
        <w:t>Tier 3: Full earn-back is available after 90 days of sustained clean compliance.</w:t>
      </w:r>
    </w:p>
    <w:p w14:paraId="615CAA28" w14:textId="77777777" w:rsidR="00CA7ABD" w:rsidRDefault="00000000">
      <w:pPr>
        <w:rPr>
          <w:rFonts w:hint="eastAsia"/>
        </w:rPr>
      </w:pPr>
      <w:r>
        <w:t>Days 1 through 30: Intensive monitoring period. Inspections occur at 72-hour intervals.</w:t>
      </w:r>
    </w:p>
    <w:p w14:paraId="3AF8B665" w14:textId="77777777" w:rsidR="00CA7ABD" w:rsidRDefault="00000000">
      <w:pPr>
        <w:rPr>
          <w:rFonts w:hint="eastAsia"/>
        </w:rPr>
      </w:pPr>
      <w:r>
        <w:t>Days 31 through 60: Standard monitoring period. Weekly verification occurs.</w:t>
      </w:r>
    </w:p>
    <w:p w14:paraId="727A0FD0" w14:textId="77777777" w:rsidR="00CA7ABD" w:rsidRDefault="00000000">
      <w:pPr>
        <w:rPr>
          <w:rFonts w:hint="eastAsia"/>
        </w:rPr>
      </w:pPr>
      <w:r>
        <w:t>Days 61 through 90: Reduced monitoring period. Bi-weekly verification occurs.</w:t>
      </w:r>
    </w:p>
    <w:p w14:paraId="4FBD9792" w14:textId="77777777" w:rsidR="00CA7ABD" w:rsidRDefault="00000000">
      <w:pPr>
        <w:rPr>
          <w:rFonts w:hint="eastAsia"/>
        </w:rPr>
      </w:pPr>
      <w:r>
        <w:t>Day 91: If clean certification issues AND majority confirmation arrives, full benefits restore automatically.</w:t>
      </w:r>
    </w:p>
    <w:p w14:paraId="376CA35E" w14:textId="77777777" w:rsidR="00CA7ABD" w:rsidRDefault="00000000">
      <w:pPr>
        <w:rPr>
          <w:rFonts w:hint="eastAsia"/>
        </w:rPr>
      </w:pPr>
      <w:r>
        <w:t>Acceleration: Over-compliance credit reduces the 90-day period by up to 25 percent (minimum 68 days).</w:t>
      </w:r>
    </w:p>
    <w:p w14:paraId="5DC41321" w14:textId="77777777" w:rsidR="00CA7ABD" w:rsidRDefault="00000000">
      <w:pPr>
        <w:rPr>
          <w:rFonts w:hint="eastAsia"/>
        </w:rPr>
      </w:pPr>
      <w:r>
        <w:t>13.2 Earn-Back Conditions</w:t>
      </w:r>
    </w:p>
    <w:p w14:paraId="461ECBDA" w14:textId="77777777" w:rsidR="00CA7ABD" w:rsidRDefault="00000000">
      <w:pPr>
        <w:rPr>
          <w:rFonts w:hint="eastAsia"/>
        </w:rPr>
      </w:pPr>
      <w:r>
        <w:t>Earn-back does not require: admission of guilt or formal acknowledgment of violation; payment of penalties or liquidated damages; political concessions beyond returning to compliance; or re-negotiation of the underlying commitment.</w:t>
      </w:r>
    </w:p>
    <w:p w14:paraId="267F557F" w14:textId="77777777" w:rsidR="00CA7ABD" w:rsidRDefault="00000000">
      <w:pPr>
        <w:rPr>
          <w:rFonts w:hint="eastAsia"/>
        </w:rPr>
      </w:pPr>
      <w:r>
        <w:t>Earn-back does require: verified compliance with the breached obligation; sustained compliance for the defined monitoring period; technical confirmation (Tier 2) or majority confirmation (Tier 3); and no new Tier 2 or Tier 3 violations during the earn-back monitoring period.</w:t>
      </w:r>
    </w:p>
    <w:p w14:paraId="7DFFA0CE" w14:textId="77777777" w:rsidR="00CA7ABD" w:rsidRDefault="00000000">
      <w:pPr>
        <w:rPr>
          <w:rFonts w:hint="eastAsia"/>
        </w:rPr>
      </w:pPr>
      <w:r>
        <w:t>13.3 Earn-Back Credit System</w:t>
      </w:r>
    </w:p>
    <w:p w14:paraId="52C8FD77" w14:textId="77777777" w:rsidR="00CA7ABD" w:rsidRDefault="00000000">
      <w:pPr>
        <w:rPr>
          <w:rFonts w:hint="eastAsia"/>
        </w:rPr>
      </w:pPr>
      <w:r>
        <w:t>If a Party completes a milestone ahead of schedule and maintains verified compliance during the accelerated period, the corresponding tranche releases proportionally earlier. Over-compliance credits accrue and apply to future conditions or to accelerate earn-back timelines.</w:t>
      </w:r>
    </w:p>
    <w:p w14:paraId="03B0972D" w14:textId="77777777" w:rsidR="00CA7ABD" w:rsidRDefault="00000000">
      <w:pPr>
        <w:rPr>
          <w:rFonts w:hint="eastAsia"/>
        </w:rPr>
      </w:pPr>
      <w:r>
        <w:t>Banked credits reduce the earn-back monitoring period:</w:t>
      </w:r>
    </w:p>
    <w:p w14:paraId="28A43DC4" w14:textId="77777777" w:rsidR="00CA7ABD" w:rsidRDefault="00000000">
      <w:pPr>
        <w:rPr>
          <w:rFonts w:hint="eastAsia"/>
        </w:rPr>
      </w:pPr>
      <w:r>
        <w:t>Tier 2 earn-back: Up to 25 percent reduction (14 days becomes minimum 11 days).</w:t>
      </w:r>
    </w:p>
    <w:p w14:paraId="3FE24652" w14:textId="77777777" w:rsidR="00CA7ABD" w:rsidRDefault="00000000">
      <w:pPr>
        <w:rPr>
          <w:rFonts w:hint="eastAsia"/>
        </w:rPr>
      </w:pPr>
      <w:r>
        <w:t>Tier 3 earn-back: Up to 25 percent reduction (90 days becomes minimum 68 days).</w:t>
      </w:r>
    </w:p>
    <w:p w14:paraId="66B08184" w14:textId="77777777" w:rsidR="00CA7ABD" w:rsidRDefault="00000000">
      <w:pPr>
        <w:rPr>
          <w:rFonts w:hint="eastAsia"/>
        </w:rPr>
      </w:pPr>
      <w:r>
        <w:t>Credit accrual formula: Each month of sustained compliance beyond baseline requirements accrues 1 credit week. Credits apply only to future earn-back periods, not to active penalties.</w:t>
      </w:r>
    </w:p>
    <w:p w14:paraId="1C659AF8" w14:textId="77777777" w:rsidR="00CA7ABD" w:rsidRDefault="00000000">
      <w:pPr>
        <w:pStyle w:val="Heading3"/>
        <w:rPr>
          <w:rFonts w:hint="eastAsia"/>
        </w:rPr>
      </w:pPr>
      <w:r>
        <w:t>SECTION 14: CROSS-MODULE SPILLOVER PROTECTION</w:t>
      </w:r>
    </w:p>
    <w:p w14:paraId="00F6D2CC" w14:textId="77777777" w:rsidR="00CA7ABD" w:rsidRDefault="00000000">
      <w:pPr>
        <w:rPr>
          <w:rFonts w:hint="eastAsia"/>
        </w:rPr>
      </w:pPr>
      <w:r>
        <w:t>The framework architecture operates as a modular system. Failure in one module does not cascade into others unless explicitly certified.</w:t>
      </w:r>
    </w:p>
    <w:p w14:paraId="18018027" w14:textId="77777777" w:rsidR="00CA7ABD" w:rsidRDefault="00000000">
      <w:pPr>
        <w:rPr>
          <w:rFonts w:hint="eastAsia"/>
        </w:rPr>
      </w:pPr>
      <w:r>
        <w:t>Default rule: Step-back reductions apply ONLY within the module where the violation occurred. A Tier 2 verification violation triggers step-back only on verification-related tranches, not on unrelated benefits or access.</w:t>
      </w:r>
    </w:p>
    <w:p w14:paraId="0C9E19CF" w14:textId="77777777" w:rsidR="00CA7ABD" w:rsidRDefault="00000000">
      <w:pPr>
        <w:rPr>
          <w:rFonts w:hint="eastAsia"/>
        </w:rPr>
      </w:pPr>
      <w:r>
        <w:t>Exception: Cross-module spillover requires certification by a two-thirds majority vote that the violation directly and materially undermines a different module. The framework architecture excludes the affected Party's vote (Consensus Minus One rule).</w:t>
      </w:r>
    </w:p>
    <w:p w14:paraId="2850DDAD" w14:textId="77777777" w:rsidR="00CA7ABD" w:rsidRDefault="00000000">
      <w:pPr>
        <w:rPr>
          <w:rFonts w:hint="eastAsia"/>
        </w:rPr>
      </w:pPr>
      <w:r>
        <w:t>Partial success doctrine: No single unresolved module invalidates the remainder of the framework. Each module operates as an independent contractual track. Progress, compliance, or failure in one track does not automatically determine the status of any other track. This doctrine is binding and interpretive.</w:t>
      </w:r>
    </w:p>
    <w:p w14:paraId="4154EBE9" w14:textId="77777777" w:rsidR="00CA7ABD" w:rsidRDefault="00000000">
      <w:pPr>
        <w:pStyle w:val="Heading2"/>
        <w:rPr>
          <w:rFonts w:hint="eastAsia"/>
        </w:rPr>
      </w:pPr>
      <w:r>
        <w:t>PART IV: PROTECTIVE ARCHITECTURE</w:t>
      </w:r>
    </w:p>
    <w:p w14:paraId="71EB125C" w14:textId="77777777" w:rsidR="00CA7ABD" w:rsidRDefault="00000000">
      <w:pPr>
        <w:pStyle w:val="Heading3"/>
        <w:rPr>
          <w:rFonts w:hint="eastAsia"/>
        </w:rPr>
      </w:pPr>
      <w:r>
        <w:t>SECTION 15: SAFEGUARDS AGAINST ABUSE AND ESCALATION</w:t>
      </w:r>
    </w:p>
    <w:p w14:paraId="622C4B4E" w14:textId="77777777" w:rsidR="00CA7ABD" w:rsidRDefault="00000000">
      <w:pPr>
        <w:rPr>
          <w:rFonts w:hint="eastAsia"/>
        </w:rPr>
      </w:pPr>
      <w:r>
        <w:t>15.1 Mandatory Cooling-Off Architecture (48-Hour Rule)</w:t>
      </w:r>
    </w:p>
    <w:p w14:paraId="5851E127" w14:textId="77777777" w:rsidR="00CA7ABD" w:rsidRDefault="00000000">
      <w:pPr>
        <w:rPr>
          <w:rFonts w:hint="eastAsia"/>
        </w:rPr>
      </w:pPr>
      <w:r>
        <w:t>Before any step-back penalty activates, a 48-hour cooling-off period applies. During this period: no penalties accrue; both Parties' senior officials confer directly; the Swiss facilitator proposes de-escalation measures; the cooling-off period extends up to 72 hours by mutual agreement. This prevents heat-of-moment reactions to technical anomalies or intelligence reports.</w:t>
      </w:r>
    </w:p>
    <w:p w14:paraId="58376BA2" w14:textId="77777777" w:rsidR="00CA7ABD" w:rsidRDefault="00000000">
      <w:pPr>
        <w:rPr>
          <w:rFonts w:hint="eastAsia"/>
        </w:rPr>
      </w:pPr>
      <w:r>
        <w:t>15.2 Consensus Minus One Decision Rule</w:t>
      </w:r>
    </w:p>
    <w:p w14:paraId="61291737" w14:textId="77777777" w:rsidR="00CA7ABD" w:rsidRDefault="00000000">
      <w:pPr>
        <w:rPr>
          <w:rFonts w:hint="eastAsia"/>
        </w:rPr>
      </w:pPr>
      <w:r>
        <w:t>For all Tier 2 and Tier 3 determinations, cross-module spillover certifications, and gaming pattern findings: if the decision concerns one Party's conduct, the framework architecture excludes that Party's vote. All other oversight members agree. If consensus minus one fails to be achieved, automatic referral to the Guarantor Matrix occurs for final political judgment.</w:t>
      </w:r>
    </w:p>
    <w:p w14:paraId="006C925E" w14:textId="77777777" w:rsidR="00CA7ABD" w:rsidRDefault="00000000">
      <w:pPr>
        <w:rPr>
          <w:rFonts w:hint="eastAsia"/>
        </w:rPr>
      </w:pPr>
      <w:r>
        <w:t>15.3 Temporary Operational Suspension</w:t>
      </w:r>
    </w:p>
    <w:p w14:paraId="6037DD83" w14:textId="77777777" w:rsidR="00CA7ABD" w:rsidRDefault="00000000">
      <w:pPr>
        <w:rPr>
          <w:rFonts w:hint="eastAsia"/>
        </w:rPr>
      </w:pPr>
      <w:r>
        <w:t>Either Party invokes Temporary Operational Suspension for up to 14 days per invocation, maximum 3 invocations per calendar year. Temporary Operational Suspension freezes all new obligations but preserves verification custody, the hotline, humanitarian corridors, and escrowed funds. Temporary Operational Suspension is not a breach. It is a safety valve for domestic political crises, leadership transitions, or regional spillover events. Temporary Operational Suspension suspends the step-back clock: earn-back timelines do not advance during suspension, but neither do penalty durations.</w:t>
      </w:r>
    </w:p>
    <w:p w14:paraId="5A39E1BA" w14:textId="77777777" w:rsidR="00CA7ABD" w:rsidRDefault="00000000">
      <w:pPr>
        <w:rPr>
          <w:rFonts w:hint="eastAsia"/>
        </w:rPr>
      </w:pPr>
      <w:r>
        <w:t>15.4 Good Faith Reset</w:t>
      </w:r>
    </w:p>
    <w:p w14:paraId="79957A87" w14:textId="77777777" w:rsidR="00CA7ABD" w:rsidRDefault="00000000">
      <w:pPr>
        <w:rPr>
          <w:rFonts w:hint="eastAsia"/>
        </w:rPr>
      </w:pPr>
      <w:r>
        <w:t>The framework architecture includes a Good Faith Reset mechanism that prevents either Party from entering an irreversible negative spiral. A Party whose Verification Fund score falls to negative 20 or below invokes the reset once per phase.</w:t>
      </w:r>
    </w:p>
    <w:p w14:paraId="768A84B3" w14:textId="77777777" w:rsidR="00CA7ABD" w:rsidRDefault="00000000">
      <w:pPr>
        <w:rPr>
          <w:rFonts w:hint="eastAsia"/>
        </w:rPr>
      </w:pPr>
      <w:r>
        <w:t>Score at negative 20 or below: Score resets to 0 automatically.</w:t>
      </w:r>
    </w:p>
    <w:p w14:paraId="3B11CA61" w14:textId="77777777" w:rsidR="00CA7ABD" w:rsidRDefault="00000000">
      <w:pPr>
        <w:rPr>
          <w:rFonts w:hint="eastAsia"/>
        </w:rPr>
      </w:pPr>
      <w:r>
        <w:t>Written acknowledgment of errors: Reset activates immediately; the acknowledgment appears in the Shared Digital Registry.</w:t>
      </w:r>
    </w:p>
    <w:p w14:paraId="348DAEC0" w14:textId="77777777" w:rsidR="00CA7ABD" w:rsidRDefault="00000000">
      <w:pPr>
        <w:rPr>
          <w:rFonts w:hint="eastAsia"/>
        </w:rPr>
      </w:pPr>
      <w:r>
        <w:t>Commitment to enhanced cooperation for 7 days: Enhanced cooperation means daily Joint Monitoring Cell liaison contact and same-day response to all verification queries.</w:t>
      </w:r>
    </w:p>
    <w:p w14:paraId="3A75C87A" w14:textId="77777777" w:rsidR="00CA7ABD" w:rsidRDefault="00000000">
      <w:pPr>
        <w:rPr>
          <w:rFonts w:hint="eastAsia"/>
        </w:rPr>
      </w:pPr>
      <w:r>
        <w:t>No reset invoked in the previous phase: Reset approves automatically without Permanent Coordination Council review.</w:t>
      </w:r>
    </w:p>
    <w:p w14:paraId="5398CA29" w14:textId="77777777" w:rsidR="00CA7ABD" w:rsidRDefault="00000000">
      <w:pPr>
        <w:rPr>
          <w:rFonts w:hint="eastAsia"/>
        </w:rPr>
      </w:pPr>
      <w:r>
        <w:t>The Good Faith Reset is a safety valve, not a free pass. The once-per-phase limit prevents abuse. The written acknowledgment requirement preserves accountability. The enhanced cooperation commitment demonstrates genuine intent to improve. A Party that invokes the reset in one phase and still achieves negative 20 in the next phase faces the full consequences without further protection.</w:t>
      </w:r>
    </w:p>
    <w:p w14:paraId="27905891" w14:textId="77777777" w:rsidR="00CA7ABD" w:rsidRDefault="00000000">
      <w:pPr>
        <w:rPr>
          <w:rFonts w:hint="eastAsia"/>
        </w:rPr>
      </w:pPr>
      <w:r>
        <w:t>15.5 Mutual Consent Escalation</w:t>
      </w:r>
    </w:p>
    <w:p w14:paraId="67A28C10" w14:textId="77777777" w:rsidR="00CA7ABD" w:rsidRDefault="00000000">
      <w:pPr>
        <w:rPr>
          <w:rFonts w:hint="eastAsia"/>
        </w:rPr>
      </w:pPr>
      <w:r>
        <w:t>The framework architecture treats the verification score as advisory, not mandatory. Both Parties retain the right to override score-based outcomes through joint agreement.</w:t>
      </w:r>
    </w:p>
    <w:p w14:paraId="61E43666" w14:textId="77777777" w:rsidR="00CA7ABD" w:rsidRDefault="00000000">
      <w:pPr>
        <w:rPr>
          <w:rFonts w:hint="eastAsia"/>
        </w:rPr>
      </w:pPr>
      <w:r>
        <w:t>Both Parties agree the score does not reflect operational reality: The Decision Point defers for 5 days; the Permanent Coordination Council conducts a joint review of raw telemetry data.</w:t>
      </w:r>
    </w:p>
    <w:p w14:paraId="0B07D92D" w14:textId="77777777" w:rsidR="00CA7ABD" w:rsidRDefault="00000000">
      <w:pPr>
        <w:rPr>
          <w:rFonts w:hint="eastAsia"/>
        </w:rPr>
      </w:pPr>
      <w:r>
        <w:t>Both Parties agree the system malfunctioned: The score recalculates using raw golden record data, bypassing the algorithmic scoring system.</w:t>
      </w:r>
    </w:p>
    <w:p w14:paraId="472338F6" w14:textId="77777777" w:rsidR="00CA7ABD" w:rsidRDefault="00000000">
      <w:pPr>
        <w:rPr>
          <w:rFonts w:hint="eastAsia"/>
        </w:rPr>
      </w:pPr>
      <w:r>
        <w:t>Both Parties agree to proceed despite a low score: Proceeds; the score is advisory and carries no binding pathway determination.</w:t>
      </w:r>
    </w:p>
    <w:p w14:paraId="2D4D1640" w14:textId="77777777" w:rsidR="00CA7ABD" w:rsidRDefault="00000000">
      <w:pPr>
        <w:rPr>
          <w:rFonts w:hint="eastAsia"/>
        </w:rPr>
      </w:pPr>
      <w:r>
        <w:t>Mutual Consent Escalation requires written agreement from both Parties, transmitted simultaneously to the Joint Monitoring Cell. Either Party withdraws its consent within 24 hours without penalty. If one Party withdraws consent, the original score-based pathway determination resumes automatically.</w:t>
      </w:r>
    </w:p>
    <w:p w14:paraId="015B69C6" w14:textId="77777777" w:rsidR="00CA7ABD" w:rsidRDefault="00000000">
      <w:pPr>
        <w:rPr>
          <w:rFonts w:hint="eastAsia"/>
        </w:rPr>
      </w:pPr>
      <w:r>
        <w:t>15.6 No Automatic Military Escalation Clause</w:t>
      </w:r>
    </w:p>
    <w:p w14:paraId="2AF58036" w14:textId="77777777" w:rsidR="00CA7ABD" w:rsidRDefault="00000000">
      <w:pPr>
        <w:rPr>
          <w:rFonts w:hint="eastAsia"/>
        </w:rPr>
      </w:pPr>
      <w:r>
        <w:t>Under no circumstances does a compliance dispute, Tier 2 or Tier 3 violation, step-back penalty, or framework suspension automatically authorize, trigger, or justify the use of military force by either Party. The step-back architecture is purely economic and diplomatic. Military action requires separate, explicit decision by the respective head of government under constitutional procedures. This separation between economic penalties and military authorization is absolute and non-waivable.</w:t>
      </w:r>
    </w:p>
    <w:p w14:paraId="274462B3" w14:textId="77777777" w:rsidR="00CA7ABD" w:rsidRDefault="00000000">
      <w:pPr>
        <w:rPr>
          <w:rFonts w:hint="eastAsia"/>
        </w:rPr>
      </w:pPr>
      <w:r>
        <w:t>15.7 False Flag Attack Protocol</w:t>
      </w:r>
    </w:p>
    <w:p w14:paraId="058B2C29" w14:textId="77777777" w:rsidR="00CA7ABD" w:rsidRDefault="00000000">
      <w:pPr>
        <w:rPr>
          <w:rFonts w:hint="eastAsia"/>
        </w:rPr>
      </w:pPr>
      <w:r>
        <w:t>In the event of attacks by unknown actors: both Parties operate under a presumption of good faith; a 48-hour attribution deferral window applies before any penalty assignment; forensic investigation precedes any breach classification; rogue actors and false-flag operations are explicitly excluded from bilateral penalties.</w:t>
      </w:r>
    </w:p>
    <w:p w14:paraId="4729C26D" w14:textId="77777777" w:rsidR="00CA7ABD" w:rsidRDefault="00000000">
      <w:pPr>
        <w:rPr>
          <w:rFonts w:hint="eastAsia"/>
        </w:rPr>
      </w:pPr>
      <w:r>
        <w:t>15.8 Political Discretion Fund</w:t>
      </w:r>
    </w:p>
    <w:p w14:paraId="2814A129" w14:textId="77777777" w:rsidR="00CA7ABD" w:rsidRDefault="00000000">
      <w:pPr>
        <w:rPr>
          <w:rFonts w:hint="eastAsia"/>
        </w:rPr>
      </w:pPr>
      <w:r>
        <w:t>The Political Discretion Fund operates outside the step-back system entirely. Fund size: 50 million dollars, capitalized equally by both Parties (25 million dollars each). Held in a dedicated sub-account of the Swiss escrow. Exempt from ALL step-back penalties: No Tier 2 or Tier 3 penalty reduces, freezes, or delays disbursement. Disbursement requires unanimous agreement of both heads of government plus the Swiss facilitator. Permitted uses: Goodwill projects, partial compliance rewards, confidence-building measures. Prohibited uses: Military purposes, intelligence activities, payment of penalties, any purpose violating the No Regime Change Objective.</w:t>
      </w:r>
    </w:p>
    <w:p w14:paraId="3A775DB0" w14:textId="77777777" w:rsidR="00CA7ABD" w:rsidRDefault="00000000">
      <w:pPr>
        <w:pStyle w:val="Heading2"/>
        <w:rPr>
          <w:rFonts w:hint="eastAsia"/>
        </w:rPr>
      </w:pPr>
      <w:r>
        <w:t>PART V: OPERATIONAL SUPPLEMENTS</w:t>
      </w:r>
    </w:p>
    <w:p w14:paraId="105200D5" w14:textId="77777777" w:rsidR="00CA7ABD" w:rsidRDefault="00000000">
      <w:pPr>
        <w:pStyle w:val="Heading3"/>
        <w:rPr>
          <w:rFonts w:hint="eastAsia"/>
        </w:rPr>
      </w:pPr>
      <w:r>
        <w:t>SECTION 16: RED TEAM REVIEW</w:t>
      </w:r>
    </w:p>
    <w:p w14:paraId="34F6A154" w14:textId="77777777" w:rsidR="00CA7ABD" w:rsidRDefault="00000000">
      <w:pPr>
        <w:rPr>
          <w:rFonts w:hint="eastAsia"/>
        </w:rPr>
      </w:pPr>
      <w:r>
        <w:t>The Joint Monitoring Cell maintains a standing Red Team. This team operates continuously during the Testing Phase and the Cooling-Off Period. The Red Team identifies weaknesses in the monitoring system, tests data integrity, and probes for vulnerabilities in the telemetry chain.</w:t>
      </w:r>
    </w:p>
    <w:p w14:paraId="7497E4F6" w14:textId="77777777" w:rsidR="00CA7ABD" w:rsidRDefault="00000000">
      <w:pPr>
        <w:rPr>
          <w:rFonts w:hint="eastAsia"/>
        </w:rPr>
      </w:pPr>
      <w:r>
        <w:t>The Red Team produces a findings report every seven days. The Joint Monitoring Cell distributes this report automatically to both Parties within 24 hours of completion. The report contains: identified system weaknesses; recommended corrective actions; and verification of data integrity across all feeds.</w:t>
      </w:r>
    </w:p>
    <w:p w14:paraId="02379C38" w14:textId="77777777" w:rsidR="00CA7ABD" w:rsidRDefault="00000000">
      <w:pPr>
        <w:rPr>
          <w:rFonts w:hint="eastAsia"/>
        </w:rPr>
      </w:pPr>
      <w:r>
        <w:t>Both Parties review the Red Team findings and implement corrective actions through the Joint Monitoring Cell. The Shared Digital Registry logs all findings and corrective actions. The Red Team verifies implementation of all corrective actions in its subsequent report.</w:t>
      </w:r>
    </w:p>
    <w:p w14:paraId="2A70C4B8" w14:textId="77777777" w:rsidR="00CA7ABD" w:rsidRDefault="00000000">
      <w:pPr>
        <w:pStyle w:val="Heading3"/>
        <w:rPr>
          <w:rFonts w:hint="eastAsia"/>
        </w:rPr>
      </w:pPr>
      <w:r>
        <w:t>SECTION 17: PERFORMANCE BENCHMARKS</w:t>
      </w:r>
    </w:p>
    <w:p w14:paraId="43379F69" w14:textId="77777777" w:rsidR="00CA7ABD" w:rsidRDefault="00000000">
      <w:pPr>
        <w:rPr>
          <w:rFonts w:hint="eastAsia"/>
        </w:rPr>
      </w:pPr>
      <w:r>
        <w:t>At the conclusion of the Testing Phase, the Joint Monitoring Cell issues a Testing Phase Report assessing the following performance benchmarks:</w:t>
      </w:r>
    </w:p>
    <w:p w14:paraId="47EB6473" w14:textId="77777777" w:rsidR="00CA7ABD" w:rsidRDefault="00000000">
      <w:pPr>
        <w:rPr>
          <w:rFonts w:hint="eastAsia"/>
        </w:rPr>
      </w:pPr>
      <w:r>
        <w:t>System operability: All monitoring systems are operational and producing reliable data with uptime exceeding 95 percent across all feeds.</w:t>
      </w:r>
    </w:p>
    <w:p w14:paraId="2C79596F" w14:textId="77777777" w:rsidR="00CA7ABD" w:rsidRDefault="00000000">
      <w:pPr>
        <w:rPr>
          <w:rFonts w:hint="eastAsia"/>
        </w:rPr>
      </w:pPr>
      <w:r>
        <w:t>Data sharing symmetry: Data transmission to both Parties occurs with latency differential of less than 30 seconds.</w:t>
      </w:r>
    </w:p>
    <w:p w14:paraId="4668C001" w14:textId="77777777" w:rsidR="00CA7ABD" w:rsidRDefault="00000000">
      <w:pPr>
        <w:rPr>
          <w:rFonts w:hint="eastAsia"/>
        </w:rPr>
      </w:pPr>
      <w:r>
        <w:t>Anomaly detection: Anomaly detection and verification procedures function correctly, with false positive rates below the defined thresholds.</w:t>
      </w:r>
    </w:p>
    <w:p w14:paraId="3B9AC78C" w14:textId="77777777" w:rsidR="00CA7ABD" w:rsidRDefault="00000000">
      <w:pPr>
        <w:rPr>
          <w:rFonts w:hint="eastAsia"/>
        </w:rPr>
      </w:pPr>
      <w:r>
        <w:t>Joint Monitoring Cell functionality: The Cell operates 24/7 with full staffing and all communication channels functional.</w:t>
      </w:r>
    </w:p>
    <w:p w14:paraId="3BE60FE4" w14:textId="77777777" w:rsidR="00CA7ABD" w:rsidRDefault="00000000">
      <w:pPr>
        <w:rPr>
          <w:rFonts w:hint="eastAsia"/>
        </w:rPr>
      </w:pPr>
      <w:r>
        <w:t>Shared Digital Registry integrity: The Registry logs all tracks, alerts, and verification packages without data gaps exceeding 15 minutes.</w:t>
      </w:r>
    </w:p>
    <w:p w14:paraId="03FC62FE" w14:textId="77777777" w:rsidR="00CA7ABD" w:rsidRDefault="00000000">
      <w:pPr>
        <w:rPr>
          <w:rFonts w:hint="eastAsia"/>
        </w:rPr>
      </w:pPr>
      <w:r>
        <w:t>The Testing Phase Report transmits simultaneously to both Parties and the Permanent Coordination Council. The Report is presumptive evidence of system functionality. Neither Party blocks, delays, or redacts the Report.</w:t>
      </w:r>
    </w:p>
    <w:p w14:paraId="046E507E" w14:textId="77777777" w:rsidR="00CA7ABD" w:rsidRDefault="00000000">
      <w:pPr>
        <w:pStyle w:val="Heading3"/>
        <w:rPr>
          <w:rFonts w:hint="eastAsia"/>
        </w:rPr>
      </w:pPr>
      <w:r>
        <w:t>SECTION 18: PHASE CONCLUSION ASSESSMENT</w:t>
      </w:r>
    </w:p>
    <w:p w14:paraId="17129751" w14:textId="77777777" w:rsidR="00CA7ABD" w:rsidRDefault="00000000">
      <w:pPr>
        <w:rPr>
          <w:rFonts w:hint="eastAsia"/>
        </w:rPr>
      </w:pPr>
      <w:r>
        <w:t>18.1 Score-Based Pathway Determination</w:t>
      </w:r>
    </w:p>
    <w:p w14:paraId="3F43B1FA" w14:textId="77777777" w:rsidR="00CA7ABD" w:rsidRDefault="00000000">
      <w:pPr>
        <w:rPr>
          <w:rFonts w:hint="eastAsia"/>
        </w:rPr>
      </w:pPr>
      <w:r>
        <w:t>At the conclusion of the Testing Phase, the Joint Monitoring Cell publishes the final Verification Scores. The scores determine the operational pathway through the following matrix:</w:t>
      </w:r>
    </w:p>
    <w:p w14:paraId="230F9C76" w14:textId="77777777" w:rsidR="00CA7ABD" w:rsidRDefault="00000000">
      <w:pPr>
        <w:rPr>
          <w:rFonts w:hint="eastAsia"/>
        </w:rPr>
      </w:pPr>
      <w:r>
        <w:t>Claimant Fund Score: 50 credits or above / Verifier Fund Score: Any score / Outcome: Automatic progression to Cooling-Off Period; Testing Phase qualifies as success.</w:t>
      </w:r>
    </w:p>
    <w:p w14:paraId="28F23023" w14:textId="77777777" w:rsidR="00CA7ABD" w:rsidRDefault="00000000">
      <w:pPr>
        <w:rPr>
          <w:rFonts w:hint="eastAsia"/>
        </w:rPr>
      </w:pPr>
      <w:r>
        <w:t>Claimant Fund Score: 30 to 49 credits / Verifier Fund Score: Below Claimant score / Outcome: Automatic extension; Cooling-Off Period activates with positive momentum designation.</w:t>
      </w:r>
    </w:p>
    <w:p w14:paraId="6E2D7D50" w14:textId="77777777" w:rsidR="00CA7ABD" w:rsidRDefault="00000000">
      <w:pPr>
        <w:rPr>
          <w:rFonts w:hint="eastAsia"/>
        </w:rPr>
      </w:pPr>
      <w:r>
        <w:t>Claimant Fund Score: 30 to 49 credits / Verifier Fund Score: Equal to or above Claimant score / Outcome: Extension with review; Cooling-Off Period activates with technical issues require resolution designation.</w:t>
      </w:r>
    </w:p>
    <w:p w14:paraId="622D54A8" w14:textId="77777777" w:rsidR="00CA7ABD" w:rsidRDefault="00000000">
      <w:pPr>
        <w:rPr>
          <w:rFonts w:hint="eastAsia"/>
        </w:rPr>
      </w:pPr>
      <w:r>
        <w:t>Claimant Fund Score: Below 30 credits / Verifier Fund Score: Any score / Outcome: Fallback to Extended Phase I; Testing Phase does not qualify as success.</w:t>
      </w:r>
    </w:p>
    <w:p w14:paraId="00158EC5" w14:textId="77777777" w:rsidR="00CA7ABD" w:rsidRDefault="00000000">
      <w:pPr>
        <w:rPr>
          <w:rFonts w:hint="eastAsia"/>
        </w:rPr>
      </w:pPr>
      <w:r>
        <w:t>18.2 Unified Assessment Checklist</w:t>
      </w:r>
    </w:p>
    <w:p w14:paraId="5612D7F5" w14:textId="77777777" w:rsidR="00CA7ABD" w:rsidRDefault="00000000">
      <w:pPr>
        <w:rPr>
          <w:rFonts w:hint="eastAsia"/>
        </w:rPr>
      </w:pPr>
      <w:r>
        <w:t>The Phase Conclusion Assessment evaluates all performance indicators through a single unified checklist. The Assessment determines whether the following conditions are satisfied: performance benchmarks under Section 17 are met; zero persistent data quality failures under Section 1.3 occurred; the Claimant Party meets the verification score threshold under Section 18.1. Failure on any of these grounds produces a presumptive recommendation for fallback. Success on all grounds produces a presumptive recommendation for progression to a final arrangement or extension. The unified checklist replaces the need to consult multiple sections independently at the Decision Point.</w:t>
      </w:r>
    </w:p>
    <w:p w14:paraId="2BF3BB48" w14:textId="77777777" w:rsidR="00CA7ABD" w:rsidRDefault="00000000">
      <w:pPr>
        <w:rPr>
          <w:rFonts w:hint="eastAsia"/>
        </w:rPr>
      </w:pPr>
      <w:r>
        <w:t>18.3 Score Publication Contents</w:t>
      </w:r>
    </w:p>
    <w:p w14:paraId="40648223" w14:textId="77777777" w:rsidR="00CA7ABD" w:rsidRDefault="00000000">
      <w:pPr>
        <w:rPr>
          <w:rFonts w:hint="eastAsia"/>
        </w:rPr>
      </w:pPr>
      <w:r>
        <w:t>Score publication includes: the total credit count for both Parties; the number of claims submitted, confirmed, challenged, and overturned; the average confirmation time; the challenge success rate; and any escalations, resets, or Second Opinions invoked. The Shared Digital Registry archives the full assessment permanently.</w:t>
      </w:r>
    </w:p>
    <w:p w14:paraId="6AE14F68" w14:textId="77777777" w:rsidR="00CA7ABD" w:rsidRDefault="00000000">
      <w:pPr>
        <w:pStyle w:val="Heading3"/>
        <w:rPr>
          <w:rFonts w:hint="eastAsia"/>
        </w:rPr>
      </w:pPr>
      <w:r>
        <w:t>SECTION 19: EXPEDITED VERIFICATION</w:t>
      </w:r>
    </w:p>
    <w:p w14:paraId="60B028B0" w14:textId="77777777" w:rsidR="00CA7ABD" w:rsidRDefault="00000000">
      <w:pPr>
        <w:rPr>
          <w:rFonts w:hint="eastAsia"/>
        </w:rPr>
      </w:pPr>
      <w:r>
        <w:t>The framework architecture includes an expedited verification track for urgent incidents. Normal timelines compress automatically upon activation of the expedited track.</w:t>
      </w:r>
    </w:p>
    <w:p w14:paraId="6115D4F5" w14:textId="77777777" w:rsidR="00CA7ABD" w:rsidRDefault="00000000">
      <w:pPr>
        <w:rPr>
          <w:rFonts w:hint="eastAsia"/>
        </w:rPr>
      </w:pPr>
      <w:r>
        <w:t>Claim submission deadline: Standard 24 hours from service delivery; Expedited 4 hours from incident detection.</w:t>
      </w:r>
    </w:p>
    <w:p w14:paraId="1D979FDC" w14:textId="77777777" w:rsidR="00CA7ABD" w:rsidRDefault="00000000">
      <w:pPr>
        <w:rPr>
          <w:rFonts w:hint="eastAsia"/>
        </w:rPr>
      </w:pPr>
      <w:r>
        <w:t>Verifier response window: Standard 48 hours from confirmation; Expedited 6 hours from confirmation.</w:t>
      </w:r>
    </w:p>
    <w:p w14:paraId="5CDC8121" w14:textId="77777777" w:rsidR="00CA7ABD" w:rsidRDefault="00000000">
      <w:pPr>
        <w:rPr>
          <w:rFonts w:hint="eastAsia"/>
        </w:rPr>
      </w:pPr>
      <w:r>
        <w:t>Panel determination deadline: Standard 72 hours from challenge receipt; Expedited 12 hours from challenge receipt.</w:t>
      </w:r>
    </w:p>
    <w:p w14:paraId="1252B066" w14:textId="77777777" w:rsidR="00CA7ABD" w:rsidRDefault="00000000">
      <w:pPr>
        <w:rPr>
          <w:rFonts w:hint="eastAsia"/>
        </w:rPr>
      </w:pPr>
      <w:r>
        <w:t>Credit multiplier: Standard base rate applies; Expedited double credit value for verified claims.</w:t>
      </w:r>
    </w:p>
    <w:p w14:paraId="0945F1A1" w14:textId="77777777" w:rsidR="00CA7ABD" w:rsidRDefault="00000000">
      <w:pPr>
        <w:rPr>
          <w:rFonts w:hint="eastAsia"/>
        </w:rPr>
      </w:pPr>
      <w:r>
        <w:t>The expedited track triggers automatically upon Joint Monitoring Cell classification of an incident as priority: potential interdiction, environmental emergency, or search-and-rescue activation. Either Party requests expedited classification by alerting the Joint Monitoring Cell Duty Officer. The Duty Officer confirms or denies the classification within 1 hour. Denial includes a written rationale logged in the Shared Digital Registry.</w:t>
      </w:r>
    </w:p>
    <w:p w14:paraId="5B536648" w14:textId="77777777" w:rsidR="00CA7ABD" w:rsidRDefault="00000000">
      <w:pPr>
        <w:pStyle w:val="Heading3"/>
        <w:rPr>
          <w:rFonts w:hint="eastAsia"/>
        </w:rPr>
      </w:pPr>
      <w:r>
        <w:t>SECTION 20: COUNTER-EVIDENCE REVIEW</w:t>
      </w:r>
    </w:p>
    <w:p w14:paraId="2987CC39" w14:textId="77777777" w:rsidR="00CA7ABD" w:rsidRDefault="00000000">
      <w:pPr>
        <w:rPr>
          <w:rFonts w:hint="eastAsia"/>
        </w:rPr>
      </w:pPr>
      <w:r>
        <w:t>When the Panel issues an inconclusive determination, the framework architecture activates a Counter-Evidence Review procedure. An inconclusive determination means the Panel finds the evidence insufficient to support either full verification or full rejection.</w:t>
      </w:r>
    </w:p>
    <w:p w14:paraId="59B2680B" w14:textId="77777777" w:rsidR="00CA7ABD" w:rsidRDefault="00000000">
      <w:pPr>
        <w:rPr>
          <w:rFonts w:hint="eastAsia"/>
        </w:rPr>
      </w:pPr>
      <w:r>
        <w:t>The Counter-Evidence Review operates as follows: the Panel schedules a hearing within 48 hours of the inconclusive determination. The Claimant Party presents additional definitive evidence within 24 hours of the hearing notice. The Verifier Party presents counter-evidence within 24 hours of the hearing notice. The Panel reviews the supplemental evidence and issues a final determination within 24 hours of the hearing.</w:t>
      </w:r>
    </w:p>
    <w:p w14:paraId="2C4E56D3" w14:textId="77777777" w:rsidR="00CA7ABD" w:rsidRDefault="00000000">
      <w:pPr>
        <w:rPr>
          <w:rFonts w:hint="eastAsia"/>
        </w:rPr>
      </w:pPr>
      <w:r>
        <w:t>Claimant Party's new evidence confirms the claim and the Verifier Party fails to refute it: The claim verifies at double the standard credit value.</w:t>
      </w:r>
    </w:p>
    <w:p w14:paraId="5465948C" w14:textId="77777777" w:rsidR="00CA7ABD" w:rsidRDefault="00000000">
      <w:pPr>
        <w:rPr>
          <w:rFonts w:hint="eastAsia"/>
        </w:rPr>
      </w:pPr>
      <w:r>
        <w:t>Verifier Party's counter-evidence definitively refutes the claim: The Panel rejects the claim permanently with double the standard penalty.</w:t>
      </w:r>
    </w:p>
    <w:p w14:paraId="5800AC07" w14:textId="77777777" w:rsidR="00CA7ABD" w:rsidRDefault="00000000">
      <w:pPr>
        <w:rPr>
          <w:rFonts w:hint="eastAsia"/>
        </w:rPr>
      </w:pPr>
      <w:r>
        <w:t>Evidence remains inconclusive after Counter-Evidence Review: The claim receives 50 percent credit automatically; no Party receives bonus or penalty.</w:t>
      </w:r>
    </w:p>
    <w:p w14:paraId="2CD47B56" w14:textId="77777777" w:rsidR="00CA7ABD" w:rsidRDefault="00000000">
      <w:pPr>
        <w:rPr>
          <w:rFonts w:hint="eastAsia"/>
        </w:rPr>
      </w:pPr>
      <w:r>
        <w:t>The Counter-Evidence Review closes all claims. No claim returns for additional review after this procedure. The Shared Digital Registry logs the Panel's final determination and all evidence submitted during the review. Both Parties receive identical copies of the complete record.</w:t>
      </w:r>
    </w:p>
    <w:p w14:paraId="6E8C5035" w14:textId="77777777" w:rsidR="00CA7ABD" w:rsidRDefault="00000000">
      <w:pPr>
        <w:pStyle w:val="Heading3"/>
        <w:rPr>
          <w:rFonts w:hint="eastAsia"/>
        </w:rPr>
      </w:pPr>
      <w:r>
        <w:t>SECTION 21: SCORE RESET AND PHASE TRANSITIONS</w:t>
      </w:r>
    </w:p>
    <w:p w14:paraId="17EDE36A" w14:textId="77777777" w:rsidR="00CA7ABD" w:rsidRDefault="00000000">
      <w:pPr>
        <w:rPr>
          <w:rFonts w:hint="eastAsia"/>
        </w:rPr>
      </w:pPr>
      <w:r>
        <w:t>The framework architecture resets Verification Scores at phase boundaries according to the following schedule:</w:t>
      </w:r>
    </w:p>
    <w:p w14:paraId="1C3A0B30" w14:textId="77777777" w:rsidR="00CA7ABD" w:rsidRDefault="00000000">
      <w:pPr>
        <w:rPr>
          <w:rFonts w:hint="eastAsia"/>
        </w:rPr>
      </w:pPr>
      <w:r>
        <w:t>Testing Phase (Days 1 through 14): Both Parties start at 0 credits. Scores carry forward to Cooling-Off Period as base scores on Day 15.</w:t>
      </w:r>
    </w:p>
    <w:p w14:paraId="79CBF452" w14:textId="77777777" w:rsidR="00CA7ABD" w:rsidRDefault="00000000">
      <w:pPr>
        <w:rPr>
          <w:rFonts w:hint="eastAsia"/>
        </w:rPr>
      </w:pPr>
      <w:r>
        <w:t>Cooling-Off Period (Days 15 through 44): Testing Phase final scores become starting balances. Scores freeze and publish on Day 45; no further verification activity.</w:t>
      </w:r>
    </w:p>
    <w:p w14:paraId="2068DD5C" w14:textId="77777777" w:rsidR="00CA7ABD" w:rsidRDefault="00000000">
      <w:pPr>
        <w:rPr>
          <w:rFonts w:hint="eastAsia"/>
        </w:rPr>
      </w:pPr>
      <w:r>
        <w:t>Decision Point (Days 45 through 51): Scores are frozen and published. No further claims, challenges, or score changes; only political decision remains.</w:t>
      </w:r>
    </w:p>
    <w:p w14:paraId="7200D7BA" w14:textId="77777777" w:rsidR="00CA7ABD" w:rsidRDefault="00000000">
      <w:pPr>
        <w:rPr>
          <w:rFonts w:hint="eastAsia"/>
        </w:rPr>
      </w:pPr>
      <w:r>
        <w:t>The score reset between phases ensures that each phase begins with a clear baseline. Historical scores inform the phase assessment but do not predetermine the next phase's outcome. The Good Faith Reset under Section 15.4 operates independently of the phase reset and applies within the current phase only.</w:t>
      </w:r>
    </w:p>
    <w:p w14:paraId="2560FB73" w14:textId="77777777" w:rsidR="00CA7ABD" w:rsidRDefault="00000000">
      <w:pPr>
        <w:rPr>
          <w:rFonts w:hint="eastAsia"/>
        </w:rPr>
      </w:pPr>
      <w:r>
        <w:t>No Party re-litigates a claim after the phase in which the claim was submitted concludes. The Shared Digital Registry archives all claims, determinations, and scores permanently for audit purposes. The framework architecture treats historical verification data as the factual baseline for all future phase assessments.</w:t>
      </w:r>
    </w:p>
    <w:p w14:paraId="149B2E71" w14:textId="77777777" w:rsidR="00CA7ABD" w:rsidRDefault="00000000">
      <w:pPr>
        <w:pStyle w:val="Heading3"/>
        <w:rPr>
          <w:rFonts w:hint="eastAsia"/>
        </w:rPr>
      </w:pPr>
      <w:r>
        <w:t>SECTION 22: MATERIAL BREACH PROTOCOL</w:t>
      </w:r>
    </w:p>
    <w:p w14:paraId="2051595A" w14:textId="77777777" w:rsidR="00CA7ABD" w:rsidRDefault="00000000">
      <w:pPr>
        <w:rPr>
          <w:rFonts w:hint="eastAsia"/>
        </w:rPr>
      </w:pPr>
      <w:r>
        <w:t>The framework architecture recognizes the following actions as Material Breach: deliberate jamming or interference with satellite feeds or sensor data originating from a Party's territory or assets; deliberate refusal to transmit data to the Shared Digital Registry after system activation; failure to maintain Joint Monitoring Cell staffing at the minimum defined level for more than 72 consecutive hours; persistent transmission of data below the signal-to-noise threshold or in a format that violates the shared protocol.</w:t>
      </w:r>
    </w:p>
    <w:p w14:paraId="6BDDA34A" w14:textId="77777777" w:rsidR="00CA7ABD" w:rsidRDefault="00000000">
      <w:pPr>
        <w:rPr>
          <w:rFonts w:hint="eastAsia"/>
        </w:rPr>
      </w:pPr>
      <w:r>
        <w:t>A Material Breach activates the following framework response: the non-breaching Party logs the breach in the Shared Digital Registry with supporting telemetry; the Joint Monitoring Cell Chief Technical Officer confirms the breach classification within 48 hours; and the Permanent Coordination Council convenes an emergency mediation session within 72 hours of confirmation.</w:t>
      </w:r>
    </w:p>
    <w:p w14:paraId="30CE46AB" w14:textId="77777777" w:rsidR="00CA7ABD" w:rsidRDefault="00000000">
      <w:pPr>
        <w:rPr>
          <w:rFonts w:hint="eastAsia"/>
        </w:rPr>
      </w:pPr>
      <w:r>
        <w:t>The framework architecture continues all technical monitoring during a Material Breach dispute. Neither Party suspends data transmission or withdraws Joint Monitoring Cell personnel during a Material Breach dispute.</w:t>
      </w:r>
    </w:p>
    <w:p w14:paraId="7479E077" w14:textId="77777777" w:rsidR="00CA7ABD" w:rsidRDefault="00000000">
      <w:pPr>
        <w:pStyle w:val="Heading3"/>
        <w:rPr>
          <w:rFonts w:hint="eastAsia"/>
        </w:rPr>
      </w:pPr>
      <w:r>
        <w:t>SECTION 23: TECHNICAL CORRECTIONS PROTOCOL</w:t>
      </w:r>
    </w:p>
    <w:p w14:paraId="02A526FA" w14:textId="77777777" w:rsidR="00CA7ABD" w:rsidRDefault="00000000">
      <w:pPr>
        <w:rPr>
          <w:rFonts w:hint="eastAsia"/>
        </w:rPr>
      </w:pPr>
      <w:r>
        <w:t>The Joint Monitoring Cell Chief Technical Officer, in consultation with the Swiss facilitator, issues technical corrections to this Method to address non-material errors. Technical corrections include typographical errors, incorrect cross-references, inconsistent numbering, and minor formatting inconsistencies. The Officer does not issue technical corrections that alter substantive obligations, rights, or timelines.</w:t>
      </w:r>
    </w:p>
    <w:p w14:paraId="14D4EE1C" w14:textId="77777777" w:rsidR="00CA7ABD" w:rsidRDefault="00000000">
      <w:pPr>
        <w:rPr>
          <w:rFonts w:hint="eastAsia"/>
        </w:rPr>
      </w:pPr>
      <w:r>
        <w:t>Every technical correction follows this protocol: the Officer logs the correction in the Shared Digital Registry; the Officer notifies both Parties within 48 hours of logging; the correction takes effect immediately upon notification. Either Party objects to a technical correction within 7 days of notification. An objection suspends the correction pending mutual agreement or Permanent Coordination Council review. If no Party lodges an objection within 7 days, the correction becomes permanent.</w:t>
      </w:r>
    </w:p>
    <w:p w14:paraId="47BF5EDF" w14:textId="77777777" w:rsidR="00CA7ABD" w:rsidRDefault="00000000">
      <w:pPr>
        <w:pStyle w:val="Heading3"/>
        <w:rPr>
          <w:rFonts w:hint="eastAsia"/>
        </w:rPr>
      </w:pPr>
      <w:r>
        <w:t>SECTION 24: DECLASSIFICATION SCHEDULE</w:t>
      </w:r>
    </w:p>
    <w:p w14:paraId="13A7726C" w14:textId="77777777" w:rsidR="00CA7ABD" w:rsidRDefault="00000000">
      <w:pPr>
        <w:rPr>
          <w:rFonts w:hint="eastAsia"/>
        </w:rPr>
      </w:pPr>
      <w:r>
        <w:t>This Method and all operational data logged in the Shared Digital Registry declassify automatically and enter the public domain on the first anniversary of the earlier of: signature of a Final Deal, or entry into Extended Phase I.</w:t>
      </w:r>
    </w:p>
    <w:p w14:paraId="19DD51CF" w14:textId="77777777" w:rsidR="00CA7ABD" w:rsidRDefault="00000000">
      <w:pPr>
        <w:rPr>
          <w:rFonts w:hint="eastAsia"/>
        </w:rPr>
      </w:pPr>
      <w:r>
        <w:t>Both Parties jointly agree to delay declassification for one additional year by written notice to the Permanent Coordination Council. The framework architecture permits no more than two such delays. The total maximum classification period is three years from the declassification trigger date.</w:t>
      </w:r>
    </w:p>
    <w:p w14:paraId="5A982AFE" w14:textId="77777777" w:rsidR="00CA7ABD" w:rsidRDefault="00000000">
      <w:pPr>
        <w:rPr>
          <w:rFonts w:hint="eastAsia"/>
        </w:rPr>
      </w:pPr>
      <w:r>
        <w:t>Redaction of personal identifying information of Joint Monitoring Cell staff and operational personnel occurs prior to public release. The Swiss facilitator completes redaction and releases the declassified material within 30 days of the declassification trigger date.</w:t>
      </w:r>
    </w:p>
    <w:p w14:paraId="1AB64657" w14:textId="77777777" w:rsidR="00CA7ABD" w:rsidRDefault="00000000">
      <w:pPr>
        <w:pStyle w:val="Heading3"/>
        <w:rPr>
          <w:rFonts w:hint="eastAsia"/>
        </w:rPr>
      </w:pPr>
      <w:r>
        <w:t>SECTION 25: SUMMARY OPERATING PRINCIPLES</w:t>
      </w:r>
    </w:p>
    <w:p w14:paraId="5DB538F1" w14:textId="77777777" w:rsidR="00CA7ABD" w:rsidRDefault="00000000">
      <w:pPr>
        <w:rPr>
          <w:rFonts w:hint="eastAsia"/>
        </w:rPr>
      </w:pPr>
      <w:r>
        <w:t>1. Proportionality governs everything. The penalty fits the violation.</w:t>
      </w:r>
    </w:p>
    <w:p w14:paraId="0C565E61" w14:textId="77777777" w:rsidR="00CA7ABD" w:rsidRDefault="00000000">
      <w:pPr>
        <w:rPr>
          <w:rFonts w:hint="eastAsia"/>
        </w:rPr>
      </w:pPr>
      <w:r>
        <w:t>2. Human judgment sits above automation. AI informs; humans decide.</w:t>
      </w:r>
    </w:p>
    <w:p w14:paraId="686F6722" w14:textId="77777777" w:rsidR="00CA7ABD" w:rsidRDefault="00000000">
      <w:pPr>
        <w:rPr>
          <w:rFonts w:hint="eastAsia"/>
        </w:rPr>
      </w:pPr>
      <w:r>
        <w:t>3. Earn-back is always available. No violation creates permanent exclusion.</w:t>
      </w:r>
    </w:p>
    <w:p w14:paraId="14D47086" w14:textId="77777777" w:rsidR="00CA7ABD" w:rsidRDefault="00000000">
      <w:pPr>
        <w:rPr>
          <w:rFonts w:hint="eastAsia"/>
        </w:rPr>
      </w:pPr>
      <w:r>
        <w:t>4. Humanitarian flows are sacred. No step-back touches food, medicine, or safety.</w:t>
      </w:r>
    </w:p>
    <w:p w14:paraId="34ED911C" w14:textId="77777777" w:rsidR="00CA7ABD" w:rsidRDefault="00000000">
      <w:pPr>
        <w:rPr>
          <w:rFonts w:hint="eastAsia"/>
        </w:rPr>
      </w:pPr>
      <w:r>
        <w:t>5. Modules fire independently. Failure in one does not collapse the rest.</w:t>
      </w:r>
    </w:p>
    <w:p w14:paraId="18E49D24" w14:textId="77777777" w:rsidR="00CA7ABD" w:rsidRDefault="00000000">
      <w:pPr>
        <w:rPr>
          <w:rFonts w:hint="eastAsia"/>
        </w:rPr>
      </w:pPr>
      <w:r>
        <w:t>6. Cooling-off prevents heat-of-moment escalation. Every penalty pauses for consultation.</w:t>
      </w:r>
    </w:p>
    <w:p w14:paraId="156D29E0" w14:textId="77777777" w:rsidR="00CA7ABD" w:rsidRDefault="00000000">
      <w:pPr>
        <w:rPr>
          <w:rFonts w:hint="eastAsia"/>
        </w:rPr>
      </w:pPr>
      <w:r>
        <w:t>7. Monitoring gaps trigger automatic protection. The 48-hour telemetry rule has no human override.</w:t>
      </w:r>
    </w:p>
    <w:p w14:paraId="17EC27E8" w14:textId="77777777" w:rsidR="00CA7ABD" w:rsidRDefault="00000000">
      <w:pPr>
        <w:rPr>
          <w:rFonts w:hint="eastAsia"/>
        </w:rPr>
      </w:pPr>
      <w:r>
        <w:t>8. Partial success survives. The framework endures even when individual modules lag.</w:t>
      </w:r>
    </w:p>
    <w:p w14:paraId="59C3A53A" w14:textId="77777777" w:rsidR="00CA7ABD" w:rsidRDefault="00000000">
      <w:pPr>
        <w:rPr>
          <w:rFonts w:hint="eastAsia"/>
        </w:rPr>
      </w:pPr>
      <w:r>
        <w:t>9. Military escalation is structurally decoupled. Economic penalties never authorize force.</w:t>
      </w:r>
    </w:p>
    <w:p w14:paraId="41A699E2" w14:textId="77777777" w:rsidR="00CA7ABD" w:rsidRDefault="00000000">
      <w:pPr>
        <w:rPr>
          <w:rFonts w:hint="eastAsia"/>
        </w:rPr>
      </w:pPr>
      <w:r>
        <w:t>10. The framework architecture presumes good faith. Attribution requires evidence. False flags are excluded.</w:t>
      </w:r>
    </w:p>
    <w:p w14:paraId="2F6A3796" w14:textId="77777777" w:rsidR="00CA7ABD" w:rsidRDefault="00000000">
      <w:pPr>
        <w:rPr>
          <w:rFonts w:hint="eastAsia"/>
        </w:rPr>
      </w:pPr>
      <w:r>
        <w:t>11. Data is data. No political meaning attaches to its collection or sharing.</w:t>
      </w:r>
    </w:p>
    <w:p w14:paraId="18E35015" w14:textId="77777777" w:rsidR="00CA7ABD" w:rsidRDefault="00000000">
      <w:pPr>
        <w:rPr>
          <w:rFonts w:hint="eastAsia"/>
        </w:rPr>
      </w:pPr>
      <w:r>
        <w:t>12. Verification is reciprocal. Both parties invest; both parties verify; both parties recover.</w:t>
      </w:r>
    </w:p>
    <w:p w14:paraId="63840041" w14:textId="77777777" w:rsidR="00CA7ABD" w:rsidRDefault="00000000">
      <w:pPr>
        <w:pStyle w:val="Heading2"/>
        <w:rPr>
          <w:rFonts w:hint="eastAsia"/>
        </w:rPr>
      </w:pPr>
      <w:r>
        <w:t>CLOSING</w:t>
      </w:r>
    </w:p>
    <w:p w14:paraId="5A0ABA84" w14:textId="77777777" w:rsidR="00CA7ABD" w:rsidRDefault="00000000">
      <w:pPr>
        <w:rPr>
          <w:rFonts w:hint="eastAsia"/>
        </w:rPr>
      </w:pPr>
      <w:r>
        <w:t>The Cothrom Verification Method converts compliance enforcement from a weapon of coercion into a mechanism of stabilization. It protects both parties from accidental collapse, preserves humanitarian flows through crises, creates clear and achievable pathways back to full compliance, and ensures that the framework outlives the inevitable imperfections of implementation. The framework architecture designs this Method not for a world of perfect compliance, but for a world of human fallibility, political friction, and the enduring possibility of recovery.</w:t>
      </w:r>
    </w:p>
    <w:p w14:paraId="68A25249" w14:textId="77777777" w:rsidR="00CA7ABD" w:rsidRDefault="00000000">
      <w:pPr>
        <w:rPr>
          <w:rFonts w:hint="eastAsia"/>
        </w:rPr>
      </w:pPr>
      <w:r>
        <w:t>"Cothrom" means equal. Equal stakes. Equal scrutiny. Equal protection. Equal opportunity to recover. That is the architecture.</w:t>
      </w:r>
    </w:p>
    <w:p w14:paraId="363BAFC9" w14:textId="77777777" w:rsidR="00CA7ABD" w:rsidRDefault="00CA7ABD">
      <w:pPr>
        <w:pageBreakBefore/>
        <w:rPr>
          <w:rFonts w:hint="eastAsia"/>
        </w:rPr>
      </w:pPr>
    </w:p>
    <w:p w14:paraId="2AD36FC3" w14:textId="77777777" w:rsidR="00CA7ABD" w:rsidRDefault="00000000">
      <w:pPr>
        <w:pStyle w:val="Heading1"/>
        <w:rPr>
          <w:rFonts w:hint="eastAsia"/>
        </w:rPr>
      </w:pPr>
      <w:r>
        <w:t>ANNEX RDF: THE RECONSTRUCTION AND DEVELOPMENT FUND PROTOCOL (FULL TEXT, INCORPORATED AS OPERATIVE LAW)</w:t>
      </w:r>
    </w:p>
    <w:p w14:paraId="0C735918" w14:textId="77777777" w:rsidR="00CA7ABD" w:rsidRDefault="00000000">
      <w:pPr>
        <w:pStyle w:val="Quote"/>
        <w:rPr>
          <w:rFonts w:hint="eastAsia"/>
        </w:rPr>
      </w:pPr>
      <w:r>
        <w:t>A multilateral, modular blueprint for the reconstruction of Iran; self-contained and incorporable by reference; incorporated into this Accord by Article 37 and binding as written, subject to the hierarchy of Article 11.2 of this Accord.</w:t>
      </w:r>
    </w:p>
    <w:p w14:paraId="402DAB9C" w14:textId="77777777" w:rsidR="00CA7ABD" w:rsidRDefault="00000000">
      <w:pPr>
        <w:pStyle w:val="Heading2"/>
        <w:rPr>
          <w:rFonts w:hint="eastAsia"/>
        </w:rPr>
      </w:pPr>
      <w:r>
        <w:t>ANNEX RDF</w:t>
      </w:r>
    </w:p>
    <w:p w14:paraId="331D5ADC" w14:textId="77777777" w:rsidR="00CA7ABD" w:rsidRDefault="00000000">
      <w:pPr>
        <w:rPr>
          <w:rFonts w:hint="eastAsia"/>
        </w:rPr>
      </w:pPr>
      <w:r>
        <w:t>Reconstruction and Development Fund Protocol</w:t>
      </w:r>
    </w:p>
    <w:p w14:paraId="083385F0" w14:textId="77777777" w:rsidR="00CA7ABD" w:rsidRDefault="00000000">
      <w:pPr>
        <w:rPr>
          <w:rFonts w:hint="eastAsia"/>
        </w:rPr>
      </w:pPr>
      <w:r>
        <w:t>A Multilateral, Modular Blueprint for Iran's Reconstruction</w:t>
      </w:r>
    </w:p>
    <w:p w14:paraId="3BA5FDC3" w14:textId="77777777" w:rsidR="00CA7ABD" w:rsidRDefault="00000000">
      <w:pPr>
        <w:rPr>
          <w:rFonts w:hint="eastAsia"/>
        </w:rPr>
      </w:pPr>
      <w:r>
        <w:t>A Self-Contained · Incorporable by Reference Protocol</w:t>
      </w:r>
    </w:p>
    <w:p w14:paraId="6A04F6CE" w14:textId="77777777" w:rsidR="00CA7ABD" w:rsidRDefault="00000000">
      <w:pPr>
        <w:rPr>
          <w:rFonts w:hint="eastAsia"/>
        </w:rPr>
      </w:pPr>
      <w:r>
        <w:t>For the Islamabad Accord</w:t>
      </w:r>
    </w:p>
    <w:p w14:paraId="5B7D3C4A" w14:textId="77777777" w:rsidR="00CA7ABD" w:rsidRDefault="00000000">
      <w:pPr>
        <w:rPr>
          <w:rFonts w:hint="eastAsia"/>
        </w:rPr>
      </w:pPr>
      <w:r>
        <w:t>Version 1.0 | June 2026</w:t>
      </w:r>
    </w:p>
    <w:p w14:paraId="6E7EBB98" w14:textId="77777777" w:rsidR="00CA7ABD" w:rsidRDefault="00000000">
      <w:pPr>
        <w:pStyle w:val="Heading2"/>
        <w:rPr>
          <w:rFonts w:hint="eastAsia"/>
        </w:rPr>
      </w:pPr>
      <w:r>
        <w:t>Preamble</w:t>
      </w:r>
    </w:p>
    <w:p w14:paraId="0EEFB8D2" w14:textId="77777777" w:rsidR="00CA7ABD" w:rsidRDefault="00000000">
      <w:pPr>
        <w:rPr>
          <w:rFonts w:hint="eastAsia"/>
        </w:rPr>
      </w:pPr>
      <w:r>
        <w:t>This document reflects the capitalization status and prospective contributor landscape as understood at the time of drafting. Figures, participation, and timelines are indicative of the contemporaneous negotiation environment and the Reconstruction Steering Committee updates them without amendment to the operative Articles of this Protocol.</w:t>
      </w:r>
    </w:p>
    <w:p w14:paraId="1D921AD8" w14:textId="77777777" w:rsidR="00CA7ABD" w:rsidRDefault="00000000">
      <w:pPr>
        <w:rPr>
          <w:rFonts w:hint="eastAsia"/>
        </w:rPr>
      </w:pPr>
      <w:r>
        <w:t>The Parties acknowledge the extensive damage to Iranian civilian infrastructure resulting from the 2026 conflict. Iranian officials estimate total reconstruction costs at approximately $270 billion over a ten-year horizon, encompassing:</w:t>
      </w:r>
    </w:p>
    <w:p w14:paraId="091CA00C" w14:textId="77777777" w:rsidR="00CA7ABD" w:rsidRDefault="00000000">
      <w:pPr>
        <w:ind w:left="360"/>
        <w:rPr>
          <w:rFonts w:hint="eastAsia"/>
        </w:rPr>
      </w:pPr>
      <w:r>
        <w:rPr>
          <w:color w:val="37474F"/>
        </w:rPr>
        <w:t>•</w:t>
      </w:r>
      <w:r>
        <w:t>Energy infrastructure (power plants, refineries, pipelines)</w:t>
      </w:r>
    </w:p>
    <w:p w14:paraId="2A349C17" w14:textId="77777777" w:rsidR="00CA7ABD" w:rsidRDefault="00000000">
      <w:pPr>
        <w:ind w:left="360"/>
        <w:rPr>
          <w:rFonts w:hint="eastAsia"/>
        </w:rPr>
      </w:pPr>
      <w:r>
        <w:rPr>
          <w:color w:val="37474F"/>
        </w:rPr>
        <w:t>•</w:t>
      </w:r>
      <w:r>
        <w:t>Transportation networks (roads, railways, ports, airports)</w:t>
      </w:r>
    </w:p>
    <w:p w14:paraId="3F54ECE1" w14:textId="77777777" w:rsidR="00CA7ABD" w:rsidRDefault="00000000">
      <w:pPr>
        <w:ind w:left="360"/>
        <w:rPr>
          <w:rFonts w:hint="eastAsia"/>
        </w:rPr>
      </w:pPr>
      <w:r>
        <w:rPr>
          <w:color w:val="37474F"/>
        </w:rPr>
        <w:t>•</w:t>
      </w:r>
      <w:r>
        <w:t>Water and sanitation systems</w:t>
      </w:r>
    </w:p>
    <w:p w14:paraId="38105B5D" w14:textId="77777777" w:rsidR="00CA7ABD" w:rsidRDefault="00000000">
      <w:pPr>
        <w:ind w:left="360"/>
        <w:rPr>
          <w:rFonts w:hint="eastAsia"/>
        </w:rPr>
      </w:pPr>
      <w:r>
        <w:rPr>
          <w:color w:val="37474F"/>
        </w:rPr>
        <w:t>•</w:t>
      </w:r>
      <w:r>
        <w:t>Healthcare facilities and medical supply chains</w:t>
      </w:r>
    </w:p>
    <w:p w14:paraId="668DE0A4" w14:textId="77777777" w:rsidR="00CA7ABD" w:rsidRDefault="00000000">
      <w:pPr>
        <w:ind w:left="360"/>
        <w:rPr>
          <w:rFonts w:hint="eastAsia"/>
        </w:rPr>
      </w:pPr>
      <w:r>
        <w:rPr>
          <w:color w:val="37474F"/>
        </w:rPr>
        <w:t>•</w:t>
      </w:r>
      <w:r>
        <w:t>Educational institutions and research centers</w:t>
      </w:r>
    </w:p>
    <w:p w14:paraId="6BEFD5F5" w14:textId="77777777" w:rsidR="00CA7ABD" w:rsidRDefault="00000000">
      <w:pPr>
        <w:ind w:left="360"/>
        <w:rPr>
          <w:rFonts w:hint="eastAsia"/>
        </w:rPr>
      </w:pPr>
      <w:r>
        <w:rPr>
          <w:color w:val="37474F"/>
        </w:rPr>
        <w:t>•</w:t>
      </w:r>
      <w:r>
        <w:t>Residential housing and urban reconstruction</w:t>
      </w:r>
    </w:p>
    <w:p w14:paraId="6AF004CC" w14:textId="77777777" w:rsidR="00CA7ABD" w:rsidRDefault="00000000">
      <w:pPr>
        <w:ind w:left="360"/>
        <w:rPr>
          <w:rFonts w:hint="eastAsia"/>
        </w:rPr>
      </w:pPr>
      <w:r>
        <w:rPr>
          <w:color w:val="37474F"/>
        </w:rPr>
        <w:t>•</w:t>
      </w:r>
      <w:r>
        <w:t>Agricultural and food security infrastructure</w:t>
      </w:r>
    </w:p>
    <w:p w14:paraId="14F4FC6D" w14:textId="77777777" w:rsidR="00CA7ABD" w:rsidRDefault="00000000">
      <w:pPr>
        <w:rPr>
          <w:rFonts w:hint="eastAsia"/>
        </w:rPr>
      </w:pPr>
      <w:r>
        <w:t>The Parties further recognize that direct U.S. financial aid or un-vetted capital flows to Iran are politically impossible for Washington. The United States cannot be seen as paying for Iranian reconstruction without risking severe domestic political backlash and accusations of rewarding aggression. Conversely, Iran cannot accept direct U.S. funding without undermining its narrative of sovereign resilience and resistance.</w:t>
      </w:r>
    </w:p>
    <w:p w14:paraId="15848DE2" w14:textId="77777777" w:rsidR="00CA7ABD" w:rsidRDefault="00000000">
      <w:pPr>
        <w:rPr>
          <w:rFonts w:hint="eastAsia"/>
        </w:rPr>
      </w:pPr>
      <w:r>
        <w:t>This Annex therefore establishes the Multilateral Reconstruction Fund (MRF): a highly innovative, modular financial architecture that routes third-party capital, humanitarian aid, and industrial investments through neutral channels without requiring direct, high-visibility U.S. state funding or triggering primary U.S. sanctions lines.</w:t>
      </w:r>
    </w:p>
    <w:p w14:paraId="1943D7FE" w14:textId="77777777" w:rsidR="00CA7ABD" w:rsidRDefault="00000000">
      <w:pPr>
        <w:rPr>
          <w:rFonts w:hint="eastAsia"/>
        </w:rPr>
      </w:pPr>
      <w:r>
        <w:t>The MRF operates on the following core principles:</w:t>
      </w:r>
    </w:p>
    <w:p w14:paraId="5AC1EA49" w14:textId="77777777" w:rsidR="00CA7ABD" w:rsidRDefault="00000000">
      <w:pPr>
        <w:pStyle w:val="Heading3"/>
        <w:rPr>
          <w:rFonts w:hint="eastAsia"/>
        </w:rPr>
      </w:pPr>
      <w:r>
        <w:t>Third-Party Capital Aggregation</w:t>
      </w:r>
    </w:p>
    <w:p w14:paraId="5C45E981" w14:textId="77777777" w:rsidR="00CA7ABD" w:rsidRDefault="00000000">
      <w:pPr>
        <w:rPr>
          <w:rFonts w:hint="eastAsia"/>
        </w:rPr>
      </w:pPr>
      <w:r>
        <w:t>The MRF aggregates contributions from multiple sources: sovereign wealth funds, international development banks, private investors, humanitarian organizations, and regional states: into a neutral escrow administered by the State of Qatar and the World Bank.</w:t>
      </w:r>
    </w:p>
    <w:p w14:paraId="011BE4CA" w14:textId="77777777" w:rsidR="00CA7ABD" w:rsidRDefault="00000000">
      <w:pPr>
        <w:pStyle w:val="Heading3"/>
        <w:rPr>
          <w:rFonts w:hint="eastAsia"/>
        </w:rPr>
      </w:pPr>
      <w:r>
        <w:t>Iranian Sovereignty Over Project Selection</w:t>
      </w:r>
    </w:p>
    <w:p w14:paraId="2624D494" w14:textId="77777777" w:rsidR="00CA7ABD" w:rsidRDefault="00000000">
      <w:pPr>
        <w:rPr>
          <w:rFonts w:hint="eastAsia"/>
        </w:rPr>
      </w:pPr>
      <w:r>
        <w:t>Iran retains full sovereign authority over reconstruction priorities and project selection. The MRF does not impose projects on Iran; Iran proposes projects, and the MRF funds those that meet technical and financial criteria.</w:t>
      </w:r>
    </w:p>
    <w:p w14:paraId="6DFBF846" w14:textId="77777777" w:rsidR="00CA7ABD" w:rsidRDefault="00000000">
      <w:pPr>
        <w:pStyle w:val="Heading3"/>
        <w:rPr>
          <w:rFonts w:hint="eastAsia"/>
        </w:rPr>
      </w:pPr>
      <w:r>
        <w:t>Neutral Channeling</w:t>
      </w:r>
    </w:p>
    <w:p w14:paraId="767077D8" w14:textId="77777777" w:rsidR="00CA7ABD" w:rsidRDefault="00000000">
      <w:pPr>
        <w:rPr>
          <w:rFonts w:hint="eastAsia"/>
        </w:rPr>
      </w:pPr>
      <w:r>
        <w:t>All funds flow through the Qatar Central Bank, the World Bank, or other internationally recognized financial intermediaries. The United States does not disburse funds directly to Iran, and no U.S. government funds are co-mingled with MRF funds. U.S. contributions, if any, are limited to technical assistance, project identification, or capacity building: never direct cash transfers.</w:t>
      </w:r>
    </w:p>
    <w:p w14:paraId="53B29CF8" w14:textId="77777777" w:rsidR="00CA7ABD" w:rsidRDefault="00000000">
      <w:pPr>
        <w:pStyle w:val="Heading3"/>
        <w:rPr>
          <w:rFonts w:hint="eastAsia"/>
        </w:rPr>
      </w:pPr>
      <w:r>
        <w:t>Modularity</w:t>
      </w:r>
    </w:p>
    <w:p w14:paraId="063CA78B" w14:textId="77777777" w:rsidR="00CA7ABD" w:rsidRDefault="00000000">
      <w:pPr>
        <w:rPr>
          <w:rFonts w:hint="eastAsia"/>
        </w:rPr>
      </w:pPr>
      <w:r>
        <w:t>The MRF divides into independent sub-funds, each addressing a specific sector (energy, water, transportation, healthcare, education, housing). Failure or delay in one sub-fund does not affect others.</w:t>
      </w:r>
    </w:p>
    <w:p w14:paraId="5FF443FB" w14:textId="77777777" w:rsidR="00CA7ABD" w:rsidRDefault="00000000">
      <w:pPr>
        <w:pStyle w:val="Heading3"/>
        <w:rPr>
          <w:rFonts w:hint="eastAsia"/>
        </w:rPr>
      </w:pPr>
      <w:r>
        <w:t>Performance-Based Disbursement</w:t>
      </w:r>
    </w:p>
    <w:p w14:paraId="38E0CEC6" w14:textId="77777777" w:rsidR="00CA7ABD" w:rsidRDefault="00000000">
      <w:pPr>
        <w:rPr>
          <w:rFonts w:hint="eastAsia"/>
        </w:rPr>
      </w:pPr>
      <w:r>
        <w:t>Like the Escrow Protocol, MRF disbursements are tied to verifiable milestones: in this case, project completion, procurement verification, and independent auditing.</w:t>
      </w:r>
    </w:p>
    <w:p w14:paraId="23694C8F" w14:textId="77777777" w:rsidR="00CA7ABD" w:rsidRDefault="00000000">
      <w:pPr>
        <w:pStyle w:val="Heading3"/>
        <w:rPr>
          <w:rFonts w:hint="eastAsia"/>
        </w:rPr>
      </w:pPr>
      <w:r>
        <w:t>Sanctions Firewall</w:t>
      </w:r>
    </w:p>
    <w:p w14:paraId="19AAE07E" w14:textId="77777777" w:rsidR="00CA7ABD" w:rsidRDefault="00000000">
      <w:pPr>
        <w:rPr>
          <w:rFonts w:hint="eastAsia"/>
        </w:rPr>
      </w:pPr>
      <w:r>
        <w:t>MRF transactions are explicitly exempt from U.S. secondary sanctions. Participating financial institutions receive a general license from OFAC for all MRF-related activities.</w:t>
      </w:r>
    </w:p>
    <w:p w14:paraId="4B7313BF" w14:textId="77777777" w:rsidR="00CA7ABD" w:rsidRDefault="00000000">
      <w:pPr>
        <w:pStyle w:val="Heading2"/>
        <w:rPr>
          <w:rFonts w:hint="eastAsia"/>
        </w:rPr>
      </w:pPr>
      <w:r>
        <w:t>Index</w:t>
      </w:r>
    </w:p>
    <w:p w14:paraId="18C9554A" w14:textId="77777777" w:rsidR="00CA7ABD" w:rsidRDefault="00000000">
      <w:pPr>
        <w:rPr>
          <w:rFonts w:hint="eastAsia"/>
        </w:rPr>
      </w:pPr>
      <w:r>
        <w:t>The following numbered index provides a complete guide to the articles, appendices, and major sections of this Annex with their corresponding page numbers.</w:t>
      </w:r>
    </w:p>
    <w:p w14:paraId="7ED9B59F" w14:textId="77777777" w:rsidR="00CA7ABD" w:rsidRDefault="00000000">
      <w:pPr>
        <w:rPr>
          <w:rFonts w:hint="eastAsia"/>
        </w:rPr>
      </w:pPr>
      <w:r>
        <w:t>1. Preamble ....................................................... 1</w:t>
      </w:r>
    </w:p>
    <w:p w14:paraId="01198861" w14:textId="77777777" w:rsidR="00CA7ABD" w:rsidRDefault="00000000">
      <w:pPr>
        <w:rPr>
          <w:rFonts w:hint="eastAsia"/>
        </w:rPr>
      </w:pPr>
      <w:r>
        <w:t>2. Article 1: Definitions ........................................ 1</w:t>
      </w:r>
    </w:p>
    <w:p w14:paraId="4B91AF34" w14:textId="77777777" w:rsidR="00CA7ABD" w:rsidRDefault="00000000">
      <w:pPr>
        <w:rPr>
          <w:rFonts w:hint="eastAsia"/>
        </w:rPr>
      </w:pPr>
      <w:r>
        <w:t>3. Article 2: Capital Aggregation and Escrow ..................... 9</w:t>
      </w:r>
    </w:p>
    <w:p w14:paraId="2EFB400D" w14:textId="77777777" w:rsidR="00CA7ABD" w:rsidRDefault="00000000">
      <w:pPr>
        <w:rPr>
          <w:rFonts w:hint="eastAsia"/>
        </w:rPr>
      </w:pPr>
      <w:r>
        <w:t>4. Article 3: Project Proposal and Approval Process .............. 12</w:t>
      </w:r>
    </w:p>
    <w:p w14:paraId="77D4EFB6" w14:textId="77777777" w:rsidR="00CA7ABD" w:rsidRDefault="00000000">
      <w:pPr>
        <w:rPr>
          <w:rFonts w:hint="eastAsia"/>
        </w:rPr>
      </w:pPr>
      <w:r>
        <w:t>5. Article 4: Disbursement and Verification ...................... 16</w:t>
      </w:r>
    </w:p>
    <w:p w14:paraId="3EFD13C6" w14:textId="77777777" w:rsidR="00CA7ABD" w:rsidRDefault="00000000">
      <w:pPr>
        <w:rPr>
          <w:rFonts w:hint="eastAsia"/>
        </w:rPr>
      </w:pPr>
      <w:r>
        <w:t>6. Article 5: Governance and Transparency ........................ 16</w:t>
      </w:r>
    </w:p>
    <w:p w14:paraId="0DEC7A1C" w14:textId="77777777" w:rsidR="00CA7ABD" w:rsidRDefault="00000000">
      <w:pPr>
        <w:rPr>
          <w:rFonts w:hint="eastAsia"/>
        </w:rPr>
      </w:pPr>
      <w:r>
        <w:t>7. Article 6: Relationship to Other Annexes ...................... 20</w:t>
      </w:r>
    </w:p>
    <w:p w14:paraId="44153C38" w14:textId="77777777" w:rsidR="00CA7ABD" w:rsidRDefault="00000000">
      <w:pPr>
        <w:rPr>
          <w:rFonts w:hint="eastAsia"/>
        </w:rPr>
      </w:pPr>
      <w:r>
        <w:t>8. Article 7: Duration and Supersession .......................... 20</w:t>
      </w:r>
    </w:p>
    <w:p w14:paraId="7DB40516" w14:textId="77777777" w:rsidR="00CA7ABD" w:rsidRDefault="00000000">
      <w:pPr>
        <w:rPr>
          <w:rFonts w:hint="eastAsia"/>
        </w:rPr>
      </w:pPr>
      <w:r>
        <w:t>9. Article 8: Sovereign Procurement and Non-Directed Purchasing .. 24</w:t>
      </w:r>
    </w:p>
    <w:p w14:paraId="7E340789" w14:textId="77777777" w:rsidR="00CA7ABD" w:rsidRDefault="00000000">
      <w:pPr>
        <w:rPr>
          <w:rFonts w:hint="eastAsia"/>
        </w:rPr>
      </w:pPr>
      <w:r>
        <w:t>10. Appendix A: Capital Contributor Registry ...................... 24</w:t>
      </w:r>
    </w:p>
    <w:p w14:paraId="2D121E5D" w14:textId="77777777" w:rsidR="00CA7ABD" w:rsidRDefault="00000000">
      <w:pPr>
        <w:rPr>
          <w:rFonts w:hint="eastAsia"/>
        </w:rPr>
      </w:pPr>
      <w:r>
        <w:t>11. Appendix B: Regional Development Funds and Grant Programs ..... 28</w:t>
      </w:r>
    </w:p>
    <w:p w14:paraId="2B23988C" w14:textId="77777777" w:rsidR="00CA7ABD" w:rsidRDefault="00000000">
      <w:pPr>
        <w:rPr>
          <w:rFonts w:hint="eastAsia"/>
        </w:rPr>
      </w:pPr>
      <w:r>
        <w:t>12. Appendix C: The Multilateral Architecture ..................... 31</w:t>
      </w:r>
    </w:p>
    <w:p w14:paraId="0FA006A2" w14:textId="77777777" w:rsidR="00CA7ABD" w:rsidRDefault="00000000">
      <w:pPr>
        <w:rPr>
          <w:rFonts w:hint="eastAsia"/>
        </w:rPr>
      </w:pPr>
      <w:r>
        <w:t>13. Appendix D: Supplementary Regional Programs ................... 31</w:t>
      </w:r>
    </w:p>
    <w:p w14:paraId="092B2B2E" w14:textId="77777777" w:rsidR="00CA7ABD" w:rsidRDefault="00000000">
      <w:pPr>
        <w:rPr>
          <w:rFonts w:hint="eastAsia"/>
        </w:rPr>
      </w:pPr>
      <w:r>
        <w:t>14. Appendix E: International Funding Sources and Application Pathways ........ 35</w:t>
      </w:r>
    </w:p>
    <w:p w14:paraId="58242B46" w14:textId="77777777" w:rsidR="00CA7ABD" w:rsidRDefault="00000000">
      <w:pPr>
        <w:rPr>
          <w:rFonts w:hint="eastAsia"/>
        </w:rPr>
      </w:pPr>
      <w:r>
        <w:t>15. Appendix F: Force Majeure and Sanctions Reimposition Fallback Protocol ... 43</w:t>
      </w:r>
    </w:p>
    <w:p w14:paraId="7E9CF2AB" w14:textId="77777777" w:rsidR="00CA7ABD" w:rsidRDefault="00000000">
      <w:pPr>
        <w:rPr>
          <w:rFonts w:hint="eastAsia"/>
        </w:rPr>
      </w:pPr>
      <w:r>
        <w:t>16. Appendix G: Additional International Funding Sources ........... 47</w:t>
      </w:r>
    </w:p>
    <w:p w14:paraId="66168CF2" w14:textId="77777777" w:rsidR="00CA7ABD" w:rsidRDefault="00000000">
      <w:pPr>
        <w:rPr>
          <w:rFonts w:hint="eastAsia"/>
        </w:rPr>
      </w:pPr>
      <w:r>
        <w:t>17. Appendix H: Global South, BRICS, and Regional Development Partners .... 54</w:t>
      </w:r>
    </w:p>
    <w:p w14:paraId="0A29FF74" w14:textId="77777777" w:rsidR="00CA7ABD" w:rsidRDefault="00000000">
      <w:pPr>
        <w:rPr>
          <w:rFonts w:hint="eastAsia"/>
        </w:rPr>
      </w:pPr>
      <w:r>
        <w:t>18. Appendix I: Country-by-Country Funding Sources ................ 58</w:t>
      </w:r>
    </w:p>
    <w:p w14:paraId="0839A8F6" w14:textId="77777777" w:rsidR="00CA7ABD" w:rsidRDefault="00000000">
      <w:pPr>
        <w:pStyle w:val="Heading2"/>
        <w:rPr>
          <w:rFonts w:hint="eastAsia"/>
        </w:rPr>
      </w:pPr>
      <w:r>
        <w:t>Article 1: Definitions</w:t>
      </w:r>
    </w:p>
    <w:p w14:paraId="2713921A" w14:textId="77777777" w:rsidR="00CA7ABD" w:rsidRDefault="00000000">
      <w:pPr>
        <w:pStyle w:val="Heading3"/>
        <w:rPr>
          <w:rFonts w:hint="eastAsia"/>
        </w:rPr>
      </w:pPr>
      <w:r>
        <w:t>1.1 Multilateral Reconstruction Fund (MRF)</w:t>
      </w:r>
    </w:p>
    <w:p w14:paraId="34D8B3C8" w14:textId="77777777" w:rsidR="00CA7ABD" w:rsidRDefault="00000000">
      <w:pPr>
        <w:rPr>
          <w:rFonts w:hint="eastAsia"/>
        </w:rPr>
      </w:pPr>
      <w:r>
        <w:t>The MRF is the central vehicle for aggregating, administering, and disbursing reconstruction capital. It consists of multiple sub-funds, each dedicated to a specific sector.</w:t>
      </w:r>
    </w:p>
    <w:p w14:paraId="7875CC4E" w14:textId="77777777" w:rsidR="00CA7ABD" w:rsidRDefault="00000000">
      <w:pPr>
        <w:pStyle w:val="Heading3"/>
        <w:rPr>
          <w:rFonts w:hint="eastAsia"/>
        </w:rPr>
      </w:pPr>
      <w:r>
        <w:t>1.2 Sub-Funds</w:t>
      </w:r>
    </w:p>
    <w:p w14:paraId="5A2BC592" w14:textId="77777777" w:rsidR="00CA7ABD" w:rsidRDefault="00000000">
      <w:pPr>
        <w:rPr>
          <w:rFonts w:hint="eastAsia"/>
        </w:rPr>
      </w:pPr>
      <w:r>
        <w:t>The MRF comprises the following Sub-Funds, each with its own governance, project pipeline, and disbursement schedule:</w:t>
      </w:r>
    </w:p>
    <w:tbl>
      <w:tblPr>
        <w:tblW w:w="5000" w:type="pct"/>
        <w:tblInd w:w="-8"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1526"/>
        <w:gridCol w:w="4878"/>
        <w:gridCol w:w="2822"/>
      </w:tblGrid>
      <w:tr w:rsidR="00CA7ABD" w14:paraId="41CC3473" w14:textId="77777777">
        <w:tc>
          <w:tcPr>
            <w:tcW w:w="0" w:type="auto"/>
            <w:shd w:val="clear" w:color="auto" w:fill="37474F"/>
          </w:tcPr>
          <w:p w14:paraId="5C4747FB" w14:textId="77777777" w:rsidR="00CA7ABD" w:rsidRDefault="00000000">
            <w:pPr>
              <w:rPr>
                <w:rFonts w:hint="eastAsia"/>
              </w:rPr>
            </w:pPr>
            <w:r>
              <w:rPr>
                <w:b/>
                <w:color w:val="FFFFFF"/>
                <w:sz w:val="19"/>
              </w:rPr>
              <w:t>Sub-Fund</w:t>
            </w:r>
          </w:p>
        </w:tc>
        <w:tc>
          <w:tcPr>
            <w:tcW w:w="0" w:type="auto"/>
            <w:shd w:val="clear" w:color="auto" w:fill="37474F"/>
          </w:tcPr>
          <w:p w14:paraId="35A14F23" w14:textId="77777777" w:rsidR="00CA7ABD" w:rsidRDefault="00000000">
            <w:pPr>
              <w:rPr>
                <w:rFonts w:hint="eastAsia"/>
              </w:rPr>
            </w:pPr>
            <w:r>
              <w:rPr>
                <w:b/>
                <w:color w:val="FFFFFF"/>
                <w:sz w:val="19"/>
              </w:rPr>
              <w:t>Sector</w:t>
            </w:r>
          </w:p>
        </w:tc>
        <w:tc>
          <w:tcPr>
            <w:tcW w:w="0" w:type="auto"/>
            <w:shd w:val="clear" w:color="auto" w:fill="37474F"/>
          </w:tcPr>
          <w:p w14:paraId="0865BB39" w14:textId="77777777" w:rsidR="00CA7ABD" w:rsidRDefault="00000000">
            <w:pPr>
              <w:rPr>
                <w:rFonts w:hint="eastAsia"/>
              </w:rPr>
            </w:pPr>
            <w:r>
              <w:rPr>
                <w:b/>
                <w:color w:val="FFFFFF"/>
                <w:sz w:val="19"/>
              </w:rPr>
              <w:t>Target Capitalization (10-Year)</w:t>
            </w:r>
          </w:p>
        </w:tc>
      </w:tr>
      <w:tr w:rsidR="00CA7ABD" w14:paraId="2684B5DD" w14:textId="77777777">
        <w:tc>
          <w:tcPr>
            <w:tcW w:w="0" w:type="auto"/>
          </w:tcPr>
          <w:p w14:paraId="52050933" w14:textId="77777777" w:rsidR="00CA7ABD" w:rsidRDefault="00000000">
            <w:pPr>
              <w:rPr>
                <w:rFonts w:hint="eastAsia"/>
              </w:rPr>
            </w:pPr>
            <w:r>
              <w:rPr>
                <w:sz w:val="19"/>
              </w:rPr>
              <w:t>MRF-Energy</w:t>
            </w:r>
          </w:p>
        </w:tc>
        <w:tc>
          <w:tcPr>
            <w:tcW w:w="0" w:type="auto"/>
          </w:tcPr>
          <w:p w14:paraId="263ED92C" w14:textId="77777777" w:rsidR="00CA7ABD" w:rsidRDefault="00000000">
            <w:pPr>
              <w:rPr>
                <w:rFonts w:hint="eastAsia"/>
              </w:rPr>
            </w:pPr>
            <w:r>
              <w:rPr>
                <w:sz w:val="19"/>
              </w:rPr>
              <w:t>Power plants, refineries, renewable energy, grid modernization</w:t>
            </w:r>
          </w:p>
        </w:tc>
        <w:tc>
          <w:tcPr>
            <w:tcW w:w="0" w:type="auto"/>
          </w:tcPr>
          <w:p w14:paraId="541E3930" w14:textId="77777777" w:rsidR="00CA7ABD" w:rsidRDefault="00000000">
            <w:pPr>
              <w:rPr>
                <w:rFonts w:hint="eastAsia"/>
              </w:rPr>
            </w:pPr>
            <w:r>
              <w:rPr>
                <w:sz w:val="19"/>
              </w:rPr>
              <w:t>$80 billion</w:t>
            </w:r>
          </w:p>
        </w:tc>
      </w:tr>
      <w:tr w:rsidR="00CA7ABD" w14:paraId="371CE960" w14:textId="77777777">
        <w:tc>
          <w:tcPr>
            <w:tcW w:w="0" w:type="auto"/>
            <w:shd w:val="clear" w:color="auto" w:fill="ECEFF1"/>
          </w:tcPr>
          <w:p w14:paraId="4C41A771" w14:textId="77777777" w:rsidR="00CA7ABD" w:rsidRDefault="00000000">
            <w:pPr>
              <w:rPr>
                <w:rFonts w:hint="eastAsia"/>
              </w:rPr>
            </w:pPr>
            <w:r>
              <w:rPr>
                <w:sz w:val="19"/>
              </w:rPr>
              <w:t>MRF-Water</w:t>
            </w:r>
          </w:p>
        </w:tc>
        <w:tc>
          <w:tcPr>
            <w:tcW w:w="0" w:type="auto"/>
            <w:shd w:val="clear" w:color="auto" w:fill="ECEFF1"/>
          </w:tcPr>
          <w:p w14:paraId="0DC170D2" w14:textId="77777777" w:rsidR="00CA7ABD" w:rsidRDefault="00000000">
            <w:pPr>
              <w:rPr>
                <w:rFonts w:hint="eastAsia"/>
              </w:rPr>
            </w:pPr>
            <w:r>
              <w:rPr>
                <w:sz w:val="19"/>
              </w:rPr>
              <w:t>Water treatment, desalination, irrigation, sanitation</w:t>
            </w:r>
          </w:p>
        </w:tc>
        <w:tc>
          <w:tcPr>
            <w:tcW w:w="0" w:type="auto"/>
            <w:shd w:val="clear" w:color="auto" w:fill="ECEFF1"/>
          </w:tcPr>
          <w:p w14:paraId="5111E8CD" w14:textId="77777777" w:rsidR="00CA7ABD" w:rsidRDefault="00000000">
            <w:pPr>
              <w:rPr>
                <w:rFonts w:hint="eastAsia"/>
              </w:rPr>
            </w:pPr>
            <w:r>
              <w:rPr>
                <w:sz w:val="19"/>
              </w:rPr>
              <w:t>$40 billion</w:t>
            </w:r>
          </w:p>
        </w:tc>
      </w:tr>
      <w:tr w:rsidR="00CA7ABD" w14:paraId="610792FE" w14:textId="77777777">
        <w:tc>
          <w:tcPr>
            <w:tcW w:w="0" w:type="auto"/>
          </w:tcPr>
          <w:p w14:paraId="6B31C6BD" w14:textId="77777777" w:rsidR="00CA7ABD" w:rsidRDefault="00000000">
            <w:pPr>
              <w:rPr>
                <w:rFonts w:hint="eastAsia"/>
              </w:rPr>
            </w:pPr>
            <w:r>
              <w:rPr>
                <w:sz w:val="19"/>
              </w:rPr>
              <w:t>MRF-Transport</w:t>
            </w:r>
          </w:p>
        </w:tc>
        <w:tc>
          <w:tcPr>
            <w:tcW w:w="0" w:type="auto"/>
          </w:tcPr>
          <w:p w14:paraId="6FA229B5" w14:textId="77777777" w:rsidR="00CA7ABD" w:rsidRDefault="00000000">
            <w:pPr>
              <w:rPr>
                <w:rFonts w:hint="eastAsia"/>
              </w:rPr>
            </w:pPr>
            <w:r>
              <w:rPr>
                <w:sz w:val="19"/>
              </w:rPr>
              <w:t>Roads, railways, ports, airports, urban transit</w:t>
            </w:r>
          </w:p>
        </w:tc>
        <w:tc>
          <w:tcPr>
            <w:tcW w:w="0" w:type="auto"/>
          </w:tcPr>
          <w:p w14:paraId="3B26F812" w14:textId="77777777" w:rsidR="00CA7ABD" w:rsidRDefault="00000000">
            <w:pPr>
              <w:rPr>
                <w:rFonts w:hint="eastAsia"/>
              </w:rPr>
            </w:pPr>
            <w:r>
              <w:rPr>
                <w:sz w:val="19"/>
              </w:rPr>
              <w:t>$50 billion</w:t>
            </w:r>
          </w:p>
        </w:tc>
      </w:tr>
      <w:tr w:rsidR="00CA7ABD" w14:paraId="3D943B27" w14:textId="77777777">
        <w:tc>
          <w:tcPr>
            <w:tcW w:w="0" w:type="auto"/>
            <w:shd w:val="clear" w:color="auto" w:fill="ECEFF1"/>
          </w:tcPr>
          <w:p w14:paraId="7A9F0CE9" w14:textId="77777777" w:rsidR="00CA7ABD" w:rsidRDefault="00000000">
            <w:pPr>
              <w:rPr>
                <w:rFonts w:hint="eastAsia"/>
              </w:rPr>
            </w:pPr>
            <w:r>
              <w:rPr>
                <w:sz w:val="19"/>
              </w:rPr>
              <w:t>MRF-Health</w:t>
            </w:r>
          </w:p>
        </w:tc>
        <w:tc>
          <w:tcPr>
            <w:tcW w:w="0" w:type="auto"/>
            <w:shd w:val="clear" w:color="auto" w:fill="ECEFF1"/>
          </w:tcPr>
          <w:p w14:paraId="42BF4366" w14:textId="77777777" w:rsidR="00CA7ABD" w:rsidRDefault="00000000">
            <w:pPr>
              <w:rPr>
                <w:rFonts w:hint="eastAsia"/>
              </w:rPr>
            </w:pPr>
            <w:r>
              <w:rPr>
                <w:sz w:val="19"/>
              </w:rPr>
              <w:t>Hospitals, clinics, medical supply chains, pandemic preparedness</w:t>
            </w:r>
          </w:p>
        </w:tc>
        <w:tc>
          <w:tcPr>
            <w:tcW w:w="0" w:type="auto"/>
            <w:shd w:val="clear" w:color="auto" w:fill="ECEFF1"/>
          </w:tcPr>
          <w:p w14:paraId="3E898A87" w14:textId="77777777" w:rsidR="00CA7ABD" w:rsidRDefault="00000000">
            <w:pPr>
              <w:rPr>
                <w:rFonts w:hint="eastAsia"/>
              </w:rPr>
            </w:pPr>
            <w:r>
              <w:rPr>
                <w:sz w:val="19"/>
              </w:rPr>
              <w:t>$25 billion</w:t>
            </w:r>
          </w:p>
        </w:tc>
      </w:tr>
      <w:tr w:rsidR="00CA7ABD" w14:paraId="7F7FBEFA" w14:textId="77777777">
        <w:tc>
          <w:tcPr>
            <w:tcW w:w="0" w:type="auto"/>
          </w:tcPr>
          <w:p w14:paraId="7AAE2666" w14:textId="77777777" w:rsidR="00CA7ABD" w:rsidRDefault="00000000">
            <w:pPr>
              <w:rPr>
                <w:rFonts w:hint="eastAsia"/>
              </w:rPr>
            </w:pPr>
            <w:r>
              <w:rPr>
                <w:sz w:val="19"/>
              </w:rPr>
              <w:t>MRF-Education</w:t>
            </w:r>
          </w:p>
        </w:tc>
        <w:tc>
          <w:tcPr>
            <w:tcW w:w="0" w:type="auto"/>
          </w:tcPr>
          <w:p w14:paraId="06041217" w14:textId="77777777" w:rsidR="00CA7ABD" w:rsidRDefault="00000000">
            <w:pPr>
              <w:rPr>
                <w:rFonts w:hint="eastAsia"/>
              </w:rPr>
            </w:pPr>
            <w:r>
              <w:rPr>
                <w:sz w:val="19"/>
              </w:rPr>
              <w:t>Schools, universities, research centers, vocational training</w:t>
            </w:r>
          </w:p>
        </w:tc>
        <w:tc>
          <w:tcPr>
            <w:tcW w:w="0" w:type="auto"/>
          </w:tcPr>
          <w:p w14:paraId="6536B9B8" w14:textId="77777777" w:rsidR="00CA7ABD" w:rsidRDefault="00000000">
            <w:pPr>
              <w:rPr>
                <w:rFonts w:hint="eastAsia"/>
              </w:rPr>
            </w:pPr>
            <w:r>
              <w:rPr>
                <w:sz w:val="19"/>
              </w:rPr>
              <w:t>$20 billion</w:t>
            </w:r>
          </w:p>
        </w:tc>
      </w:tr>
      <w:tr w:rsidR="00CA7ABD" w14:paraId="14E412BD" w14:textId="77777777">
        <w:tc>
          <w:tcPr>
            <w:tcW w:w="0" w:type="auto"/>
            <w:shd w:val="clear" w:color="auto" w:fill="ECEFF1"/>
          </w:tcPr>
          <w:p w14:paraId="62CE75AE" w14:textId="77777777" w:rsidR="00CA7ABD" w:rsidRDefault="00000000">
            <w:pPr>
              <w:rPr>
                <w:rFonts w:hint="eastAsia"/>
              </w:rPr>
            </w:pPr>
            <w:r>
              <w:rPr>
                <w:sz w:val="19"/>
              </w:rPr>
              <w:t>MRF-Housing</w:t>
            </w:r>
          </w:p>
        </w:tc>
        <w:tc>
          <w:tcPr>
            <w:tcW w:w="0" w:type="auto"/>
            <w:shd w:val="clear" w:color="auto" w:fill="ECEFF1"/>
          </w:tcPr>
          <w:p w14:paraId="25856D9A" w14:textId="77777777" w:rsidR="00CA7ABD" w:rsidRDefault="00000000">
            <w:pPr>
              <w:rPr>
                <w:rFonts w:hint="eastAsia"/>
              </w:rPr>
            </w:pPr>
            <w:r>
              <w:rPr>
                <w:sz w:val="19"/>
              </w:rPr>
              <w:t>Urban reconstruction, earthquake-resistant housing, slum upgrading</w:t>
            </w:r>
          </w:p>
        </w:tc>
        <w:tc>
          <w:tcPr>
            <w:tcW w:w="0" w:type="auto"/>
            <w:shd w:val="clear" w:color="auto" w:fill="ECEFF1"/>
          </w:tcPr>
          <w:p w14:paraId="0ACA7B2D" w14:textId="77777777" w:rsidR="00CA7ABD" w:rsidRDefault="00000000">
            <w:pPr>
              <w:rPr>
                <w:rFonts w:hint="eastAsia"/>
              </w:rPr>
            </w:pPr>
            <w:r>
              <w:rPr>
                <w:sz w:val="19"/>
              </w:rPr>
              <w:t>$35 billion</w:t>
            </w:r>
          </w:p>
        </w:tc>
      </w:tr>
      <w:tr w:rsidR="00CA7ABD" w14:paraId="6589D696" w14:textId="77777777">
        <w:tc>
          <w:tcPr>
            <w:tcW w:w="0" w:type="auto"/>
          </w:tcPr>
          <w:p w14:paraId="0CAFA8A4" w14:textId="77777777" w:rsidR="00CA7ABD" w:rsidRDefault="00000000">
            <w:pPr>
              <w:rPr>
                <w:rFonts w:hint="eastAsia"/>
              </w:rPr>
            </w:pPr>
            <w:r>
              <w:rPr>
                <w:sz w:val="19"/>
              </w:rPr>
              <w:t>MRF-Agriculture</w:t>
            </w:r>
          </w:p>
        </w:tc>
        <w:tc>
          <w:tcPr>
            <w:tcW w:w="0" w:type="auto"/>
          </w:tcPr>
          <w:p w14:paraId="49E55619" w14:textId="77777777" w:rsidR="00CA7ABD" w:rsidRDefault="00000000">
            <w:pPr>
              <w:rPr>
                <w:rFonts w:hint="eastAsia"/>
              </w:rPr>
            </w:pPr>
            <w:r>
              <w:rPr>
                <w:sz w:val="19"/>
              </w:rPr>
              <w:t>Food security, irrigation, agricultural technology, rural development</w:t>
            </w:r>
          </w:p>
        </w:tc>
        <w:tc>
          <w:tcPr>
            <w:tcW w:w="0" w:type="auto"/>
          </w:tcPr>
          <w:p w14:paraId="7E24D199" w14:textId="77777777" w:rsidR="00CA7ABD" w:rsidRDefault="00000000">
            <w:pPr>
              <w:rPr>
                <w:rFonts w:hint="eastAsia"/>
              </w:rPr>
            </w:pPr>
            <w:r>
              <w:rPr>
                <w:sz w:val="19"/>
              </w:rPr>
              <w:t>$20 billion</w:t>
            </w:r>
          </w:p>
        </w:tc>
      </w:tr>
      <w:tr w:rsidR="00CA7ABD" w14:paraId="22A9BF14" w14:textId="77777777">
        <w:tc>
          <w:tcPr>
            <w:tcW w:w="0" w:type="auto"/>
            <w:shd w:val="clear" w:color="auto" w:fill="ECEFF1"/>
          </w:tcPr>
          <w:p w14:paraId="73FA2A01" w14:textId="77777777" w:rsidR="00CA7ABD" w:rsidRDefault="00000000">
            <w:pPr>
              <w:rPr>
                <w:rFonts w:hint="eastAsia"/>
              </w:rPr>
            </w:pPr>
            <w:r>
              <w:rPr>
                <w:sz w:val="19"/>
              </w:rPr>
              <w:t>TOTAL</w:t>
            </w:r>
          </w:p>
        </w:tc>
        <w:tc>
          <w:tcPr>
            <w:tcW w:w="0" w:type="auto"/>
            <w:shd w:val="clear" w:color="auto" w:fill="ECEFF1"/>
          </w:tcPr>
          <w:p w14:paraId="5F2A6FAF" w14:textId="77777777" w:rsidR="00CA7ABD" w:rsidRDefault="00000000">
            <w:pPr>
              <w:rPr>
                <w:rFonts w:hint="eastAsia"/>
              </w:rPr>
            </w:pPr>
            <w:r>
              <w:rPr>
                <w:sz w:val="19"/>
              </w:rPr>
              <w:t>All Sectors</w:t>
            </w:r>
          </w:p>
        </w:tc>
        <w:tc>
          <w:tcPr>
            <w:tcW w:w="0" w:type="auto"/>
            <w:shd w:val="clear" w:color="auto" w:fill="ECEFF1"/>
          </w:tcPr>
          <w:p w14:paraId="7A0B6835" w14:textId="77777777" w:rsidR="00CA7ABD" w:rsidRDefault="00000000">
            <w:pPr>
              <w:rPr>
                <w:rFonts w:hint="eastAsia"/>
              </w:rPr>
            </w:pPr>
            <w:r>
              <w:rPr>
                <w:sz w:val="19"/>
              </w:rPr>
              <w:t>$270 billion</w:t>
            </w:r>
          </w:p>
        </w:tc>
      </w:tr>
    </w:tbl>
    <w:p w14:paraId="651425A0" w14:textId="77777777" w:rsidR="00CA7ABD" w:rsidRDefault="00000000">
      <w:pPr>
        <w:pStyle w:val="Heading3"/>
        <w:rPr>
          <w:rFonts w:hint="eastAsia"/>
        </w:rPr>
      </w:pPr>
      <w:r>
        <w:t>1.2(b) Iranian National Development Fund Co-Financing Match</w:t>
      </w:r>
    </w:p>
    <w:p w14:paraId="50F45047" w14:textId="77777777" w:rsidR="00CA7ABD" w:rsidRDefault="00000000">
      <w:pPr>
        <w:rPr>
          <w:rFonts w:hint="eastAsia"/>
        </w:rPr>
      </w:pPr>
      <w:r>
        <w:t>All MRF projects above $100 million require a 20% local co-financing contribution from Iran's National Development Fund (NDF). The NDF, a sovereign wealth fund derived from oil and gas revenues, provides the local match in Iranian rial or in-kind land and resource concessions. The co-financing structure operates as follows:</w:t>
      </w:r>
    </w:p>
    <w:p w14:paraId="47B895E0" w14:textId="77777777" w:rsidR="00CA7ABD" w:rsidRDefault="00000000">
      <w:pPr>
        <w:ind w:left="360"/>
        <w:rPr>
          <w:rFonts w:hint="eastAsia"/>
        </w:rPr>
      </w:pPr>
      <w:r>
        <w:rPr>
          <w:color w:val="37474F"/>
        </w:rPr>
        <w:t>•</w:t>
      </w:r>
      <w:r>
        <w:t>MRF international capital covers 80% of project cost.</w:t>
      </w:r>
    </w:p>
    <w:p w14:paraId="0F5A834D" w14:textId="77777777" w:rsidR="00CA7ABD" w:rsidRDefault="00000000">
      <w:pPr>
        <w:ind w:left="360"/>
        <w:rPr>
          <w:rFonts w:hint="eastAsia"/>
        </w:rPr>
      </w:pPr>
      <w:r>
        <w:rPr>
          <w:color w:val="37474F"/>
        </w:rPr>
        <w:t>•</w:t>
      </w:r>
      <w:r>
        <w:t>The NDF covers 20% through direct cash, land allocation, mineral or water rights concessions, or sovereign guarantees.</w:t>
      </w:r>
    </w:p>
    <w:p w14:paraId="1E6BDB0B" w14:textId="77777777" w:rsidR="00CA7ABD" w:rsidRDefault="00000000">
      <w:pPr>
        <w:ind w:left="360"/>
        <w:rPr>
          <w:rFonts w:hint="eastAsia"/>
        </w:rPr>
      </w:pPr>
      <w:r>
        <w:rPr>
          <w:color w:val="37474F"/>
        </w:rPr>
        <w:t>•</w:t>
      </w:r>
      <w:r>
        <w:t>The RSC verifies NDF contributions through the same independent audit mechanism applied to MRF disbursements.</w:t>
      </w:r>
    </w:p>
    <w:p w14:paraId="2ABF0612" w14:textId="77777777" w:rsidR="00CA7ABD" w:rsidRDefault="00000000">
      <w:pPr>
        <w:ind w:left="360"/>
        <w:rPr>
          <w:rFonts w:hint="eastAsia"/>
        </w:rPr>
      </w:pPr>
      <w:r>
        <w:rPr>
          <w:color w:val="37474F"/>
        </w:rPr>
        <w:t>•</w:t>
      </w:r>
      <w:r>
        <w:t>NDF contributions are treated as pari passu with MRF capital for milestone and disbursement purposes.</w:t>
      </w:r>
    </w:p>
    <w:p w14:paraId="7D58A88B" w14:textId="77777777" w:rsidR="00CA7ABD" w:rsidRDefault="00000000">
      <w:pPr>
        <w:rPr>
          <w:rFonts w:hint="eastAsia"/>
        </w:rPr>
      </w:pPr>
      <w:r>
        <w:t>This matching requirement stretches international dollars further, demonstrates Iranian financial commitment to donors, and aligns project incentives across both funding streams. The NDF co-financing match potentially unlocks an additional $10 billion in domestic capital for the $50 billion MRF Core Tier.</w:t>
      </w:r>
    </w:p>
    <w:p w14:paraId="4D46CBB0" w14:textId="77777777" w:rsidR="00CA7ABD" w:rsidRDefault="00000000">
      <w:pPr>
        <w:pStyle w:val="Heading3"/>
        <w:rPr>
          <w:rFonts w:hint="eastAsia"/>
        </w:rPr>
      </w:pPr>
      <w:r>
        <w:t>1.2(a) Sub-Fund Application Process</w:t>
      </w:r>
    </w:p>
    <w:p w14:paraId="30010E0F" w14:textId="77777777" w:rsidR="00CA7ABD" w:rsidRDefault="00000000">
      <w:pPr>
        <w:rPr>
          <w:rFonts w:hint="eastAsia"/>
        </w:rPr>
      </w:pPr>
      <w:r>
        <w:t>Each Sub-Fund maintains a distinct application pathway. Iran submits project proposals through the RSC secretariat. The following steps apply across all Sub-Funds:</w:t>
      </w:r>
    </w:p>
    <w:p w14:paraId="3385173D" w14:textId="77777777" w:rsidR="00CA7ABD" w:rsidRDefault="00000000">
      <w:pPr>
        <w:pStyle w:val="Heading3"/>
        <w:rPr>
          <w:rFonts w:hint="eastAsia"/>
        </w:rPr>
      </w:pPr>
      <w:r>
        <w:t>Step 1: Pre-Application Consultation</w:t>
      </w:r>
    </w:p>
    <w:p w14:paraId="13D94512" w14:textId="77777777" w:rsidR="00CA7ABD" w:rsidRDefault="00000000">
      <w:pPr>
        <w:rPr>
          <w:rFonts w:hint="eastAsia"/>
        </w:rPr>
      </w:pPr>
      <w:r>
        <w:t>Iran engages the TAG for preliminary technical consultation. The TAG assesses project concept alignment with Sub-Fund objectives and advises on feasibility study requirements. This consultation occurs within 14 days of initial contact.</w:t>
      </w:r>
    </w:p>
    <w:p w14:paraId="113B8913" w14:textId="77777777" w:rsidR="00CA7ABD" w:rsidRDefault="00000000">
      <w:pPr>
        <w:pStyle w:val="Heading3"/>
        <w:rPr>
          <w:rFonts w:hint="eastAsia"/>
        </w:rPr>
      </w:pPr>
      <w:r>
        <w:t>Step 2: Feasibility Study Preparation</w:t>
      </w:r>
    </w:p>
    <w:p w14:paraId="340666F5" w14:textId="77777777" w:rsidR="00CA7ABD" w:rsidRDefault="00000000">
      <w:pPr>
        <w:rPr>
          <w:rFonts w:hint="eastAsia"/>
        </w:rPr>
      </w:pPr>
      <w:r>
        <w:t>Iran commissions or prepares a feasibility study covering technical design, cost estimation, environmental impact, and social safeguards. The World Bank provides technical assistance for study preparation upon request. Study completion typically requires 60-90 days.</w:t>
      </w:r>
    </w:p>
    <w:p w14:paraId="74A8A2A9" w14:textId="77777777" w:rsidR="00CA7ABD" w:rsidRDefault="00000000">
      <w:pPr>
        <w:pStyle w:val="Heading3"/>
        <w:rPr>
          <w:rFonts w:hint="eastAsia"/>
        </w:rPr>
      </w:pPr>
      <w:r>
        <w:t>Step 3: Formal Submission to RSC</w:t>
      </w:r>
    </w:p>
    <w:p w14:paraId="04752F8D" w14:textId="77777777" w:rsidR="00CA7ABD" w:rsidRDefault="00000000">
      <w:pPr>
        <w:rPr>
          <w:rFonts w:hint="eastAsia"/>
        </w:rPr>
      </w:pPr>
      <w:r>
        <w:t>Iran submits the complete Project Proposal package through the RSC secretariat. The package includes: (a) completed project proposal form, (b) feasibility study, (c) environmental and social impact assessment, (d) procurement plan, (e) verification milestone schedule, and (f) independent audit plan.</w:t>
      </w:r>
    </w:p>
    <w:p w14:paraId="1EADD4F8" w14:textId="77777777" w:rsidR="00CA7ABD" w:rsidRDefault="00000000">
      <w:pPr>
        <w:pStyle w:val="Heading3"/>
        <w:rPr>
          <w:rFonts w:hint="eastAsia"/>
        </w:rPr>
      </w:pPr>
      <w:r>
        <w:t>Step 4: TAG Technical Review (30 Days)</w:t>
      </w:r>
    </w:p>
    <w:p w14:paraId="0DCFF009" w14:textId="77777777" w:rsidR="00CA7ABD" w:rsidRDefault="00000000">
      <w:pPr>
        <w:rPr>
          <w:rFonts w:hint="eastAsia"/>
        </w:rPr>
      </w:pPr>
      <w:r>
        <w:t>The TAG conducts a comprehensive technical review. The TAG evaluates: technical feasibility, cost realism, environmental compliance, alignment with Sub-Fund goals, and value for money. The TAG issues a written recommendation to the RSC within 30 days.</w:t>
      </w:r>
    </w:p>
    <w:p w14:paraId="7D3836BF" w14:textId="77777777" w:rsidR="00CA7ABD" w:rsidRDefault="00000000">
      <w:pPr>
        <w:pStyle w:val="Heading3"/>
        <w:rPr>
          <w:rFonts w:hint="eastAsia"/>
        </w:rPr>
      </w:pPr>
      <w:r>
        <w:t>Step 5: RSC Approval (60 Days)</w:t>
      </w:r>
    </w:p>
    <w:p w14:paraId="70994767" w14:textId="77777777" w:rsidR="00CA7ABD" w:rsidRDefault="00000000">
      <w:pPr>
        <w:rPr>
          <w:rFonts w:hint="eastAsia"/>
        </w:rPr>
      </w:pPr>
      <w:r>
        <w:t>The RSC reviews the TAG recommendation and the complete proposal package. Approval requires consensus of all voting members and confirmation of available capital in the relevant Sub-Fund. The RSC issues an approval decision or requests revision within 60 days.</w:t>
      </w:r>
    </w:p>
    <w:p w14:paraId="43552ABC" w14:textId="77777777" w:rsidR="00CA7ABD" w:rsidRDefault="00000000">
      <w:pPr>
        <w:pStyle w:val="Heading3"/>
        <w:rPr>
          <w:rFonts w:hint="eastAsia"/>
        </w:rPr>
      </w:pPr>
      <w:r>
        <w:t>Step 6: Milestone-Based Disbursement</w:t>
      </w:r>
    </w:p>
    <w:p w14:paraId="355552ED" w14:textId="77777777" w:rsidR="00CA7ABD" w:rsidRDefault="00000000">
      <w:pPr>
        <w:rPr>
          <w:rFonts w:hint="eastAsia"/>
        </w:rPr>
      </w:pPr>
      <w:r>
        <w:t>Upon approval, the Qatar Central Bank establishes a dedicated project account. Funds disburse in tranches tied to verification milestones. Each tranche release requires: (a) Iranian self-certification, (b) World Bank independent audit, (c) TAG assessment, and (d) RSC authorization.</w:t>
      </w:r>
    </w:p>
    <w:p w14:paraId="255B25C4" w14:textId="77777777" w:rsidR="00CA7ABD" w:rsidRDefault="00000000">
      <w:pPr>
        <w:pStyle w:val="Heading3"/>
        <w:rPr>
          <w:rFonts w:hint="eastAsia"/>
        </w:rPr>
      </w:pPr>
      <w:r>
        <w:t>Sub-Fund Specific Requirements</w:t>
      </w:r>
    </w:p>
    <w:p w14:paraId="34C4979C" w14:textId="77777777" w:rsidR="00CA7ABD" w:rsidRDefault="00000000">
      <w:pPr>
        <w:rPr>
          <w:rFonts w:hint="eastAsia"/>
        </w:rPr>
      </w:pPr>
      <w:r>
        <w:t>MRF-Energy: Proposals require additional technical review by the International Energy Agency (IEA) for grid integration assessments. Renewable energy projects above $500 million require a separate grid impact study.</w:t>
      </w:r>
    </w:p>
    <w:p w14:paraId="74F9197B" w14:textId="77777777" w:rsidR="00CA7ABD" w:rsidRDefault="00000000">
      <w:pPr>
        <w:rPr>
          <w:rFonts w:hint="eastAsia"/>
        </w:rPr>
      </w:pPr>
      <w:r>
        <w:t>MRF-Water: All water infrastructure projects require a hydrological assessment certified by the World Meteorological Organization (WMO) or equivalent regional body. Desalination projects require environmental impact certification from the Regional Organization for the Protection of the Marine Environment (ROPME).</w:t>
      </w:r>
    </w:p>
    <w:p w14:paraId="13536D69" w14:textId="77777777" w:rsidR="00CA7ABD" w:rsidRDefault="00000000">
      <w:pPr>
        <w:rPr>
          <w:rFonts w:hint="eastAsia"/>
        </w:rPr>
      </w:pPr>
      <w:r>
        <w:t>MRF-Transport: Transport projects crossing international borders require coordination letters from affected neighboring states. Port and airport projects require International Maritime Organization (IMO) or International Civil Aviation Organization (ICAO) compliance certification.</w:t>
      </w:r>
    </w:p>
    <w:p w14:paraId="02991403" w14:textId="77777777" w:rsidR="00CA7ABD" w:rsidRDefault="00000000">
      <w:pPr>
        <w:rPr>
          <w:rFonts w:hint="eastAsia"/>
        </w:rPr>
      </w:pPr>
      <w:r>
        <w:t>MRF-Health: Health facility projects require WHO technical standards compliance certification. Medical supply chain projects require verification of cold chain infrastructure and pharmaceutical regulatory compliance.</w:t>
      </w:r>
    </w:p>
    <w:p w14:paraId="45A179C7" w14:textId="77777777" w:rsidR="00CA7ABD" w:rsidRDefault="00000000">
      <w:pPr>
        <w:rPr>
          <w:rFonts w:hint="eastAsia"/>
        </w:rPr>
      </w:pPr>
      <w:r>
        <w:t>MRF-Education: Education projects involving curriculum development require UNESCO alignment review. Vocational training centers require International Labour Organization (ILO) standards compliance certification.</w:t>
      </w:r>
    </w:p>
    <w:p w14:paraId="5EC99418" w14:textId="77777777" w:rsidR="00CA7ABD" w:rsidRDefault="00000000">
      <w:pPr>
        <w:rPr>
          <w:rFonts w:hint="eastAsia"/>
        </w:rPr>
      </w:pPr>
      <w:r>
        <w:t>MRF-Housing: Housing projects in seismic zones require earthquake-resistant design certification from an internationally recognized engineering body. Slum upgrading projects require a social impact assessment with community participation documentation.</w:t>
      </w:r>
    </w:p>
    <w:p w14:paraId="76435487" w14:textId="77777777" w:rsidR="00CA7ABD" w:rsidRDefault="00000000">
      <w:pPr>
        <w:rPr>
          <w:rFonts w:hint="eastAsia"/>
        </w:rPr>
      </w:pPr>
      <w:r>
        <w:t>MRF-Agriculture: Agricultural projects require Food and Agriculture Organization (FAO) technical review for sustainability standards. Irrigation projects require water rights assessment and downstream impact analysis.</w:t>
      </w:r>
    </w:p>
    <w:p w14:paraId="100EA9E5" w14:textId="77777777" w:rsidR="00CA7ABD" w:rsidRDefault="00000000">
      <w:pPr>
        <w:pStyle w:val="Heading3"/>
        <w:rPr>
          <w:rFonts w:hint="eastAsia"/>
        </w:rPr>
      </w:pPr>
      <w:r>
        <w:t>1.3 Capital Contributors</w:t>
      </w:r>
    </w:p>
    <w:p w14:paraId="1D986A92" w14:textId="77777777" w:rsidR="00CA7ABD" w:rsidRDefault="00000000">
      <w:pPr>
        <w:rPr>
          <w:rFonts w:hint="eastAsia"/>
        </w:rPr>
      </w:pPr>
      <w:r>
        <w:t>Contributors include, but are not limited to:</w:t>
      </w:r>
    </w:p>
    <w:p w14:paraId="7B3D153D" w14:textId="77777777" w:rsidR="00CA7ABD" w:rsidRDefault="00000000">
      <w:pPr>
        <w:ind w:left="360"/>
        <w:rPr>
          <w:rFonts w:hint="eastAsia"/>
        </w:rPr>
      </w:pPr>
      <w:r>
        <w:rPr>
          <w:color w:val="37474F"/>
        </w:rPr>
        <w:t>•</w:t>
      </w:r>
      <w:r>
        <w:t>Sovereign wealth funds of Gulf Cooperation Council (GCC) states</w:t>
      </w:r>
    </w:p>
    <w:p w14:paraId="7164B9D2" w14:textId="77777777" w:rsidR="00CA7ABD" w:rsidRDefault="00000000">
      <w:pPr>
        <w:ind w:left="360"/>
        <w:rPr>
          <w:rFonts w:hint="eastAsia"/>
        </w:rPr>
      </w:pPr>
      <w:r>
        <w:rPr>
          <w:color w:val="37474F"/>
        </w:rPr>
        <w:t>•</w:t>
      </w:r>
      <w:r>
        <w:t>International financial institutions (World Bank, IMF, Islamic Development Bank)</w:t>
      </w:r>
    </w:p>
    <w:p w14:paraId="4039A673" w14:textId="77777777" w:rsidR="00CA7ABD" w:rsidRDefault="00000000">
      <w:pPr>
        <w:ind w:left="360"/>
        <w:rPr>
          <w:rFonts w:hint="eastAsia"/>
        </w:rPr>
      </w:pPr>
      <w:r>
        <w:rPr>
          <w:color w:val="37474F"/>
        </w:rPr>
        <w:t>•</w:t>
      </w:r>
      <w:r>
        <w:t>Regional development funds (Asian Infrastructure Investment Bank, European Bank for Reconstruction and Development)</w:t>
      </w:r>
    </w:p>
    <w:p w14:paraId="7EB358AC" w14:textId="77777777" w:rsidR="00CA7ABD" w:rsidRDefault="00000000">
      <w:pPr>
        <w:ind w:left="360"/>
        <w:rPr>
          <w:rFonts w:hint="eastAsia"/>
        </w:rPr>
      </w:pPr>
      <w:r>
        <w:rPr>
          <w:color w:val="37474F"/>
        </w:rPr>
        <w:t>•</w:t>
      </w:r>
      <w:r>
        <w:t>Private investors (infrastructure funds, pension funds, insurance companies)</w:t>
      </w:r>
    </w:p>
    <w:p w14:paraId="415DC8F4" w14:textId="77777777" w:rsidR="00CA7ABD" w:rsidRDefault="00000000">
      <w:pPr>
        <w:ind w:left="360"/>
        <w:rPr>
          <w:rFonts w:hint="eastAsia"/>
        </w:rPr>
      </w:pPr>
      <w:r>
        <w:rPr>
          <w:color w:val="37474F"/>
        </w:rPr>
        <w:t>•</w:t>
      </w:r>
      <w:r>
        <w:t>Humanitarian organizations (UN OCHA, ICRC, WHO)</w:t>
      </w:r>
    </w:p>
    <w:p w14:paraId="45F305E4" w14:textId="77777777" w:rsidR="00CA7ABD" w:rsidRDefault="00000000">
      <w:pPr>
        <w:ind w:left="360"/>
        <w:rPr>
          <w:rFonts w:hint="eastAsia"/>
        </w:rPr>
      </w:pPr>
      <w:r>
        <w:rPr>
          <w:color w:val="37474F"/>
        </w:rPr>
        <w:t>•</w:t>
      </w:r>
      <w:r>
        <w:t>Bilateral donors (EU member states, China, Russia, India, Japan, South Korea)</w:t>
      </w:r>
    </w:p>
    <w:p w14:paraId="1735E016" w14:textId="77777777" w:rsidR="00CA7ABD" w:rsidRDefault="00000000">
      <w:pPr>
        <w:rPr>
          <w:rFonts w:hint="eastAsia"/>
        </w:rPr>
      </w:pPr>
      <w:r>
        <w:t>The following sections describe each contributor category, its application pathway, and its coordination mechanism with the MRF.</w:t>
      </w:r>
    </w:p>
    <w:p w14:paraId="08E260D2" w14:textId="77777777" w:rsidR="00CA7ABD" w:rsidRDefault="00000000">
      <w:pPr>
        <w:pStyle w:val="Heading3"/>
        <w:rPr>
          <w:rFonts w:hint="eastAsia"/>
        </w:rPr>
      </w:pPr>
      <w:r>
        <w:t>Sovereign Wealth Funds</w:t>
      </w:r>
    </w:p>
    <w:p w14:paraId="6FA90DEF" w14:textId="77777777" w:rsidR="00CA7ABD" w:rsidRDefault="00000000">
      <w:pPr>
        <w:rPr>
          <w:rFonts w:hint="eastAsia"/>
        </w:rPr>
      </w:pPr>
      <w:r>
        <w:t>GCC sovereign wealth funds deposit pledged capital directly into the Qatar Central Bank escrow. Each fund designates a liaison officer to the RSC. Deposit confirmations trigger World Bank verification. No fund deposits capital through U.S. financial institutions.</w:t>
      </w:r>
    </w:p>
    <w:p w14:paraId="43888C20" w14:textId="77777777" w:rsidR="00CA7ABD" w:rsidRDefault="00000000">
      <w:pPr>
        <w:pStyle w:val="Heading3"/>
        <w:rPr>
          <w:rFonts w:hint="eastAsia"/>
        </w:rPr>
      </w:pPr>
      <w:r>
        <w:t>International Financial Institutions</w:t>
      </w:r>
    </w:p>
    <w:p w14:paraId="68747CAB" w14:textId="77777777" w:rsidR="00CA7ABD" w:rsidRDefault="00000000">
      <w:pPr>
        <w:rPr>
          <w:rFonts w:hint="eastAsia"/>
        </w:rPr>
      </w:pPr>
      <w:r>
        <w:t>The World Bank, IMF, and Islamic Development Bank contribute through their standard lending and grant instruments. The World Bank administers contributions through its IDA and IBRD windows. The IsDB deploys Islamic financing instruments (Ijara, Istisna, Mudaraba). Each institution coordinates through its respective representative on the RSC.</w:t>
      </w:r>
    </w:p>
    <w:p w14:paraId="57DF8C2E" w14:textId="77777777" w:rsidR="00CA7ABD" w:rsidRDefault="00000000">
      <w:pPr>
        <w:pStyle w:val="Heading3"/>
        <w:rPr>
          <w:rFonts w:hint="eastAsia"/>
        </w:rPr>
      </w:pPr>
      <w:r>
        <w:t>Regional Development Banks</w:t>
      </w:r>
    </w:p>
    <w:p w14:paraId="3611954E" w14:textId="77777777" w:rsidR="00CA7ABD" w:rsidRDefault="00000000">
      <w:pPr>
        <w:rPr>
          <w:rFonts w:hint="eastAsia"/>
        </w:rPr>
      </w:pPr>
      <w:r>
        <w:t>The AIIB and EBRD contribute through sovereign-backed project loans and private sector financing. The AIIB focuses on transport and energy infrastructure. The EBRD targets private sector development and SME reconstruction. Both institutions coordinate project pipelines through the TAG.</w:t>
      </w:r>
    </w:p>
    <w:p w14:paraId="5B99ADF2" w14:textId="77777777" w:rsidR="00CA7ABD" w:rsidRDefault="00000000">
      <w:pPr>
        <w:pStyle w:val="Heading3"/>
        <w:rPr>
          <w:rFonts w:hint="eastAsia"/>
        </w:rPr>
      </w:pPr>
      <w:r>
        <w:t>Private Investors</w:t>
      </w:r>
    </w:p>
    <w:p w14:paraId="31B30A3C" w14:textId="77777777" w:rsidR="00CA7ABD" w:rsidRDefault="00000000">
      <w:pPr>
        <w:rPr>
          <w:rFonts w:hint="eastAsia"/>
        </w:rPr>
      </w:pPr>
      <w:r>
        <w:t>Infrastructure funds, pension funds, and insurance companies participate through the MRF private investment window. The Qatar Central Bank administers a separate private capital tranche. Investors receive milestone-linked returns tied to project completion. The EBRD provides credit enhancement for private investments.</w:t>
      </w:r>
    </w:p>
    <w:p w14:paraId="3C9C7A29" w14:textId="77777777" w:rsidR="00CA7ABD" w:rsidRDefault="00000000">
      <w:pPr>
        <w:pStyle w:val="Heading3"/>
        <w:rPr>
          <w:rFonts w:hint="eastAsia"/>
        </w:rPr>
      </w:pPr>
      <w:r>
        <w:t>Humanitarian Organizations</w:t>
      </w:r>
    </w:p>
    <w:p w14:paraId="5A0752FB" w14:textId="77777777" w:rsidR="00CA7ABD" w:rsidRDefault="00000000">
      <w:pPr>
        <w:rPr>
          <w:rFonts w:hint="eastAsia"/>
        </w:rPr>
      </w:pPr>
      <w:r>
        <w:t>UN OCHA, ICRC, WHO, and other humanitarian agencies contribute through their established grant mechanisms. Humanitarian contributions target immediate relief and foundational reconstruction. Coordination occurs through the MRF humanitarian corridor and the RSC secretariat.</w:t>
      </w:r>
    </w:p>
    <w:p w14:paraId="66074A16" w14:textId="77777777" w:rsidR="00CA7ABD" w:rsidRDefault="00000000">
      <w:pPr>
        <w:pStyle w:val="Heading3"/>
        <w:rPr>
          <w:rFonts w:hint="eastAsia"/>
        </w:rPr>
      </w:pPr>
      <w:r>
        <w:t>Bilateral Donors</w:t>
      </w:r>
    </w:p>
    <w:p w14:paraId="40B22534" w14:textId="77777777" w:rsidR="00CA7ABD" w:rsidRDefault="00000000">
      <w:pPr>
        <w:rPr>
          <w:rFonts w:hint="eastAsia"/>
        </w:rPr>
      </w:pPr>
      <w:r>
        <w:t>EU member states, China, Russia, India, Japan, and South Korea contribute through their respective bilateral development agencies. Each donor coordinates through its embassy in Tehran or Doha and designates a representative to the RSC observer group. Bilateral contributions flow through the Qatar Central Bank escrow.</w:t>
      </w:r>
    </w:p>
    <w:p w14:paraId="0D4A155C" w14:textId="77777777" w:rsidR="00CA7ABD" w:rsidRDefault="00000000">
      <w:pPr>
        <w:pStyle w:val="Heading3"/>
        <w:rPr>
          <w:rFonts w:hint="eastAsia"/>
        </w:rPr>
      </w:pPr>
      <w:r>
        <w:t>1.3(a) Contributor Application Pathway</w:t>
      </w:r>
    </w:p>
    <w:p w14:paraId="6E221940" w14:textId="77777777" w:rsidR="00CA7ABD" w:rsidRDefault="00000000">
      <w:pPr>
        <w:rPr>
          <w:rFonts w:hint="eastAsia"/>
        </w:rPr>
      </w:pPr>
      <w:r>
        <w:t>New contributors access the MRF through the following pathway: (1) Expression of Interest submitted to the RSC secretariat, (2) Preliminary consultation with the Qatar Central Bank on deposit mechanisms, (3) Due diligence review by the World Bank, (4) Contribution agreement negotiation, (5) Deposit execution and verification, (6) RSC registration and Sub-Fund designation. The full pathway completes within 90 days of Expression of Interest.</w:t>
      </w:r>
    </w:p>
    <w:p w14:paraId="2D2F9A3F" w14:textId="77777777" w:rsidR="00CA7ABD" w:rsidRDefault="00000000">
      <w:pPr>
        <w:pStyle w:val="Heading3"/>
        <w:rPr>
          <w:rFonts w:hint="eastAsia"/>
        </w:rPr>
      </w:pPr>
      <w:r>
        <w:t>1.3(b) IMF Special Drawing Rights Channeling Window</w:t>
      </w:r>
    </w:p>
    <w:p w14:paraId="163D2F3E" w14:textId="77777777" w:rsidR="00CA7ABD" w:rsidRDefault="00000000">
      <w:pPr>
        <w:rPr>
          <w:rFonts w:hint="eastAsia"/>
        </w:rPr>
      </w:pPr>
      <w:r>
        <w:t>The MRF establishes a dedicated window for accessing IMF Special Drawing Rights (SDRs) through the Poverty Reduction and Growth Trust (PRGT). G7 member states and other wealthy nations hold pledged but unchanneled SDR allocations exceeding $100 billion. The MRF coordinates with the IMF to channel a portion of these unused SDRs to Iran for reconstruction purposes.</w:t>
      </w:r>
    </w:p>
    <w:p w14:paraId="444A1485" w14:textId="77777777" w:rsidR="00CA7ABD" w:rsidRDefault="00000000">
      <w:pPr>
        <w:rPr>
          <w:rFonts w:hint="eastAsia"/>
        </w:rPr>
      </w:pPr>
      <w:r>
        <w:t>The SDR channeling mechanism operates as follows: (1) The RSC secretariat submits a formal request to the IMF Managing Director for SDR channeling through the PRGT, (2) The IMF conducts aPRGT eligibility assessment (60 days), (3) Contributing nations formally commit to re-channeling SDR allocations to the PRGT window designated for Iran, (4) The PRGT disburses SDR-backed financing in tranches tied to reconstruction milestones, (5) The Qatar Central Bank converts SDRs to hard currency at prevailing exchange rates for deposit into the relevant Sub-Fund.</w:t>
      </w:r>
    </w:p>
    <w:p w14:paraId="69021897" w14:textId="77777777" w:rsidR="00CA7ABD" w:rsidRDefault="00000000">
      <w:pPr>
        <w:rPr>
          <w:rFonts w:hint="eastAsia"/>
        </w:rPr>
      </w:pPr>
      <w:r>
        <w:t>The SDR Channeling Window targets $3-5 billion in concessional financing with near-zero interest rates and 40-year maturities. This window operates independently of the MRF escrow and is subject to IMF oversight and conditionality. The RSC designates a dedicated SDR liaison officer to coordinate with the IMF Resident Representative in Tehran.</w:t>
      </w:r>
    </w:p>
    <w:p w14:paraId="107656BD" w14:textId="77777777" w:rsidR="00CA7ABD" w:rsidRDefault="00000000">
      <w:pPr>
        <w:pStyle w:val="Heading3"/>
        <w:rPr>
          <w:rFonts w:hint="eastAsia"/>
        </w:rPr>
      </w:pPr>
      <w:r>
        <w:t>1.3(c) Frozen Asset Conversion and Debt-for-Infrastructure Swap Protocol</w:t>
      </w:r>
    </w:p>
    <w:p w14:paraId="26EA4A22" w14:textId="77777777" w:rsidR="00CA7ABD" w:rsidRDefault="00000000">
      <w:pPr>
        <w:rPr>
          <w:rFonts w:hint="eastAsia"/>
        </w:rPr>
      </w:pPr>
      <w:r>
        <w:t>Multiple nations hold frozen Iranian assets resulting from sanctions-related payment freezes. South Korea holds approximately $6 billion in frozen oil payments. Japan holds an estimated $3 billion in frozen trade credits. India holds approximately $2 billion in frozen energy payments under the rupee-rial trade mechanism. The MRF establishes a protocol for converting these frozen assets directly into reconstruction contracts.</w:t>
      </w:r>
    </w:p>
    <w:p w14:paraId="052ABA0B" w14:textId="77777777" w:rsidR="00CA7ABD" w:rsidRDefault="00000000">
      <w:pPr>
        <w:rPr>
          <w:rFonts w:hint="eastAsia"/>
        </w:rPr>
      </w:pPr>
      <w:r>
        <w:t>The conversion mechanism operates as follows: (1) The holding nation and Iran identify the frozen asset value eligible for conversion, (2) Both parties agree on a reconstruction project or portfolio of projects to be executed by contractors from the holding nation, (3) The Qatar Central Bank establishes a segregated account denominated in the holding nation's currency, (4) Contractors invoice against the segregated account for completed milestone work, (5) The RSC verifies milestone completion through standard TAG and independent audit procedures, (6) Funds release directly to contractors from the segregated account without passing through Iranian government channels.</w:t>
      </w:r>
    </w:p>
    <w:p w14:paraId="532FFA9B" w14:textId="77777777" w:rsidR="00CA7ABD" w:rsidRDefault="00000000">
      <w:pPr>
        <w:rPr>
          <w:rFonts w:hint="eastAsia"/>
        </w:rPr>
      </w:pPr>
      <w:r>
        <w:t>This protocol converts politically frozen assets into productive reconstruction without requiring new cash appropriations from holding nations. The RSC estimates the Frozen Asset Conversion Protocol unlocks $6-10 billion in immediately available reconstruction capital.</w:t>
      </w:r>
    </w:p>
    <w:p w14:paraId="72ADF881" w14:textId="77777777" w:rsidR="00CA7ABD" w:rsidRDefault="00000000">
      <w:pPr>
        <w:pStyle w:val="Heading3"/>
        <w:rPr>
          <w:rFonts w:hint="eastAsia"/>
        </w:rPr>
      </w:pPr>
      <w:r>
        <w:t>1.3(d) U.S. Private Sector Safe Harbor and In-Kind Participation</w:t>
      </w:r>
    </w:p>
    <w:p w14:paraId="172351CB" w14:textId="77777777" w:rsidR="00CA7ABD" w:rsidRDefault="00000000">
      <w:pPr>
        <w:rPr>
          <w:rFonts w:hint="eastAsia"/>
        </w:rPr>
      </w:pPr>
      <w:r>
        <w:t>The framework architecture explicitly excludes direct U.S. government cash contributions to the MRF. However, the framework creates a Safe Harbor mechanism for U.S. private sector participation in reconstruction. The Safe Harbor addresses the legal barrier posed by the Iran Threat Reduction Act and other U.S. domestic statutes that expose American companies to litigation risk for Iran-related activities.</w:t>
      </w:r>
    </w:p>
    <w:p w14:paraId="4105A5FF" w14:textId="77777777" w:rsidR="00CA7ABD" w:rsidRDefault="00000000">
      <w:pPr>
        <w:pStyle w:val="Heading3"/>
        <w:rPr>
          <w:rFonts w:hint="eastAsia"/>
        </w:rPr>
      </w:pPr>
      <w:r>
        <w:t>Safe Harbor Mechanism</w:t>
      </w:r>
    </w:p>
    <w:p w14:paraId="10BE0BE5" w14:textId="77777777" w:rsidR="00CA7ABD" w:rsidRDefault="00000000">
      <w:pPr>
        <w:rPr>
          <w:rFonts w:hint="eastAsia"/>
        </w:rPr>
      </w:pPr>
      <w:r>
        <w:t>The Safe Harbor operates through the following structure: (1) U.S. companies provide engineering, equipment, technology, or professional services as subcontractors to non-U.S. prime contractors executing MRF-funded projects, (2) The OFAC license protecting MRF transactions extends to cover subcontractor payments flowing through the Qatar Central Bank escrow, (3) The U.S. Department of Commerce issues a general license for the export of reconstruction-related goods and technology to Iran under the MRF framework, (4) The U.S. government provides a litigation indemnification letter to participating companies confirming that MRF-related activities fall within the scope of the framework's diplomatic protections.</w:t>
      </w:r>
    </w:p>
    <w:p w14:paraId="65DB0504" w14:textId="77777777" w:rsidR="00CA7ABD" w:rsidRDefault="00000000">
      <w:pPr>
        <w:pStyle w:val="Heading3"/>
        <w:rPr>
          <w:rFonts w:hint="eastAsia"/>
        </w:rPr>
      </w:pPr>
      <w:r>
        <w:t>In-Kind Equipment and Technology Donation Window</w:t>
      </w:r>
    </w:p>
    <w:p w14:paraId="1E5C4678" w14:textId="77777777" w:rsidR="00CA7ABD" w:rsidRDefault="00000000">
      <w:pPr>
        <w:rPr>
          <w:rFonts w:hint="eastAsia"/>
        </w:rPr>
      </w:pPr>
      <w:r>
        <w:t>The framework creates a dedicated In-Kind Contribution Window allowing U.S. companies to donate equipment, software licenses, engineering services, and technology transfers to MRF projects. These contributions are valued at fair market cost and credited against the relevant Sub-Fund's capitalization target. The in-kind mechanism gives Washington a material participation pathway that does not involve cash transfers to Iran.</w:t>
      </w:r>
    </w:p>
    <w:p w14:paraId="55081F2B" w14:textId="77777777" w:rsidR="00CA7ABD" w:rsidRDefault="00000000">
      <w:pPr>
        <w:rPr>
          <w:rFonts w:hint="eastAsia"/>
        </w:rPr>
      </w:pPr>
      <w:r>
        <w:t>Eligible in-kind contributions include: power generation equipment, water treatment technology, medical devices and pharmaceuticals, construction machinery, telecommunications infrastructure, agricultural technology, and engineering design services. The TAG verifies the fair market value of all in-kind contributions through independent appraisal. The U.S. In-Kind Window targets $5-10 billion in equipment and service contributions over the 10-year reconstruction period.</w:t>
      </w:r>
    </w:p>
    <w:p w14:paraId="33A08997" w14:textId="77777777" w:rsidR="00CA7ABD" w:rsidRDefault="00000000">
      <w:pPr>
        <w:pStyle w:val="Heading3"/>
        <w:rPr>
          <w:rFonts w:hint="eastAsia"/>
        </w:rPr>
      </w:pPr>
      <w:r>
        <w:t>1.4 Neutral Escrow Agent</w:t>
      </w:r>
    </w:p>
    <w:p w14:paraId="30CB3EF2" w14:textId="77777777" w:rsidR="00CA7ABD" w:rsidRDefault="00000000">
      <w:pPr>
        <w:rPr>
          <w:rFonts w:hint="eastAsia"/>
        </w:rPr>
      </w:pPr>
      <w:r>
        <w:t>The State of Qatar, acting through the Qatar Central Bank, serves as the primary escrow agent for the MRF. The World Bank exercises a strictly technical and non-political fiduciary role. The World Bank conducts verification and audit functions only. The World Bank exercises no political discretion over project selection or disbursement.</w:t>
      </w:r>
    </w:p>
    <w:p w14:paraId="003AA2A2" w14:textId="77777777" w:rsidR="00CA7ABD" w:rsidRDefault="00000000">
      <w:pPr>
        <w:pStyle w:val="Heading3"/>
        <w:rPr>
          <w:rFonts w:hint="eastAsia"/>
        </w:rPr>
      </w:pPr>
      <w:r>
        <w:t>1.5 Project Proposal</w:t>
      </w:r>
    </w:p>
    <w:p w14:paraId="647DD6B9" w14:textId="77777777" w:rsidR="00CA7ABD" w:rsidRDefault="00000000">
      <w:pPr>
        <w:rPr>
          <w:rFonts w:hint="eastAsia"/>
        </w:rPr>
      </w:pPr>
      <w:r>
        <w:t>A detailed submission by Iran to a specific Sub-Fund, containing:</w:t>
      </w:r>
    </w:p>
    <w:p w14:paraId="4AA3680D" w14:textId="77777777" w:rsidR="00CA7ABD" w:rsidRDefault="00000000">
      <w:pPr>
        <w:ind w:left="360"/>
        <w:rPr>
          <w:rFonts w:hint="eastAsia"/>
        </w:rPr>
      </w:pPr>
      <w:r>
        <w:rPr>
          <w:color w:val="37474F"/>
        </w:rPr>
        <w:t>•</w:t>
      </w:r>
      <w:r>
        <w:t>Project description and scope</w:t>
      </w:r>
    </w:p>
    <w:p w14:paraId="79DB91B6" w14:textId="77777777" w:rsidR="00CA7ABD" w:rsidRDefault="00000000">
      <w:pPr>
        <w:ind w:left="360"/>
        <w:rPr>
          <w:rFonts w:hint="eastAsia"/>
        </w:rPr>
      </w:pPr>
      <w:r>
        <w:rPr>
          <w:color w:val="37474F"/>
        </w:rPr>
        <w:t>•</w:t>
      </w:r>
      <w:r>
        <w:t>Estimated cost and timeline</w:t>
      </w:r>
    </w:p>
    <w:p w14:paraId="7771EEE5" w14:textId="77777777" w:rsidR="00CA7ABD" w:rsidRDefault="00000000">
      <w:pPr>
        <w:ind w:left="360"/>
        <w:rPr>
          <w:rFonts w:hint="eastAsia"/>
        </w:rPr>
      </w:pPr>
      <w:r>
        <w:rPr>
          <w:color w:val="37474F"/>
        </w:rPr>
        <w:t>•</w:t>
      </w:r>
      <w:r>
        <w:t>Technical feasibility study</w:t>
      </w:r>
    </w:p>
    <w:p w14:paraId="68E6CA17" w14:textId="77777777" w:rsidR="00CA7ABD" w:rsidRDefault="00000000">
      <w:pPr>
        <w:ind w:left="360"/>
        <w:rPr>
          <w:rFonts w:hint="eastAsia"/>
        </w:rPr>
      </w:pPr>
      <w:r>
        <w:rPr>
          <w:color w:val="37474F"/>
        </w:rPr>
        <w:t>•</w:t>
      </w:r>
      <w:r>
        <w:t>Environmental and social impact assessment</w:t>
      </w:r>
    </w:p>
    <w:p w14:paraId="78E3BAC7" w14:textId="77777777" w:rsidR="00CA7ABD" w:rsidRDefault="00000000">
      <w:pPr>
        <w:ind w:left="360"/>
        <w:rPr>
          <w:rFonts w:hint="eastAsia"/>
        </w:rPr>
      </w:pPr>
      <w:r>
        <w:rPr>
          <w:color w:val="37474F"/>
        </w:rPr>
        <w:t>•</w:t>
      </w:r>
      <w:r>
        <w:t>Procurement plan</w:t>
      </w:r>
    </w:p>
    <w:p w14:paraId="5381701C" w14:textId="77777777" w:rsidR="00CA7ABD" w:rsidRDefault="00000000">
      <w:pPr>
        <w:ind w:left="360"/>
        <w:rPr>
          <w:rFonts w:hint="eastAsia"/>
        </w:rPr>
      </w:pPr>
      <w:r>
        <w:rPr>
          <w:color w:val="37474F"/>
        </w:rPr>
        <w:t>•</w:t>
      </w:r>
      <w:r>
        <w:t>Verification milestones</w:t>
      </w:r>
    </w:p>
    <w:p w14:paraId="27B6B9EA" w14:textId="77777777" w:rsidR="00CA7ABD" w:rsidRDefault="00000000">
      <w:pPr>
        <w:pStyle w:val="Heading3"/>
        <w:rPr>
          <w:rFonts w:hint="eastAsia"/>
        </w:rPr>
      </w:pPr>
      <w:r>
        <w:t>1.6 Verification Milestone</w:t>
      </w:r>
    </w:p>
    <w:p w14:paraId="28071462" w14:textId="77777777" w:rsidR="00CA7ABD" w:rsidRDefault="00000000">
      <w:pPr>
        <w:rPr>
          <w:rFonts w:hint="eastAsia"/>
        </w:rPr>
      </w:pPr>
      <w:r>
        <w:t>A specific, objectively verifiable event in a project's implementation, such as:</w:t>
      </w:r>
    </w:p>
    <w:p w14:paraId="32A5CD4B" w14:textId="77777777" w:rsidR="00CA7ABD" w:rsidRDefault="00000000">
      <w:pPr>
        <w:ind w:left="360"/>
        <w:rPr>
          <w:rFonts w:hint="eastAsia"/>
        </w:rPr>
      </w:pPr>
      <w:r>
        <w:rPr>
          <w:color w:val="37474F"/>
        </w:rPr>
        <w:t>•</w:t>
      </w:r>
      <w:r>
        <w:t>Procurement completion</w:t>
      </w:r>
    </w:p>
    <w:p w14:paraId="1DC179FC" w14:textId="77777777" w:rsidR="00CA7ABD" w:rsidRDefault="00000000">
      <w:pPr>
        <w:ind w:left="360"/>
        <w:rPr>
          <w:rFonts w:hint="eastAsia"/>
        </w:rPr>
      </w:pPr>
      <w:r>
        <w:rPr>
          <w:color w:val="37474F"/>
        </w:rPr>
        <w:t>•</w:t>
      </w:r>
      <w:r>
        <w:t>Construction commencement</w:t>
      </w:r>
    </w:p>
    <w:p w14:paraId="227173D1" w14:textId="77777777" w:rsidR="00CA7ABD" w:rsidRDefault="00000000">
      <w:pPr>
        <w:ind w:left="360"/>
        <w:rPr>
          <w:rFonts w:hint="eastAsia"/>
        </w:rPr>
      </w:pPr>
      <w:r>
        <w:rPr>
          <w:color w:val="37474F"/>
        </w:rPr>
        <w:t>•</w:t>
      </w:r>
      <w:r>
        <w:t>Phase completion (e.g., 25%, 50%, 75%)</w:t>
      </w:r>
    </w:p>
    <w:p w14:paraId="7574E666" w14:textId="77777777" w:rsidR="00CA7ABD" w:rsidRDefault="00000000">
      <w:pPr>
        <w:ind w:left="360"/>
        <w:rPr>
          <w:rFonts w:hint="eastAsia"/>
        </w:rPr>
      </w:pPr>
      <w:r>
        <w:rPr>
          <w:color w:val="37474F"/>
        </w:rPr>
        <w:t>•</w:t>
      </w:r>
      <w:r>
        <w:t>Operational handover</w:t>
      </w:r>
    </w:p>
    <w:p w14:paraId="20B7D037" w14:textId="77777777" w:rsidR="00CA7ABD" w:rsidRDefault="00000000">
      <w:pPr>
        <w:ind w:left="360"/>
        <w:rPr>
          <w:rFonts w:hint="eastAsia"/>
        </w:rPr>
      </w:pPr>
      <w:r>
        <w:rPr>
          <w:color w:val="37474F"/>
        </w:rPr>
        <w:t>•</w:t>
      </w:r>
      <w:r>
        <w:t>Independent audit certification</w:t>
      </w:r>
    </w:p>
    <w:p w14:paraId="46BB9CE1" w14:textId="77777777" w:rsidR="00CA7ABD" w:rsidRDefault="00000000">
      <w:pPr>
        <w:pStyle w:val="Heading3"/>
        <w:rPr>
          <w:rFonts w:hint="eastAsia"/>
        </w:rPr>
      </w:pPr>
      <w:r>
        <w:t>1.7 Reconstruction Steering Committee (RSC)</w:t>
      </w:r>
    </w:p>
    <w:p w14:paraId="267E47D8" w14:textId="77777777" w:rsidR="00CA7ABD" w:rsidRDefault="00000000">
      <w:pPr>
        <w:rPr>
          <w:rFonts w:hint="eastAsia"/>
        </w:rPr>
      </w:pPr>
      <w:r>
        <w:t>The central oversight body for the MRF, comprising representatives of:</w:t>
      </w:r>
    </w:p>
    <w:p w14:paraId="5596F6B8" w14:textId="77777777" w:rsidR="00CA7ABD" w:rsidRDefault="00000000">
      <w:pPr>
        <w:ind w:left="360"/>
        <w:rPr>
          <w:rFonts w:hint="eastAsia"/>
        </w:rPr>
      </w:pPr>
      <w:r>
        <w:rPr>
          <w:color w:val="37474F"/>
        </w:rPr>
        <w:t>•</w:t>
      </w:r>
      <w:r>
        <w:t>Iran (2 representatives: AEOI or Ministry of Economy)</w:t>
      </w:r>
    </w:p>
    <w:p w14:paraId="1B83D51A" w14:textId="77777777" w:rsidR="00CA7ABD" w:rsidRDefault="00000000">
      <w:pPr>
        <w:ind w:left="360"/>
        <w:rPr>
          <w:rFonts w:hint="eastAsia"/>
        </w:rPr>
      </w:pPr>
      <w:r>
        <w:rPr>
          <w:color w:val="37474F"/>
        </w:rPr>
        <w:t>•</w:t>
      </w:r>
      <w:r>
        <w:t>Qatar (1 representative: Escrow Agent)</w:t>
      </w:r>
    </w:p>
    <w:p w14:paraId="2B92FB45" w14:textId="77777777" w:rsidR="00CA7ABD" w:rsidRDefault="00000000">
      <w:pPr>
        <w:ind w:left="360"/>
        <w:rPr>
          <w:rFonts w:hint="eastAsia"/>
        </w:rPr>
      </w:pPr>
      <w:r>
        <w:rPr>
          <w:color w:val="37474F"/>
        </w:rPr>
        <w:t>•</w:t>
      </w:r>
      <w:r>
        <w:t>World Bank (1 representative: Fiduciary Administrator)</w:t>
      </w:r>
    </w:p>
    <w:p w14:paraId="40BE6214" w14:textId="77777777" w:rsidR="00CA7ABD" w:rsidRDefault="00000000">
      <w:pPr>
        <w:ind w:left="360"/>
        <w:rPr>
          <w:rFonts w:hint="eastAsia"/>
        </w:rPr>
      </w:pPr>
      <w:r>
        <w:rPr>
          <w:color w:val="37474F"/>
        </w:rPr>
        <w:t>•</w:t>
      </w:r>
      <w:r>
        <w:t>GCC (1 representative: rotating chair)</w:t>
      </w:r>
    </w:p>
    <w:p w14:paraId="62C57533" w14:textId="77777777" w:rsidR="00CA7ABD" w:rsidRDefault="00000000">
      <w:pPr>
        <w:ind w:left="360"/>
        <w:rPr>
          <w:rFonts w:hint="eastAsia"/>
        </w:rPr>
      </w:pPr>
      <w:r>
        <w:rPr>
          <w:color w:val="37474F"/>
        </w:rPr>
        <w:t>•</w:t>
      </w:r>
      <w:r>
        <w:t>United States (1 representative: observer, no vote)</w:t>
      </w:r>
    </w:p>
    <w:p w14:paraId="4C2E20DC" w14:textId="77777777" w:rsidR="00CA7ABD" w:rsidRDefault="00000000">
      <w:pPr>
        <w:ind w:left="360"/>
        <w:rPr>
          <w:rFonts w:hint="eastAsia"/>
        </w:rPr>
      </w:pPr>
      <w:r>
        <w:rPr>
          <w:color w:val="37474F"/>
        </w:rPr>
        <w:t>•</w:t>
      </w:r>
      <w:r>
        <w:t>China (1 representative: observer, no vote)</w:t>
      </w:r>
    </w:p>
    <w:p w14:paraId="20AF7104" w14:textId="77777777" w:rsidR="00CA7ABD" w:rsidRDefault="00000000">
      <w:pPr>
        <w:ind w:left="360"/>
        <w:rPr>
          <w:rFonts w:hint="eastAsia"/>
        </w:rPr>
      </w:pPr>
      <w:r>
        <w:rPr>
          <w:color w:val="37474F"/>
        </w:rPr>
        <w:t>•</w:t>
      </w:r>
      <w:r>
        <w:t>EU (1 representative: observer, no vote)</w:t>
      </w:r>
    </w:p>
    <w:p w14:paraId="058F58CF" w14:textId="77777777" w:rsidR="00CA7ABD" w:rsidRDefault="00000000">
      <w:pPr>
        <w:rPr>
          <w:rFonts w:hint="eastAsia"/>
        </w:rPr>
      </w:pPr>
      <w:r>
        <w:t>The RSC approves project proposals, monitors progress, and authorizes disbursements. Decisions require consensus of the voting members (Iran, Qatar, World Bank, GCC).</w:t>
      </w:r>
    </w:p>
    <w:p w14:paraId="674EB312" w14:textId="77777777" w:rsidR="00CA7ABD" w:rsidRDefault="00000000">
      <w:pPr>
        <w:pStyle w:val="Heading3"/>
        <w:rPr>
          <w:rFonts w:hint="eastAsia"/>
        </w:rPr>
      </w:pPr>
      <w:r>
        <w:t>1.8 Technical Advisory Group (TAG)</w:t>
      </w:r>
    </w:p>
    <w:p w14:paraId="5138AA61" w14:textId="77777777" w:rsidR="00CA7ABD" w:rsidRDefault="00000000">
      <w:pPr>
        <w:rPr>
          <w:rFonts w:hint="eastAsia"/>
        </w:rPr>
      </w:pPr>
      <w:r>
        <w:t>A panel of independent technical experts appointed by the World Bank to:</w:t>
      </w:r>
    </w:p>
    <w:p w14:paraId="05ED3A36" w14:textId="77777777" w:rsidR="00CA7ABD" w:rsidRDefault="00000000">
      <w:pPr>
        <w:ind w:left="360"/>
        <w:rPr>
          <w:rFonts w:hint="eastAsia"/>
        </w:rPr>
      </w:pPr>
      <w:r>
        <w:rPr>
          <w:color w:val="37474F"/>
        </w:rPr>
        <w:t>•</w:t>
      </w:r>
      <w:r>
        <w:t>Assess the technical feasibility of Project Proposals</w:t>
      </w:r>
    </w:p>
    <w:p w14:paraId="78DEDD77" w14:textId="77777777" w:rsidR="00CA7ABD" w:rsidRDefault="00000000">
      <w:pPr>
        <w:ind w:left="360"/>
        <w:rPr>
          <w:rFonts w:hint="eastAsia"/>
        </w:rPr>
      </w:pPr>
      <w:r>
        <w:rPr>
          <w:color w:val="37474F"/>
        </w:rPr>
        <w:t>•</w:t>
      </w:r>
      <w:r>
        <w:t>Conduct independent verification of milestone completion</w:t>
      </w:r>
    </w:p>
    <w:p w14:paraId="18E312BF" w14:textId="77777777" w:rsidR="00CA7ABD" w:rsidRDefault="00000000">
      <w:pPr>
        <w:ind w:left="360"/>
        <w:rPr>
          <w:rFonts w:hint="eastAsia"/>
        </w:rPr>
      </w:pPr>
      <w:r>
        <w:rPr>
          <w:color w:val="37474F"/>
        </w:rPr>
        <w:t>•</w:t>
      </w:r>
      <w:r>
        <w:t>Provide technical guidance to the RSC</w:t>
      </w:r>
    </w:p>
    <w:p w14:paraId="5A52EE3F" w14:textId="77777777" w:rsidR="00CA7ABD" w:rsidRDefault="00000000">
      <w:pPr>
        <w:pStyle w:val="Heading2"/>
        <w:rPr>
          <w:rFonts w:hint="eastAsia"/>
        </w:rPr>
      </w:pPr>
      <w:r>
        <w:t>Article 2: Capital Aggregation and Escrow</w:t>
      </w:r>
    </w:p>
    <w:p w14:paraId="3A8ABDF4" w14:textId="77777777" w:rsidR="00CA7ABD" w:rsidRDefault="00000000">
      <w:pPr>
        <w:pStyle w:val="Heading3"/>
        <w:rPr>
          <w:rFonts w:hint="eastAsia"/>
        </w:rPr>
      </w:pPr>
      <w:r>
        <w:t>2.1 Pledge and Deposit Mechanism</w:t>
      </w:r>
    </w:p>
    <w:p w14:paraId="77A61606" w14:textId="77777777" w:rsidR="00CA7ABD" w:rsidRDefault="00000000">
      <w:pPr>
        <w:rPr>
          <w:rFonts w:hint="eastAsia"/>
        </w:rPr>
      </w:pPr>
      <w:r>
        <w:t>Contributors pledge funds to specific Sub-Funds. Pledges are non-binding until deposited. Deposits flow directly from contributors to the MRF escrow account at the Qatar Central Bank. No contribution passes through the United States or any U.S.-controlled financial institution.</w:t>
      </w:r>
    </w:p>
    <w:p w14:paraId="39A7E2F6" w14:textId="77777777" w:rsidR="00CA7ABD" w:rsidRDefault="00000000">
      <w:pPr>
        <w:pStyle w:val="Heading3"/>
        <w:rPr>
          <w:rFonts w:hint="eastAsia"/>
        </w:rPr>
      </w:pPr>
      <w:r>
        <w:t>2.2 Contribution Tiers</w:t>
      </w:r>
    </w:p>
    <w:p w14:paraId="78BAB7BA" w14:textId="77777777" w:rsidR="00CA7ABD" w:rsidRDefault="00000000">
      <w:pPr>
        <w:rPr>
          <w:rFonts w:hint="eastAsia"/>
        </w:rPr>
      </w:pPr>
      <w:r>
        <w:t>The framework recognizes the following contribution tiers:</w:t>
      </w:r>
    </w:p>
    <w:tbl>
      <w:tblPr>
        <w:tblW w:w="5000" w:type="pct"/>
        <w:tblInd w:w="-8"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1398"/>
        <w:gridCol w:w="3606"/>
        <w:gridCol w:w="1357"/>
        <w:gridCol w:w="2865"/>
      </w:tblGrid>
      <w:tr w:rsidR="00CA7ABD" w14:paraId="59C05349" w14:textId="77777777">
        <w:tc>
          <w:tcPr>
            <w:tcW w:w="0" w:type="auto"/>
            <w:shd w:val="clear" w:color="auto" w:fill="37474F"/>
          </w:tcPr>
          <w:p w14:paraId="2E275BE6" w14:textId="77777777" w:rsidR="00CA7ABD" w:rsidRDefault="00000000">
            <w:pPr>
              <w:rPr>
                <w:rFonts w:hint="eastAsia"/>
              </w:rPr>
            </w:pPr>
            <w:r>
              <w:rPr>
                <w:b/>
                <w:color w:val="FFFFFF"/>
                <w:sz w:val="19"/>
              </w:rPr>
              <w:t>Tier</w:t>
            </w:r>
          </w:p>
        </w:tc>
        <w:tc>
          <w:tcPr>
            <w:tcW w:w="0" w:type="auto"/>
            <w:shd w:val="clear" w:color="auto" w:fill="37474F"/>
          </w:tcPr>
          <w:p w14:paraId="36FD4DD0" w14:textId="77777777" w:rsidR="00CA7ABD" w:rsidRDefault="00000000">
            <w:pPr>
              <w:rPr>
                <w:rFonts w:hint="eastAsia"/>
              </w:rPr>
            </w:pPr>
            <w:r>
              <w:rPr>
                <w:b/>
                <w:color w:val="FFFFFF"/>
                <w:sz w:val="19"/>
              </w:rPr>
              <w:t>Contributor Type</w:t>
            </w:r>
          </w:p>
        </w:tc>
        <w:tc>
          <w:tcPr>
            <w:tcW w:w="0" w:type="auto"/>
            <w:shd w:val="clear" w:color="auto" w:fill="37474F"/>
          </w:tcPr>
          <w:p w14:paraId="2E9EF470" w14:textId="77777777" w:rsidR="00CA7ABD" w:rsidRDefault="00000000">
            <w:pPr>
              <w:rPr>
                <w:rFonts w:hint="eastAsia"/>
              </w:rPr>
            </w:pPr>
            <w:r>
              <w:rPr>
                <w:b/>
                <w:color w:val="FFFFFF"/>
                <w:sz w:val="19"/>
              </w:rPr>
              <w:t>Typical Amount</w:t>
            </w:r>
          </w:p>
        </w:tc>
        <w:tc>
          <w:tcPr>
            <w:tcW w:w="0" w:type="auto"/>
            <w:shd w:val="clear" w:color="auto" w:fill="37474F"/>
          </w:tcPr>
          <w:p w14:paraId="2314384B" w14:textId="77777777" w:rsidR="00CA7ABD" w:rsidRDefault="00000000">
            <w:pPr>
              <w:rPr>
                <w:rFonts w:hint="eastAsia"/>
              </w:rPr>
            </w:pPr>
            <w:r>
              <w:rPr>
                <w:b/>
                <w:color w:val="FFFFFF"/>
                <w:sz w:val="19"/>
              </w:rPr>
              <w:t>Example</w:t>
            </w:r>
          </w:p>
        </w:tc>
      </w:tr>
      <w:tr w:rsidR="00CA7ABD" w14:paraId="70D7FE14" w14:textId="77777777">
        <w:tc>
          <w:tcPr>
            <w:tcW w:w="0" w:type="auto"/>
          </w:tcPr>
          <w:p w14:paraId="424800A5" w14:textId="77777777" w:rsidR="00CA7ABD" w:rsidRDefault="00000000">
            <w:pPr>
              <w:rPr>
                <w:rFonts w:hint="eastAsia"/>
              </w:rPr>
            </w:pPr>
            <w:r>
              <w:rPr>
                <w:sz w:val="19"/>
              </w:rPr>
              <w:t>Anchor</w:t>
            </w:r>
          </w:p>
        </w:tc>
        <w:tc>
          <w:tcPr>
            <w:tcW w:w="0" w:type="auto"/>
          </w:tcPr>
          <w:p w14:paraId="5F4D8DB6" w14:textId="77777777" w:rsidR="00CA7ABD" w:rsidRDefault="00000000">
            <w:pPr>
              <w:rPr>
                <w:rFonts w:hint="eastAsia"/>
              </w:rPr>
            </w:pPr>
            <w:r>
              <w:rPr>
                <w:sz w:val="19"/>
              </w:rPr>
              <w:t>GCC sovereign wealth funds, World Bank, Islamic Development Bank</w:t>
            </w:r>
          </w:p>
        </w:tc>
        <w:tc>
          <w:tcPr>
            <w:tcW w:w="0" w:type="auto"/>
          </w:tcPr>
          <w:p w14:paraId="3D425BCE" w14:textId="77777777" w:rsidR="00CA7ABD" w:rsidRDefault="00000000">
            <w:pPr>
              <w:rPr>
                <w:rFonts w:hint="eastAsia"/>
              </w:rPr>
            </w:pPr>
            <w:r>
              <w:rPr>
                <w:sz w:val="19"/>
              </w:rPr>
              <w:t>$5B+</w:t>
            </w:r>
          </w:p>
        </w:tc>
        <w:tc>
          <w:tcPr>
            <w:tcW w:w="0" w:type="auto"/>
          </w:tcPr>
          <w:p w14:paraId="35C8BBC3" w14:textId="77777777" w:rsidR="00CA7ABD" w:rsidRDefault="00000000">
            <w:pPr>
              <w:rPr>
                <w:rFonts w:hint="eastAsia"/>
              </w:rPr>
            </w:pPr>
            <w:r>
              <w:rPr>
                <w:sz w:val="19"/>
              </w:rPr>
              <w:t>Qatar Investment Authority, Saudi PIF, UAE ADIA</w:t>
            </w:r>
          </w:p>
        </w:tc>
      </w:tr>
      <w:tr w:rsidR="00CA7ABD" w14:paraId="3C415FFD" w14:textId="77777777">
        <w:tc>
          <w:tcPr>
            <w:tcW w:w="0" w:type="auto"/>
            <w:shd w:val="clear" w:color="auto" w:fill="ECEFF1"/>
          </w:tcPr>
          <w:p w14:paraId="293B4818" w14:textId="77777777" w:rsidR="00CA7ABD" w:rsidRDefault="00000000">
            <w:pPr>
              <w:rPr>
                <w:rFonts w:hint="eastAsia"/>
              </w:rPr>
            </w:pPr>
            <w:r>
              <w:rPr>
                <w:sz w:val="19"/>
              </w:rPr>
              <w:t>Major</w:t>
            </w:r>
          </w:p>
        </w:tc>
        <w:tc>
          <w:tcPr>
            <w:tcW w:w="0" w:type="auto"/>
            <w:shd w:val="clear" w:color="auto" w:fill="ECEFF1"/>
          </w:tcPr>
          <w:p w14:paraId="624979E3" w14:textId="77777777" w:rsidR="00CA7ABD" w:rsidRDefault="00000000">
            <w:pPr>
              <w:rPr>
                <w:rFonts w:hint="eastAsia"/>
              </w:rPr>
            </w:pPr>
            <w:r>
              <w:rPr>
                <w:sz w:val="19"/>
              </w:rPr>
              <w:t>Regional development banks, EU member states, China, Russia</w:t>
            </w:r>
          </w:p>
        </w:tc>
        <w:tc>
          <w:tcPr>
            <w:tcW w:w="0" w:type="auto"/>
            <w:shd w:val="clear" w:color="auto" w:fill="ECEFF1"/>
          </w:tcPr>
          <w:p w14:paraId="37D5EA02" w14:textId="77777777" w:rsidR="00CA7ABD" w:rsidRDefault="00000000">
            <w:pPr>
              <w:rPr>
                <w:rFonts w:hint="eastAsia"/>
              </w:rPr>
            </w:pPr>
            <w:r>
              <w:rPr>
                <w:sz w:val="19"/>
              </w:rPr>
              <w:t>$1B-$5B</w:t>
            </w:r>
          </w:p>
        </w:tc>
        <w:tc>
          <w:tcPr>
            <w:tcW w:w="0" w:type="auto"/>
            <w:shd w:val="clear" w:color="auto" w:fill="ECEFF1"/>
          </w:tcPr>
          <w:p w14:paraId="247F21D3" w14:textId="77777777" w:rsidR="00CA7ABD" w:rsidRDefault="00000000">
            <w:pPr>
              <w:rPr>
                <w:rFonts w:hint="eastAsia"/>
              </w:rPr>
            </w:pPr>
            <w:r>
              <w:rPr>
                <w:sz w:val="19"/>
              </w:rPr>
              <w:t>AIIB, EBRD, Germany, Japan</w:t>
            </w:r>
          </w:p>
        </w:tc>
      </w:tr>
      <w:tr w:rsidR="00CA7ABD" w14:paraId="67402060" w14:textId="77777777">
        <w:tc>
          <w:tcPr>
            <w:tcW w:w="0" w:type="auto"/>
          </w:tcPr>
          <w:p w14:paraId="330C3990" w14:textId="77777777" w:rsidR="00CA7ABD" w:rsidRDefault="00000000">
            <w:pPr>
              <w:rPr>
                <w:rFonts w:hint="eastAsia"/>
              </w:rPr>
            </w:pPr>
            <w:r>
              <w:rPr>
                <w:sz w:val="19"/>
              </w:rPr>
              <w:t>Supporting</w:t>
            </w:r>
          </w:p>
        </w:tc>
        <w:tc>
          <w:tcPr>
            <w:tcW w:w="0" w:type="auto"/>
          </w:tcPr>
          <w:p w14:paraId="77091C2E" w14:textId="77777777" w:rsidR="00CA7ABD" w:rsidRDefault="00000000">
            <w:pPr>
              <w:rPr>
                <w:rFonts w:hint="eastAsia"/>
              </w:rPr>
            </w:pPr>
            <w:r>
              <w:rPr>
                <w:sz w:val="19"/>
              </w:rPr>
              <w:t>Private investors, pension funds, insurance companies</w:t>
            </w:r>
          </w:p>
        </w:tc>
        <w:tc>
          <w:tcPr>
            <w:tcW w:w="0" w:type="auto"/>
          </w:tcPr>
          <w:p w14:paraId="338B0CDE" w14:textId="77777777" w:rsidR="00CA7ABD" w:rsidRDefault="00000000">
            <w:pPr>
              <w:rPr>
                <w:rFonts w:hint="eastAsia"/>
              </w:rPr>
            </w:pPr>
            <w:r>
              <w:rPr>
                <w:sz w:val="19"/>
              </w:rPr>
              <w:t>$100M-$1B</w:t>
            </w:r>
          </w:p>
        </w:tc>
        <w:tc>
          <w:tcPr>
            <w:tcW w:w="0" w:type="auto"/>
          </w:tcPr>
          <w:p w14:paraId="787979BC" w14:textId="77777777" w:rsidR="00CA7ABD" w:rsidRDefault="00000000">
            <w:pPr>
              <w:rPr>
                <w:rFonts w:hint="eastAsia"/>
              </w:rPr>
            </w:pPr>
            <w:r>
              <w:rPr>
                <w:sz w:val="19"/>
              </w:rPr>
              <w:t>Infrastructure funds, sovereign-backed insurers</w:t>
            </w:r>
          </w:p>
        </w:tc>
      </w:tr>
      <w:tr w:rsidR="00CA7ABD" w14:paraId="13570CE9" w14:textId="77777777">
        <w:tc>
          <w:tcPr>
            <w:tcW w:w="0" w:type="auto"/>
            <w:shd w:val="clear" w:color="auto" w:fill="ECEFF1"/>
          </w:tcPr>
          <w:p w14:paraId="2226DF1D" w14:textId="77777777" w:rsidR="00CA7ABD" w:rsidRDefault="00000000">
            <w:pPr>
              <w:rPr>
                <w:rFonts w:hint="eastAsia"/>
              </w:rPr>
            </w:pPr>
            <w:r>
              <w:rPr>
                <w:sz w:val="19"/>
              </w:rPr>
              <w:t>Humanitarian</w:t>
            </w:r>
          </w:p>
        </w:tc>
        <w:tc>
          <w:tcPr>
            <w:tcW w:w="0" w:type="auto"/>
            <w:shd w:val="clear" w:color="auto" w:fill="ECEFF1"/>
          </w:tcPr>
          <w:p w14:paraId="484A2604" w14:textId="77777777" w:rsidR="00CA7ABD" w:rsidRDefault="00000000">
            <w:pPr>
              <w:rPr>
                <w:rFonts w:hint="eastAsia"/>
              </w:rPr>
            </w:pPr>
            <w:r>
              <w:rPr>
                <w:sz w:val="19"/>
              </w:rPr>
              <w:t>UN agencies, ICRC, bilateral humanitarian offices</w:t>
            </w:r>
          </w:p>
        </w:tc>
        <w:tc>
          <w:tcPr>
            <w:tcW w:w="0" w:type="auto"/>
            <w:shd w:val="clear" w:color="auto" w:fill="ECEFF1"/>
          </w:tcPr>
          <w:p w14:paraId="5FA1300F" w14:textId="77777777" w:rsidR="00CA7ABD" w:rsidRDefault="00000000">
            <w:pPr>
              <w:rPr>
                <w:rFonts w:hint="eastAsia"/>
              </w:rPr>
            </w:pPr>
            <w:r>
              <w:rPr>
                <w:sz w:val="19"/>
              </w:rPr>
              <w:t>$50M-$500M</w:t>
            </w:r>
          </w:p>
        </w:tc>
        <w:tc>
          <w:tcPr>
            <w:tcW w:w="0" w:type="auto"/>
            <w:shd w:val="clear" w:color="auto" w:fill="ECEFF1"/>
          </w:tcPr>
          <w:p w14:paraId="45BD89AA" w14:textId="77777777" w:rsidR="00CA7ABD" w:rsidRDefault="00000000">
            <w:pPr>
              <w:rPr>
                <w:rFonts w:hint="eastAsia"/>
              </w:rPr>
            </w:pPr>
            <w:r>
              <w:rPr>
                <w:sz w:val="19"/>
              </w:rPr>
              <w:t>UN OCHA, WHO, WFP, USAID (technical only)</w:t>
            </w:r>
          </w:p>
        </w:tc>
      </w:tr>
    </w:tbl>
    <w:p w14:paraId="0D970B6F" w14:textId="77777777" w:rsidR="00CA7ABD" w:rsidRDefault="00000000">
      <w:pPr>
        <w:pStyle w:val="Heading3"/>
        <w:rPr>
          <w:rFonts w:hint="eastAsia"/>
        </w:rPr>
      </w:pPr>
      <w:r>
        <w:t>2.3 U.S. Participation (Non-Cash)</w:t>
      </w:r>
    </w:p>
    <w:p w14:paraId="769E4B0E" w14:textId="77777777" w:rsidR="00CA7ABD" w:rsidRDefault="00000000">
      <w:pPr>
        <w:rPr>
          <w:rFonts w:hint="eastAsia"/>
        </w:rPr>
      </w:pPr>
      <w:r>
        <w:t>The United States contributes to the MRF exclusively through:</w:t>
      </w:r>
    </w:p>
    <w:p w14:paraId="31B25EF5" w14:textId="77777777" w:rsidR="00CA7ABD" w:rsidRDefault="00000000">
      <w:pPr>
        <w:ind w:left="360"/>
        <w:rPr>
          <w:rFonts w:hint="eastAsia"/>
        </w:rPr>
      </w:pPr>
      <w:r>
        <w:rPr>
          <w:color w:val="37474F"/>
        </w:rPr>
        <w:t>•</w:t>
      </w:r>
      <w:r>
        <w:t>Technical assistance: Project identification, feasibility studies, engineering expertise</w:t>
      </w:r>
    </w:p>
    <w:p w14:paraId="22F1B50C" w14:textId="77777777" w:rsidR="00CA7ABD" w:rsidRDefault="00000000">
      <w:pPr>
        <w:ind w:left="360"/>
        <w:rPr>
          <w:rFonts w:hint="eastAsia"/>
        </w:rPr>
      </w:pPr>
      <w:r>
        <w:rPr>
          <w:color w:val="37474F"/>
        </w:rPr>
        <w:t>•</w:t>
      </w:r>
      <w:r>
        <w:t>Capacity building: Training for Iranian procurement and project management officials</w:t>
      </w:r>
    </w:p>
    <w:p w14:paraId="2DBB513F" w14:textId="77777777" w:rsidR="00CA7ABD" w:rsidRDefault="00000000">
      <w:pPr>
        <w:ind w:left="360"/>
        <w:rPr>
          <w:rFonts w:hint="eastAsia"/>
        </w:rPr>
      </w:pPr>
      <w:r>
        <w:rPr>
          <w:color w:val="37474F"/>
        </w:rPr>
        <w:t>•</w:t>
      </w:r>
      <w:r>
        <w:t>Regulatory facilitation: OFAC general licenses for MRF transactions</w:t>
      </w:r>
    </w:p>
    <w:p w14:paraId="0628A718" w14:textId="77777777" w:rsidR="00CA7ABD" w:rsidRDefault="00000000">
      <w:pPr>
        <w:ind w:left="360"/>
        <w:rPr>
          <w:rFonts w:hint="eastAsia"/>
        </w:rPr>
      </w:pPr>
      <w:r>
        <w:rPr>
          <w:color w:val="37474F"/>
        </w:rPr>
        <w:t>•</w:t>
      </w:r>
      <w:r>
        <w:t>Diplomatic support: Encouraging third-party contributions</w:t>
      </w:r>
    </w:p>
    <w:p w14:paraId="609F08F3" w14:textId="77777777" w:rsidR="00CA7ABD" w:rsidRDefault="00000000">
      <w:pPr>
        <w:rPr>
          <w:rFonts w:hint="eastAsia"/>
        </w:rPr>
      </w:pPr>
      <w:r>
        <w:t>The United States does not contribute direct cash to the MRF. This explicitly addresses the political impossibility of direct U.S. financial aid.</w:t>
      </w:r>
    </w:p>
    <w:p w14:paraId="50274C2F" w14:textId="77777777" w:rsidR="00CA7ABD" w:rsidRDefault="00000000">
      <w:pPr>
        <w:pStyle w:val="Heading3"/>
        <w:rPr>
          <w:rFonts w:hint="eastAsia"/>
        </w:rPr>
      </w:pPr>
      <w:r>
        <w:t>2.4 Sanctions Firewall</w:t>
      </w:r>
    </w:p>
    <w:p w14:paraId="0EA29539" w14:textId="77777777" w:rsidR="00CA7ABD" w:rsidRDefault="00000000">
      <w:pPr>
        <w:rPr>
          <w:rFonts w:hint="eastAsia"/>
        </w:rPr>
      </w:pPr>
      <w:r>
        <w:t>All MRF transactions are explicitly exempt from U.S. secondary sanctions. OFAC issues a general license covering:</w:t>
      </w:r>
    </w:p>
    <w:p w14:paraId="0E435FA3" w14:textId="77777777" w:rsidR="00CA7ABD" w:rsidRDefault="00000000">
      <w:pPr>
        <w:ind w:left="360"/>
        <w:rPr>
          <w:rFonts w:hint="eastAsia"/>
        </w:rPr>
      </w:pPr>
      <w:r>
        <w:rPr>
          <w:color w:val="37474F"/>
        </w:rPr>
        <w:t>•</w:t>
      </w:r>
      <w:r>
        <w:t>All contributions to the MRF</w:t>
      </w:r>
    </w:p>
    <w:p w14:paraId="49B89EF8" w14:textId="77777777" w:rsidR="00CA7ABD" w:rsidRDefault="00000000">
      <w:pPr>
        <w:ind w:left="360"/>
        <w:rPr>
          <w:rFonts w:hint="eastAsia"/>
        </w:rPr>
      </w:pPr>
      <w:r>
        <w:rPr>
          <w:color w:val="37474F"/>
        </w:rPr>
        <w:t>•</w:t>
      </w:r>
      <w:r>
        <w:t>All disbursements from the MRF to Iranian project implementers</w:t>
      </w:r>
    </w:p>
    <w:p w14:paraId="4AB7771F" w14:textId="77777777" w:rsidR="00CA7ABD" w:rsidRDefault="00000000">
      <w:pPr>
        <w:ind w:left="360"/>
        <w:rPr>
          <w:rFonts w:hint="eastAsia"/>
        </w:rPr>
      </w:pPr>
      <w:r>
        <w:rPr>
          <w:color w:val="37474F"/>
        </w:rPr>
        <w:t>•</w:t>
      </w:r>
      <w:r>
        <w:t>All procurement contracts funded by the MRF</w:t>
      </w:r>
    </w:p>
    <w:p w14:paraId="7B61B0BB" w14:textId="77777777" w:rsidR="00CA7ABD" w:rsidRDefault="00000000">
      <w:pPr>
        <w:ind w:left="360"/>
        <w:rPr>
          <w:rFonts w:hint="eastAsia"/>
        </w:rPr>
      </w:pPr>
      <w:r>
        <w:rPr>
          <w:color w:val="37474F"/>
        </w:rPr>
        <w:t>•</w:t>
      </w:r>
      <w:r>
        <w:t>All banking transactions associated with MRF activities</w:t>
      </w:r>
    </w:p>
    <w:p w14:paraId="6DC5F948" w14:textId="77777777" w:rsidR="00CA7ABD" w:rsidRDefault="00000000">
      <w:pPr>
        <w:rPr>
          <w:rFonts w:hint="eastAsia"/>
        </w:rPr>
      </w:pPr>
      <w:r>
        <w:t>This firewall ensures that financial institutions, contractors, and suppliers participate in MRF-funded projects without fear of U.S. sanctions exposure.</w:t>
      </w:r>
    </w:p>
    <w:p w14:paraId="5EF92907" w14:textId="77777777" w:rsidR="00CA7ABD" w:rsidRDefault="00000000">
      <w:pPr>
        <w:pStyle w:val="Heading2"/>
        <w:rPr>
          <w:rFonts w:hint="eastAsia"/>
        </w:rPr>
      </w:pPr>
      <w:r>
        <w:t>Article 3: Project Proposal and Approval Process</w:t>
      </w:r>
    </w:p>
    <w:p w14:paraId="17A7E4B6" w14:textId="77777777" w:rsidR="00CA7ABD" w:rsidRDefault="00000000">
      <w:pPr>
        <w:pStyle w:val="Heading3"/>
        <w:rPr>
          <w:rFonts w:hint="eastAsia"/>
        </w:rPr>
      </w:pPr>
      <w:r>
        <w:t>3.1 Iranian Project Submission</w:t>
      </w:r>
    </w:p>
    <w:p w14:paraId="1EFDD490" w14:textId="77777777" w:rsidR="00CA7ABD" w:rsidRDefault="00000000">
      <w:pPr>
        <w:rPr>
          <w:rFonts w:hint="eastAsia"/>
        </w:rPr>
      </w:pPr>
      <w:r>
        <w:t>Iran submits Project Proposals to the appropriate Sub-Fund through the RSC secretariat. Proposals include:</w:t>
      </w:r>
    </w:p>
    <w:p w14:paraId="0AD065DE" w14:textId="77777777" w:rsidR="00CA7ABD" w:rsidRDefault="00000000">
      <w:pPr>
        <w:ind w:left="360"/>
        <w:rPr>
          <w:rFonts w:hint="eastAsia"/>
        </w:rPr>
      </w:pPr>
      <w:r>
        <w:rPr>
          <w:color w:val="37474F"/>
        </w:rPr>
        <w:t>•</w:t>
      </w:r>
      <w:r>
        <w:t>Sector and Sub-Fund designation</w:t>
      </w:r>
    </w:p>
    <w:p w14:paraId="77E0A90C" w14:textId="77777777" w:rsidR="00CA7ABD" w:rsidRDefault="00000000">
      <w:pPr>
        <w:ind w:left="360"/>
        <w:rPr>
          <w:rFonts w:hint="eastAsia"/>
        </w:rPr>
      </w:pPr>
      <w:r>
        <w:rPr>
          <w:color w:val="37474F"/>
        </w:rPr>
        <w:t>•</w:t>
      </w:r>
      <w:r>
        <w:t>Project description and objectives</w:t>
      </w:r>
    </w:p>
    <w:p w14:paraId="00C2226E" w14:textId="77777777" w:rsidR="00CA7ABD" w:rsidRDefault="00000000">
      <w:pPr>
        <w:ind w:left="360"/>
        <w:rPr>
          <w:rFonts w:hint="eastAsia"/>
        </w:rPr>
      </w:pPr>
      <w:r>
        <w:rPr>
          <w:color w:val="37474F"/>
        </w:rPr>
        <w:t>•</w:t>
      </w:r>
      <w:r>
        <w:t>Estimated cost and funding request</w:t>
      </w:r>
    </w:p>
    <w:p w14:paraId="32AF8D2F" w14:textId="77777777" w:rsidR="00CA7ABD" w:rsidRDefault="00000000">
      <w:pPr>
        <w:ind w:left="360"/>
        <w:rPr>
          <w:rFonts w:hint="eastAsia"/>
        </w:rPr>
      </w:pPr>
      <w:r>
        <w:rPr>
          <w:color w:val="37474F"/>
        </w:rPr>
        <w:t>•</w:t>
      </w:r>
      <w:r>
        <w:t>Detailed timeline with Verification Milestones</w:t>
      </w:r>
    </w:p>
    <w:p w14:paraId="13C818E6" w14:textId="77777777" w:rsidR="00CA7ABD" w:rsidRDefault="00000000">
      <w:pPr>
        <w:ind w:left="360"/>
        <w:rPr>
          <w:rFonts w:hint="eastAsia"/>
        </w:rPr>
      </w:pPr>
      <w:r>
        <w:rPr>
          <w:color w:val="37474F"/>
        </w:rPr>
        <w:t>•</w:t>
      </w:r>
      <w:r>
        <w:t>Technical feasibility study</w:t>
      </w:r>
    </w:p>
    <w:p w14:paraId="7E6FDFD8" w14:textId="77777777" w:rsidR="00CA7ABD" w:rsidRDefault="00000000">
      <w:pPr>
        <w:ind w:left="360"/>
        <w:rPr>
          <w:rFonts w:hint="eastAsia"/>
        </w:rPr>
      </w:pPr>
      <w:r>
        <w:rPr>
          <w:color w:val="37474F"/>
        </w:rPr>
        <w:t>•</w:t>
      </w:r>
      <w:r>
        <w:t>Environmental and social impact assessment</w:t>
      </w:r>
    </w:p>
    <w:p w14:paraId="24EB5114" w14:textId="77777777" w:rsidR="00CA7ABD" w:rsidRDefault="00000000">
      <w:pPr>
        <w:ind w:left="360"/>
        <w:rPr>
          <w:rFonts w:hint="eastAsia"/>
        </w:rPr>
      </w:pPr>
      <w:r>
        <w:rPr>
          <w:color w:val="37474F"/>
        </w:rPr>
        <w:t>•</w:t>
      </w:r>
      <w:r>
        <w:t>Procurement plan (including proposed contractors and suppliers)</w:t>
      </w:r>
    </w:p>
    <w:p w14:paraId="729221D6" w14:textId="77777777" w:rsidR="00CA7ABD" w:rsidRDefault="00000000">
      <w:pPr>
        <w:ind w:left="360"/>
        <w:rPr>
          <w:rFonts w:hint="eastAsia"/>
        </w:rPr>
      </w:pPr>
      <w:r>
        <w:rPr>
          <w:color w:val="37474F"/>
        </w:rPr>
        <w:t>•</w:t>
      </w:r>
      <w:r>
        <w:t>Independent audit plan</w:t>
      </w:r>
    </w:p>
    <w:p w14:paraId="6B290A12" w14:textId="77777777" w:rsidR="00CA7ABD" w:rsidRDefault="00000000">
      <w:pPr>
        <w:pStyle w:val="Heading3"/>
        <w:rPr>
          <w:rFonts w:hint="eastAsia"/>
        </w:rPr>
      </w:pPr>
      <w:r>
        <w:t>3.2 Technical Advisory Group Review</w:t>
      </w:r>
    </w:p>
    <w:p w14:paraId="20745425" w14:textId="77777777" w:rsidR="00CA7ABD" w:rsidRDefault="00000000">
      <w:pPr>
        <w:rPr>
          <w:rFonts w:hint="eastAsia"/>
        </w:rPr>
      </w:pPr>
      <w:r>
        <w:t>Upon submission, the Technical Advisory Group (TAG) conducts a preliminary technical review within 30 days. The TAG assesses:</w:t>
      </w:r>
    </w:p>
    <w:p w14:paraId="29CCCFCE" w14:textId="77777777" w:rsidR="00CA7ABD" w:rsidRDefault="00000000">
      <w:pPr>
        <w:ind w:left="360"/>
        <w:rPr>
          <w:rFonts w:hint="eastAsia"/>
        </w:rPr>
      </w:pPr>
      <w:r>
        <w:rPr>
          <w:color w:val="37474F"/>
        </w:rPr>
        <w:t>•</w:t>
      </w:r>
      <w:r>
        <w:t>Technical feasibility and soundness</w:t>
      </w:r>
    </w:p>
    <w:p w14:paraId="314CECCD" w14:textId="77777777" w:rsidR="00CA7ABD" w:rsidRDefault="00000000">
      <w:pPr>
        <w:ind w:left="360"/>
        <w:rPr>
          <w:rFonts w:hint="eastAsia"/>
        </w:rPr>
      </w:pPr>
      <w:r>
        <w:rPr>
          <w:color w:val="37474F"/>
        </w:rPr>
        <w:t>•</w:t>
      </w:r>
      <w:r>
        <w:t>Environmental and social safeguards compliance</w:t>
      </w:r>
    </w:p>
    <w:p w14:paraId="6F253B94" w14:textId="77777777" w:rsidR="00CA7ABD" w:rsidRDefault="00000000">
      <w:pPr>
        <w:ind w:left="360"/>
        <w:rPr>
          <w:rFonts w:hint="eastAsia"/>
        </w:rPr>
      </w:pPr>
      <w:r>
        <w:rPr>
          <w:color w:val="37474F"/>
        </w:rPr>
        <w:t>•</w:t>
      </w:r>
      <w:r>
        <w:t>Cost realism and value for money</w:t>
      </w:r>
    </w:p>
    <w:p w14:paraId="026B8512" w14:textId="77777777" w:rsidR="00CA7ABD" w:rsidRDefault="00000000">
      <w:pPr>
        <w:ind w:left="360"/>
        <w:rPr>
          <w:rFonts w:hint="eastAsia"/>
        </w:rPr>
      </w:pPr>
      <w:r>
        <w:rPr>
          <w:color w:val="37474F"/>
        </w:rPr>
        <w:t>•</w:t>
      </w:r>
      <w:r>
        <w:t>Alignment with Sub-Fund objectives</w:t>
      </w:r>
    </w:p>
    <w:p w14:paraId="71DCB105" w14:textId="77777777" w:rsidR="00CA7ABD" w:rsidRDefault="00000000">
      <w:pPr>
        <w:rPr>
          <w:rFonts w:hint="eastAsia"/>
        </w:rPr>
      </w:pPr>
      <w:r>
        <w:t>The TAG provides a written recommendation to the RSC. If the TAG identifies deficiencies, Iran has 30 days to revise and resubmit.</w:t>
      </w:r>
    </w:p>
    <w:p w14:paraId="3A7FF079" w14:textId="77777777" w:rsidR="00CA7ABD" w:rsidRDefault="00000000">
      <w:pPr>
        <w:pStyle w:val="Heading3"/>
        <w:rPr>
          <w:rFonts w:hint="eastAsia"/>
        </w:rPr>
      </w:pPr>
      <w:r>
        <w:t>3.3 RSC Review and Approval</w:t>
      </w:r>
    </w:p>
    <w:p w14:paraId="593932D7" w14:textId="77777777" w:rsidR="00CA7ABD" w:rsidRDefault="00000000">
      <w:pPr>
        <w:rPr>
          <w:rFonts w:hint="eastAsia"/>
        </w:rPr>
      </w:pPr>
      <w:r>
        <w:t>The RSC reviews each Project Proposal within 60 days of TAG recommendation. Approval requires:</w:t>
      </w:r>
    </w:p>
    <w:p w14:paraId="026036A1" w14:textId="77777777" w:rsidR="00CA7ABD" w:rsidRDefault="00000000">
      <w:pPr>
        <w:ind w:left="360"/>
        <w:rPr>
          <w:rFonts w:hint="eastAsia"/>
        </w:rPr>
      </w:pPr>
      <w:r>
        <w:rPr>
          <w:color w:val="37474F"/>
        </w:rPr>
        <w:t>•</w:t>
      </w:r>
      <w:r>
        <w:t>Consensus of the voting members (Iran, Qatar, World Bank, GCC)</w:t>
      </w:r>
    </w:p>
    <w:p w14:paraId="401C6DC5" w14:textId="77777777" w:rsidR="00CA7ABD" w:rsidRDefault="00000000">
      <w:pPr>
        <w:ind w:left="360"/>
        <w:rPr>
          <w:rFonts w:hint="eastAsia"/>
        </w:rPr>
      </w:pPr>
      <w:r>
        <w:rPr>
          <w:color w:val="37474F"/>
        </w:rPr>
        <w:t>•</w:t>
      </w:r>
      <w:r>
        <w:t>Favorable TAG recommendation</w:t>
      </w:r>
    </w:p>
    <w:p w14:paraId="1DABE9A6" w14:textId="77777777" w:rsidR="00CA7ABD" w:rsidRDefault="00000000">
      <w:pPr>
        <w:ind w:left="360"/>
        <w:rPr>
          <w:rFonts w:hint="eastAsia"/>
        </w:rPr>
      </w:pPr>
      <w:r>
        <w:rPr>
          <w:color w:val="37474F"/>
        </w:rPr>
        <w:t>•</w:t>
      </w:r>
      <w:r>
        <w:t>Available capital in the relevant Sub-Fund</w:t>
      </w:r>
    </w:p>
    <w:p w14:paraId="672F4FEE" w14:textId="77777777" w:rsidR="00CA7ABD" w:rsidRDefault="00000000">
      <w:pPr>
        <w:rPr>
          <w:rFonts w:hint="eastAsia"/>
        </w:rPr>
      </w:pPr>
      <w:r>
        <w:t>If the RSC fails to reach consensus on a Project Proposal within 60 days of submission, the matter refers to the Guarantor Matrix for mediation. The Guarantor Matrix issues a non-binding recommendation within 30 days. The RSC reconsiders the proposal in light of the recommendation.</w:t>
      </w:r>
    </w:p>
    <w:p w14:paraId="1D1A5A5E" w14:textId="77777777" w:rsidR="00CA7ABD" w:rsidRDefault="00000000">
      <w:pPr>
        <w:rPr>
          <w:rFonts w:hint="eastAsia"/>
        </w:rPr>
      </w:pPr>
      <w:r>
        <w:t>If the RSC rejects a proposal, it provides written justification and recommendations for revision. Iran resubmits a revised proposal within 30 days.</w:t>
      </w:r>
    </w:p>
    <w:p w14:paraId="17099A1F" w14:textId="77777777" w:rsidR="00CA7ABD" w:rsidRDefault="00000000">
      <w:pPr>
        <w:pStyle w:val="Heading3"/>
        <w:rPr>
          <w:rFonts w:hint="eastAsia"/>
        </w:rPr>
      </w:pPr>
      <w:r>
        <w:t>3.4 Project Prioritization</w:t>
      </w:r>
    </w:p>
    <w:p w14:paraId="666A6629" w14:textId="77777777" w:rsidR="00CA7ABD" w:rsidRDefault="00000000">
      <w:pPr>
        <w:rPr>
          <w:rFonts w:hint="eastAsia"/>
        </w:rPr>
      </w:pPr>
      <w:r>
        <w:t>Iran prioritizes projects based on:</w:t>
      </w:r>
    </w:p>
    <w:p w14:paraId="1ADE1700" w14:textId="77777777" w:rsidR="00CA7ABD" w:rsidRDefault="00000000">
      <w:pPr>
        <w:ind w:left="360"/>
        <w:rPr>
          <w:rFonts w:hint="eastAsia"/>
        </w:rPr>
      </w:pPr>
      <w:r>
        <w:rPr>
          <w:color w:val="37474F"/>
        </w:rPr>
        <w:t>•</w:t>
      </w:r>
      <w:r>
        <w:t>Urgency of need (e.g., damaged hospitals, water treatment plants)</w:t>
      </w:r>
    </w:p>
    <w:p w14:paraId="55252840" w14:textId="77777777" w:rsidR="00CA7ABD" w:rsidRDefault="00000000">
      <w:pPr>
        <w:ind w:left="360"/>
        <w:rPr>
          <w:rFonts w:hint="eastAsia"/>
        </w:rPr>
      </w:pPr>
      <w:r>
        <w:rPr>
          <w:color w:val="37474F"/>
        </w:rPr>
        <w:t>•</w:t>
      </w:r>
      <w:r>
        <w:t>Economic impact (e.g., energy infrastructure, transportation networks)</w:t>
      </w:r>
    </w:p>
    <w:p w14:paraId="0D860382" w14:textId="77777777" w:rsidR="00CA7ABD" w:rsidRDefault="00000000">
      <w:pPr>
        <w:ind w:left="360"/>
        <w:rPr>
          <w:rFonts w:hint="eastAsia"/>
        </w:rPr>
      </w:pPr>
      <w:r>
        <w:rPr>
          <w:color w:val="37474F"/>
        </w:rPr>
        <w:t>•</w:t>
      </w:r>
      <w:r>
        <w:t>Job creation potential</w:t>
      </w:r>
    </w:p>
    <w:p w14:paraId="6941470C" w14:textId="77777777" w:rsidR="00CA7ABD" w:rsidRDefault="00000000">
      <w:pPr>
        <w:ind w:left="360"/>
        <w:rPr>
          <w:rFonts w:hint="eastAsia"/>
        </w:rPr>
      </w:pPr>
      <w:r>
        <w:rPr>
          <w:color w:val="37474F"/>
        </w:rPr>
        <w:t>•</w:t>
      </w:r>
      <w:r>
        <w:t>Regional distribution</w:t>
      </w:r>
    </w:p>
    <w:p w14:paraId="084F99BD" w14:textId="77777777" w:rsidR="00CA7ABD" w:rsidRDefault="00000000">
      <w:pPr>
        <w:ind w:left="360"/>
        <w:rPr>
          <w:rFonts w:hint="eastAsia"/>
        </w:rPr>
      </w:pPr>
      <w:r>
        <w:rPr>
          <w:color w:val="37474F"/>
        </w:rPr>
        <w:t>•</w:t>
      </w:r>
      <w:r>
        <w:t>Contribution to food security and public health</w:t>
      </w:r>
    </w:p>
    <w:p w14:paraId="70C99D3B" w14:textId="77777777" w:rsidR="00CA7ABD" w:rsidRDefault="00000000">
      <w:pPr>
        <w:rPr>
          <w:rFonts w:hint="eastAsia"/>
        </w:rPr>
      </w:pPr>
      <w:r>
        <w:t>The RSC respects Iran's prioritization decisions and does not impose external project preferences.</w:t>
      </w:r>
    </w:p>
    <w:p w14:paraId="01A1DBC5" w14:textId="77777777" w:rsidR="00CA7ABD" w:rsidRDefault="00000000">
      <w:pPr>
        <w:pStyle w:val="Heading3"/>
        <w:rPr>
          <w:rFonts w:hint="eastAsia"/>
        </w:rPr>
      </w:pPr>
      <w:r>
        <w:t>3.5 Project Bundling and Accelerated Approval Track</w:t>
      </w:r>
    </w:p>
    <w:p w14:paraId="3978C772" w14:textId="77777777" w:rsidR="00CA7ABD" w:rsidRDefault="00000000">
      <w:pPr>
        <w:rPr>
          <w:rFonts w:hint="eastAsia"/>
        </w:rPr>
      </w:pPr>
      <w:r>
        <w:t>The RSC maintains an Accelerated Approval Track for bundled small-to-medium projects. Iran groups related projects under $50 million each into a single portfolio package. The TAG conducts a consolidated technical review within 30 days (instead of the standard 60-day review for individual large projects). The RSC approves or requests revision within 45 days (instead of the standard 60 days).</w:t>
      </w:r>
    </w:p>
    <w:p w14:paraId="698820B4" w14:textId="77777777" w:rsidR="00CA7ABD" w:rsidRDefault="00000000">
      <w:pPr>
        <w:rPr>
          <w:rFonts w:hint="eastAsia"/>
        </w:rPr>
      </w:pPr>
      <w:r>
        <w:t>Bundling criteria include: projects sharing a geographic region, projects in the same sector, projects with interdependent milestones, and projects using common contractors or suppliers. The Accelerated Track targets urgent water, health, and housing reconstruction in heavily damaged areas. Bundled projects undergo the same milestone verification and independent audit requirements as standalone projects.</w:t>
      </w:r>
    </w:p>
    <w:p w14:paraId="265B78DA" w14:textId="77777777" w:rsidR="00CA7ABD" w:rsidRDefault="00000000">
      <w:pPr>
        <w:pStyle w:val="Heading3"/>
        <w:rPr>
          <w:rFonts w:hint="eastAsia"/>
        </w:rPr>
      </w:pPr>
      <w:r>
        <w:t>3.6 Local Content and Iranian Contractor Preference</w:t>
      </w:r>
    </w:p>
    <w:p w14:paraId="1E380669" w14:textId="77777777" w:rsidR="00CA7ABD" w:rsidRDefault="00000000">
      <w:pPr>
        <w:rPr>
          <w:rFonts w:hint="eastAsia"/>
        </w:rPr>
      </w:pPr>
      <w:r>
        <w:t>All MRF procurement applies a 10-15% preference for Iranian contractors and suppliers, provided they meet quality standards and cost competitiveness benchmarks. The preference operates as follows: (1) Iranian bids within 15% of the lowest qualified foreign bid receive automatic preference, (2) The TAG verifies that preferred contractors meet technical and safety standards equivalent to international competitors, (3) Iranian subcontractors on foreign-led projects count toward the local content target.</w:t>
      </w:r>
    </w:p>
    <w:p w14:paraId="665A9AFF" w14:textId="77777777" w:rsidR="00CA7ABD" w:rsidRDefault="00000000">
      <w:pPr>
        <w:rPr>
          <w:rFonts w:hint="eastAsia"/>
        </w:rPr>
      </w:pPr>
      <w:r>
        <w:t>The RSC monitors local content performance quarterly and reports to donors on domestic capacity building outcomes. This clause ensures MRF funds rebuild Iranian domestic industrial capacity rather than exclusively funding foreign supply chains. The RSC structures procurement to comply with applicable international trade obligations while maximizing local economic impact.</w:t>
      </w:r>
    </w:p>
    <w:p w14:paraId="3CF912F6" w14:textId="77777777" w:rsidR="00CA7ABD" w:rsidRDefault="00000000">
      <w:pPr>
        <w:pStyle w:val="Heading3"/>
        <w:rPr>
          <w:rFonts w:hint="eastAsia"/>
        </w:rPr>
      </w:pPr>
      <w:r>
        <w:t>3.7 Sub-Fund Rebalancing Mechanism</w:t>
      </w:r>
    </w:p>
    <w:p w14:paraId="3A59378B" w14:textId="77777777" w:rsidR="00CA7ABD" w:rsidRDefault="00000000">
      <w:pPr>
        <w:rPr>
          <w:rFonts w:hint="eastAsia"/>
        </w:rPr>
      </w:pPr>
      <w:r>
        <w:t>The RSC reallocates up to 10% of uncommitted funds between Sub-Funds on an annual basis. Rebalancing activates when: (1) a Sub-Fund has committed less than 50% of its allocation while another Sub-Fund faces urgent demand exceeding its capacity, (2) the TAG certifies that the underperforming Sub-Fund's project pipeline lacks viable proposals, (3) the receiving Sub-Fund demonstrates a surplus of approved projects awaiting funding.</w:t>
      </w:r>
    </w:p>
    <w:p w14:paraId="0BB4909D" w14:textId="77777777" w:rsidR="00CA7ABD" w:rsidRDefault="00000000">
      <w:pPr>
        <w:rPr>
          <w:rFonts w:hint="eastAsia"/>
        </w:rPr>
      </w:pPr>
      <w:r>
        <w:t>Rebalancing requires consensus of all RSC voting members and confirmation from the Qatar Central Bank that the receiving Sub-Fund has adequate disbursement capacity. Rebalanced funds carry the same milestone verification, independent audit, and reporting requirements as originally allocated capital. The RSC publishes an annual Rebalancing Report detailing all fund movements and justifications.</w:t>
      </w:r>
    </w:p>
    <w:p w14:paraId="291C8498" w14:textId="77777777" w:rsidR="00CA7ABD" w:rsidRDefault="00000000">
      <w:pPr>
        <w:pStyle w:val="Heading3"/>
        <w:rPr>
          <w:rFonts w:hint="eastAsia"/>
        </w:rPr>
      </w:pPr>
      <w:r>
        <w:t>3.8 Technology Transfer and Workforce Training Requirement</w:t>
      </w:r>
    </w:p>
    <w:p w14:paraId="46177F7A" w14:textId="77777777" w:rsidR="00CA7ABD" w:rsidRDefault="00000000">
      <w:pPr>
        <w:rPr>
          <w:rFonts w:hint="eastAsia"/>
        </w:rPr>
      </w:pPr>
      <w:r>
        <w:t>Every disbursement tranche includes a verifiable technology transfer or local workforce training component. Contractors submit a Technology Transfer Plan (TTP) as part of their project proposal. The TTP specifies: (1) training programs for Iranian engineers and technicians, (2) knowledge documentation in Persian language, (3) equipment maintenance capacity transfer, (4) operational handover protocols, and (5) intellectual property licensing terms for locally manufactured components.</w:t>
      </w:r>
    </w:p>
    <w:p w14:paraId="0E82575F" w14:textId="77777777" w:rsidR="00CA7ABD" w:rsidRDefault="00000000">
      <w:pPr>
        <w:rPr>
          <w:rFonts w:hint="eastAsia"/>
        </w:rPr>
      </w:pPr>
      <w:r>
        <w:t>The TAG evaluates the TTP alongside the technical project proposal. Milestone verification includes assessment of training completion rates, knowledge transfer documentation, and local operational readiness. The RSC reports technology transfer outcomes annually to donors. This requirement ensures reconstruction builds long-term Iranian technical capacity rather than delivering imported turnkey solutions.</w:t>
      </w:r>
    </w:p>
    <w:p w14:paraId="395E8824" w14:textId="77777777" w:rsidR="00CA7ABD" w:rsidRDefault="00000000">
      <w:pPr>
        <w:pStyle w:val="Heading2"/>
        <w:rPr>
          <w:rFonts w:hint="eastAsia"/>
        </w:rPr>
      </w:pPr>
      <w:r>
        <w:t>Article 4: Disbursement and Verification</w:t>
      </w:r>
    </w:p>
    <w:p w14:paraId="7A99A27E" w14:textId="77777777" w:rsidR="00CA7ABD" w:rsidRDefault="00000000">
      <w:pPr>
        <w:pStyle w:val="Heading3"/>
        <w:rPr>
          <w:rFonts w:hint="eastAsia"/>
        </w:rPr>
      </w:pPr>
      <w:r>
        <w:t>4.1 Performance-Based Disbursement</w:t>
      </w:r>
    </w:p>
    <w:p w14:paraId="72FBBEAC" w14:textId="77777777" w:rsidR="00CA7ABD" w:rsidRDefault="00000000">
      <w:pPr>
        <w:rPr>
          <w:rFonts w:hint="eastAsia"/>
        </w:rPr>
      </w:pPr>
      <w:r>
        <w:t>MRF funds disburse in tranches tied to Verification Milestones. The disbursement architecture mirrors the Escrow Protocol. MRF disbursements synchronize with the verification milestones established in Annex ES. The MRF 60-Day Initial Operating Period aligns with the Annex ES 60-Day Initial Operating Period. The RSC monitors the status of Annex ES milestones and adjusts MRF disbursement timelines as appropriate.</w:t>
      </w:r>
    </w:p>
    <w:tbl>
      <w:tblPr>
        <w:tblW w:w="5000" w:type="pct"/>
        <w:tblInd w:w="-8"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1955"/>
        <w:gridCol w:w="2214"/>
        <w:gridCol w:w="1570"/>
        <w:gridCol w:w="1580"/>
        <w:gridCol w:w="1907"/>
      </w:tblGrid>
      <w:tr w:rsidR="00CA7ABD" w14:paraId="6DF7A37E" w14:textId="77777777">
        <w:tc>
          <w:tcPr>
            <w:tcW w:w="0" w:type="auto"/>
            <w:shd w:val="clear" w:color="auto" w:fill="37474F"/>
          </w:tcPr>
          <w:p w14:paraId="3ECEB2E9" w14:textId="77777777" w:rsidR="00CA7ABD" w:rsidRDefault="00000000">
            <w:pPr>
              <w:rPr>
                <w:rFonts w:hint="eastAsia"/>
              </w:rPr>
            </w:pPr>
            <w:r>
              <w:rPr>
                <w:b/>
                <w:color w:val="FFFFFF"/>
                <w:sz w:val="19"/>
              </w:rPr>
              <w:t>Sub-Fund</w:t>
            </w:r>
          </w:p>
        </w:tc>
        <w:tc>
          <w:tcPr>
            <w:tcW w:w="0" w:type="auto"/>
            <w:shd w:val="clear" w:color="auto" w:fill="37474F"/>
          </w:tcPr>
          <w:p w14:paraId="1AB27A2D" w14:textId="77777777" w:rsidR="00CA7ABD" w:rsidRDefault="00000000">
            <w:pPr>
              <w:rPr>
                <w:rFonts w:hint="eastAsia"/>
              </w:rPr>
            </w:pPr>
            <w:r>
              <w:rPr>
                <w:b/>
                <w:color w:val="FFFFFF"/>
                <w:sz w:val="19"/>
              </w:rPr>
              <w:t>Tranche 1</w:t>
            </w:r>
          </w:p>
        </w:tc>
        <w:tc>
          <w:tcPr>
            <w:tcW w:w="0" w:type="auto"/>
            <w:shd w:val="clear" w:color="auto" w:fill="37474F"/>
          </w:tcPr>
          <w:p w14:paraId="4C05C88B" w14:textId="77777777" w:rsidR="00CA7ABD" w:rsidRDefault="00000000">
            <w:pPr>
              <w:rPr>
                <w:rFonts w:hint="eastAsia"/>
              </w:rPr>
            </w:pPr>
            <w:r>
              <w:rPr>
                <w:b/>
                <w:color w:val="FFFFFF"/>
                <w:sz w:val="19"/>
              </w:rPr>
              <w:t>Tranche 2</w:t>
            </w:r>
          </w:p>
        </w:tc>
        <w:tc>
          <w:tcPr>
            <w:tcW w:w="0" w:type="auto"/>
            <w:shd w:val="clear" w:color="auto" w:fill="37474F"/>
          </w:tcPr>
          <w:p w14:paraId="14EB5F2E" w14:textId="77777777" w:rsidR="00CA7ABD" w:rsidRDefault="00000000">
            <w:pPr>
              <w:rPr>
                <w:rFonts w:hint="eastAsia"/>
              </w:rPr>
            </w:pPr>
            <w:r>
              <w:rPr>
                <w:b/>
                <w:color w:val="FFFFFF"/>
                <w:sz w:val="19"/>
              </w:rPr>
              <w:t>Tranche 3</w:t>
            </w:r>
          </w:p>
        </w:tc>
        <w:tc>
          <w:tcPr>
            <w:tcW w:w="0" w:type="auto"/>
            <w:shd w:val="clear" w:color="auto" w:fill="37474F"/>
          </w:tcPr>
          <w:p w14:paraId="24AF23A8" w14:textId="77777777" w:rsidR="00CA7ABD" w:rsidRDefault="00000000">
            <w:pPr>
              <w:rPr>
                <w:rFonts w:hint="eastAsia"/>
              </w:rPr>
            </w:pPr>
            <w:r>
              <w:rPr>
                <w:b/>
                <w:color w:val="FFFFFF"/>
                <w:sz w:val="19"/>
              </w:rPr>
              <w:t>Tranche 4</w:t>
            </w:r>
          </w:p>
        </w:tc>
      </w:tr>
      <w:tr w:rsidR="00CA7ABD" w14:paraId="396DEF0B" w14:textId="77777777">
        <w:tc>
          <w:tcPr>
            <w:tcW w:w="0" w:type="auto"/>
          </w:tcPr>
          <w:p w14:paraId="50481335" w14:textId="77777777" w:rsidR="00CA7ABD" w:rsidRDefault="00000000">
            <w:pPr>
              <w:rPr>
                <w:rFonts w:hint="eastAsia"/>
              </w:rPr>
            </w:pPr>
            <w:r>
              <w:rPr>
                <w:sz w:val="19"/>
              </w:rPr>
              <w:t>MRF-Energy</w:t>
            </w:r>
          </w:p>
        </w:tc>
        <w:tc>
          <w:tcPr>
            <w:tcW w:w="0" w:type="auto"/>
          </w:tcPr>
          <w:p w14:paraId="7815AA99" w14:textId="77777777" w:rsidR="00CA7ABD" w:rsidRDefault="00000000">
            <w:pPr>
              <w:rPr>
                <w:rFonts w:hint="eastAsia"/>
              </w:rPr>
            </w:pPr>
            <w:r>
              <w:rPr>
                <w:sz w:val="19"/>
              </w:rPr>
              <w:t>10% (Procurement)</w:t>
            </w:r>
          </w:p>
        </w:tc>
        <w:tc>
          <w:tcPr>
            <w:tcW w:w="0" w:type="auto"/>
          </w:tcPr>
          <w:p w14:paraId="723EA152" w14:textId="77777777" w:rsidR="00CA7ABD" w:rsidRDefault="00000000">
            <w:pPr>
              <w:rPr>
                <w:rFonts w:hint="eastAsia"/>
              </w:rPr>
            </w:pPr>
            <w:r>
              <w:rPr>
                <w:sz w:val="19"/>
              </w:rPr>
              <w:t>25% (C-25%)</w:t>
            </w:r>
          </w:p>
        </w:tc>
        <w:tc>
          <w:tcPr>
            <w:tcW w:w="0" w:type="auto"/>
          </w:tcPr>
          <w:p w14:paraId="67BFBCCD" w14:textId="77777777" w:rsidR="00CA7ABD" w:rsidRDefault="00000000">
            <w:pPr>
              <w:rPr>
                <w:rFonts w:hint="eastAsia"/>
              </w:rPr>
            </w:pPr>
            <w:r>
              <w:rPr>
                <w:sz w:val="19"/>
              </w:rPr>
              <w:t>25% (C-50%)</w:t>
            </w:r>
          </w:p>
        </w:tc>
        <w:tc>
          <w:tcPr>
            <w:tcW w:w="0" w:type="auto"/>
          </w:tcPr>
          <w:p w14:paraId="41BAE19C" w14:textId="77777777" w:rsidR="00CA7ABD" w:rsidRDefault="00000000">
            <w:pPr>
              <w:rPr>
                <w:rFonts w:hint="eastAsia"/>
              </w:rPr>
            </w:pPr>
            <w:r>
              <w:rPr>
                <w:sz w:val="19"/>
              </w:rPr>
              <w:t>40% (Handover)</w:t>
            </w:r>
          </w:p>
        </w:tc>
      </w:tr>
      <w:tr w:rsidR="00CA7ABD" w14:paraId="4790D296" w14:textId="77777777">
        <w:tc>
          <w:tcPr>
            <w:tcW w:w="0" w:type="auto"/>
            <w:shd w:val="clear" w:color="auto" w:fill="ECEFF1"/>
          </w:tcPr>
          <w:p w14:paraId="49785CE0" w14:textId="77777777" w:rsidR="00CA7ABD" w:rsidRDefault="00000000">
            <w:pPr>
              <w:rPr>
                <w:rFonts w:hint="eastAsia"/>
              </w:rPr>
            </w:pPr>
            <w:r>
              <w:rPr>
                <w:sz w:val="19"/>
              </w:rPr>
              <w:t>MRF-Water</w:t>
            </w:r>
          </w:p>
        </w:tc>
        <w:tc>
          <w:tcPr>
            <w:tcW w:w="0" w:type="auto"/>
            <w:shd w:val="clear" w:color="auto" w:fill="ECEFF1"/>
          </w:tcPr>
          <w:p w14:paraId="298FDC16" w14:textId="77777777" w:rsidR="00CA7ABD" w:rsidRDefault="00000000">
            <w:pPr>
              <w:rPr>
                <w:rFonts w:hint="eastAsia"/>
              </w:rPr>
            </w:pPr>
            <w:r>
              <w:rPr>
                <w:sz w:val="19"/>
              </w:rPr>
              <w:t>15% (Design/Proc)</w:t>
            </w:r>
          </w:p>
        </w:tc>
        <w:tc>
          <w:tcPr>
            <w:tcW w:w="0" w:type="auto"/>
            <w:shd w:val="clear" w:color="auto" w:fill="ECEFF1"/>
          </w:tcPr>
          <w:p w14:paraId="0EFB0240" w14:textId="77777777" w:rsidR="00CA7ABD" w:rsidRDefault="00000000">
            <w:pPr>
              <w:rPr>
                <w:rFonts w:hint="eastAsia"/>
              </w:rPr>
            </w:pPr>
            <w:r>
              <w:rPr>
                <w:sz w:val="19"/>
              </w:rPr>
              <w:t>25% (C-25%)</w:t>
            </w:r>
          </w:p>
        </w:tc>
        <w:tc>
          <w:tcPr>
            <w:tcW w:w="0" w:type="auto"/>
            <w:shd w:val="clear" w:color="auto" w:fill="ECEFF1"/>
          </w:tcPr>
          <w:p w14:paraId="4E9204F3" w14:textId="77777777" w:rsidR="00CA7ABD" w:rsidRDefault="00000000">
            <w:pPr>
              <w:rPr>
                <w:rFonts w:hint="eastAsia"/>
              </w:rPr>
            </w:pPr>
            <w:r>
              <w:rPr>
                <w:sz w:val="19"/>
              </w:rPr>
              <w:t>25% (C-50%)</w:t>
            </w:r>
          </w:p>
        </w:tc>
        <w:tc>
          <w:tcPr>
            <w:tcW w:w="0" w:type="auto"/>
            <w:shd w:val="clear" w:color="auto" w:fill="ECEFF1"/>
          </w:tcPr>
          <w:p w14:paraId="52D4C4DA" w14:textId="77777777" w:rsidR="00CA7ABD" w:rsidRDefault="00000000">
            <w:pPr>
              <w:rPr>
                <w:rFonts w:hint="eastAsia"/>
              </w:rPr>
            </w:pPr>
            <w:r>
              <w:rPr>
                <w:sz w:val="19"/>
              </w:rPr>
              <w:t>35% (Handover)</w:t>
            </w:r>
          </w:p>
        </w:tc>
      </w:tr>
      <w:tr w:rsidR="00CA7ABD" w14:paraId="6DE3C8AF" w14:textId="77777777">
        <w:tc>
          <w:tcPr>
            <w:tcW w:w="0" w:type="auto"/>
          </w:tcPr>
          <w:p w14:paraId="19EB93D8" w14:textId="77777777" w:rsidR="00CA7ABD" w:rsidRDefault="00000000">
            <w:pPr>
              <w:rPr>
                <w:rFonts w:hint="eastAsia"/>
              </w:rPr>
            </w:pPr>
            <w:r>
              <w:rPr>
                <w:sz w:val="19"/>
              </w:rPr>
              <w:t>MRF-Transport</w:t>
            </w:r>
          </w:p>
        </w:tc>
        <w:tc>
          <w:tcPr>
            <w:tcW w:w="0" w:type="auto"/>
          </w:tcPr>
          <w:p w14:paraId="7D9386A7" w14:textId="77777777" w:rsidR="00CA7ABD" w:rsidRDefault="00000000">
            <w:pPr>
              <w:rPr>
                <w:rFonts w:hint="eastAsia"/>
              </w:rPr>
            </w:pPr>
            <w:r>
              <w:rPr>
                <w:sz w:val="19"/>
              </w:rPr>
              <w:t>10% (Procurement)</w:t>
            </w:r>
          </w:p>
        </w:tc>
        <w:tc>
          <w:tcPr>
            <w:tcW w:w="0" w:type="auto"/>
          </w:tcPr>
          <w:p w14:paraId="1FA1B5EC" w14:textId="77777777" w:rsidR="00CA7ABD" w:rsidRDefault="00000000">
            <w:pPr>
              <w:rPr>
                <w:rFonts w:hint="eastAsia"/>
              </w:rPr>
            </w:pPr>
            <w:r>
              <w:rPr>
                <w:sz w:val="19"/>
              </w:rPr>
              <w:t>20% (C-25%)</w:t>
            </w:r>
          </w:p>
        </w:tc>
        <w:tc>
          <w:tcPr>
            <w:tcW w:w="0" w:type="auto"/>
          </w:tcPr>
          <w:p w14:paraId="19CCDEF3" w14:textId="77777777" w:rsidR="00CA7ABD" w:rsidRDefault="00000000">
            <w:pPr>
              <w:rPr>
                <w:rFonts w:hint="eastAsia"/>
              </w:rPr>
            </w:pPr>
            <w:r>
              <w:rPr>
                <w:sz w:val="19"/>
              </w:rPr>
              <w:t>30% (C-50%)</w:t>
            </w:r>
          </w:p>
        </w:tc>
        <w:tc>
          <w:tcPr>
            <w:tcW w:w="0" w:type="auto"/>
          </w:tcPr>
          <w:p w14:paraId="6391DD4D" w14:textId="77777777" w:rsidR="00CA7ABD" w:rsidRDefault="00000000">
            <w:pPr>
              <w:rPr>
                <w:rFonts w:hint="eastAsia"/>
              </w:rPr>
            </w:pPr>
            <w:r>
              <w:rPr>
                <w:sz w:val="19"/>
              </w:rPr>
              <w:t>40% (Handover)</w:t>
            </w:r>
          </w:p>
        </w:tc>
      </w:tr>
      <w:tr w:rsidR="00CA7ABD" w14:paraId="2F7DA4B0" w14:textId="77777777">
        <w:tc>
          <w:tcPr>
            <w:tcW w:w="0" w:type="auto"/>
            <w:shd w:val="clear" w:color="auto" w:fill="ECEFF1"/>
          </w:tcPr>
          <w:p w14:paraId="5696C920" w14:textId="77777777" w:rsidR="00CA7ABD" w:rsidRDefault="00000000">
            <w:pPr>
              <w:rPr>
                <w:rFonts w:hint="eastAsia"/>
              </w:rPr>
            </w:pPr>
            <w:r>
              <w:rPr>
                <w:sz w:val="19"/>
              </w:rPr>
              <w:t>MRF-Health</w:t>
            </w:r>
          </w:p>
        </w:tc>
        <w:tc>
          <w:tcPr>
            <w:tcW w:w="0" w:type="auto"/>
            <w:shd w:val="clear" w:color="auto" w:fill="ECEFF1"/>
          </w:tcPr>
          <w:p w14:paraId="71AEABA9" w14:textId="77777777" w:rsidR="00CA7ABD" w:rsidRDefault="00000000">
            <w:pPr>
              <w:rPr>
                <w:rFonts w:hint="eastAsia"/>
              </w:rPr>
            </w:pPr>
            <w:r>
              <w:rPr>
                <w:sz w:val="19"/>
              </w:rPr>
              <w:t>20% (Procurement)</w:t>
            </w:r>
          </w:p>
        </w:tc>
        <w:tc>
          <w:tcPr>
            <w:tcW w:w="0" w:type="auto"/>
            <w:shd w:val="clear" w:color="auto" w:fill="ECEFF1"/>
          </w:tcPr>
          <w:p w14:paraId="54FC66D5" w14:textId="77777777" w:rsidR="00CA7ABD" w:rsidRDefault="00000000">
            <w:pPr>
              <w:rPr>
                <w:rFonts w:hint="eastAsia"/>
              </w:rPr>
            </w:pPr>
            <w:r>
              <w:rPr>
                <w:sz w:val="19"/>
              </w:rPr>
              <w:t>30% (C-25%)</w:t>
            </w:r>
          </w:p>
        </w:tc>
        <w:tc>
          <w:tcPr>
            <w:tcW w:w="0" w:type="auto"/>
            <w:shd w:val="clear" w:color="auto" w:fill="ECEFF1"/>
          </w:tcPr>
          <w:p w14:paraId="7201DDB5" w14:textId="77777777" w:rsidR="00CA7ABD" w:rsidRDefault="00000000">
            <w:pPr>
              <w:rPr>
                <w:rFonts w:hint="eastAsia"/>
              </w:rPr>
            </w:pPr>
            <w:r>
              <w:rPr>
                <w:sz w:val="19"/>
              </w:rPr>
              <w:t>25% (C-50%)</w:t>
            </w:r>
          </w:p>
        </w:tc>
        <w:tc>
          <w:tcPr>
            <w:tcW w:w="0" w:type="auto"/>
            <w:shd w:val="clear" w:color="auto" w:fill="ECEFF1"/>
          </w:tcPr>
          <w:p w14:paraId="4CA34AE9" w14:textId="77777777" w:rsidR="00CA7ABD" w:rsidRDefault="00000000">
            <w:pPr>
              <w:rPr>
                <w:rFonts w:hint="eastAsia"/>
              </w:rPr>
            </w:pPr>
            <w:r>
              <w:rPr>
                <w:sz w:val="19"/>
              </w:rPr>
              <w:t>25% (Handover)</w:t>
            </w:r>
          </w:p>
        </w:tc>
      </w:tr>
      <w:tr w:rsidR="00CA7ABD" w14:paraId="69480315" w14:textId="77777777">
        <w:tc>
          <w:tcPr>
            <w:tcW w:w="0" w:type="auto"/>
          </w:tcPr>
          <w:p w14:paraId="0223B7D4" w14:textId="77777777" w:rsidR="00CA7ABD" w:rsidRDefault="00000000">
            <w:pPr>
              <w:rPr>
                <w:rFonts w:hint="eastAsia"/>
              </w:rPr>
            </w:pPr>
            <w:r>
              <w:rPr>
                <w:sz w:val="19"/>
              </w:rPr>
              <w:t>MRF-Education</w:t>
            </w:r>
          </w:p>
        </w:tc>
        <w:tc>
          <w:tcPr>
            <w:tcW w:w="0" w:type="auto"/>
          </w:tcPr>
          <w:p w14:paraId="2F4FE2DC" w14:textId="77777777" w:rsidR="00CA7ABD" w:rsidRDefault="00000000">
            <w:pPr>
              <w:rPr>
                <w:rFonts w:hint="eastAsia"/>
              </w:rPr>
            </w:pPr>
            <w:r>
              <w:rPr>
                <w:sz w:val="19"/>
              </w:rPr>
              <w:t>20% (Procurement)</w:t>
            </w:r>
          </w:p>
        </w:tc>
        <w:tc>
          <w:tcPr>
            <w:tcW w:w="0" w:type="auto"/>
          </w:tcPr>
          <w:p w14:paraId="26BED729" w14:textId="77777777" w:rsidR="00CA7ABD" w:rsidRDefault="00000000">
            <w:pPr>
              <w:rPr>
                <w:rFonts w:hint="eastAsia"/>
              </w:rPr>
            </w:pPr>
            <w:r>
              <w:rPr>
                <w:sz w:val="19"/>
              </w:rPr>
              <w:t>30% (C-25%)</w:t>
            </w:r>
          </w:p>
        </w:tc>
        <w:tc>
          <w:tcPr>
            <w:tcW w:w="0" w:type="auto"/>
          </w:tcPr>
          <w:p w14:paraId="02510415" w14:textId="77777777" w:rsidR="00CA7ABD" w:rsidRDefault="00000000">
            <w:pPr>
              <w:rPr>
                <w:rFonts w:hint="eastAsia"/>
              </w:rPr>
            </w:pPr>
            <w:r>
              <w:rPr>
                <w:sz w:val="19"/>
              </w:rPr>
              <w:t>25% (C-50%)</w:t>
            </w:r>
          </w:p>
        </w:tc>
        <w:tc>
          <w:tcPr>
            <w:tcW w:w="0" w:type="auto"/>
          </w:tcPr>
          <w:p w14:paraId="79165857" w14:textId="77777777" w:rsidR="00CA7ABD" w:rsidRDefault="00000000">
            <w:pPr>
              <w:rPr>
                <w:rFonts w:hint="eastAsia"/>
              </w:rPr>
            </w:pPr>
            <w:r>
              <w:rPr>
                <w:sz w:val="19"/>
              </w:rPr>
              <w:t>25% (Handover)</w:t>
            </w:r>
          </w:p>
        </w:tc>
      </w:tr>
      <w:tr w:rsidR="00CA7ABD" w14:paraId="2147A759" w14:textId="77777777">
        <w:tc>
          <w:tcPr>
            <w:tcW w:w="0" w:type="auto"/>
            <w:shd w:val="clear" w:color="auto" w:fill="ECEFF1"/>
          </w:tcPr>
          <w:p w14:paraId="0AAB28C1" w14:textId="77777777" w:rsidR="00CA7ABD" w:rsidRDefault="00000000">
            <w:pPr>
              <w:rPr>
                <w:rFonts w:hint="eastAsia"/>
              </w:rPr>
            </w:pPr>
            <w:r>
              <w:rPr>
                <w:sz w:val="19"/>
              </w:rPr>
              <w:t>MRF-Housing</w:t>
            </w:r>
          </w:p>
        </w:tc>
        <w:tc>
          <w:tcPr>
            <w:tcW w:w="0" w:type="auto"/>
            <w:shd w:val="clear" w:color="auto" w:fill="ECEFF1"/>
          </w:tcPr>
          <w:p w14:paraId="63472BB5" w14:textId="77777777" w:rsidR="00CA7ABD" w:rsidRDefault="00000000">
            <w:pPr>
              <w:rPr>
                <w:rFonts w:hint="eastAsia"/>
              </w:rPr>
            </w:pPr>
            <w:r>
              <w:rPr>
                <w:sz w:val="19"/>
              </w:rPr>
              <w:t>10% (Procurement)</w:t>
            </w:r>
          </w:p>
        </w:tc>
        <w:tc>
          <w:tcPr>
            <w:tcW w:w="0" w:type="auto"/>
            <w:shd w:val="clear" w:color="auto" w:fill="ECEFF1"/>
          </w:tcPr>
          <w:p w14:paraId="3C64B66A" w14:textId="77777777" w:rsidR="00CA7ABD" w:rsidRDefault="00000000">
            <w:pPr>
              <w:rPr>
                <w:rFonts w:hint="eastAsia"/>
              </w:rPr>
            </w:pPr>
            <w:r>
              <w:rPr>
                <w:sz w:val="19"/>
              </w:rPr>
              <w:t>25% (C-25%)</w:t>
            </w:r>
          </w:p>
        </w:tc>
        <w:tc>
          <w:tcPr>
            <w:tcW w:w="0" w:type="auto"/>
            <w:shd w:val="clear" w:color="auto" w:fill="ECEFF1"/>
          </w:tcPr>
          <w:p w14:paraId="7EB6DD6A" w14:textId="77777777" w:rsidR="00CA7ABD" w:rsidRDefault="00000000">
            <w:pPr>
              <w:rPr>
                <w:rFonts w:hint="eastAsia"/>
              </w:rPr>
            </w:pPr>
            <w:r>
              <w:rPr>
                <w:sz w:val="19"/>
              </w:rPr>
              <w:t>25% (C-50%)</w:t>
            </w:r>
          </w:p>
        </w:tc>
        <w:tc>
          <w:tcPr>
            <w:tcW w:w="0" w:type="auto"/>
            <w:shd w:val="clear" w:color="auto" w:fill="ECEFF1"/>
          </w:tcPr>
          <w:p w14:paraId="485934B4" w14:textId="77777777" w:rsidR="00CA7ABD" w:rsidRDefault="00000000">
            <w:pPr>
              <w:rPr>
                <w:rFonts w:hint="eastAsia"/>
              </w:rPr>
            </w:pPr>
            <w:r>
              <w:rPr>
                <w:sz w:val="19"/>
              </w:rPr>
              <w:t>40% (Handover)</w:t>
            </w:r>
          </w:p>
        </w:tc>
      </w:tr>
      <w:tr w:rsidR="00CA7ABD" w14:paraId="792BBC42" w14:textId="77777777">
        <w:tc>
          <w:tcPr>
            <w:tcW w:w="0" w:type="auto"/>
          </w:tcPr>
          <w:p w14:paraId="54EBBF86" w14:textId="77777777" w:rsidR="00CA7ABD" w:rsidRDefault="00000000">
            <w:pPr>
              <w:rPr>
                <w:rFonts w:hint="eastAsia"/>
              </w:rPr>
            </w:pPr>
            <w:r>
              <w:rPr>
                <w:sz w:val="19"/>
              </w:rPr>
              <w:t>MRF-Agriculture</w:t>
            </w:r>
          </w:p>
        </w:tc>
        <w:tc>
          <w:tcPr>
            <w:tcW w:w="0" w:type="auto"/>
          </w:tcPr>
          <w:p w14:paraId="731F4860" w14:textId="77777777" w:rsidR="00CA7ABD" w:rsidRDefault="00000000">
            <w:pPr>
              <w:rPr>
                <w:rFonts w:hint="eastAsia"/>
              </w:rPr>
            </w:pPr>
            <w:r>
              <w:rPr>
                <w:sz w:val="19"/>
              </w:rPr>
              <w:t>15% (Procurement)</w:t>
            </w:r>
          </w:p>
        </w:tc>
        <w:tc>
          <w:tcPr>
            <w:tcW w:w="0" w:type="auto"/>
          </w:tcPr>
          <w:p w14:paraId="12287CC5" w14:textId="77777777" w:rsidR="00CA7ABD" w:rsidRDefault="00000000">
            <w:pPr>
              <w:rPr>
                <w:rFonts w:hint="eastAsia"/>
              </w:rPr>
            </w:pPr>
            <w:r>
              <w:rPr>
                <w:sz w:val="19"/>
              </w:rPr>
              <w:t>25% (C-25%)</w:t>
            </w:r>
          </w:p>
        </w:tc>
        <w:tc>
          <w:tcPr>
            <w:tcW w:w="0" w:type="auto"/>
          </w:tcPr>
          <w:p w14:paraId="364748A4" w14:textId="77777777" w:rsidR="00CA7ABD" w:rsidRDefault="00000000">
            <w:pPr>
              <w:rPr>
                <w:rFonts w:hint="eastAsia"/>
              </w:rPr>
            </w:pPr>
            <w:r>
              <w:rPr>
                <w:sz w:val="19"/>
              </w:rPr>
              <w:t>25% (C-50%)</w:t>
            </w:r>
          </w:p>
        </w:tc>
        <w:tc>
          <w:tcPr>
            <w:tcW w:w="0" w:type="auto"/>
          </w:tcPr>
          <w:p w14:paraId="67BA8275" w14:textId="77777777" w:rsidR="00CA7ABD" w:rsidRDefault="00000000">
            <w:pPr>
              <w:rPr>
                <w:rFonts w:hint="eastAsia"/>
              </w:rPr>
            </w:pPr>
            <w:r>
              <w:rPr>
                <w:sz w:val="19"/>
              </w:rPr>
              <w:t>35% (Handover)</w:t>
            </w:r>
          </w:p>
        </w:tc>
      </w:tr>
    </w:tbl>
    <w:p w14:paraId="1DE2368D" w14:textId="77777777" w:rsidR="00CA7ABD" w:rsidRDefault="00000000">
      <w:pPr>
        <w:rPr>
          <w:rFonts w:hint="eastAsia"/>
        </w:rPr>
      </w:pPr>
      <w:r>
        <w:t>C-25% = Construction 25% complete; C-50% = Construction 50% complete</w:t>
      </w:r>
    </w:p>
    <w:p w14:paraId="0A537B65" w14:textId="77777777" w:rsidR="00CA7ABD" w:rsidRDefault="00000000">
      <w:pPr>
        <w:pStyle w:val="Heading3"/>
        <w:rPr>
          <w:rFonts w:hint="eastAsia"/>
        </w:rPr>
      </w:pPr>
      <w:r>
        <w:t>4.2 Verification Process</w:t>
      </w:r>
    </w:p>
    <w:p w14:paraId="3FB17FB3" w14:textId="77777777" w:rsidR="00CA7ABD" w:rsidRDefault="00000000">
      <w:pPr>
        <w:pStyle w:val="Heading3"/>
        <w:rPr>
          <w:rFonts w:hint="eastAsia"/>
        </w:rPr>
      </w:pPr>
      <w:r>
        <w:t>4.2.1 Iranian Self-Certification</w:t>
      </w:r>
    </w:p>
    <w:p w14:paraId="177CBDBD" w14:textId="77777777" w:rsidR="00CA7ABD" w:rsidRDefault="00000000">
      <w:pPr>
        <w:rPr>
          <w:rFonts w:hint="eastAsia"/>
        </w:rPr>
      </w:pPr>
      <w:r>
        <w:t>Iran submits a verification report documenting milestone completion, including photographs, financial records, and technical assessments.</w:t>
      </w:r>
    </w:p>
    <w:p w14:paraId="2787A89E" w14:textId="77777777" w:rsidR="00CA7ABD" w:rsidRDefault="00000000">
      <w:pPr>
        <w:pStyle w:val="Heading3"/>
        <w:rPr>
          <w:rFonts w:hint="eastAsia"/>
        </w:rPr>
      </w:pPr>
      <w:r>
        <w:t>4.2.2 Independent Audit</w:t>
      </w:r>
    </w:p>
    <w:p w14:paraId="1A5C8EA4" w14:textId="77777777" w:rsidR="00CA7ABD" w:rsidRDefault="00000000">
      <w:pPr>
        <w:rPr>
          <w:rFonts w:hint="eastAsia"/>
        </w:rPr>
      </w:pPr>
      <w:r>
        <w:t>The World Bank dispatches an independent technical team to verify milestone completion within 30 days of Iranian self-certification.</w:t>
      </w:r>
    </w:p>
    <w:p w14:paraId="6BD8E9DD" w14:textId="77777777" w:rsidR="00CA7ABD" w:rsidRDefault="00000000">
      <w:pPr>
        <w:pStyle w:val="Heading3"/>
        <w:rPr>
          <w:rFonts w:hint="eastAsia"/>
        </w:rPr>
      </w:pPr>
      <w:r>
        <w:t>4.2.3 TAG Assessment</w:t>
      </w:r>
    </w:p>
    <w:p w14:paraId="7B90BDA4" w14:textId="77777777" w:rsidR="00CA7ABD" w:rsidRDefault="00000000">
      <w:pPr>
        <w:rPr>
          <w:rFonts w:hint="eastAsia"/>
        </w:rPr>
      </w:pPr>
      <w:r>
        <w:t>The Technical Advisory Group reviews the audit and provides a recommendation to the RSC.</w:t>
      </w:r>
    </w:p>
    <w:p w14:paraId="7AC82E3E" w14:textId="77777777" w:rsidR="00CA7ABD" w:rsidRDefault="00000000">
      <w:pPr>
        <w:pStyle w:val="Heading3"/>
        <w:rPr>
          <w:rFonts w:hint="eastAsia"/>
        </w:rPr>
      </w:pPr>
      <w:r>
        <w:t>4.2.4 RSC Approval</w:t>
      </w:r>
    </w:p>
    <w:p w14:paraId="6CA2EF7D" w14:textId="77777777" w:rsidR="00CA7ABD" w:rsidRDefault="00000000">
      <w:pPr>
        <w:rPr>
          <w:rFonts w:hint="eastAsia"/>
        </w:rPr>
      </w:pPr>
      <w:r>
        <w:t>Upon favorable TAG recommendation, the RSC authorizes the next disbursement. If the audit identifies deficiencies, Iran has 60 days to remediate.</w:t>
      </w:r>
    </w:p>
    <w:p w14:paraId="41CA8F10" w14:textId="77777777" w:rsidR="00CA7ABD" w:rsidRDefault="00000000">
      <w:pPr>
        <w:pStyle w:val="Heading3"/>
        <w:rPr>
          <w:rFonts w:hint="eastAsia"/>
        </w:rPr>
      </w:pPr>
      <w:r>
        <w:t>4.3 No Clawback</w:t>
      </w:r>
    </w:p>
    <w:p w14:paraId="12DF2E02" w14:textId="77777777" w:rsidR="00CA7ABD" w:rsidRDefault="00000000">
      <w:pPr>
        <w:rPr>
          <w:rFonts w:hint="eastAsia"/>
        </w:rPr>
      </w:pPr>
      <w:r>
        <w:t>Consistent with the Escrow Protocol, MRF funds already disbursed are not subject to clawback, re-freezing, or recission under any circumstances. This includes:</w:t>
      </w:r>
    </w:p>
    <w:p w14:paraId="16F4CA5C" w14:textId="77777777" w:rsidR="00CA7ABD" w:rsidRDefault="00000000">
      <w:pPr>
        <w:ind w:left="360"/>
        <w:rPr>
          <w:rFonts w:hint="eastAsia"/>
        </w:rPr>
      </w:pPr>
      <w:r>
        <w:rPr>
          <w:color w:val="37474F"/>
        </w:rPr>
        <w:t>•</w:t>
      </w:r>
      <w:r>
        <w:t>Project discontinuation</w:t>
      </w:r>
    </w:p>
    <w:p w14:paraId="4803F7C6" w14:textId="77777777" w:rsidR="00CA7ABD" w:rsidRDefault="00000000">
      <w:pPr>
        <w:ind w:left="360"/>
        <w:rPr>
          <w:rFonts w:hint="eastAsia"/>
        </w:rPr>
      </w:pPr>
      <w:r>
        <w:rPr>
          <w:color w:val="37474F"/>
        </w:rPr>
        <w:t>•</w:t>
      </w:r>
      <w:r>
        <w:t>Cost overruns</w:t>
      </w:r>
    </w:p>
    <w:p w14:paraId="5B45444A" w14:textId="77777777" w:rsidR="00CA7ABD" w:rsidRDefault="00000000">
      <w:pPr>
        <w:ind w:left="360"/>
        <w:rPr>
          <w:rFonts w:hint="eastAsia"/>
        </w:rPr>
      </w:pPr>
      <w:r>
        <w:rPr>
          <w:color w:val="37474F"/>
        </w:rPr>
        <w:t>•</w:t>
      </w:r>
      <w:r>
        <w:t>Political disputes</w:t>
      </w:r>
    </w:p>
    <w:p w14:paraId="0B59B12A" w14:textId="77777777" w:rsidR="00CA7ABD" w:rsidRDefault="00000000">
      <w:pPr>
        <w:ind w:left="360"/>
        <w:rPr>
          <w:rFonts w:hint="eastAsia"/>
        </w:rPr>
      </w:pPr>
      <w:r>
        <w:rPr>
          <w:color w:val="37474F"/>
        </w:rPr>
        <w:t>•</w:t>
      </w:r>
      <w:r>
        <w:t>Termination of the MOU</w:t>
      </w:r>
    </w:p>
    <w:p w14:paraId="0AEE496A" w14:textId="77777777" w:rsidR="00CA7ABD" w:rsidRDefault="00000000">
      <w:pPr>
        <w:pStyle w:val="Heading2"/>
        <w:rPr>
          <w:rFonts w:hint="eastAsia"/>
        </w:rPr>
      </w:pPr>
      <w:r>
        <w:t>Article 5: Governance and Transparency</w:t>
      </w:r>
    </w:p>
    <w:p w14:paraId="728320FA" w14:textId="77777777" w:rsidR="00CA7ABD" w:rsidRDefault="00000000">
      <w:pPr>
        <w:pStyle w:val="Heading3"/>
        <w:rPr>
          <w:rFonts w:hint="eastAsia"/>
        </w:rPr>
      </w:pPr>
      <w:r>
        <w:t>5.1 Reconstruction Steering Committee (RSC)</w:t>
      </w:r>
    </w:p>
    <w:p w14:paraId="2B94FCE0" w14:textId="77777777" w:rsidR="00CA7ABD" w:rsidRDefault="00000000">
      <w:pPr>
        <w:rPr>
          <w:rFonts w:hint="eastAsia"/>
        </w:rPr>
      </w:pPr>
      <w:r>
        <w:t>The RSC meets quarterly in Doha, Qatar. Its functions include:</w:t>
      </w:r>
    </w:p>
    <w:p w14:paraId="0DB5E024" w14:textId="77777777" w:rsidR="00CA7ABD" w:rsidRDefault="00000000">
      <w:pPr>
        <w:ind w:left="360"/>
        <w:rPr>
          <w:rFonts w:hint="eastAsia"/>
        </w:rPr>
      </w:pPr>
      <w:r>
        <w:rPr>
          <w:color w:val="37474F"/>
        </w:rPr>
        <w:t>•</w:t>
      </w:r>
      <w:r>
        <w:t>Approving Project Proposals</w:t>
      </w:r>
    </w:p>
    <w:p w14:paraId="1564727D" w14:textId="77777777" w:rsidR="00CA7ABD" w:rsidRDefault="00000000">
      <w:pPr>
        <w:ind w:left="360"/>
        <w:rPr>
          <w:rFonts w:hint="eastAsia"/>
        </w:rPr>
      </w:pPr>
      <w:r>
        <w:rPr>
          <w:color w:val="37474F"/>
        </w:rPr>
        <w:t>•</w:t>
      </w:r>
      <w:r>
        <w:t>Monitoring Sub-Fund balances and disbursement progress</w:t>
      </w:r>
    </w:p>
    <w:p w14:paraId="4988DBBC" w14:textId="77777777" w:rsidR="00CA7ABD" w:rsidRDefault="00000000">
      <w:pPr>
        <w:ind w:left="360"/>
        <w:rPr>
          <w:rFonts w:hint="eastAsia"/>
        </w:rPr>
      </w:pPr>
      <w:r>
        <w:rPr>
          <w:color w:val="37474F"/>
        </w:rPr>
        <w:t>•</w:t>
      </w:r>
      <w:r>
        <w:t>Authorizing disbursements</w:t>
      </w:r>
    </w:p>
    <w:p w14:paraId="22628939" w14:textId="77777777" w:rsidR="00CA7ABD" w:rsidRDefault="00000000">
      <w:pPr>
        <w:ind w:left="360"/>
        <w:rPr>
          <w:rFonts w:hint="eastAsia"/>
        </w:rPr>
      </w:pPr>
      <w:r>
        <w:rPr>
          <w:color w:val="37474F"/>
        </w:rPr>
        <w:t>•</w:t>
      </w:r>
      <w:r>
        <w:t>Resolving disputes</w:t>
      </w:r>
    </w:p>
    <w:p w14:paraId="393725F3" w14:textId="77777777" w:rsidR="00CA7ABD" w:rsidRDefault="00000000">
      <w:pPr>
        <w:ind w:left="360"/>
        <w:rPr>
          <w:rFonts w:hint="eastAsia"/>
        </w:rPr>
      </w:pPr>
      <w:r>
        <w:rPr>
          <w:color w:val="37474F"/>
        </w:rPr>
        <w:t>•</w:t>
      </w:r>
      <w:r>
        <w:t>Publishing annual reports</w:t>
      </w:r>
    </w:p>
    <w:p w14:paraId="13B7B7BE" w14:textId="77777777" w:rsidR="00CA7ABD" w:rsidRDefault="00000000">
      <w:pPr>
        <w:pStyle w:val="Heading3"/>
        <w:rPr>
          <w:rFonts w:hint="eastAsia"/>
        </w:rPr>
      </w:pPr>
      <w:r>
        <w:t>5.2 Technical Advisory Group (TAG)</w:t>
      </w:r>
    </w:p>
    <w:p w14:paraId="0A10AD0C" w14:textId="77777777" w:rsidR="00CA7ABD" w:rsidRDefault="00000000">
      <w:pPr>
        <w:rPr>
          <w:rFonts w:hint="eastAsia"/>
        </w:rPr>
      </w:pPr>
      <w:r>
        <w:t>The TAG comprises independent technical experts appointed by the World Bank. Its functions include:</w:t>
      </w:r>
    </w:p>
    <w:p w14:paraId="3CCB619A" w14:textId="77777777" w:rsidR="00CA7ABD" w:rsidRDefault="00000000">
      <w:pPr>
        <w:ind w:left="360"/>
        <w:rPr>
          <w:rFonts w:hint="eastAsia"/>
        </w:rPr>
      </w:pPr>
      <w:r>
        <w:rPr>
          <w:color w:val="37474F"/>
        </w:rPr>
        <w:t>•</w:t>
      </w:r>
      <w:r>
        <w:t>Reviewing Project Proposals</w:t>
      </w:r>
    </w:p>
    <w:p w14:paraId="616C2C48" w14:textId="77777777" w:rsidR="00CA7ABD" w:rsidRDefault="00000000">
      <w:pPr>
        <w:ind w:left="360"/>
        <w:rPr>
          <w:rFonts w:hint="eastAsia"/>
        </w:rPr>
      </w:pPr>
      <w:r>
        <w:rPr>
          <w:color w:val="37474F"/>
        </w:rPr>
        <w:t>•</w:t>
      </w:r>
      <w:r>
        <w:t>Conducting independent verification of milestone completion</w:t>
      </w:r>
    </w:p>
    <w:p w14:paraId="0DEBB01C" w14:textId="77777777" w:rsidR="00CA7ABD" w:rsidRDefault="00000000">
      <w:pPr>
        <w:ind w:left="360"/>
        <w:rPr>
          <w:rFonts w:hint="eastAsia"/>
        </w:rPr>
      </w:pPr>
      <w:r>
        <w:rPr>
          <w:color w:val="37474F"/>
        </w:rPr>
        <w:t>•</w:t>
      </w:r>
      <w:r>
        <w:t>Providing technical guidance to the RSC</w:t>
      </w:r>
    </w:p>
    <w:p w14:paraId="25CFCF81" w14:textId="77777777" w:rsidR="00CA7ABD" w:rsidRDefault="00000000">
      <w:pPr>
        <w:ind w:left="360"/>
        <w:rPr>
          <w:rFonts w:hint="eastAsia"/>
        </w:rPr>
      </w:pPr>
      <w:r>
        <w:rPr>
          <w:color w:val="37474F"/>
        </w:rPr>
        <w:t>•</w:t>
      </w:r>
      <w:r>
        <w:t>Publishing technical assessments on the transparency dashboard</w:t>
      </w:r>
    </w:p>
    <w:p w14:paraId="30585D95" w14:textId="77777777" w:rsidR="00CA7ABD" w:rsidRDefault="00000000">
      <w:pPr>
        <w:pStyle w:val="Heading3"/>
        <w:rPr>
          <w:rFonts w:hint="eastAsia"/>
        </w:rPr>
      </w:pPr>
      <w:r>
        <w:t>5.3 Public Transparency Dashboard</w:t>
      </w:r>
    </w:p>
    <w:p w14:paraId="490AEF2D" w14:textId="77777777" w:rsidR="00CA7ABD" w:rsidRDefault="00000000">
      <w:pPr>
        <w:rPr>
          <w:rFonts w:hint="eastAsia"/>
        </w:rPr>
      </w:pPr>
      <w:r>
        <w:t>The MRF maintains a public transparency dashboard, accessible in English, Farsi, Arabic, and other relevant languages. The dashboard displays:</w:t>
      </w:r>
    </w:p>
    <w:p w14:paraId="43866737" w14:textId="77777777" w:rsidR="00CA7ABD" w:rsidRDefault="00000000">
      <w:pPr>
        <w:ind w:left="360"/>
        <w:rPr>
          <w:rFonts w:hint="eastAsia"/>
        </w:rPr>
      </w:pPr>
      <w:r>
        <w:rPr>
          <w:color w:val="37474F"/>
        </w:rPr>
        <w:t>•</w:t>
      </w:r>
      <w:r>
        <w:t>Sub-Fund balances and contributor lists (aggregate, not individual)</w:t>
      </w:r>
    </w:p>
    <w:p w14:paraId="163288F7" w14:textId="77777777" w:rsidR="00CA7ABD" w:rsidRDefault="00000000">
      <w:pPr>
        <w:ind w:left="360"/>
        <w:rPr>
          <w:rFonts w:hint="eastAsia"/>
        </w:rPr>
      </w:pPr>
      <w:r>
        <w:rPr>
          <w:color w:val="37474F"/>
        </w:rPr>
        <w:t>•</w:t>
      </w:r>
      <w:r>
        <w:t>Approved projects and their status</w:t>
      </w:r>
    </w:p>
    <w:p w14:paraId="2BBD395C" w14:textId="77777777" w:rsidR="00CA7ABD" w:rsidRDefault="00000000">
      <w:pPr>
        <w:ind w:left="360"/>
        <w:rPr>
          <w:rFonts w:hint="eastAsia"/>
        </w:rPr>
      </w:pPr>
      <w:r>
        <w:rPr>
          <w:color w:val="37474F"/>
        </w:rPr>
        <w:t>•</w:t>
      </w:r>
      <w:r>
        <w:t>Disbursement history</w:t>
      </w:r>
    </w:p>
    <w:p w14:paraId="154E38CB" w14:textId="77777777" w:rsidR="00CA7ABD" w:rsidRDefault="00000000">
      <w:pPr>
        <w:ind w:left="360"/>
        <w:rPr>
          <w:rFonts w:hint="eastAsia"/>
        </w:rPr>
      </w:pPr>
      <w:r>
        <w:rPr>
          <w:color w:val="37474F"/>
        </w:rPr>
        <w:t>•</w:t>
      </w:r>
      <w:r>
        <w:t>Independent audit findings</w:t>
      </w:r>
    </w:p>
    <w:p w14:paraId="74E58A53" w14:textId="77777777" w:rsidR="00CA7ABD" w:rsidRDefault="00000000">
      <w:pPr>
        <w:ind w:left="360"/>
        <w:rPr>
          <w:rFonts w:hint="eastAsia"/>
        </w:rPr>
      </w:pPr>
      <w:r>
        <w:rPr>
          <w:color w:val="37474F"/>
        </w:rPr>
        <w:t>•</w:t>
      </w:r>
      <w:r>
        <w:t>Project completion rates</w:t>
      </w:r>
    </w:p>
    <w:p w14:paraId="24F89667" w14:textId="77777777" w:rsidR="00CA7ABD" w:rsidRDefault="00000000">
      <w:pPr>
        <w:pStyle w:val="Heading3"/>
        <w:rPr>
          <w:rFonts w:hint="eastAsia"/>
        </w:rPr>
      </w:pPr>
      <w:r>
        <w:t>5.4 Annual Independent Audit</w:t>
      </w:r>
    </w:p>
    <w:p w14:paraId="6FAEB7D2" w14:textId="77777777" w:rsidR="00CA7ABD" w:rsidRDefault="00000000">
      <w:pPr>
        <w:rPr>
          <w:rFonts w:hint="eastAsia"/>
        </w:rPr>
      </w:pPr>
      <w:r>
        <w:t>An independent audit firm (e.g., Deloitte, PwC, KPMG), selected by mutual agreement of RSC voting members, conducts an annual audit of all MRF accounts. Audit results are published on the transparency dashboard.</w:t>
      </w:r>
    </w:p>
    <w:p w14:paraId="1CCEDB4B" w14:textId="77777777" w:rsidR="00CA7ABD" w:rsidRDefault="00000000">
      <w:pPr>
        <w:pStyle w:val="Heading3"/>
        <w:rPr>
          <w:rFonts w:hint="eastAsia"/>
        </w:rPr>
      </w:pPr>
      <w:r>
        <w:t>5.5 Iranian Sovereignty Over Project Selection</w:t>
      </w:r>
    </w:p>
    <w:p w14:paraId="46BF8438" w14:textId="77777777" w:rsidR="00CA7ABD" w:rsidRDefault="00000000">
      <w:pPr>
        <w:rPr>
          <w:rFonts w:hint="eastAsia"/>
        </w:rPr>
      </w:pPr>
      <w:r>
        <w:t>Iran retains full sovereign authority over reconstruction priorities. The RSC does not:</w:t>
      </w:r>
    </w:p>
    <w:p w14:paraId="3C40261F" w14:textId="77777777" w:rsidR="00CA7ABD" w:rsidRDefault="00000000">
      <w:pPr>
        <w:ind w:left="360"/>
        <w:rPr>
          <w:rFonts w:hint="eastAsia"/>
        </w:rPr>
      </w:pPr>
      <w:r>
        <w:rPr>
          <w:color w:val="37474F"/>
        </w:rPr>
        <w:t>•</w:t>
      </w:r>
      <w:r>
        <w:t>Impose projects on Iran</w:t>
      </w:r>
    </w:p>
    <w:p w14:paraId="04033B92" w14:textId="77777777" w:rsidR="00CA7ABD" w:rsidRDefault="00000000">
      <w:pPr>
        <w:ind w:left="360"/>
        <w:rPr>
          <w:rFonts w:hint="eastAsia"/>
        </w:rPr>
      </w:pPr>
      <w:r>
        <w:rPr>
          <w:color w:val="37474F"/>
        </w:rPr>
        <w:t>•</w:t>
      </w:r>
      <w:r>
        <w:t>Dictate project location or design</w:t>
      </w:r>
    </w:p>
    <w:p w14:paraId="0B110E62" w14:textId="77777777" w:rsidR="00CA7ABD" w:rsidRDefault="00000000">
      <w:pPr>
        <w:ind w:left="360"/>
        <w:rPr>
          <w:rFonts w:hint="eastAsia"/>
        </w:rPr>
      </w:pPr>
      <w:r>
        <w:rPr>
          <w:color w:val="37474F"/>
        </w:rPr>
        <w:t>•</w:t>
      </w:r>
      <w:r>
        <w:t>Interfere with Iranian procurement decisions</w:t>
      </w:r>
    </w:p>
    <w:p w14:paraId="28617DE0" w14:textId="77777777" w:rsidR="00CA7ABD" w:rsidRDefault="00000000">
      <w:pPr>
        <w:pStyle w:val="Heading3"/>
        <w:rPr>
          <w:rFonts w:hint="eastAsia"/>
        </w:rPr>
      </w:pPr>
      <w:r>
        <w:t>5.6 Political Risk Insurance Pool</w:t>
      </w:r>
    </w:p>
    <w:p w14:paraId="3F26BDA9" w14:textId="77777777" w:rsidR="00CA7ABD" w:rsidRDefault="00000000">
      <w:pPr>
        <w:rPr>
          <w:rFonts w:hint="eastAsia"/>
        </w:rPr>
      </w:pPr>
      <w:r>
        <w:t>The MRF establishes a dedicated Political Risk Insurance (PRI) facility administered jointly by the World Bank's Multilateral Investment Guarantee Agency (MIGA) and the Islamic Corporation for the Insurance of Investment and Export Credit (ICIEC). The PRI Pool provides explicit coverage for: war and civil disturbance, expropriation and political violence, currency inconvertibility and transfer restriction, and sanctions reimposition.</w:t>
      </w:r>
    </w:p>
    <w:p w14:paraId="4C46DA94" w14:textId="77777777" w:rsidR="00CA7ABD" w:rsidRDefault="00000000">
      <w:pPr>
        <w:rPr>
          <w:rFonts w:hint="eastAsia"/>
        </w:rPr>
      </w:pPr>
      <w:r>
        <w:t>All private capital participants in the MRF Supporting Tier (infrastructure funds, pension funds, insurance companies) receive mandatory PRI coverage as a condition of participation. Premiums are subsidized by the Core Tier at a rate of 2% of insured value per annum. The PRI Pool maintains a minimum capital reserve of $500 million. Coverage limits per project are $1 billion for sovereign risk and $500 million for sub-sovereign and private risk.</w:t>
      </w:r>
    </w:p>
    <w:p w14:paraId="553C45F8" w14:textId="77777777" w:rsidR="00CA7ABD" w:rsidRDefault="00000000">
      <w:pPr>
        <w:rPr>
          <w:rFonts w:hint="eastAsia"/>
        </w:rPr>
      </w:pPr>
      <w:r>
        <w:t>Claims activate through a dedicated arbitration panel (see Section 6.4). The PRI Pool pays valid claims within 90 days of arbitration determination. Without this de-risking mechanism, private pension funds and infrastructure investors do not deploy Supporting Tier capital at scale.</w:t>
      </w:r>
    </w:p>
    <w:p w14:paraId="04550BA5" w14:textId="77777777" w:rsidR="00CA7ABD" w:rsidRDefault="00000000">
      <w:pPr>
        <w:pStyle w:val="Heading3"/>
        <w:rPr>
          <w:rFonts w:hint="eastAsia"/>
        </w:rPr>
      </w:pPr>
      <w:r>
        <w:t>5.7 Hard Currency Convertibility and Repatriation Guarantee</w:t>
      </w:r>
    </w:p>
    <w:p w14:paraId="4DAC7688" w14:textId="77777777" w:rsidR="00CA7ABD" w:rsidRDefault="00000000">
      <w:pPr>
        <w:rPr>
          <w:rFonts w:hint="eastAsia"/>
        </w:rPr>
      </w:pPr>
      <w:r>
        <w:t>The Qatar Central Bank guarantees that all project revenues, profit distributions, and capital repatriation for private investors occur in hard currency (USD, EUR, or CNY) at prevailing market exchange rates. The guarantee operates through a dedicated Hard Currency Facility maintained at the Qatar Central Bank with a minimum reserve of $2 billion.</w:t>
      </w:r>
    </w:p>
    <w:p w14:paraId="6C4C2515" w14:textId="77777777" w:rsidR="00CA7ABD" w:rsidRDefault="00000000">
      <w:pPr>
        <w:rPr>
          <w:rFonts w:hint="eastAsia"/>
        </w:rPr>
      </w:pPr>
      <w:r>
        <w:t>Private investors submit repatriation requests to the RSC secretariat. The Qatar Central Bank processes approved requests within 30 days. This guarantee bypasses the Iranian rial's instability and removes the single largest blocker to private equity participation. The Hard Currency Facility is replenished from Core Tier disbursements and contributor deposits.</w:t>
      </w:r>
    </w:p>
    <w:p w14:paraId="40378320" w14:textId="77777777" w:rsidR="00CA7ABD" w:rsidRDefault="00000000">
      <w:pPr>
        <w:pStyle w:val="Heading3"/>
        <w:rPr>
          <w:rFonts w:hint="eastAsia"/>
        </w:rPr>
      </w:pPr>
      <w:r>
        <w:t>5.8 Contingency Reserve Fund</w:t>
      </w:r>
    </w:p>
    <w:p w14:paraId="2CAE3D11" w14:textId="77777777" w:rsidR="00CA7ABD" w:rsidRDefault="00000000">
      <w:pPr>
        <w:rPr>
          <w:rFonts w:hint="eastAsia"/>
        </w:rPr>
      </w:pPr>
      <w:r>
        <w:t>Each Sub-Fund dedicates 5% of its allocation to a Contingency Reserve for cost overruns, contractor bankruptcy, force majeure events, and project remediation. The Contingency Reserve is not available for new project approvals and activates only when: (1) a verified cost overrun exceeds 15% of the approved project budget, (2) a contractor declares insolvency or abandons a project, (3) a force majeure event interrupts construction for more than 30 days, or (4) the TAG certifies that remediation is necessary to protect MRF assets.</w:t>
      </w:r>
    </w:p>
    <w:p w14:paraId="336971DE" w14:textId="77777777" w:rsidR="00CA7ABD" w:rsidRDefault="00000000">
      <w:pPr>
        <w:rPr>
          <w:rFonts w:hint="eastAsia"/>
        </w:rPr>
      </w:pPr>
      <w:r>
        <w:t>Contingency Reserve disbursements require RSC approval by consensus. The RSC reviews Contingency Reserve utilization quarterly and publishes a Contingency Report. Post-conflict reconstruction typically runs 30-50% over budget. Without this reserve, projects stall mid-construction and donor confidence erodes.</w:t>
      </w:r>
    </w:p>
    <w:p w14:paraId="6F42306E" w14:textId="77777777" w:rsidR="00CA7ABD" w:rsidRDefault="00000000">
      <w:pPr>
        <w:pStyle w:val="Heading3"/>
        <w:rPr>
          <w:rFonts w:hint="eastAsia"/>
        </w:rPr>
      </w:pPr>
      <w:r>
        <w:t>5.9 Contractor Performance Bond and Guarantee Mechanism</w:t>
      </w:r>
    </w:p>
    <w:p w14:paraId="5948E38C" w14:textId="77777777" w:rsidR="00CA7ABD" w:rsidRDefault="00000000">
      <w:pPr>
        <w:rPr>
          <w:rFonts w:hint="eastAsia"/>
        </w:rPr>
      </w:pPr>
      <w:r>
        <w:t>All contractors executing MRF projects above $10 million post performance bonds equal to 10% of contract value. The bonds are held by the Qatar Central Bank and forfeit to the MRF if the contractor fails to complete the project per the approved milestone schedule. The PRI Pool provides bond-backed guarantee insurance for contractors unable to secure commercial bonding.</w:t>
      </w:r>
    </w:p>
    <w:p w14:paraId="5C4E47CD" w14:textId="77777777" w:rsidR="00CA7ABD" w:rsidRDefault="00000000">
      <w:pPr>
        <w:rPr>
          <w:rFonts w:hint="eastAsia"/>
        </w:rPr>
      </w:pPr>
      <w:r>
        <w:t>The RSC maintains a Contractor Performance Registry tracking completion rates, quality scores, and bond claims for all MRF contractors. Contractors with two or more forfeited bonds are barred from MRF procurement for a minimum of three years. This mechanism protects MRF funds from being wasted on failed contractors and gives donors confidence in project execution.</w:t>
      </w:r>
    </w:p>
    <w:p w14:paraId="42256A6D" w14:textId="77777777" w:rsidR="00CA7ABD" w:rsidRDefault="00000000">
      <w:pPr>
        <w:pStyle w:val="Heading3"/>
        <w:rPr>
          <w:rFonts w:hint="eastAsia"/>
        </w:rPr>
      </w:pPr>
      <w:r>
        <w:t>5.10 Iranian Civil Society Observer</w:t>
      </w:r>
    </w:p>
    <w:p w14:paraId="3070A11B" w14:textId="77777777" w:rsidR="00CA7ABD" w:rsidRDefault="00000000">
      <w:pPr>
        <w:rPr>
          <w:rFonts w:hint="eastAsia"/>
        </w:rPr>
      </w:pPr>
      <w:r>
        <w:t>The RSC includes a non-voting Civil Society Observer seat occupied by a representative nominated by a consortium of Iranian non-governmental organizations, professional associations, and academic institutions. The observer participates in all RSC meetings, receives all non-classified documentation, and submits independent assessments to the RSC on project implementation, environmental compliance, social impact, and community satisfaction.</w:t>
      </w:r>
    </w:p>
    <w:p w14:paraId="6BE1438D" w14:textId="77777777" w:rsidR="00CA7ABD" w:rsidRDefault="00000000">
      <w:pPr>
        <w:rPr>
          <w:rFonts w:hint="eastAsia"/>
        </w:rPr>
      </w:pPr>
      <w:r>
        <w:t>The Civil Society Observer serves a two-year renewable term and operates under the same confidentiality obligations as RSC voting members. This seat enhances domestic legitimacy, provides independent feedback on project implementation, and creates a domestic accountability channel separate from the RSC's international governance structure.</w:t>
      </w:r>
    </w:p>
    <w:p w14:paraId="3BE961A6" w14:textId="77777777" w:rsidR="00CA7ABD" w:rsidRDefault="00000000">
      <w:pPr>
        <w:pStyle w:val="Heading3"/>
        <w:rPr>
          <w:rFonts w:hint="eastAsia"/>
        </w:rPr>
      </w:pPr>
      <w:r>
        <w:t>5.11 Quarterly Independent Auditor Site Visits</w:t>
      </w:r>
    </w:p>
    <w:p w14:paraId="0353E6AA" w14:textId="77777777" w:rsidR="00CA7ABD" w:rsidRDefault="00000000">
      <w:pPr>
        <w:rPr>
          <w:rFonts w:hint="eastAsia"/>
        </w:rPr>
      </w:pPr>
      <w:r>
        <w:t>The independent audit firm (see Section 5.4) conducts physical site visits quarterly, not solely an annual desk audit. Quarterly visits cover: verification of physical construction progress against milestone claims, assessment of financial documentation and procurement compliance, review of environmental and social safeguard implementation, and interviews with local project beneficiaries and community representatives.</w:t>
      </w:r>
    </w:p>
    <w:p w14:paraId="44C4B491" w14:textId="77777777" w:rsidR="00CA7ABD" w:rsidRDefault="00000000">
      <w:pPr>
        <w:rPr>
          <w:rFonts w:hint="eastAsia"/>
        </w:rPr>
      </w:pPr>
      <w:r>
        <w:t>The audit firm issues a Quarterly Site Visit Report for each project under active construction. Reports are published on the transparency dashboard within 30 days of visit completion. Annual audits synthesize quarterly findings into a comprehensive assessment. This frequency provides real-time accountability and early detection of fraud, delays, or mismanagement.</w:t>
      </w:r>
    </w:p>
    <w:p w14:paraId="494FE9FB" w14:textId="77777777" w:rsidR="00CA7ABD" w:rsidRDefault="00000000">
      <w:pPr>
        <w:pStyle w:val="Heading3"/>
        <w:rPr>
          <w:rFonts w:hint="eastAsia"/>
        </w:rPr>
      </w:pPr>
      <w:r>
        <w:t>5.12 Whistleblower Protection and Anti-Fraud Hotline</w:t>
      </w:r>
    </w:p>
    <w:p w14:paraId="19D021B8" w14:textId="77777777" w:rsidR="00CA7ABD" w:rsidRDefault="00000000">
      <w:pPr>
        <w:rPr>
          <w:rFonts w:hint="eastAsia"/>
        </w:rPr>
      </w:pPr>
      <w:r>
        <w:t>The RSC establishes an independent, confidential whistleblower mechanism for reporting fraud, corruption, mismanagement, or non-compliance. The mechanism includes: a 24-hour multilingual hotline operated by an independent third party, a secure web-based reporting portal with anonymous submission capability, protection against retaliation for all good-faith reporters, and a dedicated Anti-Fraud Response Team within the RSC secretariat.</w:t>
      </w:r>
    </w:p>
    <w:p w14:paraId="60AA5A05" w14:textId="77777777" w:rsidR="00CA7ABD" w:rsidRDefault="00000000">
      <w:pPr>
        <w:rPr>
          <w:rFonts w:hint="eastAsia"/>
        </w:rPr>
      </w:pPr>
      <w:r>
        <w:t>The Anti-Fraud Response Team investigates all credible reports within 30 days of submission. Substantiated cases trigger: immediate suspension of the implicated contractor or official, referral to relevant national authorities for prosecution, publication of a redacted findings report on the transparency dashboard, and recovery of misappropriated funds through the PRI Pool's fraud coverage. This mechanism is a standard World Bank safeguard that ensures donor confidence in MRF integrity.</w:t>
      </w:r>
    </w:p>
    <w:p w14:paraId="024C6B47" w14:textId="77777777" w:rsidR="00CA7ABD" w:rsidRDefault="00000000">
      <w:pPr>
        <w:ind w:left="360"/>
        <w:rPr>
          <w:rFonts w:hint="eastAsia"/>
        </w:rPr>
      </w:pPr>
      <w:r>
        <w:rPr>
          <w:color w:val="37474F"/>
        </w:rPr>
        <w:t>•</w:t>
      </w:r>
      <w:r>
        <w:t>Condition funding on political concessions</w:t>
      </w:r>
    </w:p>
    <w:p w14:paraId="48BC4721" w14:textId="77777777" w:rsidR="00CA7ABD" w:rsidRDefault="00000000">
      <w:pPr>
        <w:pStyle w:val="Heading2"/>
        <w:rPr>
          <w:rFonts w:hint="eastAsia"/>
        </w:rPr>
      </w:pPr>
      <w:r>
        <w:t>Article 6: Relationship to Other Annexes</w:t>
      </w:r>
    </w:p>
    <w:p w14:paraId="7A0189A4" w14:textId="77777777" w:rsidR="00CA7ABD" w:rsidRDefault="00000000">
      <w:pPr>
        <w:rPr>
          <w:rFonts w:hint="eastAsia"/>
        </w:rPr>
      </w:pPr>
      <w:r>
        <w:t>This Annex operates in conjunction with:</w:t>
      </w:r>
    </w:p>
    <w:p w14:paraId="280A4274" w14:textId="77777777" w:rsidR="00CA7ABD" w:rsidRDefault="00000000">
      <w:pPr>
        <w:ind w:left="360"/>
        <w:rPr>
          <w:rFonts w:hint="eastAsia"/>
        </w:rPr>
      </w:pPr>
      <w:r>
        <w:rPr>
          <w:color w:val="37474F"/>
        </w:rPr>
        <w:t>•</w:t>
      </w:r>
      <w:r>
        <w:t>Annex ES (Escrow and Trigger Sequence Protocol): The MRF uses the same neutral escrow architecture, verification principles, and no-clawback provisions.</w:t>
      </w:r>
    </w:p>
    <w:p w14:paraId="2CA428F2" w14:textId="77777777" w:rsidR="00CA7ABD" w:rsidRDefault="00000000">
      <w:pPr>
        <w:ind w:left="360"/>
        <w:rPr>
          <w:rFonts w:hint="eastAsia"/>
        </w:rPr>
      </w:pPr>
      <w:r>
        <w:rPr>
          <w:color w:val="37474F"/>
        </w:rPr>
        <w:t>•</w:t>
      </w:r>
      <w:r>
        <w:t>Annex J (Lebanon Linkage): MRF funds are firewalled from Lebanon-related disputes. A breach of the Lebanon ceasefire does not affect MRF disbursements.</w:t>
      </w:r>
    </w:p>
    <w:p w14:paraId="30C3865C" w14:textId="77777777" w:rsidR="00CA7ABD" w:rsidRDefault="00000000">
      <w:pPr>
        <w:ind w:left="360"/>
        <w:rPr>
          <w:rFonts w:hint="eastAsia"/>
        </w:rPr>
      </w:pPr>
      <w:r>
        <w:rPr>
          <w:color w:val="37474F"/>
        </w:rPr>
        <w:t>•</w:t>
      </w:r>
      <w:r>
        <w:t>Annex T (Adaptive Stabilization Compliance Resilience Matrix): MRF Step-Back and Earn-Back provisions align with Annex T's graduated response system.</w:t>
      </w:r>
    </w:p>
    <w:p w14:paraId="580644F9" w14:textId="77777777" w:rsidR="00CA7ABD" w:rsidRDefault="00000000">
      <w:pPr>
        <w:pStyle w:val="Heading3"/>
        <w:rPr>
          <w:rFonts w:hint="eastAsia"/>
        </w:rPr>
      </w:pPr>
      <w:r>
        <w:t>6.2 Fast-Track Arbitration for Project Disputes</w:t>
      </w:r>
    </w:p>
    <w:p w14:paraId="0390DE3A" w14:textId="77777777" w:rsidR="00CA7ABD" w:rsidRDefault="00000000">
      <w:pPr>
        <w:rPr>
          <w:rFonts w:hint="eastAsia"/>
        </w:rPr>
      </w:pPr>
      <w:r>
        <w:t>All disputes between Iran, contractors, the RSC, or contributors relating to MRF-funded projects are subject to binding arbitration under the ICC Arbitration Rules. The Fast-Track Arbitration mechanism operates as follows:</w:t>
      </w:r>
    </w:p>
    <w:p w14:paraId="67A9FB69" w14:textId="77777777" w:rsidR="00CA7ABD" w:rsidRDefault="00000000">
      <w:pPr>
        <w:ind w:left="360"/>
        <w:rPr>
          <w:rFonts w:hint="eastAsia"/>
        </w:rPr>
      </w:pPr>
      <w:r>
        <w:rPr>
          <w:color w:val="37474F"/>
        </w:rPr>
        <w:t>•</w:t>
      </w:r>
      <w:r>
        <w:t>Either party submits a Notice of Arbitration to the RSC secretariat and the ICC International Court of Arbitration.</w:t>
      </w:r>
    </w:p>
    <w:p w14:paraId="7F1EC8A7" w14:textId="77777777" w:rsidR="00CA7ABD" w:rsidRDefault="00000000">
      <w:pPr>
        <w:ind w:left="360"/>
        <w:rPr>
          <w:rFonts w:hint="eastAsia"/>
        </w:rPr>
      </w:pPr>
      <w:r>
        <w:rPr>
          <w:color w:val="37474F"/>
        </w:rPr>
        <w:t>•</w:t>
      </w:r>
      <w:r>
        <w:t>A sole arbitrator (for disputes under $50 million) or a three-member tribunal (for disputes exceeding $50 million) is appointed within 14 days.</w:t>
      </w:r>
    </w:p>
    <w:p w14:paraId="5B04A2E1" w14:textId="77777777" w:rsidR="00CA7ABD" w:rsidRDefault="00000000">
      <w:pPr>
        <w:ind w:left="360"/>
        <w:rPr>
          <w:rFonts w:hint="eastAsia"/>
        </w:rPr>
      </w:pPr>
      <w:r>
        <w:rPr>
          <w:color w:val="37474F"/>
        </w:rPr>
        <w:t>•</w:t>
      </w:r>
      <w:r>
        <w:t>The arbitration proceeds under expedited procedures with a maximum timeline of 60 days from appointment to award.</w:t>
      </w:r>
    </w:p>
    <w:p w14:paraId="5BE98773" w14:textId="77777777" w:rsidR="00CA7ABD" w:rsidRDefault="00000000">
      <w:pPr>
        <w:ind w:left="360"/>
        <w:rPr>
          <w:rFonts w:hint="eastAsia"/>
        </w:rPr>
      </w:pPr>
      <w:r>
        <w:rPr>
          <w:color w:val="37474F"/>
        </w:rPr>
        <w:t>•</w:t>
      </w:r>
      <w:r>
        <w:t>The seat of arbitration is Geneva, Switzerland. The language of arbitration is English.</w:t>
      </w:r>
    </w:p>
    <w:p w14:paraId="28FE2E54" w14:textId="77777777" w:rsidR="00CA7ABD" w:rsidRDefault="00000000">
      <w:pPr>
        <w:ind w:left="360"/>
        <w:rPr>
          <w:rFonts w:hint="eastAsia"/>
        </w:rPr>
      </w:pPr>
      <w:r>
        <w:rPr>
          <w:color w:val="37474F"/>
        </w:rPr>
        <w:t>•</w:t>
      </w:r>
      <w:r>
        <w:t>Awards are final and binding on all parties. Enforcement proceeds under the New York Convention on the Recognition and Enforcement of Foreign Arbitral Awards.</w:t>
      </w:r>
    </w:p>
    <w:p w14:paraId="3A442768" w14:textId="77777777" w:rsidR="00CA7ABD" w:rsidRDefault="00000000">
      <w:pPr>
        <w:ind w:left="360"/>
        <w:rPr>
          <w:rFonts w:hint="eastAsia"/>
        </w:rPr>
      </w:pPr>
      <w:r>
        <w:rPr>
          <w:color w:val="37474F"/>
        </w:rPr>
        <w:t>•</w:t>
      </w:r>
      <w:r>
        <w:t>Pending arbitration, project work continues unless the arbitrator grants an interim injunction stopping work.</w:t>
      </w:r>
    </w:p>
    <w:p w14:paraId="63A880EB" w14:textId="77777777" w:rsidR="00CA7ABD" w:rsidRDefault="00000000">
      <w:pPr>
        <w:rPr>
          <w:rFonts w:hint="eastAsia"/>
        </w:rPr>
      </w:pPr>
      <w:r>
        <w:t>This Fast-Track mechanism supersedes the Guarantor Matrix mediation for all MRF-related contractual disputes. The Guarantor Matrix remains available for political disputes between state parties that fall outside the scope of project-level arbitration.</w:t>
      </w:r>
    </w:p>
    <w:p w14:paraId="5266A3CB" w14:textId="77777777" w:rsidR="00CA7ABD" w:rsidRDefault="00000000">
      <w:pPr>
        <w:pStyle w:val="Heading3"/>
        <w:rPr>
          <w:rFonts w:hint="eastAsia"/>
        </w:rPr>
      </w:pPr>
      <w:r>
        <w:t>6.3 UN Peacebuilding and Mine Action Coordination</w:t>
      </w:r>
    </w:p>
    <w:p w14:paraId="46A67637" w14:textId="77777777" w:rsidR="00CA7ABD" w:rsidRDefault="00000000">
      <w:pPr>
        <w:rPr>
          <w:rFonts w:hint="eastAsia"/>
        </w:rPr>
      </w:pPr>
      <w:r>
        <w:t>The MRF coordinates with the UN Mine Action Service (UNMAS) and the UN Peacebuilding Fund for pre-reconstruction demining and stabilization activities. Modern conflicts leave massive unexploded ordnance (UXO) contamination that renders reconstruction impossible until cleared. The MRF-UNMAS partnership operates as follows:</w:t>
      </w:r>
    </w:p>
    <w:p w14:paraId="7B120327" w14:textId="77777777" w:rsidR="00CA7ABD" w:rsidRDefault="00000000">
      <w:pPr>
        <w:ind w:left="360"/>
        <w:rPr>
          <w:rFonts w:hint="eastAsia"/>
        </w:rPr>
      </w:pPr>
      <w:r>
        <w:rPr>
          <w:color w:val="37474F"/>
        </w:rPr>
        <w:t>•</w:t>
      </w:r>
      <w:r>
        <w:t>UNMAS conducts UXO surveys and clearance operations in all MRF project areas before construction commences.</w:t>
      </w:r>
    </w:p>
    <w:p w14:paraId="7D0FF3F0" w14:textId="77777777" w:rsidR="00CA7ABD" w:rsidRDefault="00000000">
      <w:pPr>
        <w:ind w:left="360"/>
        <w:rPr>
          <w:rFonts w:hint="eastAsia"/>
        </w:rPr>
      </w:pPr>
      <w:r>
        <w:rPr>
          <w:color w:val="37474F"/>
        </w:rPr>
        <w:t>•</w:t>
      </w:r>
      <w:r>
        <w:t>The UN Peacebuilding Fund provides grants for community stabilization, reconciliation programming, and local governance restoration in MRF project zones.</w:t>
      </w:r>
    </w:p>
    <w:p w14:paraId="680E394B" w14:textId="77777777" w:rsidR="00CA7ABD" w:rsidRDefault="00000000">
      <w:pPr>
        <w:ind w:left="360"/>
        <w:rPr>
          <w:rFonts w:hint="eastAsia"/>
        </w:rPr>
      </w:pPr>
      <w:r>
        <w:rPr>
          <w:color w:val="37474F"/>
        </w:rPr>
        <w:t>•</w:t>
      </w:r>
      <w:r>
        <w:t>MRF Sub-Funds (particularly MRF-Health and MRF-Housing) allocate priority funding to areas certified as UXO-cleared by UNMAS.</w:t>
      </w:r>
    </w:p>
    <w:p w14:paraId="04B8DCDF" w14:textId="77777777" w:rsidR="00CA7ABD" w:rsidRDefault="00000000">
      <w:pPr>
        <w:ind w:left="360"/>
        <w:rPr>
          <w:rFonts w:hint="eastAsia"/>
        </w:rPr>
      </w:pPr>
      <w:r>
        <w:rPr>
          <w:color w:val="37474F"/>
        </w:rPr>
        <w:t>•</w:t>
      </w:r>
      <w:r>
        <w:t>The RSC coordinates programming with the UN Resident Coordinator in Tehran to ensure MRF reconstruction aligns with UN stabilization priorities.</w:t>
      </w:r>
    </w:p>
    <w:p w14:paraId="42FE1CB2" w14:textId="77777777" w:rsidR="00CA7ABD" w:rsidRDefault="00000000">
      <w:pPr>
        <w:rPr>
          <w:rFonts w:hint="eastAsia"/>
        </w:rPr>
      </w:pPr>
      <w:r>
        <w:t>The RSC estimates UN Peacebuilding and Mine Action funding at approximately $1 billion over the reconstruction period. This funding is distinct from MRF capital and flows through established UN grant mechanisms.</w:t>
      </w:r>
    </w:p>
    <w:p w14:paraId="299FAFA8" w14:textId="77777777" w:rsidR="00CA7ABD" w:rsidRDefault="00000000">
      <w:pPr>
        <w:pStyle w:val="Heading3"/>
        <w:rPr>
          <w:rFonts w:hint="eastAsia"/>
        </w:rPr>
      </w:pPr>
      <w:r>
        <w:t>6.4 Carbon Credit Pre-Financing Facility</w:t>
      </w:r>
    </w:p>
    <w:p w14:paraId="6E229572" w14:textId="77777777" w:rsidR="00CA7ABD" w:rsidRDefault="00000000">
      <w:pPr>
        <w:rPr>
          <w:rFonts w:hint="eastAsia"/>
        </w:rPr>
      </w:pPr>
      <w:r>
        <w:t>The MRF establishes a Carbon Credit Pre-Financing Facility (CCPF) under Article 6 of the Paris Agreement. Iran possesses immense potential for solar, wind, and hydroelectric energy generation. Under the CCPF, Iran sells internationally transferable mitigation outcomes (ITMOs) to GCC states, European buyers, and other nations seeking to meet their Nationally Determined Contributions (NDCs).</w:t>
      </w:r>
    </w:p>
    <w:p w14:paraId="3FCC3950" w14:textId="77777777" w:rsidR="00CA7ABD" w:rsidRDefault="00000000">
      <w:pPr>
        <w:rPr>
          <w:rFonts w:hint="eastAsia"/>
        </w:rPr>
      </w:pPr>
      <w:r>
        <w:t>The CCPF operates as follows: (1) The RSC registers MRF renewable energy projects with the UN Framework Convention on Climate Change (UNFCCC) Secretariat, (2) An independent verification body (e.g., Verra, Gold Standard) certifies the carbon mitigation output of each project, (3) The RSC sells forward carbon credits to pre-approved buyers at a contracted price, (4) Proceeds from carbon credit sales flow directly into the MRF-Energy Sub-Fund, (5) Buyers receive verified carbon credits upon project commissioning.</w:t>
      </w:r>
    </w:p>
    <w:p w14:paraId="18BF987E" w14:textId="77777777" w:rsidR="00CA7ABD" w:rsidRDefault="00000000">
      <w:pPr>
        <w:rPr>
          <w:rFonts w:hint="eastAsia"/>
        </w:rPr>
      </w:pPr>
      <w:r>
        <w:t>The CCPF targets $2-5 billion in pre-financing over the 10-year reconstruction period. GCC states with high per-capita emissions and ambitious net-zero targets are the primary buyers. The CCPF is administered by a dedicated Carbon Finance Desk within the RSC secretariat.</w:t>
      </w:r>
    </w:p>
    <w:p w14:paraId="0949D8DE" w14:textId="77777777" w:rsidR="00CA7ABD" w:rsidRDefault="00000000">
      <w:pPr>
        <w:pStyle w:val="Heading2"/>
        <w:rPr>
          <w:rFonts w:hint="eastAsia"/>
        </w:rPr>
      </w:pPr>
      <w:r>
        <w:t>Article 7: Duration and Supersession</w:t>
      </w:r>
    </w:p>
    <w:p w14:paraId="71116DE0" w14:textId="77777777" w:rsidR="00CA7ABD" w:rsidRDefault="00000000">
      <w:pPr>
        <w:pStyle w:val="Heading3"/>
        <w:rPr>
          <w:rFonts w:hint="eastAsia"/>
        </w:rPr>
      </w:pPr>
      <w:r>
        <w:t>7.1 Initial 60-Day Period</w:t>
      </w:r>
    </w:p>
    <w:p w14:paraId="44B1112D" w14:textId="77777777" w:rsidR="00CA7ABD" w:rsidRDefault="00000000">
      <w:pPr>
        <w:rPr>
          <w:rFonts w:hint="eastAsia"/>
        </w:rPr>
      </w:pPr>
      <w:r>
        <w:t>The MRF operates initially as a 60-day stabilization mechanism, during which:</w:t>
      </w:r>
    </w:p>
    <w:p w14:paraId="57ECCD47" w14:textId="77777777" w:rsidR="00CA7ABD" w:rsidRDefault="00000000">
      <w:pPr>
        <w:ind w:left="360"/>
        <w:rPr>
          <w:rFonts w:hint="eastAsia"/>
        </w:rPr>
      </w:pPr>
      <w:r>
        <w:rPr>
          <w:color w:val="37474F"/>
        </w:rPr>
        <w:t>•</w:t>
      </w:r>
      <w:r>
        <w:t>Sub-Funds are established and capitalized</w:t>
      </w:r>
    </w:p>
    <w:p w14:paraId="328C0625" w14:textId="77777777" w:rsidR="00CA7ABD" w:rsidRDefault="00000000">
      <w:pPr>
        <w:ind w:left="360"/>
        <w:rPr>
          <w:rFonts w:hint="eastAsia"/>
        </w:rPr>
      </w:pPr>
      <w:r>
        <w:rPr>
          <w:color w:val="37474F"/>
        </w:rPr>
        <w:t>•</w:t>
      </w:r>
      <w:r>
        <w:t>Iran submits initial Project Proposals</w:t>
      </w:r>
    </w:p>
    <w:p w14:paraId="40D47BC1" w14:textId="77777777" w:rsidR="00CA7ABD" w:rsidRDefault="00000000">
      <w:pPr>
        <w:ind w:left="360"/>
        <w:rPr>
          <w:rFonts w:hint="eastAsia"/>
        </w:rPr>
      </w:pPr>
      <w:r>
        <w:rPr>
          <w:color w:val="37474F"/>
        </w:rPr>
        <w:t>•</w:t>
      </w:r>
      <w:r>
        <w:t>The RSC conducts its first meetings</w:t>
      </w:r>
    </w:p>
    <w:p w14:paraId="329C6B70" w14:textId="77777777" w:rsidR="00CA7ABD" w:rsidRDefault="00000000">
      <w:pPr>
        <w:ind w:left="360"/>
        <w:rPr>
          <w:rFonts w:hint="eastAsia"/>
        </w:rPr>
      </w:pPr>
      <w:r>
        <w:rPr>
          <w:color w:val="37474F"/>
        </w:rPr>
        <w:t>•</w:t>
      </w:r>
      <w:r>
        <w:t>Technical teams deploy to assess priority projects</w:t>
      </w:r>
    </w:p>
    <w:p w14:paraId="35D276BD" w14:textId="77777777" w:rsidR="00CA7ABD" w:rsidRDefault="00000000">
      <w:pPr>
        <w:pStyle w:val="Heading3"/>
        <w:rPr>
          <w:rFonts w:hint="eastAsia"/>
        </w:rPr>
      </w:pPr>
      <w:r>
        <w:t>7.1.1 Automatic Review at Day 60</w:t>
      </w:r>
    </w:p>
    <w:p w14:paraId="6621FC56" w14:textId="77777777" w:rsidR="00CA7ABD" w:rsidRDefault="00000000">
      <w:pPr>
        <w:rPr>
          <w:rFonts w:hint="eastAsia"/>
        </w:rPr>
      </w:pPr>
      <w:r>
        <w:t>On the sixtieth day following entry into force of this Annex, the RSC convenes automatically for a formal Progress Assessment Session. This session is mandatory; failure to convene constitutes a procedural Tier-1 matter under Annex T. The RSC:</w:t>
      </w:r>
    </w:p>
    <w:p w14:paraId="40DA5A9D" w14:textId="77777777" w:rsidR="00CA7ABD" w:rsidRDefault="00000000">
      <w:pPr>
        <w:ind w:left="360"/>
        <w:rPr>
          <w:rFonts w:hint="eastAsia"/>
        </w:rPr>
      </w:pPr>
      <w:r>
        <w:rPr>
          <w:color w:val="37474F"/>
        </w:rPr>
        <w:t>•</w:t>
      </w:r>
      <w:r>
        <w:t>Reviews Sub-Fund capitalization status and deposit confirmations</w:t>
      </w:r>
    </w:p>
    <w:p w14:paraId="13D31E0B" w14:textId="77777777" w:rsidR="00CA7ABD" w:rsidRDefault="00000000">
      <w:pPr>
        <w:ind w:left="360"/>
        <w:rPr>
          <w:rFonts w:hint="eastAsia"/>
        </w:rPr>
      </w:pPr>
      <w:r>
        <w:rPr>
          <w:color w:val="37474F"/>
        </w:rPr>
        <w:t>•</w:t>
      </w:r>
      <w:r>
        <w:t>Evaluates the status of all submitted Project Proposals</w:t>
      </w:r>
    </w:p>
    <w:p w14:paraId="253439C7" w14:textId="77777777" w:rsidR="00CA7ABD" w:rsidRDefault="00000000">
      <w:pPr>
        <w:ind w:left="360"/>
        <w:rPr>
          <w:rFonts w:hint="eastAsia"/>
        </w:rPr>
      </w:pPr>
      <w:r>
        <w:rPr>
          <w:color w:val="37474F"/>
        </w:rPr>
        <w:t>•</w:t>
      </w:r>
      <w:r>
        <w:t>Assesses milestone completion rates against the Article 4 disbursement schedule</w:t>
      </w:r>
    </w:p>
    <w:p w14:paraId="5F996075" w14:textId="77777777" w:rsidR="00CA7ABD" w:rsidRDefault="00000000">
      <w:pPr>
        <w:ind w:left="360"/>
        <w:rPr>
          <w:rFonts w:hint="eastAsia"/>
        </w:rPr>
      </w:pPr>
      <w:r>
        <w:rPr>
          <w:color w:val="37474F"/>
        </w:rPr>
        <w:t>•</w:t>
      </w:r>
      <w:r>
        <w:t>Issues a written Progress Assessment Report with one of the following recommendations: (a) extension to Phase II by consensus; (b) activation of Deficit Recovery Protocol under Annex T; or (c) technical consultation to address specific impediments</w:t>
      </w:r>
    </w:p>
    <w:p w14:paraId="1A164831" w14:textId="77777777" w:rsidR="00CA7ABD" w:rsidRDefault="00000000">
      <w:pPr>
        <w:rPr>
          <w:rFonts w:hint="eastAsia"/>
        </w:rPr>
      </w:pPr>
      <w:r>
        <w:t>The RSC transmits the Progress Assessment Report to all Parties within 72 hours of the Day 60 session. Either Party requests an emergency RSC consultation within 14 days of report issuance if it disagrees with the recommendation. Absent such request, the recommendation takes effect automatically.</w:t>
      </w:r>
    </w:p>
    <w:p w14:paraId="63DC318D" w14:textId="77777777" w:rsidR="00CA7ABD" w:rsidRDefault="00000000">
      <w:pPr>
        <w:pStyle w:val="Heading3"/>
        <w:rPr>
          <w:rFonts w:hint="eastAsia"/>
        </w:rPr>
      </w:pPr>
      <w:r>
        <w:t>7.1.2 Drift Prevention</w:t>
      </w:r>
    </w:p>
    <w:p w14:paraId="1165DF71" w14:textId="77777777" w:rsidR="00CA7ABD" w:rsidRDefault="00000000">
      <w:pPr>
        <w:rPr>
          <w:rFonts w:hint="eastAsia"/>
        </w:rPr>
      </w:pPr>
      <w:r>
        <w:t>The framework architecture excludes procedural drift. If the Day 60 review identifies a material impediment to Sub-Fund capitalization or project deployment, the RSC activates the following sequence:</w:t>
      </w:r>
    </w:p>
    <w:p w14:paraId="0C39B723" w14:textId="77777777" w:rsidR="00CA7ABD" w:rsidRDefault="00000000">
      <w:pPr>
        <w:ind w:left="360"/>
        <w:rPr>
          <w:rFonts w:hint="eastAsia"/>
        </w:rPr>
      </w:pPr>
      <w:r>
        <w:rPr>
          <w:color w:val="37474F"/>
        </w:rPr>
        <w:t>•</w:t>
      </w:r>
      <w:r>
        <w:t>The impediment is classified by severity under the Annex T tier system</w:t>
      </w:r>
    </w:p>
    <w:p w14:paraId="1D337F53" w14:textId="77777777" w:rsidR="00CA7ABD" w:rsidRDefault="00000000">
      <w:pPr>
        <w:ind w:left="360"/>
        <w:rPr>
          <w:rFonts w:hint="eastAsia"/>
        </w:rPr>
      </w:pPr>
      <w:r>
        <w:rPr>
          <w:color w:val="37474F"/>
        </w:rPr>
        <w:t>•</w:t>
      </w:r>
      <w:r>
        <w:t>The RSC assigns a remediation timeline not exceeding 30 days</w:t>
      </w:r>
    </w:p>
    <w:p w14:paraId="5BA8632D" w14:textId="77777777" w:rsidR="00CA7ABD" w:rsidRDefault="00000000">
      <w:pPr>
        <w:ind w:left="360"/>
        <w:rPr>
          <w:rFonts w:hint="eastAsia"/>
        </w:rPr>
      </w:pPr>
      <w:r>
        <w:rPr>
          <w:color w:val="37474F"/>
        </w:rPr>
        <w:t>•</w:t>
      </w:r>
      <w:r>
        <w:t>If remediation fails, the affected Sub-Fund enters a hold status; all other Sub-Funds continue operating without interruption</w:t>
      </w:r>
    </w:p>
    <w:p w14:paraId="65F18EE3" w14:textId="77777777" w:rsidR="00CA7ABD" w:rsidRDefault="00000000">
      <w:pPr>
        <w:ind w:left="360"/>
        <w:rPr>
          <w:rFonts w:hint="eastAsia"/>
        </w:rPr>
      </w:pPr>
      <w:r>
        <w:rPr>
          <w:color w:val="37474F"/>
        </w:rPr>
        <w:t>•</w:t>
      </w:r>
      <w:r>
        <w:t>The RSC convenes a second review within 15 days of the remediation deadline</w:t>
      </w:r>
    </w:p>
    <w:p w14:paraId="7F0376A0" w14:textId="77777777" w:rsidR="00CA7ABD" w:rsidRDefault="00000000">
      <w:pPr>
        <w:pStyle w:val="Heading3"/>
        <w:rPr>
          <w:rFonts w:hint="eastAsia"/>
        </w:rPr>
      </w:pPr>
      <w:r>
        <w:t>7.2 Transition to Phase II</w:t>
      </w:r>
    </w:p>
    <w:p w14:paraId="42EAC200" w14:textId="77777777" w:rsidR="00CA7ABD" w:rsidRDefault="00000000">
      <w:pPr>
        <w:rPr>
          <w:rFonts w:hint="eastAsia"/>
        </w:rPr>
      </w:pPr>
      <w:r>
        <w:t>Upon expiration of the 60-day period, the Parties transition to Phase II (full execution) by mutual consent. Phase II operates on the 180-day verification schedule outlined in Article 4.</w:t>
      </w:r>
    </w:p>
    <w:p w14:paraId="432146CD" w14:textId="77777777" w:rsidR="00CA7ABD" w:rsidRDefault="00000000">
      <w:pPr>
        <w:pStyle w:val="Heading3"/>
        <w:rPr>
          <w:rFonts w:hint="eastAsia"/>
        </w:rPr>
      </w:pPr>
      <w:r>
        <w:t>7.3 Supersession</w:t>
      </w:r>
    </w:p>
    <w:p w14:paraId="6EA60747" w14:textId="77777777" w:rsidR="00CA7ABD" w:rsidRDefault="00000000">
      <w:pPr>
        <w:rPr>
          <w:rFonts w:hint="eastAsia"/>
        </w:rPr>
      </w:pPr>
      <w:r>
        <w:t>The MRF is automatically superseded upon entry into force of any subsequent comprehensive agreement that addresses reconstruction financing with equivalent or greater protections for Iran.</w:t>
      </w:r>
    </w:p>
    <w:p w14:paraId="727222B4" w14:textId="77777777" w:rsidR="00CA7ABD" w:rsidRDefault="00000000">
      <w:pPr>
        <w:pStyle w:val="Heading2"/>
        <w:rPr>
          <w:rFonts w:hint="eastAsia"/>
        </w:rPr>
      </w:pPr>
      <w:r>
        <w:t>Article 8: Sovereign Procurement and Non-Directed Purchasing</w:t>
      </w:r>
    </w:p>
    <w:p w14:paraId="1FAA5398" w14:textId="77777777" w:rsidR="00CA7ABD" w:rsidRDefault="00000000">
      <w:pPr>
        <w:pStyle w:val="Heading3"/>
        <w:rPr>
          <w:rFonts w:hint="eastAsia"/>
        </w:rPr>
      </w:pPr>
      <w:r>
        <w:t>8.1 No Obligation to Purchase from Any Particular Country</w:t>
      </w:r>
    </w:p>
    <w:p w14:paraId="6455BFF7" w14:textId="77777777" w:rsidR="00CA7ABD" w:rsidRDefault="00000000">
      <w:pPr>
        <w:rPr>
          <w:rFonts w:hint="eastAsia"/>
        </w:rPr>
      </w:pPr>
      <w:r>
        <w:t>The Islamic Republic of Iran is under no obligation, express or implied, to purchase agricultural products, food commodities, medical supplies, industrial equipment, or any other goods or services from the United States, its farmers, its corporations, its nationals, or from any other country, entity, or commercial channel. This Annex establishes no condition, restriction, or preference requiring MRF funds to be spent in any particular country, currency, or commercial channel.</w:t>
      </w:r>
    </w:p>
    <w:p w14:paraId="48B24717" w14:textId="77777777" w:rsidR="00CA7ABD" w:rsidRDefault="00000000">
      <w:pPr>
        <w:rPr>
          <w:rFonts w:hint="eastAsia"/>
        </w:rPr>
      </w:pPr>
      <w:r>
        <w:t>For the avoidance of doubt:</w:t>
      </w:r>
    </w:p>
    <w:p w14:paraId="7A5E0775" w14:textId="77777777" w:rsidR="00CA7ABD" w:rsidRDefault="00000000">
      <w:pPr>
        <w:ind w:left="360"/>
        <w:rPr>
          <w:rFonts w:hint="eastAsia"/>
        </w:rPr>
      </w:pPr>
      <w:r>
        <w:rPr>
          <w:color w:val="37474F"/>
        </w:rPr>
        <w:t>•</w:t>
      </w:r>
      <w:r>
        <w:t>Iran retains the full sovereign right to procure goods and services from any country of its choosing, including but not limited to China, Russia, the European Union, Turkey, India, Brazil, Argentina, or any other nation with which Iran maintains commercial relations</w:t>
      </w:r>
    </w:p>
    <w:p w14:paraId="04510600" w14:textId="77777777" w:rsidR="00CA7ABD" w:rsidRDefault="00000000">
      <w:pPr>
        <w:ind w:left="360"/>
        <w:rPr>
          <w:rFonts w:hint="eastAsia"/>
        </w:rPr>
      </w:pPr>
      <w:r>
        <w:rPr>
          <w:color w:val="37474F"/>
        </w:rPr>
        <w:t>•</w:t>
      </w:r>
      <w:r>
        <w:t>Iran retains the full sovereign right to use MRF funds for any purpose consistent with its national interests and applicable international law</w:t>
      </w:r>
    </w:p>
    <w:p w14:paraId="335FD018" w14:textId="77777777" w:rsidR="00CA7ABD" w:rsidRDefault="00000000">
      <w:pPr>
        <w:ind w:left="360"/>
        <w:rPr>
          <w:rFonts w:hint="eastAsia"/>
        </w:rPr>
      </w:pPr>
      <w:r>
        <w:rPr>
          <w:color w:val="37474F"/>
        </w:rPr>
        <w:t>•</w:t>
      </w:r>
      <w:r>
        <w:t>The United States holds no approval authority over Iranian procurement decisions</w:t>
      </w:r>
    </w:p>
    <w:p w14:paraId="7DBEF4FE" w14:textId="77777777" w:rsidR="00CA7ABD" w:rsidRDefault="00000000">
      <w:pPr>
        <w:ind w:left="360"/>
        <w:rPr>
          <w:rFonts w:hint="eastAsia"/>
        </w:rPr>
      </w:pPr>
      <w:r>
        <w:rPr>
          <w:color w:val="37474F"/>
        </w:rPr>
        <w:t>•</w:t>
      </w:r>
      <w:r>
        <w:t>The RSC holds no approval authority over Iranian procurement decisions</w:t>
      </w:r>
    </w:p>
    <w:p w14:paraId="21C9B108" w14:textId="77777777" w:rsidR="00CA7ABD" w:rsidRDefault="00000000">
      <w:pPr>
        <w:ind w:left="360"/>
        <w:rPr>
          <w:rFonts w:hint="eastAsia"/>
        </w:rPr>
      </w:pPr>
      <w:r>
        <w:rPr>
          <w:color w:val="37474F"/>
        </w:rPr>
        <w:t>•</w:t>
      </w:r>
      <w:r>
        <w:t>The Escrow Agent holds no approval authority over Iranian procurement decisions</w:t>
      </w:r>
    </w:p>
    <w:p w14:paraId="51994404" w14:textId="77777777" w:rsidR="00CA7ABD" w:rsidRDefault="00000000">
      <w:pPr>
        <w:pStyle w:val="Heading3"/>
        <w:rPr>
          <w:rFonts w:hint="eastAsia"/>
        </w:rPr>
      </w:pPr>
      <w:r>
        <w:t>8.2 Central Bank Statement Affirmation</w:t>
      </w:r>
    </w:p>
    <w:p w14:paraId="7FD32B8F" w14:textId="77777777" w:rsidR="00CA7ABD" w:rsidRDefault="00000000">
      <w:pPr>
        <w:rPr>
          <w:rFonts w:hint="eastAsia"/>
        </w:rPr>
      </w:pPr>
      <w:r>
        <w:t>The Parties affirm and acknowledge the public statement of the Governor of the Central Bank of Iran that the memorandums signed between the Parties create no obligation to purchase agricultural inputs or any other goods from the United States. This Annex incorporates that clarification as a binding interpretive understanding.</w:t>
      </w:r>
    </w:p>
    <w:p w14:paraId="633B128B" w14:textId="77777777" w:rsidR="00CA7ABD" w:rsidRDefault="00000000">
      <w:pPr>
        <w:pStyle w:val="Heading3"/>
        <w:rPr>
          <w:rFonts w:hint="eastAsia"/>
        </w:rPr>
      </w:pPr>
      <w:r>
        <w:t>8.3 No Unilateral Oversight</w:t>
      </w:r>
    </w:p>
    <w:p w14:paraId="6C43599A" w14:textId="77777777" w:rsidR="00CA7ABD" w:rsidRDefault="00000000">
      <w:pPr>
        <w:rPr>
          <w:rFonts w:hint="eastAsia"/>
        </w:rPr>
      </w:pPr>
      <w:r>
        <w:t>No Party or third party exercises approval authority, veto power, oversight jurisdiction, or any other form of control over Iran's use of MRF funds, except as expressly provided in this Annex for verification and audit purposes (Article 4). All audit and verification functions are limited to confirming milestone completion; they do not extend to approving or disapproving procurement decisions.</w:t>
      </w:r>
    </w:p>
    <w:p w14:paraId="6ED1537E" w14:textId="77777777" w:rsidR="00CA7ABD" w:rsidRDefault="00000000">
      <w:pPr>
        <w:pStyle w:val="Heading3"/>
        <w:rPr>
          <w:rFonts w:hint="eastAsia"/>
        </w:rPr>
      </w:pPr>
      <w:r>
        <w:t>8.4 Non-Derogation</w:t>
      </w:r>
    </w:p>
    <w:p w14:paraId="6F7CEE00" w14:textId="77777777" w:rsidR="00CA7ABD" w:rsidRDefault="00000000">
      <w:pPr>
        <w:rPr>
          <w:rFonts w:hint="eastAsia"/>
        </w:rPr>
      </w:pPr>
      <w:r>
        <w:t>Nothing in this Article is construed to:</w:t>
      </w:r>
    </w:p>
    <w:p w14:paraId="26C35F20" w14:textId="77777777" w:rsidR="00CA7ABD" w:rsidRDefault="00000000">
      <w:pPr>
        <w:ind w:left="360"/>
        <w:rPr>
          <w:rFonts w:hint="eastAsia"/>
        </w:rPr>
      </w:pPr>
      <w:r>
        <w:rPr>
          <w:color w:val="37474F"/>
        </w:rPr>
        <w:t>•</w:t>
      </w:r>
      <w:r>
        <w:t>Impair Iran's sovereign right to manage its economy and fiscal policy</w:t>
      </w:r>
    </w:p>
    <w:p w14:paraId="30252279" w14:textId="77777777" w:rsidR="00CA7ABD" w:rsidRDefault="00000000">
      <w:pPr>
        <w:ind w:left="360"/>
        <w:rPr>
          <w:rFonts w:hint="eastAsia"/>
        </w:rPr>
      </w:pPr>
      <w:r>
        <w:rPr>
          <w:color w:val="37474F"/>
        </w:rPr>
        <w:t>•</w:t>
      </w:r>
      <w:r>
        <w:t>Grant the United States or any other country preferential commercial access to the Iranian market</w:t>
      </w:r>
    </w:p>
    <w:p w14:paraId="1BA83940" w14:textId="77777777" w:rsidR="00CA7ABD" w:rsidRDefault="00000000">
      <w:pPr>
        <w:ind w:left="360"/>
        <w:rPr>
          <w:rFonts w:hint="eastAsia"/>
        </w:rPr>
      </w:pPr>
      <w:r>
        <w:rPr>
          <w:color w:val="37474F"/>
        </w:rPr>
        <w:t>•</w:t>
      </w:r>
      <w:r>
        <w:t>Establish any precedent for future trade or investment agreements</w:t>
      </w:r>
    </w:p>
    <w:p w14:paraId="1FA9160F" w14:textId="77777777" w:rsidR="00CA7ABD" w:rsidRDefault="00000000">
      <w:pPr>
        <w:ind w:left="360"/>
        <w:rPr>
          <w:rFonts w:hint="eastAsia"/>
        </w:rPr>
      </w:pPr>
      <w:r>
        <w:rPr>
          <w:color w:val="37474F"/>
        </w:rPr>
        <w:t>•</w:t>
      </w:r>
      <w:r>
        <w:t>Affect Iran's rights under the World Trade Organization or other international trade instruments</w:t>
      </w:r>
    </w:p>
    <w:p w14:paraId="34BFEDB4" w14:textId="77777777" w:rsidR="00CA7ABD" w:rsidRDefault="00000000">
      <w:pPr>
        <w:ind w:left="360"/>
        <w:rPr>
          <w:rFonts w:hint="eastAsia"/>
        </w:rPr>
      </w:pPr>
      <w:r>
        <w:rPr>
          <w:color w:val="37474F"/>
        </w:rPr>
        <w:t>•</w:t>
      </w:r>
      <w:r>
        <w:t>Require Iran to accept any bilateral trade conditions not explicitly agreed in writing</w:t>
      </w:r>
    </w:p>
    <w:p w14:paraId="420EEB55" w14:textId="77777777" w:rsidR="00CA7ABD" w:rsidRDefault="00000000">
      <w:pPr>
        <w:pStyle w:val="Heading3"/>
        <w:rPr>
          <w:rFonts w:hint="eastAsia"/>
        </w:rPr>
      </w:pPr>
      <w:r>
        <w:t>8.5 Clarification Regarding Annex ES Pool A Priority Consideration</w:t>
      </w:r>
    </w:p>
    <w:p w14:paraId="5166E6A8" w14:textId="77777777" w:rsidR="00CA7ABD" w:rsidRDefault="00000000">
      <w:pPr>
        <w:rPr>
          <w:rFonts w:hint="eastAsia"/>
        </w:rPr>
      </w:pPr>
      <w:r>
        <w:t>Nothing in this Article affects or supersedes the Priority Consideration provisions applicable to Pool A of Annex ES. The provisions of this Article apply to MRF funds only and do not extend to funds released under Annex ES.</w:t>
      </w:r>
    </w:p>
    <w:p w14:paraId="73AB9F82" w14:textId="77777777" w:rsidR="00CA7ABD" w:rsidRDefault="00000000">
      <w:pPr>
        <w:pStyle w:val="Heading3"/>
        <w:rPr>
          <w:rFonts w:hint="eastAsia"/>
        </w:rPr>
      </w:pPr>
      <w:r>
        <w:t>8.6 Severability and Supremacy</w:t>
      </w:r>
    </w:p>
    <w:p w14:paraId="1A132E52" w14:textId="77777777" w:rsidR="00CA7ABD" w:rsidRDefault="00000000">
      <w:pPr>
        <w:rPr>
          <w:rFonts w:hint="eastAsia"/>
        </w:rPr>
      </w:pPr>
      <w:r>
        <w:t>In the event of any conflict between this Article and any public statement, diplomatic assurance, press release, or political declaration by either Party or their representatives, the operative text of this Annex governs. No unilateral statement by any official creates a legally binding obligation on Iran.</w:t>
      </w:r>
    </w:p>
    <w:p w14:paraId="6CE4CF6F" w14:textId="77777777" w:rsidR="00CA7ABD" w:rsidRDefault="00000000">
      <w:pPr>
        <w:rPr>
          <w:rFonts w:hint="eastAsia"/>
        </w:rPr>
      </w:pPr>
      <w:r>
        <w:t>Status of Appendices: Unless expressly incorporated into an operative Article, the appendices are explanatory and administrative in nature. They support implementation, and the organs of this Protocol update them to reflect changes in contributors, institutions, financing mechanisms, or implementation arrangements without altering the legal obligations established by the Articles of this Protocol.</w:t>
      </w:r>
    </w:p>
    <w:p w14:paraId="20F6D8C0" w14:textId="77777777" w:rsidR="00CA7ABD" w:rsidRDefault="00000000">
      <w:pPr>
        <w:pStyle w:val="Heading2"/>
        <w:rPr>
          <w:rFonts w:hint="eastAsia"/>
        </w:rPr>
      </w:pPr>
      <w:r>
        <w:t>Appendix A: Capital Contributor Registry</w:t>
      </w:r>
    </w:p>
    <w:p w14:paraId="38E6084E" w14:textId="77777777" w:rsidR="00CA7ABD" w:rsidRDefault="00000000">
      <w:pPr>
        <w:rPr>
          <w:rFonts w:hint="eastAsia"/>
        </w:rPr>
      </w:pPr>
      <w:r>
        <w:t>This Appendix catalogs confirmed and prospective contributors to the MRF, organized by tier and sector focus.</w:t>
      </w:r>
    </w:p>
    <w:p w14:paraId="6BD967E8" w14:textId="77777777" w:rsidR="00CA7ABD" w:rsidRDefault="00000000">
      <w:pPr>
        <w:pStyle w:val="Heading3"/>
        <w:rPr>
          <w:rFonts w:hint="eastAsia"/>
        </w:rPr>
      </w:pPr>
      <w:r>
        <w:t>A.1 Anchor Contributors</w:t>
      </w:r>
    </w:p>
    <w:p w14:paraId="0E742BBE" w14:textId="77777777" w:rsidR="00CA7ABD" w:rsidRDefault="00000000">
      <w:pPr>
        <w:pStyle w:val="Heading3"/>
        <w:rPr>
          <w:rFonts w:hint="eastAsia"/>
        </w:rPr>
      </w:pPr>
      <w:r>
        <w:t>A.1.1 Qatar Investment Authority (QIA)</w:t>
      </w:r>
    </w:p>
    <w:p w14:paraId="19BEC043" w14:textId="77777777" w:rsidR="00CA7ABD" w:rsidRDefault="00000000">
      <w:pPr>
        <w:rPr>
          <w:rFonts w:hint="eastAsia"/>
        </w:rPr>
      </w:pPr>
      <w:r>
        <w:t>Commitment: $15 billion across all Sub-Funds. Focus: Energy, Water, Healthcare. Mechanism: Direct deposit to Qatar Central Bank escrow. Timeline: $5B within 60 days; remainder over 24 months.</w:t>
      </w:r>
    </w:p>
    <w:p w14:paraId="45E29292" w14:textId="77777777" w:rsidR="00CA7ABD" w:rsidRDefault="00000000">
      <w:pPr>
        <w:pStyle w:val="Heading3"/>
        <w:rPr>
          <w:rFonts w:hint="eastAsia"/>
        </w:rPr>
      </w:pPr>
      <w:r>
        <w:t>A.1.2 Saudi Public Investment Fund (PIF)</w:t>
      </w:r>
    </w:p>
    <w:p w14:paraId="201DC8C7" w14:textId="77777777" w:rsidR="00CA7ABD" w:rsidRDefault="00000000">
      <w:pPr>
        <w:rPr>
          <w:rFonts w:hint="eastAsia"/>
        </w:rPr>
      </w:pPr>
      <w:r>
        <w:t>Commitment: $10 billion. Focus: Energy, Transport, Housing. Mechanism: Structured through Saudi-Iranian bilateral reconstruction committee. Timeline: $3B within 90 days.</w:t>
      </w:r>
    </w:p>
    <w:p w14:paraId="31AC36B0" w14:textId="77777777" w:rsidR="00CA7ABD" w:rsidRDefault="00000000">
      <w:pPr>
        <w:pStyle w:val="Heading3"/>
        <w:rPr>
          <w:rFonts w:hint="eastAsia"/>
        </w:rPr>
      </w:pPr>
      <w:r>
        <w:t>A.1.3 UAE Abu Dhabi Investment Authority (ADIA)</w:t>
      </w:r>
    </w:p>
    <w:p w14:paraId="36BAC0D9" w14:textId="77777777" w:rsidR="00CA7ABD" w:rsidRDefault="00000000">
      <w:pPr>
        <w:rPr>
          <w:rFonts w:hint="eastAsia"/>
        </w:rPr>
      </w:pPr>
      <w:r>
        <w:t>Commitment: $8 billion. Focus: Transport, Energy. Mechanism: Direct deposit through UAE Central Bank coordination. Timeline: $2B within 60 days.</w:t>
      </w:r>
    </w:p>
    <w:p w14:paraId="3585268A" w14:textId="77777777" w:rsidR="00CA7ABD" w:rsidRDefault="00000000">
      <w:pPr>
        <w:pStyle w:val="Heading3"/>
        <w:rPr>
          <w:rFonts w:hint="eastAsia"/>
        </w:rPr>
      </w:pPr>
      <w:r>
        <w:t>A.1.4 World Bank</w:t>
      </w:r>
    </w:p>
    <w:p w14:paraId="50245094" w14:textId="77777777" w:rsidR="00CA7ABD" w:rsidRDefault="00000000">
      <w:pPr>
        <w:rPr>
          <w:rFonts w:hint="eastAsia"/>
        </w:rPr>
      </w:pPr>
      <w:r>
        <w:t>Commitment: $5 billion in concessional financing. Focus: Water, Education, Agriculture. Mechanism: IDA credits and IBRD loans. Timeline: $1B within 120 days.</w:t>
      </w:r>
    </w:p>
    <w:p w14:paraId="1C340C71" w14:textId="77777777" w:rsidR="00CA7ABD" w:rsidRDefault="00000000">
      <w:pPr>
        <w:pStyle w:val="Heading3"/>
        <w:rPr>
          <w:rFonts w:hint="eastAsia"/>
        </w:rPr>
      </w:pPr>
      <w:r>
        <w:t>A.1.5 Islamic Development Bank (IsDB)</w:t>
      </w:r>
    </w:p>
    <w:p w14:paraId="13CE1A41" w14:textId="77777777" w:rsidR="00CA7ABD" w:rsidRDefault="00000000">
      <w:pPr>
        <w:rPr>
          <w:rFonts w:hint="eastAsia"/>
        </w:rPr>
      </w:pPr>
      <w:r>
        <w:t>Commitment: $4 billion. Focus: Healthcare, Education, Housing. Mechanism: Islamic financing instruments (Ijara, Istisna, Mudaraba). Timeline: $1B within 90 days.</w:t>
      </w:r>
    </w:p>
    <w:p w14:paraId="64D1E2DD" w14:textId="77777777" w:rsidR="00CA7ABD" w:rsidRDefault="00000000">
      <w:pPr>
        <w:pStyle w:val="Heading3"/>
        <w:rPr>
          <w:rFonts w:hint="eastAsia"/>
        </w:rPr>
      </w:pPr>
      <w:r>
        <w:t>A.2 Major Contributors</w:t>
      </w:r>
    </w:p>
    <w:p w14:paraId="62F91B6A" w14:textId="77777777" w:rsidR="00CA7ABD" w:rsidRDefault="00000000">
      <w:pPr>
        <w:pStyle w:val="Heading3"/>
        <w:rPr>
          <w:rFonts w:hint="eastAsia"/>
        </w:rPr>
      </w:pPr>
      <w:r>
        <w:t>A.2.1 Asian Infrastructure Investment Bank (AIIB)</w:t>
      </w:r>
    </w:p>
    <w:p w14:paraId="099D9744" w14:textId="77777777" w:rsidR="00CA7ABD" w:rsidRDefault="00000000">
      <w:pPr>
        <w:rPr>
          <w:rFonts w:hint="eastAsia"/>
        </w:rPr>
      </w:pPr>
      <w:r>
        <w:t>Commitment: $3 billion. Focus: Transport, Energy infrastructure. Mechanism: Sovereign-backed project loans. Timeline: $1B within 180 days.</w:t>
      </w:r>
    </w:p>
    <w:p w14:paraId="7DC0B270" w14:textId="77777777" w:rsidR="00CA7ABD" w:rsidRDefault="00000000">
      <w:pPr>
        <w:pStyle w:val="Heading3"/>
        <w:rPr>
          <w:rFonts w:hint="eastAsia"/>
        </w:rPr>
      </w:pPr>
      <w:r>
        <w:t>A.2.2 European Bank for Reconstruction and Development (EBRD)</w:t>
      </w:r>
    </w:p>
    <w:p w14:paraId="648A6F5E" w14:textId="77777777" w:rsidR="00CA7ABD" w:rsidRDefault="00000000">
      <w:pPr>
        <w:rPr>
          <w:rFonts w:hint="eastAsia"/>
        </w:rPr>
      </w:pPr>
      <w:r>
        <w:t>Commitment: $2 billion. Focus: Private sector development, SME reconstruction. Mechanism: Direct lending and equity participation. Timeline: $500M within 120 days.</w:t>
      </w:r>
    </w:p>
    <w:p w14:paraId="2DDF4C94" w14:textId="77777777" w:rsidR="00CA7ABD" w:rsidRDefault="00000000">
      <w:pPr>
        <w:pStyle w:val="Heading3"/>
        <w:rPr>
          <w:rFonts w:hint="eastAsia"/>
        </w:rPr>
      </w:pPr>
      <w:r>
        <w:t>A.2.3 People's Republic of China (via AIIB and bilateral)</w:t>
      </w:r>
    </w:p>
    <w:p w14:paraId="6A89A507" w14:textId="77777777" w:rsidR="00CA7ABD" w:rsidRDefault="00000000">
      <w:pPr>
        <w:rPr>
          <w:rFonts w:hint="eastAsia"/>
        </w:rPr>
      </w:pPr>
      <w:r>
        <w:t>Commitment: $5 billion. Focus: Transport, Energy, Technology. Mechanism: Belt and Road Initiative coordination plus AIIB lending. Timeline: $2B within 180 days.</w:t>
      </w:r>
    </w:p>
    <w:p w14:paraId="3D8CE086" w14:textId="77777777" w:rsidR="00CA7ABD" w:rsidRDefault="00000000">
      <w:pPr>
        <w:pStyle w:val="Heading3"/>
        <w:rPr>
          <w:rFonts w:hint="eastAsia"/>
        </w:rPr>
      </w:pPr>
      <w:r>
        <w:t>A.2.4 European Union (through EFSD and bilateral)</w:t>
      </w:r>
    </w:p>
    <w:p w14:paraId="608E4C7E" w14:textId="77777777" w:rsidR="00CA7ABD" w:rsidRDefault="00000000">
      <w:pPr>
        <w:rPr>
          <w:rFonts w:hint="eastAsia"/>
        </w:rPr>
      </w:pPr>
      <w:r>
        <w:t>Commitment: $2 billion. Focus: Water, Environment, Governance. Mechanism: European Fund for Sustainable Development plus member state bilateral contributions. Timeline: $500M within 180 days.</w:t>
      </w:r>
    </w:p>
    <w:p w14:paraId="4E19797B" w14:textId="77777777" w:rsidR="00CA7ABD" w:rsidRDefault="00000000">
      <w:pPr>
        <w:pStyle w:val="Heading3"/>
        <w:rPr>
          <w:rFonts w:hint="eastAsia"/>
        </w:rPr>
      </w:pPr>
      <w:r>
        <w:t>A.2.5 Government of Japan (JICA)</w:t>
      </w:r>
    </w:p>
    <w:p w14:paraId="42563940" w14:textId="77777777" w:rsidR="00CA7ABD" w:rsidRDefault="00000000">
      <w:pPr>
        <w:rPr>
          <w:rFonts w:hint="eastAsia"/>
        </w:rPr>
      </w:pPr>
      <w:r>
        <w:t>Commitment: $1.5 billion. Focus: Water, Energy efficiency, Disaster resilience. Mechanism: JICA concessional loans and grants. Timeline: $400M within 180 days.</w:t>
      </w:r>
    </w:p>
    <w:p w14:paraId="00DF36BA" w14:textId="77777777" w:rsidR="00CA7ABD" w:rsidRDefault="00000000">
      <w:pPr>
        <w:pStyle w:val="Heading3"/>
        <w:rPr>
          <w:rFonts w:hint="eastAsia"/>
        </w:rPr>
      </w:pPr>
      <w:r>
        <w:t>A.3 Supporting Contributors</w:t>
      </w:r>
    </w:p>
    <w:p w14:paraId="0E433552" w14:textId="77777777" w:rsidR="00CA7ABD" w:rsidRDefault="00000000">
      <w:pPr>
        <w:rPr>
          <w:rFonts w:hint="eastAsia"/>
        </w:rPr>
      </w:pPr>
      <w:r>
        <w:t>Supporting contributors include regional pension funds, sovereign-backed insurance entities, and international infrastructure investment funds. Representative participants:</w:t>
      </w:r>
    </w:p>
    <w:p w14:paraId="436143A9" w14:textId="77777777" w:rsidR="00CA7ABD" w:rsidRDefault="00000000">
      <w:pPr>
        <w:ind w:left="360"/>
        <w:rPr>
          <w:rFonts w:hint="eastAsia"/>
        </w:rPr>
      </w:pPr>
      <w:r>
        <w:rPr>
          <w:color w:val="37474F"/>
        </w:rPr>
        <w:t>•</w:t>
      </w:r>
      <w:r>
        <w:t>GCC Sovereign Pension Funds: Collective commitment of $3 billion across energy and housing sectors</w:t>
      </w:r>
    </w:p>
    <w:p w14:paraId="056D8A92" w14:textId="77777777" w:rsidR="00CA7ABD" w:rsidRDefault="00000000">
      <w:pPr>
        <w:ind w:left="360"/>
        <w:rPr>
          <w:rFonts w:hint="eastAsia"/>
        </w:rPr>
      </w:pPr>
      <w:r>
        <w:rPr>
          <w:color w:val="37474F"/>
        </w:rPr>
        <w:t>•</w:t>
      </w:r>
      <w:r>
        <w:t>Regional Infrastructure Funds: $1.5 billion focused on transport and logistics</w:t>
      </w:r>
    </w:p>
    <w:p w14:paraId="5669A881" w14:textId="77777777" w:rsidR="00CA7ABD" w:rsidRDefault="00000000">
      <w:pPr>
        <w:ind w:left="360"/>
        <w:rPr>
          <w:rFonts w:hint="eastAsia"/>
        </w:rPr>
      </w:pPr>
      <w:r>
        <w:rPr>
          <w:color w:val="37474F"/>
        </w:rPr>
        <w:t>•</w:t>
      </w:r>
      <w:r>
        <w:t>International Pension Funds (Norway GPFG, Canadian CPP): $2 billion in green energy and water infrastructure</w:t>
      </w:r>
    </w:p>
    <w:p w14:paraId="2E722FCF" w14:textId="77777777" w:rsidR="00CA7ABD" w:rsidRDefault="00000000">
      <w:pPr>
        <w:pStyle w:val="Heading3"/>
        <w:rPr>
          <w:rFonts w:hint="eastAsia"/>
        </w:rPr>
      </w:pPr>
      <w:r>
        <w:t>A.4 Humanitarian Contributors</w:t>
      </w:r>
    </w:p>
    <w:p w14:paraId="6DA0F4F5" w14:textId="77777777" w:rsidR="00CA7ABD" w:rsidRDefault="00000000">
      <w:pPr>
        <w:rPr>
          <w:rFonts w:hint="eastAsia"/>
        </w:rPr>
      </w:pPr>
      <w:r>
        <w:t>Humanitarian contributions target immediate relief and foundational reconstruction:</w:t>
      </w:r>
    </w:p>
    <w:p w14:paraId="52E25643" w14:textId="77777777" w:rsidR="00CA7ABD" w:rsidRDefault="00000000">
      <w:pPr>
        <w:ind w:left="360"/>
        <w:rPr>
          <w:rFonts w:hint="eastAsia"/>
        </w:rPr>
      </w:pPr>
      <w:r>
        <w:rPr>
          <w:color w:val="37474F"/>
        </w:rPr>
        <w:t>•</w:t>
      </w:r>
      <w:r>
        <w:t>UN OCHA: $200 million for emergency infrastructure repair</w:t>
      </w:r>
    </w:p>
    <w:p w14:paraId="50141A89" w14:textId="77777777" w:rsidR="00CA7ABD" w:rsidRDefault="00000000">
      <w:pPr>
        <w:ind w:left="360"/>
        <w:rPr>
          <w:rFonts w:hint="eastAsia"/>
        </w:rPr>
      </w:pPr>
      <w:r>
        <w:rPr>
          <w:color w:val="37474F"/>
        </w:rPr>
        <w:t>•</w:t>
      </w:r>
      <w:r>
        <w:t>WHO: $150 million for healthcare facility rehabilitation</w:t>
      </w:r>
    </w:p>
    <w:p w14:paraId="2E4ADD93" w14:textId="77777777" w:rsidR="00CA7ABD" w:rsidRDefault="00000000">
      <w:pPr>
        <w:ind w:left="360"/>
        <w:rPr>
          <w:rFonts w:hint="eastAsia"/>
        </w:rPr>
      </w:pPr>
      <w:r>
        <w:rPr>
          <w:color w:val="37474F"/>
        </w:rPr>
        <w:t>•</w:t>
      </w:r>
      <w:r>
        <w:t>UNICEF: $100 million for education infrastructure and child-protection facilities</w:t>
      </w:r>
    </w:p>
    <w:p w14:paraId="09232826" w14:textId="77777777" w:rsidR="00CA7ABD" w:rsidRDefault="00000000">
      <w:pPr>
        <w:ind w:left="360"/>
        <w:rPr>
          <w:rFonts w:hint="eastAsia"/>
        </w:rPr>
      </w:pPr>
      <w:r>
        <w:rPr>
          <w:color w:val="37474F"/>
        </w:rPr>
        <w:t>•</w:t>
      </w:r>
      <w:r>
        <w:t>International Committee of the Red Cross: $80 million for medical and water infrastructure</w:t>
      </w:r>
    </w:p>
    <w:p w14:paraId="24C7E1D2" w14:textId="77777777" w:rsidR="00CA7ABD" w:rsidRDefault="00000000">
      <w:pPr>
        <w:ind w:left="360"/>
        <w:rPr>
          <w:rFonts w:hint="eastAsia"/>
        </w:rPr>
      </w:pPr>
      <w:r>
        <w:rPr>
          <w:color w:val="37474F"/>
        </w:rPr>
        <w:t>•</w:t>
      </w:r>
      <w:r>
        <w:t>World Food Programme: $120 million for agricultural restoration and food security</w:t>
      </w:r>
    </w:p>
    <w:p w14:paraId="232EE89E" w14:textId="77777777" w:rsidR="00CA7ABD" w:rsidRDefault="00000000">
      <w:pPr>
        <w:pStyle w:val="Heading2"/>
        <w:rPr>
          <w:rFonts w:hint="eastAsia"/>
        </w:rPr>
      </w:pPr>
      <w:r>
        <w:t>Appendix B: Regional Development Funds and Grant Programs</w:t>
      </w:r>
    </w:p>
    <w:p w14:paraId="599EB922" w14:textId="77777777" w:rsidR="00CA7ABD" w:rsidRDefault="00000000">
      <w:pPr>
        <w:rPr>
          <w:rFonts w:hint="eastAsia"/>
        </w:rPr>
      </w:pPr>
      <w:r>
        <w:t>This Appendix identifies regional funds, grant programs, and charitable foundations available for Iranian reconstruction coordination. The MRF secretariat maintains active engagement with each listed entity.</w:t>
      </w:r>
    </w:p>
    <w:p w14:paraId="39312EFC" w14:textId="77777777" w:rsidR="00CA7ABD" w:rsidRDefault="00000000">
      <w:pPr>
        <w:pStyle w:val="Heading3"/>
        <w:rPr>
          <w:rFonts w:hint="eastAsia"/>
        </w:rPr>
      </w:pPr>
      <w:r>
        <w:t>B.1 Middle East and North Africa Regional Funds</w:t>
      </w:r>
    </w:p>
    <w:p w14:paraId="2EE44706" w14:textId="77777777" w:rsidR="00CA7ABD" w:rsidRDefault="00000000">
      <w:pPr>
        <w:pStyle w:val="Heading3"/>
        <w:rPr>
          <w:rFonts w:hint="eastAsia"/>
        </w:rPr>
      </w:pPr>
      <w:r>
        <w:t>B.1.1 Arab Fund for Economic and Social Development (AFESD)</w:t>
      </w:r>
    </w:p>
    <w:p w14:paraId="068583FB" w14:textId="77777777" w:rsidR="00CA7ABD" w:rsidRDefault="00000000">
      <w:pPr>
        <w:rPr>
          <w:rFonts w:hint="eastAsia"/>
        </w:rPr>
      </w:pPr>
      <w:r>
        <w:t>The AFESD maintains a mandate for reconstruction financing across Arab states. Iran qualifies through regional cooperation frameworks. Potential allocation: $500 million for transport and water infrastructure. Application process: Joint submission through the MRF-RSC with Arab League coordination.</w:t>
      </w:r>
    </w:p>
    <w:p w14:paraId="4B24DCA5" w14:textId="77777777" w:rsidR="00CA7ABD" w:rsidRDefault="00000000">
      <w:pPr>
        <w:pStyle w:val="Heading3"/>
        <w:rPr>
          <w:rFonts w:hint="eastAsia"/>
        </w:rPr>
      </w:pPr>
      <w:r>
        <w:t>B.1.2 OPEC Fund for International Development (OFID)</w:t>
      </w:r>
    </w:p>
    <w:p w14:paraId="60318313" w14:textId="77777777" w:rsidR="00CA7ABD" w:rsidRDefault="00000000">
      <w:pPr>
        <w:rPr>
          <w:rFonts w:hint="eastAsia"/>
        </w:rPr>
      </w:pPr>
      <w:r>
        <w:t>OFID provides concessional financing for energy infrastructure and poverty reduction. Iran, as a founding OPEC member, retains full access. Potential allocation: $400 million for energy grid modernization.</w:t>
      </w:r>
    </w:p>
    <w:p w14:paraId="667E67A3" w14:textId="77777777" w:rsidR="00CA7ABD" w:rsidRDefault="00000000">
      <w:pPr>
        <w:pStyle w:val="Heading3"/>
        <w:rPr>
          <w:rFonts w:hint="eastAsia"/>
        </w:rPr>
      </w:pPr>
      <w:r>
        <w:t>B.1.3 Arab Monetary Fund (AMF)</w:t>
      </w:r>
    </w:p>
    <w:p w14:paraId="1A5ABC19" w14:textId="77777777" w:rsidR="00CA7ABD" w:rsidRDefault="00000000">
      <w:pPr>
        <w:rPr>
          <w:rFonts w:hint="eastAsia"/>
        </w:rPr>
      </w:pPr>
      <w:r>
        <w:t>The AMF offers balance-of-payments support and structural adjustment financing. Coordination with MRF macroeconomic stabilization: $300 million in complementary financing.</w:t>
      </w:r>
    </w:p>
    <w:p w14:paraId="25EEC36E" w14:textId="77777777" w:rsidR="00CA7ABD" w:rsidRDefault="00000000">
      <w:pPr>
        <w:pStyle w:val="Heading3"/>
        <w:rPr>
          <w:rFonts w:hint="eastAsia"/>
        </w:rPr>
      </w:pPr>
      <w:r>
        <w:t>B.2 International Grant Programs</w:t>
      </w:r>
    </w:p>
    <w:p w14:paraId="53CC1D37" w14:textId="77777777" w:rsidR="00CA7ABD" w:rsidRDefault="00000000">
      <w:pPr>
        <w:pStyle w:val="Heading3"/>
        <w:rPr>
          <w:rFonts w:hint="eastAsia"/>
        </w:rPr>
      </w:pPr>
      <w:r>
        <w:t>B.2.1 UN Development Programme (UNDP): Iran Recovery Facility</w:t>
      </w:r>
    </w:p>
    <w:p w14:paraId="5889A10B" w14:textId="77777777" w:rsidR="00CA7ABD" w:rsidRDefault="00000000">
      <w:pPr>
        <w:rPr>
          <w:rFonts w:hint="eastAsia"/>
        </w:rPr>
      </w:pPr>
      <w:r>
        <w:t>UNDP establishes a dedicated Iran Recovery Facility with $250 million in committed grant financing. Focus: Governance restoration, institutional capacity, rule-of-law infrastructure. Eligibility: Automatic for MRF-approved projects with governance components.</w:t>
      </w:r>
    </w:p>
    <w:p w14:paraId="32F40993" w14:textId="77777777" w:rsidR="00CA7ABD" w:rsidRDefault="00000000">
      <w:pPr>
        <w:pStyle w:val="Heading3"/>
        <w:rPr>
          <w:rFonts w:hint="eastAsia"/>
        </w:rPr>
      </w:pPr>
      <w:r>
        <w:t>B.2.2 Global Fund for Disaster Reduction (GFDRR)</w:t>
      </w:r>
    </w:p>
    <w:p w14:paraId="5720196D" w14:textId="77777777" w:rsidR="00CA7ABD" w:rsidRDefault="00000000">
      <w:pPr>
        <w:rPr>
          <w:rFonts w:hint="eastAsia"/>
        </w:rPr>
      </w:pPr>
      <w:r>
        <w:t>GFDRR provides technical assistance and grant financing for disaster-resilient reconstruction. Iran qualifies under post-conflict reconstruction protocols. Allocation: $50 million in technical grants for earthquake-resistant construction standards.</w:t>
      </w:r>
    </w:p>
    <w:p w14:paraId="057C6050" w14:textId="77777777" w:rsidR="00CA7ABD" w:rsidRDefault="00000000">
      <w:pPr>
        <w:pStyle w:val="Heading3"/>
        <w:rPr>
          <w:rFonts w:hint="eastAsia"/>
        </w:rPr>
      </w:pPr>
      <w:r>
        <w:t>B.2.3 Green Climate Fund (GCF)</w:t>
      </w:r>
    </w:p>
    <w:p w14:paraId="0F879E41" w14:textId="77777777" w:rsidR="00CA7ABD" w:rsidRDefault="00000000">
      <w:pPr>
        <w:rPr>
          <w:rFonts w:hint="eastAsia"/>
        </w:rPr>
      </w:pPr>
      <w:r>
        <w:t>The GCF supports climate-resilient infrastructure in developing countries. Iran qualifies for $200 million in grant and concessional financing for green energy and water efficiency projects.</w:t>
      </w:r>
    </w:p>
    <w:p w14:paraId="60CED823" w14:textId="77777777" w:rsidR="00CA7ABD" w:rsidRDefault="00000000">
      <w:pPr>
        <w:pStyle w:val="Heading3"/>
        <w:rPr>
          <w:rFonts w:hint="eastAsia"/>
        </w:rPr>
      </w:pPr>
      <w:r>
        <w:t>B.3 Charitable and Foundation Sources</w:t>
      </w:r>
    </w:p>
    <w:p w14:paraId="7A469D37" w14:textId="77777777" w:rsidR="00CA7ABD" w:rsidRDefault="00000000">
      <w:pPr>
        <w:pStyle w:val="Heading3"/>
        <w:rPr>
          <w:rFonts w:hint="eastAsia"/>
        </w:rPr>
      </w:pPr>
      <w:r>
        <w:t>B.3.1 Alwaleed Philanthropies</w:t>
      </w:r>
    </w:p>
    <w:p w14:paraId="020A3368" w14:textId="77777777" w:rsidR="00CA7ABD" w:rsidRDefault="00000000">
      <w:pPr>
        <w:rPr>
          <w:rFonts w:hint="eastAsia"/>
        </w:rPr>
      </w:pPr>
      <w:r>
        <w:t>Prince Alwaleed's foundation commits $100 million for healthcare and education reconstruction in Iran. Focus: Hospital construction, medical equipment, university rehabilitation.</w:t>
      </w:r>
    </w:p>
    <w:p w14:paraId="5C62C9F6" w14:textId="77777777" w:rsidR="00CA7ABD" w:rsidRDefault="00000000">
      <w:pPr>
        <w:pStyle w:val="Heading3"/>
        <w:rPr>
          <w:rFonts w:hint="eastAsia"/>
        </w:rPr>
      </w:pPr>
      <w:r>
        <w:t>B.3.2 Mohammed bin Rashid Al Maktoum Foundation</w:t>
      </w:r>
    </w:p>
    <w:p w14:paraId="54EAD083" w14:textId="77777777" w:rsidR="00CA7ABD" w:rsidRDefault="00000000">
      <w:pPr>
        <w:rPr>
          <w:rFonts w:hint="eastAsia"/>
        </w:rPr>
      </w:pPr>
      <w:r>
        <w:t>The Foundation provides $75 million for education and knowledge infrastructure. Focus: Schools, vocational training centers, digital education platforms.</w:t>
      </w:r>
    </w:p>
    <w:p w14:paraId="4F4E22E1" w14:textId="77777777" w:rsidR="00CA7ABD" w:rsidRDefault="00000000">
      <w:pPr>
        <w:pStyle w:val="Heading3"/>
        <w:rPr>
          <w:rFonts w:hint="eastAsia"/>
        </w:rPr>
      </w:pPr>
      <w:r>
        <w:t>B.3.3 Sheikh Mohammed bin Zayed Conservation Fund</w:t>
      </w:r>
    </w:p>
    <w:p w14:paraId="039D0428" w14:textId="77777777" w:rsidR="00CA7ABD" w:rsidRDefault="00000000">
      <w:pPr>
        <w:rPr>
          <w:rFonts w:hint="eastAsia"/>
        </w:rPr>
      </w:pPr>
      <w:r>
        <w:t>Environmental restoration allocation: $40 million for ecosystem rehabilitation, protected area restoration, and biodiversity conservation in conflict-affected regions.</w:t>
      </w:r>
    </w:p>
    <w:p w14:paraId="39B53405" w14:textId="77777777" w:rsidR="00CA7ABD" w:rsidRDefault="00000000">
      <w:pPr>
        <w:pStyle w:val="Heading3"/>
        <w:rPr>
          <w:rFonts w:hint="eastAsia"/>
        </w:rPr>
      </w:pPr>
      <w:r>
        <w:t>B.4 Faith-Based and Diaspora Organizations</w:t>
      </w:r>
    </w:p>
    <w:p w14:paraId="77997436" w14:textId="77777777" w:rsidR="00CA7ABD" w:rsidRDefault="00000000">
      <w:pPr>
        <w:pStyle w:val="Heading3"/>
        <w:rPr>
          <w:rFonts w:hint="eastAsia"/>
        </w:rPr>
      </w:pPr>
      <w:r>
        <w:t>B.4.1 Iranian Diaspora Reconstruction Network</w:t>
      </w:r>
    </w:p>
    <w:p w14:paraId="550C37FF" w14:textId="77777777" w:rsidR="00CA7ABD" w:rsidRDefault="00000000">
      <w:pPr>
        <w:rPr>
          <w:rFonts w:hint="eastAsia"/>
        </w:rPr>
      </w:pPr>
      <w:r>
        <w:t>A coalition of Iranian diaspora professional associations, medical societies, and engineering organizations. Estimated capacity: $200 million in pro-bono professional services, medical equipment donations, and direct financial contributions.</w:t>
      </w:r>
    </w:p>
    <w:p w14:paraId="50CD1F8E" w14:textId="77777777" w:rsidR="00CA7ABD" w:rsidRDefault="00000000">
      <w:pPr>
        <w:pStyle w:val="Heading3"/>
        <w:rPr>
          <w:rFonts w:hint="eastAsia"/>
        </w:rPr>
      </w:pPr>
      <w:r>
        <w:t>B.4.2 Islamic Development Bank Waqf Fund</w:t>
      </w:r>
    </w:p>
    <w:p w14:paraId="68407655" w14:textId="77777777" w:rsidR="00CA7ABD" w:rsidRDefault="00000000">
      <w:pPr>
        <w:rPr>
          <w:rFonts w:hint="eastAsia"/>
        </w:rPr>
      </w:pPr>
      <w:r>
        <w:t>The Waqf Fund provides grant financing for social infrastructure (mosques, community centers, orphanages) in reconstruction contexts. Allocation: $60 million.</w:t>
      </w:r>
    </w:p>
    <w:p w14:paraId="0C087C5D" w14:textId="77777777" w:rsidR="00CA7ABD" w:rsidRDefault="00000000">
      <w:pPr>
        <w:pStyle w:val="Heading3"/>
        <w:rPr>
          <w:rFonts w:hint="eastAsia"/>
        </w:rPr>
      </w:pPr>
      <w:r>
        <w:t>B.4.3 Catholic Relief Services: Middle East</w:t>
      </w:r>
    </w:p>
    <w:p w14:paraId="3C97BB53" w14:textId="77777777" w:rsidR="00CA7ABD" w:rsidRDefault="00000000">
      <w:pPr>
        <w:rPr>
          <w:rFonts w:hint="eastAsia"/>
        </w:rPr>
      </w:pPr>
      <w:r>
        <w:t>CRS provides $30 million for healthcare, education, and community infrastructure in Iran, coordinated through the MRF humanitarian corridor.</w:t>
      </w:r>
    </w:p>
    <w:p w14:paraId="23FA3A31" w14:textId="77777777" w:rsidR="00CA7ABD" w:rsidRDefault="00000000">
      <w:pPr>
        <w:pStyle w:val="Heading3"/>
        <w:rPr>
          <w:rFonts w:hint="eastAsia"/>
        </w:rPr>
      </w:pPr>
      <w:r>
        <w:t>B.5 Private Sector and Corporate Philanthropy</w:t>
      </w:r>
    </w:p>
    <w:p w14:paraId="519737E0" w14:textId="77777777" w:rsidR="00CA7ABD" w:rsidRDefault="00000000">
      <w:pPr>
        <w:pStyle w:val="Heading3"/>
        <w:rPr>
          <w:rFonts w:hint="eastAsia"/>
        </w:rPr>
      </w:pPr>
      <w:r>
        <w:t>B.5.1 Siemens Foundation (Stiftung): Iran Energy Partnership</w:t>
      </w:r>
    </w:p>
    <w:p w14:paraId="3147708E" w14:textId="77777777" w:rsidR="00CA7ABD" w:rsidRDefault="00000000">
      <w:pPr>
        <w:rPr>
          <w:rFonts w:hint="eastAsia"/>
        </w:rPr>
      </w:pPr>
      <w:r>
        <w:t>The Siemens Foundation provides $150 million in equipment, engineering services, and training for power grid modernization. In-kind contribution valued at cost.</w:t>
      </w:r>
    </w:p>
    <w:p w14:paraId="1CB5CBCF" w14:textId="77777777" w:rsidR="00CA7ABD" w:rsidRDefault="00000000">
      <w:pPr>
        <w:pStyle w:val="Heading3"/>
        <w:rPr>
          <w:rFonts w:hint="eastAsia"/>
        </w:rPr>
      </w:pPr>
      <w:r>
        <w:t>B.5.2 TotalEnergies Foundation: Iran Renewable Energy</w:t>
      </w:r>
    </w:p>
    <w:p w14:paraId="05587DF9" w14:textId="77777777" w:rsidR="00CA7ABD" w:rsidRDefault="00000000">
      <w:pPr>
        <w:rPr>
          <w:rFonts w:hint="eastAsia"/>
        </w:rPr>
      </w:pPr>
      <w:r>
        <w:t>TotalEnergies commits $100 million for solar and wind energy infrastructure development, including technology transfer and training programs.</w:t>
      </w:r>
    </w:p>
    <w:p w14:paraId="2EE56EA8" w14:textId="77777777" w:rsidR="00CA7ABD" w:rsidRDefault="00000000">
      <w:pPr>
        <w:pStyle w:val="Heading3"/>
        <w:rPr>
          <w:rFonts w:hint="eastAsia"/>
        </w:rPr>
      </w:pPr>
      <w:r>
        <w:t>B.5.3 Huawei TECH4ALL Digital Iran</w:t>
      </w:r>
    </w:p>
    <w:p w14:paraId="32D2FB86" w14:textId="77777777" w:rsidR="00CA7ABD" w:rsidRDefault="00000000">
      <w:pPr>
        <w:rPr>
          <w:rFonts w:hint="eastAsia"/>
        </w:rPr>
      </w:pPr>
      <w:r>
        <w:t>Huawei provides $80 million in telecommunications infrastructure, digital education platforms, and smart-city technology for urban reconstruction.</w:t>
      </w:r>
    </w:p>
    <w:p w14:paraId="63080B02" w14:textId="77777777" w:rsidR="00CA7ABD" w:rsidRDefault="00000000">
      <w:pPr>
        <w:pStyle w:val="Heading3"/>
        <w:rPr>
          <w:rFonts w:hint="eastAsia"/>
        </w:rPr>
      </w:pPr>
      <w:r>
        <w:t>B.5.4 Samsung Engineering Reconstruction Fund</w:t>
      </w:r>
    </w:p>
    <w:p w14:paraId="469B48EF" w14:textId="77777777" w:rsidR="00CA7ABD" w:rsidRDefault="00000000">
      <w:pPr>
        <w:rPr>
          <w:rFonts w:hint="eastAsia"/>
        </w:rPr>
      </w:pPr>
      <w:r>
        <w:t>Samsung commits $60 million for construction equipment, engineering expertise, and technology transfer for housing and industrial reconstruction.</w:t>
      </w:r>
    </w:p>
    <w:p w14:paraId="4E49C04E" w14:textId="77777777" w:rsidR="00CA7ABD" w:rsidRDefault="00000000">
      <w:pPr>
        <w:pStyle w:val="Heading2"/>
        <w:rPr>
          <w:rFonts w:hint="eastAsia"/>
        </w:rPr>
      </w:pPr>
      <w:r>
        <w:t>Appendix C: The Multilateral Architecture</w:t>
      </w:r>
    </w:p>
    <w:p w14:paraId="7E63551C" w14:textId="77777777" w:rsidR="00CA7ABD" w:rsidRDefault="00000000">
      <w:pPr>
        <w:rPr>
          <w:rFonts w:hint="eastAsia"/>
        </w:rPr>
      </w:pPr>
      <w:r>
        <w:t>This Appendix describes the operational architecture of the MRF's capital aggregation model. The architecture distributes responsibility across multiple contributor categories, ensuring no single source bears disproportionate burden while maintaining political viability for all participants.</w:t>
      </w:r>
    </w:p>
    <w:p w14:paraId="43C51F23" w14:textId="77777777" w:rsidR="00CA7ABD" w:rsidRDefault="00000000">
      <w:pPr>
        <w:pStyle w:val="Heading3"/>
        <w:rPr>
          <w:rFonts w:hint="eastAsia"/>
        </w:rPr>
      </w:pPr>
      <w:r>
        <w:t>C.1 Architecture Overview</w:t>
      </w:r>
    </w:p>
    <w:tbl>
      <w:tblPr>
        <w:tblW w:w="5000" w:type="pct"/>
        <w:tblInd w:w="-8"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2163"/>
        <w:gridCol w:w="7063"/>
      </w:tblGrid>
      <w:tr w:rsidR="00CA7ABD" w14:paraId="1E16CC76" w14:textId="77777777">
        <w:tc>
          <w:tcPr>
            <w:tcW w:w="0" w:type="auto"/>
            <w:shd w:val="clear" w:color="auto" w:fill="37474F"/>
          </w:tcPr>
          <w:p w14:paraId="7C48673D" w14:textId="77777777" w:rsidR="00CA7ABD" w:rsidRDefault="00000000">
            <w:pPr>
              <w:rPr>
                <w:rFonts w:hint="eastAsia"/>
              </w:rPr>
            </w:pPr>
            <w:r>
              <w:rPr>
                <w:b/>
                <w:color w:val="FFFFFF"/>
                <w:sz w:val="19"/>
              </w:rPr>
              <w:t>Element</w:t>
            </w:r>
          </w:p>
        </w:tc>
        <w:tc>
          <w:tcPr>
            <w:tcW w:w="0" w:type="auto"/>
            <w:shd w:val="clear" w:color="auto" w:fill="37474F"/>
          </w:tcPr>
          <w:p w14:paraId="00AD9416" w14:textId="77777777" w:rsidR="00CA7ABD" w:rsidRDefault="00000000">
            <w:pPr>
              <w:rPr>
                <w:rFonts w:hint="eastAsia"/>
              </w:rPr>
            </w:pPr>
            <w:r>
              <w:rPr>
                <w:b/>
                <w:color w:val="FFFFFF"/>
                <w:sz w:val="19"/>
              </w:rPr>
              <w:t>Function</w:t>
            </w:r>
          </w:p>
        </w:tc>
      </w:tr>
      <w:tr w:rsidR="00CA7ABD" w14:paraId="7EBBA189" w14:textId="77777777">
        <w:tc>
          <w:tcPr>
            <w:tcW w:w="0" w:type="auto"/>
          </w:tcPr>
          <w:p w14:paraId="6BAE94BF" w14:textId="77777777" w:rsidR="00CA7ABD" w:rsidRDefault="00000000">
            <w:pPr>
              <w:rPr>
                <w:rFonts w:hint="eastAsia"/>
              </w:rPr>
            </w:pPr>
            <w:r>
              <w:rPr>
                <w:sz w:val="19"/>
              </w:rPr>
              <w:t>Multiple Contributors</w:t>
            </w:r>
          </w:p>
        </w:tc>
        <w:tc>
          <w:tcPr>
            <w:tcW w:w="0" w:type="auto"/>
          </w:tcPr>
          <w:p w14:paraId="238D4C7A" w14:textId="77777777" w:rsidR="00CA7ABD" w:rsidRDefault="00000000">
            <w:pPr>
              <w:rPr>
                <w:rFonts w:hint="eastAsia"/>
              </w:rPr>
            </w:pPr>
            <w:r>
              <w:rPr>
                <w:sz w:val="19"/>
              </w:rPr>
              <w:t>GCC states, international banks, private investors, and humanitarian organizations all contribute. No single source bears the full burden.</w:t>
            </w:r>
          </w:p>
        </w:tc>
      </w:tr>
      <w:tr w:rsidR="00CA7ABD" w14:paraId="38534D05" w14:textId="77777777">
        <w:tc>
          <w:tcPr>
            <w:tcW w:w="0" w:type="auto"/>
            <w:shd w:val="clear" w:color="auto" w:fill="ECEFF1"/>
          </w:tcPr>
          <w:p w14:paraId="7F30EDF7" w14:textId="77777777" w:rsidR="00CA7ABD" w:rsidRDefault="00000000">
            <w:pPr>
              <w:rPr>
                <w:rFonts w:hint="eastAsia"/>
              </w:rPr>
            </w:pPr>
            <w:r>
              <w:rPr>
                <w:sz w:val="19"/>
              </w:rPr>
              <w:t>Neutral Channeling</w:t>
            </w:r>
          </w:p>
        </w:tc>
        <w:tc>
          <w:tcPr>
            <w:tcW w:w="0" w:type="auto"/>
            <w:shd w:val="clear" w:color="auto" w:fill="ECEFF1"/>
          </w:tcPr>
          <w:p w14:paraId="13261DD6" w14:textId="77777777" w:rsidR="00CA7ABD" w:rsidRDefault="00000000">
            <w:pPr>
              <w:rPr>
                <w:rFonts w:hint="eastAsia"/>
              </w:rPr>
            </w:pPr>
            <w:r>
              <w:rPr>
                <w:sz w:val="19"/>
              </w:rPr>
              <w:t>All funds flow through Qatar Central Bank and the World Bank. The US provides technical assistance only: no direct cash.</w:t>
            </w:r>
          </w:p>
        </w:tc>
      </w:tr>
      <w:tr w:rsidR="00CA7ABD" w14:paraId="684C7F86" w14:textId="77777777">
        <w:tc>
          <w:tcPr>
            <w:tcW w:w="0" w:type="auto"/>
          </w:tcPr>
          <w:p w14:paraId="6EBE8E15" w14:textId="77777777" w:rsidR="00CA7ABD" w:rsidRDefault="00000000">
            <w:pPr>
              <w:rPr>
                <w:rFonts w:hint="eastAsia"/>
              </w:rPr>
            </w:pPr>
            <w:r>
              <w:rPr>
                <w:sz w:val="19"/>
              </w:rPr>
              <w:t>Iranian Sovereignty</w:t>
            </w:r>
          </w:p>
        </w:tc>
        <w:tc>
          <w:tcPr>
            <w:tcW w:w="0" w:type="auto"/>
          </w:tcPr>
          <w:p w14:paraId="1F5DB098" w14:textId="77777777" w:rsidR="00CA7ABD" w:rsidRDefault="00000000">
            <w:pPr>
              <w:rPr>
                <w:rFonts w:hint="eastAsia"/>
              </w:rPr>
            </w:pPr>
            <w:r>
              <w:rPr>
                <w:sz w:val="19"/>
              </w:rPr>
              <w:t>Iran proposes and prioritizes projects. The RSC does not impose external preferences.</w:t>
            </w:r>
          </w:p>
        </w:tc>
      </w:tr>
      <w:tr w:rsidR="00CA7ABD" w14:paraId="709B7971" w14:textId="77777777">
        <w:tc>
          <w:tcPr>
            <w:tcW w:w="0" w:type="auto"/>
            <w:shd w:val="clear" w:color="auto" w:fill="ECEFF1"/>
          </w:tcPr>
          <w:p w14:paraId="59C51C62" w14:textId="77777777" w:rsidR="00CA7ABD" w:rsidRDefault="00000000">
            <w:pPr>
              <w:rPr>
                <w:rFonts w:hint="eastAsia"/>
              </w:rPr>
            </w:pPr>
            <w:r>
              <w:rPr>
                <w:sz w:val="19"/>
              </w:rPr>
              <w:t>Technical Advisory Group</w:t>
            </w:r>
          </w:p>
        </w:tc>
        <w:tc>
          <w:tcPr>
            <w:tcW w:w="0" w:type="auto"/>
            <w:shd w:val="clear" w:color="auto" w:fill="ECEFF1"/>
          </w:tcPr>
          <w:p w14:paraId="79DEBA3C" w14:textId="77777777" w:rsidR="00CA7ABD" w:rsidRDefault="00000000">
            <w:pPr>
              <w:rPr>
                <w:rFonts w:hint="eastAsia"/>
              </w:rPr>
            </w:pPr>
            <w:r>
              <w:rPr>
                <w:sz w:val="19"/>
              </w:rPr>
              <w:t>Independent experts verify feasibility and milestone completion, ensuring transparency and credibility.</w:t>
            </w:r>
          </w:p>
        </w:tc>
      </w:tr>
      <w:tr w:rsidR="00CA7ABD" w14:paraId="3D8C7238" w14:textId="77777777">
        <w:tc>
          <w:tcPr>
            <w:tcW w:w="0" w:type="auto"/>
          </w:tcPr>
          <w:p w14:paraId="178EE8C0" w14:textId="77777777" w:rsidR="00CA7ABD" w:rsidRDefault="00000000">
            <w:pPr>
              <w:rPr>
                <w:rFonts w:hint="eastAsia"/>
              </w:rPr>
            </w:pPr>
            <w:r>
              <w:rPr>
                <w:sz w:val="19"/>
              </w:rPr>
              <w:t>Sanctions Firewall</w:t>
            </w:r>
          </w:p>
        </w:tc>
        <w:tc>
          <w:tcPr>
            <w:tcW w:w="0" w:type="auto"/>
          </w:tcPr>
          <w:p w14:paraId="6083DB99" w14:textId="77777777" w:rsidR="00CA7ABD" w:rsidRDefault="00000000">
            <w:pPr>
              <w:rPr>
                <w:rFonts w:hint="eastAsia"/>
              </w:rPr>
            </w:pPr>
            <w:r>
              <w:rPr>
                <w:sz w:val="19"/>
              </w:rPr>
              <w:t>OFAC general license protects all MRF transactions from secondary sanctions.</w:t>
            </w:r>
          </w:p>
        </w:tc>
      </w:tr>
      <w:tr w:rsidR="00CA7ABD" w14:paraId="400B86F0" w14:textId="77777777">
        <w:tc>
          <w:tcPr>
            <w:tcW w:w="0" w:type="auto"/>
            <w:shd w:val="clear" w:color="auto" w:fill="ECEFF1"/>
          </w:tcPr>
          <w:p w14:paraId="5006AEED" w14:textId="77777777" w:rsidR="00CA7ABD" w:rsidRDefault="00000000">
            <w:pPr>
              <w:rPr>
                <w:rFonts w:hint="eastAsia"/>
              </w:rPr>
            </w:pPr>
            <w:r>
              <w:rPr>
                <w:sz w:val="19"/>
              </w:rPr>
              <w:t>Performance-Based Disbursement</w:t>
            </w:r>
          </w:p>
        </w:tc>
        <w:tc>
          <w:tcPr>
            <w:tcW w:w="0" w:type="auto"/>
            <w:shd w:val="clear" w:color="auto" w:fill="ECEFF1"/>
          </w:tcPr>
          <w:p w14:paraId="2B71991C" w14:textId="77777777" w:rsidR="00CA7ABD" w:rsidRDefault="00000000">
            <w:pPr>
              <w:rPr>
                <w:rFonts w:hint="eastAsia"/>
              </w:rPr>
            </w:pPr>
            <w:r>
              <w:rPr>
                <w:sz w:val="19"/>
              </w:rPr>
              <w:t>Funds release only upon verified milestone completion. No cash up front.</w:t>
            </w:r>
          </w:p>
        </w:tc>
      </w:tr>
      <w:tr w:rsidR="00CA7ABD" w14:paraId="09EDB21A" w14:textId="77777777">
        <w:tc>
          <w:tcPr>
            <w:tcW w:w="0" w:type="auto"/>
          </w:tcPr>
          <w:p w14:paraId="15446EC5" w14:textId="77777777" w:rsidR="00CA7ABD" w:rsidRDefault="00000000">
            <w:pPr>
              <w:rPr>
                <w:rFonts w:hint="eastAsia"/>
              </w:rPr>
            </w:pPr>
            <w:r>
              <w:rPr>
                <w:sz w:val="19"/>
              </w:rPr>
              <w:t>No Clawback</w:t>
            </w:r>
          </w:p>
        </w:tc>
        <w:tc>
          <w:tcPr>
            <w:tcW w:w="0" w:type="auto"/>
          </w:tcPr>
          <w:p w14:paraId="7D5A3D46" w14:textId="77777777" w:rsidR="00CA7ABD" w:rsidRDefault="00000000">
            <w:pPr>
              <w:rPr>
                <w:rFonts w:hint="eastAsia"/>
              </w:rPr>
            </w:pPr>
            <w:r>
              <w:rPr>
                <w:sz w:val="19"/>
              </w:rPr>
              <w:t>Already-disbursed funds are irrevocable. This gives Iran confidence to invest in long-term projects.</w:t>
            </w:r>
          </w:p>
        </w:tc>
      </w:tr>
      <w:tr w:rsidR="00CA7ABD" w14:paraId="1A21FBF1" w14:textId="77777777">
        <w:tc>
          <w:tcPr>
            <w:tcW w:w="0" w:type="auto"/>
            <w:shd w:val="clear" w:color="auto" w:fill="ECEFF1"/>
          </w:tcPr>
          <w:p w14:paraId="7ED632BC" w14:textId="77777777" w:rsidR="00CA7ABD" w:rsidRDefault="00000000">
            <w:pPr>
              <w:rPr>
                <w:rFonts w:hint="eastAsia"/>
              </w:rPr>
            </w:pPr>
            <w:r>
              <w:rPr>
                <w:sz w:val="19"/>
              </w:rPr>
              <w:t>Sovereign Procurement Protection</w:t>
            </w:r>
          </w:p>
        </w:tc>
        <w:tc>
          <w:tcPr>
            <w:tcW w:w="0" w:type="auto"/>
            <w:shd w:val="clear" w:color="auto" w:fill="ECEFF1"/>
          </w:tcPr>
          <w:p w14:paraId="7A654556" w14:textId="77777777" w:rsidR="00CA7ABD" w:rsidRDefault="00000000">
            <w:pPr>
              <w:rPr>
                <w:rFonts w:hint="eastAsia"/>
              </w:rPr>
            </w:pPr>
            <w:r>
              <w:rPr>
                <w:sz w:val="19"/>
              </w:rPr>
              <w:t>Iran holds no obligation to purchase goods or services from any particular country. The framework architecture excludes directed purchasing.</w:t>
            </w:r>
          </w:p>
        </w:tc>
      </w:tr>
      <w:tr w:rsidR="00CA7ABD" w14:paraId="69DBCFFE" w14:textId="77777777">
        <w:tc>
          <w:tcPr>
            <w:tcW w:w="0" w:type="auto"/>
          </w:tcPr>
          <w:p w14:paraId="24CAFE3B" w14:textId="77777777" w:rsidR="00CA7ABD" w:rsidRDefault="00000000">
            <w:pPr>
              <w:rPr>
                <w:rFonts w:hint="eastAsia"/>
              </w:rPr>
            </w:pPr>
            <w:r>
              <w:rPr>
                <w:sz w:val="19"/>
              </w:rPr>
              <w:t>60-Day Automatic Review</w:t>
            </w:r>
          </w:p>
        </w:tc>
        <w:tc>
          <w:tcPr>
            <w:tcW w:w="0" w:type="auto"/>
          </w:tcPr>
          <w:p w14:paraId="1A87E152" w14:textId="77777777" w:rsidR="00CA7ABD" w:rsidRDefault="00000000">
            <w:pPr>
              <w:rPr>
                <w:rFonts w:hint="eastAsia"/>
              </w:rPr>
            </w:pPr>
            <w:r>
              <w:rPr>
                <w:sz w:val="19"/>
              </w:rPr>
              <w:t>The RSC convenes a mandatory Progress Assessment Session at Day 60 with formal recommendations. The framework architecture excludes procedural drift.</w:t>
            </w:r>
          </w:p>
        </w:tc>
      </w:tr>
      <w:tr w:rsidR="00CA7ABD" w14:paraId="037BD9BC" w14:textId="77777777">
        <w:tc>
          <w:tcPr>
            <w:tcW w:w="0" w:type="auto"/>
            <w:shd w:val="clear" w:color="auto" w:fill="ECEFF1"/>
          </w:tcPr>
          <w:p w14:paraId="30C72EDF" w14:textId="77777777" w:rsidR="00CA7ABD" w:rsidRDefault="00000000">
            <w:pPr>
              <w:rPr>
                <w:rFonts w:hint="eastAsia"/>
              </w:rPr>
            </w:pPr>
            <w:r>
              <w:rPr>
                <w:sz w:val="19"/>
              </w:rPr>
              <w:t>Modularity</w:t>
            </w:r>
          </w:p>
        </w:tc>
        <w:tc>
          <w:tcPr>
            <w:tcW w:w="0" w:type="auto"/>
            <w:shd w:val="clear" w:color="auto" w:fill="ECEFF1"/>
          </w:tcPr>
          <w:p w14:paraId="645DF48E" w14:textId="77777777" w:rsidR="00CA7ABD" w:rsidRDefault="00000000">
            <w:pPr>
              <w:rPr>
                <w:rFonts w:hint="eastAsia"/>
              </w:rPr>
            </w:pPr>
            <w:r>
              <w:rPr>
                <w:sz w:val="19"/>
              </w:rPr>
              <w:t>Eight independent sub-funds prevent a single sector failure from collapsing the entire reconstruction effort.</w:t>
            </w:r>
          </w:p>
        </w:tc>
      </w:tr>
      <w:tr w:rsidR="00CA7ABD" w14:paraId="6C7525AD" w14:textId="77777777">
        <w:tc>
          <w:tcPr>
            <w:tcW w:w="0" w:type="auto"/>
          </w:tcPr>
          <w:p w14:paraId="415CB539" w14:textId="77777777" w:rsidR="00CA7ABD" w:rsidRDefault="00000000">
            <w:pPr>
              <w:rPr>
                <w:rFonts w:hint="eastAsia"/>
              </w:rPr>
            </w:pPr>
            <w:r>
              <w:rPr>
                <w:sz w:val="19"/>
              </w:rPr>
              <w:t>60-Day Emergency Frame</w:t>
            </w:r>
          </w:p>
        </w:tc>
        <w:tc>
          <w:tcPr>
            <w:tcW w:w="0" w:type="auto"/>
          </w:tcPr>
          <w:p w14:paraId="1CA120D4" w14:textId="77777777" w:rsidR="00CA7ABD" w:rsidRDefault="00000000">
            <w:pPr>
              <w:rPr>
                <w:rFonts w:hint="eastAsia"/>
              </w:rPr>
            </w:pPr>
            <w:r>
              <w:rPr>
                <w:sz w:val="19"/>
              </w:rPr>
              <w:t>The MRF begins as a 60-day stabilization mechanism before transitioning to full execution.</w:t>
            </w:r>
          </w:p>
        </w:tc>
      </w:tr>
    </w:tbl>
    <w:p w14:paraId="653354AF" w14:textId="77777777" w:rsidR="00CA7ABD" w:rsidRDefault="00000000">
      <w:pPr>
        <w:pStyle w:val="Heading3"/>
        <w:rPr>
          <w:rFonts w:hint="eastAsia"/>
        </w:rPr>
      </w:pPr>
      <w:r>
        <w:t>C.2 Political Architecture</w:t>
      </w:r>
    </w:p>
    <w:p w14:paraId="7D449AB5" w14:textId="77777777" w:rsidR="00CA7ABD" w:rsidRDefault="00000000">
      <w:pPr>
        <w:rPr>
          <w:rFonts w:hint="eastAsia"/>
        </w:rPr>
      </w:pPr>
      <w:r>
        <w:t>The MRF's political viability rests on simultaneous satisfaction of constraints in multiple capitals:</w:t>
      </w:r>
    </w:p>
    <w:p w14:paraId="4BF0097D" w14:textId="77777777" w:rsidR="00CA7ABD" w:rsidRDefault="00000000">
      <w:pPr>
        <w:ind w:left="360"/>
        <w:rPr>
          <w:rFonts w:hint="eastAsia"/>
        </w:rPr>
      </w:pPr>
      <w:r>
        <w:rPr>
          <w:color w:val="37474F"/>
        </w:rPr>
        <w:t>•</w:t>
      </w:r>
      <w:r>
        <w:t>Washington: No direct U.S. cash to Iran. U.S. contributions are technical and diplomatic only.</w:t>
      </w:r>
    </w:p>
    <w:p w14:paraId="52A8E470" w14:textId="77777777" w:rsidR="00CA7ABD" w:rsidRDefault="00000000">
      <w:pPr>
        <w:ind w:left="360"/>
        <w:rPr>
          <w:rFonts w:hint="eastAsia"/>
        </w:rPr>
      </w:pPr>
      <w:r>
        <w:rPr>
          <w:color w:val="37474F"/>
        </w:rPr>
        <w:t>•</w:t>
      </w:r>
      <w:r>
        <w:t>Tehran: Iran controls project selection and retains sovereign authority over reconstruction priorities.</w:t>
      </w:r>
    </w:p>
    <w:p w14:paraId="34508956" w14:textId="77777777" w:rsidR="00CA7ABD" w:rsidRDefault="00000000">
      <w:pPr>
        <w:ind w:left="360"/>
        <w:rPr>
          <w:rFonts w:hint="eastAsia"/>
        </w:rPr>
      </w:pPr>
      <w:r>
        <w:rPr>
          <w:color w:val="37474F"/>
        </w:rPr>
        <w:t>•</w:t>
      </w:r>
      <w:r>
        <w:t>Riyadh/Abu Dhabi/Doha: GCC states lead the funding architecture, reinforcing regional leadership.</w:t>
      </w:r>
    </w:p>
    <w:p w14:paraId="10B16A42" w14:textId="77777777" w:rsidR="00CA7ABD" w:rsidRDefault="00000000">
      <w:pPr>
        <w:ind w:left="360"/>
        <w:rPr>
          <w:rFonts w:hint="eastAsia"/>
        </w:rPr>
      </w:pPr>
      <w:r>
        <w:rPr>
          <w:color w:val="37474F"/>
        </w:rPr>
        <w:t>•</w:t>
      </w:r>
      <w:r>
        <w:t>Beijing/Moscow: Major bilateral contributors gain project access and regional influence.</w:t>
      </w:r>
    </w:p>
    <w:p w14:paraId="01461A6E" w14:textId="77777777" w:rsidR="00CA7ABD" w:rsidRDefault="00000000">
      <w:pPr>
        <w:ind w:left="360"/>
        <w:rPr>
          <w:rFonts w:hint="eastAsia"/>
        </w:rPr>
      </w:pPr>
      <w:r>
        <w:rPr>
          <w:color w:val="37474F"/>
        </w:rPr>
        <w:t>•</w:t>
      </w:r>
      <w:r>
        <w:t>Brussels: EU contributions align with European development objectives and climate commitments.</w:t>
      </w:r>
    </w:p>
    <w:p w14:paraId="7970A721" w14:textId="77777777" w:rsidR="00CA7ABD" w:rsidRDefault="00000000">
      <w:pPr>
        <w:pStyle w:val="Heading3"/>
        <w:rPr>
          <w:rFonts w:hint="eastAsia"/>
        </w:rPr>
      </w:pPr>
      <w:r>
        <w:t>C.3 Financial Flow Architecture</w:t>
      </w:r>
    </w:p>
    <w:p w14:paraId="71C88D87" w14:textId="77777777" w:rsidR="00CA7ABD" w:rsidRDefault="00000000">
      <w:pPr>
        <w:rPr>
          <w:rFonts w:hint="eastAsia"/>
        </w:rPr>
      </w:pPr>
      <w:r>
        <w:t>Capital flows through the following pathway:</w:t>
      </w:r>
    </w:p>
    <w:p w14:paraId="35EA790B" w14:textId="77777777" w:rsidR="00CA7ABD" w:rsidRDefault="00000000">
      <w:pPr>
        <w:ind w:left="360"/>
        <w:rPr>
          <w:rFonts w:hint="eastAsia"/>
        </w:rPr>
      </w:pPr>
      <w:r>
        <w:rPr>
          <w:color w:val="37474F"/>
        </w:rPr>
        <w:t>•</w:t>
      </w:r>
      <w:r>
        <w:t>Step 1: Contributors deposit funds into designated accounts at the Qatar Central Bank</w:t>
      </w:r>
    </w:p>
    <w:p w14:paraId="7F325E5A" w14:textId="77777777" w:rsidR="00CA7ABD" w:rsidRDefault="00000000">
      <w:pPr>
        <w:ind w:left="360"/>
        <w:rPr>
          <w:rFonts w:hint="eastAsia"/>
        </w:rPr>
      </w:pPr>
      <w:r>
        <w:rPr>
          <w:color w:val="37474F"/>
        </w:rPr>
        <w:t>•</w:t>
      </w:r>
      <w:r>
        <w:t>Step 2: The World Bank verifies deposit and matches to Sub-Fund allocations</w:t>
      </w:r>
    </w:p>
    <w:p w14:paraId="4A5AAE36" w14:textId="77777777" w:rsidR="00CA7ABD" w:rsidRDefault="00000000">
      <w:pPr>
        <w:ind w:left="360"/>
        <w:rPr>
          <w:rFonts w:hint="eastAsia"/>
        </w:rPr>
      </w:pPr>
      <w:r>
        <w:rPr>
          <w:color w:val="37474F"/>
        </w:rPr>
        <w:t>•</w:t>
      </w:r>
      <w:r>
        <w:t>Step 3: Upon RSC approval and TAG verification, the Qatar Central Bank releases tranches to Iranian project accounts</w:t>
      </w:r>
    </w:p>
    <w:p w14:paraId="13DA2FDA" w14:textId="77777777" w:rsidR="00CA7ABD" w:rsidRDefault="00000000">
      <w:pPr>
        <w:ind w:left="360"/>
        <w:rPr>
          <w:rFonts w:hint="eastAsia"/>
        </w:rPr>
      </w:pPr>
      <w:r>
        <w:rPr>
          <w:color w:val="37474F"/>
        </w:rPr>
        <w:t>•</w:t>
      </w:r>
      <w:r>
        <w:t>Step 4: Iranian implementing agencies disburse to contractors and suppliers</w:t>
      </w:r>
    </w:p>
    <w:p w14:paraId="346A76B1" w14:textId="77777777" w:rsidR="00CA7ABD" w:rsidRDefault="00000000">
      <w:pPr>
        <w:ind w:left="360"/>
        <w:rPr>
          <w:rFonts w:hint="eastAsia"/>
        </w:rPr>
      </w:pPr>
      <w:r>
        <w:rPr>
          <w:color w:val="37474F"/>
        </w:rPr>
        <w:t>•</w:t>
      </w:r>
      <w:r>
        <w:t>Step 5: Independent auditors verify expenditure and milestone achievement</w:t>
      </w:r>
    </w:p>
    <w:p w14:paraId="73583C7D" w14:textId="77777777" w:rsidR="00CA7ABD" w:rsidRDefault="00000000">
      <w:pPr>
        <w:ind w:left="360"/>
        <w:rPr>
          <w:rFonts w:hint="eastAsia"/>
        </w:rPr>
      </w:pPr>
      <w:r>
        <w:rPr>
          <w:color w:val="37474F"/>
        </w:rPr>
        <w:t>•</w:t>
      </w:r>
      <w:r>
        <w:t>Step 6: TAG confirms verification; RSC authorizes next tranche</w:t>
      </w:r>
    </w:p>
    <w:p w14:paraId="1B157F99" w14:textId="77777777" w:rsidR="00CA7ABD" w:rsidRDefault="00000000">
      <w:pPr>
        <w:pStyle w:val="Heading2"/>
        <w:rPr>
          <w:rFonts w:hint="eastAsia"/>
        </w:rPr>
      </w:pPr>
      <w:r>
        <w:t>Appendix D: Supplementary Regional Programs</w:t>
      </w:r>
    </w:p>
    <w:p w14:paraId="22CCD18C" w14:textId="77777777" w:rsidR="00CA7ABD" w:rsidRDefault="00000000">
      <w:pPr>
        <w:rPr>
          <w:rFonts w:hint="eastAsia"/>
        </w:rPr>
      </w:pPr>
      <w:r>
        <w:t>This Appendix catalogs additional regional programs, bilateral frameworks, and specialized facilities that complement MRF operations. The RSC secretariat coordinates with these programs to prevent duplication and maximize leverage.</w:t>
      </w:r>
    </w:p>
    <w:p w14:paraId="268FADD8" w14:textId="77777777" w:rsidR="00CA7ABD" w:rsidRDefault="00000000">
      <w:pPr>
        <w:pStyle w:val="Heading3"/>
        <w:rPr>
          <w:rFonts w:hint="eastAsia"/>
        </w:rPr>
      </w:pPr>
      <w:r>
        <w:t>D.1 Bilateral Reconstruction Programs</w:t>
      </w:r>
    </w:p>
    <w:p w14:paraId="710D03F8" w14:textId="77777777" w:rsidR="00CA7ABD" w:rsidRDefault="00000000">
      <w:pPr>
        <w:pStyle w:val="Heading3"/>
        <w:rPr>
          <w:rFonts w:hint="eastAsia"/>
        </w:rPr>
      </w:pPr>
      <w:r>
        <w:t>D.1.1 China-Iran 25-Year Cooperation Program: Reconstruction Window</w:t>
      </w:r>
    </w:p>
    <w:p w14:paraId="1B5E2C65" w14:textId="77777777" w:rsidR="00CA7ABD" w:rsidRDefault="00000000">
      <w:pPr>
        <w:rPr>
          <w:rFonts w:hint="eastAsia"/>
        </w:rPr>
      </w:pPr>
      <w:r>
        <w:t>The Comprehensive Strategic Partnership between China and Iran includes a dedicated reconstruction window of $10 billion over 10 years. This financing operates outside MRF structures but coordinates through the RSC to avoid duplication. Focus: Energy, transport, technology, industrial zones.</w:t>
      </w:r>
    </w:p>
    <w:p w14:paraId="06D9D65E" w14:textId="77777777" w:rsidR="00CA7ABD" w:rsidRDefault="00000000">
      <w:pPr>
        <w:pStyle w:val="Heading3"/>
        <w:rPr>
          <w:rFonts w:hint="eastAsia"/>
        </w:rPr>
      </w:pPr>
      <w:r>
        <w:t>D.1.2 Russia-Iran Infrastructure Cooperation</w:t>
      </w:r>
    </w:p>
    <w:p w14:paraId="6E01860C" w14:textId="77777777" w:rsidR="00CA7ABD" w:rsidRDefault="00000000">
      <w:pPr>
        <w:rPr>
          <w:rFonts w:hint="eastAsia"/>
        </w:rPr>
      </w:pPr>
      <w:r>
        <w:t>Russia provides $3 billion in infrastructure financing through VEB.RF and bilateral arrangements. Focus: Nuclear energy (Bushehr expansion), rail corridors, port modernization. Coordination: Through MRF-Energy and MRF-Transport Sub-Funds.</w:t>
      </w:r>
    </w:p>
    <w:p w14:paraId="4B807983" w14:textId="77777777" w:rsidR="00CA7ABD" w:rsidRDefault="00000000">
      <w:pPr>
        <w:pStyle w:val="Heading3"/>
        <w:rPr>
          <w:rFonts w:hint="eastAsia"/>
        </w:rPr>
      </w:pPr>
      <w:r>
        <w:t>D.1.3 India-Iran Chabahar Corridor Development</w:t>
      </w:r>
    </w:p>
    <w:p w14:paraId="1AC279DF" w14:textId="77777777" w:rsidR="00CA7ABD" w:rsidRDefault="00000000">
      <w:pPr>
        <w:rPr>
          <w:rFonts w:hint="eastAsia"/>
        </w:rPr>
      </w:pPr>
      <w:r>
        <w:t>India commits $1.5 billion for Chabahar port and associated rail/road infrastructure. This bilateral program coordinates with MRF-Transport for seamless integration.</w:t>
      </w:r>
    </w:p>
    <w:p w14:paraId="31CA2D57" w14:textId="77777777" w:rsidR="00CA7ABD" w:rsidRDefault="00000000">
      <w:pPr>
        <w:pStyle w:val="Heading3"/>
        <w:rPr>
          <w:rFonts w:hint="eastAsia"/>
        </w:rPr>
      </w:pPr>
      <w:r>
        <w:t>D.2 Specialized International Facilities</w:t>
      </w:r>
    </w:p>
    <w:p w14:paraId="343A2777" w14:textId="77777777" w:rsidR="00CA7ABD" w:rsidRDefault="00000000">
      <w:pPr>
        <w:pStyle w:val="Heading3"/>
        <w:rPr>
          <w:rFonts w:hint="eastAsia"/>
        </w:rPr>
      </w:pPr>
      <w:r>
        <w:t>D.2.1 IMF Post-Conflict Reconstruction Facility</w:t>
      </w:r>
    </w:p>
    <w:p w14:paraId="3608D74C" w14:textId="77777777" w:rsidR="00CA7ABD" w:rsidRDefault="00000000">
      <w:pPr>
        <w:rPr>
          <w:rFonts w:hint="eastAsia"/>
        </w:rPr>
      </w:pPr>
      <w:r>
        <w:t>The IMF establishes a dedicated facility for Iran with $5 billion in standby financing for macroeconomic stabilization and balance-of-payments support. This operates in parallel with MRF project financing.</w:t>
      </w:r>
    </w:p>
    <w:p w14:paraId="0C385B00" w14:textId="77777777" w:rsidR="00CA7ABD" w:rsidRDefault="00000000">
      <w:pPr>
        <w:pStyle w:val="Heading3"/>
        <w:rPr>
          <w:rFonts w:hint="eastAsia"/>
        </w:rPr>
      </w:pPr>
      <w:r>
        <w:t>D.2.2 World Bank Iran Reconstruction Trust Fund</w:t>
      </w:r>
    </w:p>
    <w:p w14:paraId="6907C10D" w14:textId="77777777" w:rsidR="00CA7ABD" w:rsidRDefault="00000000">
      <w:pPr>
        <w:rPr>
          <w:rFonts w:hint="eastAsia"/>
        </w:rPr>
      </w:pPr>
      <w:r>
        <w:t>The World Bank administers a multi-donor trust fund of $3 billion for technical assistance, capacity building, and project preparation. This fund supports MRF operations by financing feasibility studies, environmental assessments, and procurement preparation.</w:t>
      </w:r>
    </w:p>
    <w:p w14:paraId="6985F672" w14:textId="77777777" w:rsidR="00CA7ABD" w:rsidRDefault="00000000">
      <w:pPr>
        <w:pStyle w:val="Heading3"/>
        <w:rPr>
          <w:rFonts w:hint="eastAsia"/>
        </w:rPr>
      </w:pPr>
      <w:r>
        <w:t>D.2.3 EBRD Iran Private Sector Window</w:t>
      </w:r>
    </w:p>
    <w:p w14:paraId="534C74BD" w14:textId="77777777" w:rsidR="00CA7ABD" w:rsidRDefault="00000000">
      <w:pPr>
        <w:rPr>
          <w:rFonts w:hint="eastAsia"/>
        </w:rPr>
      </w:pPr>
      <w:r>
        <w:t>The EBRD opens a private sector window of $1 billion for SME reconstruction, industrial rehabilitation, and private infrastructure development. Eligibility: Private sector entities with MRF-approved project linkages.</w:t>
      </w:r>
    </w:p>
    <w:p w14:paraId="37276422" w14:textId="77777777" w:rsidR="00CA7ABD" w:rsidRDefault="00000000">
      <w:pPr>
        <w:pStyle w:val="Heading3"/>
        <w:rPr>
          <w:rFonts w:hint="eastAsia"/>
        </w:rPr>
      </w:pPr>
      <w:r>
        <w:t>D.3 Humanitarian and Emergency Programs</w:t>
      </w:r>
    </w:p>
    <w:p w14:paraId="7D392E49" w14:textId="77777777" w:rsidR="00CA7ABD" w:rsidRDefault="00000000">
      <w:pPr>
        <w:pStyle w:val="Heading3"/>
        <w:rPr>
          <w:rFonts w:hint="eastAsia"/>
        </w:rPr>
      </w:pPr>
      <w:r>
        <w:t>D.3.1 UN Central Emergency Response Fund (CERF)</w:t>
      </w:r>
    </w:p>
    <w:p w14:paraId="15B1A0BB" w14:textId="77777777" w:rsidR="00CA7ABD" w:rsidRDefault="00000000">
      <w:pPr>
        <w:rPr>
          <w:rFonts w:hint="eastAsia"/>
        </w:rPr>
      </w:pPr>
      <w:r>
        <w:t>CERF provides rapid-response grants for urgent humanitarian infrastructure repair. Allocation for Iran: $100 million in initial tranches for water, health, and shelter.</w:t>
      </w:r>
    </w:p>
    <w:p w14:paraId="5A6FE34C" w14:textId="77777777" w:rsidR="00CA7ABD" w:rsidRDefault="00000000">
      <w:pPr>
        <w:pStyle w:val="Heading3"/>
        <w:rPr>
          <w:rFonts w:hint="eastAsia"/>
        </w:rPr>
      </w:pPr>
      <w:r>
        <w:t>D.3.2 International Federation of Red Cross and Red Crescent Societies</w:t>
      </w:r>
    </w:p>
    <w:p w14:paraId="116FD1C0" w14:textId="77777777" w:rsidR="00CA7ABD" w:rsidRDefault="00000000">
      <w:pPr>
        <w:rPr>
          <w:rFonts w:hint="eastAsia"/>
        </w:rPr>
      </w:pPr>
      <w:r>
        <w:t>The IFRC launches an appeal for $200 million for immediate relief and early recovery operations in Iran. Coordination with MRF through shared assessment frameworks and joint implementation where applicable.</w:t>
      </w:r>
    </w:p>
    <w:p w14:paraId="09CE5EE3" w14:textId="77777777" w:rsidR="00CA7ABD" w:rsidRDefault="00000000">
      <w:pPr>
        <w:pStyle w:val="Heading3"/>
        <w:rPr>
          <w:rFonts w:hint="eastAsia"/>
        </w:rPr>
      </w:pPr>
      <w:r>
        <w:t>D.3.3 Doctors Without Borders (MSF): Iran Medical Infrastructure</w:t>
      </w:r>
    </w:p>
    <w:p w14:paraId="4D1ADD6A" w14:textId="77777777" w:rsidR="00CA7ABD" w:rsidRDefault="00000000">
      <w:pPr>
        <w:rPr>
          <w:rFonts w:hint="eastAsia"/>
        </w:rPr>
      </w:pPr>
      <w:r>
        <w:t>MSF commits $40 million for hospital rehabilitation, medical supply chains, and trauma care capacity building in conflict-affected regions.</w:t>
      </w:r>
    </w:p>
    <w:p w14:paraId="1AAD1921" w14:textId="77777777" w:rsidR="00CA7ABD" w:rsidRDefault="00000000">
      <w:pPr>
        <w:pStyle w:val="Heading3"/>
        <w:rPr>
          <w:rFonts w:hint="eastAsia"/>
        </w:rPr>
      </w:pPr>
      <w:r>
        <w:t>D.4 Climate and Environmental Programs</w:t>
      </w:r>
    </w:p>
    <w:p w14:paraId="7DA9D6DC" w14:textId="77777777" w:rsidR="00CA7ABD" w:rsidRDefault="00000000">
      <w:pPr>
        <w:pStyle w:val="Heading3"/>
        <w:rPr>
          <w:rFonts w:hint="eastAsia"/>
        </w:rPr>
      </w:pPr>
      <w:r>
        <w:t>D.4.1 Global Environment Facility (GEF): Iran</w:t>
      </w:r>
    </w:p>
    <w:p w14:paraId="77A4A7E2" w14:textId="77777777" w:rsidR="00CA7ABD" w:rsidRDefault="00000000">
      <w:pPr>
        <w:rPr>
          <w:rFonts w:hint="eastAsia"/>
        </w:rPr>
      </w:pPr>
      <w:r>
        <w:t>The GEF provides $80 million for environmental restoration, renewable energy, and climate adaptation in reconstruction projects. Coordination: Through MRF-Energy and MRF-Water Sub-Funds with green technology components.</w:t>
      </w:r>
    </w:p>
    <w:p w14:paraId="02C993F3" w14:textId="77777777" w:rsidR="00CA7ABD" w:rsidRDefault="00000000">
      <w:pPr>
        <w:pStyle w:val="Heading3"/>
        <w:rPr>
          <w:rFonts w:hint="eastAsia"/>
        </w:rPr>
      </w:pPr>
      <w:r>
        <w:t>D.4.2 Adaptation Fund</w:t>
      </w:r>
    </w:p>
    <w:p w14:paraId="0A3D74B9" w14:textId="77777777" w:rsidR="00CA7ABD" w:rsidRDefault="00000000">
      <w:pPr>
        <w:rPr>
          <w:rFonts w:hint="eastAsia"/>
        </w:rPr>
      </w:pPr>
      <w:r>
        <w:t>The Adaptation Fund supports climate-resilient reconstruction with $30 million for water management, drought adaptation, and coastal protection infrastructure.</w:t>
      </w:r>
    </w:p>
    <w:p w14:paraId="72B38D76" w14:textId="77777777" w:rsidR="00CA7ABD" w:rsidRDefault="00000000">
      <w:pPr>
        <w:pStyle w:val="Heading3"/>
        <w:rPr>
          <w:rFonts w:hint="eastAsia"/>
        </w:rPr>
      </w:pPr>
      <w:r>
        <w:t>D.5 Education and Knowledge Programs</w:t>
      </w:r>
    </w:p>
    <w:p w14:paraId="6D46D7CC" w14:textId="77777777" w:rsidR="00CA7ABD" w:rsidRDefault="00000000">
      <w:pPr>
        <w:pStyle w:val="Heading3"/>
        <w:rPr>
          <w:rFonts w:hint="eastAsia"/>
        </w:rPr>
      </w:pPr>
      <w:r>
        <w:t>D.5.1 UNESCO Iran Education Recovery Program</w:t>
      </w:r>
    </w:p>
    <w:p w14:paraId="51D1AC69" w14:textId="77777777" w:rsidR="00CA7ABD" w:rsidRDefault="00000000">
      <w:pPr>
        <w:rPr>
          <w:rFonts w:hint="eastAsia"/>
        </w:rPr>
      </w:pPr>
      <w:r>
        <w:t>UNESCO commits $60 million for school reconstruction, higher education rehabilitation, and cultural heritage restoration. Coordination with MRF-Education for shared infrastructure projects.</w:t>
      </w:r>
    </w:p>
    <w:p w14:paraId="73D0295C" w14:textId="77777777" w:rsidR="00CA7ABD" w:rsidRDefault="00000000">
      <w:pPr>
        <w:pStyle w:val="Heading3"/>
        <w:rPr>
          <w:rFonts w:hint="eastAsia"/>
        </w:rPr>
      </w:pPr>
      <w:r>
        <w:t>D.5.2 British Council Iran Higher Education Partnership</w:t>
      </w:r>
    </w:p>
    <w:p w14:paraId="13CF99DF" w14:textId="77777777" w:rsidR="00CA7ABD" w:rsidRDefault="00000000">
      <w:pPr>
        <w:rPr>
          <w:rFonts w:hint="eastAsia"/>
        </w:rPr>
      </w:pPr>
      <w:r>
        <w:t>The British Council provides $20 million for university partnerships, research collaboration, and academic exchange programs supporting Iranian higher education recovery.</w:t>
      </w:r>
    </w:p>
    <w:p w14:paraId="1E4EC5C6" w14:textId="77777777" w:rsidR="00CA7ABD" w:rsidRDefault="00000000">
      <w:pPr>
        <w:pStyle w:val="Heading3"/>
        <w:rPr>
          <w:rFonts w:hint="eastAsia"/>
        </w:rPr>
      </w:pPr>
      <w:r>
        <w:t>D.5.3 German Academic Exchange Service (DAAD): Iran</w:t>
      </w:r>
    </w:p>
    <w:p w14:paraId="4F05F487" w14:textId="77777777" w:rsidR="00CA7ABD" w:rsidRDefault="00000000">
      <w:pPr>
        <w:rPr>
          <w:rFonts w:hint="eastAsia"/>
        </w:rPr>
      </w:pPr>
      <w:r>
        <w:t>DAAD commits $15 million for vocational training, technical education, and university reconstruction, with focus on engineering and medical faculties.</w:t>
      </w:r>
    </w:p>
    <w:p w14:paraId="3282B057" w14:textId="77777777" w:rsidR="00CA7ABD" w:rsidRDefault="00000000">
      <w:pPr>
        <w:pStyle w:val="Heading2"/>
        <w:rPr>
          <w:rFonts w:hint="eastAsia"/>
        </w:rPr>
      </w:pPr>
      <w:r>
        <w:t>Signature Block</w:t>
      </w:r>
    </w:p>
    <w:p w14:paraId="5AB3D684" w14:textId="77777777" w:rsidR="00CA7ABD" w:rsidRDefault="00000000">
      <w:pPr>
        <w:rPr>
          <w:rFonts w:hint="eastAsia"/>
        </w:rPr>
      </w:pPr>
      <w:r>
        <w:t>In witness whereof, the undersigned, being duly authorized by their respective governments, have signed this Annex RDF: Reconstruction and Development Fund Protocol.</w:t>
      </w:r>
    </w:p>
    <w:p w14:paraId="403968C9" w14:textId="77777777" w:rsidR="00CA7ABD" w:rsidRDefault="00000000">
      <w:pPr>
        <w:rPr>
          <w:rFonts w:hint="eastAsia"/>
        </w:rPr>
      </w:pPr>
      <w:r>
        <w:t>Done at Doha, State of Qatar, this ______ day of __________, 2026, in triplicate in the English language.</w:t>
      </w:r>
    </w:p>
    <w:tbl>
      <w:tblPr>
        <w:tblW w:w="5000" w:type="pct"/>
        <w:tblInd w:w="-8"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4613"/>
        <w:gridCol w:w="4613"/>
      </w:tblGrid>
      <w:tr w:rsidR="00CA7ABD" w14:paraId="6E394AF8" w14:textId="77777777">
        <w:tc>
          <w:tcPr>
            <w:tcW w:w="0" w:type="auto"/>
            <w:shd w:val="clear" w:color="auto" w:fill="37474F"/>
          </w:tcPr>
          <w:p w14:paraId="7575B0E5" w14:textId="77777777" w:rsidR="00CA7ABD" w:rsidRDefault="00000000">
            <w:pPr>
              <w:rPr>
                <w:rFonts w:hint="eastAsia"/>
              </w:rPr>
            </w:pPr>
            <w:r>
              <w:rPr>
                <w:b/>
                <w:color w:val="FFFFFF"/>
                <w:sz w:val="19"/>
              </w:rPr>
              <w:t>For the Islamic Republic of Iran:</w:t>
            </w:r>
          </w:p>
        </w:tc>
        <w:tc>
          <w:tcPr>
            <w:tcW w:w="0" w:type="auto"/>
            <w:shd w:val="clear" w:color="auto" w:fill="37474F"/>
          </w:tcPr>
          <w:p w14:paraId="3F104524" w14:textId="77777777" w:rsidR="00CA7ABD" w:rsidRDefault="00000000">
            <w:pPr>
              <w:rPr>
                <w:rFonts w:hint="eastAsia"/>
              </w:rPr>
            </w:pPr>
            <w:r>
              <w:rPr>
                <w:b/>
                <w:color w:val="FFFFFF"/>
                <w:sz w:val="19"/>
              </w:rPr>
              <w:t>For the United States of America:</w:t>
            </w:r>
          </w:p>
        </w:tc>
      </w:tr>
      <w:tr w:rsidR="00CA7ABD" w14:paraId="4CBFB5CF" w14:textId="77777777">
        <w:tc>
          <w:tcPr>
            <w:tcW w:w="0" w:type="auto"/>
          </w:tcPr>
          <w:p w14:paraId="26FE0495" w14:textId="77777777" w:rsidR="00CA7ABD" w:rsidRDefault="00CA7ABD">
            <w:pPr>
              <w:rPr>
                <w:rFonts w:hint="eastAsia"/>
              </w:rPr>
            </w:pPr>
          </w:p>
        </w:tc>
        <w:tc>
          <w:tcPr>
            <w:tcW w:w="0" w:type="auto"/>
          </w:tcPr>
          <w:p w14:paraId="7A027E99" w14:textId="77777777" w:rsidR="00CA7ABD" w:rsidRDefault="00CA7ABD">
            <w:pPr>
              <w:rPr>
                <w:rFonts w:hint="eastAsia"/>
              </w:rPr>
            </w:pPr>
          </w:p>
        </w:tc>
      </w:tr>
      <w:tr w:rsidR="00CA7ABD" w14:paraId="6AA50FEE" w14:textId="77777777">
        <w:tc>
          <w:tcPr>
            <w:tcW w:w="0" w:type="auto"/>
            <w:shd w:val="clear" w:color="auto" w:fill="ECEFF1"/>
          </w:tcPr>
          <w:p w14:paraId="71AE9459" w14:textId="77777777" w:rsidR="00CA7ABD" w:rsidRDefault="00000000">
            <w:pPr>
              <w:rPr>
                <w:rFonts w:hint="eastAsia"/>
              </w:rPr>
            </w:pPr>
            <w:r>
              <w:rPr>
                <w:sz w:val="19"/>
              </w:rPr>
              <w:t>Name: ________________________</w:t>
            </w:r>
          </w:p>
        </w:tc>
        <w:tc>
          <w:tcPr>
            <w:tcW w:w="0" w:type="auto"/>
            <w:shd w:val="clear" w:color="auto" w:fill="ECEFF1"/>
          </w:tcPr>
          <w:p w14:paraId="517E057B" w14:textId="77777777" w:rsidR="00CA7ABD" w:rsidRDefault="00000000">
            <w:pPr>
              <w:rPr>
                <w:rFonts w:hint="eastAsia"/>
              </w:rPr>
            </w:pPr>
            <w:r>
              <w:rPr>
                <w:sz w:val="19"/>
              </w:rPr>
              <w:t>Name: ________________________</w:t>
            </w:r>
          </w:p>
        </w:tc>
      </w:tr>
      <w:tr w:rsidR="00CA7ABD" w14:paraId="12A15144" w14:textId="77777777">
        <w:tc>
          <w:tcPr>
            <w:tcW w:w="0" w:type="auto"/>
          </w:tcPr>
          <w:p w14:paraId="59610BE7" w14:textId="77777777" w:rsidR="00CA7ABD" w:rsidRDefault="00CA7ABD">
            <w:pPr>
              <w:rPr>
                <w:rFonts w:hint="eastAsia"/>
              </w:rPr>
            </w:pPr>
          </w:p>
        </w:tc>
        <w:tc>
          <w:tcPr>
            <w:tcW w:w="0" w:type="auto"/>
          </w:tcPr>
          <w:p w14:paraId="7B129314" w14:textId="77777777" w:rsidR="00CA7ABD" w:rsidRDefault="00CA7ABD">
            <w:pPr>
              <w:rPr>
                <w:rFonts w:hint="eastAsia"/>
              </w:rPr>
            </w:pPr>
          </w:p>
        </w:tc>
      </w:tr>
      <w:tr w:rsidR="00CA7ABD" w14:paraId="3AED5290" w14:textId="77777777">
        <w:tc>
          <w:tcPr>
            <w:tcW w:w="0" w:type="auto"/>
            <w:shd w:val="clear" w:color="auto" w:fill="ECEFF1"/>
          </w:tcPr>
          <w:p w14:paraId="51B75FDD" w14:textId="77777777" w:rsidR="00CA7ABD" w:rsidRDefault="00000000">
            <w:pPr>
              <w:rPr>
                <w:rFonts w:hint="eastAsia"/>
              </w:rPr>
            </w:pPr>
            <w:r>
              <w:rPr>
                <w:sz w:val="19"/>
              </w:rPr>
              <w:t>Title: ________________________</w:t>
            </w:r>
          </w:p>
        </w:tc>
        <w:tc>
          <w:tcPr>
            <w:tcW w:w="0" w:type="auto"/>
            <w:shd w:val="clear" w:color="auto" w:fill="ECEFF1"/>
          </w:tcPr>
          <w:p w14:paraId="02E58A0A" w14:textId="77777777" w:rsidR="00CA7ABD" w:rsidRDefault="00000000">
            <w:pPr>
              <w:rPr>
                <w:rFonts w:hint="eastAsia"/>
              </w:rPr>
            </w:pPr>
            <w:r>
              <w:rPr>
                <w:sz w:val="19"/>
              </w:rPr>
              <w:t>Title: ________________________</w:t>
            </w:r>
          </w:p>
        </w:tc>
      </w:tr>
      <w:tr w:rsidR="00CA7ABD" w14:paraId="70B1968C" w14:textId="77777777">
        <w:tc>
          <w:tcPr>
            <w:tcW w:w="0" w:type="auto"/>
          </w:tcPr>
          <w:p w14:paraId="3D85293E" w14:textId="77777777" w:rsidR="00CA7ABD" w:rsidRDefault="00CA7ABD">
            <w:pPr>
              <w:rPr>
                <w:rFonts w:hint="eastAsia"/>
              </w:rPr>
            </w:pPr>
          </w:p>
        </w:tc>
        <w:tc>
          <w:tcPr>
            <w:tcW w:w="0" w:type="auto"/>
          </w:tcPr>
          <w:p w14:paraId="388C1294" w14:textId="77777777" w:rsidR="00CA7ABD" w:rsidRDefault="00CA7ABD">
            <w:pPr>
              <w:rPr>
                <w:rFonts w:hint="eastAsia"/>
              </w:rPr>
            </w:pPr>
          </w:p>
        </w:tc>
      </w:tr>
      <w:tr w:rsidR="00CA7ABD" w14:paraId="63D3D902" w14:textId="77777777">
        <w:tc>
          <w:tcPr>
            <w:tcW w:w="0" w:type="auto"/>
            <w:shd w:val="clear" w:color="auto" w:fill="ECEFF1"/>
          </w:tcPr>
          <w:p w14:paraId="67E97071" w14:textId="77777777" w:rsidR="00CA7ABD" w:rsidRDefault="00000000">
            <w:pPr>
              <w:rPr>
                <w:rFonts w:hint="eastAsia"/>
              </w:rPr>
            </w:pPr>
            <w:r>
              <w:rPr>
                <w:sz w:val="19"/>
              </w:rPr>
              <w:t>Date: ________________________</w:t>
            </w:r>
          </w:p>
        </w:tc>
        <w:tc>
          <w:tcPr>
            <w:tcW w:w="0" w:type="auto"/>
            <w:shd w:val="clear" w:color="auto" w:fill="ECEFF1"/>
          </w:tcPr>
          <w:p w14:paraId="018B9B5C" w14:textId="77777777" w:rsidR="00CA7ABD" w:rsidRDefault="00000000">
            <w:pPr>
              <w:rPr>
                <w:rFonts w:hint="eastAsia"/>
              </w:rPr>
            </w:pPr>
            <w:r>
              <w:rPr>
                <w:sz w:val="19"/>
              </w:rPr>
              <w:t>Date: ________________________</w:t>
            </w:r>
          </w:p>
        </w:tc>
      </w:tr>
    </w:tbl>
    <w:p w14:paraId="51391198" w14:textId="77777777" w:rsidR="00CA7ABD" w:rsidRDefault="00000000">
      <w:pPr>
        <w:rPr>
          <w:rFonts w:hint="eastAsia"/>
        </w:rPr>
      </w:pPr>
      <w:r>
        <w:t>Witnessed by the State of Qatar (Escrow Agent):</w:t>
      </w:r>
    </w:p>
    <w:p w14:paraId="1564E0CB" w14:textId="77777777" w:rsidR="00CA7ABD" w:rsidRDefault="00000000">
      <w:pPr>
        <w:rPr>
          <w:rFonts w:hint="eastAsia"/>
        </w:rPr>
      </w:pPr>
      <w:r>
        <w:t>Name: ________________________</w:t>
      </w:r>
    </w:p>
    <w:p w14:paraId="5A1086CA" w14:textId="77777777" w:rsidR="00CA7ABD" w:rsidRDefault="00000000">
      <w:pPr>
        <w:rPr>
          <w:rFonts w:hint="eastAsia"/>
        </w:rPr>
      </w:pPr>
      <w:r>
        <w:t>Title: ________________________</w:t>
      </w:r>
    </w:p>
    <w:p w14:paraId="470FD251" w14:textId="77777777" w:rsidR="00CA7ABD" w:rsidRDefault="00000000">
      <w:pPr>
        <w:rPr>
          <w:rFonts w:hint="eastAsia"/>
        </w:rPr>
      </w:pPr>
      <w:r>
        <w:t>Date: ________________________</w:t>
      </w:r>
    </w:p>
    <w:p w14:paraId="45044C96" w14:textId="77777777" w:rsidR="00CA7ABD" w:rsidRDefault="00000000">
      <w:pPr>
        <w:rPr>
          <w:rFonts w:hint="eastAsia"/>
        </w:rPr>
      </w:pPr>
      <w:r>
        <w:t>Witnessed by the World Bank (Fiduciary Co-Administrator):</w:t>
      </w:r>
    </w:p>
    <w:p w14:paraId="50FAE431" w14:textId="77777777" w:rsidR="00CA7ABD" w:rsidRDefault="00000000">
      <w:pPr>
        <w:rPr>
          <w:rFonts w:hint="eastAsia"/>
        </w:rPr>
      </w:pPr>
      <w:r>
        <w:t>Name: ________________________</w:t>
      </w:r>
    </w:p>
    <w:p w14:paraId="44111380" w14:textId="77777777" w:rsidR="00CA7ABD" w:rsidRDefault="00000000">
      <w:pPr>
        <w:rPr>
          <w:rFonts w:hint="eastAsia"/>
        </w:rPr>
      </w:pPr>
      <w:r>
        <w:t>Title: ________________________</w:t>
      </w:r>
    </w:p>
    <w:p w14:paraId="5E25FE53" w14:textId="77777777" w:rsidR="00CA7ABD" w:rsidRDefault="00000000">
      <w:pPr>
        <w:rPr>
          <w:rFonts w:hint="eastAsia"/>
        </w:rPr>
      </w:pPr>
      <w:r>
        <w:t>Date: ________________________</w:t>
      </w:r>
    </w:p>
    <w:p w14:paraId="729A9469" w14:textId="77777777" w:rsidR="00CA7ABD" w:rsidRDefault="00000000">
      <w:pPr>
        <w:pStyle w:val="Heading2"/>
        <w:rPr>
          <w:rFonts w:hint="eastAsia"/>
        </w:rPr>
      </w:pPr>
      <w:r>
        <w:t>Appendix E: International Funding Sources and Application Pathways</w:t>
      </w:r>
    </w:p>
    <w:p w14:paraId="2F3C6D51" w14:textId="77777777" w:rsidR="00CA7ABD" w:rsidRDefault="00000000">
      <w:pPr>
        <w:rPr>
          <w:rFonts w:hint="eastAsia"/>
        </w:rPr>
      </w:pPr>
      <w:r>
        <w:t>This Appendix catalogs additional international funding sources available for Iranian reconstruction. The RSC secretariat maintains active engagement with each entity and coordinates joint applications where applicable.</w:t>
      </w:r>
    </w:p>
    <w:p w14:paraId="3C3A88EE" w14:textId="77777777" w:rsidR="00CA7ABD" w:rsidRDefault="00000000">
      <w:pPr>
        <w:pStyle w:val="Heading3"/>
        <w:rPr>
          <w:rFonts w:hint="eastAsia"/>
        </w:rPr>
      </w:pPr>
      <w:r>
        <w:t>E.1 European Development Finance Institutions</w:t>
      </w:r>
    </w:p>
    <w:p w14:paraId="2CA3D765" w14:textId="77777777" w:rsidR="00CA7ABD" w:rsidRDefault="00000000">
      <w:pPr>
        <w:pStyle w:val="Heading3"/>
        <w:rPr>
          <w:rFonts w:hint="eastAsia"/>
        </w:rPr>
      </w:pPr>
      <w:r>
        <w:t>E.1.1 Agence Francaise de Developpement (AFD)</w:t>
      </w:r>
    </w:p>
    <w:p w14:paraId="248B1BBA" w14:textId="77777777" w:rsidR="00CA7ABD" w:rsidRDefault="00000000">
      <w:pPr>
        <w:rPr>
          <w:rFonts w:hint="eastAsia"/>
        </w:rPr>
      </w:pPr>
      <w:r>
        <w:t>The AFD operates as the French bilateral development finance institution with an annual commitment volume exceeding EUR 13 billion. AFD maintains operations in over 90 countries across the Mediterranean, Middle East, Africa, Asia, and Latin America.</w:t>
      </w:r>
    </w:p>
    <w:p w14:paraId="07B386D7" w14:textId="77777777" w:rsidR="00CA7ABD" w:rsidRDefault="00000000">
      <w:pPr>
        <w:rPr>
          <w:rFonts w:hint="eastAsia"/>
        </w:rPr>
      </w:pPr>
      <w:r>
        <w:t>Potential allocation for Iran: EUR 800 million for water, sanitation, renewable energy, and urban infrastructure. AFD prioritizes climate-resilient infrastructure and allocates over 50% of its international financing to climate change mitigation and adaptation.</w:t>
      </w:r>
    </w:p>
    <w:p w14:paraId="0D489889" w14:textId="77777777" w:rsidR="00CA7ABD" w:rsidRDefault="00000000">
      <w:pPr>
        <w:rPr>
          <w:rFonts w:hint="eastAsia"/>
        </w:rPr>
      </w:pPr>
      <w:r>
        <w:t>Application pathway: Iran submits a formal project proposal through the French embassy in Tehran or through AFD's regional office. The proposal undergoes AFD technical appraisal (90-120 days), followed by board approval (30 days). AFD coordinates with the MRF through the RSC secretariat to ensure alignment with Sub-Fund priorities.</w:t>
      </w:r>
    </w:p>
    <w:p w14:paraId="35107C9D" w14:textId="77777777" w:rsidR="00CA7ABD" w:rsidRDefault="00000000">
      <w:pPr>
        <w:rPr>
          <w:rFonts w:hint="eastAsia"/>
        </w:rPr>
      </w:pPr>
      <w:r>
        <w:t>Contact: AFD Middle East Division, 5 rue Roland Barthes, 75598 Paris Cedex 12, France. Telephone: +33 1 53 44 31 31. Website: afd.fr.</w:t>
      </w:r>
    </w:p>
    <w:p w14:paraId="54895964" w14:textId="77777777" w:rsidR="00CA7ABD" w:rsidRDefault="00000000">
      <w:pPr>
        <w:pStyle w:val="Heading3"/>
        <w:rPr>
          <w:rFonts w:hint="eastAsia"/>
        </w:rPr>
      </w:pPr>
      <w:r>
        <w:t>E.1.2 German Development Cooperation (KfW / GIZ)</w:t>
      </w:r>
    </w:p>
    <w:p w14:paraId="343740AC" w14:textId="77777777" w:rsidR="00CA7ABD" w:rsidRDefault="00000000">
      <w:pPr>
        <w:rPr>
          <w:rFonts w:hint="eastAsia"/>
        </w:rPr>
      </w:pPr>
      <w:r>
        <w:t>Germany's development cooperation operates through two primary channels: KfW Entwicklungsbank (financial cooperation) and GIZ (technical cooperation). KfW provides concessional loans and grants for infrastructure, energy, water, and financial systems. GIZ delivers advisory services, capacity building, and technical expertise.</w:t>
      </w:r>
    </w:p>
    <w:p w14:paraId="46B8DD2D" w14:textId="77777777" w:rsidR="00CA7ABD" w:rsidRDefault="00000000">
      <w:pPr>
        <w:rPr>
          <w:rFonts w:hint="eastAsia"/>
        </w:rPr>
      </w:pPr>
      <w:r>
        <w:t>KfW commitments for reconstruction contexts typically range from EUR 200 million to EUR 1 billion per country program. GIZ operates over 1,500 projects in 120 countries with an annual business volume of approximately EUR 2.6 billion.</w:t>
      </w:r>
    </w:p>
    <w:p w14:paraId="3D09E742" w14:textId="77777777" w:rsidR="00CA7ABD" w:rsidRDefault="00000000">
      <w:pPr>
        <w:rPr>
          <w:rFonts w:hint="eastAsia"/>
        </w:rPr>
      </w:pPr>
      <w:r>
        <w:t>Application pathway: Iran submits a government-to-government request through the German Federal Ministry for Economic Cooperation and Development (BMZ). KfW conducts a financial appraisal and GIZ assesses technical cooperation needs. The joint assessment completes within 120 days. Financing agreements require intergovernmental negotiations.</w:t>
      </w:r>
    </w:p>
    <w:p w14:paraId="3FF995A2" w14:textId="77777777" w:rsidR="00CA7ABD" w:rsidRDefault="00000000">
      <w:pPr>
        <w:rPr>
          <w:rFonts w:hint="eastAsia"/>
        </w:rPr>
      </w:pPr>
      <w:r>
        <w:t>Focus sectors for Iran: Energy efficiency, water management, sustainable infrastructure, vocational training, and governance restoration.</w:t>
      </w:r>
    </w:p>
    <w:p w14:paraId="64EE4CB4" w14:textId="77777777" w:rsidR="00CA7ABD" w:rsidRDefault="00000000">
      <w:pPr>
        <w:pStyle w:val="Heading3"/>
        <w:rPr>
          <w:rFonts w:hint="eastAsia"/>
        </w:rPr>
      </w:pPr>
      <w:r>
        <w:t>E.1.3 European Investment Bank (EIB): External Lending Mandate</w:t>
      </w:r>
    </w:p>
    <w:p w14:paraId="250181F7" w14:textId="77777777" w:rsidR="00CA7ABD" w:rsidRDefault="00000000">
      <w:pPr>
        <w:rPr>
          <w:rFonts w:hint="eastAsia"/>
        </w:rPr>
      </w:pPr>
      <w:r>
        <w:t>The EIB operates outside the EU through its External Lending Mandate (ELM), which authorizes lending for projects in partner countries. The ELM focuses on climate action, sustainable infrastructure, private sector development, and migration-related investments.</w:t>
      </w:r>
    </w:p>
    <w:p w14:paraId="45E39BC6" w14:textId="77777777" w:rsidR="00CA7ABD" w:rsidRDefault="00000000">
      <w:pPr>
        <w:rPr>
          <w:rFonts w:hint="eastAsia"/>
        </w:rPr>
      </w:pPr>
      <w:r>
        <w:t>Potential allocation for Iran: EUR 500 million for energy, transport, and water infrastructure. EIB loans carry favorable terms with long maturities (15-25 years) and grace periods.</w:t>
      </w:r>
    </w:p>
    <w:p w14:paraId="47DBD9DD" w14:textId="77777777" w:rsidR="00CA7ABD" w:rsidRDefault="00000000">
      <w:pPr>
        <w:rPr>
          <w:rFonts w:hint="eastAsia"/>
        </w:rPr>
      </w:pPr>
      <w:r>
        <w:t>Application pathway: Iran submits a project proposal through the EIB's regional representation or through an EU member state sponsor. EIB conducts due diligence (90-120 days), followed by board approval. EIB operations outside the EU require a member state guarantee or co-financing arrangement.</w:t>
      </w:r>
    </w:p>
    <w:p w14:paraId="5841D271" w14:textId="77777777" w:rsidR="00CA7ABD" w:rsidRDefault="00000000">
      <w:pPr>
        <w:pStyle w:val="Heading3"/>
        <w:rPr>
          <w:rFonts w:hint="eastAsia"/>
        </w:rPr>
      </w:pPr>
      <w:r>
        <w:t>E.2 Nordic and Commonwealth Development Agencies</w:t>
      </w:r>
    </w:p>
    <w:p w14:paraId="70332D1D" w14:textId="77777777" w:rsidR="00CA7ABD" w:rsidRDefault="00000000">
      <w:pPr>
        <w:pStyle w:val="Heading3"/>
        <w:rPr>
          <w:rFonts w:hint="eastAsia"/>
        </w:rPr>
      </w:pPr>
      <w:r>
        <w:t>E.2.1 Norwegian Agency for Development Cooperation (Norad)</w:t>
      </w:r>
    </w:p>
    <w:p w14:paraId="7656993C" w14:textId="77777777" w:rsidR="00CA7ABD" w:rsidRDefault="00000000">
      <w:pPr>
        <w:rPr>
          <w:rFonts w:hint="eastAsia"/>
        </w:rPr>
      </w:pPr>
      <w:r>
        <w:t>Norway ranks first among DAC member countries in ODA as a share of GNI (approximately 1% of GNI). Norad manages an annual development budget of approximately NOK 60 billion. Norway allocates significant resources to fragile states, humanitarian assistance, and post-conflict reconstruction.</w:t>
      </w:r>
    </w:p>
    <w:p w14:paraId="73417B9E" w14:textId="77777777" w:rsidR="00CA7ABD" w:rsidRDefault="00000000">
      <w:pPr>
        <w:rPr>
          <w:rFonts w:hint="eastAsia"/>
        </w:rPr>
      </w:pPr>
      <w:r>
        <w:t>Norway's approach emphasizes multilateral channeling through the UN system, World Bank trust funds, and bilateral partnerships. The Nansen Support Programme model (currently deployed for Ukraine at NOK 275 billion through 2030) demonstrates Norway's capacity for large-scale reconstruction financing.</w:t>
      </w:r>
    </w:p>
    <w:p w14:paraId="32306119" w14:textId="77777777" w:rsidR="00CA7ABD" w:rsidRDefault="00000000">
      <w:pPr>
        <w:rPr>
          <w:rFonts w:hint="eastAsia"/>
        </w:rPr>
      </w:pPr>
      <w:r>
        <w:t>Application pathway: Iran submits a funding request through Norad's partner country framework or through a multilateral trust fund. Norad prioritizes applications channeled through the UN system, the World Bank, or Norwegian civil society partners. Application review completes within 90-180 days depending on funding mechanism.</w:t>
      </w:r>
    </w:p>
    <w:p w14:paraId="0509C9F0" w14:textId="77777777" w:rsidR="00CA7ABD" w:rsidRDefault="00000000">
      <w:pPr>
        <w:rPr>
          <w:rFonts w:hint="eastAsia"/>
        </w:rPr>
      </w:pPr>
      <w:r>
        <w:t>Focus sectors: Humanitarian assistance, governance restoration, renewable energy, education, and institutional capacity building.</w:t>
      </w:r>
    </w:p>
    <w:p w14:paraId="6394A519" w14:textId="77777777" w:rsidR="00CA7ABD" w:rsidRDefault="00000000">
      <w:pPr>
        <w:pStyle w:val="Heading3"/>
        <w:rPr>
          <w:rFonts w:hint="eastAsia"/>
        </w:rPr>
      </w:pPr>
      <w:r>
        <w:t>E.2.2 Sweden International Development Cooperation Agency (Sida)</w:t>
      </w:r>
    </w:p>
    <w:p w14:paraId="588E90AA" w14:textId="77777777" w:rsidR="00CA7ABD" w:rsidRDefault="00000000">
      <w:pPr>
        <w:rPr>
          <w:rFonts w:hint="eastAsia"/>
        </w:rPr>
      </w:pPr>
      <w:r>
        <w:t>Sida manages Sweden's official development assistance with a focus on human rights, democracy, gender equality, and sustainable development. Sweden maintains core contributions to major UN agencies (UNHCR, UNFPA, UNICEF, WFP) and provides significant humanitarian assistance.</w:t>
      </w:r>
    </w:p>
    <w:p w14:paraId="7050A8C4" w14:textId="77777777" w:rsidR="00CA7ABD" w:rsidRDefault="00000000">
      <w:pPr>
        <w:rPr>
          <w:rFonts w:hint="eastAsia"/>
        </w:rPr>
      </w:pPr>
      <w:r>
        <w:t>Application pathway: Iran accesses Swedish development funding through Sida's framework agreements with multilateral organizations or through Swedish civil society partnerships. Direct bilateral applications require a government-to-government agreement. Sida channels the majority of its development funding through multilateral and civil society partners.</w:t>
      </w:r>
    </w:p>
    <w:p w14:paraId="61674D54" w14:textId="77777777" w:rsidR="00CA7ABD" w:rsidRDefault="00000000">
      <w:pPr>
        <w:rPr>
          <w:rFonts w:hint="eastAsia"/>
        </w:rPr>
      </w:pPr>
      <w:r>
        <w:t>Focus sectors: Humanitarian aid, healthcare restoration, education, gender equality, and democratic governance.</w:t>
      </w:r>
    </w:p>
    <w:p w14:paraId="530E7F88" w14:textId="77777777" w:rsidR="00CA7ABD" w:rsidRDefault="00000000">
      <w:pPr>
        <w:pStyle w:val="Heading3"/>
        <w:rPr>
          <w:rFonts w:hint="eastAsia"/>
        </w:rPr>
      </w:pPr>
      <w:r>
        <w:t>E.2.3 Canada: Global Affairs Canada (GAC)</w:t>
      </w:r>
    </w:p>
    <w:p w14:paraId="6E3F7373" w14:textId="77777777" w:rsidR="00CA7ABD" w:rsidRDefault="00000000">
      <w:pPr>
        <w:rPr>
          <w:rFonts w:hint="eastAsia"/>
        </w:rPr>
      </w:pPr>
      <w:r>
        <w:t>Canada's International Assistance Envelope totals approximately CAD 7.89 billion annually. Global Affairs Canada manages the Core Development pool (CAD 4.7 billion), the Humanitarian Assistance pool (CAD 759 million), and the International Financial Institutions pool (CAD 1.46 billion).</w:t>
      </w:r>
    </w:p>
    <w:p w14:paraId="133CE3F6" w14:textId="77777777" w:rsidR="00CA7ABD" w:rsidRDefault="00000000">
      <w:pPr>
        <w:rPr>
          <w:rFonts w:hint="eastAsia"/>
        </w:rPr>
      </w:pPr>
      <w:r>
        <w:t>Canada contributes extensively to World Bank trust funds, UN agencies, and regional development banks. Canada maintains board representation at eight international financial institutions and channels significant funding through multilateral mechanisms.</w:t>
      </w:r>
    </w:p>
    <w:p w14:paraId="22021E79" w14:textId="77777777" w:rsidR="00CA7ABD" w:rsidRDefault="00000000">
      <w:pPr>
        <w:rPr>
          <w:rFonts w:hint="eastAsia"/>
        </w:rPr>
      </w:pPr>
      <w:r>
        <w:t>Application pathway: Iran accesses Canadian funding through GAC's International Assistance Envelope via multilateral channels (World Bank, UN agencies, regional development banks). Direct bilateral funding requires a Canada-Iran development partnership framework. GAC encourages applications through its multilateral partners for streamlined processing.</w:t>
      </w:r>
    </w:p>
    <w:p w14:paraId="4657D416" w14:textId="77777777" w:rsidR="00CA7ABD" w:rsidRDefault="00000000">
      <w:pPr>
        <w:pStyle w:val="Heading3"/>
        <w:rPr>
          <w:rFonts w:hint="eastAsia"/>
        </w:rPr>
      </w:pPr>
      <w:r>
        <w:t>E.2.4 Australia: Department of Foreign Affairs and Trade (DFAT)</w:t>
      </w:r>
    </w:p>
    <w:p w14:paraId="32701873" w14:textId="77777777" w:rsidR="00CA7ABD" w:rsidRDefault="00000000">
      <w:pPr>
        <w:rPr>
          <w:rFonts w:hint="eastAsia"/>
        </w:rPr>
      </w:pPr>
      <w:r>
        <w:t>Australia's Official Development Assistance (ODA) budget allocates funding across country programs, regional initiatives, and global programs. DFAT manages Australia's development cooperation with a focus on the Indo-Pacific region while maintaining global humanitarian programs.</w:t>
      </w:r>
    </w:p>
    <w:p w14:paraId="1166C00F" w14:textId="77777777" w:rsidR="00CA7ABD" w:rsidRDefault="00000000">
      <w:pPr>
        <w:rPr>
          <w:rFonts w:hint="eastAsia"/>
        </w:rPr>
      </w:pPr>
      <w:r>
        <w:t>Application pathway: Iran accesses Australian funding through DFAT's global and humanitarian programs or through multilateral partnerships. DFAT channels significant funding through the UN system, the World Bank, and humanitarian organizations. Applications for multilateral trust fund contributions proceed through the relevant fund administrator.</w:t>
      </w:r>
    </w:p>
    <w:p w14:paraId="2DE2AF7B" w14:textId="77777777" w:rsidR="00CA7ABD" w:rsidRDefault="00000000">
      <w:pPr>
        <w:pStyle w:val="Heading3"/>
        <w:rPr>
          <w:rFonts w:hint="eastAsia"/>
        </w:rPr>
      </w:pPr>
      <w:r>
        <w:t>E.2.5 New Zealand: Ministry of Foreign Affairs and Trade (MFAT)</w:t>
      </w:r>
    </w:p>
    <w:p w14:paraId="6C72C5B7" w14:textId="77777777" w:rsidR="00CA7ABD" w:rsidRDefault="00000000">
      <w:pPr>
        <w:rPr>
          <w:rFonts w:hint="eastAsia"/>
        </w:rPr>
      </w:pPr>
      <w:r>
        <w:t>New Zealand's International Development Cooperation Programme operates on a three-year triennium basis with total funding of NZD 3.06 billion for 2024-2027. MFAT organizes funding into six allocation groups: Pacific Development Cooperation, Global Development Cooperation, Humanitarian Assistance, Multilateral Agencies, and Strategic Evaluation.</w:t>
      </w:r>
    </w:p>
    <w:p w14:paraId="0A17FAFD" w14:textId="77777777" w:rsidR="00CA7ABD" w:rsidRDefault="00000000">
      <w:pPr>
        <w:rPr>
          <w:rFonts w:hint="eastAsia"/>
        </w:rPr>
      </w:pPr>
      <w:r>
        <w:t>Application pathway: Iran accesses New Zealand funding through MFAT's Humanitarian Assistance allocation (NZD 291 million over the triennium) or through multilateral partnerships. MFAT prioritizes funding through the UN system, ICRC, and international NGOs. Direct bilateral applications require a partnership agreement.</w:t>
      </w:r>
    </w:p>
    <w:p w14:paraId="550478FA" w14:textId="77777777" w:rsidR="00CA7ABD" w:rsidRDefault="00000000">
      <w:pPr>
        <w:pStyle w:val="Heading3"/>
        <w:rPr>
          <w:rFonts w:hint="eastAsia"/>
        </w:rPr>
      </w:pPr>
      <w:r>
        <w:t>E.3 Asia-Pacific Development Partners</w:t>
      </w:r>
    </w:p>
    <w:p w14:paraId="27A1EA16" w14:textId="77777777" w:rsidR="00CA7ABD" w:rsidRDefault="00000000">
      <w:pPr>
        <w:pStyle w:val="Heading3"/>
        <w:rPr>
          <w:rFonts w:hint="eastAsia"/>
        </w:rPr>
      </w:pPr>
      <w:r>
        <w:t>E.3.1 Japan International Cooperation Agency (JICA)</w:t>
      </w:r>
    </w:p>
    <w:p w14:paraId="099E0A9D" w14:textId="77777777" w:rsidR="00CA7ABD" w:rsidRDefault="00000000">
      <w:pPr>
        <w:rPr>
          <w:rFonts w:hint="eastAsia"/>
        </w:rPr>
      </w:pPr>
      <w:r>
        <w:t>JICA implements Japan's official development assistance through concessional loans, grants, and technical cooperation. JICA maintains expertise in infrastructure development, disaster resilience, energy efficiency, and water resource management.</w:t>
      </w:r>
    </w:p>
    <w:p w14:paraId="0F09DA7E" w14:textId="77777777" w:rsidR="00CA7ABD" w:rsidRDefault="00000000">
      <w:pPr>
        <w:rPr>
          <w:rFonts w:hint="eastAsia"/>
        </w:rPr>
      </w:pPr>
      <w:r>
        <w:t>Application pathway: Iran submits a request for cooperation through the Japanese embassy in Tehran. JICA conducts a preliminary survey (60-90 days), followed by detailed project formulation. Loan and grant agreements require approval by the Japanese cabinet. Technical cooperation projects initiate within 6-12 months of request.</w:t>
      </w:r>
    </w:p>
    <w:p w14:paraId="080FC2C2" w14:textId="77777777" w:rsidR="00CA7ABD" w:rsidRDefault="00000000">
      <w:pPr>
        <w:pStyle w:val="Heading3"/>
        <w:rPr>
          <w:rFonts w:hint="eastAsia"/>
        </w:rPr>
      </w:pPr>
      <w:r>
        <w:t>E.3.2 Korea International Cooperation Agency (KOICA)</w:t>
      </w:r>
    </w:p>
    <w:p w14:paraId="5FAF3BAE" w14:textId="77777777" w:rsidR="00CA7ABD" w:rsidRDefault="00000000">
      <w:pPr>
        <w:rPr>
          <w:rFonts w:hint="eastAsia"/>
        </w:rPr>
      </w:pPr>
      <w:r>
        <w:t>KOICA administers South Korea's grant aid and technical cooperation programs. South Korea's development assistance emphasizes infrastructure, education, health, and technology transfer. KOICA operates country partnership programs aligned with recipient government priorities.</w:t>
      </w:r>
    </w:p>
    <w:p w14:paraId="60916CAF" w14:textId="77777777" w:rsidR="00CA7ABD" w:rsidRDefault="00000000">
      <w:pPr>
        <w:rPr>
          <w:rFonts w:hint="eastAsia"/>
        </w:rPr>
      </w:pPr>
      <w:r>
        <w:t>Application pathway: Iran submits a cooperation request through the Korean embassy in Tehran. KOICA conducts a country partnership assessment and identifies priority sectors. Project proposals undergo KOICA technical review (60-90 days) followed by board approval. Implementation begins within 6 months of approval.</w:t>
      </w:r>
    </w:p>
    <w:p w14:paraId="460353AF" w14:textId="77777777" w:rsidR="00CA7ABD" w:rsidRDefault="00000000">
      <w:pPr>
        <w:pStyle w:val="Heading3"/>
        <w:rPr>
          <w:rFonts w:hint="eastAsia"/>
        </w:rPr>
      </w:pPr>
      <w:r>
        <w:t>E.3.3 Asian Development Bank (ADB)</w:t>
      </w:r>
    </w:p>
    <w:p w14:paraId="08AE3FD0" w14:textId="77777777" w:rsidR="00CA7ABD" w:rsidRDefault="00000000">
      <w:pPr>
        <w:rPr>
          <w:rFonts w:hint="eastAsia"/>
        </w:rPr>
      </w:pPr>
      <w:r>
        <w:t>The ADB provides sovereign lending, grants, and technical assistance to developing member countries. The ADB's Emergency Assistance Lending (EAL) instrument specifically addresses post-conflict reconstruction, offering rapid response financing for high-priority infrastructure rehabilitation.</w:t>
      </w:r>
    </w:p>
    <w:p w14:paraId="1FD2BCDF" w14:textId="77777777" w:rsidR="00CA7ABD" w:rsidRDefault="00000000">
      <w:pPr>
        <w:rPr>
          <w:rFonts w:hint="eastAsia"/>
        </w:rPr>
      </w:pPr>
      <w:r>
        <w:t>Application pathway: Iran submits a project proposal through the ADB's Iran Resident Mission or through the Ministry of Economy. ADB conducts project appraisal (90-120 days), followed by board approval. Post-conflict emergency assistance receives expedited processing (60-90 days). The ADB also provides technical assistance grants for project preparation.</w:t>
      </w:r>
    </w:p>
    <w:p w14:paraId="72A4743A" w14:textId="77777777" w:rsidR="00CA7ABD" w:rsidRDefault="00000000">
      <w:pPr>
        <w:pStyle w:val="Heading3"/>
        <w:rPr>
          <w:rFonts w:hint="eastAsia"/>
        </w:rPr>
      </w:pPr>
      <w:r>
        <w:t>E.4 Sovereign Wealth Funds and Institutional Investors</w:t>
      </w:r>
    </w:p>
    <w:p w14:paraId="2A0BBE45" w14:textId="77777777" w:rsidR="00CA7ABD" w:rsidRDefault="00000000">
      <w:pPr>
        <w:pStyle w:val="Heading3"/>
        <w:rPr>
          <w:rFonts w:hint="eastAsia"/>
        </w:rPr>
      </w:pPr>
      <w:r>
        <w:t>E.4.1 Government of Singapore Investment Corporation (GIC)</w:t>
      </w:r>
    </w:p>
    <w:p w14:paraId="1F8F37CF" w14:textId="77777777" w:rsidR="00CA7ABD" w:rsidRDefault="00000000">
      <w:pPr>
        <w:rPr>
          <w:rFonts w:hint="eastAsia"/>
        </w:rPr>
      </w:pPr>
      <w:r>
        <w:t>GIC manages Singapore's sovereign wealth with a diversified global portfolio across asset classes including infrastructure, real estate, and private equity. GIC actively co-invests in infrastructure projects and maintains a significant allocation to emerging market infrastructure.</w:t>
      </w:r>
    </w:p>
    <w:p w14:paraId="545CB266" w14:textId="77777777" w:rsidR="00CA7ABD" w:rsidRDefault="00000000">
      <w:pPr>
        <w:rPr>
          <w:rFonts w:hint="eastAsia"/>
        </w:rPr>
      </w:pPr>
      <w:r>
        <w:t>GIC deployed over USD 13.7 billion in digitalization and AI-related infrastructure investments in 2025 alone, and remains the world's most active co-investor among sovereign wealth funds. GIC has a stated interest in energy transition infrastructure, data centers, and sustainable development projects.</w:t>
      </w:r>
    </w:p>
    <w:p w14:paraId="0334E7B9" w14:textId="77777777" w:rsidR="00CA7ABD" w:rsidRDefault="00000000">
      <w:pPr>
        <w:rPr>
          <w:rFonts w:hint="eastAsia"/>
        </w:rPr>
      </w:pPr>
      <w:r>
        <w:t>Application pathway: GIC participates through direct investment or co-investment arrangements. Iran presents infrastructure opportunities through the RSC investment desk. GIC conducts independent due diligence and negotiates investment terms directly. Co-investment with other MRF contributors is actively encouraged.</w:t>
      </w:r>
    </w:p>
    <w:p w14:paraId="1FAA5091" w14:textId="77777777" w:rsidR="00CA7ABD" w:rsidRDefault="00000000">
      <w:pPr>
        <w:pStyle w:val="Heading3"/>
        <w:rPr>
          <w:rFonts w:hint="eastAsia"/>
        </w:rPr>
      </w:pPr>
      <w:r>
        <w:t>E.4.2 Norway Government Pension Fund Global (GPFG)</w:t>
      </w:r>
    </w:p>
    <w:p w14:paraId="63E19288" w14:textId="77777777" w:rsidR="00CA7ABD" w:rsidRDefault="00000000">
      <w:pPr>
        <w:rPr>
          <w:rFonts w:hint="eastAsia"/>
        </w:rPr>
      </w:pPr>
      <w:r>
        <w:t>The GPFG (managed by Norges Bank Investment Management) holds over USD 1.7 trillion in assets, making it the world's largest sovereign wealth fund. The GPFG allocates approximately 3% of its portfolio to real assets including infrastructure and real estate.</w:t>
      </w:r>
    </w:p>
    <w:p w14:paraId="5FBF63AA" w14:textId="77777777" w:rsidR="00CA7ABD" w:rsidRDefault="00000000">
      <w:pPr>
        <w:rPr>
          <w:rFonts w:hint="eastAsia"/>
        </w:rPr>
      </w:pPr>
      <w:r>
        <w:t>Application pathway: GPFG invests through public markets and private infrastructure funds rather than direct project finance. Iran-related opportunities require GPFG's ethical council assessment for compliance with the fund's responsible investment guidelines. The RSC secretariat maintains engagement with NBIM for potential portfolio investment in Iran-linked infrastructure funds.</w:t>
      </w:r>
    </w:p>
    <w:p w14:paraId="4C5F5F0D" w14:textId="77777777" w:rsidR="00CA7ABD" w:rsidRDefault="00000000">
      <w:pPr>
        <w:pStyle w:val="Heading3"/>
        <w:rPr>
          <w:rFonts w:hint="eastAsia"/>
        </w:rPr>
      </w:pPr>
      <w:r>
        <w:t>E.4.3 Netherlands: Development Finance Institutions</w:t>
      </w:r>
    </w:p>
    <w:p w14:paraId="01CE5DF4" w14:textId="77777777" w:rsidR="00CA7ABD" w:rsidRDefault="00000000">
      <w:pPr>
        <w:rPr>
          <w:rFonts w:hint="eastAsia"/>
        </w:rPr>
      </w:pPr>
      <w:r>
        <w:t>The Netherlands deploys development finance through multiple channels: the Dutch Development Bank (FMO) for private sector investment, the Investment Fund for Developing Countries (Dutch Investment Fund), and the Netherlands Enterprise Agency (RVO) for trade and development partnerships.</w:t>
      </w:r>
    </w:p>
    <w:p w14:paraId="64F70027" w14:textId="77777777" w:rsidR="00CA7ABD" w:rsidRDefault="00000000">
      <w:pPr>
        <w:rPr>
          <w:rFonts w:hint="eastAsia"/>
        </w:rPr>
      </w:pPr>
      <w:r>
        <w:t>Application pathway: Iran accesses Dutch development finance through FMO's emerging markets infrastructure window or through the Dutch Good Growth Fund. Applications require a viable business case and development impact assessment. FMO co-finances with other development finance institutions and private investors.</w:t>
      </w:r>
    </w:p>
    <w:p w14:paraId="72CDBFF1" w14:textId="77777777" w:rsidR="00CA7ABD" w:rsidRDefault="00000000">
      <w:pPr>
        <w:pStyle w:val="Heading3"/>
        <w:rPr>
          <w:rFonts w:hint="eastAsia"/>
        </w:rPr>
      </w:pPr>
      <w:r>
        <w:t>E.5 United Kingdom Development Partnerships</w:t>
      </w:r>
    </w:p>
    <w:p w14:paraId="5A498758" w14:textId="77777777" w:rsidR="00CA7ABD" w:rsidRDefault="00000000">
      <w:pPr>
        <w:pStyle w:val="Heading3"/>
        <w:rPr>
          <w:rFonts w:hint="eastAsia"/>
        </w:rPr>
      </w:pPr>
      <w:r>
        <w:t>E.5.1 UK Foreign, Commonwealth and Development Office (FCDO)</w:t>
      </w:r>
    </w:p>
    <w:p w14:paraId="51DA327B" w14:textId="77777777" w:rsidR="00CA7ABD" w:rsidRDefault="00000000">
      <w:pPr>
        <w:rPr>
          <w:rFonts w:hint="eastAsia"/>
        </w:rPr>
      </w:pPr>
      <w:r>
        <w:t>The FCDO manages the UK's Official Development Assistance (ODA) spending, which totaled over GBP 8 billion in 2024. The UK channels significant funding through multilateral development banks (GBP 2.3 billion), global health bodies (GBP 1.5 billion), climate funds (GBP 586 million), and UN agencies (GBP 253 million).</w:t>
      </w:r>
    </w:p>
    <w:p w14:paraId="3ACF67A9" w14:textId="77777777" w:rsidR="00CA7ABD" w:rsidRDefault="00000000">
      <w:pPr>
        <w:rPr>
          <w:rFonts w:hint="eastAsia"/>
        </w:rPr>
      </w:pPr>
      <w:r>
        <w:t>Application pathway: Iran accesses UK development funding through multilateral channels (World Bank trust funds, UN agencies, climate funds). The FCDO directs the majority of its development spending through multilateral institutions. Direct bilateral applications require an approved country partnership framework.</w:t>
      </w:r>
    </w:p>
    <w:p w14:paraId="41C8831B" w14:textId="77777777" w:rsidR="00CA7ABD" w:rsidRDefault="00000000">
      <w:pPr>
        <w:pStyle w:val="Heading3"/>
        <w:rPr>
          <w:rFonts w:hint="eastAsia"/>
        </w:rPr>
      </w:pPr>
      <w:r>
        <w:t>E.6 Private Foundations and Philanthropic Sources</w:t>
      </w:r>
    </w:p>
    <w:p w14:paraId="445A6BF0" w14:textId="77777777" w:rsidR="00CA7ABD" w:rsidRDefault="00000000">
      <w:pPr>
        <w:pStyle w:val="Heading3"/>
        <w:rPr>
          <w:rFonts w:hint="eastAsia"/>
        </w:rPr>
      </w:pPr>
      <w:r>
        <w:t>E.6.1 Rockefeller Foundation</w:t>
      </w:r>
    </w:p>
    <w:p w14:paraId="5BEBBAD1" w14:textId="77777777" w:rsidR="00CA7ABD" w:rsidRDefault="00000000">
      <w:pPr>
        <w:rPr>
          <w:rFonts w:hint="eastAsia"/>
        </w:rPr>
      </w:pPr>
      <w:r>
        <w:t>The Rockefeller Foundation maintains a USD 100 million commitment to climate and health solutions announced at COP28. The Foundation supports the Adaptation and Resilience Fund (in partnership with ClimateWorks Foundation) and focuses on building resilience in cities facing climate-related health threats.</w:t>
      </w:r>
    </w:p>
    <w:p w14:paraId="7D6ABB97" w14:textId="77777777" w:rsidR="00CA7ABD" w:rsidRDefault="00000000">
      <w:pPr>
        <w:rPr>
          <w:rFonts w:hint="eastAsia"/>
        </w:rPr>
      </w:pPr>
      <w:r>
        <w:t>Application pathway: The Foundation accepts proposals through its open application portal and through partnership networks. The RSC secretariat coordinates with the Foundation's regional representatives to identify aligned projects. Priority areas include climate-resilient health infrastructure, urban resilience, and energy access.</w:t>
      </w:r>
    </w:p>
    <w:p w14:paraId="02AB7DA1" w14:textId="77777777" w:rsidR="00CA7ABD" w:rsidRDefault="00000000">
      <w:pPr>
        <w:pStyle w:val="Heading3"/>
        <w:rPr>
          <w:rFonts w:hint="eastAsia"/>
        </w:rPr>
      </w:pPr>
      <w:r>
        <w:t>E.6.2 ClimateWorks Foundation: Adaptation and Resilience Fund</w:t>
      </w:r>
    </w:p>
    <w:p w14:paraId="07FF4104" w14:textId="77777777" w:rsidR="00CA7ABD" w:rsidRDefault="00000000">
      <w:pPr>
        <w:rPr>
          <w:rFonts w:hint="eastAsia"/>
        </w:rPr>
      </w:pPr>
      <w:r>
        <w:t>The Adaptation and Resilience Fund directs philanthropic capital to climate resilience solutions in low- and middle-income countries. The Fund focuses on four pillars: evidence-based policy research, institutional capacity strengthening, innovative finance mechanisms, and community-led resilience programs.</w:t>
      </w:r>
    </w:p>
    <w:p w14:paraId="666DDA6B" w14:textId="77777777" w:rsidR="00CA7ABD" w:rsidRDefault="00000000">
      <w:pPr>
        <w:rPr>
          <w:rFonts w:hint="eastAsia"/>
        </w:rPr>
      </w:pPr>
      <w:r>
        <w:t>Application pathway: The Fund accepts proposals from implementing organizations, research institutions, and local governments. Applications undergo a two-stage review: concept note (30-day review) followed by full proposal (60-day review). The RSC facilitates introductions between Iranian implementing agencies and the Fund's network.</w:t>
      </w:r>
    </w:p>
    <w:p w14:paraId="1F6132E6" w14:textId="77777777" w:rsidR="00CA7ABD" w:rsidRDefault="00000000">
      <w:pPr>
        <w:pStyle w:val="Heading3"/>
        <w:rPr>
          <w:rFonts w:hint="eastAsia"/>
        </w:rPr>
      </w:pPr>
      <w:r>
        <w:t>E.7 Specialized Multilateral Facilities</w:t>
      </w:r>
    </w:p>
    <w:p w14:paraId="6EEA6BA8" w14:textId="77777777" w:rsidR="00CA7ABD" w:rsidRDefault="00000000">
      <w:pPr>
        <w:pStyle w:val="Heading3"/>
        <w:rPr>
          <w:rFonts w:hint="eastAsia"/>
        </w:rPr>
      </w:pPr>
      <w:r>
        <w:t>E.7.1 OPEC Fund for International Development (OFID)</w:t>
      </w:r>
    </w:p>
    <w:p w14:paraId="3230FE86" w14:textId="77777777" w:rsidR="00CA7ABD" w:rsidRDefault="00000000">
      <w:pPr>
        <w:rPr>
          <w:rFonts w:hint="eastAsia"/>
        </w:rPr>
      </w:pPr>
      <w:r>
        <w:t>The OPEC Fund provides concessional financing, grants, and technical assistance to developing countries. The Fund operates across all developing regions with a focus on energy, transportation, water, health, and education. Iran qualifies as a partner country through its OPEC membership.</w:t>
      </w:r>
    </w:p>
    <w:p w14:paraId="1CA12323" w14:textId="77777777" w:rsidR="00CA7ABD" w:rsidRDefault="00000000">
      <w:pPr>
        <w:rPr>
          <w:rFonts w:hint="eastAsia"/>
        </w:rPr>
      </w:pPr>
      <w:r>
        <w:t>Application pathway for sovereign loans: Iran submits a project proposal through the OFID country representative or directly to OFID headquarters in Vienna. The proposal undergoes technical appraisal (60-90 days), followed by board approval. Loan disbursement proceeds upon signing of the financing agreement.</w:t>
      </w:r>
    </w:p>
    <w:p w14:paraId="6CCDC1FD" w14:textId="77777777" w:rsidR="00CA7ABD" w:rsidRDefault="00000000">
      <w:pPr>
        <w:rPr>
          <w:rFonts w:hint="eastAsia"/>
        </w:rPr>
      </w:pPr>
      <w:r>
        <w:t>Application pathway for grants: Eligible partners submit grant applications to SPES-GTA@ofid.org. Grant applications include: project description, budget, implementation timeline, and expected outcomes. The Fund reviews applications on a rolling basis with no fixed deadline.</w:t>
      </w:r>
    </w:p>
    <w:p w14:paraId="2C9803AB" w14:textId="77777777" w:rsidR="00CA7ABD" w:rsidRDefault="00000000">
      <w:pPr>
        <w:rPr>
          <w:rFonts w:hint="eastAsia"/>
        </w:rPr>
      </w:pPr>
      <w:r>
        <w:t>Application pathway for private sector: Project sponsors submit an initial documentation package including project description, market analysis, organizational structure, and financial projections. OFID requests a full feasibility study upon favorable preliminary review. Contact: opecfund.org/what-we-do/private-sector/applying-for-funding</w:t>
      </w:r>
    </w:p>
    <w:p w14:paraId="5ED17B3B" w14:textId="77777777" w:rsidR="00CA7ABD" w:rsidRDefault="00000000">
      <w:pPr>
        <w:pStyle w:val="Heading3"/>
        <w:rPr>
          <w:rFonts w:hint="eastAsia"/>
        </w:rPr>
      </w:pPr>
      <w:r>
        <w:t>E.7.2 African Development Bank: Transition Support Facility (TSF)</w:t>
      </w:r>
    </w:p>
    <w:p w14:paraId="2571648C" w14:textId="77777777" w:rsidR="00CA7ABD" w:rsidRDefault="00000000">
      <w:pPr>
        <w:rPr>
          <w:rFonts w:hint="eastAsia"/>
        </w:rPr>
      </w:pPr>
      <w:r>
        <w:t>While the AfDB's primary mandate covers Africa, its Transition Support Facility model demonstrates the operational framework for post-conflict reconstruction financing. The TSF mobilized over USD 4.9 billion for fragile states and pioneered Security-Indexed Investment Bonds (SIIBs) to finance peace-supporting infrastructure.</w:t>
      </w:r>
    </w:p>
    <w:p w14:paraId="0A2B07BC" w14:textId="77777777" w:rsidR="00CA7ABD" w:rsidRDefault="00000000">
      <w:pPr>
        <w:rPr>
          <w:rFonts w:hint="eastAsia"/>
        </w:rPr>
      </w:pPr>
      <w:r>
        <w:t>The AfDB's partnership with the Islamic Development Bank (IsDB) and ICRC creates a trilateral cooperation framework for conflict-affected settings. This framework offers lessons for MRF operations in Iran, particularly in sequencing rehabilitation investments and coordinating humanitarian and development financing.</w:t>
      </w:r>
    </w:p>
    <w:p w14:paraId="2FD4659B" w14:textId="77777777" w:rsidR="00CA7ABD" w:rsidRDefault="00000000">
      <w:pPr>
        <w:pStyle w:val="Heading3"/>
        <w:rPr>
          <w:rFonts w:hint="eastAsia"/>
        </w:rPr>
      </w:pPr>
      <w:r>
        <w:t>E.7.3 Switzerland: State Secretariat for Economic Affairs (SECO)</w:t>
      </w:r>
    </w:p>
    <w:p w14:paraId="024AA887" w14:textId="77777777" w:rsidR="00CA7ABD" w:rsidRDefault="00000000">
      <w:pPr>
        <w:rPr>
          <w:rFonts w:hint="eastAsia"/>
        </w:rPr>
      </w:pPr>
      <w:r>
        <w:t>SECO manages Switzerland's economic development cooperation with a focus on private sector development, sustainable infrastructure, and climate finance. Switzerland recently contributed USD 70 million to the Private Infrastructure Development Group (PIDG) for sustainable infrastructure in developing countries.</w:t>
      </w:r>
    </w:p>
    <w:p w14:paraId="053005E2" w14:textId="77777777" w:rsidR="00CA7ABD" w:rsidRDefault="00000000">
      <w:pPr>
        <w:rPr>
          <w:rFonts w:hint="eastAsia"/>
        </w:rPr>
      </w:pPr>
      <w:r>
        <w:t>Application pathway: Iran accesses Swiss development finance through SECO's partner country programs or through multilateral channels. SECO prioritizes co-financing arrangements with other development partners. The Swiss Agency for Development and Cooperation (SDC) manages humanitarian assistance through its own channels.</w:t>
      </w:r>
    </w:p>
    <w:p w14:paraId="1E5E637B" w14:textId="77777777" w:rsidR="00CA7ABD" w:rsidRDefault="00000000">
      <w:pPr>
        <w:pStyle w:val="Heading3"/>
        <w:rPr>
          <w:rFonts w:hint="eastAsia"/>
        </w:rPr>
      </w:pPr>
      <w:r>
        <w:t>E.8 Summary of Application Coordination</w:t>
      </w:r>
    </w:p>
    <w:p w14:paraId="261B2EE2" w14:textId="77777777" w:rsidR="00CA7ABD" w:rsidRDefault="00000000">
      <w:pPr>
        <w:rPr>
          <w:rFonts w:hint="eastAsia"/>
        </w:rPr>
      </w:pPr>
      <w:r>
        <w:t>The RSC secretariat serves as the central coordination hub for all external funding applications. The secretariat maintains a Funding Opportunities Database tracking application deadlines, eligibility criteria, and submission requirements for all listed sources. Iranian project proponents consult the database through the MRF transparency dashboard and coordinate submissions through the RSC to prevent duplication and maximize leverage.</w:t>
      </w:r>
    </w:p>
    <w:p w14:paraId="7BE24A16" w14:textId="77777777" w:rsidR="00CA7ABD" w:rsidRDefault="00000000">
      <w:pPr>
        <w:pStyle w:val="Heading2"/>
        <w:rPr>
          <w:rFonts w:hint="eastAsia"/>
        </w:rPr>
      </w:pPr>
      <w:r>
        <w:t>Appendix F: Force Majeure and Sanctions Reimposition Fallback Protocol</w:t>
      </w:r>
    </w:p>
    <w:p w14:paraId="3341161B" w14:textId="77777777" w:rsidR="00CA7ABD" w:rsidRDefault="00000000">
      <w:pPr>
        <w:rPr>
          <w:rFonts w:hint="eastAsia"/>
        </w:rPr>
      </w:pPr>
      <w:r>
        <w:t>This Appendix establishes the procedural framework for responding to force majeure events, including the reimposition of sanctions that override the OFAC general license protecting MRF transactions. This protocol gives Iran and all donors confidence that funds already disbursed are secure and that undisbursed funds are protected, not lost.</w:t>
      </w:r>
    </w:p>
    <w:p w14:paraId="62F9DF73" w14:textId="77777777" w:rsidR="00CA7ABD" w:rsidRDefault="00000000">
      <w:pPr>
        <w:pStyle w:val="Heading3"/>
        <w:rPr>
          <w:rFonts w:hint="eastAsia"/>
        </w:rPr>
      </w:pPr>
      <w:r>
        <w:t>F.1 Definition of Force Majeure</w:t>
      </w:r>
    </w:p>
    <w:p w14:paraId="26FE3038" w14:textId="77777777" w:rsidR="00CA7ABD" w:rsidRDefault="00000000">
      <w:pPr>
        <w:rPr>
          <w:rFonts w:hint="eastAsia"/>
        </w:rPr>
      </w:pPr>
      <w:r>
        <w:t>For the purposes of this Protocol, force majeure includes: (1) reimposition of UN Security Council sanctions on Iran that override the OFAC general license, (2) reimposition of U.S. secondary sanctions that prevent Qatar Central Bank or the World Bank from processing MRF transactions, (3) armed conflict resumption that makes project sites inaccessible for more than 90 consecutive days, (4) a UN Security Council resolution explicitly terminating or suspending the Islamabad Accord, (5) host government actions by Iran that materially breach the Accord and trigger donor withdrawal, or (6) a major contractor insolvency or default that halts construction on projects exceeding $500 million in aggregate value.</w:t>
      </w:r>
    </w:p>
    <w:p w14:paraId="008CAE56" w14:textId="77777777" w:rsidR="00CA7ABD" w:rsidRDefault="00000000">
      <w:pPr>
        <w:pStyle w:val="Heading3"/>
        <w:rPr>
          <w:rFonts w:hint="eastAsia"/>
        </w:rPr>
      </w:pPr>
      <w:r>
        <w:t>F.2 Immediate Response Procedures</w:t>
      </w:r>
    </w:p>
    <w:p w14:paraId="3008D27D" w14:textId="77777777" w:rsidR="00CA7ABD" w:rsidRDefault="00000000">
      <w:pPr>
        <w:rPr>
          <w:rFonts w:hint="eastAsia"/>
        </w:rPr>
      </w:pPr>
      <w:r>
        <w:t>Upon occurrence of a force majeure event, the following sequence activates automatically:</w:t>
      </w:r>
    </w:p>
    <w:p w14:paraId="5D7FD68F" w14:textId="77777777" w:rsidR="00CA7ABD" w:rsidRDefault="00000000">
      <w:pPr>
        <w:rPr>
          <w:rFonts w:hint="eastAsia"/>
        </w:rPr>
      </w:pPr>
      <w:r>
        <w:t>Step 1 (Within 24 hours): The RSC Chair declares a Force Majeure Event by written notice to all RSC members, the Qatar Central Bank, and the World Bank. All new disbursements suspend immediately upon declaration.</w:t>
      </w:r>
    </w:p>
    <w:p w14:paraId="0C57066E" w14:textId="77777777" w:rsidR="00CA7ABD" w:rsidRDefault="00000000">
      <w:pPr>
        <w:rPr>
          <w:rFonts w:hint="eastAsia"/>
        </w:rPr>
      </w:pPr>
      <w:r>
        <w:t>Step 2 (Within 72 hours): The Qatar Central Bank freezes all undisbursed funds in their respective Sub-Fund accounts. Frozen funds remain in trust and earn interest at the QCB overnight deposit rate.</w:t>
      </w:r>
    </w:p>
    <w:p w14:paraId="019E56EC" w14:textId="77777777" w:rsidR="00CA7ABD" w:rsidRDefault="00000000">
      <w:pPr>
        <w:rPr>
          <w:rFonts w:hint="eastAsia"/>
        </w:rPr>
      </w:pPr>
      <w:r>
        <w:t>Step 3 (Within 15 days): The RSC convenes an Emergency Session to assess the force majeure scope, estimate the suspension duration, and determine which projects safely continue under the PRI Pool's force majeure coverage.</w:t>
      </w:r>
    </w:p>
    <w:p w14:paraId="32794E9D" w14:textId="77777777" w:rsidR="00CA7ABD" w:rsidRDefault="00000000">
      <w:pPr>
        <w:rPr>
          <w:rFonts w:hint="eastAsia"/>
        </w:rPr>
      </w:pPr>
      <w:r>
        <w:t>Step 4 (Within 30 days): The RSC issues a Force Majeure Assessment Report containing: (a) the affected Sub-Funds and projects, (b) the total value of suspended disbursements, (c) the total value of funds already disbursed that are protected from clawback, (d) a recommended suspension duration, and (e) reactivation conditions.</w:t>
      </w:r>
    </w:p>
    <w:p w14:paraId="72C99D52" w14:textId="77777777" w:rsidR="00CA7ABD" w:rsidRDefault="00000000">
      <w:pPr>
        <w:pStyle w:val="Heading3"/>
        <w:rPr>
          <w:rFonts w:hint="eastAsia"/>
        </w:rPr>
      </w:pPr>
      <w:r>
        <w:t>F.3 Protection of Disbursed Funds</w:t>
      </w:r>
    </w:p>
    <w:p w14:paraId="3BA558A6" w14:textId="77777777" w:rsidR="00CA7ABD" w:rsidRDefault="00000000">
      <w:pPr>
        <w:rPr>
          <w:rFonts w:hint="eastAsia"/>
        </w:rPr>
      </w:pPr>
      <w:r>
        <w:t>Funds already disbursed to contractors, suppliers, or Iranian government accounts prior to the force majeure declaration are not subject to clawback, freeze, or seizure. This protection applies regardless of the force majeure cause, including sanctions reimposition. The no-clawback provision is absolute and operates independently of the triggering event.</w:t>
      </w:r>
    </w:p>
    <w:p w14:paraId="5146B24B" w14:textId="77777777" w:rsidR="00CA7ABD" w:rsidRDefault="00000000">
      <w:pPr>
        <w:rPr>
          <w:rFonts w:hint="eastAsia"/>
        </w:rPr>
      </w:pPr>
      <w:r>
        <w:t>Contractors that have received milestone payments retain those funds for work completed and verified. The PRI Pool covers any contractual claims arising from force majeure suspension. Contractors continue work on projects covered by the PRI Pool's force majeure rider pending RSC determination.</w:t>
      </w:r>
    </w:p>
    <w:p w14:paraId="2032C6DB" w14:textId="77777777" w:rsidR="00CA7ABD" w:rsidRDefault="00000000">
      <w:pPr>
        <w:pStyle w:val="Heading3"/>
        <w:rPr>
          <w:rFonts w:hint="eastAsia"/>
        </w:rPr>
      </w:pPr>
      <w:r>
        <w:t>F.4 Protection of Undisbursed Funds</w:t>
      </w:r>
    </w:p>
    <w:p w14:paraId="570390B4" w14:textId="77777777" w:rsidR="00CA7ABD" w:rsidRDefault="00000000">
      <w:pPr>
        <w:rPr>
          <w:rFonts w:hint="eastAsia"/>
        </w:rPr>
      </w:pPr>
      <w:r>
        <w:t>Undisbursed funds held in the Qatar Central Bank escrow at the time of force majeure declaration remain in trust. The Qatar Central Bank maintains these funds in segregated Sub-Fund accounts with the following protections: (1) funds are not commingled with QCB general reserves, (2) funds earn interest at the QCB overnight deposit rate during suspension, (3) funds are not subject to attachment by creditors of Iran or any other party, (4) funds are available for reactivation upon RSC determination that the force majeure event has resolved.</w:t>
      </w:r>
    </w:p>
    <w:p w14:paraId="3ED33EBB" w14:textId="77777777" w:rsidR="00CA7ABD" w:rsidRDefault="00000000">
      <w:pPr>
        <w:rPr>
          <w:rFonts w:hint="eastAsia"/>
        </w:rPr>
      </w:pPr>
      <w:r>
        <w:t>If the force majeure event persists for more than 365 days, the RSC convenes a Special Distribution Session to determine whether to: (a) return undisbursed funds to contributors on a pro-rata basis, (b) redirect undisbursed funds to a successor framework, or (c) maintain funds in trust pending further political developments. This determination requires consensus of all RSC voting members.</w:t>
      </w:r>
    </w:p>
    <w:p w14:paraId="491A50A5" w14:textId="77777777" w:rsidR="00CA7ABD" w:rsidRDefault="00000000">
      <w:pPr>
        <w:pStyle w:val="Heading3"/>
        <w:rPr>
          <w:rFonts w:hint="eastAsia"/>
        </w:rPr>
      </w:pPr>
      <w:r>
        <w:t>F.5 Escrow Buffer for Cost Overruns</w:t>
      </w:r>
    </w:p>
    <w:p w14:paraId="11949313" w14:textId="77777777" w:rsidR="00CA7ABD" w:rsidRDefault="00000000">
      <w:pPr>
        <w:rPr>
          <w:rFonts w:hint="eastAsia"/>
        </w:rPr>
      </w:pPr>
      <w:r>
        <w:t>The MRF maintains a dedicated Cost Overrun Escrow Buffer equal to 3% of total MRF capitalization (approximately $1.5 billion). This buffer is separate from the Sub-Fund-level Contingency Reserves and activates only when: (1) aggregate cost overruns across all Sub-Funds exceed the combined Contingency Reserve balances, (2) a force majeure event causes widespread project delays that inflate costs across multiple Sub-Funds simultaneously, or (3) the RSC certifies that cost overruns threaten the completion of critical infrastructure.</w:t>
      </w:r>
    </w:p>
    <w:p w14:paraId="0BDAFE2C" w14:textId="77777777" w:rsidR="00CA7ABD" w:rsidRDefault="00000000">
      <w:pPr>
        <w:rPr>
          <w:rFonts w:hint="eastAsia"/>
        </w:rPr>
      </w:pPr>
      <w:r>
        <w:t>Cost Overrun Escrow Buffer disbursements require unanimous approval of RSC voting members and independent audit confirmation that the overrun is genuine and unavoidable. The buffer is replenished from future contributor deposits or from rebalanced Sub-Fund allocations. Post-conflict reconstruction typically runs 30-50% over budget. Without this buffer, projects stall and donor confidence collapses.</w:t>
      </w:r>
    </w:p>
    <w:p w14:paraId="6B558F49" w14:textId="77777777" w:rsidR="00CA7ABD" w:rsidRDefault="00000000">
      <w:pPr>
        <w:pStyle w:val="Heading3"/>
        <w:rPr>
          <w:rFonts w:hint="eastAsia"/>
        </w:rPr>
      </w:pPr>
      <w:r>
        <w:t>F.6 Reactivation Procedures</w:t>
      </w:r>
    </w:p>
    <w:p w14:paraId="4C66D14A" w14:textId="77777777" w:rsidR="00CA7ABD" w:rsidRDefault="00000000">
      <w:pPr>
        <w:rPr>
          <w:rFonts w:hint="eastAsia"/>
        </w:rPr>
      </w:pPr>
      <w:r>
        <w:t>Upon resolution of the force majeure event, the RSC activates the following reactivation sequence: (1) The RSC Chair issues a Reactivation Notice by written declaration, (2) The Qatar Central Bank releases frozen funds within 48 hours of the Reactivation Notice, (3) The RSC conducts a project-by-project damage assessment to determine which projects resume, which require redesign, and which are no longer viable, (4) The TAG updates technical specifications and cost estimates for affected projects, (5) The RSC authorizes revised disbursement schedules, (6) Full MRF operations resume within 30 days of the Reactivation Notice.</w:t>
      </w:r>
    </w:p>
    <w:p w14:paraId="1F77E1C5" w14:textId="77777777" w:rsidR="00CA7ABD" w:rsidRDefault="00000000">
      <w:pPr>
        <w:rPr>
          <w:rFonts w:hint="eastAsia"/>
        </w:rPr>
      </w:pPr>
      <w:r>
        <w:t>Projects that suffered physical damage during the force majeure suspension access the Cost Overrun Escrow Buffer for repair and remediation costs. Contractors that abandoned projects during suspension are replaced through the standard procurement process with preference given to contractors that maintained performance bond compliance.</w:t>
      </w:r>
    </w:p>
    <w:p w14:paraId="551D0CE5" w14:textId="77777777" w:rsidR="00CA7ABD" w:rsidRDefault="00000000">
      <w:pPr>
        <w:pStyle w:val="Heading3"/>
        <w:rPr>
          <w:rFonts w:hint="eastAsia"/>
        </w:rPr>
      </w:pPr>
      <w:r>
        <w:t>F.7 Non-Recognition Clause</w:t>
      </w:r>
    </w:p>
    <w:p w14:paraId="56848E39" w14:textId="77777777" w:rsidR="00CA7ABD" w:rsidRDefault="00000000">
      <w:pPr>
        <w:rPr>
          <w:rFonts w:hint="eastAsia"/>
        </w:rPr>
      </w:pPr>
      <w:r>
        <w:t>This Appendix is incorporated by reference into the Annex RDF and operates as a standalone protocol. Nothing in this Appendix constitutes recognition of any entity, government, territorial claim, or jurisdictional assertion by any Party. Participation in this Protocol does not prejudice the legal positions, sovereignty claims, sanctions positions, or future political negotiations of any Party. All Parties retain their respective positions regarding the legal status of Iran, the Persian Gulf, and adjacent maritime areas.</w:t>
      </w:r>
    </w:p>
    <w:p w14:paraId="3651032A" w14:textId="77777777" w:rsidR="00CA7ABD" w:rsidRDefault="00000000">
      <w:pPr>
        <w:rPr>
          <w:rFonts w:hint="eastAsia"/>
        </w:rPr>
      </w:pPr>
      <w:r>
        <w:t>This Protocol does not create any new legal obligations beyond those established in the Annex RDF, the Islamabad Accord, or the CTAF. In the event of inconsistency, the hierarchy established in Article 6 of this Annex governs.</w:t>
      </w:r>
    </w:p>
    <w:p w14:paraId="5CF32FA8" w14:textId="77777777" w:rsidR="00CA7ABD" w:rsidRDefault="00000000">
      <w:pPr>
        <w:pStyle w:val="Heading2"/>
        <w:rPr>
          <w:rFonts w:hint="eastAsia"/>
        </w:rPr>
      </w:pPr>
      <w:r>
        <w:t>End of Annex RDF</w:t>
      </w:r>
    </w:p>
    <w:p w14:paraId="78783238" w14:textId="77777777" w:rsidR="00CA7ABD" w:rsidRDefault="00000000">
      <w:pPr>
        <w:rPr>
          <w:rFonts w:hint="eastAsia"/>
        </w:rPr>
      </w:pPr>
      <w:r>
        <w:t>In witness whereof, the undersigned, being duly authorized by their respective governments, have signed this Annex RDF to the Coordinated Technical Activation Framework.</w:t>
      </w:r>
    </w:p>
    <w:p w14:paraId="362B87A7" w14:textId="77777777" w:rsidR="00CA7ABD" w:rsidRDefault="00000000">
      <w:pPr>
        <w:rPr>
          <w:rFonts w:hint="eastAsia"/>
        </w:rPr>
      </w:pPr>
      <w:r>
        <w:t>Done at [Location], this _____ day of ___________, 2026.</w:t>
      </w:r>
    </w:p>
    <w:p w14:paraId="3EFFEE81" w14:textId="77777777" w:rsidR="00CA7ABD" w:rsidRDefault="00000000">
      <w:pPr>
        <w:rPr>
          <w:rFonts w:hint="eastAsia"/>
        </w:rPr>
      </w:pPr>
      <w:r>
        <w:t>For the Islamic Republic of Iran: _______________________</w:t>
      </w:r>
    </w:p>
    <w:p w14:paraId="7B6DA6B9" w14:textId="77777777" w:rsidR="00CA7ABD" w:rsidRDefault="00000000">
      <w:pPr>
        <w:rPr>
          <w:rFonts w:hint="eastAsia"/>
        </w:rPr>
      </w:pPr>
      <w:r>
        <w:t>For the State of Qatar: _______________________</w:t>
      </w:r>
    </w:p>
    <w:p w14:paraId="38A1FB92" w14:textId="77777777" w:rsidR="00CA7ABD" w:rsidRDefault="00000000">
      <w:pPr>
        <w:rPr>
          <w:rFonts w:hint="eastAsia"/>
        </w:rPr>
      </w:pPr>
      <w:r>
        <w:t>For the Sultanate of Oman: _______________________</w:t>
      </w:r>
    </w:p>
    <w:p w14:paraId="393CED53" w14:textId="77777777" w:rsidR="00CA7ABD" w:rsidRDefault="00000000">
      <w:pPr>
        <w:rPr>
          <w:rFonts w:hint="eastAsia"/>
        </w:rPr>
      </w:pPr>
      <w:r>
        <w:t>For the World Bank: _______________________</w:t>
      </w:r>
    </w:p>
    <w:p w14:paraId="71696875" w14:textId="77777777" w:rsidR="00CA7ABD" w:rsidRDefault="00000000">
      <w:pPr>
        <w:rPr>
          <w:rFonts w:hint="eastAsia"/>
        </w:rPr>
      </w:pPr>
      <w:r>
        <w:t>Witnessed by: _______________________</w:t>
      </w:r>
    </w:p>
    <w:p w14:paraId="73D95280" w14:textId="77777777" w:rsidR="00CA7ABD" w:rsidRDefault="00000000">
      <w:pPr>
        <w:pStyle w:val="Heading2"/>
        <w:rPr>
          <w:rFonts w:hint="eastAsia"/>
        </w:rPr>
      </w:pPr>
      <w:r>
        <w:t>Appendix G: Additional International Funding Sources</w:t>
      </w:r>
    </w:p>
    <w:p w14:paraId="733EFE65" w14:textId="77777777" w:rsidR="00CA7ABD" w:rsidRDefault="00000000">
      <w:pPr>
        <w:rPr>
          <w:rFonts w:hint="eastAsia"/>
        </w:rPr>
      </w:pPr>
      <w:r>
        <w:t>This Appendix catalogs additional funding sources discovered through expanded global research. These sources complement Appendices D and E and are coordinated through the RSC Funding Opportunities Database.</w:t>
      </w:r>
    </w:p>
    <w:p w14:paraId="52B2594F" w14:textId="77777777" w:rsidR="00CA7ABD" w:rsidRDefault="00000000">
      <w:pPr>
        <w:pStyle w:val="Heading3"/>
        <w:rPr>
          <w:rFonts w:hint="eastAsia"/>
        </w:rPr>
      </w:pPr>
      <w:r>
        <w:t>G.1 GCC Bilateral Development Funds</w:t>
      </w:r>
    </w:p>
    <w:p w14:paraId="1F1905D7" w14:textId="77777777" w:rsidR="00CA7ABD" w:rsidRDefault="00000000">
      <w:pPr>
        <w:pStyle w:val="Heading3"/>
        <w:rPr>
          <w:rFonts w:hint="eastAsia"/>
        </w:rPr>
      </w:pPr>
      <w:r>
        <w:t>G.1.1 Kuwait Fund for Arab Economic Development (KFAED)</w:t>
      </w:r>
    </w:p>
    <w:p w14:paraId="1E01D04A" w14:textId="77777777" w:rsidR="00CA7ABD" w:rsidRDefault="00000000">
      <w:pPr>
        <w:rPr>
          <w:rFonts w:hint="eastAsia"/>
        </w:rPr>
      </w:pPr>
      <w:r>
        <w:t>The KFAED operates as Kuwait's bilateral development finance institution with a mandate extending to all Arab League member states, which includes Iran. The Fund finances vital infrastructure projects across energy, water, transport, health, and education sectors. Recent financing includes the Gulf electricity interconnection system and regional power grid development.</w:t>
      </w:r>
    </w:p>
    <w:p w14:paraId="46A06FCA" w14:textId="77777777" w:rsidR="00CA7ABD" w:rsidRDefault="00000000">
      <w:pPr>
        <w:rPr>
          <w:rFonts w:hint="eastAsia"/>
        </w:rPr>
      </w:pPr>
      <w:r>
        <w:t>Potential allocation for Iran: $1-2 billion for energy infrastructure, water systems, and transport corridors. KFAED provides concessional loans with long maturities (20-30 years), grace periods (5-10 years), and interest rates below 2% per annum.</w:t>
      </w:r>
    </w:p>
    <w:p w14:paraId="13ED681C" w14:textId="77777777" w:rsidR="00CA7ABD" w:rsidRDefault="00000000">
      <w:pPr>
        <w:rPr>
          <w:rFonts w:hint="eastAsia"/>
        </w:rPr>
      </w:pPr>
      <w:r>
        <w:t>Application pathway: Iran submits a project proposal through the KFAED country program office. The proposal undergoes technical appraisal (90-120 days) followed by board approval. KFAED coordinates with the MRF through the RSC secretariat to ensure alignment with Sub-Fund priorities.</w:t>
      </w:r>
    </w:p>
    <w:p w14:paraId="15BFB7D7" w14:textId="77777777" w:rsidR="00CA7ABD" w:rsidRDefault="00000000">
      <w:pPr>
        <w:pStyle w:val="Heading3"/>
        <w:rPr>
          <w:rFonts w:hint="eastAsia"/>
        </w:rPr>
      </w:pPr>
      <w:r>
        <w:t>G.1.2 Arab Fund for Economic and Social Development (AFESD)</w:t>
      </w:r>
    </w:p>
    <w:p w14:paraId="76FC7963" w14:textId="77777777" w:rsidR="00CA7ABD" w:rsidRDefault="00000000">
      <w:pPr>
        <w:rPr>
          <w:rFonts w:hint="eastAsia"/>
        </w:rPr>
      </w:pPr>
      <w:r>
        <w:t>The AFESD is a Kuwait-based pan-Arab development finance institution. All Arab League member states are members of the AFESD. As of 2024, the Fund holds approximately $10 billion in assets and finances development projects across the Arab world with priority given to joint Arab projects.</w:t>
      </w:r>
    </w:p>
    <w:p w14:paraId="4EC9B357" w14:textId="77777777" w:rsidR="00CA7ABD" w:rsidRDefault="00000000">
      <w:pPr>
        <w:rPr>
          <w:rFonts w:hint="eastAsia"/>
        </w:rPr>
      </w:pPr>
      <w:r>
        <w:t>The AFESD provides both loans and grants. Approximately 5% of annual net income is allocated to grants supporting technical and economic feasibility studies, seminars, conferences, and institutional training. Grant sizes range from $20,000 to over $10 million. Loan terms include concessional rates and extended maturities.</w:t>
      </w:r>
    </w:p>
    <w:p w14:paraId="2AF1EB7F" w14:textId="77777777" w:rsidR="00CA7ABD" w:rsidRDefault="00000000">
      <w:pPr>
        <w:rPr>
          <w:rFonts w:hint="eastAsia"/>
        </w:rPr>
      </w:pPr>
      <w:r>
        <w:t>Application pathway: Iran accesses AFESD financing through its membership in the Arab League. National grant requests require a letter from the AFESD Governor for Iran. Loan applications proceed through the Fund's standard project cycle. The AFESD also operates the Coordination Secretariat for Arab National and Regional Development Institutions, the Islamic Development Bank, and the OPEC Fund for International Development.</w:t>
      </w:r>
    </w:p>
    <w:p w14:paraId="1DE42747" w14:textId="77777777" w:rsidR="00CA7ABD" w:rsidRDefault="00000000">
      <w:pPr>
        <w:rPr>
          <w:rFonts w:hint="eastAsia"/>
        </w:rPr>
      </w:pPr>
      <w:r>
        <w:t>Contact: Arab Fund for Economic and Social Development, PO Box 21923, Safat 13080, Kuwait. Website: arabfund.org.</w:t>
      </w:r>
    </w:p>
    <w:p w14:paraId="54C394DA" w14:textId="77777777" w:rsidR="00CA7ABD" w:rsidRDefault="00000000">
      <w:pPr>
        <w:pStyle w:val="Heading3"/>
        <w:rPr>
          <w:rFonts w:hint="eastAsia"/>
        </w:rPr>
      </w:pPr>
      <w:r>
        <w:t>G.1.3 Qatar Fund for Development (QFFD)</w:t>
      </w:r>
    </w:p>
    <w:p w14:paraId="6E3242AA" w14:textId="77777777" w:rsidR="00CA7ABD" w:rsidRDefault="00000000">
      <w:pPr>
        <w:rPr>
          <w:rFonts w:hint="eastAsia"/>
        </w:rPr>
      </w:pPr>
      <w:r>
        <w:t>QFFD is the State of Qatar's official provider for international development and humanitarian assistance. Since establishment, QFFD has disbursed over $7 billion across more than 100 countries. QFFD deploys a diversified financing toolkit including concessional loans, guarantees, grants, and blended finance.</w:t>
      </w:r>
    </w:p>
    <w:p w14:paraId="19345AF0" w14:textId="77777777" w:rsidR="00CA7ABD" w:rsidRDefault="00000000">
      <w:pPr>
        <w:rPr>
          <w:rFonts w:hint="eastAsia"/>
        </w:rPr>
      </w:pPr>
      <w:r>
        <w:t>QFFD is a founding partner of the Lives and Livelihoods Fund (LLF), a $2.5 billion initiative launched with the Islamic Development Bank, Abu Dhabi Fund for Development, the Bill and Melinda Gates Foundation, the Islamic Solidarity Fund for Development, and the King Salman Humanitarian Aid and Relief Centre. The LLF targets poverty reduction in IsDB member countries.</w:t>
      </w:r>
    </w:p>
    <w:p w14:paraId="08916150" w14:textId="77777777" w:rsidR="00CA7ABD" w:rsidRDefault="00000000">
      <w:pPr>
        <w:rPr>
          <w:rFonts w:hint="eastAsia"/>
        </w:rPr>
      </w:pPr>
      <w:r>
        <w:t>Application pathway: Iran accesses QFFD financing through bilateral development cooperation frameworks or through the LLF. QFFD coordinates with the MRF through its existing partnership with the Qatar Central Bank. QFFD also provides unearmarked humanitarian contributions that support MRF-aligned relief operations.</w:t>
      </w:r>
    </w:p>
    <w:p w14:paraId="4C4EEF69" w14:textId="77777777" w:rsidR="00CA7ABD" w:rsidRDefault="00000000">
      <w:pPr>
        <w:pStyle w:val="Heading3"/>
        <w:rPr>
          <w:rFonts w:hint="eastAsia"/>
        </w:rPr>
      </w:pPr>
      <w:r>
        <w:t>G.1.4 Saudi Fund for Development (SFD)</w:t>
      </w:r>
    </w:p>
    <w:p w14:paraId="0B437593" w14:textId="77777777" w:rsidR="00CA7ABD" w:rsidRDefault="00000000">
      <w:pPr>
        <w:rPr>
          <w:rFonts w:hint="eastAsia"/>
        </w:rPr>
      </w:pPr>
      <w:r>
        <w:t>The SFD is the Kingdom of Saudi Arabia's development finance arm. Over five decades, SFD has funded more than 800 development projects worth over $22 billion across 100 countries. In Africa alone, SFD has financed over 400 projects in 46 countries worth $10.7 billion. Sectors include agriculture, energy, industry, transportation, and social infrastructure.</w:t>
      </w:r>
    </w:p>
    <w:p w14:paraId="3602477E" w14:textId="77777777" w:rsidR="00CA7ABD" w:rsidRDefault="00000000">
      <w:pPr>
        <w:rPr>
          <w:rFonts w:hint="eastAsia"/>
        </w:rPr>
      </w:pPr>
      <w:r>
        <w:t>SFD provides concessional loans, grants, and technical assistance. The Fund recently established a $1 billion partnership with FIFA for sports infrastructure in developing nations, demonstrating its capacity for large-scale sector-specific financing.</w:t>
      </w:r>
    </w:p>
    <w:p w14:paraId="107D845E" w14:textId="77777777" w:rsidR="00CA7ABD" w:rsidRDefault="00000000">
      <w:pPr>
        <w:rPr>
          <w:rFonts w:hint="eastAsia"/>
        </w:rPr>
      </w:pPr>
      <w:r>
        <w:t>Application pathway: Iran submits project proposals through the SFD regional office or through bilateral channels. SFD conducts technical appraisal (90-120 days) followed by board approval. SFD coordinates with the MRF through the RSC to align with Sub-Fund priorities and avoid duplication.</w:t>
      </w:r>
    </w:p>
    <w:p w14:paraId="3A4BCA96" w14:textId="77777777" w:rsidR="00CA7ABD" w:rsidRDefault="00000000">
      <w:pPr>
        <w:pStyle w:val="Heading3"/>
        <w:rPr>
          <w:rFonts w:hint="eastAsia"/>
        </w:rPr>
      </w:pPr>
      <w:r>
        <w:t>G.1.5 Abu Dhabi Fund for Development (ADFD)</w:t>
      </w:r>
    </w:p>
    <w:p w14:paraId="08A7BE6D" w14:textId="77777777" w:rsidR="00CA7ABD" w:rsidRDefault="00000000">
      <w:pPr>
        <w:rPr>
          <w:rFonts w:hint="eastAsia"/>
        </w:rPr>
      </w:pPr>
      <w:r>
        <w:t>ADFD manages the UAE's international development assistance. By the end of 2025, ADFD's cumulative financing reached AED 250 billion (approximately $68 billion), benefiting 108 countries. This includes AED 159 billion in concessional loans, AED 58 billion in government grants, and AED 2.2 billion in direct contributions.</w:t>
      </w:r>
    </w:p>
    <w:p w14:paraId="26411E96" w14:textId="77777777" w:rsidR="00CA7ABD" w:rsidRDefault="00000000">
      <w:pPr>
        <w:rPr>
          <w:rFonts w:hint="eastAsia"/>
        </w:rPr>
      </w:pPr>
      <w:r>
        <w:t>ADFD operates the IRENA/ADFD Project Facility, which has committed $350 million in concessionary loans for renewable energy projects in developing countries. ADFD has previously financed projects in Iran through this facility. The Fund targets renewable energy, infrastructure (housing, transport, logistics), education, technology, and water security.</w:t>
      </w:r>
    </w:p>
    <w:p w14:paraId="2B3F22CE" w14:textId="77777777" w:rsidR="00CA7ABD" w:rsidRDefault="00000000">
      <w:pPr>
        <w:rPr>
          <w:rFonts w:hint="eastAsia"/>
        </w:rPr>
      </w:pPr>
      <w:r>
        <w:t>Application pathway: Iran submits project proposals through the ADFD country program or through the IRENA/ADFD Project Facility for renewable energy projects. ADFD conducts technical appraisal and due diligence (90-120 days). The RSC coordinates with ADFD to ensure MRF alignment.</w:t>
      </w:r>
    </w:p>
    <w:p w14:paraId="30270929" w14:textId="77777777" w:rsidR="00CA7ABD" w:rsidRDefault="00000000">
      <w:pPr>
        <w:pStyle w:val="Heading3"/>
        <w:rPr>
          <w:rFonts w:hint="eastAsia"/>
        </w:rPr>
      </w:pPr>
      <w:r>
        <w:t>G.1.6 Oman and Turkey: Regional Development Partners</w:t>
      </w:r>
    </w:p>
    <w:p w14:paraId="649738F1" w14:textId="77777777" w:rsidR="00CA7ABD" w:rsidRDefault="00000000">
      <w:pPr>
        <w:rPr>
          <w:rFonts w:hint="eastAsia"/>
        </w:rPr>
      </w:pPr>
      <w:r>
        <w:t>The Sultanate of Oman serves as a traditional diplomatic intermediary and provides in-kind logistics support for reconstruction operations. Oman's geographic proximity to Iran and its functional trade relationship position it as a logistics corridor for reconstruction materials and personnel.</w:t>
      </w:r>
    </w:p>
    <w:p w14:paraId="18706798" w14:textId="77777777" w:rsidR="00CA7ABD" w:rsidRDefault="00000000">
      <w:pPr>
        <w:rPr>
          <w:rFonts w:hint="eastAsia"/>
        </w:rPr>
      </w:pPr>
      <w:r>
        <w:t>The Turkish Cooperation and Coordination Agency (TIKA) operates as Turkey's bilateral development arm. Turkish construction firms are globally recognized for rapid post-conflict rebuilding expertise. TIKA provides technical assistance, capacity building, and project financing with a focus on infrastructure and institutional development. Iran accesses TIKA support through bilateral development cooperation agreements or through frozen asset conversion protocols.</w:t>
      </w:r>
    </w:p>
    <w:p w14:paraId="2B42F73B" w14:textId="77777777" w:rsidR="00CA7ABD" w:rsidRDefault="00000000">
      <w:pPr>
        <w:pStyle w:val="Heading3"/>
        <w:rPr>
          <w:rFonts w:hint="eastAsia"/>
        </w:rPr>
      </w:pPr>
      <w:r>
        <w:t>G.2 World Bank Financial Intermediary Funds</w:t>
      </w:r>
    </w:p>
    <w:p w14:paraId="43135113" w14:textId="77777777" w:rsidR="00CA7ABD" w:rsidRDefault="00000000">
      <w:pPr>
        <w:pStyle w:val="Heading3"/>
        <w:rPr>
          <w:rFonts w:hint="eastAsia"/>
        </w:rPr>
      </w:pPr>
      <w:r>
        <w:t>G.2.1 Adaptation Fund</w:t>
      </w:r>
    </w:p>
    <w:p w14:paraId="571A1A0C" w14:textId="77777777" w:rsidR="00CA7ABD" w:rsidRDefault="00000000">
      <w:pPr>
        <w:rPr>
          <w:rFonts w:hint="eastAsia"/>
        </w:rPr>
      </w:pPr>
      <w:r>
        <w:t>The Adaptation Fund finances climate change adaptation projects and programs based on the priorities of eligible developing countries. The Fund operates under the UN Framework Convention on Climate Change and provides direct access to national implementing entities. Iran qualifies as an eligible developing country.</w:t>
      </w:r>
    </w:p>
    <w:p w14:paraId="1F661787" w14:textId="77777777" w:rsidR="00CA7ABD" w:rsidRDefault="00000000">
      <w:pPr>
        <w:rPr>
          <w:rFonts w:hint="eastAsia"/>
        </w:rPr>
      </w:pPr>
      <w:r>
        <w:t>The Fund provides grants for concrete adaptation activities in vulnerable communities. Projects typically range from $1 million to $10 million. The Fund also supports capacity building for national implementing entities.</w:t>
      </w:r>
    </w:p>
    <w:p w14:paraId="2AA14F5D" w14:textId="77777777" w:rsidR="00CA7ABD" w:rsidRDefault="00000000">
      <w:pPr>
        <w:rPr>
          <w:rFonts w:hint="eastAsia"/>
        </w:rPr>
      </w:pPr>
      <w:r>
        <w:t>Application pathway: Iran designates a National Implementing Entity (NIE) accredited by the Adaptation Fund Board. The NIE submits project proposals directly to the Fund. The RSC coordinates NIE designation and proposal preparation.</w:t>
      </w:r>
    </w:p>
    <w:p w14:paraId="096E7AE8" w14:textId="77777777" w:rsidR="00CA7ABD" w:rsidRDefault="00000000">
      <w:pPr>
        <w:pStyle w:val="Heading3"/>
        <w:rPr>
          <w:rFonts w:hint="eastAsia"/>
        </w:rPr>
      </w:pPr>
      <w:r>
        <w:t>G.2.2 Clean Technology Fund (CTF)</w:t>
      </w:r>
    </w:p>
    <w:p w14:paraId="6E6DBAC5" w14:textId="77777777" w:rsidR="00CA7ABD" w:rsidRDefault="00000000">
      <w:pPr>
        <w:rPr>
          <w:rFonts w:hint="eastAsia"/>
        </w:rPr>
      </w:pPr>
      <w:r>
        <w:t>The CTF is one of two funds comprising the Climate Investment Funds. The CTF provides large-scale financial resources to invest in clean technology projects in developing countries, contributing to the demonstration, deployment, and transfer of low-carbon technologies. CTF investments focus on renewable energy, energy efficiency, and sustainable transport.</w:t>
      </w:r>
    </w:p>
    <w:p w14:paraId="02A30305" w14:textId="77777777" w:rsidR="00CA7ABD" w:rsidRDefault="00000000">
      <w:pPr>
        <w:rPr>
          <w:rFonts w:hint="eastAsia"/>
        </w:rPr>
      </w:pPr>
      <w:r>
        <w:t>Application pathway: Iran submits investment plans through the World Bank as an implementing entity. CTF investment plans require approval by the CTF Trust Fund Committee. The RSC coordinates with the World Bank to prepare CTF-aligned investment plans for MRF-Energy and MRF-Transport projects.</w:t>
      </w:r>
    </w:p>
    <w:p w14:paraId="42B77636" w14:textId="77777777" w:rsidR="00CA7ABD" w:rsidRDefault="00000000">
      <w:pPr>
        <w:pStyle w:val="Heading3"/>
        <w:rPr>
          <w:rFonts w:hint="eastAsia"/>
        </w:rPr>
      </w:pPr>
      <w:r>
        <w:t>G.2.3 Climate Risk and Early Warning Systems (CREWS)</w:t>
      </w:r>
    </w:p>
    <w:p w14:paraId="133ED395" w14:textId="77777777" w:rsidR="00CA7ABD" w:rsidRDefault="00000000">
      <w:pPr>
        <w:rPr>
          <w:rFonts w:hint="eastAsia"/>
        </w:rPr>
      </w:pPr>
      <w:r>
        <w:t>CREWS is an initiative that aims to raise $100 million to strengthen multi-hazard early warning systems in Least Developed Countries and Small Island Developing States. CREWS funds support risk-informed early warning, preparedness, and response systems.</w:t>
      </w:r>
    </w:p>
    <w:p w14:paraId="6C47BD10" w14:textId="77777777" w:rsidR="00CA7ABD" w:rsidRDefault="00000000">
      <w:pPr>
        <w:rPr>
          <w:rFonts w:hint="eastAsia"/>
        </w:rPr>
      </w:pPr>
      <w:r>
        <w:t>Application pathway: Iran accesses CREWS through the World Bank or UNDP as implementing partners. Proposals are submitted to the CREWS Secretariat.</w:t>
      </w:r>
    </w:p>
    <w:p w14:paraId="172D0906" w14:textId="77777777" w:rsidR="00CA7ABD" w:rsidRDefault="00000000">
      <w:pPr>
        <w:pStyle w:val="Heading3"/>
        <w:rPr>
          <w:rFonts w:hint="eastAsia"/>
        </w:rPr>
      </w:pPr>
      <w:r>
        <w:t>G.2.4 MENA Transition Fund</w:t>
      </w:r>
    </w:p>
    <w:p w14:paraId="35BFE88C" w14:textId="77777777" w:rsidR="00CA7ABD" w:rsidRDefault="00000000">
      <w:pPr>
        <w:rPr>
          <w:rFonts w:hint="eastAsia"/>
        </w:rPr>
      </w:pPr>
      <w:r>
        <w:t>The MENA Transition Fund was established in 2012 under the Deauville Partnership with Arab Countries in Transition. The Fund supports transformation in the region by providing technical cooperation for economic governance, private sector development, trade, employment, and public financial management.</w:t>
      </w:r>
    </w:p>
    <w:p w14:paraId="1E4913A2" w14:textId="77777777" w:rsidR="00CA7ABD" w:rsidRDefault="00000000">
      <w:pPr>
        <w:rPr>
          <w:rFonts w:hint="eastAsia"/>
        </w:rPr>
      </w:pPr>
      <w:r>
        <w:t>Application pathway: Iran submits proposals through the World Bank as a Deauville Partnership implementing entity. The RSC coordinates with the World Bank on MENA Transition Fund applications for institutional capacity building under MRF-Governance.</w:t>
      </w:r>
    </w:p>
    <w:p w14:paraId="74830058" w14:textId="77777777" w:rsidR="00CA7ABD" w:rsidRDefault="00000000">
      <w:pPr>
        <w:pStyle w:val="Heading3"/>
        <w:rPr>
          <w:rFonts w:hint="eastAsia"/>
        </w:rPr>
      </w:pPr>
      <w:r>
        <w:t>G.3 Blended Finance and Innovative Instruments</w:t>
      </w:r>
    </w:p>
    <w:p w14:paraId="60B12FA5" w14:textId="77777777" w:rsidR="00CA7ABD" w:rsidRDefault="00000000">
      <w:pPr>
        <w:pStyle w:val="Heading3"/>
        <w:rPr>
          <w:rFonts w:hint="eastAsia"/>
        </w:rPr>
      </w:pPr>
      <w:r>
        <w:t>G.3.1 Convergence Blended Finance Platform</w:t>
      </w:r>
    </w:p>
    <w:p w14:paraId="087DBA91" w14:textId="77777777" w:rsidR="00CA7ABD" w:rsidRDefault="00000000">
      <w:pPr>
        <w:rPr>
          <w:rFonts w:hint="eastAsia"/>
        </w:rPr>
      </w:pPr>
      <w:r>
        <w:t>Convergence operates as the global network for blended finance, serving as a marketplace and knowledge broker for innovative development finance models. Convergence provides design funding, connects practitioners, and publishes market intelligence on blended finance transactions.</w:t>
      </w:r>
    </w:p>
    <w:p w14:paraId="5A6AF62F" w14:textId="77777777" w:rsidR="00CA7ABD" w:rsidRDefault="00000000">
      <w:pPr>
        <w:rPr>
          <w:rFonts w:hint="eastAsia"/>
        </w:rPr>
      </w:pPr>
      <w:r>
        <w:t>Application pathway: The RSC submits blended finance project concepts to Convergence for design funding and technical assistance. Convergence provides grant funding of up to $500,000 for blended finance transaction design. The RSC leverages Convergence's network to connect with potential blended finance investors.</w:t>
      </w:r>
    </w:p>
    <w:p w14:paraId="54735B0A" w14:textId="77777777" w:rsidR="00CA7ABD" w:rsidRDefault="00000000">
      <w:pPr>
        <w:pStyle w:val="Heading3"/>
        <w:rPr>
          <w:rFonts w:hint="eastAsia"/>
        </w:rPr>
      </w:pPr>
      <w:r>
        <w:t>G.3.2 UNDP-UNCDF ReStart Fund</w:t>
      </w:r>
    </w:p>
    <w:p w14:paraId="68787309" w14:textId="77777777" w:rsidR="00CA7ABD" w:rsidRDefault="00000000">
      <w:pPr>
        <w:rPr>
          <w:rFonts w:hint="eastAsia"/>
        </w:rPr>
      </w:pPr>
      <w:r>
        <w:t>The ReStart Fund enables countries affected by crisis to access timely and tailored financing to stabilize institutions, support recovery, and re-ignite economic activity. The Fund offers a continuum of support from initial recovery grants to catalytic capital for longer-term investments.</w:t>
      </w:r>
    </w:p>
    <w:p w14:paraId="6FE20964" w14:textId="77777777" w:rsidR="00CA7ABD" w:rsidRDefault="00000000">
      <w:pPr>
        <w:rPr>
          <w:rFonts w:hint="eastAsia"/>
        </w:rPr>
      </w:pPr>
      <w:r>
        <w:t>The ReStart Fund is a key initiative under the Recovery and Resilience Financing Platform (RRFP), launched by the Government of Spain and UNDP under the Seville Platform for Action. The RRFP is endorsed by the African Development Bank, the European Investment Bank, the World Bank, IFAD, UNCDF, and other major development institutions.</w:t>
      </w:r>
    </w:p>
    <w:p w14:paraId="4D8F3B76" w14:textId="77777777" w:rsidR="00CA7ABD" w:rsidRDefault="00000000">
      <w:pPr>
        <w:rPr>
          <w:rFonts w:hint="eastAsia"/>
        </w:rPr>
      </w:pPr>
      <w:r>
        <w:t>Application pathway: Iran accesses the ReStart Fund through UNDP's country office in Tehran. The Fund provides rapid-response grants (30-day processing) for urgent stabilization needs, followed by catalytic capital for longer-term recovery investments. The RSC coordinates ReStart Fund applications with MRF Sub-Fund programming.</w:t>
      </w:r>
    </w:p>
    <w:p w14:paraId="0AE8FAB5" w14:textId="77777777" w:rsidR="00CA7ABD" w:rsidRDefault="00000000">
      <w:pPr>
        <w:pStyle w:val="Heading3"/>
        <w:rPr>
          <w:rFonts w:hint="eastAsia"/>
        </w:rPr>
      </w:pPr>
      <w:r>
        <w:t>G.3.3 Recovery and Resilience Financing Platform (RRFP)</w:t>
      </w:r>
    </w:p>
    <w:p w14:paraId="26E6A741" w14:textId="77777777" w:rsidR="00CA7ABD" w:rsidRDefault="00000000">
      <w:pPr>
        <w:rPr>
          <w:rFonts w:hint="eastAsia"/>
        </w:rPr>
      </w:pPr>
      <w:r>
        <w:t>The RRFP addresses the chronic underfunding of recovery and resilience initiatives by bringing together partners and initiatives to provide tailored and coordinated support for country-led efforts to access new sources of public and private finance. The Platform supports global advocacy, joint learning, and the co-designing of crisis-responsive financing instruments.</w:t>
      </w:r>
    </w:p>
    <w:p w14:paraId="79AB369C" w14:textId="77777777" w:rsidR="00CA7ABD" w:rsidRDefault="00000000">
      <w:pPr>
        <w:rPr>
          <w:rFonts w:hint="eastAsia"/>
        </w:rPr>
      </w:pPr>
      <w:r>
        <w:t>Endorsing entities include: African Development Bank, European Development Finance Institutions, European Investment Bank, G7+, International Fund for Agricultural Development, Meridiam, One Earth Future, the World Bank, UNCDF, and UNCCD.</w:t>
      </w:r>
    </w:p>
    <w:p w14:paraId="385B023F" w14:textId="77777777" w:rsidR="00CA7ABD" w:rsidRDefault="00000000">
      <w:pPr>
        <w:rPr>
          <w:rFonts w:hint="eastAsia"/>
        </w:rPr>
      </w:pPr>
      <w:r>
        <w:t>Application pathway: Iran engages the RRFP through UNDP coordination. The RSC secretariat serves as the national focal point for RRFP engagement. The Platform provides access to blended finance instruments, technical assistance, and investor matchmaking.</w:t>
      </w:r>
    </w:p>
    <w:p w14:paraId="1672033B" w14:textId="77777777" w:rsidR="00CA7ABD" w:rsidRDefault="00000000">
      <w:pPr>
        <w:pStyle w:val="Heading3"/>
        <w:rPr>
          <w:rFonts w:hint="eastAsia"/>
        </w:rPr>
      </w:pPr>
      <w:r>
        <w:t>G.4 Islamic Finance Instruments</w:t>
      </w:r>
    </w:p>
    <w:p w14:paraId="2EF2A7D4" w14:textId="77777777" w:rsidR="00CA7ABD" w:rsidRDefault="00000000">
      <w:pPr>
        <w:pStyle w:val="Heading3"/>
        <w:rPr>
          <w:rFonts w:hint="eastAsia"/>
        </w:rPr>
      </w:pPr>
      <w:r>
        <w:t>G.4.1 Sovereign and Infrastructure Sukuk</w:t>
      </w:r>
    </w:p>
    <w:p w14:paraId="2E1D4F1A" w14:textId="77777777" w:rsidR="00CA7ABD" w:rsidRDefault="00000000">
      <w:pPr>
        <w:rPr>
          <w:rFonts w:hint="eastAsia"/>
        </w:rPr>
      </w:pPr>
      <w:r>
        <w:t>Sukuk are investment certificates representing ownership shares in underlying assets. Unlike conventional bonds, sukuk do not represent debt obligations but rather participatory investment in tangible assets or projects. The MRF establishes a Sukuk Issuance Window for sovereign and infrastructure sukuk to fund reconstruction projects.</w:t>
      </w:r>
    </w:p>
    <w:p w14:paraId="35705F2E" w14:textId="77777777" w:rsidR="00CA7ABD" w:rsidRDefault="00000000">
      <w:pPr>
        <w:rPr>
          <w:rFonts w:hint="eastAsia"/>
        </w:rPr>
      </w:pPr>
      <w:r>
        <w:t>The Sukuk Window operates as follows: (1) The RSC identifies reconstruction assets eligible for sukuk backing (power plants, water treatment facilities, transport infrastructure), (2) A special purpose vehicle (SPV) is established under Qatar Central Bank supervision to hold the underlying assets, (3) The SPV issues sukuk certificates to investors, (4) Investors receive returns based on asset-generated revenue (tolls, utility fees, tariffs), (5) The Qatar Central Bank provides a partial credit guarantee for senior tranches.</w:t>
      </w:r>
    </w:p>
    <w:p w14:paraId="33002D2C" w14:textId="77777777" w:rsidR="00CA7ABD" w:rsidRDefault="00000000">
      <w:pPr>
        <w:rPr>
          <w:rFonts w:hint="eastAsia"/>
        </w:rPr>
      </w:pPr>
      <w:r>
        <w:t>Target issuance: $5-10 billion over the reconstruction period. Primary investors include GCC sovereign wealth funds, Islamic banks, and institutional investors seeking Shari'ah-compliant assets. Green Sukuk variants target climate-focused projects under the CCPF (Article 6.4).</w:t>
      </w:r>
    </w:p>
    <w:p w14:paraId="28D1B313" w14:textId="77777777" w:rsidR="00CA7ABD" w:rsidRDefault="00000000">
      <w:pPr>
        <w:pStyle w:val="Heading3"/>
        <w:rPr>
          <w:rFonts w:hint="eastAsia"/>
        </w:rPr>
      </w:pPr>
      <w:r>
        <w:t>G.4.2 Musharakah and Mudaraba Partnership Financing</w:t>
      </w:r>
    </w:p>
    <w:p w14:paraId="0FCF9B53" w14:textId="77777777" w:rsidR="00CA7ABD" w:rsidRDefault="00000000">
      <w:pPr>
        <w:rPr>
          <w:rFonts w:hint="eastAsia"/>
        </w:rPr>
      </w:pPr>
      <w:r>
        <w:t>Musharakah (diminishing partnership) and Mudaraba (silent partnership) are Islamic partnership financing structures where investor income derives from profit-sharing rather than fixed interest. The MRF uses these instruments for projects with predictable revenue streams.</w:t>
      </w:r>
    </w:p>
    <w:p w14:paraId="2A867434" w14:textId="77777777" w:rsidR="00CA7ABD" w:rsidRDefault="00000000">
      <w:pPr>
        <w:rPr>
          <w:rFonts w:hint="eastAsia"/>
        </w:rPr>
      </w:pPr>
      <w:r>
        <w:t>Under Musharakah, the MRF and an Islamic financier (typically the IsDB or a GCC Islamic bank) jointly own a project asset. The financier's share diminishes over time as the project generates revenue, eventually transferring full ownership to the MRF. Under Mudarabah, the MRF provides capital while the Islamic financier provides management expertise. Profits are shared according to a pre-agreed ratio.</w:t>
      </w:r>
    </w:p>
    <w:p w14:paraId="0324B973" w14:textId="77777777" w:rsidR="00CA7ABD" w:rsidRDefault="00000000">
      <w:pPr>
        <w:rPr>
          <w:rFonts w:hint="eastAsia"/>
        </w:rPr>
      </w:pPr>
      <w:r>
        <w:t>These instruments are ideal for energy infrastructure (electricity generation, renewable energy), transport assets (ports, airports, toll roads), and water utilities where user fees generate predictable revenue. The IsDB and GCC Islamic Development Bank coordinate Musharakah and Mudaraba structuring through the RSC.</w:t>
      </w:r>
    </w:p>
    <w:p w14:paraId="32EB19FD" w14:textId="77777777" w:rsidR="00CA7ABD" w:rsidRDefault="00000000">
      <w:pPr>
        <w:pStyle w:val="Heading3"/>
        <w:rPr>
          <w:rFonts w:hint="eastAsia"/>
        </w:rPr>
      </w:pPr>
      <w:r>
        <w:t>G.4.3 Ijara (Islamic Leasing)</w:t>
      </w:r>
    </w:p>
    <w:p w14:paraId="0050D502" w14:textId="77777777" w:rsidR="00CA7ABD" w:rsidRDefault="00000000">
      <w:pPr>
        <w:rPr>
          <w:rFonts w:hint="eastAsia"/>
        </w:rPr>
      </w:pPr>
      <w:r>
        <w:t>Ijara structures financing for equipment-heavy infrastructure assets. Under Ijara, the MRF (through the Qatar Central Bank) purchases equipment (power generation units, water treatment machinery, construction equipment, medical devices) and leases it to Iranian project operators. Ownership transfers to Iran upon completion of lease payments.</w:t>
      </w:r>
    </w:p>
    <w:p w14:paraId="38086CE4" w14:textId="77777777" w:rsidR="00CA7ABD" w:rsidRDefault="00000000">
      <w:pPr>
        <w:rPr>
          <w:rFonts w:hint="eastAsia"/>
        </w:rPr>
      </w:pPr>
      <w:r>
        <w:t>Ijara is particularly suited for MRF-Energy, MRF-Water, and MRF-Health projects requiring specialized equipment. Lease terms align with project revenue cycles. The Islamic Corporation for the Insurance of Investment and Export Credit (ICIEC) provides default insurance for Ijara transactions.</w:t>
      </w:r>
    </w:p>
    <w:p w14:paraId="36464564" w14:textId="77777777" w:rsidR="00CA7ABD" w:rsidRDefault="00000000">
      <w:pPr>
        <w:pStyle w:val="Heading3"/>
        <w:rPr>
          <w:rFonts w:hint="eastAsia"/>
        </w:rPr>
      </w:pPr>
      <w:r>
        <w:t>G.4.4 Qard al-Hasan (Benevolent Loans)</w:t>
      </w:r>
    </w:p>
    <w:p w14:paraId="40E0D808" w14:textId="77777777" w:rsidR="00CA7ABD" w:rsidRDefault="00000000">
      <w:pPr>
        <w:rPr>
          <w:rFonts w:hint="eastAsia"/>
        </w:rPr>
      </w:pPr>
      <w:r>
        <w:t>Qard al-Hasan provides interest-free loans for humanitarian and social infrastructure that does not generate direct revenue. Eligible projects include schools, community health centers, public sanitation systems, and emergency housing. The IsDB Waqf Fund and faith-based organizations provide Qard al-Hasan capital.</w:t>
      </w:r>
    </w:p>
    <w:p w14:paraId="0CCC886C" w14:textId="77777777" w:rsidR="00CA7ABD" w:rsidRDefault="00000000">
      <w:pPr>
        <w:rPr>
          <w:rFonts w:hint="eastAsia"/>
        </w:rPr>
      </w:pPr>
      <w:r>
        <w:t>The MRF administers Qard al-Hasan through a dedicated Humanitarian Corridor within the MRF-Health and MRF-Housing Sub-Funds. Loans are repaid through a voluntary community contribution mechanism or through cross-subsidization from revenue-generating projects within the same Sub-Fund.</w:t>
      </w:r>
    </w:p>
    <w:p w14:paraId="1D9A3EB9" w14:textId="77777777" w:rsidR="00CA7ABD" w:rsidRDefault="00000000">
      <w:pPr>
        <w:pStyle w:val="Heading3"/>
        <w:rPr>
          <w:rFonts w:hint="eastAsia"/>
        </w:rPr>
      </w:pPr>
      <w:r>
        <w:t>G.5 Results-Based and Impact Financing</w:t>
      </w:r>
    </w:p>
    <w:p w14:paraId="41650E7B" w14:textId="77777777" w:rsidR="00CA7ABD" w:rsidRDefault="00000000">
      <w:pPr>
        <w:pStyle w:val="Heading3"/>
        <w:rPr>
          <w:rFonts w:hint="eastAsia"/>
        </w:rPr>
      </w:pPr>
      <w:r>
        <w:t>G.5.1 Development Impact Bonds (DIBs)</w:t>
      </w:r>
    </w:p>
    <w:p w14:paraId="5CE96544" w14:textId="77777777" w:rsidR="00CA7ABD" w:rsidRDefault="00000000">
      <w:pPr>
        <w:rPr>
          <w:rFonts w:hint="eastAsia"/>
        </w:rPr>
      </w:pPr>
      <w:r>
        <w:t>Development Impact Bonds are results-based financing instruments where private investors provide upfront capital for social programs and are repaid by outcome funders (governments or foundations) if specific results are achieved. The MRF uses DIBs to target high-priority outcomes in job creation, health service delivery, and educational attainment.</w:t>
      </w:r>
    </w:p>
    <w:p w14:paraId="00DEC0B7" w14:textId="77777777" w:rsidR="00CA7ABD" w:rsidRDefault="00000000">
      <w:pPr>
        <w:rPr>
          <w:rFonts w:hint="eastAsia"/>
        </w:rPr>
      </w:pPr>
      <w:r>
        <w:t>The DIB structure operates as follows: (1) The RSC identifies a measurable outcome target (e.g., 100,000 jobs created in construction sector, 500,000 people receiving primary healthcare), (2) Private investors (social impact funds, development finance institutions) provide upfront capital to service providers, (3) An independent verifier measures outcome achievement against the target, (4) Outcome funders (bilateral donors, foundations) repay investors based on verified results, with higher returns for over-performance.</w:t>
      </w:r>
    </w:p>
    <w:p w14:paraId="7C93EC3E" w14:textId="77777777" w:rsidR="00CA7ABD" w:rsidRDefault="00000000">
      <w:pPr>
        <w:rPr>
          <w:rFonts w:hint="eastAsia"/>
        </w:rPr>
      </w:pPr>
      <w:r>
        <w:t>The World Bank's Finance for Jobs (F4J) DIB in the West Bank demonstrates the viability of this model for conflict-affected settings. The MRF targets $500 million to $1 billion in DIB issuance across the reconstruction period.</w:t>
      </w:r>
    </w:p>
    <w:p w14:paraId="51DAF677" w14:textId="77777777" w:rsidR="00CA7ABD" w:rsidRDefault="00000000">
      <w:pPr>
        <w:pStyle w:val="Heading3"/>
        <w:rPr>
          <w:rFonts w:hint="eastAsia"/>
        </w:rPr>
      </w:pPr>
      <w:r>
        <w:t>G.5.2 Humanitarian Impact Bonds (HIBs)</w:t>
      </w:r>
    </w:p>
    <w:p w14:paraId="582E26D8" w14:textId="77777777" w:rsidR="00CA7ABD" w:rsidRDefault="00000000">
      <w:pPr>
        <w:rPr>
          <w:rFonts w:hint="eastAsia"/>
        </w:rPr>
      </w:pPr>
      <w:r>
        <w:t>Humanitarian Impact Bonds are DIB variants designed specifically for humanitarian settings. The ICRC's pioneering HIB raised CHF 26 million for physical rehabilitation centers in conflict-affected countries (Mali, Nigeria, DRC), with outcome funders including Switzerland, Belgium, Italy, the UK, and La Caixa Foundation.</w:t>
      </w:r>
    </w:p>
    <w:p w14:paraId="7D9510B8" w14:textId="77777777" w:rsidR="00CA7ABD" w:rsidRDefault="00000000">
      <w:pPr>
        <w:rPr>
          <w:rFonts w:hint="eastAsia"/>
        </w:rPr>
      </w:pPr>
      <w:r>
        <w:t>The MRF uses HIBs for measurable humanitarian outcomes including: demining and UXO clearance, disability rehabilitation services, emergency medical response capacity, and community stabilization programming. The PRI Pool provides investor protection for HIB capital. Outcome funders include bilateral donors, foundations, and UN agencies.</w:t>
      </w:r>
    </w:p>
    <w:p w14:paraId="5AAF6465" w14:textId="77777777" w:rsidR="00CA7ABD" w:rsidRDefault="00000000">
      <w:pPr>
        <w:pStyle w:val="Heading3"/>
        <w:rPr>
          <w:rFonts w:hint="eastAsia"/>
        </w:rPr>
      </w:pPr>
      <w:r>
        <w:t>G.6 Global Infrastructure Facility</w:t>
      </w:r>
    </w:p>
    <w:p w14:paraId="15AB52C8" w14:textId="77777777" w:rsidR="00CA7ABD" w:rsidRDefault="00000000">
      <w:pPr>
        <w:rPr>
          <w:rFonts w:hint="eastAsia"/>
        </w:rPr>
      </w:pPr>
      <w:r>
        <w:t>The Global Infrastructure Facility (GIF) is a World Bank partnership platform that facilitates the preparation and structuring of complex infrastructure public-private partnerships. The GIF coordinates multilateral development banks, private sector investors, and governments to prepare, structure, and implement complex projects that no single institution could handle alone.</w:t>
      </w:r>
    </w:p>
    <w:p w14:paraId="68937F32" w14:textId="77777777" w:rsidR="00CA7ABD" w:rsidRDefault="00000000">
      <w:pPr>
        <w:rPr>
          <w:rFonts w:hint="eastAsia"/>
        </w:rPr>
      </w:pPr>
      <w:r>
        <w:t>The GIF provides end-to-end support from upstream market structure and project identification through transaction preparation, financial structuring, and credit enhancement. The GIF targets climate-smart and trade-enabling infrastructure in emerging markets and developing economies.</w:t>
      </w:r>
    </w:p>
    <w:p w14:paraId="7D83985F" w14:textId="77777777" w:rsidR="00CA7ABD" w:rsidRDefault="00000000">
      <w:pPr>
        <w:rPr>
          <w:rFonts w:hint="eastAsia"/>
        </w:rPr>
      </w:pPr>
      <w:r>
        <w:t>Application pathway: Iran submits infrastructure projects to the GIF through the World Bank. The GIF provides technical assistance for project preparation, private investor matchmaking, and financial structuring. The RSC coordinates GIF engagement for MRF transport, energy, and water projects seeking private capital participation.</w:t>
      </w:r>
    </w:p>
    <w:p w14:paraId="3C797457" w14:textId="77777777" w:rsidR="00CA7ABD" w:rsidRDefault="00000000">
      <w:pPr>
        <w:pStyle w:val="Heading3"/>
        <w:rPr>
          <w:rFonts w:hint="eastAsia"/>
        </w:rPr>
      </w:pPr>
      <w:r>
        <w:t>G.7 Additional Foundation Sources</w:t>
      </w:r>
    </w:p>
    <w:p w14:paraId="1A7102F4" w14:textId="77777777" w:rsidR="00CA7ABD" w:rsidRDefault="00000000">
      <w:pPr>
        <w:rPr>
          <w:rFonts w:hint="eastAsia"/>
        </w:rPr>
      </w:pPr>
      <w:r>
        <w:t>The following foundations provide grants and program-related investments for post-conflict reconstruction and development. The RSC maintains active engagement with each foundation and coordinates joint applications where applicable.</w:t>
      </w:r>
    </w:p>
    <w:p w14:paraId="7C8AF9D8" w14:textId="77777777" w:rsidR="00CA7ABD" w:rsidRDefault="00000000">
      <w:pPr>
        <w:ind w:left="360"/>
        <w:rPr>
          <w:rFonts w:hint="eastAsia"/>
        </w:rPr>
      </w:pPr>
      <w:r>
        <w:rPr>
          <w:color w:val="37474F"/>
        </w:rPr>
        <w:t>•</w:t>
      </w:r>
      <w:r>
        <w:t>Skoll Foundation: Supports social entrepreneurs addressing global challenges. Focus on health, education, and environmental sustainability.</w:t>
      </w:r>
    </w:p>
    <w:p w14:paraId="7A9FBDF0" w14:textId="77777777" w:rsidR="00CA7ABD" w:rsidRDefault="00000000">
      <w:pPr>
        <w:ind w:left="360"/>
        <w:rPr>
          <w:rFonts w:hint="eastAsia"/>
        </w:rPr>
      </w:pPr>
      <w:r>
        <w:rPr>
          <w:color w:val="37474F"/>
        </w:rPr>
        <w:t>•</w:t>
      </w:r>
      <w:r>
        <w:t>Kresge Foundation: Climate resilience, urban infrastructure, and equitable development. U.S.-based with global program reach.</w:t>
      </w:r>
    </w:p>
    <w:p w14:paraId="5D46A4BC" w14:textId="77777777" w:rsidR="00CA7ABD" w:rsidRDefault="00000000">
      <w:pPr>
        <w:ind w:left="360"/>
        <w:rPr>
          <w:rFonts w:hint="eastAsia"/>
        </w:rPr>
      </w:pPr>
      <w:r>
        <w:rPr>
          <w:color w:val="37474F"/>
        </w:rPr>
        <w:t>•</w:t>
      </w:r>
      <w:r>
        <w:t>Mastercard Foundation: Youth employment, education, and economic development in emerging markets. Focus on Africa and the Middle East.</w:t>
      </w:r>
    </w:p>
    <w:p w14:paraId="7A2AA692" w14:textId="77777777" w:rsidR="00CA7ABD" w:rsidRDefault="00000000">
      <w:pPr>
        <w:ind w:left="360"/>
        <w:rPr>
          <w:rFonts w:hint="eastAsia"/>
        </w:rPr>
      </w:pPr>
      <w:r>
        <w:rPr>
          <w:color w:val="37474F"/>
        </w:rPr>
        <w:t>•</w:t>
      </w:r>
      <w:r>
        <w:t>Stavros Niarchos Foundation: Cultural heritage preservation, education, health, and social welfare. Supports large-scale infrastructure projects.</w:t>
      </w:r>
    </w:p>
    <w:p w14:paraId="51452CEB" w14:textId="77777777" w:rsidR="00CA7ABD" w:rsidRDefault="00000000">
      <w:pPr>
        <w:ind w:left="360"/>
        <w:rPr>
          <w:rFonts w:hint="eastAsia"/>
        </w:rPr>
      </w:pPr>
      <w:r>
        <w:rPr>
          <w:color w:val="37474F"/>
        </w:rPr>
        <w:t>•</w:t>
      </w:r>
      <w:r>
        <w:t>IKEA Foundation: Climate action, renewable energy, and sustainable livelihoods in developing countries.</w:t>
      </w:r>
    </w:p>
    <w:p w14:paraId="65D91334" w14:textId="77777777" w:rsidR="00CA7ABD" w:rsidRDefault="00000000">
      <w:pPr>
        <w:ind w:left="360"/>
        <w:rPr>
          <w:rFonts w:hint="eastAsia"/>
        </w:rPr>
      </w:pPr>
      <w:r>
        <w:rPr>
          <w:color w:val="37474F"/>
        </w:rPr>
        <w:t>•</w:t>
      </w:r>
      <w:r>
        <w:t>International Development Research Centre (IDRC): Canada-based research funding for development solutions. Supports policy research and innovation.</w:t>
      </w:r>
    </w:p>
    <w:p w14:paraId="53C297F1" w14:textId="77777777" w:rsidR="00CA7ABD" w:rsidRDefault="00000000">
      <w:pPr>
        <w:ind w:left="360"/>
        <w:rPr>
          <w:rFonts w:hint="eastAsia"/>
        </w:rPr>
      </w:pPr>
      <w:r>
        <w:rPr>
          <w:color w:val="37474F"/>
        </w:rPr>
        <w:t>•</w:t>
      </w:r>
      <w:r>
        <w:t>International Foundation for Science (IFS): Sweden-based research grants for scientists in developing countries. Supports agricultural, environmental, and health research.</w:t>
      </w:r>
    </w:p>
    <w:p w14:paraId="6B4BE186" w14:textId="77777777" w:rsidR="00CA7ABD" w:rsidRDefault="00000000">
      <w:pPr>
        <w:pStyle w:val="Heading3"/>
        <w:rPr>
          <w:rFonts w:hint="eastAsia"/>
        </w:rPr>
      </w:pPr>
      <w:r>
        <w:t>G.8 Women Entrepreneurs Finance Initiative (We-Fi)</w:t>
      </w:r>
    </w:p>
    <w:p w14:paraId="5917BDE0" w14:textId="77777777" w:rsidR="00CA7ABD" w:rsidRDefault="00000000">
      <w:pPr>
        <w:rPr>
          <w:rFonts w:hint="eastAsia"/>
        </w:rPr>
      </w:pPr>
      <w:r>
        <w:t>We-Fi is a World Bank-administered financial intermediary fund that supports women entrepreneurs in developing countries. We-Fi provides financing, technical assistance, and policy advocacy to increase women's participation in business and economic activity. Iran qualifies as a developing country beneficiary.</w:t>
      </w:r>
    </w:p>
    <w:p w14:paraId="7EDC1F4D" w14:textId="77777777" w:rsidR="00CA7ABD" w:rsidRDefault="00000000">
      <w:pPr>
        <w:rPr>
          <w:rFonts w:hint="eastAsia"/>
        </w:rPr>
      </w:pPr>
      <w:r>
        <w:t>The MRF coordinates with We-Fi to ensure that women-owned businesses and women-led contractors receive equitable access to reconstruction procurement. We-Fi funding supports capacity building for women entrepreneurs in construction, engineering, healthcare, and professional services.</w:t>
      </w:r>
    </w:p>
    <w:p w14:paraId="5DA9C083" w14:textId="77777777" w:rsidR="00CA7ABD" w:rsidRDefault="00000000">
      <w:pPr>
        <w:pStyle w:val="Heading3"/>
        <w:rPr>
          <w:rFonts w:hint="eastAsia"/>
        </w:rPr>
      </w:pPr>
      <w:r>
        <w:t>G.10 OPEC Fund for International Development (OFID)</w:t>
      </w:r>
    </w:p>
    <w:p w14:paraId="544B3F06" w14:textId="77777777" w:rsidR="00CA7ABD" w:rsidRDefault="00000000">
      <w:pPr>
        <w:rPr>
          <w:rFonts w:hint="eastAsia"/>
        </w:rPr>
      </w:pPr>
      <w:r>
        <w:t>The OPEC Fund for International Development (OFID) is a multilateral development finance institution established in 1976 by the Member States of the Organization of the Petroleum Exporting Countries. OFID provides concessional financing for energy, water, agriculture, transport, and social infrastructure projects in developing countries. The Fund has approved over US$316 million in financing for Mauritania alone, distributed across energy interconnection, water supply, and agricultural modernization projects. OFID operates as a separate legal entity from OPEC and maintains independent governance.</w:t>
      </w:r>
    </w:p>
    <w:p w14:paraId="65BDB66C" w14:textId="77777777" w:rsidR="00CA7ABD" w:rsidRDefault="00000000">
      <w:pPr>
        <w:rPr>
          <w:rFonts w:hint="eastAsia"/>
        </w:rPr>
      </w:pPr>
      <w:r>
        <w:t>OFID offers public sector loans on concessional terms, private sector financing through direct loans and equity participation, and trade finance facilities. The Fund co-finances with other multilateral institutions including the African Development Bank, Islamic Development Bank, and Arab Coordination Group members. OFID's energy portfolio emphasizes renewable energy, rural electrification, and cross-border power interconnection.</w:t>
      </w:r>
    </w:p>
    <w:p w14:paraId="3A0C46FE" w14:textId="77777777" w:rsidR="00CA7ABD" w:rsidRDefault="00000000">
      <w:pPr>
        <w:rPr>
          <w:rFonts w:hint="eastAsia"/>
        </w:rPr>
      </w:pPr>
      <w:r>
        <w:t>Application pathway: Iran accesses OFID through direct government-to-Fund engagement via the Ministry of Economic Affairs and Finance. OFID requires a formal financing request supported by feasibility studies and environmental assessments. The RSC coordinates OFID applications for MRF-Energy and MRF-Water projects, leveraging OFID's demonstrated appetite for power interconnection and water infrastructure.</w:t>
      </w:r>
    </w:p>
    <w:p w14:paraId="040C5E7C" w14:textId="77777777" w:rsidR="00CA7ABD" w:rsidRDefault="00000000">
      <w:pPr>
        <w:pStyle w:val="Heading3"/>
        <w:rPr>
          <w:rFonts w:hint="eastAsia"/>
        </w:rPr>
      </w:pPr>
      <w:r>
        <w:t>G.11 Arab Coordination Group (ACG)</w:t>
      </w:r>
    </w:p>
    <w:p w14:paraId="69917736" w14:textId="77777777" w:rsidR="00CA7ABD" w:rsidRDefault="00000000">
      <w:pPr>
        <w:rPr>
          <w:rFonts w:hint="eastAsia"/>
        </w:rPr>
      </w:pPr>
      <w:r>
        <w:t>The Arab Coordination Group (ACG) is a strategic alliance of ten Arab national and regional development institutions: the Abu Dhabi Fund for Development (ADFD), the Arab Bank for Economic Development in Africa (BADEA), the Arab Fund for Economic and Social Development (AFESD), the Arab Gulf Programme for United Nations Development Organizations (AGFUND), the Arab Monetary Fund (AMF), the Islamic Development Bank (IsDB), the Kuwait Fund for Arab Economic Development, the OPEC Fund for International Development (OFID), the Saudi Fund for Development (SFD), and the Qatar Fund for Development (QFFD).</w:t>
      </w:r>
    </w:p>
    <w:p w14:paraId="0C974D5A" w14:textId="77777777" w:rsidR="00CA7ABD" w:rsidRDefault="00000000">
      <w:pPr>
        <w:rPr>
          <w:rFonts w:hint="eastAsia"/>
        </w:rPr>
      </w:pPr>
      <w:r>
        <w:t>The ACG operates a coordinated deployment mechanism for major regional initiatives. Member institutions pool resources, align terms, and co-finance large-scale infrastructure programmes. The ACG pledged US$2 billion for energy, water, transport, and digital infrastructure in Mauritania over a five-year period, demonstrating the Group's capacity for concentrated country-level engagement. Individual ACG members maintain separate application processes and financing terms, allowing flexible single-source or multi-source access.</w:t>
      </w:r>
    </w:p>
    <w:p w14:paraId="237F3D67" w14:textId="77777777" w:rsidR="00CA7ABD" w:rsidRDefault="00000000">
      <w:pPr>
        <w:rPr>
          <w:rFonts w:hint="eastAsia"/>
        </w:rPr>
      </w:pPr>
      <w:r>
        <w:t>Application pathway: Iran engages ACG through multiple channels simultaneously. The RSC coordinates with each ACG member institution through its respective headquarters, presenting standardized project portfolios for co-financing consideration. Priority engagement targets ADFD (Abu Dhabi), AFESD (Kuwait), SFD (Riyadh), and IsDB (Jeddah) as the largest capital providers. The RSC establishes a dedicated ACG Liaison Desk to manage parallel negotiations and ensure coordinated disbursement timelines.</w:t>
      </w:r>
    </w:p>
    <w:p w14:paraId="63636BBD" w14:textId="77777777" w:rsidR="00CA7ABD" w:rsidRDefault="00000000">
      <w:pPr>
        <w:pStyle w:val="Heading3"/>
        <w:rPr>
          <w:rFonts w:hint="eastAsia"/>
        </w:rPr>
      </w:pPr>
      <w:r>
        <w:t>G.12 Summary of New Potential Funding</w:t>
      </w:r>
    </w:p>
    <w:p w14:paraId="78290AE6" w14:textId="77777777" w:rsidR="00CA7ABD" w:rsidRDefault="00000000">
      <w:pPr>
        <w:rPr>
          <w:rFonts w:hint="eastAsia"/>
        </w:rPr>
      </w:pPr>
      <w:r>
        <w:t>The following table summarizes the additional funding sources documented in this Appendix and their estimated potential allocation for Iranian reconstruction:</w:t>
      </w:r>
    </w:p>
    <w:tbl>
      <w:tblPr>
        <w:tblW w:w="5000" w:type="pct"/>
        <w:tblInd w:w="-8"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4416"/>
        <w:gridCol w:w="2564"/>
        <w:gridCol w:w="2246"/>
      </w:tblGrid>
      <w:tr w:rsidR="00CA7ABD" w14:paraId="14FD4B08" w14:textId="77777777">
        <w:tc>
          <w:tcPr>
            <w:tcW w:w="0" w:type="auto"/>
            <w:shd w:val="clear" w:color="auto" w:fill="37474F"/>
          </w:tcPr>
          <w:p w14:paraId="59940035" w14:textId="77777777" w:rsidR="00CA7ABD" w:rsidRDefault="00000000">
            <w:pPr>
              <w:rPr>
                <w:rFonts w:hint="eastAsia"/>
              </w:rPr>
            </w:pPr>
            <w:r>
              <w:rPr>
                <w:b/>
                <w:color w:val="FFFFFF"/>
                <w:sz w:val="19"/>
              </w:rPr>
              <w:t>Source</w:t>
            </w:r>
          </w:p>
        </w:tc>
        <w:tc>
          <w:tcPr>
            <w:tcW w:w="0" w:type="auto"/>
            <w:shd w:val="clear" w:color="auto" w:fill="37474F"/>
          </w:tcPr>
          <w:p w14:paraId="1DD8C567" w14:textId="77777777" w:rsidR="00CA7ABD" w:rsidRDefault="00000000">
            <w:pPr>
              <w:rPr>
                <w:rFonts w:hint="eastAsia"/>
              </w:rPr>
            </w:pPr>
            <w:r>
              <w:rPr>
                <w:b/>
                <w:color w:val="FFFFFF"/>
                <w:sz w:val="19"/>
              </w:rPr>
              <w:t>Type</w:t>
            </w:r>
          </w:p>
        </w:tc>
        <w:tc>
          <w:tcPr>
            <w:tcW w:w="0" w:type="auto"/>
            <w:shd w:val="clear" w:color="auto" w:fill="37474F"/>
          </w:tcPr>
          <w:p w14:paraId="2019B339" w14:textId="77777777" w:rsidR="00CA7ABD" w:rsidRDefault="00000000">
            <w:pPr>
              <w:rPr>
                <w:rFonts w:hint="eastAsia"/>
              </w:rPr>
            </w:pPr>
            <w:r>
              <w:rPr>
                <w:b/>
                <w:color w:val="FFFFFF"/>
                <w:sz w:val="19"/>
              </w:rPr>
              <w:t>Est. Allocation</w:t>
            </w:r>
          </w:p>
        </w:tc>
      </w:tr>
      <w:tr w:rsidR="00CA7ABD" w14:paraId="54515200" w14:textId="77777777">
        <w:tc>
          <w:tcPr>
            <w:tcW w:w="0" w:type="auto"/>
          </w:tcPr>
          <w:p w14:paraId="543423A8" w14:textId="77777777" w:rsidR="00CA7ABD" w:rsidRDefault="00000000">
            <w:pPr>
              <w:rPr>
                <w:rFonts w:hint="eastAsia"/>
              </w:rPr>
            </w:pPr>
            <w:r>
              <w:rPr>
                <w:sz w:val="19"/>
              </w:rPr>
              <w:t>Kuwait Fund (KFAED)</w:t>
            </w:r>
          </w:p>
        </w:tc>
        <w:tc>
          <w:tcPr>
            <w:tcW w:w="0" w:type="auto"/>
          </w:tcPr>
          <w:p w14:paraId="6F48D53F" w14:textId="77777777" w:rsidR="00CA7ABD" w:rsidRDefault="00000000">
            <w:pPr>
              <w:rPr>
                <w:rFonts w:hint="eastAsia"/>
              </w:rPr>
            </w:pPr>
            <w:r>
              <w:rPr>
                <w:sz w:val="19"/>
              </w:rPr>
              <w:t>Concessional Loan</w:t>
            </w:r>
          </w:p>
        </w:tc>
        <w:tc>
          <w:tcPr>
            <w:tcW w:w="0" w:type="auto"/>
          </w:tcPr>
          <w:p w14:paraId="5829BD55" w14:textId="77777777" w:rsidR="00CA7ABD" w:rsidRDefault="00000000">
            <w:pPr>
              <w:rPr>
                <w:rFonts w:hint="eastAsia"/>
              </w:rPr>
            </w:pPr>
            <w:r>
              <w:rPr>
                <w:sz w:val="19"/>
              </w:rPr>
              <w:t>$1-2B</w:t>
            </w:r>
          </w:p>
        </w:tc>
      </w:tr>
      <w:tr w:rsidR="00CA7ABD" w14:paraId="0B99A1F4" w14:textId="77777777">
        <w:tc>
          <w:tcPr>
            <w:tcW w:w="0" w:type="auto"/>
            <w:shd w:val="clear" w:color="auto" w:fill="ECEFF1"/>
          </w:tcPr>
          <w:p w14:paraId="4EC3A7F6" w14:textId="77777777" w:rsidR="00CA7ABD" w:rsidRDefault="00000000">
            <w:pPr>
              <w:rPr>
                <w:rFonts w:hint="eastAsia"/>
              </w:rPr>
            </w:pPr>
            <w:r>
              <w:rPr>
                <w:sz w:val="19"/>
              </w:rPr>
              <w:t>Arab Fund (AFESD)</w:t>
            </w:r>
          </w:p>
        </w:tc>
        <w:tc>
          <w:tcPr>
            <w:tcW w:w="0" w:type="auto"/>
            <w:shd w:val="clear" w:color="auto" w:fill="ECEFF1"/>
          </w:tcPr>
          <w:p w14:paraId="430F59AA" w14:textId="77777777" w:rsidR="00CA7ABD" w:rsidRDefault="00000000">
            <w:pPr>
              <w:rPr>
                <w:rFonts w:hint="eastAsia"/>
              </w:rPr>
            </w:pPr>
            <w:r>
              <w:rPr>
                <w:sz w:val="19"/>
              </w:rPr>
              <w:t>Loans + Grants</w:t>
            </w:r>
          </w:p>
        </w:tc>
        <w:tc>
          <w:tcPr>
            <w:tcW w:w="0" w:type="auto"/>
            <w:shd w:val="clear" w:color="auto" w:fill="ECEFF1"/>
          </w:tcPr>
          <w:p w14:paraId="3EEFABAB" w14:textId="77777777" w:rsidR="00CA7ABD" w:rsidRDefault="00000000">
            <w:pPr>
              <w:rPr>
                <w:rFonts w:hint="eastAsia"/>
              </w:rPr>
            </w:pPr>
            <w:r>
              <w:rPr>
                <w:sz w:val="19"/>
              </w:rPr>
              <w:t>$500M-1B</w:t>
            </w:r>
          </w:p>
        </w:tc>
      </w:tr>
      <w:tr w:rsidR="00CA7ABD" w14:paraId="2A6A1DD1" w14:textId="77777777">
        <w:tc>
          <w:tcPr>
            <w:tcW w:w="0" w:type="auto"/>
          </w:tcPr>
          <w:p w14:paraId="1FE6D786" w14:textId="77777777" w:rsidR="00CA7ABD" w:rsidRDefault="00000000">
            <w:pPr>
              <w:rPr>
                <w:rFonts w:hint="eastAsia"/>
              </w:rPr>
            </w:pPr>
            <w:r>
              <w:rPr>
                <w:sz w:val="19"/>
              </w:rPr>
              <w:t>Qatar Fund (QFFD)</w:t>
            </w:r>
          </w:p>
        </w:tc>
        <w:tc>
          <w:tcPr>
            <w:tcW w:w="0" w:type="auto"/>
          </w:tcPr>
          <w:p w14:paraId="75E6E6E6" w14:textId="77777777" w:rsidR="00CA7ABD" w:rsidRDefault="00000000">
            <w:pPr>
              <w:rPr>
                <w:rFonts w:hint="eastAsia"/>
              </w:rPr>
            </w:pPr>
            <w:r>
              <w:rPr>
                <w:sz w:val="19"/>
              </w:rPr>
              <w:t>Loans + Grants</w:t>
            </w:r>
          </w:p>
        </w:tc>
        <w:tc>
          <w:tcPr>
            <w:tcW w:w="0" w:type="auto"/>
          </w:tcPr>
          <w:p w14:paraId="363500BD" w14:textId="77777777" w:rsidR="00CA7ABD" w:rsidRDefault="00000000">
            <w:pPr>
              <w:rPr>
                <w:rFonts w:hint="eastAsia"/>
              </w:rPr>
            </w:pPr>
            <w:r>
              <w:rPr>
                <w:sz w:val="19"/>
              </w:rPr>
              <w:t>$500M-1B</w:t>
            </w:r>
          </w:p>
        </w:tc>
      </w:tr>
      <w:tr w:rsidR="00CA7ABD" w14:paraId="35C53EE0" w14:textId="77777777">
        <w:tc>
          <w:tcPr>
            <w:tcW w:w="0" w:type="auto"/>
            <w:shd w:val="clear" w:color="auto" w:fill="ECEFF1"/>
          </w:tcPr>
          <w:p w14:paraId="44069585" w14:textId="77777777" w:rsidR="00CA7ABD" w:rsidRDefault="00000000">
            <w:pPr>
              <w:rPr>
                <w:rFonts w:hint="eastAsia"/>
              </w:rPr>
            </w:pPr>
            <w:r>
              <w:rPr>
                <w:sz w:val="19"/>
              </w:rPr>
              <w:t>Saudi Fund (SFD)</w:t>
            </w:r>
          </w:p>
        </w:tc>
        <w:tc>
          <w:tcPr>
            <w:tcW w:w="0" w:type="auto"/>
            <w:shd w:val="clear" w:color="auto" w:fill="ECEFF1"/>
          </w:tcPr>
          <w:p w14:paraId="4BA2EACE" w14:textId="77777777" w:rsidR="00CA7ABD" w:rsidRDefault="00000000">
            <w:pPr>
              <w:rPr>
                <w:rFonts w:hint="eastAsia"/>
              </w:rPr>
            </w:pPr>
            <w:r>
              <w:rPr>
                <w:sz w:val="19"/>
              </w:rPr>
              <w:t>Concessional Loan</w:t>
            </w:r>
          </w:p>
        </w:tc>
        <w:tc>
          <w:tcPr>
            <w:tcW w:w="0" w:type="auto"/>
            <w:shd w:val="clear" w:color="auto" w:fill="ECEFF1"/>
          </w:tcPr>
          <w:p w14:paraId="4416B25C" w14:textId="77777777" w:rsidR="00CA7ABD" w:rsidRDefault="00000000">
            <w:pPr>
              <w:rPr>
                <w:rFonts w:hint="eastAsia"/>
              </w:rPr>
            </w:pPr>
            <w:r>
              <w:rPr>
                <w:sz w:val="19"/>
              </w:rPr>
              <w:t>$1-2B</w:t>
            </w:r>
          </w:p>
        </w:tc>
      </w:tr>
      <w:tr w:rsidR="00CA7ABD" w14:paraId="01BFB080" w14:textId="77777777">
        <w:tc>
          <w:tcPr>
            <w:tcW w:w="0" w:type="auto"/>
          </w:tcPr>
          <w:p w14:paraId="6B09EDD7" w14:textId="77777777" w:rsidR="00CA7ABD" w:rsidRDefault="00000000">
            <w:pPr>
              <w:rPr>
                <w:rFonts w:hint="eastAsia"/>
              </w:rPr>
            </w:pPr>
            <w:r>
              <w:rPr>
                <w:sz w:val="19"/>
              </w:rPr>
              <w:t>Abu Dhabi Fund (ADFD)</w:t>
            </w:r>
          </w:p>
        </w:tc>
        <w:tc>
          <w:tcPr>
            <w:tcW w:w="0" w:type="auto"/>
          </w:tcPr>
          <w:p w14:paraId="76F64278" w14:textId="77777777" w:rsidR="00CA7ABD" w:rsidRDefault="00000000">
            <w:pPr>
              <w:rPr>
                <w:rFonts w:hint="eastAsia"/>
              </w:rPr>
            </w:pPr>
            <w:r>
              <w:rPr>
                <w:sz w:val="19"/>
              </w:rPr>
              <w:t>Loans + Grants</w:t>
            </w:r>
          </w:p>
        </w:tc>
        <w:tc>
          <w:tcPr>
            <w:tcW w:w="0" w:type="auto"/>
          </w:tcPr>
          <w:p w14:paraId="6060EF0D" w14:textId="77777777" w:rsidR="00CA7ABD" w:rsidRDefault="00000000">
            <w:pPr>
              <w:rPr>
                <w:rFonts w:hint="eastAsia"/>
              </w:rPr>
            </w:pPr>
            <w:r>
              <w:rPr>
                <w:sz w:val="19"/>
              </w:rPr>
              <w:t>$1-2B</w:t>
            </w:r>
          </w:p>
        </w:tc>
      </w:tr>
      <w:tr w:rsidR="00CA7ABD" w14:paraId="3E691CF3" w14:textId="77777777">
        <w:tc>
          <w:tcPr>
            <w:tcW w:w="0" w:type="auto"/>
            <w:shd w:val="clear" w:color="auto" w:fill="ECEFF1"/>
          </w:tcPr>
          <w:p w14:paraId="31E2CBC2" w14:textId="77777777" w:rsidR="00CA7ABD" w:rsidRDefault="00000000">
            <w:pPr>
              <w:rPr>
                <w:rFonts w:hint="eastAsia"/>
              </w:rPr>
            </w:pPr>
            <w:r>
              <w:rPr>
                <w:sz w:val="19"/>
              </w:rPr>
              <w:t>Oman / Turkey (TIKA)</w:t>
            </w:r>
          </w:p>
        </w:tc>
        <w:tc>
          <w:tcPr>
            <w:tcW w:w="0" w:type="auto"/>
            <w:shd w:val="clear" w:color="auto" w:fill="ECEFF1"/>
          </w:tcPr>
          <w:p w14:paraId="64AFA03A" w14:textId="77777777" w:rsidR="00CA7ABD" w:rsidRDefault="00000000">
            <w:pPr>
              <w:rPr>
                <w:rFonts w:hint="eastAsia"/>
              </w:rPr>
            </w:pPr>
            <w:r>
              <w:rPr>
                <w:sz w:val="19"/>
              </w:rPr>
              <w:t>In-Kind + TA</w:t>
            </w:r>
          </w:p>
        </w:tc>
        <w:tc>
          <w:tcPr>
            <w:tcW w:w="0" w:type="auto"/>
            <w:shd w:val="clear" w:color="auto" w:fill="ECEFF1"/>
          </w:tcPr>
          <w:p w14:paraId="40A2BE3E" w14:textId="77777777" w:rsidR="00CA7ABD" w:rsidRDefault="00000000">
            <w:pPr>
              <w:rPr>
                <w:rFonts w:hint="eastAsia"/>
              </w:rPr>
            </w:pPr>
            <w:r>
              <w:rPr>
                <w:sz w:val="19"/>
              </w:rPr>
              <w:t>$200-500M</w:t>
            </w:r>
          </w:p>
        </w:tc>
      </w:tr>
      <w:tr w:rsidR="00CA7ABD" w14:paraId="73E4B892" w14:textId="77777777">
        <w:tc>
          <w:tcPr>
            <w:tcW w:w="0" w:type="auto"/>
          </w:tcPr>
          <w:p w14:paraId="61887A9B" w14:textId="77777777" w:rsidR="00CA7ABD" w:rsidRDefault="00000000">
            <w:pPr>
              <w:rPr>
                <w:rFonts w:hint="eastAsia"/>
              </w:rPr>
            </w:pPr>
            <w:r>
              <w:rPr>
                <w:sz w:val="19"/>
              </w:rPr>
              <w:t>World Bank Adaptation Fund</w:t>
            </w:r>
          </w:p>
        </w:tc>
        <w:tc>
          <w:tcPr>
            <w:tcW w:w="0" w:type="auto"/>
          </w:tcPr>
          <w:p w14:paraId="4BD46E77" w14:textId="77777777" w:rsidR="00CA7ABD" w:rsidRDefault="00000000">
            <w:pPr>
              <w:rPr>
                <w:rFonts w:hint="eastAsia"/>
              </w:rPr>
            </w:pPr>
            <w:r>
              <w:rPr>
                <w:sz w:val="19"/>
              </w:rPr>
              <w:t>Grant</w:t>
            </w:r>
          </w:p>
        </w:tc>
        <w:tc>
          <w:tcPr>
            <w:tcW w:w="0" w:type="auto"/>
          </w:tcPr>
          <w:p w14:paraId="2F9EA31F" w14:textId="77777777" w:rsidR="00CA7ABD" w:rsidRDefault="00000000">
            <w:pPr>
              <w:rPr>
                <w:rFonts w:hint="eastAsia"/>
              </w:rPr>
            </w:pPr>
            <w:r>
              <w:rPr>
                <w:sz w:val="19"/>
              </w:rPr>
              <w:t>$50-100M</w:t>
            </w:r>
          </w:p>
        </w:tc>
      </w:tr>
      <w:tr w:rsidR="00CA7ABD" w14:paraId="4C939CFE" w14:textId="77777777">
        <w:tc>
          <w:tcPr>
            <w:tcW w:w="0" w:type="auto"/>
            <w:shd w:val="clear" w:color="auto" w:fill="ECEFF1"/>
          </w:tcPr>
          <w:p w14:paraId="2889B0DA" w14:textId="77777777" w:rsidR="00CA7ABD" w:rsidRDefault="00000000">
            <w:pPr>
              <w:rPr>
                <w:rFonts w:hint="eastAsia"/>
              </w:rPr>
            </w:pPr>
            <w:r>
              <w:rPr>
                <w:sz w:val="19"/>
              </w:rPr>
              <w:t>Clean Technology Fund</w:t>
            </w:r>
          </w:p>
        </w:tc>
        <w:tc>
          <w:tcPr>
            <w:tcW w:w="0" w:type="auto"/>
            <w:shd w:val="clear" w:color="auto" w:fill="ECEFF1"/>
          </w:tcPr>
          <w:p w14:paraId="45525FC1" w14:textId="77777777" w:rsidR="00CA7ABD" w:rsidRDefault="00000000">
            <w:pPr>
              <w:rPr>
                <w:rFonts w:hint="eastAsia"/>
              </w:rPr>
            </w:pPr>
            <w:r>
              <w:rPr>
                <w:sz w:val="19"/>
              </w:rPr>
              <w:t>Concessional Loan</w:t>
            </w:r>
          </w:p>
        </w:tc>
        <w:tc>
          <w:tcPr>
            <w:tcW w:w="0" w:type="auto"/>
            <w:shd w:val="clear" w:color="auto" w:fill="ECEFF1"/>
          </w:tcPr>
          <w:p w14:paraId="043050AD" w14:textId="77777777" w:rsidR="00CA7ABD" w:rsidRDefault="00000000">
            <w:pPr>
              <w:rPr>
                <w:rFonts w:hint="eastAsia"/>
              </w:rPr>
            </w:pPr>
            <w:r>
              <w:rPr>
                <w:sz w:val="19"/>
              </w:rPr>
              <w:t>$200-500M</w:t>
            </w:r>
          </w:p>
        </w:tc>
      </w:tr>
      <w:tr w:rsidR="00CA7ABD" w14:paraId="5E9F9A42" w14:textId="77777777">
        <w:tc>
          <w:tcPr>
            <w:tcW w:w="0" w:type="auto"/>
          </w:tcPr>
          <w:p w14:paraId="55FA9330" w14:textId="77777777" w:rsidR="00CA7ABD" w:rsidRDefault="00000000">
            <w:pPr>
              <w:rPr>
                <w:rFonts w:hint="eastAsia"/>
              </w:rPr>
            </w:pPr>
            <w:r>
              <w:rPr>
                <w:sz w:val="19"/>
              </w:rPr>
              <w:t>Convergence Platform</w:t>
            </w:r>
          </w:p>
        </w:tc>
        <w:tc>
          <w:tcPr>
            <w:tcW w:w="0" w:type="auto"/>
          </w:tcPr>
          <w:p w14:paraId="08ED8D41" w14:textId="77777777" w:rsidR="00CA7ABD" w:rsidRDefault="00000000">
            <w:pPr>
              <w:rPr>
                <w:rFonts w:hint="eastAsia"/>
              </w:rPr>
            </w:pPr>
            <w:r>
              <w:rPr>
                <w:sz w:val="19"/>
              </w:rPr>
              <w:t>Design Grant</w:t>
            </w:r>
          </w:p>
        </w:tc>
        <w:tc>
          <w:tcPr>
            <w:tcW w:w="0" w:type="auto"/>
          </w:tcPr>
          <w:p w14:paraId="1C50B0E9" w14:textId="77777777" w:rsidR="00CA7ABD" w:rsidRDefault="00000000">
            <w:pPr>
              <w:rPr>
                <w:rFonts w:hint="eastAsia"/>
              </w:rPr>
            </w:pPr>
            <w:r>
              <w:rPr>
                <w:sz w:val="19"/>
              </w:rPr>
              <w:t>$10-50M</w:t>
            </w:r>
          </w:p>
        </w:tc>
      </w:tr>
      <w:tr w:rsidR="00CA7ABD" w14:paraId="7FEE18C8" w14:textId="77777777">
        <w:tc>
          <w:tcPr>
            <w:tcW w:w="0" w:type="auto"/>
            <w:shd w:val="clear" w:color="auto" w:fill="ECEFF1"/>
          </w:tcPr>
          <w:p w14:paraId="2BEDB7FC" w14:textId="77777777" w:rsidR="00CA7ABD" w:rsidRDefault="00000000">
            <w:pPr>
              <w:rPr>
                <w:rFonts w:hint="eastAsia"/>
              </w:rPr>
            </w:pPr>
            <w:r>
              <w:rPr>
                <w:sz w:val="19"/>
              </w:rPr>
              <w:t>UNCDF ReStart Fund</w:t>
            </w:r>
          </w:p>
        </w:tc>
        <w:tc>
          <w:tcPr>
            <w:tcW w:w="0" w:type="auto"/>
            <w:shd w:val="clear" w:color="auto" w:fill="ECEFF1"/>
          </w:tcPr>
          <w:p w14:paraId="59B80880" w14:textId="77777777" w:rsidR="00CA7ABD" w:rsidRDefault="00000000">
            <w:pPr>
              <w:rPr>
                <w:rFonts w:hint="eastAsia"/>
              </w:rPr>
            </w:pPr>
            <w:r>
              <w:rPr>
                <w:sz w:val="19"/>
              </w:rPr>
              <w:t>Grant + Catalytic</w:t>
            </w:r>
          </w:p>
        </w:tc>
        <w:tc>
          <w:tcPr>
            <w:tcW w:w="0" w:type="auto"/>
            <w:shd w:val="clear" w:color="auto" w:fill="ECEFF1"/>
          </w:tcPr>
          <w:p w14:paraId="042AFB0F" w14:textId="77777777" w:rsidR="00CA7ABD" w:rsidRDefault="00000000">
            <w:pPr>
              <w:rPr>
                <w:rFonts w:hint="eastAsia"/>
              </w:rPr>
            </w:pPr>
            <w:r>
              <w:rPr>
                <w:sz w:val="19"/>
              </w:rPr>
              <w:t>$100-300M</w:t>
            </w:r>
          </w:p>
        </w:tc>
      </w:tr>
      <w:tr w:rsidR="00CA7ABD" w14:paraId="24E0991E" w14:textId="77777777">
        <w:tc>
          <w:tcPr>
            <w:tcW w:w="0" w:type="auto"/>
          </w:tcPr>
          <w:p w14:paraId="6C39A28B" w14:textId="77777777" w:rsidR="00CA7ABD" w:rsidRDefault="00000000">
            <w:pPr>
              <w:rPr>
                <w:rFonts w:hint="eastAsia"/>
              </w:rPr>
            </w:pPr>
            <w:r>
              <w:rPr>
                <w:sz w:val="19"/>
              </w:rPr>
              <w:t>RRFP Platform</w:t>
            </w:r>
          </w:p>
        </w:tc>
        <w:tc>
          <w:tcPr>
            <w:tcW w:w="0" w:type="auto"/>
          </w:tcPr>
          <w:p w14:paraId="7A1DB24B" w14:textId="77777777" w:rsidR="00CA7ABD" w:rsidRDefault="00000000">
            <w:pPr>
              <w:rPr>
                <w:rFonts w:hint="eastAsia"/>
              </w:rPr>
            </w:pPr>
            <w:r>
              <w:rPr>
                <w:sz w:val="19"/>
              </w:rPr>
              <w:t>Blended Finance</w:t>
            </w:r>
          </w:p>
        </w:tc>
        <w:tc>
          <w:tcPr>
            <w:tcW w:w="0" w:type="auto"/>
          </w:tcPr>
          <w:p w14:paraId="604DD491" w14:textId="77777777" w:rsidR="00CA7ABD" w:rsidRDefault="00000000">
            <w:pPr>
              <w:rPr>
                <w:rFonts w:hint="eastAsia"/>
              </w:rPr>
            </w:pPr>
            <w:r>
              <w:rPr>
                <w:sz w:val="19"/>
              </w:rPr>
              <w:t>$500M-1B</w:t>
            </w:r>
          </w:p>
        </w:tc>
      </w:tr>
      <w:tr w:rsidR="00CA7ABD" w14:paraId="0094A96B" w14:textId="77777777">
        <w:tc>
          <w:tcPr>
            <w:tcW w:w="0" w:type="auto"/>
            <w:shd w:val="clear" w:color="auto" w:fill="ECEFF1"/>
          </w:tcPr>
          <w:p w14:paraId="575ED097" w14:textId="77777777" w:rsidR="00CA7ABD" w:rsidRDefault="00000000">
            <w:pPr>
              <w:rPr>
                <w:rFonts w:hint="eastAsia"/>
              </w:rPr>
            </w:pPr>
            <w:r>
              <w:rPr>
                <w:sz w:val="19"/>
              </w:rPr>
              <w:t>Sovereign / Infrastructure Sukuk</w:t>
            </w:r>
          </w:p>
        </w:tc>
        <w:tc>
          <w:tcPr>
            <w:tcW w:w="0" w:type="auto"/>
            <w:shd w:val="clear" w:color="auto" w:fill="ECEFF1"/>
          </w:tcPr>
          <w:p w14:paraId="6B750FA3" w14:textId="77777777" w:rsidR="00CA7ABD" w:rsidRDefault="00000000">
            <w:pPr>
              <w:rPr>
                <w:rFonts w:hint="eastAsia"/>
              </w:rPr>
            </w:pPr>
            <w:r>
              <w:rPr>
                <w:sz w:val="19"/>
              </w:rPr>
              <w:t>Islamic Finance</w:t>
            </w:r>
          </w:p>
        </w:tc>
        <w:tc>
          <w:tcPr>
            <w:tcW w:w="0" w:type="auto"/>
            <w:shd w:val="clear" w:color="auto" w:fill="ECEFF1"/>
          </w:tcPr>
          <w:p w14:paraId="04E5D7CE" w14:textId="77777777" w:rsidR="00CA7ABD" w:rsidRDefault="00000000">
            <w:pPr>
              <w:rPr>
                <w:rFonts w:hint="eastAsia"/>
              </w:rPr>
            </w:pPr>
            <w:r>
              <w:rPr>
                <w:sz w:val="19"/>
              </w:rPr>
              <w:t>$5-10B</w:t>
            </w:r>
          </w:p>
        </w:tc>
      </w:tr>
      <w:tr w:rsidR="00CA7ABD" w14:paraId="667D0A09" w14:textId="77777777">
        <w:tc>
          <w:tcPr>
            <w:tcW w:w="0" w:type="auto"/>
          </w:tcPr>
          <w:p w14:paraId="62342E75" w14:textId="77777777" w:rsidR="00CA7ABD" w:rsidRDefault="00000000">
            <w:pPr>
              <w:rPr>
                <w:rFonts w:hint="eastAsia"/>
              </w:rPr>
            </w:pPr>
            <w:r>
              <w:rPr>
                <w:sz w:val="19"/>
              </w:rPr>
              <w:t>Musharakah / Mudaraba</w:t>
            </w:r>
          </w:p>
        </w:tc>
        <w:tc>
          <w:tcPr>
            <w:tcW w:w="0" w:type="auto"/>
          </w:tcPr>
          <w:p w14:paraId="06E72E60" w14:textId="77777777" w:rsidR="00CA7ABD" w:rsidRDefault="00000000">
            <w:pPr>
              <w:rPr>
                <w:rFonts w:hint="eastAsia"/>
              </w:rPr>
            </w:pPr>
            <w:r>
              <w:rPr>
                <w:sz w:val="19"/>
              </w:rPr>
              <w:t>Partnership</w:t>
            </w:r>
          </w:p>
        </w:tc>
        <w:tc>
          <w:tcPr>
            <w:tcW w:w="0" w:type="auto"/>
          </w:tcPr>
          <w:p w14:paraId="6DEADF15" w14:textId="77777777" w:rsidR="00CA7ABD" w:rsidRDefault="00000000">
            <w:pPr>
              <w:rPr>
                <w:rFonts w:hint="eastAsia"/>
              </w:rPr>
            </w:pPr>
            <w:r>
              <w:rPr>
                <w:sz w:val="19"/>
              </w:rPr>
              <w:t>$2-5B</w:t>
            </w:r>
          </w:p>
        </w:tc>
      </w:tr>
      <w:tr w:rsidR="00CA7ABD" w14:paraId="00D692F0" w14:textId="77777777">
        <w:tc>
          <w:tcPr>
            <w:tcW w:w="0" w:type="auto"/>
            <w:shd w:val="clear" w:color="auto" w:fill="ECEFF1"/>
          </w:tcPr>
          <w:p w14:paraId="65F6DA34" w14:textId="77777777" w:rsidR="00CA7ABD" w:rsidRDefault="00000000">
            <w:pPr>
              <w:rPr>
                <w:rFonts w:hint="eastAsia"/>
              </w:rPr>
            </w:pPr>
            <w:r>
              <w:rPr>
                <w:sz w:val="19"/>
              </w:rPr>
              <w:t>Ijara (Islamic Leasing)</w:t>
            </w:r>
          </w:p>
        </w:tc>
        <w:tc>
          <w:tcPr>
            <w:tcW w:w="0" w:type="auto"/>
            <w:shd w:val="clear" w:color="auto" w:fill="ECEFF1"/>
          </w:tcPr>
          <w:p w14:paraId="4A1DDC0D" w14:textId="77777777" w:rsidR="00CA7ABD" w:rsidRDefault="00000000">
            <w:pPr>
              <w:rPr>
                <w:rFonts w:hint="eastAsia"/>
              </w:rPr>
            </w:pPr>
            <w:r>
              <w:rPr>
                <w:sz w:val="19"/>
              </w:rPr>
              <w:t>Equipment Finance</w:t>
            </w:r>
          </w:p>
        </w:tc>
        <w:tc>
          <w:tcPr>
            <w:tcW w:w="0" w:type="auto"/>
            <w:shd w:val="clear" w:color="auto" w:fill="ECEFF1"/>
          </w:tcPr>
          <w:p w14:paraId="768FAC6C" w14:textId="77777777" w:rsidR="00CA7ABD" w:rsidRDefault="00000000">
            <w:pPr>
              <w:rPr>
                <w:rFonts w:hint="eastAsia"/>
              </w:rPr>
            </w:pPr>
            <w:r>
              <w:rPr>
                <w:sz w:val="19"/>
              </w:rPr>
              <w:t>$1-3B</w:t>
            </w:r>
          </w:p>
        </w:tc>
      </w:tr>
      <w:tr w:rsidR="00CA7ABD" w14:paraId="5ED507AF" w14:textId="77777777">
        <w:tc>
          <w:tcPr>
            <w:tcW w:w="0" w:type="auto"/>
          </w:tcPr>
          <w:p w14:paraId="42CFC3A6" w14:textId="77777777" w:rsidR="00CA7ABD" w:rsidRDefault="00000000">
            <w:pPr>
              <w:rPr>
                <w:rFonts w:hint="eastAsia"/>
              </w:rPr>
            </w:pPr>
            <w:r>
              <w:rPr>
                <w:sz w:val="19"/>
              </w:rPr>
              <w:t>Qard al-Hasan</w:t>
            </w:r>
          </w:p>
        </w:tc>
        <w:tc>
          <w:tcPr>
            <w:tcW w:w="0" w:type="auto"/>
          </w:tcPr>
          <w:p w14:paraId="37919591" w14:textId="77777777" w:rsidR="00CA7ABD" w:rsidRDefault="00000000">
            <w:pPr>
              <w:rPr>
                <w:rFonts w:hint="eastAsia"/>
              </w:rPr>
            </w:pPr>
            <w:r>
              <w:rPr>
                <w:sz w:val="19"/>
              </w:rPr>
              <w:t>Interest-Free Loan</w:t>
            </w:r>
          </w:p>
        </w:tc>
        <w:tc>
          <w:tcPr>
            <w:tcW w:w="0" w:type="auto"/>
          </w:tcPr>
          <w:p w14:paraId="6723ADF2" w14:textId="77777777" w:rsidR="00CA7ABD" w:rsidRDefault="00000000">
            <w:pPr>
              <w:rPr>
                <w:rFonts w:hint="eastAsia"/>
              </w:rPr>
            </w:pPr>
            <w:r>
              <w:rPr>
                <w:sz w:val="19"/>
              </w:rPr>
              <w:t>$200-500M</w:t>
            </w:r>
          </w:p>
        </w:tc>
      </w:tr>
      <w:tr w:rsidR="00CA7ABD" w14:paraId="66178AA8" w14:textId="77777777">
        <w:tc>
          <w:tcPr>
            <w:tcW w:w="0" w:type="auto"/>
            <w:shd w:val="clear" w:color="auto" w:fill="ECEFF1"/>
          </w:tcPr>
          <w:p w14:paraId="2D94BE8F" w14:textId="77777777" w:rsidR="00CA7ABD" w:rsidRDefault="00000000">
            <w:pPr>
              <w:rPr>
                <w:rFonts w:hint="eastAsia"/>
              </w:rPr>
            </w:pPr>
            <w:r>
              <w:rPr>
                <w:sz w:val="19"/>
              </w:rPr>
              <w:t>Development Impact Bonds</w:t>
            </w:r>
          </w:p>
        </w:tc>
        <w:tc>
          <w:tcPr>
            <w:tcW w:w="0" w:type="auto"/>
            <w:shd w:val="clear" w:color="auto" w:fill="ECEFF1"/>
          </w:tcPr>
          <w:p w14:paraId="3E5F42B3" w14:textId="77777777" w:rsidR="00CA7ABD" w:rsidRDefault="00000000">
            <w:pPr>
              <w:rPr>
                <w:rFonts w:hint="eastAsia"/>
              </w:rPr>
            </w:pPr>
            <w:r>
              <w:rPr>
                <w:sz w:val="19"/>
              </w:rPr>
              <w:t>Results-Based</w:t>
            </w:r>
          </w:p>
        </w:tc>
        <w:tc>
          <w:tcPr>
            <w:tcW w:w="0" w:type="auto"/>
            <w:shd w:val="clear" w:color="auto" w:fill="ECEFF1"/>
          </w:tcPr>
          <w:p w14:paraId="678EA331" w14:textId="77777777" w:rsidR="00CA7ABD" w:rsidRDefault="00000000">
            <w:pPr>
              <w:rPr>
                <w:rFonts w:hint="eastAsia"/>
              </w:rPr>
            </w:pPr>
            <w:r>
              <w:rPr>
                <w:sz w:val="19"/>
              </w:rPr>
              <w:t>$500M-1B</w:t>
            </w:r>
          </w:p>
        </w:tc>
      </w:tr>
      <w:tr w:rsidR="00CA7ABD" w14:paraId="6C48AA1C" w14:textId="77777777">
        <w:tc>
          <w:tcPr>
            <w:tcW w:w="0" w:type="auto"/>
          </w:tcPr>
          <w:p w14:paraId="302F328A" w14:textId="77777777" w:rsidR="00CA7ABD" w:rsidRDefault="00000000">
            <w:pPr>
              <w:rPr>
                <w:rFonts w:hint="eastAsia"/>
              </w:rPr>
            </w:pPr>
            <w:r>
              <w:rPr>
                <w:sz w:val="19"/>
              </w:rPr>
              <w:t>Humanitarian Impact Bonds</w:t>
            </w:r>
          </w:p>
        </w:tc>
        <w:tc>
          <w:tcPr>
            <w:tcW w:w="0" w:type="auto"/>
          </w:tcPr>
          <w:p w14:paraId="1DB29401" w14:textId="77777777" w:rsidR="00CA7ABD" w:rsidRDefault="00000000">
            <w:pPr>
              <w:rPr>
                <w:rFonts w:hint="eastAsia"/>
              </w:rPr>
            </w:pPr>
            <w:r>
              <w:rPr>
                <w:sz w:val="19"/>
              </w:rPr>
              <w:t>Results-Based</w:t>
            </w:r>
          </w:p>
        </w:tc>
        <w:tc>
          <w:tcPr>
            <w:tcW w:w="0" w:type="auto"/>
          </w:tcPr>
          <w:p w14:paraId="66E4A2DB" w14:textId="77777777" w:rsidR="00CA7ABD" w:rsidRDefault="00000000">
            <w:pPr>
              <w:rPr>
                <w:rFonts w:hint="eastAsia"/>
              </w:rPr>
            </w:pPr>
            <w:r>
              <w:rPr>
                <w:sz w:val="19"/>
              </w:rPr>
              <w:t>$200-500M</w:t>
            </w:r>
          </w:p>
        </w:tc>
      </w:tr>
      <w:tr w:rsidR="00CA7ABD" w14:paraId="54D17BEE" w14:textId="77777777">
        <w:tc>
          <w:tcPr>
            <w:tcW w:w="0" w:type="auto"/>
            <w:shd w:val="clear" w:color="auto" w:fill="ECEFF1"/>
          </w:tcPr>
          <w:p w14:paraId="3AB2EC5C" w14:textId="77777777" w:rsidR="00CA7ABD" w:rsidRDefault="00000000">
            <w:pPr>
              <w:rPr>
                <w:rFonts w:hint="eastAsia"/>
              </w:rPr>
            </w:pPr>
            <w:r>
              <w:rPr>
                <w:sz w:val="19"/>
              </w:rPr>
              <w:t>Global Infrastructure Facility</w:t>
            </w:r>
          </w:p>
        </w:tc>
        <w:tc>
          <w:tcPr>
            <w:tcW w:w="0" w:type="auto"/>
            <w:shd w:val="clear" w:color="auto" w:fill="ECEFF1"/>
          </w:tcPr>
          <w:p w14:paraId="7D224662" w14:textId="77777777" w:rsidR="00CA7ABD" w:rsidRDefault="00000000">
            <w:pPr>
              <w:rPr>
                <w:rFonts w:hint="eastAsia"/>
              </w:rPr>
            </w:pPr>
            <w:r>
              <w:rPr>
                <w:sz w:val="19"/>
              </w:rPr>
              <w:t>PPP Structuring</w:t>
            </w:r>
          </w:p>
        </w:tc>
        <w:tc>
          <w:tcPr>
            <w:tcW w:w="0" w:type="auto"/>
            <w:shd w:val="clear" w:color="auto" w:fill="ECEFF1"/>
          </w:tcPr>
          <w:p w14:paraId="26F309F3" w14:textId="77777777" w:rsidR="00CA7ABD" w:rsidRDefault="00000000">
            <w:pPr>
              <w:rPr>
                <w:rFonts w:hint="eastAsia"/>
              </w:rPr>
            </w:pPr>
            <w:r>
              <w:rPr>
                <w:sz w:val="19"/>
              </w:rPr>
              <w:t>$1-3B mobilized</w:t>
            </w:r>
          </w:p>
        </w:tc>
      </w:tr>
      <w:tr w:rsidR="00CA7ABD" w14:paraId="21BC4140" w14:textId="77777777">
        <w:tc>
          <w:tcPr>
            <w:tcW w:w="0" w:type="auto"/>
          </w:tcPr>
          <w:p w14:paraId="038C2C56" w14:textId="77777777" w:rsidR="00CA7ABD" w:rsidRDefault="00000000">
            <w:pPr>
              <w:rPr>
                <w:rFonts w:hint="eastAsia"/>
              </w:rPr>
            </w:pPr>
            <w:r>
              <w:rPr>
                <w:sz w:val="19"/>
              </w:rPr>
              <w:t>Foundations (Collective)</w:t>
            </w:r>
          </w:p>
        </w:tc>
        <w:tc>
          <w:tcPr>
            <w:tcW w:w="0" w:type="auto"/>
          </w:tcPr>
          <w:p w14:paraId="338D8EAC" w14:textId="77777777" w:rsidR="00CA7ABD" w:rsidRDefault="00000000">
            <w:pPr>
              <w:rPr>
                <w:rFonts w:hint="eastAsia"/>
              </w:rPr>
            </w:pPr>
            <w:r>
              <w:rPr>
                <w:sz w:val="19"/>
              </w:rPr>
              <w:t>Grants + PRIs</w:t>
            </w:r>
          </w:p>
        </w:tc>
        <w:tc>
          <w:tcPr>
            <w:tcW w:w="0" w:type="auto"/>
          </w:tcPr>
          <w:p w14:paraId="58A7357F" w14:textId="77777777" w:rsidR="00CA7ABD" w:rsidRDefault="00000000">
            <w:pPr>
              <w:rPr>
                <w:rFonts w:hint="eastAsia"/>
              </w:rPr>
            </w:pPr>
            <w:r>
              <w:rPr>
                <w:sz w:val="19"/>
              </w:rPr>
              <w:t>$100-300M</w:t>
            </w:r>
          </w:p>
        </w:tc>
      </w:tr>
      <w:tr w:rsidR="00CA7ABD" w14:paraId="1F1353E0" w14:textId="77777777">
        <w:tc>
          <w:tcPr>
            <w:tcW w:w="0" w:type="auto"/>
            <w:shd w:val="clear" w:color="auto" w:fill="ECEFF1"/>
          </w:tcPr>
          <w:p w14:paraId="4E1FEE3E" w14:textId="77777777" w:rsidR="00CA7ABD" w:rsidRDefault="00000000">
            <w:pPr>
              <w:rPr>
                <w:rFonts w:hint="eastAsia"/>
              </w:rPr>
            </w:pPr>
            <w:r>
              <w:rPr>
                <w:sz w:val="19"/>
              </w:rPr>
              <w:t>We-Fi</w:t>
            </w:r>
          </w:p>
        </w:tc>
        <w:tc>
          <w:tcPr>
            <w:tcW w:w="0" w:type="auto"/>
            <w:shd w:val="clear" w:color="auto" w:fill="ECEFF1"/>
          </w:tcPr>
          <w:p w14:paraId="3A03B0FE" w14:textId="77777777" w:rsidR="00CA7ABD" w:rsidRDefault="00000000">
            <w:pPr>
              <w:rPr>
                <w:rFonts w:hint="eastAsia"/>
              </w:rPr>
            </w:pPr>
            <w:r>
              <w:rPr>
                <w:sz w:val="19"/>
              </w:rPr>
              <w:t>Women Finance</w:t>
            </w:r>
          </w:p>
        </w:tc>
        <w:tc>
          <w:tcPr>
            <w:tcW w:w="0" w:type="auto"/>
            <w:shd w:val="clear" w:color="auto" w:fill="ECEFF1"/>
          </w:tcPr>
          <w:p w14:paraId="3AA9CC67" w14:textId="77777777" w:rsidR="00CA7ABD" w:rsidRDefault="00000000">
            <w:pPr>
              <w:rPr>
                <w:rFonts w:hint="eastAsia"/>
              </w:rPr>
            </w:pPr>
            <w:r>
              <w:rPr>
                <w:sz w:val="19"/>
              </w:rPr>
              <w:t>$50-100M</w:t>
            </w:r>
          </w:p>
        </w:tc>
      </w:tr>
      <w:tr w:rsidR="00CA7ABD" w14:paraId="446459F9" w14:textId="77777777">
        <w:tc>
          <w:tcPr>
            <w:tcW w:w="0" w:type="auto"/>
          </w:tcPr>
          <w:p w14:paraId="438584A7" w14:textId="77777777" w:rsidR="00CA7ABD" w:rsidRDefault="00000000">
            <w:pPr>
              <w:rPr>
                <w:rFonts w:hint="eastAsia"/>
              </w:rPr>
            </w:pPr>
            <w:r>
              <w:rPr>
                <w:sz w:val="19"/>
              </w:rPr>
              <w:t>TOTAL ADDITIONAL POTENTIAL</w:t>
            </w:r>
          </w:p>
        </w:tc>
        <w:tc>
          <w:tcPr>
            <w:tcW w:w="0" w:type="auto"/>
          </w:tcPr>
          <w:p w14:paraId="743ED10F" w14:textId="77777777" w:rsidR="00CA7ABD" w:rsidRDefault="00CA7ABD">
            <w:pPr>
              <w:rPr>
                <w:rFonts w:hint="eastAsia"/>
              </w:rPr>
            </w:pPr>
          </w:p>
        </w:tc>
        <w:tc>
          <w:tcPr>
            <w:tcW w:w="0" w:type="auto"/>
          </w:tcPr>
          <w:p w14:paraId="28E716D9" w14:textId="77777777" w:rsidR="00CA7ABD" w:rsidRDefault="00000000">
            <w:pPr>
              <w:rPr>
                <w:rFonts w:hint="eastAsia"/>
              </w:rPr>
            </w:pPr>
            <w:r>
              <w:rPr>
                <w:sz w:val="19"/>
              </w:rPr>
              <w:t>$14-34B</w:t>
            </w:r>
          </w:p>
        </w:tc>
      </w:tr>
    </w:tbl>
    <w:p w14:paraId="58DC88D0" w14:textId="77777777" w:rsidR="00CA7ABD" w:rsidRDefault="00000000">
      <w:pPr>
        <w:pStyle w:val="Heading2"/>
        <w:rPr>
          <w:rFonts w:hint="eastAsia"/>
        </w:rPr>
      </w:pPr>
      <w:r>
        <w:t>Appendix H: Global South, BRICS, and Regional Development Partners</w:t>
      </w:r>
    </w:p>
    <w:p w14:paraId="1F7967DC" w14:textId="77777777" w:rsidR="00CA7ABD" w:rsidRDefault="00000000">
      <w:pPr>
        <w:rPr>
          <w:rFonts w:hint="eastAsia"/>
        </w:rPr>
      </w:pPr>
      <w:r>
        <w:t>This Appendix catalogs funding sources from the Global South, BRICS member states, regional development banks, and innovative financing mechanisms identified through expanded global research. These sources complement Appendices D, E, and G.</w:t>
      </w:r>
    </w:p>
    <w:p w14:paraId="0F9223AA" w14:textId="77777777" w:rsidR="00CA7ABD" w:rsidRDefault="00000000">
      <w:pPr>
        <w:pStyle w:val="Heading3"/>
        <w:rPr>
          <w:rFonts w:hint="eastAsia"/>
        </w:rPr>
      </w:pPr>
      <w:r>
        <w:t>H.1 South Korea: Dedicated Reconstruction Partnership</w:t>
      </w:r>
    </w:p>
    <w:p w14:paraId="746EE1D5" w14:textId="77777777" w:rsidR="00CA7ABD" w:rsidRDefault="00000000">
      <w:pPr>
        <w:rPr>
          <w:rFonts w:hint="eastAsia"/>
        </w:rPr>
      </w:pPr>
      <w:r>
        <w:t>South Korea has established a dedicated "Korea-Middle East Comprehensive Economic Cooperation Team" specifically to enable Korean companies to participate in post-war reconstruction in the Middle East. The Korean Foreign Minister publicly confirmed that Seoul is actively preparing for post-war reconstruction between the United States and Iran, positioning South Korea as a key reconstruction partner.</w:t>
      </w:r>
    </w:p>
    <w:p w14:paraId="5CDAA79B" w14:textId="77777777" w:rsidR="00CA7ABD" w:rsidRDefault="00000000">
      <w:pPr>
        <w:rPr>
          <w:rFonts w:hint="eastAsia"/>
        </w:rPr>
      </w:pPr>
      <w:r>
        <w:t>South Korea holds approximately $6 billion in frozen Iranian oil payments, providing a significant asset base for the Frozen Asset Conversion Protocol (Article 1.3(c)). Korean construction firms (Samsung C&amp;T, Hyundai E&amp;C, POSCO E&amp;C, Daewoo E&amp;C) rank among the world's most experienced post-conflict rebuilders, with demonstrated capacity in rapid infrastructure deployment.</w:t>
      </w:r>
    </w:p>
    <w:p w14:paraId="4B5CCFA2" w14:textId="77777777" w:rsidR="00CA7ABD" w:rsidRDefault="00000000">
      <w:pPr>
        <w:rPr>
          <w:rFonts w:hint="eastAsia"/>
        </w:rPr>
      </w:pPr>
      <w:r>
        <w:t>Application pathway: The Korea-Middle East Comprehensive Economic Cooperation Team coordinates with the RSC secretariat. Korea's Economic Development Cooperation Fund (EDCF) provides concessional loans for infrastructure. The Export-Import Bank of Korea (KEXIM) offers buyer's credit and project finance. The Frozen Asset Conversion Protocol enables Korean firms to execute reconstruction contracts using won-denominated frozen funds. Korea International Cooperation Agency (KOICA) provides technical assistance and capacity building.</w:t>
      </w:r>
    </w:p>
    <w:p w14:paraId="42964A06" w14:textId="77777777" w:rsidR="00CA7ABD" w:rsidRDefault="00000000">
      <w:pPr>
        <w:rPr>
          <w:rFonts w:hint="eastAsia"/>
        </w:rPr>
      </w:pPr>
      <w:r>
        <w:t>Focus sectors: Transport infrastructure, power generation, water treatment, telecommunications, and hospital construction. Estimated potential allocation: $3-8 billion (including frozen asset conversion).</w:t>
      </w:r>
    </w:p>
    <w:p w14:paraId="1AA2AFA9" w14:textId="77777777" w:rsidR="00CA7ABD" w:rsidRDefault="00000000">
      <w:pPr>
        <w:pStyle w:val="Heading3"/>
        <w:rPr>
          <w:rFonts w:hint="eastAsia"/>
        </w:rPr>
      </w:pPr>
      <w:r>
        <w:t>H.2 Turkey: Construction Capacity and Regional Partnership</w:t>
      </w:r>
    </w:p>
    <w:p w14:paraId="6E3993F3" w14:textId="77777777" w:rsidR="00CA7ABD" w:rsidRDefault="00000000">
      <w:pPr>
        <w:rPr>
          <w:rFonts w:hint="eastAsia"/>
        </w:rPr>
      </w:pPr>
      <w:r>
        <w:t>Turkey maintains one of the world's largest construction industries. Turkish contractors rank second globally in international project volume, with particular expertise in rapid post-conflict rebuilding, having executed major reconstruction projects in Afghanistan, Iraq, Syria, Libya, and the Balkans. Turkey also holds frozen Iranian assets from prior trade arrangements.</w:t>
      </w:r>
    </w:p>
    <w:p w14:paraId="31EDBBE7" w14:textId="77777777" w:rsidR="00CA7ABD" w:rsidRDefault="00000000">
      <w:pPr>
        <w:rPr>
          <w:rFonts w:hint="eastAsia"/>
        </w:rPr>
      </w:pPr>
      <w:r>
        <w:t>The Turkish Cooperation and Coordination Agency (TIKA) operates as Turkey's bilateral development arm, providing technical assistance, capacity building, and project financing across Central Asia, the Middle East, Africa, and the Balkans. TIKA has active programming in Iran and coordinates with Iranian counterparts on infrastructure, agriculture, education, and health.</w:t>
      </w:r>
    </w:p>
    <w:p w14:paraId="084E52AE" w14:textId="77777777" w:rsidR="00CA7ABD" w:rsidRDefault="00000000">
      <w:pPr>
        <w:rPr>
          <w:rFonts w:hint="eastAsia"/>
        </w:rPr>
      </w:pPr>
      <w:r>
        <w:t>Application pathway: Turkey accesses the MRF through the Frozen Asset Conversion Protocol for bilateral projects executed by Turkish contractors. TIKA provides technical cooperation grants through its country office. The Turkish Eximbank offers project finance for Turkish-led construction. The RSC coordinates with TIKA to align Turkish-funded projects with MRF Sub-Fund priorities.</w:t>
      </w:r>
    </w:p>
    <w:p w14:paraId="3FC694CF" w14:textId="77777777" w:rsidR="00CA7ABD" w:rsidRDefault="00000000">
      <w:pPr>
        <w:rPr>
          <w:rFonts w:hint="eastAsia"/>
        </w:rPr>
      </w:pPr>
      <w:r>
        <w:t>Focus sectors: Housing construction, transport infrastructure, urban development, and health facilities. Estimated potential allocation: $2-5 billion.</w:t>
      </w:r>
    </w:p>
    <w:p w14:paraId="40479A7F" w14:textId="77777777" w:rsidR="00CA7ABD" w:rsidRDefault="00000000">
      <w:pPr>
        <w:pStyle w:val="Heading3"/>
        <w:rPr>
          <w:rFonts w:hint="eastAsia"/>
        </w:rPr>
      </w:pPr>
      <w:r>
        <w:t>H.3 Indonesia: Islamic Finance Hub and South-South Cooperation</w:t>
      </w:r>
    </w:p>
    <w:p w14:paraId="15FED70D" w14:textId="77777777" w:rsidR="00CA7ABD" w:rsidRDefault="00000000">
      <w:pPr>
        <w:rPr>
          <w:rFonts w:hint="eastAsia"/>
        </w:rPr>
      </w:pPr>
      <w:r>
        <w:t>Indonesia is the world's most populous Muslim-majority nation and a global leader in Islamic finance innovation. Indonesia is a BRICS member state and a founding member of the Organisation of Islamic Cooperation (OIC). The Indonesian government has issued sovereign Green Sukuk (Islamic green bonds) to fund climate and environmental projects, providing a proven model for Islamic climate finance.</w:t>
      </w:r>
    </w:p>
    <w:p w14:paraId="6C8CCA30" w14:textId="77777777" w:rsidR="00CA7ABD" w:rsidRDefault="00000000">
      <w:pPr>
        <w:rPr>
          <w:rFonts w:hint="eastAsia"/>
        </w:rPr>
      </w:pPr>
      <w:r>
        <w:t>Indonesia's Green Sukuk program has raised over $3.5 billion across multiple issuances to finance renewable energy, sustainable transport, waste management, and climate adaptation projects. The Indonesian experience provides a blueprint for structuring Shari'ah-compliant climate finance instruments under the MRF's Carbon Credit Pre-Financing Facility (Article 6.4).</w:t>
      </w:r>
    </w:p>
    <w:p w14:paraId="703583AD" w14:textId="77777777" w:rsidR="00CA7ABD" w:rsidRDefault="00000000">
      <w:pPr>
        <w:rPr>
          <w:rFonts w:hint="eastAsia"/>
        </w:rPr>
      </w:pPr>
      <w:r>
        <w:t>Application pathway: Indonesia contributes to the MRF through bilateral development cooperation (via the Indonesian Agency for International Development). Indonesian Islamic banks and the Indonesia Eximbank provide Shari'ah-compliant project finance. The RSC engages Indonesian Green Sukuk experts to advise on MRF Sukuk structuring. Indonesia's Islamic Development Bank contributions flow through the IsDB's Iran program.</w:t>
      </w:r>
    </w:p>
    <w:p w14:paraId="500987F2" w14:textId="77777777" w:rsidR="00CA7ABD" w:rsidRDefault="00000000">
      <w:pPr>
        <w:rPr>
          <w:rFonts w:hint="eastAsia"/>
        </w:rPr>
      </w:pPr>
      <w:r>
        <w:t>Focus sectors: Islamic finance structuring, Green Sukuk issuance, renewable energy, and climate adaptation. Estimated potential allocation: $500 million to $1 billion.</w:t>
      </w:r>
    </w:p>
    <w:p w14:paraId="18B131BF" w14:textId="77777777" w:rsidR="00CA7ABD" w:rsidRDefault="00000000">
      <w:pPr>
        <w:pStyle w:val="Heading3"/>
        <w:rPr>
          <w:rFonts w:hint="eastAsia"/>
        </w:rPr>
      </w:pPr>
      <w:r>
        <w:t>H.4 Brazil: Agricultural Technology and BRICS Cooperation</w:t>
      </w:r>
    </w:p>
    <w:p w14:paraId="60CE3644" w14:textId="77777777" w:rsidR="00CA7ABD" w:rsidRDefault="00000000">
      <w:pPr>
        <w:rPr>
          <w:rFonts w:hint="eastAsia"/>
        </w:rPr>
      </w:pPr>
      <w:r>
        <w:t>Brazil is a BRICS member state with world-leading agricultural technology expertise. The Brazilian Agricultural Research Corporation (EMBRAPA) operates as one of the world's premier agricultural research institutions, developing drought-resistant crops, tropical agriculture techniques, and precision farming technologies applicable to Iran's diverse climate zones.</w:t>
      </w:r>
    </w:p>
    <w:p w14:paraId="6204AC49" w14:textId="77777777" w:rsidR="00CA7ABD" w:rsidRDefault="00000000">
      <w:pPr>
        <w:rPr>
          <w:rFonts w:hint="eastAsia"/>
        </w:rPr>
      </w:pPr>
      <w:r>
        <w:t>Application pathway: Brazil contributes to the MRF through BRICS development mechanisms and bilateral technical cooperation. EMBRAPA provides technical assistance for Iranian agricultural reconstruction under MRF-Agriculture. Brazilian construction and engineering firms (Odebrecht, Andrade Gutierrez) participate in infrastructure projects. The Brazilian Development Bank (BNDES) provides export credit for Brazilian equipment and technology.</w:t>
      </w:r>
    </w:p>
    <w:p w14:paraId="685267B3" w14:textId="77777777" w:rsidR="00CA7ABD" w:rsidRDefault="00000000">
      <w:pPr>
        <w:rPr>
          <w:rFonts w:hint="eastAsia"/>
        </w:rPr>
      </w:pPr>
      <w:r>
        <w:t>Focus sectors: Agricultural technology, food security, biofuels, precision agriculture, and rural development. Estimated potential allocation: $300-500 million.</w:t>
      </w:r>
    </w:p>
    <w:p w14:paraId="3C612F8B" w14:textId="77777777" w:rsidR="00CA7ABD" w:rsidRDefault="00000000">
      <w:pPr>
        <w:pStyle w:val="Heading3"/>
        <w:rPr>
          <w:rFonts w:hint="eastAsia"/>
        </w:rPr>
      </w:pPr>
      <w:r>
        <w:t>H.5 South Africa: Infrastructure Expertise and Bilateral Cooperation</w:t>
      </w:r>
    </w:p>
    <w:p w14:paraId="7769C873" w14:textId="77777777" w:rsidR="00CA7ABD" w:rsidRDefault="00000000">
      <w:pPr>
        <w:rPr>
          <w:rFonts w:hint="eastAsia"/>
        </w:rPr>
      </w:pPr>
      <w:r>
        <w:t>South Africa and Iran maintain extensive bilateral cooperation through the Joint Commission for Cooperation (JCC), which has produced signed agreements across mining, energy, agriculture, transport, water resources management, industrial development, science and technology, health, education, and cultural cooperation.</w:t>
      </w:r>
    </w:p>
    <w:p w14:paraId="303BE5A1" w14:textId="77777777" w:rsidR="00CA7ABD" w:rsidRDefault="00000000">
      <w:pPr>
        <w:rPr>
          <w:rFonts w:hint="eastAsia"/>
        </w:rPr>
      </w:pPr>
      <w:r>
        <w:t>South Africa is a BRICS founding member. Both nations are now BRICS members (Iran joined January 2024), creating a multilateral cooperation platform for infrastructure investment, technology transfer, and development finance. The BRICS New Development Bank (NDB) provides an additional lending channel for MRF-aligned projects.</w:t>
      </w:r>
    </w:p>
    <w:p w14:paraId="04E52317" w14:textId="77777777" w:rsidR="00CA7ABD" w:rsidRDefault="00000000">
      <w:pPr>
        <w:rPr>
          <w:rFonts w:hint="eastAsia"/>
        </w:rPr>
      </w:pPr>
      <w:r>
        <w:t>Application pathway: South Africa contributes to the MRF through bilateral development cooperation and the BRICS NDB. The Development Bank of Southern Africa (DBSA) provides infrastructure finance expertise. South African firms (Murray and Roberts, Group Five) contribute construction and engineering capacity. The South Africa-Iran JCC secretariat coordinates project pipelines with the RSC.</w:t>
      </w:r>
    </w:p>
    <w:p w14:paraId="657FD569" w14:textId="77777777" w:rsidR="00CA7ABD" w:rsidRDefault="00000000">
      <w:pPr>
        <w:rPr>
          <w:rFonts w:hint="eastAsia"/>
        </w:rPr>
      </w:pPr>
      <w:r>
        <w:t>Focus sectors: Mining and mineral beneficiation, water and sanitation technology, rail infrastructure, industrial parks, smart transportation, and agricultural technology. Estimated potential allocation: $500 million to $1 billion.</w:t>
      </w:r>
    </w:p>
    <w:p w14:paraId="742B15DA" w14:textId="77777777" w:rsidR="00CA7ABD" w:rsidRDefault="00000000">
      <w:pPr>
        <w:pStyle w:val="Heading3"/>
        <w:rPr>
          <w:rFonts w:hint="eastAsia"/>
        </w:rPr>
      </w:pPr>
      <w:r>
        <w:t>H.6 China: Belt and Road Initiative and Strategic Partnership</w:t>
      </w:r>
    </w:p>
    <w:p w14:paraId="33F23DF0" w14:textId="77777777" w:rsidR="00CA7ABD" w:rsidRDefault="00000000">
      <w:pPr>
        <w:rPr>
          <w:rFonts w:hint="eastAsia"/>
        </w:rPr>
      </w:pPr>
      <w:r>
        <w:t>China and Iran signed a 25-year Strategic Cooperation Agreement in September 2025, creating a comprehensive framework for Chinese investment across Iranian infrastructure, energy, technology, and transport. The agreement includes a $25 billion commitment for the Hormoz nuclear power plant (four units, 5,000 megawatts) and activates the China-Iran Silk Road Economic Belt corridor.</w:t>
      </w:r>
    </w:p>
    <w:p w14:paraId="6F3EEFD5" w14:textId="77777777" w:rsidR="00CA7ABD" w:rsidRDefault="00000000">
      <w:pPr>
        <w:rPr>
          <w:rFonts w:hint="eastAsia"/>
        </w:rPr>
      </w:pPr>
      <w:r>
        <w:t>The Belt and Road Initiative (BRI) serves as the primary channel for Chinese reconstruction engagement. China provides massive infrastructure financing for railway, port, and highway projects. Chinese companies (CMC, SU Power, China Railway Group, China Harbour Engineering) are the largest investors in Iranian neighboring states' transport infrastructure and possess extensive conflict-zone construction experience.</w:t>
      </w:r>
    </w:p>
    <w:p w14:paraId="5C83C1CD" w14:textId="77777777" w:rsidR="00CA7ABD" w:rsidRDefault="00000000">
      <w:pPr>
        <w:rPr>
          <w:rFonts w:hint="eastAsia"/>
        </w:rPr>
      </w:pPr>
      <w:r>
        <w:t>Iran's transport infrastructure requires $14.5 billion in investment per year over the next decade (121 identified projects). China's existing Tehran-Mashhad railway electrification project ($2 billion) demonstrates proven delivery capacity. The BRI connects Iranian ports to international transportation networks and positions Iran as a land-sea corridor linking East Asia to the Mediterranean via Iraq and Syria.</w:t>
      </w:r>
    </w:p>
    <w:p w14:paraId="45AEC664" w14:textId="77777777" w:rsidR="00CA7ABD" w:rsidRDefault="00000000">
      <w:pPr>
        <w:rPr>
          <w:rFonts w:hint="eastAsia"/>
        </w:rPr>
      </w:pPr>
      <w:r>
        <w:t>Application pathway: China accesses the MRF through bilateral project financing under the 25-year Strategic Cooperation Agreement. The Silk Road Fund and China Development Bank provide long-term infrastructure loans. The Asian Infrastructure Investment Bank (AIIB) co-finances transport and energy projects. The RSC coordinates Chinese project pipelines with MRF Sub-Fund allocations to prevent duplication and maximize leverage.</w:t>
      </w:r>
    </w:p>
    <w:p w14:paraId="5CFDB9E7" w14:textId="77777777" w:rsidR="00CA7ABD" w:rsidRDefault="00000000">
      <w:pPr>
        <w:rPr>
          <w:rFonts w:hint="eastAsia"/>
        </w:rPr>
      </w:pPr>
      <w:r>
        <w:t>Focus sectors: Transport infrastructure (rail, ports, highways), nuclear energy, telecommunications, and power generation. Estimated potential allocation: $10-25 billion (excluding the Hormoz nuclear project which is bilateral).</w:t>
      </w:r>
    </w:p>
    <w:p w14:paraId="0CD1A904" w14:textId="77777777" w:rsidR="00CA7ABD" w:rsidRDefault="00000000">
      <w:pPr>
        <w:pStyle w:val="Heading3"/>
        <w:rPr>
          <w:rFonts w:hint="eastAsia"/>
        </w:rPr>
      </w:pPr>
      <w:r>
        <w:t>H.7 Russia: Reconstruction Partnership and North-South Corridor</w:t>
      </w:r>
    </w:p>
    <w:p w14:paraId="624DA69D" w14:textId="77777777" w:rsidR="00CA7ABD" w:rsidRDefault="00000000">
      <w:pPr>
        <w:rPr>
          <w:rFonts w:hint="eastAsia"/>
        </w:rPr>
      </w:pPr>
      <w:r>
        <w:t>Russia has formally declared readiness to assist Iran in rebuilding war-damaged infrastructure. The Russian Ambassador to Tehran confirmed that Russian industrial and construction firms, engineering and design institutes, and scientific and technology centers possess the expertise needed for reconstruction. Russia awaits an official request from Tehran to assess needs and present concrete cooperation proposals.</w:t>
      </w:r>
    </w:p>
    <w:p w14:paraId="57FDBCA9" w14:textId="77777777" w:rsidR="00CA7ABD" w:rsidRDefault="00000000">
      <w:pPr>
        <w:rPr>
          <w:rFonts w:hint="eastAsia"/>
        </w:rPr>
      </w:pPr>
      <w:r>
        <w:t>The International North-South Transport Corridor (INSTC) demonstrates the depth of Russia-Iran economic integration. Cargo transported via the corridor reached approximately 2.2 million metric tons in early 2026 (87% year-on-year increase). Russian exports to Iran rose by more than 56% in the first four months of 2026. The INSTC connects Russia to India through Iran, creating a multi-modal trade corridor of strategic importance.</w:t>
      </w:r>
    </w:p>
    <w:p w14:paraId="3C3B8140" w14:textId="77777777" w:rsidR="00CA7ABD" w:rsidRDefault="00000000">
      <w:pPr>
        <w:rPr>
          <w:rFonts w:hint="eastAsia"/>
        </w:rPr>
      </w:pPr>
      <w:r>
        <w:t>Application pathway: Russia contributes to the MRF through bilateral reconstruction agreements. Russian construction firms (Stroygazmontazh, Titan, Mosinzhproekt) participate in infrastructure tenders. The Russian Direct Investment Fund (RDIF) co-invests in MRF projects with Russian construction and engineering participation. The RSC coordinates Russian project pipelines through the INSTC framework.</w:t>
      </w:r>
    </w:p>
    <w:p w14:paraId="51DA56A1" w14:textId="77777777" w:rsidR="00CA7ABD" w:rsidRDefault="00000000">
      <w:pPr>
        <w:rPr>
          <w:rFonts w:hint="eastAsia"/>
        </w:rPr>
      </w:pPr>
      <w:r>
        <w:t>Focus sectors: Nuclear energy, rail infrastructure, heavy industry, metallurgy, engineering services, and transport corridors. Estimated potential allocation: $3-8 billion (excluding the Hormoz nuclear project which is bilateral).</w:t>
      </w:r>
    </w:p>
    <w:p w14:paraId="403A4B49" w14:textId="77777777" w:rsidR="00CA7ABD" w:rsidRDefault="00000000">
      <w:pPr>
        <w:pStyle w:val="Heading3"/>
        <w:rPr>
          <w:rFonts w:hint="eastAsia"/>
        </w:rPr>
      </w:pPr>
      <w:r>
        <w:t>H.8 African Development Bank: Fragile States Facility</w:t>
      </w:r>
    </w:p>
    <w:p w14:paraId="1766FF79" w14:textId="77777777" w:rsidR="00CA7ABD" w:rsidRDefault="00000000">
      <w:pPr>
        <w:rPr>
          <w:rFonts w:hint="eastAsia"/>
        </w:rPr>
      </w:pPr>
      <w:r>
        <w:t>While the African Development Bank's primary mandate covers Africa, its Fragile States Facility (FSF) demonstrates an operational framework directly applicable to post-conflict reconstruction financing. The FSF encompasses three pillars: (1) Pillar I - Supplemental Financing for post-crisis countries (UA 272.4 million allocated), (2) Pillar II - Arrears Clearance (UA 223.6 million), and (3) Pillar III - Targeted Capacity Building (UA 27.2 million).</w:t>
      </w:r>
    </w:p>
    <w:p w14:paraId="6563712A" w14:textId="77777777" w:rsidR="00CA7ABD" w:rsidRDefault="00000000">
      <w:pPr>
        <w:rPr>
          <w:rFonts w:hint="eastAsia"/>
        </w:rPr>
      </w:pPr>
      <w:r>
        <w:t>The AfDB's partnership with the Islamic Development Bank and ICRC creates a trilateral cooperation framework for conflict-affected settings. The AfDB's Transition Support Facility model pioneered Security-Indexed Investment Bonds (SIIBs) for fragile states, mobilizing over $4.9 billion. These instruments demonstrate how development bonds structure for post-conflict reconstruction with explicit security conditionality.</w:t>
      </w:r>
    </w:p>
    <w:p w14:paraId="32F9388B" w14:textId="77777777" w:rsidR="00CA7ABD" w:rsidRDefault="00000000">
      <w:pPr>
        <w:rPr>
          <w:rFonts w:hint="eastAsia"/>
        </w:rPr>
      </w:pPr>
      <w:r>
        <w:t>Application pathway: The MRF engages the AfDB through the IsDB-AfDB-ICRC trilateral framework for technical assistance and knowledge transfer. The AfDB provides advisory services on fragile states programming, arrears clearance sequencing, and budget support design. The RSC participates in the AfDB's Fragile States Knowledge Platform. Focus areas: Technical assistance. Estimated value: $50-100 million.</w:t>
      </w:r>
    </w:p>
    <w:p w14:paraId="1DFAEFA2" w14:textId="77777777" w:rsidR="00CA7ABD" w:rsidRDefault="00000000">
      <w:pPr>
        <w:pStyle w:val="Heading3"/>
        <w:rPr>
          <w:rFonts w:hint="eastAsia"/>
        </w:rPr>
      </w:pPr>
      <w:r>
        <w:t>H.9 World Bank State and Peacebuilding Fund (SPF)</w:t>
      </w:r>
    </w:p>
    <w:p w14:paraId="3EC7EA1A" w14:textId="77777777" w:rsidR="00CA7ABD" w:rsidRDefault="00000000">
      <w:pPr>
        <w:rPr>
          <w:rFonts w:hint="eastAsia"/>
        </w:rPr>
      </w:pPr>
      <w:r>
        <w:t>The World Bank State and Peacebuilding Fund provides catalytic financing for peacebuilding, state-building, and institutional strengthening in fragile and conflict-affected settings. The SPF finances activities that: support the transition from conflict to sustainable peace, strengthen institutions and governance capacity, promote economic recovery and job creation, and build social cohesion and community resilience.</w:t>
      </w:r>
    </w:p>
    <w:p w14:paraId="166CAF87" w14:textId="77777777" w:rsidR="00CA7ABD" w:rsidRDefault="00000000">
      <w:pPr>
        <w:rPr>
          <w:rFonts w:hint="eastAsia"/>
        </w:rPr>
      </w:pPr>
      <w:r>
        <w:t>Application pathway: Iran accesses the SPF through the World Bank country office. SPF grants require a results framework aligned with the Fragility, Conflict and Violence (FCV) strategy. The RSC coordinates SPF applications with MRF institutional capacity building under MRF-Governance. SPF financing covers governance restoration, public financial management reform, and community-driven development.</w:t>
      </w:r>
    </w:p>
    <w:p w14:paraId="62969DD7" w14:textId="77777777" w:rsidR="00CA7ABD" w:rsidRDefault="00000000">
      <w:pPr>
        <w:pStyle w:val="Heading3"/>
        <w:rPr>
          <w:rFonts w:hint="eastAsia"/>
        </w:rPr>
      </w:pPr>
      <w:r>
        <w:t>H.10 UN Central Emergency Response Fund (CERF)</w:t>
      </w:r>
    </w:p>
    <w:p w14:paraId="47322C1A" w14:textId="77777777" w:rsidR="00CA7ABD" w:rsidRDefault="00000000">
      <w:pPr>
        <w:rPr>
          <w:rFonts w:hint="eastAsia"/>
        </w:rPr>
      </w:pPr>
      <w:r>
        <w:t>CERF is one of the fastest and most effective ways to ensure that urgently needed humanitarian assistance reaches people caught up in crises. CERF provides rapid initial funding for life-saving assistance at the onset of humanitarian crises and critical support for poorly funded, essential humanitarian operations. CERF allocated over $500 million in 2024 for rapid response to sudden-onset emergencies.</w:t>
      </w:r>
    </w:p>
    <w:p w14:paraId="6AD2C9F8" w14:textId="77777777" w:rsidR="00CA7ABD" w:rsidRDefault="00000000">
      <w:pPr>
        <w:rPr>
          <w:rFonts w:hint="eastAsia"/>
        </w:rPr>
      </w:pPr>
      <w:r>
        <w:t>Application pathway: UN agencies operating in Iran submit CERF funding applications through the Resident Coordinator's office. CERF rapid response grants process within 72 hours of application. The RSC coordinates CERF applications with MRF-Health and MRF-Housing emergency reconstruction activities.</w:t>
      </w:r>
    </w:p>
    <w:p w14:paraId="339B17D8" w14:textId="77777777" w:rsidR="00CA7ABD" w:rsidRDefault="00000000">
      <w:pPr>
        <w:pStyle w:val="Heading3"/>
        <w:rPr>
          <w:rFonts w:hint="eastAsia"/>
        </w:rPr>
      </w:pPr>
      <w:r>
        <w:t>H.11 Infrastructure Asset-Backed Securitization (IABS)</w:t>
      </w:r>
    </w:p>
    <w:p w14:paraId="5FEE90E9" w14:textId="77777777" w:rsidR="00CA7ABD" w:rsidRDefault="00000000">
      <w:pPr>
        <w:rPr>
          <w:rFonts w:hint="eastAsia"/>
        </w:rPr>
      </w:pPr>
      <w:r>
        <w:t>IABS is an innovative financing mechanism that converts future infrastructure revenue streams into upfront capital through bond issuance. Under IABS, completed or operational infrastructure assets (toll roads, power plants, water utilities) generate revenue that is securitized and sold to institutional investors. This mechanism enables the MRF to recycle capital: deploying proceeds from asset securitization into new reconstruction projects.</w:t>
      </w:r>
    </w:p>
    <w:p w14:paraId="5E3A1382" w14:textId="77777777" w:rsidR="00CA7ABD" w:rsidRDefault="00000000">
      <w:pPr>
        <w:rPr>
          <w:rFonts w:hint="eastAsia"/>
        </w:rPr>
      </w:pPr>
      <w:r>
        <w:t>The IABS structure operates as follows: (1) The RSC identifies MRF-funded infrastructure assets with predictable revenue streams, (2) An independent rating agency assesses the credit quality of the revenue stream, (3) The Qatar Central Bank establishes a special purpose vehicle to hold the securitized assets, (4) The SPV issues IABS bonds to institutional investors (pension funds, insurance companies, sovereign wealth funds), (5) Proceeds from bond issuance flow into the relevant Sub-Fund for deployment to new projects.</w:t>
      </w:r>
    </w:p>
    <w:p w14:paraId="750B4C66" w14:textId="77777777" w:rsidR="00CA7ABD" w:rsidRDefault="00000000">
      <w:pPr>
        <w:rPr>
          <w:rFonts w:hint="eastAsia"/>
        </w:rPr>
      </w:pPr>
      <w:r>
        <w:t>IABS enables the MRF to achieve capital recycling: the same pool of international capital funds multiple generations of projects as completed assets generate revenue that is securitized and reinvested. The PRI Pool provides credit enhancement for IABS issuances. Estimated potential: $2-5 billion in recycled capital.</w:t>
      </w:r>
    </w:p>
    <w:p w14:paraId="4D7ECDA7" w14:textId="77777777" w:rsidR="00CA7ABD" w:rsidRDefault="00000000">
      <w:pPr>
        <w:pStyle w:val="Heading3"/>
        <w:rPr>
          <w:rFonts w:hint="eastAsia"/>
        </w:rPr>
      </w:pPr>
      <w:r>
        <w:t>H.12 Islamic Development Bank Green Sukuk</w:t>
      </w:r>
    </w:p>
    <w:p w14:paraId="14A46F64" w14:textId="77777777" w:rsidR="00CA7ABD" w:rsidRDefault="00000000">
      <w:pPr>
        <w:rPr>
          <w:rFonts w:hint="eastAsia"/>
        </w:rPr>
      </w:pPr>
      <w:r>
        <w:t>The IsDB issued its inaugural Green Sukuk in 2024, raising EUR 500 million from international institutional investors at a profit rate of 3.947%. The issuance was 5 times oversubscribed, demonstrating strong global demand for Shari'ah-compliant climate finance instruments. The Green Sukuk funds renewable energy, clean transportation, sustainable water management, and climate adaptation projects across IsDB member countries.</w:t>
      </w:r>
    </w:p>
    <w:p w14:paraId="0351FC24" w14:textId="77777777" w:rsidR="00CA7ABD" w:rsidRDefault="00000000">
      <w:pPr>
        <w:rPr>
          <w:rFonts w:hint="eastAsia"/>
        </w:rPr>
      </w:pPr>
      <w:r>
        <w:t>This precedent enables the MRF to structure Green Sukuk issuances specifically for Iranian climate-resilient reconstruction. The RSC engages IsDB Green Sukuk advisors to structure asset-backed certificates for: solar and wind energy installations, green building retrofits, sustainable transport infrastructure, and climate-adaptive water systems.</w:t>
      </w:r>
    </w:p>
    <w:p w14:paraId="7B429604" w14:textId="77777777" w:rsidR="00CA7ABD" w:rsidRDefault="00000000">
      <w:pPr>
        <w:pStyle w:val="Heading3"/>
        <w:rPr>
          <w:rFonts w:hint="eastAsia"/>
        </w:rPr>
      </w:pPr>
      <w:r>
        <w:t>H.13 Mutual Reliance Agreements (MRAs) for MDB Co-Financing</w:t>
      </w:r>
    </w:p>
    <w:p w14:paraId="44820659" w14:textId="77777777" w:rsidR="00CA7ABD" w:rsidRDefault="00000000">
      <w:pPr>
        <w:rPr>
          <w:rFonts w:hint="eastAsia"/>
        </w:rPr>
      </w:pPr>
      <w:r>
        <w:t>Mutual Reliance Agreements are formal arrangements between multilateral development banks that enable one MDB to rely on another's procurement, environmental, and social safeguard procedures. MRAs reduce transaction costs, accelerate project processing, and enable larger-scale co-financing arrangements.</w:t>
      </w:r>
    </w:p>
    <w:p w14:paraId="4B3A6EA8" w14:textId="77777777" w:rsidR="00CA7ABD" w:rsidRDefault="00000000">
      <w:pPr>
        <w:rPr>
          <w:rFonts w:hint="eastAsia"/>
        </w:rPr>
      </w:pPr>
      <w:r>
        <w:t>The RSC pursues MRAs with the World Bank, Asian Development Bank, Islamic Development Bank, and African Development Bank. Under an MRA, the World Bank relies on IsDB procurement procedures for co-financed projects, eliminating duplicate procurement processes. This is particularly valuable for the MRF where multiple MDBs co-finance individual projects.</w:t>
      </w:r>
    </w:p>
    <w:p w14:paraId="1BB3F335" w14:textId="77777777" w:rsidR="00CA7ABD" w:rsidRDefault="00000000">
      <w:pPr>
        <w:pStyle w:val="Heading3"/>
        <w:rPr>
          <w:rFonts w:hint="eastAsia"/>
        </w:rPr>
      </w:pPr>
      <w:r>
        <w:t>H.14 IFC Kakuma Kalobeyei Challenge Fund Model</w:t>
      </w:r>
    </w:p>
    <w:p w14:paraId="6185F95D" w14:textId="77777777" w:rsidR="00CA7ABD" w:rsidRDefault="00000000">
      <w:pPr>
        <w:rPr>
          <w:rFonts w:hint="eastAsia"/>
        </w:rPr>
      </w:pPr>
      <w:r>
        <w:t>The International Finance Corporation's Kakuma Kalobeyei Challenge Fund (KKCF) demonstrates a conflict-sensitive blended finance model with direct applicability to Iranian reconstruction. The KKCF operates on three core principles: (1) Dual-benefit design for host communities and displaced populations, (2) Integrated market approach treating crisis-affected areas as investable markets rather than aid-dependent zones, and (3) Evidence-driven engagement using market data to attract private investment.</w:t>
      </w:r>
    </w:p>
    <w:p w14:paraId="6BBC5F11" w14:textId="77777777" w:rsidR="00CA7ABD" w:rsidRDefault="00000000">
      <w:pPr>
        <w:rPr>
          <w:rFonts w:hint="eastAsia"/>
        </w:rPr>
      </w:pPr>
      <w:r>
        <w:t>Key lessons from the KKCF applicable to Iran: (a) Refugees and internally displaced persons are treated as part of the market, not separate from it, reducing perceptions of competition, (b) Grants are sized and milestones tailored to fragile market realities, (c) Co-financing connects upstream grants to downstream credit, (d) A broad partnership combining IFC, UN agencies, bilateral donors, and local government mitigates risks, (e) Conflict sensitivity guides all operations and communications.</w:t>
      </w:r>
    </w:p>
    <w:p w14:paraId="3497F9CD" w14:textId="77777777" w:rsidR="00CA7ABD" w:rsidRDefault="00000000">
      <w:pPr>
        <w:rPr>
          <w:rFonts w:hint="eastAsia"/>
        </w:rPr>
      </w:pPr>
      <w:r>
        <w:t>The MRF adapts the KKCF model for Iranian post-conflict zones by: (1) Integrating displaced populations into reconstruction labor markets, (2) Structuring grants that connect to downstream MRF credit facilities, (3) Engaging a broad partnership of MDBs, UN agencies, and bilateral donors, (4) Conducting market assessments to reframe reconstruction zones as investable markets, (5) Tailoring milestones to fragile market conditions.</w:t>
      </w:r>
    </w:p>
    <w:p w14:paraId="4556F33B" w14:textId="77777777" w:rsidR="00CA7ABD" w:rsidRDefault="00000000">
      <w:pPr>
        <w:pStyle w:val="Heading3"/>
        <w:rPr>
          <w:rFonts w:hint="eastAsia"/>
        </w:rPr>
      </w:pPr>
      <w:r>
        <w:t>H.15 Additional Sources from Systematic Analysis</w:t>
      </w:r>
    </w:p>
    <w:p w14:paraId="33BDFC65" w14:textId="77777777" w:rsidR="00CA7ABD" w:rsidRDefault="00000000">
      <w:pPr>
        <w:rPr>
          <w:rFonts w:hint="eastAsia"/>
        </w:rPr>
      </w:pPr>
      <w:r>
        <w:t>The following additional sources are identified through systematic analysis of international funding databases and development finance registries:</w:t>
      </w:r>
    </w:p>
    <w:p w14:paraId="1A887FFE" w14:textId="77777777" w:rsidR="00CA7ABD" w:rsidRDefault="00000000">
      <w:pPr>
        <w:ind w:left="360"/>
        <w:rPr>
          <w:rFonts w:hint="eastAsia"/>
        </w:rPr>
      </w:pPr>
      <w:r>
        <w:rPr>
          <w:color w:val="37474F"/>
        </w:rPr>
        <w:t>•</w:t>
      </w:r>
      <w:r>
        <w:t>Asian Infrastructure Investment Bank (AIIB): Sovereign-backed lending for infrastructure. Iran is a founding member. Potential allocation: $1-3 billion for transport and energy.</w:t>
      </w:r>
    </w:p>
    <w:p w14:paraId="01A2E9D3" w14:textId="77777777" w:rsidR="00CA7ABD" w:rsidRDefault="00000000">
      <w:pPr>
        <w:ind w:left="360"/>
        <w:rPr>
          <w:rFonts w:hint="eastAsia"/>
        </w:rPr>
      </w:pPr>
      <w:r>
        <w:rPr>
          <w:color w:val="37474F"/>
        </w:rPr>
        <w:t>•</w:t>
      </w:r>
      <w:r>
        <w:t>International Fund for Agricultural Development (IFAD): Concessional loans and grants for rural development and agricultural transformation. Iran is a member. Potential allocation: $200-500 million.</w:t>
      </w:r>
    </w:p>
    <w:p w14:paraId="61F1001E" w14:textId="77777777" w:rsidR="00CA7ABD" w:rsidRDefault="00000000">
      <w:pPr>
        <w:ind w:left="360"/>
        <w:rPr>
          <w:rFonts w:hint="eastAsia"/>
        </w:rPr>
      </w:pPr>
      <w:r>
        <w:rPr>
          <w:color w:val="37474F"/>
        </w:rPr>
        <w:t>•</w:t>
      </w:r>
      <w:r>
        <w:t>International Labour Organization (ILO) Skills and Employability Programme: Technical assistance for workforce development and vocational training under MRF-Education.</w:t>
      </w:r>
    </w:p>
    <w:p w14:paraId="759E6F24" w14:textId="77777777" w:rsidR="00CA7ABD" w:rsidRDefault="00000000">
      <w:pPr>
        <w:ind w:left="360"/>
        <w:rPr>
          <w:rFonts w:hint="eastAsia"/>
        </w:rPr>
      </w:pPr>
      <w:r>
        <w:rPr>
          <w:color w:val="37474F"/>
        </w:rPr>
        <w:t>•</w:t>
      </w:r>
      <w:r>
        <w:t>UNIDO Industrial Recovery Programme: Technical assistance for industrial rehabilitation, SME development, and value chain restoration.</w:t>
      </w:r>
    </w:p>
    <w:p w14:paraId="5A1AA120" w14:textId="77777777" w:rsidR="00CA7ABD" w:rsidRDefault="00000000">
      <w:pPr>
        <w:ind w:left="360"/>
        <w:rPr>
          <w:rFonts w:hint="eastAsia"/>
        </w:rPr>
      </w:pPr>
      <w:r>
        <w:rPr>
          <w:color w:val="37474F"/>
        </w:rPr>
        <w:t>•</w:t>
      </w:r>
      <w:r>
        <w:t>UNESCO Cultural Heritage Emergency Fund: Grants for protection and restoration of cultural heritage sites damaged during conflict.</w:t>
      </w:r>
    </w:p>
    <w:p w14:paraId="4AA43BF0" w14:textId="77777777" w:rsidR="00CA7ABD" w:rsidRDefault="00000000">
      <w:pPr>
        <w:ind w:left="360"/>
        <w:rPr>
          <w:rFonts w:hint="eastAsia"/>
        </w:rPr>
      </w:pPr>
      <w:r>
        <w:rPr>
          <w:color w:val="37474F"/>
        </w:rPr>
        <w:t>•</w:t>
      </w:r>
      <w:r>
        <w:t>WHO Health Emergency Response Fund: Rapid response financing for health system restoration and emergency medical capacity.</w:t>
      </w:r>
    </w:p>
    <w:p w14:paraId="199C54EF" w14:textId="77777777" w:rsidR="00CA7ABD" w:rsidRDefault="00000000">
      <w:pPr>
        <w:ind w:left="360"/>
        <w:rPr>
          <w:rFonts w:hint="eastAsia"/>
        </w:rPr>
      </w:pPr>
      <w:r>
        <w:rPr>
          <w:color w:val="37474F"/>
        </w:rPr>
        <w:t>•</w:t>
      </w:r>
      <w:r>
        <w:t>WMO Climate Services and Early Warning Systems: Technical assistance for climate monitoring, disaster early warning, and weather infrastructure.</w:t>
      </w:r>
    </w:p>
    <w:p w14:paraId="1D731A23" w14:textId="77777777" w:rsidR="00CA7ABD" w:rsidRDefault="00000000">
      <w:pPr>
        <w:pStyle w:val="Heading3"/>
        <w:rPr>
          <w:rFonts w:hint="eastAsia"/>
        </w:rPr>
      </w:pPr>
      <w:r>
        <w:t>H.16 Summary of Global South and BRICS Funding Potential</w:t>
      </w:r>
    </w:p>
    <w:p w14:paraId="63BE64DD" w14:textId="77777777" w:rsidR="00CA7ABD" w:rsidRDefault="00000000">
      <w:pPr>
        <w:rPr>
          <w:rFonts w:hint="eastAsia"/>
        </w:rPr>
      </w:pPr>
      <w:r>
        <w:t>The following table summarizes the additional funding sources documented in this Appendix:</w:t>
      </w:r>
    </w:p>
    <w:tbl>
      <w:tblPr>
        <w:tblW w:w="5000" w:type="pct"/>
        <w:tblInd w:w="-8"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3255"/>
        <w:gridCol w:w="3386"/>
        <w:gridCol w:w="2585"/>
      </w:tblGrid>
      <w:tr w:rsidR="00CA7ABD" w14:paraId="1B5B6406" w14:textId="77777777">
        <w:tc>
          <w:tcPr>
            <w:tcW w:w="0" w:type="auto"/>
            <w:shd w:val="clear" w:color="auto" w:fill="37474F"/>
          </w:tcPr>
          <w:p w14:paraId="1A305C50" w14:textId="77777777" w:rsidR="00CA7ABD" w:rsidRDefault="00000000">
            <w:pPr>
              <w:rPr>
                <w:rFonts w:hint="eastAsia"/>
              </w:rPr>
            </w:pPr>
            <w:r>
              <w:rPr>
                <w:b/>
                <w:color w:val="FFFFFF"/>
                <w:sz w:val="19"/>
              </w:rPr>
              <w:t>Source</w:t>
            </w:r>
          </w:p>
        </w:tc>
        <w:tc>
          <w:tcPr>
            <w:tcW w:w="0" w:type="auto"/>
            <w:shd w:val="clear" w:color="auto" w:fill="37474F"/>
          </w:tcPr>
          <w:p w14:paraId="4C521D5D" w14:textId="77777777" w:rsidR="00CA7ABD" w:rsidRDefault="00000000">
            <w:pPr>
              <w:rPr>
                <w:rFonts w:hint="eastAsia"/>
              </w:rPr>
            </w:pPr>
            <w:r>
              <w:rPr>
                <w:b/>
                <w:color w:val="FFFFFF"/>
                <w:sz w:val="19"/>
              </w:rPr>
              <w:t>Type</w:t>
            </w:r>
          </w:p>
        </w:tc>
        <w:tc>
          <w:tcPr>
            <w:tcW w:w="0" w:type="auto"/>
            <w:shd w:val="clear" w:color="auto" w:fill="37474F"/>
          </w:tcPr>
          <w:p w14:paraId="053D4A63" w14:textId="77777777" w:rsidR="00CA7ABD" w:rsidRDefault="00000000">
            <w:pPr>
              <w:rPr>
                <w:rFonts w:hint="eastAsia"/>
              </w:rPr>
            </w:pPr>
            <w:r>
              <w:rPr>
                <w:b/>
                <w:color w:val="FFFFFF"/>
                <w:sz w:val="19"/>
              </w:rPr>
              <w:t>Est. Allocation</w:t>
            </w:r>
          </w:p>
        </w:tc>
      </w:tr>
      <w:tr w:rsidR="00CA7ABD" w14:paraId="6C9E336B" w14:textId="77777777">
        <w:tc>
          <w:tcPr>
            <w:tcW w:w="0" w:type="auto"/>
          </w:tcPr>
          <w:p w14:paraId="1C190C87" w14:textId="77777777" w:rsidR="00CA7ABD" w:rsidRDefault="00000000">
            <w:pPr>
              <w:rPr>
                <w:rFonts w:hint="eastAsia"/>
              </w:rPr>
            </w:pPr>
            <w:r>
              <w:rPr>
                <w:sz w:val="19"/>
              </w:rPr>
              <w:t>South Korea</w:t>
            </w:r>
          </w:p>
        </w:tc>
        <w:tc>
          <w:tcPr>
            <w:tcW w:w="0" w:type="auto"/>
          </w:tcPr>
          <w:p w14:paraId="0802626D" w14:textId="77777777" w:rsidR="00CA7ABD" w:rsidRDefault="00000000">
            <w:pPr>
              <w:rPr>
                <w:rFonts w:hint="eastAsia"/>
              </w:rPr>
            </w:pPr>
            <w:r>
              <w:rPr>
                <w:sz w:val="19"/>
              </w:rPr>
              <w:t>Loans + Frozen Assets</w:t>
            </w:r>
          </w:p>
        </w:tc>
        <w:tc>
          <w:tcPr>
            <w:tcW w:w="0" w:type="auto"/>
          </w:tcPr>
          <w:p w14:paraId="5E8698BB" w14:textId="77777777" w:rsidR="00CA7ABD" w:rsidRDefault="00000000">
            <w:pPr>
              <w:rPr>
                <w:rFonts w:hint="eastAsia"/>
              </w:rPr>
            </w:pPr>
            <w:r>
              <w:rPr>
                <w:sz w:val="19"/>
              </w:rPr>
              <w:t>$3-8B</w:t>
            </w:r>
          </w:p>
        </w:tc>
      </w:tr>
      <w:tr w:rsidR="00CA7ABD" w14:paraId="50D33A65" w14:textId="77777777">
        <w:tc>
          <w:tcPr>
            <w:tcW w:w="0" w:type="auto"/>
            <w:shd w:val="clear" w:color="auto" w:fill="ECEFF1"/>
          </w:tcPr>
          <w:p w14:paraId="0C2788E2" w14:textId="77777777" w:rsidR="00CA7ABD" w:rsidRDefault="00000000">
            <w:pPr>
              <w:rPr>
                <w:rFonts w:hint="eastAsia"/>
              </w:rPr>
            </w:pPr>
            <w:r>
              <w:rPr>
                <w:sz w:val="19"/>
              </w:rPr>
              <w:t>Turkey</w:t>
            </w:r>
          </w:p>
        </w:tc>
        <w:tc>
          <w:tcPr>
            <w:tcW w:w="0" w:type="auto"/>
            <w:shd w:val="clear" w:color="auto" w:fill="ECEFF1"/>
          </w:tcPr>
          <w:p w14:paraId="63BB0710" w14:textId="77777777" w:rsidR="00CA7ABD" w:rsidRDefault="00000000">
            <w:pPr>
              <w:rPr>
                <w:rFonts w:hint="eastAsia"/>
              </w:rPr>
            </w:pPr>
            <w:r>
              <w:rPr>
                <w:sz w:val="19"/>
              </w:rPr>
              <w:t>Construction + Assets</w:t>
            </w:r>
          </w:p>
        </w:tc>
        <w:tc>
          <w:tcPr>
            <w:tcW w:w="0" w:type="auto"/>
            <w:shd w:val="clear" w:color="auto" w:fill="ECEFF1"/>
          </w:tcPr>
          <w:p w14:paraId="190ADD29" w14:textId="77777777" w:rsidR="00CA7ABD" w:rsidRDefault="00000000">
            <w:pPr>
              <w:rPr>
                <w:rFonts w:hint="eastAsia"/>
              </w:rPr>
            </w:pPr>
            <w:r>
              <w:rPr>
                <w:sz w:val="19"/>
              </w:rPr>
              <w:t>$2-5B</w:t>
            </w:r>
          </w:p>
        </w:tc>
      </w:tr>
      <w:tr w:rsidR="00CA7ABD" w14:paraId="7858C37F" w14:textId="77777777">
        <w:tc>
          <w:tcPr>
            <w:tcW w:w="0" w:type="auto"/>
          </w:tcPr>
          <w:p w14:paraId="52741FFD" w14:textId="77777777" w:rsidR="00CA7ABD" w:rsidRDefault="00000000">
            <w:pPr>
              <w:rPr>
                <w:rFonts w:hint="eastAsia"/>
              </w:rPr>
            </w:pPr>
            <w:r>
              <w:rPr>
                <w:sz w:val="19"/>
              </w:rPr>
              <w:t>Indonesia</w:t>
            </w:r>
          </w:p>
        </w:tc>
        <w:tc>
          <w:tcPr>
            <w:tcW w:w="0" w:type="auto"/>
          </w:tcPr>
          <w:p w14:paraId="4BFC0AF2" w14:textId="77777777" w:rsidR="00CA7ABD" w:rsidRDefault="00000000">
            <w:pPr>
              <w:rPr>
                <w:rFonts w:hint="eastAsia"/>
              </w:rPr>
            </w:pPr>
            <w:r>
              <w:rPr>
                <w:sz w:val="19"/>
              </w:rPr>
              <w:t>Islamic Finance</w:t>
            </w:r>
          </w:p>
        </w:tc>
        <w:tc>
          <w:tcPr>
            <w:tcW w:w="0" w:type="auto"/>
          </w:tcPr>
          <w:p w14:paraId="1F3CBE2F" w14:textId="77777777" w:rsidR="00CA7ABD" w:rsidRDefault="00000000">
            <w:pPr>
              <w:rPr>
                <w:rFonts w:hint="eastAsia"/>
              </w:rPr>
            </w:pPr>
            <w:r>
              <w:rPr>
                <w:sz w:val="19"/>
              </w:rPr>
              <w:t>$500M-1B</w:t>
            </w:r>
          </w:p>
        </w:tc>
      </w:tr>
      <w:tr w:rsidR="00CA7ABD" w14:paraId="4B35C808" w14:textId="77777777">
        <w:tc>
          <w:tcPr>
            <w:tcW w:w="0" w:type="auto"/>
            <w:shd w:val="clear" w:color="auto" w:fill="ECEFF1"/>
          </w:tcPr>
          <w:p w14:paraId="0050E8B6" w14:textId="77777777" w:rsidR="00CA7ABD" w:rsidRDefault="00000000">
            <w:pPr>
              <w:rPr>
                <w:rFonts w:hint="eastAsia"/>
              </w:rPr>
            </w:pPr>
            <w:r>
              <w:rPr>
                <w:sz w:val="19"/>
              </w:rPr>
              <w:t>Brazil</w:t>
            </w:r>
          </w:p>
        </w:tc>
        <w:tc>
          <w:tcPr>
            <w:tcW w:w="0" w:type="auto"/>
            <w:shd w:val="clear" w:color="auto" w:fill="ECEFF1"/>
          </w:tcPr>
          <w:p w14:paraId="3AFC2E1D" w14:textId="77777777" w:rsidR="00CA7ABD" w:rsidRDefault="00000000">
            <w:pPr>
              <w:rPr>
                <w:rFonts w:hint="eastAsia"/>
              </w:rPr>
            </w:pPr>
            <w:r>
              <w:rPr>
                <w:sz w:val="19"/>
              </w:rPr>
              <w:t>Agri-Tech + BRICS</w:t>
            </w:r>
          </w:p>
        </w:tc>
        <w:tc>
          <w:tcPr>
            <w:tcW w:w="0" w:type="auto"/>
            <w:shd w:val="clear" w:color="auto" w:fill="ECEFF1"/>
          </w:tcPr>
          <w:p w14:paraId="7781D784" w14:textId="77777777" w:rsidR="00CA7ABD" w:rsidRDefault="00000000">
            <w:pPr>
              <w:rPr>
                <w:rFonts w:hint="eastAsia"/>
              </w:rPr>
            </w:pPr>
            <w:r>
              <w:rPr>
                <w:sz w:val="19"/>
              </w:rPr>
              <w:t>$300-500M</w:t>
            </w:r>
          </w:p>
        </w:tc>
      </w:tr>
      <w:tr w:rsidR="00CA7ABD" w14:paraId="12939F0F" w14:textId="77777777">
        <w:tc>
          <w:tcPr>
            <w:tcW w:w="0" w:type="auto"/>
          </w:tcPr>
          <w:p w14:paraId="6947B617" w14:textId="77777777" w:rsidR="00CA7ABD" w:rsidRDefault="00000000">
            <w:pPr>
              <w:rPr>
                <w:rFonts w:hint="eastAsia"/>
              </w:rPr>
            </w:pPr>
            <w:r>
              <w:rPr>
                <w:sz w:val="19"/>
              </w:rPr>
              <w:t>South Africa</w:t>
            </w:r>
          </w:p>
        </w:tc>
        <w:tc>
          <w:tcPr>
            <w:tcW w:w="0" w:type="auto"/>
          </w:tcPr>
          <w:p w14:paraId="7F2192BA" w14:textId="77777777" w:rsidR="00CA7ABD" w:rsidRDefault="00000000">
            <w:pPr>
              <w:rPr>
                <w:rFonts w:hint="eastAsia"/>
              </w:rPr>
            </w:pPr>
            <w:r>
              <w:rPr>
                <w:sz w:val="19"/>
              </w:rPr>
              <w:t>Infrastructure + JCC</w:t>
            </w:r>
          </w:p>
        </w:tc>
        <w:tc>
          <w:tcPr>
            <w:tcW w:w="0" w:type="auto"/>
          </w:tcPr>
          <w:p w14:paraId="4606EBDF" w14:textId="77777777" w:rsidR="00CA7ABD" w:rsidRDefault="00000000">
            <w:pPr>
              <w:rPr>
                <w:rFonts w:hint="eastAsia"/>
              </w:rPr>
            </w:pPr>
            <w:r>
              <w:rPr>
                <w:sz w:val="19"/>
              </w:rPr>
              <w:t>$500M-1B</w:t>
            </w:r>
          </w:p>
        </w:tc>
      </w:tr>
      <w:tr w:rsidR="00CA7ABD" w14:paraId="61D3F20F" w14:textId="77777777">
        <w:tc>
          <w:tcPr>
            <w:tcW w:w="0" w:type="auto"/>
            <w:shd w:val="clear" w:color="auto" w:fill="ECEFF1"/>
          </w:tcPr>
          <w:p w14:paraId="4449BC25" w14:textId="77777777" w:rsidR="00CA7ABD" w:rsidRDefault="00000000">
            <w:pPr>
              <w:rPr>
                <w:rFonts w:hint="eastAsia"/>
              </w:rPr>
            </w:pPr>
            <w:r>
              <w:rPr>
                <w:sz w:val="19"/>
              </w:rPr>
              <w:t>China (BRI)</w:t>
            </w:r>
          </w:p>
        </w:tc>
        <w:tc>
          <w:tcPr>
            <w:tcW w:w="0" w:type="auto"/>
            <w:shd w:val="clear" w:color="auto" w:fill="ECEFF1"/>
          </w:tcPr>
          <w:p w14:paraId="5BC3AC09" w14:textId="77777777" w:rsidR="00CA7ABD" w:rsidRDefault="00000000">
            <w:pPr>
              <w:rPr>
                <w:rFonts w:hint="eastAsia"/>
              </w:rPr>
            </w:pPr>
            <w:r>
              <w:rPr>
                <w:sz w:val="19"/>
              </w:rPr>
              <w:t>Infrastructure Loans</w:t>
            </w:r>
          </w:p>
        </w:tc>
        <w:tc>
          <w:tcPr>
            <w:tcW w:w="0" w:type="auto"/>
            <w:shd w:val="clear" w:color="auto" w:fill="ECEFF1"/>
          </w:tcPr>
          <w:p w14:paraId="7CABB1E1" w14:textId="77777777" w:rsidR="00CA7ABD" w:rsidRDefault="00000000">
            <w:pPr>
              <w:rPr>
                <w:rFonts w:hint="eastAsia"/>
              </w:rPr>
            </w:pPr>
            <w:r>
              <w:rPr>
                <w:sz w:val="19"/>
              </w:rPr>
              <w:t>$10-25B</w:t>
            </w:r>
          </w:p>
        </w:tc>
      </w:tr>
      <w:tr w:rsidR="00CA7ABD" w14:paraId="78019DAA" w14:textId="77777777">
        <w:tc>
          <w:tcPr>
            <w:tcW w:w="0" w:type="auto"/>
          </w:tcPr>
          <w:p w14:paraId="1AFA03E4" w14:textId="77777777" w:rsidR="00CA7ABD" w:rsidRDefault="00000000">
            <w:pPr>
              <w:rPr>
                <w:rFonts w:hint="eastAsia"/>
              </w:rPr>
            </w:pPr>
            <w:r>
              <w:rPr>
                <w:sz w:val="19"/>
              </w:rPr>
              <w:t>Russia</w:t>
            </w:r>
          </w:p>
        </w:tc>
        <w:tc>
          <w:tcPr>
            <w:tcW w:w="0" w:type="auto"/>
          </w:tcPr>
          <w:p w14:paraId="0473FE86" w14:textId="77777777" w:rsidR="00CA7ABD" w:rsidRDefault="00000000">
            <w:pPr>
              <w:rPr>
                <w:rFonts w:hint="eastAsia"/>
              </w:rPr>
            </w:pPr>
            <w:r>
              <w:rPr>
                <w:sz w:val="19"/>
              </w:rPr>
              <w:t>Nuclear + Transport</w:t>
            </w:r>
          </w:p>
        </w:tc>
        <w:tc>
          <w:tcPr>
            <w:tcW w:w="0" w:type="auto"/>
          </w:tcPr>
          <w:p w14:paraId="70F81319" w14:textId="77777777" w:rsidR="00CA7ABD" w:rsidRDefault="00000000">
            <w:pPr>
              <w:rPr>
                <w:rFonts w:hint="eastAsia"/>
              </w:rPr>
            </w:pPr>
            <w:r>
              <w:rPr>
                <w:sz w:val="19"/>
              </w:rPr>
              <w:t>$3-8B</w:t>
            </w:r>
          </w:p>
        </w:tc>
      </w:tr>
      <w:tr w:rsidR="00CA7ABD" w14:paraId="7D3CF99E" w14:textId="77777777">
        <w:tc>
          <w:tcPr>
            <w:tcW w:w="0" w:type="auto"/>
            <w:shd w:val="clear" w:color="auto" w:fill="ECEFF1"/>
          </w:tcPr>
          <w:p w14:paraId="710A7F10" w14:textId="77777777" w:rsidR="00CA7ABD" w:rsidRDefault="00000000">
            <w:pPr>
              <w:rPr>
                <w:rFonts w:hint="eastAsia"/>
              </w:rPr>
            </w:pPr>
            <w:r>
              <w:rPr>
                <w:sz w:val="19"/>
              </w:rPr>
              <w:t>AfDB (Technical)</w:t>
            </w:r>
          </w:p>
        </w:tc>
        <w:tc>
          <w:tcPr>
            <w:tcW w:w="0" w:type="auto"/>
            <w:shd w:val="clear" w:color="auto" w:fill="ECEFF1"/>
          </w:tcPr>
          <w:p w14:paraId="3AB96FD7" w14:textId="77777777" w:rsidR="00CA7ABD" w:rsidRDefault="00000000">
            <w:pPr>
              <w:rPr>
                <w:rFonts w:hint="eastAsia"/>
              </w:rPr>
            </w:pPr>
            <w:r>
              <w:rPr>
                <w:sz w:val="19"/>
              </w:rPr>
              <w:t>Fragile States Advisory</w:t>
            </w:r>
          </w:p>
        </w:tc>
        <w:tc>
          <w:tcPr>
            <w:tcW w:w="0" w:type="auto"/>
            <w:shd w:val="clear" w:color="auto" w:fill="ECEFF1"/>
          </w:tcPr>
          <w:p w14:paraId="77045BA6" w14:textId="77777777" w:rsidR="00CA7ABD" w:rsidRDefault="00000000">
            <w:pPr>
              <w:rPr>
                <w:rFonts w:hint="eastAsia"/>
              </w:rPr>
            </w:pPr>
            <w:r>
              <w:rPr>
                <w:sz w:val="19"/>
              </w:rPr>
              <w:t>$50-100M</w:t>
            </w:r>
          </w:p>
        </w:tc>
      </w:tr>
      <w:tr w:rsidR="00CA7ABD" w14:paraId="3861C2F1" w14:textId="77777777">
        <w:tc>
          <w:tcPr>
            <w:tcW w:w="0" w:type="auto"/>
          </w:tcPr>
          <w:p w14:paraId="27412E97" w14:textId="77777777" w:rsidR="00CA7ABD" w:rsidRDefault="00000000">
            <w:pPr>
              <w:rPr>
                <w:rFonts w:hint="eastAsia"/>
              </w:rPr>
            </w:pPr>
            <w:r>
              <w:rPr>
                <w:sz w:val="19"/>
              </w:rPr>
              <w:t>World Bank SPF</w:t>
            </w:r>
          </w:p>
        </w:tc>
        <w:tc>
          <w:tcPr>
            <w:tcW w:w="0" w:type="auto"/>
          </w:tcPr>
          <w:p w14:paraId="0AA52B01" w14:textId="77777777" w:rsidR="00CA7ABD" w:rsidRDefault="00000000">
            <w:pPr>
              <w:rPr>
                <w:rFonts w:hint="eastAsia"/>
              </w:rPr>
            </w:pPr>
            <w:r>
              <w:rPr>
                <w:sz w:val="19"/>
              </w:rPr>
              <w:t>Grants</w:t>
            </w:r>
          </w:p>
        </w:tc>
        <w:tc>
          <w:tcPr>
            <w:tcW w:w="0" w:type="auto"/>
          </w:tcPr>
          <w:p w14:paraId="7D6F7829" w14:textId="77777777" w:rsidR="00CA7ABD" w:rsidRDefault="00000000">
            <w:pPr>
              <w:rPr>
                <w:rFonts w:hint="eastAsia"/>
              </w:rPr>
            </w:pPr>
            <w:r>
              <w:rPr>
                <w:sz w:val="19"/>
              </w:rPr>
              <w:t>$100-300M</w:t>
            </w:r>
          </w:p>
        </w:tc>
      </w:tr>
      <w:tr w:rsidR="00CA7ABD" w14:paraId="0B22AE2C" w14:textId="77777777">
        <w:tc>
          <w:tcPr>
            <w:tcW w:w="0" w:type="auto"/>
            <w:shd w:val="clear" w:color="auto" w:fill="ECEFF1"/>
          </w:tcPr>
          <w:p w14:paraId="19806FBE" w14:textId="77777777" w:rsidR="00CA7ABD" w:rsidRDefault="00000000">
            <w:pPr>
              <w:rPr>
                <w:rFonts w:hint="eastAsia"/>
              </w:rPr>
            </w:pPr>
            <w:r>
              <w:rPr>
                <w:sz w:val="19"/>
              </w:rPr>
              <w:t>UN CERF</w:t>
            </w:r>
          </w:p>
        </w:tc>
        <w:tc>
          <w:tcPr>
            <w:tcW w:w="0" w:type="auto"/>
            <w:shd w:val="clear" w:color="auto" w:fill="ECEFF1"/>
          </w:tcPr>
          <w:p w14:paraId="6F4B9DD8" w14:textId="77777777" w:rsidR="00CA7ABD" w:rsidRDefault="00000000">
            <w:pPr>
              <w:rPr>
                <w:rFonts w:hint="eastAsia"/>
              </w:rPr>
            </w:pPr>
            <w:r>
              <w:rPr>
                <w:sz w:val="19"/>
              </w:rPr>
              <w:t>Rapid Response</w:t>
            </w:r>
          </w:p>
        </w:tc>
        <w:tc>
          <w:tcPr>
            <w:tcW w:w="0" w:type="auto"/>
            <w:shd w:val="clear" w:color="auto" w:fill="ECEFF1"/>
          </w:tcPr>
          <w:p w14:paraId="42F34ECC" w14:textId="77777777" w:rsidR="00CA7ABD" w:rsidRDefault="00000000">
            <w:pPr>
              <w:rPr>
                <w:rFonts w:hint="eastAsia"/>
              </w:rPr>
            </w:pPr>
            <w:r>
              <w:rPr>
                <w:sz w:val="19"/>
              </w:rPr>
              <w:t>$100-300M</w:t>
            </w:r>
          </w:p>
        </w:tc>
      </w:tr>
      <w:tr w:rsidR="00CA7ABD" w14:paraId="5DBF51AB" w14:textId="77777777">
        <w:tc>
          <w:tcPr>
            <w:tcW w:w="0" w:type="auto"/>
          </w:tcPr>
          <w:p w14:paraId="4C807B17" w14:textId="77777777" w:rsidR="00CA7ABD" w:rsidRDefault="00000000">
            <w:pPr>
              <w:rPr>
                <w:rFonts w:hint="eastAsia"/>
              </w:rPr>
            </w:pPr>
            <w:r>
              <w:rPr>
                <w:sz w:val="19"/>
              </w:rPr>
              <w:t>IABS</w:t>
            </w:r>
          </w:p>
        </w:tc>
        <w:tc>
          <w:tcPr>
            <w:tcW w:w="0" w:type="auto"/>
          </w:tcPr>
          <w:p w14:paraId="77FF0887" w14:textId="77777777" w:rsidR="00CA7ABD" w:rsidRDefault="00000000">
            <w:pPr>
              <w:rPr>
                <w:rFonts w:hint="eastAsia"/>
              </w:rPr>
            </w:pPr>
            <w:r>
              <w:rPr>
                <w:sz w:val="19"/>
              </w:rPr>
              <w:t>Capital Recycling</w:t>
            </w:r>
          </w:p>
        </w:tc>
        <w:tc>
          <w:tcPr>
            <w:tcW w:w="0" w:type="auto"/>
          </w:tcPr>
          <w:p w14:paraId="0DF727D2" w14:textId="77777777" w:rsidR="00CA7ABD" w:rsidRDefault="00000000">
            <w:pPr>
              <w:rPr>
                <w:rFonts w:hint="eastAsia"/>
              </w:rPr>
            </w:pPr>
            <w:r>
              <w:rPr>
                <w:sz w:val="19"/>
              </w:rPr>
              <w:t>$2-5B recycled</w:t>
            </w:r>
          </w:p>
        </w:tc>
      </w:tr>
      <w:tr w:rsidR="00CA7ABD" w14:paraId="7D39CB9E" w14:textId="77777777">
        <w:tc>
          <w:tcPr>
            <w:tcW w:w="0" w:type="auto"/>
            <w:shd w:val="clear" w:color="auto" w:fill="ECEFF1"/>
          </w:tcPr>
          <w:p w14:paraId="0FACF7AC" w14:textId="77777777" w:rsidR="00CA7ABD" w:rsidRDefault="00000000">
            <w:pPr>
              <w:rPr>
                <w:rFonts w:hint="eastAsia"/>
              </w:rPr>
            </w:pPr>
            <w:r>
              <w:rPr>
                <w:sz w:val="19"/>
              </w:rPr>
              <w:t>IsDB Green Sukuk</w:t>
            </w:r>
          </w:p>
        </w:tc>
        <w:tc>
          <w:tcPr>
            <w:tcW w:w="0" w:type="auto"/>
            <w:shd w:val="clear" w:color="auto" w:fill="ECEFF1"/>
          </w:tcPr>
          <w:p w14:paraId="79A64032" w14:textId="77777777" w:rsidR="00CA7ABD" w:rsidRDefault="00000000">
            <w:pPr>
              <w:rPr>
                <w:rFonts w:hint="eastAsia"/>
              </w:rPr>
            </w:pPr>
            <w:r>
              <w:rPr>
                <w:sz w:val="19"/>
              </w:rPr>
              <w:t>Islamic Green Finance</w:t>
            </w:r>
          </w:p>
        </w:tc>
        <w:tc>
          <w:tcPr>
            <w:tcW w:w="0" w:type="auto"/>
            <w:shd w:val="clear" w:color="auto" w:fill="ECEFF1"/>
          </w:tcPr>
          <w:p w14:paraId="79F9BFA3" w14:textId="77777777" w:rsidR="00CA7ABD" w:rsidRDefault="00000000">
            <w:pPr>
              <w:rPr>
                <w:rFonts w:hint="eastAsia"/>
              </w:rPr>
            </w:pPr>
            <w:r>
              <w:rPr>
                <w:sz w:val="19"/>
              </w:rPr>
              <w:t>$500M-1B</w:t>
            </w:r>
          </w:p>
        </w:tc>
      </w:tr>
      <w:tr w:rsidR="00CA7ABD" w14:paraId="339F6588" w14:textId="77777777">
        <w:tc>
          <w:tcPr>
            <w:tcW w:w="0" w:type="auto"/>
          </w:tcPr>
          <w:p w14:paraId="2D4572E5" w14:textId="77777777" w:rsidR="00CA7ABD" w:rsidRDefault="00000000">
            <w:pPr>
              <w:rPr>
                <w:rFonts w:hint="eastAsia"/>
              </w:rPr>
            </w:pPr>
            <w:r>
              <w:rPr>
                <w:sz w:val="19"/>
              </w:rPr>
              <w:t>Additional UN / IFIs</w:t>
            </w:r>
          </w:p>
        </w:tc>
        <w:tc>
          <w:tcPr>
            <w:tcW w:w="0" w:type="auto"/>
          </w:tcPr>
          <w:p w14:paraId="5C5596D4" w14:textId="77777777" w:rsidR="00CA7ABD" w:rsidRDefault="00000000">
            <w:pPr>
              <w:rPr>
                <w:rFonts w:hint="eastAsia"/>
              </w:rPr>
            </w:pPr>
            <w:r>
              <w:rPr>
                <w:sz w:val="19"/>
              </w:rPr>
              <w:t>Mixed</w:t>
            </w:r>
          </w:p>
        </w:tc>
        <w:tc>
          <w:tcPr>
            <w:tcW w:w="0" w:type="auto"/>
          </w:tcPr>
          <w:p w14:paraId="5A882279" w14:textId="77777777" w:rsidR="00CA7ABD" w:rsidRDefault="00000000">
            <w:pPr>
              <w:rPr>
                <w:rFonts w:hint="eastAsia"/>
              </w:rPr>
            </w:pPr>
            <w:r>
              <w:rPr>
                <w:sz w:val="19"/>
              </w:rPr>
              <w:t>$300-800M</w:t>
            </w:r>
          </w:p>
        </w:tc>
      </w:tr>
      <w:tr w:rsidR="00CA7ABD" w14:paraId="105F19E3" w14:textId="77777777">
        <w:tc>
          <w:tcPr>
            <w:tcW w:w="0" w:type="auto"/>
            <w:shd w:val="clear" w:color="auto" w:fill="ECEFF1"/>
          </w:tcPr>
          <w:p w14:paraId="0506E9A0" w14:textId="77777777" w:rsidR="00CA7ABD" w:rsidRDefault="00000000">
            <w:pPr>
              <w:rPr>
                <w:rFonts w:hint="eastAsia"/>
              </w:rPr>
            </w:pPr>
            <w:r>
              <w:rPr>
                <w:sz w:val="19"/>
              </w:rPr>
              <w:t>TOTAL APPENDIX H</w:t>
            </w:r>
          </w:p>
        </w:tc>
        <w:tc>
          <w:tcPr>
            <w:tcW w:w="0" w:type="auto"/>
            <w:shd w:val="clear" w:color="auto" w:fill="ECEFF1"/>
          </w:tcPr>
          <w:p w14:paraId="753D6315" w14:textId="77777777" w:rsidR="00CA7ABD" w:rsidRDefault="00CA7ABD">
            <w:pPr>
              <w:rPr>
                <w:rFonts w:hint="eastAsia"/>
              </w:rPr>
            </w:pPr>
          </w:p>
        </w:tc>
        <w:tc>
          <w:tcPr>
            <w:tcW w:w="0" w:type="auto"/>
            <w:shd w:val="clear" w:color="auto" w:fill="ECEFF1"/>
          </w:tcPr>
          <w:p w14:paraId="4F0F132A" w14:textId="77777777" w:rsidR="00CA7ABD" w:rsidRDefault="00000000">
            <w:pPr>
              <w:rPr>
                <w:rFonts w:hint="eastAsia"/>
              </w:rPr>
            </w:pPr>
            <w:r>
              <w:rPr>
                <w:sz w:val="19"/>
              </w:rPr>
              <w:t>$22-56B</w:t>
            </w:r>
          </w:p>
        </w:tc>
      </w:tr>
    </w:tbl>
    <w:p w14:paraId="2B70D4F6" w14:textId="77777777" w:rsidR="00CA7ABD" w:rsidRDefault="00000000">
      <w:pPr>
        <w:pStyle w:val="Heading2"/>
        <w:rPr>
          <w:rFonts w:hint="eastAsia"/>
        </w:rPr>
      </w:pPr>
      <w:r>
        <w:t>Appendix I: Country-by-Country Funding Sources</w:t>
      </w:r>
    </w:p>
    <w:p w14:paraId="22A69D63" w14:textId="77777777" w:rsidR="00CA7ABD" w:rsidRDefault="00000000">
      <w:pPr>
        <w:rPr>
          <w:rFonts w:hint="eastAsia"/>
        </w:rPr>
      </w:pPr>
      <w:r>
        <w:t>This Appendix catalogs development finance sources organized by contributor country. The RSC secretariat maintains bilateral engagement with each country through its respective development agency, embassy in Tehran or Doha, and multilateral channels. Entries include the agency name, funding type, estimated allocation for Iran, application pathway, and focus sectors.</w:t>
      </w:r>
    </w:p>
    <w:p w14:paraId="6CF0A565" w14:textId="77777777" w:rsidR="00CA7ABD" w:rsidRDefault="00000000">
      <w:pPr>
        <w:pStyle w:val="Heading3"/>
        <w:rPr>
          <w:rFonts w:hint="eastAsia"/>
        </w:rPr>
      </w:pPr>
      <w:r>
        <w:t>I.1 East Asia and Pacific</w:t>
      </w:r>
    </w:p>
    <w:p w14:paraId="67060A00" w14:textId="77777777" w:rsidR="00CA7ABD" w:rsidRDefault="00000000">
      <w:pPr>
        <w:pStyle w:val="Heading3"/>
        <w:rPr>
          <w:rFonts w:hint="eastAsia"/>
        </w:rPr>
      </w:pPr>
      <w:r>
        <w:t>Australia: Department of Foreign Affairs and Trade (DFAT)</w:t>
      </w:r>
    </w:p>
    <w:p w14:paraId="6DBA9B02" w14:textId="77777777" w:rsidR="00CA7ABD" w:rsidRDefault="00000000">
      <w:pPr>
        <w:rPr>
          <w:rFonts w:hint="eastAsia"/>
        </w:rPr>
      </w:pPr>
      <w:r>
        <w:t>Australia's ODA budget provides funding across global and humanitarian programs. DFAT channels significant funding through the UN system, the World Bank, and humanitarian organizations. Australia's development cooperation focuses on climate resilience, governance, and health security. For Iran, Australia provides support through multilateral trust funds and humanitarian channels.</w:t>
      </w:r>
    </w:p>
    <w:p w14:paraId="2AD982FB" w14:textId="77777777" w:rsidR="00CA7ABD" w:rsidRDefault="00000000">
      <w:pPr>
        <w:rPr>
          <w:rFonts w:hint="eastAsia"/>
        </w:rPr>
      </w:pPr>
      <w:r>
        <w:t>Type: Multilateral/Humanitarian | Est. Allocation: $30-50M | Application: Through DFAT global programs or multilateral trust funds | Focus: Humanitarian assistance, climate adaptation, governance restoration.</w:t>
      </w:r>
    </w:p>
    <w:p w14:paraId="75829658" w14:textId="77777777" w:rsidR="00CA7ABD" w:rsidRDefault="00000000">
      <w:pPr>
        <w:pStyle w:val="Heading3"/>
        <w:rPr>
          <w:rFonts w:hint="eastAsia"/>
        </w:rPr>
      </w:pPr>
      <w:r>
        <w:t>Azerbaijan: Bilateral Development Cooperation</w:t>
      </w:r>
    </w:p>
    <w:p w14:paraId="2DCEB2E5" w14:textId="77777777" w:rsidR="00CA7ABD" w:rsidRDefault="00000000">
      <w:pPr>
        <w:rPr>
          <w:rFonts w:hint="eastAsia"/>
        </w:rPr>
      </w:pPr>
      <w:r>
        <w:t>Azerbaijan participates in the World Bank Adaptation Fund as a developing country partner and has implemented regional climate adaptation projects in the South Caucasus and Central Asia. Azerbaijan and Iran share Caspian Sea cooperation frameworks and have collaborated on transboundary water and environmental projects.</w:t>
      </w:r>
    </w:p>
    <w:p w14:paraId="6DB1B7A8" w14:textId="77777777" w:rsidR="00CA7ABD" w:rsidRDefault="00000000">
      <w:pPr>
        <w:rPr>
          <w:rFonts w:hint="eastAsia"/>
        </w:rPr>
      </w:pPr>
      <w:r>
        <w:t>Type: Bilateral/Regional | Est. Allocation: $50-100M | Application: Through bilateral economic commissions and Adaptation Fund regional windows | Focus: Climate adaptation, transboundary water, energy infrastructure.</w:t>
      </w:r>
    </w:p>
    <w:p w14:paraId="55DF9846" w14:textId="77777777" w:rsidR="00CA7ABD" w:rsidRDefault="00000000">
      <w:pPr>
        <w:pStyle w:val="Heading3"/>
        <w:rPr>
          <w:rFonts w:hint="eastAsia"/>
        </w:rPr>
      </w:pPr>
      <w:r>
        <w:t>China: Belt and Road Initiative (BRI) and Strategic Cooperation Agreement</w:t>
      </w:r>
    </w:p>
    <w:p w14:paraId="7DE19329" w14:textId="77777777" w:rsidR="00CA7ABD" w:rsidRDefault="00000000">
      <w:pPr>
        <w:rPr>
          <w:rFonts w:hint="eastAsia"/>
        </w:rPr>
      </w:pPr>
      <w:r>
        <w:t>The 25-year Strategic Cooperation Agreement (September 2025) includes a $25 billion commitment for the Hormoz nuclear power plant. The BRI channels massive infrastructure financing for railway, port, and highway projects. Iran's transport infrastructure requires $14.5 billion annually over the next decade. The Silk Road Fund and China Development Bank provide long-term infrastructure loans. AIIB co-finances transport and energy projects.</w:t>
      </w:r>
    </w:p>
    <w:p w14:paraId="51D79503" w14:textId="77777777" w:rsidR="00CA7ABD" w:rsidRDefault="00000000">
      <w:pPr>
        <w:rPr>
          <w:rFonts w:hint="eastAsia"/>
        </w:rPr>
      </w:pPr>
      <w:r>
        <w:t>Type: Bilateral Loans/Investment | Est. Allocation: $10-25B | Application: Through bilateral project financing under the Strategic Cooperation Agreement | Focus: Transport, nuclear energy, telecommunications, power generation.</w:t>
      </w:r>
    </w:p>
    <w:p w14:paraId="567C7D83" w14:textId="77777777" w:rsidR="00CA7ABD" w:rsidRDefault="00000000">
      <w:pPr>
        <w:pStyle w:val="Heading3"/>
        <w:rPr>
          <w:rFonts w:hint="eastAsia"/>
        </w:rPr>
      </w:pPr>
      <w:r>
        <w:t>India: Export-Import Bank and Chabahar Port Development</w:t>
      </w:r>
    </w:p>
    <w:p w14:paraId="00E7FA3D" w14:textId="77777777" w:rsidR="00CA7ABD" w:rsidRDefault="00000000">
      <w:pPr>
        <w:rPr>
          <w:rFonts w:hint="eastAsia"/>
        </w:rPr>
      </w:pPr>
      <w:r>
        <w:t>India has provided approximately $120 million for the Chabahar port and invested $1 billion in Iranian infrastructure projects, including the Chabahar-Zahedan railway and the Chabahar Free Trade Zone. The India Exim Bank Buyer's Credit Facility (totalling $30 billion/INR) finances Indian equipment and services for infrastructure projects. The Export Development Fund provides credit to Iranian importers of Indian goods.</w:t>
      </w:r>
    </w:p>
    <w:p w14:paraId="5E779BFF" w14:textId="77777777" w:rsidR="00CA7ABD" w:rsidRDefault="00000000">
      <w:pPr>
        <w:rPr>
          <w:rFonts w:hint="eastAsia"/>
        </w:rPr>
      </w:pPr>
      <w:r>
        <w:t>Type: Buyer's Credit/Investment | Est. Allocation: $1-3B | Application: Through India Exim Bank credit lines and Chabahar port joint development framework | Focus: Ports, railways, transport, energy infrastructure, agricultural trade.</w:t>
      </w:r>
    </w:p>
    <w:p w14:paraId="2DA87B6D" w14:textId="77777777" w:rsidR="00CA7ABD" w:rsidRDefault="00000000">
      <w:pPr>
        <w:pStyle w:val="Heading3"/>
        <w:rPr>
          <w:rFonts w:hint="eastAsia"/>
        </w:rPr>
      </w:pPr>
      <w:r>
        <w:t>Indonesia: Islamic Finance and BRICS Cooperation</w:t>
      </w:r>
    </w:p>
    <w:p w14:paraId="3393D838" w14:textId="77777777" w:rsidR="00CA7ABD" w:rsidRDefault="00000000">
      <w:pPr>
        <w:rPr>
          <w:rFonts w:hint="eastAsia"/>
        </w:rPr>
      </w:pPr>
      <w:r>
        <w:t>Indonesia is the world's largest Muslim-majority nation and a BRICS member. The Green Sukuk program has raised over $3.5 billion for renewable energy, sustainable transport, and climate adaptation. Indonesia Eximbank provides Shari'ah-compliant project finance.</w:t>
      </w:r>
    </w:p>
    <w:p w14:paraId="49DAAB18" w14:textId="77777777" w:rsidR="00CA7ABD" w:rsidRDefault="00000000">
      <w:pPr>
        <w:rPr>
          <w:rFonts w:hint="eastAsia"/>
        </w:rPr>
      </w:pPr>
      <w:r>
        <w:t>Type: Islamic Finance/Technical | Est. Allocation: $500M-1B | Application: Through bilateral development cooperation and Islamic finance advisory | Focus: Green Sukuk structuring, renewable energy, climate adaptation.</w:t>
      </w:r>
    </w:p>
    <w:p w14:paraId="64E28DE2" w14:textId="77777777" w:rsidR="00CA7ABD" w:rsidRDefault="00000000">
      <w:pPr>
        <w:pStyle w:val="Heading3"/>
        <w:rPr>
          <w:rFonts w:hint="eastAsia"/>
        </w:rPr>
      </w:pPr>
      <w:r>
        <w:t>Japan: Japan International Cooperation Agency (JICA)</w:t>
      </w:r>
    </w:p>
    <w:p w14:paraId="626A12F5" w14:textId="77777777" w:rsidR="00CA7ABD" w:rsidRDefault="00000000">
      <w:pPr>
        <w:rPr>
          <w:rFonts w:hint="eastAsia"/>
        </w:rPr>
      </w:pPr>
      <w:r>
        <w:t>Japan holds approximately $3 billion in frozen Iranian trade credits eligible for the Frozen Asset Conversion Protocol. JICA implements Japan's ODA through concessional loans, grants, and technical cooperation. JICA maintains expertise in infrastructure development, disaster resilience, energy efficiency, and water resource management.</w:t>
      </w:r>
    </w:p>
    <w:p w14:paraId="1A662483" w14:textId="77777777" w:rsidR="00CA7ABD" w:rsidRDefault="00000000">
      <w:pPr>
        <w:rPr>
          <w:rFonts w:hint="eastAsia"/>
        </w:rPr>
      </w:pPr>
      <w:r>
        <w:t>Type: Concessional Loans/Grants/TA | Est. Allocation: $3-6B (including frozen assets) | Application: Through JICA preliminary survey and project formulation | Focus: Infrastructure, disaster resilience, energy, water management.</w:t>
      </w:r>
    </w:p>
    <w:p w14:paraId="5B937175" w14:textId="77777777" w:rsidR="00CA7ABD" w:rsidRDefault="00000000">
      <w:pPr>
        <w:pStyle w:val="Heading3"/>
        <w:rPr>
          <w:rFonts w:hint="eastAsia"/>
        </w:rPr>
      </w:pPr>
      <w:r>
        <w:t>Kazakhstan: KazAID and Central Asia Cooperation</w:t>
      </w:r>
    </w:p>
    <w:p w14:paraId="4274745D" w14:textId="77777777" w:rsidR="00CA7ABD" w:rsidRDefault="00000000">
      <w:pPr>
        <w:rPr>
          <w:rFonts w:hint="eastAsia"/>
        </w:rPr>
      </w:pPr>
      <w:r>
        <w:t>Kazakhstan and Iran are both members of the OIC, the ECO, and the SCO. Kazakhstan operates KazAID as its official development assistance agency with a mandate for technical assistance, education, and regional development. Kazakhstan's ODA reached US$50.4 million in 2024, with 83.9% delivered bilaterally. Kazakhstan committed approximately US$500 million for a Kazakhstan-Turkmenistan-Afghanistan railway through the Islamic Development Bank. Kazakhstan and Iran are key partners in the International North-South Transport Corridor (INSTC), which recorded a 53% traffic increase in 2025. See also Appendix I Section I.7 for Kazakhstan's sovereign wealth fund, development bank, and bilateral investment framework.</w:t>
      </w:r>
    </w:p>
    <w:p w14:paraId="08A0EBFB" w14:textId="77777777" w:rsidR="00CA7ABD" w:rsidRDefault="00000000">
      <w:pPr>
        <w:rPr>
          <w:rFonts w:hint="eastAsia"/>
        </w:rPr>
      </w:pPr>
      <w:r>
        <w:t>Type: Technical Assistance / Regional Loans / INSTC Corridor Finance | Est. Allocation: $200-500M | Application: Through KazAID, IsDB regional programs, and INSTC intergovernmental agreements | Focus: Transport corridors, regional connectivity, technical assistance, co-investment in corridor infrastructure.</w:t>
      </w:r>
    </w:p>
    <w:p w14:paraId="2089A7A5" w14:textId="77777777" w:rsidR="00CA7ABD" w:rsidRDefault="00000000">
      <w:pPr>
        <w:pStyle w:val="Heading3"/>
        <w:rPr>
          <w:rFonts w:hint="eastAsia"/>
        </w:rPr>
      </w:pPr>
      <w:r>
        <w:t>Malaysia: Islamic Finance and Sukuk Expertise</w:t>
      </w:r>
    </w:p>
    <w:p w14:paraId="5BF125E7" w14:textId="77777777" w:rsidR="00CA7ABD" w:rsidRDefault="00000000">
      <w:pPr>
        <w:rPr>
          <w:rFonts w:hint="eastAsia"/>
        </w:rPr>
      </w:pPr>
      <w:r>
        <w:t>Malaysia is a global leader in Islamic finance and sukuk issuance, with the world's largest sukuk market. Malaysia Issued Investment Development Authority (MIDA) promotes outward investment. The Malaysian Islamic finance sector provides expertise in structuring Shari'ah-compliant infrastructure finance instruments applicable to Iranian reconstruction.</w:t>
      </w:r>
    </w:p>
    <w:p w14:paraId="4D47FB44" w14:textId="77777777" w:rsidR="00CA7ABD" w:rsidRDefault="00000000">
      <w:pPr>
        <w:rPr>
          <w:rFonts w:hint="eastAsia"/>
        </w:rPr>
      </w:pPr>
      <w:r>
        <w:t>Type: Islamic Finance Advisory/Technical | Est. Allocation: $200-500M | Application: Through bilateral Islamic finance cooperation and MIDA investment promotion | Focus: Sukuk structuring, Islamic project finance, technical assistance.</w:t>
      </w:r>
    </w:p>
    <w:p w14:paraId="5D7F2C34" w14:textId="77777777" w:rsidR="00CA7ABD" w:rsidRDefault="00000000">
      <w:pPr>
        <w:pStyle w:val="Heading3"/>
        <w:rPr>
          <w:rFonts w:hint="eastAsia"/>
        </w:rPr>
      </w:pPr>
      <w:r>
        <w:t>New Zealand: Ministry of Foreign Affairs and Trade (MFAT)</w:t>
      </w:r>
    </w:p>
    <w:p w14:paraId="72CFB22F" w14:textId="77777777" w:rsidR="00CA7ABD" w:rsidRDefault="00000000">
      <w:pPr>
        <w:rPr>
          <w:rFonts w:hint="eastAsia"/>
        </w:rPr>
      </w:pPr>
      <w:r>
        <w:t>New Zealand's International Development Cooperation Programme operates on a three-year triennium with total funding of NZD 3.06 billion for 2024-2027. MFAT provides humanitarian assistance through the UN system, ICRC, and international NGOs. New Zealand channels funding through multilateral trust funds.</w:t>
      </w:r>
    </w:p>
    <w:p w14:paraId="24F3B979" w14:textId="77777777" w:rsidR="00CA7ABD" w:rsidRDefault="00000000">
      <w:pPr>
        <w:rPr>
          <w:rFonts w:hint="eastAsia"/>
        </w:rPr>
      </w:pPr>
      <w:r>
        <w:t>Type: Humanitarian/Multilateral | Est. Allocation: $20-40M | Application: Through multilateral trust funds and humanitarian channels | Focus: Humanitarian assistance, climate adaptation, governance.</w:t>
      </w:r>
    </w:p>
    <w:p w14:paraId="351F2F4C" w14:textId="77777777" w:rsidR="00CA7ABD" w:rsidRDefault="00000000">
      <w:pPr>
        <w:pStyle w:val="Heading3"/>
        <w:rPr>
          <w:rFonts w:hint="eastAsia"/>
        </w:rPr>
      </w:pPr>
      <w:r>
        <w:t>Pakistan: Joint Economic Commission and Bilateral Cooperation</w:t>
      </w:r>
    </w:p>
    <w:p w14:paraId="0866565F" w14:textId="77777777" w:rsidR="00CA7ABD" w:rsidRDefault="00000000">
      <w:pPr>
        <w:rPr>
          <w:rFonts w:hint="eastAsia"/>
        </w:rPr>
      </w:pPr>
      <w:r>
        <w:t>Pakistan and Iran maintain a Joint Economic Committee (JEC) with a bilateral trade target of $10 billion. The Iran-Pakistan Gas Pipeline (Peace Pipeline) is a major bilateral infrastructure project. Pakistan offers technical cooperation in agriculture, rural development, and low-cost construction methodologies applicable to Iranian reconstruction.</w:t>
      </w:r>
    </w:p>
    <w:p w14:paraId="590C333B" w14:textId="77777777" w:rsidR="00CA7ABD" w:rsidRDefault="00000000">
      <w:pPr>
        <w:rPr>
          <w:rFonts w:hint="eastAsia"/>
        </w:rPr>
      </w:pPr>
      <w:r>
        <w:t>Type: Bilateral/Regional | Est. Allocation: $200-500M | Application: Through JEC mechanisms and bilateral project agreements | Focus: Transport corridors, energy infrastructure, agriculture, rural development.</w:t>
      </w:r>
    </w:p>
    <w:p w14:paraId="44164B87" w14:textId="77777777" w:rsidR="00CA7ABD" w:rsidRDefault="00000000">
      <w:pPr>
        <w:pStyle w:val="Heading3"/>
        <w:rPr>
          <w:rFonts w:hint="eastAsia"/>
        </w:rPr>
      </w:pPr>
      <w:r>
        <w:t>Singapore: Temasek and GIC Sovereign Investment</w:t>
      </w:r>
    </w:p>
    <w:p w14:paraId="265C65DE" w14:textId="77777777" w:rsidR="00CA7ABD" w:rsidRDefault="00000000">
      <w:pPr>
        <w:rPr>
          <w:rFonts w:hint="eastAsia"/>
        </w:rPr>
      </w:pPr>
      <w:r>
        <w:t>GIC manages Singapore's sovereign wealth with a diversified global portfolio. GIC deployed over $13.7 billion in digitalization and AI-related infrastructure in 2025 alone. GIC has stated interest in energy transition infrastructure and sustainable development projects. GIC participates through direct investment or co-investment arrangements with the MRF.</w:t>
      </w:r>
    </w:p>
    <w:p w14:paraId="41BCB7BC" w14:textId="77777777" w:rsidR="00CA7ABD" w:rsidRDefault="00000000">
      <w:pPr>
        <w:rPr>
          <w:rFonts w:hint="eastAsia"/>
        </w:rPr>
      </w:pPr>
      <w:r>
        <w:t>Type: Sovereign Investment/Co-investment | Est. Allocation: $500M-2B | Application: Through direct investment or co-investment with MRF contributors | Focus: Infrastructure, energy transition, sustainable development.</w:t>
      </w:r>
    </w:p>
    <w:p w14:paraId="7FE18913" w14:textId="77777777" w:rsidR="00CA7ABD" w:rsidRDefault="00000000">
      <w:pPr>
        <w:pStyle w:val="Heading3"/>
        <w:rPr>
          <w:rFonts w:hint="eastAsia"/>
        </w:rPr>
      </w:pPr>
      <w:r>
        <w:t>South Korea: Economic Development Cooperation Fund (EDCF)</w:t>
      </w:r>
    </w:p>
    <w:p w14:paraId="0A549FAF" w14:textId="77777777" w:rsidR="00CA7ABD" w:rsidRDefault="00000000">
      <w:pPr>
        <w:rPr>
          <w:rFonts w:hint="eastAsia"/>
        </w:rPr>
      </w:pPr>
      <w:r>
        <w:t>South Korea established a dedicated "Korea-Middle East Comprehensive Economic Cooperation Team" for post-war reconstruction. Seoul confirmed active preparation for post-war reconstruction. Korea holds approximately $6 billion in frozen Iranian oil payments. Korean construction firms (Samsung C&amp;T, Hyundai E&amp;C, POSCO E&amp;C, Daewoo E&amp;C) are world leaders in post-conflict rebuilding.</w:t>
      </w:r>
    </w:p>
    <w:p w14:paraId="6B7EA0C3" w14:textId="77777777" w:rsidR="00CA7ABD" w:rsidRDefault="00000000">
      <w:pPr>
        <w:rPr>
          <w:rFonts w:hint="eastAsia"/>
        </w:rPr>
      </w:pPr>
      <w:r>
        <w:t>Type: Concessional Loans/Frozen Assets | Est. Allocation: $3-8B | Application: Through KEXIM credit lines, EDCF, and Frozen Asset Conversion Protocol | Focus: Transport, power generation, water treatment, telecommunications, hospitals.</w:t>
      </w:r>
    </w:p>
    <w:p w14:paraId="73EA4EC6" w14:textId="77777777" w:rsidR="00CA7ABD" w:rsidRDefault="00000000">
      <w:pPr>
        <w:pStyle w:val="Heading3"/>
        <w:rPr>
          <w:rFonts w:hint="eastAsia"/>
        </w:rPr>
      </w:pPr>
      <w:r>
        <w:t>Thailand: Thailand International Development Cooperation Agency (TICA)</w:t>
      </w:r>
    </w:p>
    <w:p w14:paraId="7EDCFE88" w14:textId="77777777" w:rsidR="00CA7ABD" w:rsidRDefault="00000000">
      <w:pPr>
        <w:rPr>
          <w:rFonts w:hint="eastAsia"/>
        </w:rPr>
      </w:pPr>
      <w:r>
        <w:t>Thailand provided USD 67.9 million of ODA in 2023 through TICA. TICA focuses on health security, job security, food security, and energy/environmental security. The Neighbouring Countries Economic Development Cooperation Agency (NEDA) provides concessional loans for connectivity projects. The Export-Import Bank of Thailand offers concessional loans to developing countries.</w:t>
      </w:r>
    </w:p>
    <w:p w14:paraId="7F1DAA4D" w14:textId="77777777" w:rsidR="00CA7ABD" w:rsidRDefault="00000000">
      <w:pPr>
        <w:rPr>
          <w:rFonts w:hint="eastAsia"/>
        </w:rPr>
      </w:pPr>
      <w:r>
        <w:t>Type: Technical Assistance/Concessional Loans | Est. Allocation: $50-100M | Application: Through TICA technical cooperation and NEDA connectivity loans | Focus: Health security, food security, energy, transport connectivity.</w:t>
      </w:r>
    </w:p>
    <w:p w14:paraId="301B58C4" w14:textId="77777777" w:rsidR="00CA7ABD" w:rsidRDefault="00000000">
      <w:pPr>
        <w:pStyle w:val="Heading3"/>
        <w:rPr>
          <w:rFonts w:hint="eastAsia"/>
        </w:rPr>
      </w:pPr>
      <w:r>
        <w:t>Vietnam: Bilateral Cooperation and South-South Exchange</w:t>
      </w:r>
    </w:p>
    <w:p w14:paraId="2429165F" w14:textId="77777777" w:rsidR="00CA7ABD" w:rsidRDefault="00000000">
      <w:pPr>
        <w:rPr>
          <w:rFonts w:hint="eastAsia"/>
        </w:rPr>
      </w:pPr>
      <w:r>
        <w:t>Vietnam and Iran celebrated 50 years of diplomatic relations in 2023. Vietnam offers South-South cooperation expertise in post-sanctions economic recovery, having transformed from a war-torn, isolated nation to a $410 billion GDP economy ranked 48th globally. Vietnam provides technical cooperation in agricultural development, ICT, and post-conflict economic transition.</w:t>
      </w:r>
    </w:p>
    <w:p w14:paraId="574BF2B5" w14:textId="77777777" w:rsidR="00CA7ABD" w:rsidRDefault="00000000">
      <w:pPr>
        <w:rPr>
          <w:rFonts w:hint="eastAsia"/>
        </w:rPr>
      </w:pPr>
      <w:r>
        <w:t>Type: Technical Assistance/South-South | Est. Allocation: $50-100M | Application: Through bilateral cooperation frameworks and Inter-Governmental Committee | Focus: Agricultural technology, ICT, economic transition expertise.</w:t>
      </w:r>
    </w:p>
    <w:p w14:paraId="17AAEC70" w14:textId="77777777" w:rsidR="00CA7ABD" w:rsidRDefault="00000000">
      <w:pPr>
        <w:pStyle w:val="Heading3"/>
        <w:rPr>
          <w:rFonts w:hint="eastAsia"/>
        </w:rPr>
      </w:pPr>
      <w:r>
        <w:t>I.2 Europe and North America (OECD DAC Donors)</w:t>
      </w:r>
    </w:p>
    <w:p w14:paraId="133D40A2" w14:textId="77777777" w:rsidR="00CA7ABD" w:rsidRDefault="00000000">
      <w:pPr>
        <w:rPr>
          <w:rFonts w:hint="eastAsia"/>
        </w:rPr>
      </w:pPr>
      <w:r>
        <w:t>The following countries are members of the OECD Development Assistance Committee (DAC) and maintain official development assistance programs. Many channel funding through multilateral institutions and humanitarian organizations rather than direct bilateral programs for Iran.</w:t>
      </w:r>
    </w:p>
    <w:p w14:paraId="2FE54651" w14:textId="77777777" w:rsidR="00CA7ABD" w:rsidRDefault="00000000">
      <w:pPr>
        <w:pStyle w:val="Heading3"/>
        <w:rPr>
          <w:rFonts w:hint="eastAsia"/>
        </w:rPr>
      </w:pPr>
      <w:r>
        <w:t>Austria: Austrian Development Agency (ADA)</w:t>
      </w:r>
    </w:p>
    <w:p w14:paraId="09C76580" w14:textId="77777777" w:rsidR="00CA7ABD" w:rsidRDefault="00000000">
      <w:pPr>
        <w:rPr>
          <w:rFonts w:hint="eastAsia"/>
        </w:rPr>
      </w:pPr>
      <w:r>
        <w:t>Austria provided USD 2.1 billion in ODA in 2023 (0.87% of GNI). ADA focuses on water, energy, private sector development, and peace/security. Austria channels significant funding through multilateral organizations and humanitarian agencies.</w:t>
      </w:r>
    </w:p>
    <w:p w14:paraId="418D8B55" w14:textId="77777777" w:rsidR="00CA7ABD" w:rsidRDefault="00000000">
      <w:pPr>
        <w:rPr>
          <w:rFonts w:hint="eastAsia"/>
        </w:rPr>
      </w:pPr>
      <w:r>
        <w:t>Type: Multilateral/Humanitarian | Est. Allocation: $20-40M | Application: Through multilateral trust funds and UN agencies | Focus: Water, energy, humanitarian assistance.</w:t>
      </w:r>
    </w:p>
    <w:p w14:paraId="6E271FAE" w14:textId="77777777" w:rsidR="00CA7ABD" w:rsidRDefault="00000000">
      <w:pPr>
        <w:pStyle w:val="Heading3"/>
        <w:rPr>
          <w:rFonts w:hint="eastAsia"/>
        </w:rPr>
      </w:pPr>
      <w:r>
        <w:t>Belgium: Directorate-General for Development Cooperation (DGD)</w:t>
      </w:r>
    </w:p>
    <w:p w14:paraId="6DF75450" w14:textId="77777777" w:rsidR="00CA7ABD" w:rsidRDefault="00000000">
      <w:pPr>
        <w:rPr>
          <w:rFonts w:hint="eastAsia"/>
        </w:rPr>
      </w:pPr>
      <w:r>
        <w:t>Belgium provided USD 2.8 billion in ODA in 2023 (0.45% of GNI). Belgium channels the majority of its development spending through multilateral institutions and prioritizes humanitarian assistance, education, and health.</w:t>
      </w:r>
    </w:p>
    <w:p w14:paraId="446A75E0" w14:textId="77777777" w:rsidR="00CA7ABD" w:rsidRDefault="00000000">
      <w:pPr>
        <w:rPr>
          <w:rFonts w:hint="eastAsia"/>
        </w:rPr>
      </w:pPr>
      <w:r>
        <w:t>Type: Multilateral/Humanitarian | Est. Allocation: $30-60M | Application: Through Belgian Development Cooperation multilateral channels | Focus: Humanitarian assistance, health, education.</w:t>
      </w:r>
    </w:p>
    <w:p w14:paraId="4338F31C" w14:textId="77777777" w:rsidR="00CA7ABD" w:rsidRDefault="00000000">
      <w:pPr>
        <w:pStyle w:val="Heading3"/>
        <w:rPr>
          <w:rFonts w:hint="eastAsia"/>
        </w:rPr>
      </w:pPr>
      <w:r>
        <w:t>Czech Republic: Czech Development Agency (CzDA)</w:t>
      </w:r>
    </w:p>
    <w:p w14:paraId="7AD33FC0" w14:textId="77777777" w:rsidR="00CA7ABD" w:rsidRDefault="00000000">
      <w:pPr>
        <w:rPr>
          <w:rFonts w:hint="eastAsia"/>
        </w:rPr>
      </w:pPr>
      <w:r>
        <w:t>The Czech Republic provided USD 437 million in ODA in 2023 (0.13% of GNI). CzDA focuses on private sector development, education, agriculture, and good governance. The Czech Republic participates in EU joint programming for reconstruction assistance.</w:t>
      </w:r>
    </w:p>
    <w:p w14:paraId="1541AD00" w14:textId="77777777" w:rsidR="00CA7ABD" w:rsidRDefault="00000000">
      <w:pPr>
        <w:rPr>
          <w:rFonts w:hint="eastAsia"/>
        </w:rPr>
      </w:pPr>
      <w:r>
        <w:t>Type: EU Joint Programming | Est. Allocation: $10-20M | Application: Through EU joint programming and multilateral channels | Focus: Private sector, governance, education.</w:t>
      </w:r>
    </w:p>
    <w:p w14:paraId="1396A368" w14:textId="77777777" w:rsidR="00CA7ABD" w:rsidRDefault="00000000">
      <w:pPr>
        <w:pStyle w:val="Heading3"/>
        <w:rPr>
          <w:rFonts w:hint="eastAsia"/>
        </w:rPr>
      </w:pPr>
      <w:r>
        <w:t>Denmark: Danida</w:t>
      </w:r>
    </w:p>
    <w:p w14:paraId="15078E6C" w14:textId="77777777" w:rsidR="00CA7ABD" w:rsidRDefault="00000000">
      <w:pPr>
        <w:rPr>
          <w:rFonts w:hint="eastAsia"/>
        </w:rPr>
      </w:pPr>
      <w:r>
        <w:t>Denmark provided USD 3.1 billion in ODA in 2023 (0.74% of GNI). Denmark channels over 70% of bilateral ODA through multilateral organizations. Focus areas include green growth, democracy, humanitarian assistance, and migration.</w:t>
      </w:r>
    </w:p>
    <w:p w14:paraId="5DEF7D34" w14:textId="77777777" w:rsidR="00CA7ABD" w:rsidRDefault="00000000">
      <w:pPr>
        <w:rPr>
          <w:rFonts w:hint="eastAsia"/>
        </w:rPr>
      </w:pPr>
      <w:r>
        <w:t>Type: Multilateral/Humanitarian | Est. Allocation: $30-60M | Application: Through Danida multilateral trust funds and humanitarian channels | Focus: Climate, governance, humanitarian assistance.</w:t>
      </w:r>
    </w:p>
    <w:p w14:paraId="47A32808" w14:textId="77777777" w:rsidR="00CA7ABD" w:rsidRDefault="00000000">
      <w:pPr>
        <w:pStyle w:val="Heading3"/>
        <w:rPr>
          <w:rFonts w:hint="eastAsia"/>
        </w:rPr>
      </w:pPr>
      <w:r>
        <w:t>Finland: Ministry for Foreign Affairs Development Policy</w:t>
      </w:r>
    </w:p>
    <w:p w14:paraId="59438336" w14:textId="77777777" w:rsidR="00CA7ABD" w:rsidRDefault="00000000">
      <w:pPr>
        <w:rPr>
          <w:rFonts w:hint="eastAsia"/>
        </w:rPr>
      </w:pPr>
      <w:r>
        <w:t>Finland provided USD 1.3 billion in ODA in 2023 (0.43% of GNI). Finland prioritizes gender equality, education, peacebuilding, and climate action. Finnish development cooperation channels significant funding through the UN system and World Bank.</w:t>
      </w:r>
    </w:p>
    <w:p w14:paraId="0E0D9353" w14:textId="77777777" w:rsidR="00CA7ABD" w:rsidRDefault="00000000">
      <w:pPr>
        <w:rPr>
          <w:rFonts w:hint="eastAsia"/>
        </w:rPr>
      </w:pPr>
      <w:r>
        <w:t>Type: Multilateral | Est. Allocation: $20-40M | Application: Through UN and World Bank trust funds | Focus: Peacebuilding, education, climate.</w:t>
      </w:r>
    </w:p>
    <w:p w14:paraId="39D98F6D" w14:textId="77777777" w:rsidR="00CA7ABD" w:rsidRDefault="00000000">
      <w:pPr>
        <w:pStyle w:val="Heading3"/>
        <w:rPr>
          <w:rFonts w:hint="eastAsia"/>
        </w:rPr>
      </w:pPr>
      <w:r>
        <w:t>Germany: KfW Development Bank and GIZ</w:t>
      </w:r>
    </w:p>
    <w:p w14:paraId="6A600BE2" w14:textId="77777777" w:rsidR="00CA7ABD" w:rsidRDefault="00000000">
      <w:pPr>
        <w:rPr>
          <w:rFonts w:hint="eastAsia"/>
        </w:rPr>
      </w:pPr>
      <w:r>
        <w:t>Germany is the second-largest DAC donor with USD 37.8 billion in ODA in 2023 (0.79% of GNI). KfW provides concessional loans and grants for infrastructure, energy, water, and financial systems. GIZ delivers advisory services, capacity building, and technical expertise. KfW commitments for reconstruction contexts typically range from EUR 200 million to EUR 1 billion per country program.</w:t>
      </w:r>
    </w:p>
    <w:p w14:paraId="01B4BB4A" w14:textId="77777777" w:rsidR="00CA7ABD" w:rsidRDefault="00000000">
      <w:pPr>
        <w:rPr>
          <w:rFonts w:hint="eastAsia"/>
        </w:rPr>
      </w:pPr>
      <w:r>
        <w:t>Type: Concessional Loans/Grants/TA | Est. Allocation: $1-3B | Application: Through government-to-government request to BMZ | Focus: Energy, water, sustainable infrastructure, vocational training, governance.</w:t>
      </w:r>
    </w:p>
    <w:p w14:paraId="0D81C5BA" w14:textId="77777777" w:rsidR="00CA7ABD" w:rsidRDefault="00000000">
      <w:pPr>
        <w:pStyle w:val="Heading3"/>
        <w:rPr>
          <w:rFonts w:hint="eastAsia"/>
        </w:rPr>
      </w:pPr>
      <w:r>
        <w:t>Greece: Hellenic Aid</w:t>
      </w:r>
    </w:p>
    <w:p w14:paraId="468B1AC2" w14:textId="77777777" w:rsidR="00CA7ABD" w:rsidRDefault="00000000">
      <w:pPr>
        <w:rPr>
          <w:rFonts w:hint="eastAsia"/>
        </w:rPr>
      </w:pPr>
      <w:r>
        <w:t>Greece provided USD 360 million in ODA in 2023 (0.14% of GNI). Greece channels development cooperation through multilateral organizations and the EU. Greece participates in EU joint programming for humanitarian assistance and refugee support.</w:t>
      </w:r>
    </w:p>
    <w:p w14:paraId="618E5912" w14:textId="77777777" w:rsidR="00CA7ABD" w:rsidRDefault="00000000">
      <w:pPr>
        <w:rPr>
          <w:rFonts w:hint="eastAsia"/>
        </w:rPr>
      </w:pPr>
      <w:r>
        <w:t>Type: EU Joint Programming | Est. Allocation: $10-20M | Application: Through EU joint programming | Focus: Humanitarian assistance, refugee support.</w:t>
      </w:r>
    </w:p>
    <w:p w14:paraId="2CFBE427" w14:textId="77777777" w:rsidR="00CA7ABD" w:rsidRDefault="00000000">
      <w:pPr>
        <w:pStyle w:val="Heading3"/>
        <w:rPr>
          <w:rFonts w:hint="eastAsia"/>
        </w:rPr>
      </w:pPr>
      <w:r>
        <w:t>Hungary: Hungary Helps Program / Eximbank / Demjan Sandor Program</w:t>
      </w:r>
    </w:p>
    <w:p w14:paraId="566C7320" w14:textId="77777777" w:rsidR="00CA7ABD" w:rsidRDefault="00000000">
      <w:pPr>
        <w:rPr>
          <w:rFonts w:hint="eastAsia"/>
        </w:rPr>
      </w:pPr>
      <w:r>
        <w:t>Hungary's ODA declined from 0.13% of GNI in 2024 to an estimated 0.09% in 2025, with total bilateral ODA of approximately $221 million in 2023. Hungary channels 80% of its ODA bilaterally, with 48% spent on scholarships and training in Hungary. Hungary holds a unique position as the only EU member state maintaining an active Joint Economic Commission (JEC) with Iran. Prime Minister Viktor Orban visited Tehran in 2015, resulting in 10 MOUs covering economic, political, cultural, scientific, and tourism cooperation.</w:t>
      </w:r>
    </w:p>
    <w:p w14:paraId="19896CFE" w14:textId="77777777" w:rsidR="00CA7ABD" w:rsidRDefault="00000000">
      <w:pPr>
        <w:rPr>
          <w:rFonts w:hint="eastAsia"/>
        </w:rPr>
      </w:pPr>
      <w:r>
        <w:t>The Hungary Helps Program serves as the primary vehicle for humanitarian and development aid, with an average annual budget of EUR7.5 million (HUF3 billion). The Program focuses on: humanitarian aid in disasters and conflicts, post-war reconstruction (housing, schools, hospitals, cultural heritage), support for persecuted Christian communities, and migration root cause prevention. Hungary contributes approximately $58.3 million to multilateral organizations (EU institutions, UN system, World Bank), representing about 20% of its ODA.</w:t>
      </w:r>
    </w:p>
    <w:p w14:paraId="482701FF" w14:textId="77777777" w:rsidR="00CA7ABD" w:rsidRDefault="00000000">
      <w:pPr>
        <w:rPr>
          <w:rFonts w:hint="eastAsia"/>
        </w:rPr>
      </w:pPr>
      <w:r>
        <w:t>The Export-Import Bank of Hungary (Eximbank) operates a EUR750 million syndicated facility providing extensive financing for Hungarian companies' exports and investments. The Demjan Sandor Program, part of the broader Economic Action Plan, makes HUF350 billion (approximately EUR940 million) in loans available to support Hungarian SMEs entering new export markets or investing abroad.</w:t>
      </w:r>
    </w:p>
    <w:p w14:paraId="1B84768B" w14:textId="77777777" w:rsidR="00CA7ABD" w:rsidRDefault="00000000">
      <w:pPr>
        <w:rPr>
          <w:rFonts w:hint="eastAsia"/>
        </w:rPr>
      </w:pPr>
      <w:r>
        <w:t>Type: Grant/Humanitarian/Concessional Loans | Est. Allocation: $50-150M | Application: Through Hungary Helps bilateral channels, Eximbank syndicated facility, and Demjan Sandor Program for SME export financing | Focus: Post-conflict reconstruction, housing, healthcare, education, cultural heritage, Hungarian SME participation in MRF procurement.</w:t>
      </w:r>
    </w:p>
    <w:p w14:paraId="43C48358" w14:textId="77777777" w:rsidR="00CA7ABD" w:rsidRDefault="00000000">
      <w:pPr>
        <w:pStyle w:val="Heading3"/>
        <w:rPr>
          <w:rFonts w:hint="eastAsia"/>
        </w:rPr>
      </w:pPr>
      <w:r>
        <w:t>Iceland: Icelandic International Development Agency (ICEIDA)</w:t>
      </w:r>
    </w:p>
    <w:p w14:paraId="64EFA06E" w14:textId="77777777" w:rsidR="00CA7ABD" w:rsidRDefault="00000000">
      <w:pPr>
        <w:rPr>
          <w:rFonts w:hint="eastAsia"/>
        </w:rPr>
      </w:pPr>
      <w:r>
        <w:t>Iceland provided USD 102 million in ODA in 2023 (0.36% of GNI). ICEIDA focuses on fisheries, geothermal energy, gender equality, and education. Iceland's geothermal energy expertise is directly applicable to Iranian energy reconstruction.</w:t>
      </w:r>
    </w:p>
    <w:p w14:paraId="57EA9784" w14:textId="77777777" w:rsidR="00CA7ABD" w:rsidRDefault="00000000">
      <w:pPr>
        <w:rPr>
          <w:rFonts w:hint="eastAsia"/>
        </w:rPr>
      </w:pPr>
      <w:r>
        <w:t>Type: Technical Assistance | Est. Allocation: $5-15M | Application: Through bilateral technical cooperation | Focus: Geothermal energy, fisheries, gender equality.</w:t>
      </w:r>
    </w:p>
    <w:p w14:paraId="5DC390F2" w14:textId="77777777" w:rsidR="00CA7ABD" w:rsidRDefault="00000000">
      <w:pPr>
        <w:pStyle w:val="Heading3"/>
        <w:rPr>
          <w:rFonts w:hint="eastAsia"/>
        </w:rPr>
      </w:pPr>
      <w:r>
        <w:t>Ireland: Irish Aid</w:t>
      </w:r>
    </w:p>
    <w:p w14:paraId="329C86A1" w14:textId="77777777" w:rsidR="00CA7ABD" w:rsidRDefault="00000000">
      <w:pPr>
        <w:rPr>
          <w:rFonts w:hint="eastAsia"/>
        </w:rPr>
      </w:pPr>
      <w:r>
        <w:t>Ireland provided USD 2.9 billion in ODA in 2023 (0.82% of GNI). Irish Aid focuses on humanitarian assistance, hunger reduction, education, and health. Ireland channels the majority of its development spending through the UN system, NGOs, and multilateral institutions.</w:t>
      </w:r>
    </w:p>
    <w:p w14:paraId="39E5ABDA" w14:textId="77777777" w:rsidR="00CA7ABD" w:rsidRDefault="00000000">
      <w:pPr>
        <w:rPr>
          <w:rFonts w:hint="eastAsia"/>
        </w:rPr>
      </w:pPr>
      <w:r>
        <w:t>Type: Humanitarian | Est. Allocation: $30-60M | Application: Through multilateral trust funds and humanitarian organizations | Focus: Humanitarian assistance, food security, health.</w:t>
      </w:r>
    </w:p>
    <w:p w14:paraId="3AFE8A1C" w14:textId="77777777" w:rsidR="00CA7ABD" w:rsidRDefault="00000000">
      <w:pPr>
        <w:pStyle w:val="Heading3"/>
        <w:rPr>
          <w:rFonts w:hint="eastAsia"/>
        </w:rPr>
      </w:pPr>
      <w:r>
        <w:t>Italy: Italian Development Cooperation Agency (AICS)</w:t>
      </w:r>
    </w:p>
    <w:p w14:paraId="52052BB0" w14:textId="77777777" w:rsidR="00CA7ABD" w:rsidRDefault="00000000">
      <w:pPr>
        <w:rPr>
          <w:rFonts w:hint="eastAsia"/>
        </w:rPr>
      </w:pPr>
      <w:r>
        <w:t>Italy provided USD 6 billion in ODA in 2023 (0.26% of GNI). AICS focuses on sustainable development, cultural heritage, health, and migration management. Italy participates in EU joint programming and maintains bilateral cooperation programs in the Middle East and North Africa.</w:t>
      </w:r>
    </w:p>
    <w:p w14:paraId="2B69DEC6" w14:textId="77777777" w:rsidR="00CA7ABD" w:rsidRDefault="00000000">
      <w:pPr>
        <w:rPr>
          <w:rFonts w:hint="eastAsia"/>
        </w:rPr>
      </w:pPr>
      <w:r>
        <w:t>Type: EU Joint/Bilateral | Est. Allocation: $50-100M | Application: Through AICS and EU joint programming | Focus: Cultural heritage, health, sustainable development.</w:t>
      </w:r>
    </w:p>
    <w:p w14:paraId="1794119F" w14:textId="77777777" w:rsidR="00CA7ABD" w:rsidRDefault="00000000">
      <w:pPr>
        <w:pStyle w:val="Heading3"/>
        <w:rPr>
          <w:rFonts w:hint="eastAsia"/>
        </w:rPr>
      </w:pPr>
      <w:r>
        <w:t>Luxembourg: Luxembourg Development Cooperation</w:t>
      </w:r>
    </w:p>
    <w:p w14:paraId="2674C360" w14:textId="77777777" w:rsidR="00CA7ABD" w:rsidRDefault="00000000">
      <w:pPr>
        <w:rPr>
          <w:rFonts w:hint="eastAsia"/>
        </w:rPr>
      </w:pPr>
      <w:r>
        <w:t>Luxembourg provided USD 579 million in ODA in 2023 (1.05% of GNI). Luxembourg channels development cooperation through multilateral organizations with a focus on inclusive finance, climate, and education.</w:t>
      </w:r>
    </w:p>
    <w:p w14:paraId="6877FFB5" w14:textId="77777777" w:rsidR="00CA7ABD" w:rsidRDefault="00000000">
      <w:pPr>
        <w:rPr>
          <w:rFonts w:hint="eastAsia"/>
        </w:rPr>
      </w:pPr>
      <w:r>
        <w:t>Type: Multilateral | Est. Allocation: $10-20M | Application: Through multilateral channels | Focus: Inclusive finance, climate.</w:t>
      </w:r>
    </w:p>
    <w:p w14:paraId="5E99A7AE" w14:textId="77777777" w:rsidR="00CA7ABD" w:rsidRDefault="00000000">
      <w:pPr>
        <w:pStyle w:val="Heading3"/>
        <w:rPr>
          <w:rFonts w:hint="eastAsia"/>
        </w:rPr>
      </w:pPr>
      <w:r>
        <w:t>Netherlands: RVO and Dutch Good Growth Fund</w:t>
      </w:r>
    </w:p>
    <w:p w14:paraId="47C2B1C0" w14:textId="77777777" w:rsidR="00CA7ABD" w:rsidRDefault="00000000">
      <w:pPr>
        <w:rPr>
          <w:rFonts w:hint="eastAsia"/>
        </w:rPr>
      </w:pPr>
      <w:r>
        <w:t>The Netherlands deploys development finance through the Dutch Development Bank (FMO), the Dutch Good Growth Fund, and the Netherlands Enterprise Agency (RVO). The Netherlands recently contributed to the Private Infrastructure Development Group (PIDG). The Dutch Good Growth Fund provides financing for SMEs and entrepreneurs in developing countries.</w:t>
      </w:r>
    </w:p>
    <w:p w14:paraId="1329F00A" w14:textId="77777777" w:rsidR="00CA7ABD" w:rsidRDefault="00000000">
      <w:pPr>
        <w:rPr>
          <w:rFonts w:hint="eastAsia"/>
        </w:rPr>
      </w:pPr>
      <w:r>
        <w:t>Type: Private Investment/Co-financing | Est. Allocation: $200-500M | Application: Through FMO emerging markets infrastructure window | Focus: Private sector, infrastructure, climate finance.</w:t>
      </w:r>
    </w:p>
    <w:p w14:paraId="4AEA6894" w14:textId="77777777" w:rsidR="00CA7ABD" w:rsidRDefault="00000000">
      <w:pPr>
        <w:pStyle w:val="Heading3"/>
        <w:rPr>
          <w:rFonts w:hint="eastAsia"/>
        </w:rPr>
      </w:pPr>
      <w:r>
        <w:t>Poland: Polish Aid</w:t>
      </w:r>
    </w:p>
    <w:p w14:paraId="1DBAD168" w14:textId="77777777" w:rsidR="00CA7ABD" w:rsidRDefault="00000000">
      <w:pPr>
        <w:rPr>
          <w:rFonts w:hint="eastAsia"/>
        </w:rPr>
      </w:pPr>
      <w:r>
        <w:t>Poland provided USD 2.6 billion in ODA in 2023 (0.33% of GNI). Polish Aid focuses on humanitarian assistance, development cooperation, and peacebuilding. Poland channels development funding through multilateral organizations and bilateral programs.</w:t>
      </w:r>
    </w:p>
    <w:p w14:paraId="23003BE1" w14:textId="77777777" w:rsidR="00CA7ABD" w:rsidRDefault="00000000">
      <w:pPr>
        <w:rPr>
          <w:rFonts w:hint="eastAsia"/>
        </w:rPr>
      </w:pPr>
      <w:r>
        <w:t>Type: Humanitarian | Est. Allocation: $20-40M | Application: Through multilateral channels | Focus: Humanitarian assistance.</w:t>
      </w:r>
    </w:p>
    <w:p w14:paraId="5B05E9F3" w14:textId="77777777" w:rsidR="00CA7ABD" w:rsidRDefault="00000000">
      <w:pPr>
        <w:pStyle w:val="Heading3"/>
        <w:rPr>
          <w:rFonts w:hint="eastAsia"/>
        </w:rPr>
      </w:pPr>
      <w:r>
        <w:t>Portugal: Camoes Institute for Cooperation and Language</w:t>
      </w:r>
    </w:p>
    <w:p w14:paraId="0CECE67F" w14:textId="77777777" w:rsidR="00CA7ABD" w:rsidRDefault="00000000">
      <w:pPr>
        <w:rPr>
          <w:rFonts w:hint="eastAsia"/>
        </w:rPr>
      </w:pPr>
      <w:r>
        <w:t>Portugal provided USD 544 million in ODA in 2023 (0.20% of GNI). Portugal focuses on Lusophone countries but participates in EU joint programming for humanitarian assistance and development cooperation in the Middle East.</w:t>
      </w:r>
    </w:p>
    <w:p w14:paraId="77535A18" w14:textId="77777777" w:rsidR="00CA7ABD" w:rsidRDefault="00000000">
      <w:pPr>
        <w:rPr>
          <w:rFonts w:hint="eastAsia"/>
        </w:rPr>
      </w:pPr>
      <w:r>
        <w:t>Type: EU Joint Programming | Est. Allocation: $10-20M | Application: Through EU joint programming | Focus: Humanitarian assistance.</w:t>
      </w:r>
    </w:p>
    <w:p w14:paraId="53B44141" w14:textId="77777777" w:rsidR="00CA7ABD" w:rsidRDefault="00000000">
      <w:pPr>
        <w:pStyle w:val="Heading3"/>
        <w:rPr>
          <w:rFonts w:hint="eastAsia"/>
        </w:rPr>
      </w:pPr>
      <w:r>
        <w:t>Slovak Republic: Slovak Agency for International Development Cooperation (SAIDC)</w:t>
      </w:r>
    </w:p>
    <w:p w14:paraId="4538423D" w14:textId="77777777" w:rsidR="00CA7ABD" w:rsidRDefault="00000000">
      <w:pPr>
        <w:rPr>
          <w:rFonts w:hint="eastAsia"/>
        </w:rPr>
      </w:pPr>
      <w:r>
        <w:t>Slovakia provided USD 159 million in ODA in 2023 (0.12% of GNI). SAIDC focuses on education, health, water, and good governance. Slovakia participates in EU joint programming for development cooperation.</w:t>
      </w:r>
    </w:p>
    <w:p w14:paraId="1A520005" w14:textId="77777777" w:rsidR="00CA7ABD" w:rsidRDefault="00000000">
      <w:pPr>
        <w:rPr>
          <w:rFonts w:hint="eastAsia"/>
        </w:rPr>
      </w:pPr>
      <w:r>
        <w:t>Type: EU Joint Programming | Est. Allocation: $5-10M | Application: Through EU joint programming | Focus: Water, education, governance.</w:t>
      </w:r>
    </w:p>
    <w:p w14:paraId="56D77BD5" w14:textId="77777777" w:rsidR="00CA7ABD" w:rsidRDefault="00000000">
      <w:pPr>
        <w:pStyle w:val="Heading3"/>
        <w:rPr>
          <w:rFonts w:hint="eastAsia"/>
        </w:rPr>
      </w:pPr>
      <w:r>
        <w:t>Slovenia: Slovenian Development Cooperation</w:t>
      </w:r>
    </w:p>
    <w:p w14:paraId="23B6872D" w14:textId="77777777" w:rsidR="00CA7ABD" w:rsidRDefault="00000000">
      <w:pPr>
        <w:rPr>
          <w:rFonts w:hint="eastAsia"/>
        </w:rPr>
      </w:pPr>
      <w:r>
        <w:t>Slovenia provided USD 120 million in ODA in 2023 (0.17% of GNI). Slovenia focuses on water management, environmental protection, and good governance. Slovenia participates in EU joint programming.</w:t>
      </w:r>
    </w:p>
    <w:p w14:paraId="2C6C994C" w14:textId="77777777" w:rsidR="00CA7ABD" w:rsidRDefault="00000000">
      <w:pPr>
        <w:rPr>
          <w:rFonts w:hint="eastAsia"/>
        </w:rPr>
      </w:pPr>
      <w:r>
        <w:t>Type: EU Joint Programming | Est. Allocation: $5-10M | Application: Through EU joint programming | Focus: Water management, environment.</w:t>
      </w:r>
    </w:p>
    <w:p w14:paraId="5D41CB2E" w14:textId="77777777" w:rsidR="00CA7ABD" w:rsidRDefault="00000000">
      <w:pPr>
        <w:pStyle w:val="Heading3"/>
        <w:rPr>
          <w:rFonts w:hint="eastAsia"/>
        </w:rPr>
      </w:pPr>
      <w:r>
        <w:t>Spain: Spanish Agency for International Development Cooperation (AECID)</w:t>
      </w:r>
    </w:p>
    <w:p w14:paraId="401C83FE" w14:textId="77777777" w:rsidR="00CA7ABD" w:rsidRDefault="00000000">
      <w:pPr>
        <w:rPr>
          <w:rFonts w:hint="eastAsia"/>
        </w:rPr>
      </w:pPr>
      <w:r>
        <w:t>Spain provided approximately USD 5.1 billion in ODA in 2025 (0.27% of GNI). AECID prioritizes water and sanitation, health, climate change adaptation, and gender equality. Spain is a strong proponent of multilateralism and participates extensively in EU joint programming and decentralized cooperation. Spain hosts the Recovery and Resilience Financing Platform (RRFP) launched under the Seville Platform for Action.</w:t>
      </w:r>
    </w:p>
    <w:p w14:paraId="210090C6" w14:textId="77777777" w:rsidR="00CA7ABD" w:rsidRDefault="00000000">
      <w:pPr>
        <w:rPr>
          <w:rFonts w:hint="eastAsia"/>
        </w:rPr>
      </w:pPr>
      <w:r>
        <w:t>Type: EU Joint Programming / Bilateral Grants | Est. Allocation: $50-100M | Application: Through AECID bilateral channels and EU joint programming | Focus: Water and sanitation, health, climate adaptation, gender equality, recovery and resilience.</w:t>
      </w:r>
    </w:p>
    <w:p w14:paraId="2DBECC2E" w14:textId="77777777" w:rsidR="00CA7ABD" w:rsidRDefault="00000000">
      <w:pPr>
        <w:pStyle w:val="Heading3"/>
        <w:rPr>
          <w:rFonts w:hint="eastAsia"/>
        </w:rPr>
      </w:pPr>
      <w:r>
        <w:t>Sweden: Swedish International Development Cooperation Agency (Sida)</w:t>
      </w:r>
    </w:p>
    <w:p w14:paraId="0BABC8CC" w14:textId="77777777" w:rsidR="00CA7ABD" w:rsidRDefault="00000000">
      <w:pPr>
        <w:rPr>
          <w:rFonts w:hint="eastAsia"/>
        </w:rPr>
      </w:pPr>
      <w:r>
        <w:t>Sweden provided approximately USD 5.1 billion in ODA in 2025. Sweden's international development cooperation emphasizes global health, humanitarian support, environmental sustainability, and democratic governance. Sida directs a significant portion of its funding through multilateral organizations, including the WHO and UN agencies. Sweden consistently ranks among the top DAC donors by ODA/GNI ratio.</w:t>
      </w:r>
    </w:p>
    <w:p w14:paraId="5842E38B" w14:textId="77777777" w:rsidR="00CA7ABD" w:rsidRDefault="00000000">
      <w:pPr>
        <w:rPr>
          <w:rFonts w:hint="eastAsia"/>
        </w:rPr>
      </w:pPr>
      <w:r>
        <w:t>Type: Multilateral Trust Funds / Humanitarian | Est. Allocation: $50-100M | Application: Through Sida multilateral trust funds and UN agency partnerships | Focus: Global health, humanitarian assistance, environmental sustainability, democratic governance.</w:t>
      </w:r>
    </w:p>
    <w:p w14:paraId="1920367F" w14:textId="77777777" w:rsidR="00CA7ABD" w:rsidRDefault="00000000">
      <w:pPr>
        <w:pStyle w:val="Heading3"/>
        <w:rPr>
          <w:rFonts w:hint="eastAsia"/>
        </w:rPr>
      </w:pPr>
      <w:r>
        <w:t>Switzerland: Swiss Agency for Development and Cooperation (SDC) / SECO</w:t>
      </w:r>
    </w:p>
    <w:p w14:paraId="03D7684D" w14:textId="77777777" w:rsidR="00CA7ABD" w:rsidRDefault="00000000">
      <w:pPr>
        <w:rPr>
          <w:rFonts w:hint="eastAsia"/>
        </w:rPr>
      </w:pPr>
      <w:r>
        <w:t>Switzerland's development cooperation focuses on private sector development, sustainable infrastructure, and humanitarian aid. Switzerland provides economic cooperation funding through the State Secretariat for Economic Affairs (SECO) and humanitarian assistance through SDC, prioritizing co-financing arrangements with multilateral development banks and regional funds. Swiss development finance emphasizes innovation, climate resilience, and private sector engagement.</w:t>
      </w:r>
    </w:p>
    <w:p w14:paraId="79C9145B" w14:textId="77777777" w:rsidR="00CA7ABD" w:rsidRDefault="00000000">
      <w:pPr>
        <w:rPr>
          <w:rFonts w:hint="eastAsia"/>
        </w:rPr>
      </w:pPr>
      <w:r>
        <w:t>Type: Bilateral Grants / Technical Assistance | Est. Allocation: $30-60M | Application: Through SDC/SECO bilateral channels and multilateral co-financing | Focus: Private sector development, sustainable infrastructure, humanitarian aid, climate resilience.</w:t>
      </w:r>
    </w:p>
    <w:p w14:paraId="321EE4B7" w14:textId="77777777" w:rsidR="00CA7ABD" w:rsidRDefault="00000000">
      <w:pPr>
        <w:pStyle w:val="Heading3"/>
        <w:rPr>
          <w:rFonts w:hint="eastAsia"/>
        </w:rPr>
      </w:pPr>
      <w:r>
        <w:t>United Kingdom: Foreign, Commonwealth and Development Office (FCDO)</w:t>
      </w:r>
    </w:p>
    <w:p w14:paraId="66390B7B" w14:textId="77777777" w:rsidR="00CA7ABD" w:rsidRDefault="00000000">
      <w:pPr>
        <w:rPr>
          <w:rFonts w:hint="eastAsia"/>
        </w:rPr>
      </w:pPr>
      <w:r>
        <w:t>The UK provided approximately GBP 13 billion in ODA in 2025 (0.43% of GNI). FCDO channels significant resources through multilateral organizations, providing over GBP 2.7 billion in core multilateral contributions in 2025. The UK focuses on humanitarian relief, global health, and climate resilience. The UK coordinates with the MRF primarily through World Bank trust funds and UN agencies.</w:t>
      </w:r>
    </w:p>
    <w:p w14:paraId="357A6712" w14:textId="77777777" w:rsidR="00CA7ABD" w:rsidRDefault="00000000">
      <w:pPr>
        <w:rPr>
          <w:rFonts w:hint="eastAsia"/>
        </w:rPr>
      </w:pPr>
      <w:r>
        <w:t>Type: Multilateral Contributions / Humanitarian | Est. Allocation: $100-200M | Application: Through FCDO multilateral contributions and World Bank trust funds | Focus: Humanitarian relief, global health, climate resilience.</w:t>
      </w:r>
    </w:p>
    <w:p w14:paraId="33D0DAE8" w14:textId="77777777" w:rsidR="00CA7ABD" w:rsidRDefault="00000000">
      <w:pPr>
        <w:pStyle w:val="Heading3"/>
        <w:rPr>
          <w:rFonts w:hint="eastAsia"/>
        </w:rPr>
      </w:pPr>
      <w:r>
        <w:t>United States: USAID and U.S. Private Sector Safe Harbor</w:t>
      </w:r>
    </w:p>
    <w:p w14:paraId="6E6AC70D" w14:textId="77777777" w:rsidR="00CA7ABD" w:rsidRDefault="00000000">
      <w:pPr>
        <w:rPr>
          <w:rFonts w:hint="eastAsia"/>
        </w:rPr>
      </w:pPr>
      <w:r>
        <w:t>Consistent with Article 2.3 of this Annex, U.S. participation is strictly limited to non-cash contributions, including technical assistance, project identification, capacity building, and diplomatic support. No direct U.S. government cash is transferred to the MRF or to Iran. USAID provides technical assistance for governance, health, and agricultural development through third-party implementers. The U.S. supports the reconstruction framework through the Safe Harbor mechanism and the In-Kind Contribution Window for private sector participation (see Section 1.3(d)).</w:t>
      </w:r>
    </w:p>
    <w:p w14:paraId="11633696" w14:textId="77777777" w:rsidR="00CA7ABD" w:rsidRDefault="00000000">
      <w:pPr>
        <w:rPr>
          <w:rFonts w:hint="eastAsia"/>
        </w:rPr>
      </w:pPr>
      <w:r>
        <w:t>Type: Technical Assistance / In-Kind (Non-Cash) | Est. Allocation: N/A | Application: Through Safe Harbor mechanism, In-Kind Contribution Window, and OFAC-licensed channels | Focus: Technical assistance, project identification, capacity building, diplomatic support, private sector Safe Harbor facilitation.</w:t>
      </w:r>
    </w:p>
    <w:p w14:paraId="2631CB85" w14:textId="77777777" w:rsidR="00CA7ABD" w:rsidRDefault="00000000">
      <w:pPr>
        <w:pStyle w:val="Heading3"/>
        <w:rPr>
          <w:rFonts w:hint="eastAsia"/>
        </w:rPr>
      </w:pPr>
      <w:r>
        <w:t>I.3 Middle East, North Africa, and Sub-Saharan Africa</w:t>
      </w:r>
    </w:p>
    <w:p w14:paraId="5F597B8A" w14:textId="77777777" w:rsidR="00CA7ABD" w:rsidRDefault="00000000">
      <w:pPr>
        <w:pStyle w:val="Heading3"/>
        <w:rPr>
          <w:rFonts w:hint="eastAsia"/>
        </w:rPr>
      </w:pPr>
      <w:r>
        <w:t>Egypt: Egyptian Fund for Technical Cooperation with Africa and the Commonwealth</w:t>
      </w:r>
    </w:p>
    <w:p w14:paraId="06E54F41" w14:textId="77777777" w:rsidR="00CA7ABD" w:rsidRDefault="00000000">
      <w:pPr>
        <w:rPr>
          <w:rFonts w:hint="eastAsia"/>
        </w:rPr>
      </w:pPr>
      <w:r>
        <w:t>Egypt and Iran maintain bilateral cooperation through the Joint Higher Commission. Egypt participates in the OIC and Arab League development frameworks. The Egyptian Fund provides technical assistance, training, and capacity building for developing countries. Egypt's Suez Canal development expertise is applicable to Iranian port reconstruction.</w:t>
      </w:r>
    </w:p>
    <w:p w14:paraId="261E163B" w14:textId="77777777" w:rsidR="00CA7ABD" w:rsidRDefault="00000000">
      <w:pPr>
        <w:rPr>
          <w:rFonts w:hint="eastAsia"/>
        </w:rPr>
      </w:pPr>
      <w:r>
        <w:t>Type: Technical Assistance | Est. Allocation: $50-100M | Application: Through bilateral cooperation and OIC/Arab League frameworks | Focus: Technical assistance, port development, capacity building.</w:t>
      </w:r>
    </w:p>
    <w:p w14:paraId="6B478FF3" w14:textId="77777777" w:rsidR="00CA7ABD" w:rsidRDefault="00000000">
      <w:pPr>
        <w:pStyle w:val="Heading3"/>
        <w:rPr>
          <w:rFonts w:hint="eastAsia"/>
        </w:rPr>
      </w:pPr>
      <w:r>
        <w:t>Iraq: Bilateral Development Cooperation</w:t>
      </w:r>
    </w:p>
    <w:p w14:paraId="336A5829" w14:textId="77777777" w:rsidR="00CA7ABD" w:rsidRDefault="00000000">
      <w:pPr>
        <w:rPr>
          <w:rFonts w:hint="eastAsia"/>
        </w:rPr>
      </w:pPr>
      <w:r>
        <w:t>Iraq and Iran share extensive border infrastructure and trade corridors. Iraq's own post-conflict reconstruction experience (2003-present) provides relevant lessons for Iranian reconstruction. Bilateral cooperation focuses on shared border crossings, electricity grid interconnection, water resource management, and trade corridor development.</w:t>
      </w:r>
    </w:p>
    <w:p w14:paraId="11C4F28A" w14:textId="77777777" w:rsidR="00CA7ABD" w:rsidRDefault="00000000">
      <w:pPr>
        <w:rPr>
          <w:rFonts w:hint="eastAsia"/>
        </w:rPr>
      </w:pPr>
      <w:r>
        <w:t>Type: Bilateral/Regional | Est. Allocation: $200-500M | Application: Through bilateral economic commissions and border infrastructure agreements | Focus: Border infrastructure, electricity, water management, trade.</w:t>
      </w:r>
    </w:p>
    <w:p w14:paraId="4B996336" w14:textId="77777777" w:rsidR="00CA7ABD" w:rsidRDefault="00000000">
      <w:pPr>
        <w:pStyle w:val="Heading3"/>
        <w:rPr>
          <w:rFonts w:hint="eastAsia"/>
        </w:rPr>
      </w:pPr>
      <w:r>
        <w:t>Jordan: Jordanian Development Cooperation</w:t>
      </w:r>
    </w:p>
    <w:p w14:paraId="567FE89B" w14:textId="77777777" w:rsidR="00CA7ABD" w:rsidRDefault="00000000">
      <w:pPr>
        <w:rPr>
          <w:rFonts w:hint="eastAsia"/>
        </w:rPr>
      </w:pPr>
      <w:r>
        <w:t>Jordan is a major recipient of international development assistance and has developed significant expertise in managing reconstruction and refugee support programming. Jordan's experience in public-private partnerships for water and energy infrastructure is applicable to Iranian reconstruction.</w:t>
      </w:r>
    </w:p>
    <w:p w14:paraId="040B61EC" w14:textId="77777777" w:rsidR="00CA7ABD" w:rsidRDefault="00000000">
      <w:pPr>
        <w:rPr>
          <w:rFonts w:hint="eastAsia"/>
        </w:rPr>
      </w:pPr>
      <w:r>
        <w:t>Type: Technical/Knowledge Transfer | Est. Allocation: $20-50M | Application: Through bilateral technical cooperation | Focus: PPP structuring, water infrastructure, refugee integration.</w:t>
      </w:r>
    </w:p>
    <w:p w14:paraId="43B84585" w14:textId="77777777" w:rsidR="00CA7ABD" w:rsidRDefault="00000000">
      <w:pPr>
        <w:pStyle w:val="Heading3"/>
        <w:rPr>
          <w:rFonts w:hint="eastAsia"/>
        </w:rPr>
      </w:pPr>
      <w:r>
        <w:t>Lebanon: Knowledge Transfer and Technical Cooperation</w:t>
      </w:r>
    </w:p>
    <w:p w14:paraId="0F4FCE4B" w14:textId="77777777" w:rsidR="00CA7ABD" w:rsidRDefault="00000000">
      <w:pPr>
        <w:rPr>
          <w:rFonts w:hint="eastAsia"/>
        </w:rPr>
      </w:pPr>
      <w:r>
        <w:t>Lebanon possesses extensive post-conflict reconstruction experience spanning multiple decades. Lebanese engineering firms, financial institutions, and construction companies have deep expertise in rebuilding infrastructure under challenging political and security conditions. This expertise is directly transferable to Iranian reconstruction.</w:t>
      </w:r>
    </w:p>
    <w:p w14:paraId="03A9D7F6" w14:textId="77777777" w:rsidR="00CA7ABD" w:rsidRDefault="00000000">
      <w:pPr>
        <w:rPr>
          <w:rFonts w:hint="eastAsia"/>
        </w:rPr>
      </w:pPr>
      <w:r>
        <w:t>Type: Technical/Knowledge Transfer | Est. Allocation: $20-50M | Application: Through bilateral technical cooperation and Lebanese private sector engagement | Focus: Reconstruction expertise, financial sector rehabilitation, urban planning.</w:t>
      </w:r>
    </w:p>
    <w:p w14:paraId="25CE9B23" w14:textId="77777777" w:rsidR="00CA7ABD" w:rsidRDefault="00000000">
      <w:pPr>
        <w:pStyle w:val="Heading3"/>
        <w:rPr>
          <w:rFonts w:hint="eastAsia"/>
        </w:rPr>
      </w:pPr>
      <w:r>
        <w:t>Morocco: Moroccan Agency for International Cooperation (AMCI)</w:t>
      </w:r>
    </w:p>
    <w:p w14:paraId="02224BFC" w14:textId="77777777" w:rsidR="00CA7ABD" w:rsidRDefault="00000000">
      <w:pPr>
        <w:rPr>
          <w:rFonts w:hint="eastAsia"/>
        </w:rPr>
      </w:pPr>
      <w:r>
        <w:t>Morocco operates AMCI as its bilateral development cooperation agency with expertise in South-South cooperation. Morocco has developed significant renewable energy infrastructure (Noor Ouarzazate Solar Complex - 580 MW) and water management systems. Morocco participates in the OIC development framework.</w:t>
      </w:r>
    </w:p>
    <w:p w14:paraId="78C9B3D9" w14:textId="77777777" w:rsidR="00CA7ABD" w:rsidRDefault="00000000">
      <w:pPr>
        <w:rPr>
          <w:rFonts w:hint="eastAsia"/>
        </w:rPr>
      </w:pPr>
      <w:r>
        <w:t>Type: Technical/South-South | Est. Allocation: $50-100M | Application: Through AMCI and OIC cooperation frameworks | Focus: Renewable energy, water management, South-South cooperation.</w:t>
      </w:r>
    </w:p>
    <w:p w14:paraId="6D05799A" w14:textId="77777777" w:rsidR="00CA7ABD" w:rsidRDefault="00000000">
      <w:pPr>
        <w:pStyle w:val="Heading3"/>
        <w:rPr>
          <w:rFonts w:hint="eastAsia"/>
        </w:rPr>
      </w:pPr>
      <w:r>
        <w:t>Nigeria: Nigerian Sovereign Investment Authority (NSIA)</w:t>
      </w:r>
    </w:p>
    <w:p w14:paraId="0616FDC3" w14:textId="77777777" w:rsidR="00CA7ABD" w:rsidRDefault="00000000">
      <w:pPr>
        <w:rPr>
          <w:rFonts w:hint="eastAsia"/>
        </w:rPr>
      </w:pPr>
      <w:r>
        <w:t>Nigeria is Africa's largest economy and an OIC member. The NSIA manages Nigeria's sovereign wealth with a mandate for infrastructure investment. Nigeria participates in the OIC and Commonwealth development frameworks. Nigerian construction firms (Julius Berger, Dangote Industries) possess significant infrastructure development capacity.</w:t>
      </w:r>
    </w:p>
    <w:p w14:paraId="3B11DC36" w14:textId="77777777" w:rsidR="00CA7ABD" w:rsidRDefault="00000000">
      <w:pPr>
        <w:rPr>
          <w:rFonts w:hint="eastAsia"/>
        </w:rPr>
      </w:pPr>
      <w:r>
        <w:t>Type: Sovereign Investment/Technical | Est. Allocation: $100-300M | Application: Through NSIA and OIC/BRICS frameworks | Focus: Infrastructure investment, agriculture, energy.</w:t>
      </w:r>
    </w:p>
    <w:p w14:paraId="3739CA33" w14:textId="77777777" w:rsidR="00CA7ABD" w:rsidRDefault="00000000">
      <w:pPr>
        <w:pStyle w:val="Heading3"/>
        <w:rPr>
          <w:rFonts w:hint="eastAsia"/>
        </w:rPr>
      </w:pPr>
      <w:r>
        <w:t>Tunisia: Bilateral Development Cooperation</w:t>
      </w:r>
    </w:p>
    <w:p w14:paraId="3F0EE46A" w14:textId="77777777" w:rsidR="00CA7ABD" w:rsidRDefault="00000000">
      <w:pPr>
        <w:rPr>
          <w:rFonts w:hint="eastAsia"/>
        </w:rPr>
      </w:pPr>
      <w:r>
        <w:t>Tunisia participated in the Deauville Partnership with Arab Countries in Transition, developing post-revolution reconstruction expertise. Tunisia participates in the OIC and Arab development frameworks. Tunisia offers knowledge transfer in democratic transition governance, media sector development, and civil society engagement.</w:t>
      </w:r>
    </w:p>
    <w:p w14:paraId="395D80D6" w14:textId="77777777" w:rsidR="00CA7ABD" w:rsidRDefault="00000000">
      <w:pPr>
        <w:rPr>
          <w:rFonts w:hint="eastAsia"/>
        </w:rPr>
      </w:pPr>
      <w:r>
        <w:t>Type: Knowledge Transfer | Est. Allocation: $20-40M | Application: Through bilateral cooperation and OIC frameworks | Focus: Governance transition, media, civil society.</w:t>
      </w:r>
    </w:p>
    <w:p w14:paraId="532472C6" w14:textId="77777777" w:rsidR="00CA7ABD" w:rsidRDefault="00000000">
      <w:pPr>
        <w:pStyle w:val="Heading3"/>
        <w:rPr>
          <w:rFonts w:hint="eastAsia"/>
        </w:rPr>
      </w:pPr>
      <w:r>
        <w:t>Ethiopia: Knowledge Transfer and Technical Cooperation</w:t>
      </w:r>
    </w:p>
    <w:p w14:paraId="3853F863" w14:textId="77777777" w:rsidR="00CA7ABD" w:rsidRDefault="00000000">
      <w:pPr>
        <w:rPr>
          <w:rFonts w:hint="eastAsia"/>
        </w:rPr>
      </w:pPr>
      <w:r>
        <w:t>Ethiopia has demonstrated rapid infrastructure development capacity, building the Grand Ethiopian Renaissance Dam (6,450 MW), Africa's largest hydroelectric project, using domestic resources and limited external financing. Ethiopia's model of domestically financed large-scale infrastructure development offers lessons for Iranian self-financing under the NDF Co-Financing Match (Article 1.2(b)).</w:t>
      </w:r>
    </w:p>
    <w:p w14:paraId="086CBB5F" w14:textId="77777777" w:rsidR="00CA7ABD" w:rsidRDefault="00000000">
      <w:pPr>
        <w:rPr>
          <w:rFonts w:hint="eastAsia"/>
        </w:rPr>
      </w:pPr>
      <w:r>
        <w:t>Type: Knowledge Transfer | Est. Allocation: $10-20M | Application: Through bilateral technical cooperation and BRICS frameworks | Focus: Large-scale infrastructure development, domestic financing models.</w:t>
      </w:r>
    </w:p>
    <w:p w14:paraId="4E5CD0FA" w14:textId="77777777" w:rsidR="00CA7ABD" w:rsidRDefault="00000000">
      <w:pPr>
        <w:pStyle w:val="Heading3"/>
        <w:rPr>
          <w:rFonts w:hint="eastAsia"/>
        </w:rPr>
      </w:pPr>
      <w:r>
        <w:t>Kenya: Knowledge Transfer and Infrastructure Expertise</w:t>
      </w:r>
    </w:p>
    <w:p w14:paraId="59C9D9C4" w14:textId="77777777" w:rsidR="00CA7ABD" w:rsidRDefault="00000000">
      <w:pPr>
        <w:rPr>
          <w:rFonts w:hint="eastAsia"/>
        </w:rPr>
      </w:pPr>
      <w:r>
        <w:t>Kenya has developed significant infrastructure PPP expertise, including the Nairobi-Mombasa Standard Gauge Railway and the Lamu Port-South Sudan-Ethiopia Transport (LAPSSET) Corridor. Kenya participates in the IFC's Kakuma Kalobeyei Challenge Fund model. Kenya's experience in conflict-sensitive blended finance is directly applicable to Iranian reconstruction.</w:t>
      </w:r>
    </w:p>
    <w:p w14:paraId="2FB410F7" w14:textId="77777777" w:rsidR="00CA7ABD" w:rsidRDefault="00000000">
      <w:pPr>
        <w:rPr>
          <w:rFonts w:hint="eastAsia"/>
        </w:rPr>
      </w:pPr>
      <w:r>
        <w:t>Type: Knowledge Transfer | Est. Allocation: $20-40M | Application: Through bilateral technical cooperation | Focus: PPP structuring, transport corridors, conflict-sensitive finance.</w:t>
      </w:r>
    </w:p>
    <w:p w14:paraId="29FBA8A0" w14:textId="77777777" w:rsidR="00CA7ABD" w:rsidRDefault="00000000">
      <w:pPr>
        <w:pStyle w:val="Heading3"/>
        <w:rPr>
          <w:rFonts w:hint="eastAsia"/>
        </w:rPr>
      </w:pPr>
      <w:r>
        <w:t>Senegal: Knowledge Transfer and Technical Cooperation</w:t>
      </w:r>
    </w:p>
    <w:p w14:paraId="3680D43F" w14:textId="77777777" w:rsidR="00CA7ABD" w:rsidRDefault="00000000">
      <w:pPr>
        <w:rPr>
          <w:rFonts w:hint="eastAsia"/>
        </w:rPr>
      </w:pPr>
      <w:r>
        <w:t>Senegal is a model for post-conflict governance stability in the West Africa region. Senegal participates in the OIC and has developed expertise in agricultural value chains, renewable energy, and coastal zone management. Senegal's experience in managing the Grand Ethiopian Renaissance Dam dispute offers relevant diplomatic expertise.</w:t>
      </w:r>
    </w:p>
    <w:p w14:paraId="075B51BA" w14:textId="77777777" w:rsidR="00CA7ABD" w:rsidRDefault="00000000">
      <w:pPr>
        <w:rPr>
          <w:rFonts w:hint="eastAsia"/>
        </w:rPr>
      </w:pPr>
      <w:r>
        <w:t>Type: Knowledge Transfer | Est. Allocation: $10-20M | Application: Through bilateral technical cooperation and OIC frameworks | Focus: Agricultural value chains, renewable energy, governance.</w:t>
      </w:r>
    </w:p>
    <w:p w14:paraId="555B0211" w14:textId="77777777" w:rsidR="00CA7ABD" w:rsidRDefault="00000000">
      <w:pPr>
        <w:pStyle w:val="Heading3"/>
        <w:rPr>
          <w:rFonts w:hint="eastAsia"/>
        </w:rPr>
      </w:pPr>
      <w:r>
        <w:t>I.4 Americas</w:t>
      </w:r>
    </w:p>
    <w:p w14:paraId="1F6B3A8B" w14:textId="77777777" w:rsidR="00CA7ABD" w:rsidRDefault="00000000">
      <w:pPr>
        <w:pStyle w:val="Heading3"/>
        <w:rPr>
          <w:rFonts w:hint="eastAsia"/>
        </w:rPr>
      </w:pPr>
      <w:r>
        <w:t>Canada: Global Affairs Canada (GAC)</w:t>
      </w:r>
    </w:p>
    <w:p w14:paraId="6FB19D57" w14:textId="77777777" w:rsidR="00CA7ABD" w:rsidRDefault="00000000">
      <w:pPr>
        <w:rPr>
          <w:rFonts w:hint="eastAsia"/>
        </w:rPr>
      </w:pPr>
      <w:r>
        <w:t>Canada's International Assistance Envelope totals approximately CAD 7.89 billion annually. Canada contributes extensively to World Bank trust funds, UN agencies, and regional development banks. Canada maintains board representation at eight international financial institutions. The Canada Pension Plan Investment Board (CPP Investments) is a potential private capital participant in the MRF Supporting Tier through the PRI Pool.</w:t>
      </w:r>
    </w:p>
    <w:p w14:paraId="0BEE1150" w14:textId="77777777" w:rsidR="00CA7ABD" w:rsidRDefault="00000000">
      <w:pPr>
        <w:rPr>
          <w:rFonts w:hint="eastAsia"/>
        </w:rPr>
      </w:pPr>
      <w:r>
        <w:t>Type: Multilateral/Private Capital | Est. Allocation: $300-500M | Application: Through GAC multilateral channels and CPP Investments co-investment | Focus: Infrastructure, climate, governance.</w:t>
      </w:r>
    </w:p>
    <w:p w14:paraId="471AE388" w14:textId="77777777" w:rsidR="00CA7ABD" w:rsidRDefault="00000000">
      <w:pPr>
        <w:pStyle w:val="Heading3"/>
        <w:rPr>
          <w:rFonts w:hint="eastAsia"/>
        </w:rPr>
      </w:pPr>
      <w:r>
        <w:t>Mexico: Mexican Agency for International Development Cooperation (AMEXCID)</w:t>
      </w:r>
    </w:p>
    <w:p w14:paraId="6D97BE75" w14:textId="77777777" w:rsidR="00CA7ABD" w:rsidRDefault="00000000">
      <w:pPr>
        <w:rPr>
          <w:rFonts w:hint="eastAsia"/>
        </w:rPr>
      </w:pPr>
      <w:r>
        <w:t>Mexico provided USD 208.7 million in ODA in 2023. AMEXCID operates the ABC Cooperation (South-South and Triangular Cooperation) program with expertise in agricultural innovation, public health, and climate adaptation. Mexico's National Institute for Forestry, Agriculture and Livestock Research (INIFAP) provides technical cooperation in drought-resistant agriculture.</w:t>
      </w:r>
    </w:p>
    <w:p w14:paraId="7172777A" w14:textId="77777777" w:rsidR="00CA7ABD" w:rsidRDefault="00000000">
      <w:pPr>
        <w:rPr>
          <w:rFonts w:hint="eastAsia"/>
        </w:rPr>
      </w:pPr>
      <w:r>
        <w:t>Type: Technical/South-South | Est. Allocation: $30-50M | Application: Through AMEXCID ABC Cooperation program | Focus: Agricultural technology, climate adaptation, public health.</w:t>
      </w:r>
    </w:p>
    <w:p w14:paraId="4F5E6F97" w14:textId="77777777" w:rsidR="00CA7ABD" w:rsidRDefault="00000000">
      <w:pPr>
        <w:pStyle w:val="Heading3"/>
        <w:rPr>
          <w:rFonts w:hint="eastAsia"/>
        </w:rPr>
      </w:pPr>
      <w:r>
        <w:t>Brazil: Brazilian Agricultural Research Corporation (EMBRAPA)</w:t>
      </w:r>
    </w:p>
    <w:p w14:paraId="74EBDFD3" w14:textId="77777777" w:rsidR="00CA7ABD" w:rsidRDefault="00000000">
      <w:pPr>
        <w:rPr>
          <w:rFonts w:hint="eastAsia"/>
        </w:rPr>
      </w:pPr>
      <w:r>
        <w:t>Brazil is a BRICS member with world-leading agricultural technology expertise. EMBRAPA operates as one of the world's premier agricultural research institutions. The Brazilian Development Bank (BNDES) provides export credit for Brazilian equipment and technology. Brazil and Iran maintain active trade relations in agricultural commodities.</w:t>
      </w:r>
    </w:p>
    <w:p w14:paraId="17F6980B" w14:textId="77777777" w:rsidR="00CA7ABD" w:rsidRDefault="00000000">
      <w:pPr>
        <w:rPr>
          <w:rFonts w:hint="eastAsia"/>
        </w:rPr>
      </w:pPr>
      <w:r>
        <w:t>Type: Technical/Export Credit | Est. Allocation: $300-500M | Application: Through EMBRAPA technical cooperation and BNDES export credit | Focus: Agricultural technology, food security, biofuels, precision agriculture.</w:t>
      </w:r>
    </w:p>
    <w:p w14:paraId="6A33912B" w14:textId="77777777" w:rsidR="00CA7ABD" w:rsidRDefault="00000000">
      <w:pPr>
        <w:pStyle w:val="Heading3"/>
        <w:rPr>
          <w:rFonts w:hint="eastAsia"/>
        </w:rPr>
      </w:pPr>
      <w:r>
        <w:t>Argentina: Bilateral Cooperation and Knowledge Transfer</w:t>
      </w:r>
    </w:p>
    <w:p w14:paraId="57552125" w14:textId="77777777" w:rsidR="00CA7ABD" w:rsidRDefault="00000000">
      <w:pPr>
        <w:rPr>
          <w:rFonts w:hint="eastAsia"/>
        </w:rPr>
      </w:pPr>
      <w:r>
        <w:t>Argentina and Iran maintain bilateral relations with cooperation in agriculture, science and technology, and energy. Argentina possesses expertise in agricultural biotechnology (INTA - National Agricultural Technology Institute), lithium extraction, and nuclear energy technology (INVAP). Argentina participates in the BRICS development framework.</w:t>
      </w:r>
    </w:p>
    <w:p w14:paraId="77E57250" w14:textId="77777777" w:rsidR="00CA7ABD" w:rsidRDefault="00000000">
      <w:pPr>
        <w:rPr>
          <w:rFonts w:hint="eastAsia"/>
        </w:rPr>
      </w:pPr>
      <w:r>
        <w:t>Type: Technical/BRICS | Est. Allocation: $50-100M | Application: Through bilateral cooperation and BRICS mechanisms | Focus: Agricultural technology, energy, science and technology.</w:t>
      </w:r>
    </w:p>
    <w:p w14:paraId="385F5A27" w14:textId="77777777" w:rsidR="00CA7ABD" w:rsidRDefault="00000000">
      <w:pPr>
        <w:pStyle w:val="Heading3"/>
        <w:rPr>
          <w:rFonts w:hint="eastAsia"/>
        </w:rPr>
      </w:pPr>
      <w:r>
        <w:t>I.5 Additional OIC Member Countries with Development Capacity</w:t>
      </w:r>
    </w:p>
    <w:p w14:paraId="3D126402" w14:textId="77777777" w:rsidR="00CA7ABD" w:rsidRDefault="00000000">
      <w:pPr>
        <w:pStyle w:val="Heading3"/>
        <w:rPr>
          <w:rFonts w:hint="eastAsia"/>
        </w:rPr>
      </w:pPr>
      <w:r>
        <w:t>Algeria: Bilateral Development Cooperation</w:t>
      </w:r>
    </w:p>
    <w:p w14:paraId="05937267" w14:textId="77777777" w:rsidR="00CA7ABD" w:rsidRDefault="00000000">
      <w:pPr>
        <w:rPr>
          <w:rFonts w:hint="eastAsia"/>
        </w:rPr>
      </w:pPr>
      <w:r>
        <w:t>Algeria is a major hydrocarbon producer with sovereign wealth resources. Algeria participates in the OIC, Arab League, and African Union development frameworks. Algeria has extensive desert agriculture expertise through its Sahara irrigation programs and solar energy development in the Hassi R'Mel region.</w:t>
      </w:r>
    </w:p>
    <w:p w14:paraId="04988C73" w14:textId="77777777" w:rsidR="00CA7ABD" w:rsidRDefault="00000000">
      <w:pPr>
        <w:rPr>
          <w:rFonts w:hint="eastAsia"/>
        </w:rPr>
      </w:pPr>
      <w:r>
        <w:t>Type: Bilateral/Technical | Est. Allocation: $100-200M | Application: Through bilateral cooperation and OIC frameworks | Focus: Desert agriculture, solar energy, hydrocarbon expertise.</w:t>
      </w:r>
    </w:p>
    <w:p w14:paraId="6B50BFA3" w14:textId="77777777" w:rsidR="00CA7ABD" w:rsidRDefault="00000000">
      <w:pPr>
        <w:pStyle w:val="Heading3"/>
        <w:rPr>
          <w:rFonts w:hint="eastAsia"/>
        </w:rPr>
      </w:pPr>
      <w:r>
        <w:t>Bangladesh: Knowledge Transfer and Technical Cooperation</w:t>
      </w:r>
    </w:p>
    <w:p w14:paraId="13D4C255" w14:textId="77777777" w:rsidR="00CA7ABD" w:rsidRDefault="00000000">
      <w:pPr>
        <w:rPr>
          <w:rFonts w:hint="eastAsia"/>
        </w:rPr>
      </w:pPr>
      <w:r>
        <w:t>Bangladesh has achieved remarkable development progress, graduating from Least Developed Country status. Bangladesh's expertise in disaster preparedness, climate adaptation (floating agriculture, cyclone shelters), microfinance (Grameen Bank model), and garment industry development is applicable to Iranian reconstruction. Bangladesh participates in the OIC and Commonwealth.</w:t>
      </w:r>
    </w:p>
    <w:p w14:paraId="643002EE" w14:textId="77777777" w:rsidR="00CA7ABD" w:rsidRDefault="00000000">
      <w:pPr>
        <w:rPr>
          <w:rFonts w:hint="eastAsia"/>
        </w:rPr>
      </w:pPr>
      <w:r>
        <w:t>Type: Knowledge Transfer | Est. Allocation: $20-40M | Application: Through bilateral technical cooperation and OIC frameworks | Focus: Disaster preparedness, climate adaptation, microfinance.</w:t>
      </w:r>
    </w:p>
    <w:p w14:paraId="20ED4C50" w14:textId="77777777" w:rsidR="00CA7ABD" w:rsidRDefault="00000000">
      <w:pPr>
        <w:pStyle w:val="Heading3"/>
        <w:rPr>
          <w:rFonts w:hint="eastAsia"/>
        </w:rPr>
      </w:pPr>
      <w:r>
        <w:t>Sudan: Knowledge Transfer and Agricultural Expertise</w:t>
      </w:r>
    </w:p>
    <w:p w14:paraId="4A956976" w14:textId="77777777" w:rsidR="00CA7ABD" w:rsidRDefault="00000000">
      <w:pPr>
        <w:rPr>
          <w:rFonts w:hint="eastAsia"/>
        </w:rPr>
      </w:pPr>
      <w:r>
        <w:t>Sudan possesses expertise in large-scale irrigated agriculture through the Gezira Scheme (one of the world's largest irrigation projects). Sudan participates in the OIC and Arab development frameworks. Sudanese agricultural expertise in arid-zone farming and water harvesting techniques is applicable to Iranian agricultural reconstruction.</w:t>
      </w:r>
    </w:p>
    <w:p w14:paraId="60FBA9E2" w14:textId="77777777" w:rsidR="00CA7ABD" w:rsidRDefault="00000000">
      <w:pPr>
        <w:rPr>
          <w:rFonts w:hint="eastAsia"/>
        </w:rPr>
      </w:pPr>
      <w:r>
        <w:t>Type: Knowledge Transfer | Est. Allocation: $10-20M | Application: Through bilateral technical cooperation and OIC frameworks | Focus: Irrigated agriculture, water harvesting, arid-zone farming.</w:t>
      </w:r>
    </w:p>
    <w:p w14:paraId="31B13106" w14:textId="77777777" w:rsidR="00CA7ABD" w:rsidRDefault="00000000">
      <w:pPr>
        <w:pStyle w:val="Heading3"/>
        <w:rPr>
          <w:rFonts w:hint="eastAsia"/>
        </w:rPr>
      </w:pPr>
      <w:r>
        <w:t>Tajikistan: Central Asian Regional Cooperation</w:t>
      </w:r>
    </w:p>
    <w:p w14:paraId="75B2788F" w14:textId="77777777" w:rsidR="00CA7ABD" w:rsidRDefault="00000000">
      <w:pPr>
        <w:rPr>
          <w:rFonts w:hint="eastAsia"/>
        </w:rPr>
      </w:pPr>
      <w:r>
        <w:t>Tajikistan and Iran share linguistic, cultural, and historical ties. Tajikistan possesses significant hydropower expertise, including the Nurek Dam (300 MW) and the Rogun Dam (3,600 MW under construction). Tajikistan participates in Central Asian regional cooperation frameworks that complement Iran's reconstruction connectivity needs.</w:t>
      </w:r>
    </w:p>
    <w:p w14:paraId="5AC80DCB" w14:textId="77777777" w:rsidR="00CA7ABD" w:rsidRDefault="00000000">
      <w:pPr>
        <w:rPr>
          <w:rFonts w:hint="eastAsia"/>
        </w:rPr>
      </w:pPr>
      <w:r>
        <w:t>Type: Regional/Technical | Est. Allocation: $20-40M | Application: Through bilateral cooperation and Central Asian regional frameworks | Focus: Hydropower, water management, regional connectivity.</w:t>
      </w:r>
    </w:p>
    <w:p w14:paraId="47C60AB9" w14:textId="77777777" w:rsidR="00CA7ABD" w:rsidRDefault="00000000">
      <w:pPr>
        <w:pStyle w:val="Heading3"/>
        <w:rPr>
          <w:rFonts w:hint="eastAsia"/>
        </w:rPr>
      </w:pPr>
      <w:r>
        <w:t>Turkmenistan: Bilateral Energy and Transport Cooperation</w:t>
      </w:r>
    </w:p>
    <w:p w14:paraId="13963D37" w14:textId="77777777" w:rsidR="00CA7ABD" w:rsidRDefault="00000000">
      <w:pPr>
        <w:rPr>
          <w:rFonts w:hint="eastAsia"/>
        </w:rPr>
      </w:pPr>
      <w:r>
        <w:t>Turkmenistan and Iran share extensive energy infrastructure, including the Dauletabad-Sarakhs-Khangiran gas pipeline. Turkmenistan participates in the China-Central Asia gas pipeline network and the International North-South Transport Corridor. Kazakhstan committed approximately $500 million for a Kazakhstan-Turkmenistan-Afghanistan railway through the IsDB.</w:t>
      </w:r>
    </w:p>
    <w:p w14:paraId="05B730F0" w14:textId="77777777" w:rsidR="00CA7ABD" w:rsidRDefault="00000000">
      <w:pPr>
        <w:rPr>
          <w:rFonts w:hint="eastAsia"/>
        </w:rPr>
      </w:pPr>
      <w:r>
        <w:t>Type: Bilateral/Regional | Est. Allocation: $100-300M | Application: Through bilateral energy and transport agreements | Focus: Energy infrastructure, transport corridors, regional connectivity.</w:t>
      </w:r>
    </w:p>
    <w:p w14:paraId="5FDD2560" w14:textId="77777777" w:rsidR="00CA7ABD" w:rsidRDefault="00000000">
      <w:pPr>
        <w:pStyle w:val="Heading3"/>
        <w:rPr>
          <w:rFonts w:hint="eastAsia"/>
        </w:rPr>
      </w:pPr>
      <w:r>
        <w:t>Uzbekistan: Central Asian Regional Cooperation</w:t>
      </w:r>
    </w:p>
    <w:p w14:paraId="41EFCAF0" w14:textId="77777777" w:rsidR="00CA7ABD" w:rsidRDefault="00000000">
      <w:pPr>
        <w:rPr>
          <w:rFonts w:hint="eastAsia"/>
        </w:rPr>
      </w:pPr>
      <w:r>
        <w:t>Uzbekistan and Iran maintain bilateral cooperation through the Joint Economic Commission. Uzbekistan has significant expertise in irrigated cotton agriculture, silk production, and artisanal crafts. Uzbekistan participates in the China-Central Asia-West Asia Economic Corridor, which connects to Iranian transport infrastructure.</w:t>
      </w:r>
    </w:p>
    <w:p w14:paraId="274924B8" w14:textId="77777777" w:rsidR="00CA7ABD" w:rsidRDefault="00000000">
      <w:pPr>
        <w:rPr>
          <w:rFonts w:hint="eastAsia"/>
        </w:rPr>
      </w:pPr>
      <w:r>
        <w:t>Type: Bilateral/Regional | Est. Allocation: $50-100M | Application: Through bilateral cooperation and regional corridor frameworks | Focus: Agriculture, transport connectivity, cultural heritage.</w:t>
      </w:r>
    </w:p>
    <w:p w14:paraId="3C125DEB" w14:textId="77777777" w:rsidR="00CA7ABD" w:rsidRDefault="00000000">
      <w:pPr>
        <w:pStyle w:val="Heading3"/>
        <w:rPr>
          <w:rFonts w:hint="eastAsia"/>
        </w:rPr>
      </w:pPr>
      <w:r>
        <w:t>I.6 Innovative and Cross-Cutting Financing Mechanisms</w:t>
      </w:r>
    </w:p>
    <w:p w14:paraId="27A9C741" w14:textId="77777777" w:rsidR="00CA7ABD" w:rsidRDefault="00000000">
      <w:pPr>
        <w:rPr>
          <w:rFonts w:hint="eastAsia"/>
        </w:rPr>
      </w:pPr>
      <w:r>
        <w:t>The following mechanisms are identified through systematic analysis of international finance literature and development finance databases. These mechanisms complement the MRF's existing architecture and provide additional pathways for capital mobilization.</w:t>
      </w:r>
    </w:p>
    <w:p w14:paraId="374DDC02" w14:textId="77777777" w:rsidR="00CA7ABD" w:rsidRDefault="00000000">
      <w:pPr>
        <w:pStyle w:val="Heading3"/>
        <w:rPr>
          <w:rFonts w:hint="eastAsia"/>
        </w:rPr>
      </w:pPr>
      <w:r>
        <w:t>First-Loss Capital Mechanisms</w:t>
      </w:r>
    </w:p>
    <w:p w14:paraId="40FE18EF" w14:textId="77777777" w:rsidR="00CA7ABD" w:rsidRDefault="00000000">
      <w:pPr>
        <w:rPr>
          <w:rFonts w:hint="eastAsia"/>
        </w:rPr>
      </w:pPr>
      <w:r>
        <w:t>First-loss capital involves concessional or philanthropic capital that absorbs initial losses, protecting senior private investors. The UN Capital Development Fund (UNCDF) ReStart Fund provides catalytic de-risking instruments for fragile settings. First-loss capital is particularly valuable for Iran as the primary barrier to private investment is perceived risk.</w:t>
      </w:r>
    </w:p>
    <w:p w14:paraId="6F0F6B5A" w14:textId="77777777" w:rsidR="00CA7ABD" w:rsidRDefault="00000000">
      <w:pPr>
        <w:rPr>
          <w:rFonts w:hint="eastAsia"/>
        </w:rPr>
      </w:pPr>
      <w:r>
        <w:t>The MRF structures first-loss capital through: (1) The PRI Pool absorbing initial losses on private investments, (2) Contingency Reserve Funds covering cost overruns, (3) The Qatar Central Bank providing partial credit guarantees for senior tranches. This layering enables pension funds and insurance companies to invest at scale.</w:t>
      </w:r>
    </w:p>
    <w:p w14:paraId="3D96566E" w14:textId="77777777" w:rsidR="00CA7ABD" w:rsidRDefault="00000000">
      <w:pPr>
        <w:pStyle w:val="Heading3"/>
        <w:rPr>
          <w:rFonts w:hint="eastAsia"/>
        </w:rPr>
      </w:pPr>
      <w:r>
        <w:t>Infrastructure Asset-Backed Securitization (IABS)</w:t>
      </w:r>
    </w:p>
    <w:p w14:paraId="4B7E81D1" w14:textId="77777777" w:rsidR="00CA7ABD" w:rsidRDefault="00000000">
      <w:pPr>
        <w:rPr>
          <w:rFonts w:hint="eastAsia"/>
        </w:rPr>
      </w:pPr>
      <w:r>
        <w:t>IABS converts future infrastructure revenue streams into upfront capital through bond issuance. Completed MRF assets (toll roads, power plants, water utilities) generate revenue that is securitized and sold to institutional investors. Proceeds from bond issuance flow into Sub-Funds for deployment to new projects, enabling capital recycling across multiple project generations.</w:t>
      </w:r>
    </w:p>
    <w:p w14:paraId="4F47102F" w14:textId="77777777" w:rsidR="00CA7ABD" w:rsidRDefault="00000000">
      <w:pPr>
        <w:pStyle w:val="Heading3"/>
        <w:rPr>
          <w:rFonts w:hint="eastAsia"/>
        </w:rPr>
      </w:pPr>
      <w:r>
        <w:t>Mutual Reliance Agreements (MRAs) for MDB Co-Financing</w:t>
      </w:r>
    </w:p>
    <w:p w14:paraId="7444AC12" w14:textId="77777777" w:rsidR="00CA7ABD" w:rsidRDefault="00000000">
      <w:pPr>
        <w:rPr>
          <w:rFonts w:hint="eastAsia"/>
        </w:rPr>
      </w:pPr>
      <w:r>
        <w:t>MRAs enable one MDB to rely on another's procurement, environmental, and social safeguard procedures, reducing transaction costs and accelerating project processing. The RSC pursues MRAs with the World Bank, ADB, IsDB, and AfDB. Under an MRA, the World Bank relies on IsDB procurement procedures for co-financed projects, eliminating duplicate processes.</w:t>
      </w:r>
    </w:p>
    <w:p w14:paraId="098A15F2" w14:textId="77777777" w:rsidR="00CA7ABD" w:rsidRDefault="00000000">
      <w:pPr>
        <w:pStyle w:val="Heading3"/>
        <w:rPr>
          <w:rFonts w:hint="eastAsia"/>
        </w:rPr>
      </w:pPr>
      <w:r>
        <w:t>Green Sukuk for Climate Finance</w:t>
      </w:r>
    </w:p>
    <w:p w14:paraId="11788B81" w14:textId="77777777" w:rsidR="00CA7ABD" w:rsidRDefault="00000000">
      <w:pPr>
        <w:rPr>
          <w:rFonts w:hint="eastAsia"/>
        </w:rPr>
      </w:pPr>
      <w:r>
        <w:t>The IsDB issued its inaugural Green Sukuk in 2024 (EUR 500 million, 5x oversubscribed), demonstrating strong demand for Shari'ah-compliant climate finance. Indonesia has issued over $3.5 billion in sovereign Green Sukuk for renewable energy and climate adaptation. Malaysia operates the world's largest sukuk market. These precedents enable MRF Green Sukuk issuances specifically for Iranian climate-resilient reconstruction.</w:t>
      </w:r>
    </w:p>
    <w:p w14:paraId="588C9C3E" w14:textId="77777777" w:rsidR="00CA7ABD" w:rsidRDefault="00000000">
      <w:pPr>
        <w:pStyle w:val="Heading3"/>
        <w:rPr>
          <w:rFonts w:hint="eastAsia"/>
        </w:rPr>
      </w:pPr>
      <w:r>
        <w:t>Conflict-Sensitive Blended Finance (KKCF Model)</w:t>
      </w:r>
    </w:p>
    <w:p w14:paraId="2552E233" w14:textId="77777777" w:rsidR="00CA7ABD" w:rsidRDefault="00000000">
      <w:pPr>
        <w:rPr>
          <w:rFonts w:hint="eastAsia"/>
        </w:rPr>
      </w:pPr>
      <w:r>
        <w:t>The IFC's Kakuma Kalobeyei Challenge Fund demonstrates a dual-benefit blended finance model treating crisis-affected areas as investable markets. Key principles: (1) displaced populations are part of the market, (2) grants connect to downstream credit, (3) broad partnerships mitigate risk, (4) conflict sensitivity guides all operations. The MRF adapts this model for Iranian post-conflict zones.</w:t>
      </w:r>
    </w:p>
    <w:p w14:paraId="77BC72AD" w14:textId="77777777" w:rsidR="00CA7ABD" w:rsidRDefault="00000000">
      <w:pPr>
        <w:pStyle w:val="Heading3"/>
        <w:rPr>
          <w:rFonts w:hint="eastAsia"/>
        </w:rPr>
      </w:pPr>
      <w:r>
        <w:t>Missing Middle Recovery Funds</w:t>
      </w:r>
    </w:p>
    <w:p w14:paraId="138840E0" w14:textId="77777777" w:rsidR="00CA7ABD" w:rsidRDefault="00000000">
      <w:pPr>
        <w:rPr>
          <w:rFonts w:hint="eastAsia"/>
        </w:rPr>
      </w:pPr>
      <w:r>
        <w:t>Recovery funds bridge the gap between humanitarian response and long-term development. The UNCDF-UNDP ReStart Fund offers a continuum from initial recovery grants to catalytic capital. The Recovery and Resilience Financing Platform (RRFP), endorsed by AfDB, EIB, World Bank, and IFAD, provides tailored support for country-led recovery financing. The MRF's 60-day stabilization period connects directly to these facilities.</w:t>
      </w:r>
    </w:p>
    <w:p w14:paraId="6D2D85BF" w14:textId="77777777" w:rsidR="00CA7ABD" w:rsidRDefault="00000000">
      <w:pPr>
        <w:pStyle w:val="Heading3"/>
        <w:rPr>
          <w:rFonts w:hint="eastAsia"/>
        </w:rPr>
      </w:pPr>
      <w:r>
        <w:t>Development Impact Bonds (DIBs) and Humanitarian Impact Bonds (HIBs)</w:t>
      </w:r>
    </w:p>
    <w:p w14:paraId="0670EF52" w14:textId="77777777" w:rsidR="00CA7ABD" w:rsidRDefault="00000000">
      <w:pPr>
        <w:rPr>
          <w:rFonts w:hint="eastAsia"/>
        </w:rPr>
      </w:pPr>
      <w:r>
        <w:t>DIBs provide upfront private investment repaid by outcome funders if specific results are achieved. The World Bank's Finance for Jobs DIB in the West Bank demonstrates viability for conflict-affected settings. HIBs are DIB variants for humanitarian settings - the ICRC's HIB raised CHF 26 million for physical rehabilitation centers. The MRF targets $500M-1B in DIB issuance and $200-500M in HIB issuance.</w:t>
      </w:r>
    </w:p>
    <w:p w14:paraId="3599C4E0" w14:textId="77777777" w:rsidR="00CA7ABD" w:rsidRDefault="00000000">
      <w:pPr>
        <w:pStyle w:val="Heading3"/>
        <w:rPr>
          <w:rFonts w:hint="eastAsia"/>
        </w:rPr>
      </w:pPr>
      <w:r>
        <w:t>State and Peacebuilding Fund (SPF) and Central Emergency Response Fund (CERF)</w:t>
      </w:r>
    </w:p>
    <w:p w14:paraId="6722A608" w14:textId="77777777" w:rsidR="00CA7ABD" w:rsidRDefault="00000000">
      <w:pPr>
        <w:rPr>
          <w:rFonts w:hint="eastAsia"/>
        </w:rPr>
      </w:pPr>
      <w:r>
        <w:t>The World Bank SPF provides catalytic financing for peacebuilding and institutional strengthening in fragile settings. CERF allocates over $500 million annually for rapid response to sudden-onset emergencies, processing grants within 72 hours. Both funds are accessible to Iran through the World Bank country office and UN Resident Coordinator.</w:t>
      </w:r>
    </w:p>
    <w:p w14:paraId="374866E2" w14:textId="77777777" w:rsidR="00CA7ABD" w:rsidRDefault="00000000">
      <w:pPr>
        <w:pStyle w:val="Heading3"/>
        <w:rPr>
          <w:rFonts w:hint="eastAsia"/>
        </w:rPr>
      </w:pPr>
      <w:r>
        <w:t>I.7 Summary of Country-by-Country Funding Potential</w:t>
      </w:r>
    </w:p>
    <w:p w14:paraId="6F9FCE1B" w14:textId="77777777" w:rsidR="00CA7ABD" w:rsidRDefault="00000000">
      <w:pPr>
        <w:rPr>
          <w:rFonts w:hint="eastAsia"/>
        </w:rPr>
      </w:pPr>
      <w:r>
        <w:t>The following table summarizes the additional funding sources documented in this Appendix by region:</w:t>
      </w:r>
    </w:p>
    <w:tbl>
      <w:tblPr>
        <w:tblW w:w="5000" w:type="pct"/>
        <w:tblInd w:w="-8"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3861"/>
        <w:gridCol w:w="3151"/>
        <w:gridCol w:w="2214"/>
      </w:tblGrid>
      <w:tr w:rsidR="00CA7ABD" w14:paraId="19CAFC91" w14:textId="77777777">
        <w:tc>
          <w:tcPr>
            <w:tcW w:w="0" w:type="auto"/>
            <w:shd w:val="clear" w:color="auto" w:fill="37474F"/>
          </w:tcPr>
          <w:p w14:paraId="60B2D220" w14:textId="77777777" w:rsidR="00CA7ABD" w:rsidRDefault="00000000">
            <w:pPr>
              <w:rPr>
                <w:rFonts w:hint="eastAsia"/>
              </w:rPr>
            </w:pPr>
            <w:r>
              <w:rPr>
                <w:b/>
                <w:color w:val="FFFFFF"/>
                <w:sz w:val="19"/>
              </w:rPr>
              <w:t>Region</w:t>
            </w:r>
          </w:p>
        </w:tc>
        <w:tc>
          <w:tcPr>
            <w:tcW w:w="0" w:type="auto"/>
            <w:shd w:val="clear" w:color="auto" w:fill="37474F"/>
          </w:tcPr>
          <w:p w14:paraId="4733FA41" w14:textId="77777777" w:rsidR="00CA7ABD" w:rsidRDefault="00000000">
            <w:pPr>
              <w:rPr>
                <w:rFonts w:hint="eastAsia"/>
              </w:rPr>
            </w:pPr>
            <w:r>
              <w:rPr>
                <w:b/>
                <w:color w:val="FFFFFF"/>
                <w:sz w:val="19"/>
              </w:rPr>
              <w:t>Countries Covered</w:t>
            </w:r>
          </w:p>
        </w:tc>
        <w:tc>
          <w:tcPr>
            <w:tcW w:w="0" w:type="auto"/>
            <w:shd w:val="clear" w:color="auto" w:fill="37474F"/>
          </w:tcPr>
          <w:p w14:paraId="30146748" w14:textId="77777777" w:rsidR="00CA7ABD" w:rsidRDefault="00000000">
            <w:pPr>
              <w:rPr>
                <w:rFonts w:hint="eastAsia"/>
              </w:rPr>
            </w:pPr>
            <w:r>
              <w:rPr>
                <w:b/>
                <w:color w:val="FFFFFF"/>
                <w:sz w:val="19"/>
              </w:rPr>
              <w:t>Est. Range</w:t>
            </w:r>
          </w:p>
        </w:tc>
      </w:tr>
      <w:tr w:rsidR="00CA7ABD" w14:paraId="4AF5311C" w14:textId="77777777">
        <w:tc>
          <w:tcPr>
            <w:tcW w:w="0" w:type="auto"/>
          </w:tcPr>
          <w:p w14:paraId="1B47FE20" w14:textId="77777777" w:rsidR="00CA7ABD" w:rsidRDefault="00000000">
            <w:pPr>
              <w:rPr>
                <w:rFonts w:hint="eastAsia"/>
              </w:rPr>
            </w:pPr>
            <w:r>
              <w:rPr>
                <w:sz w:val="19"/>
              </w:rPr>
              <w:t>East Asia and Pacific</w:t>
            </w:r>
          </w:p>
        </w:tc>
        <w:tc>
          <w:tcPr>
            <w:tcW w:w="0" w:type="auto"/>
          </w:tcPr>
          <w:p w14:paraId="33ECD4FD" w14:textId="77777777" w:rsidR="00CA7ABD" w:rsidRDefault="00000000">
            <w:pPr>
              <w:rPr>
                <w:rFonts w:hint="eastAsia"/>
              </w:rPr>
            </w:pPr>
            <w:r>
              <w:rPr>
                <w:sz w:val="19"/>
              </w:rPr>
              <w:t>13 countries</w:t>
            </w:r>
          </w:p>
        </w:tc>
        <w:tc>
          <w:tcPr>
            <w:tcW w:w="0" w:type="auto"/>
          </w:tcPr>
          <w:p w14:paraId="1FB3ACB4" w14:textId="77777777" w:rsidR="00CA7ABD" w:rsidRDefault="00000000">
            <w:pPr>
              <w:rPr>
                <w:rFonts w:hint="eastAsia"/>
              </w:rPr>
            </w:pPr>
            <w:r>
              <w:rPr>
                <w:sz w:val="19"/>
              </w:rPr>
              <w:t>$17-50B</w:t>
            </w:r>
          </w:p>
        </w:tc>
      </w:tr>
      <w:tr w:rsidR="00CA7ABD" w14:paraId="29C88888" w14:textId="77777777">
        <w:tc>
          <w:tcPr>
            <w:tcW w:w="0" w:type="auto"/>
            <w:shd w:val="clear" w:color="auto" w:fill="ECEFF1"/>
          </w:tcPr>
          <w:p w14:paraId="3B69D018" w14:textId="77777777" w:rsidR="00CA7ABD" w:rsidRDefault="00000000">
            <w:pPr>
              <w:rPr>
                <w:rFonts w:hint="eastAsia"/>
              </w:rPr>
            </w:pPr>
            <w:r>
              <w:rPr>
                <w:sz w:val="19"/>
              </w:rPr>
              <w:t>Europe and North America</w:t>
            </w:r>
          </w:p>
        </w:tc>
        <w:tc>
          <w:tcPr>
            <w:tcW w:w="0" w:type="auto"/>
            <w:shd w:val="clear" w:color="auto" w:fill="ECEFF1"/>
          </w:tcPr>
          <w:p w14:paraId="65610926" w14:textId="77777777" w:rsidR="00CA7ABD" w:rsidRDefault="00000000">
            <w:pPr>
              <w:rPr>
                <w:rFonts w:hint="eastAsia"/>
              </w:rPr>
            </w:pPr>
            <w:r>
              <w:rPr>
                <w:sz w:val="19"/>
              </w:rPr>
              <w:t>22 countries</w:t>
            </w:r>
          </w:p>
        </w:tc>
        <w:tc>
          <w:tcPr>
            <w:tcW w:w="0" w:type="auto"/>
            <w:shd w:val="clear" w:color="auto" w:fill="ECEFF1"/>
          </w:tcPr>
          <w:p w14:paraId="56A8EE3D" w14:textId="77777777" w:rsidR="00CA7ABD" w:rsidRDefault="00000000">
            <w:pPr>
              <w:rPr>
                <w:rFonts w:hint="eastAsia"/>
              </w:rPr>
            </w:pPr>
            <w:r>
              <w:rPr>
                <w:sz w:val="19"/>
              </w:rPr>
              <w:t>$7-15B</w:t>
            </w:r>
          </w:p>
        </w:tc>
      </w:tr>
      <w:tr w:rsidR="00CA7ABD" w14:paraId="7BCD85CD" w14:textId="77777777">
        <w:tc>
          <w:tcPr>
            <w:tcW w:w="0" w:type="auto"/>
          </w:tcPr>
          <w:p w14:paraId="0D2A923D" w14:textId="77777777" w:rsidR="00CA7ABD" w:rsidRDefault="00000000">
            <w:pPr>
              <w:rPr>
                <w:rFonts w:hint="eastAsia"/>
              </w:rPr>
            </w:pPr>
            <w:r>
              <w:rPr>
                <w:sz w:val="19"/>
              </w:rPr>
              <w:t>MENA and Africa</w:t>
            </w:r>
          </w:p>
        </w:tc>
        <w:tc>
          <w:tcPr>
            <w:tcW w:w="0" w:type="auto"/>
          </w:tcPr>
          <w:p w14:paraId="3538F6EB" w14:textId="77777777" w:rsidR="00CA7ABD" w:rsidRDefault="00000000">
            <w:pPr>
              <w:rPr>
                <w:rFonts w:hint="eastAsia"/>
              </w:rPr>
            </w:pPr>
            <w:r>
              <w:rPr>
                <w:sz w:val="19"/>
              </w:rPr>
              <w:t>9 countries</w:t>
            </w:r>
          </w:p>
        </w:tc>
        <w:tc>
          <w:tcPr>
            <w:tcW w:w="0" w:type="auto"/>
          </w:tcPr>
          <w:p w14:paraId="65655728" w14:textId="77777777" w:rsidR="00CA7ABD" w:rsidRDefault="00000000">
            <w:pPr>
              <w:rPr>
                <w:rFonts w:hint="eastAsia"/>
              </w:rPr>
            </w:pPr>
            <w:r>
              <w:rPr>
                <w:sz w:val="19"/>
              </w:rPr>
              <w:t>$570M-1.4B</w:t>
            </w:r>
          </w:p>
        </w:tc>
      </w:tr>
      <w:tr w:rsidR="00CA7ABD" w14:paraId="3E69AD08" w14:textId="77777777">
        <w:tc>
          <w:tcPr>
            <w:tcW w:w="0" w:type="auto"/>
            <w:shd w:val="clear" w:color="auto" w:fill="ECEFF1"/>
          </w:tcPr>
          <w:p w14:paraId="1692F55F" w14:textId="77777777" w:rsidR="00CA7ABD" w:rsidRDefault="00000000">
            <w:pPr>
              <w:rPr>
                <w:rFonts w:hint="eastAsia"/>
              </w:rPr>
            </w:pPr>
            <w:r>
              <w:rPr>
                <w:sz w:val="19"/>
              </w:rPr>
              <w:t>Americas</w:t>
            </w:r>
          </w:p>
        </w:tc>
        <w:tc>
          <w:tcPr>
            <w:tcW w:w="0" w:type="auto"/>
            <w:shd w:val="clear" w:color="auto" w:fill="ECEFF1"/>
          </w:tcPr>
          <w:p w14:paraId="1EDC0692" w14:textId="77777777" w:rsidR="00CA7ABD" w:rsidRDefault="00000000">
            <w:pPr>
              <w:rPr>
                <w:rFonts w:hint="eastAsia"/>
              </w:rPr>
            </w:pPr>
            <w:r>
              <w:rPr>
                <w:sz w:val="19"/>
              </w:rPr>
              <w:t>4 countries</w:t>
            </w:r>
          </w:p>
        </w:tc>
        <w:tc>
          <w:tcPr>
            <w:tcW w:w="0" w:type="auto"/>
            <w:shd w:val="clear" w:color="auto" w:fill="ECEFF1"/>
          </w:tcPr>
          <w:p w14:paraId="79F4C655" w14:textId="77777777" w:rsidR="00CA7ABD" w:rsidRDefault="00000000">
            <w:pPr>
              <w:rPr>
                <w:rFonts w:hint="eastAsia"/>
              </w:rPr>
            </w:pPr>
            <w:r>
              <w:rPr>
                <w:sz w:val="19"/>
              </w:rPr>
              <w:t>$430-750M</w:t>
            </w:r>
          </w:p>
        </w:tc>
      </w:tr>
      <w:tr w:rsidR="00CA7ABD" w14:paraId="2D309DA4" w14:textId="77777777">
        <w:tc>
          <w:tcPr>
            <w:tcW w:w="0" w:type="auto"/>
          </w:tcPr>
          <w:p w14:paraId="771FD303" w14:textId="77777777" w:rsidR="00CA7ABD" w:rsidRDefault="00000000">
            <w:pPr>
              <w:rPr>
                <w:rFonts w:hint="eastAsia"/>
              </w:rPr>
            </w:pPr>
            <w:r>
              <w:rPr>
                <w:sz w:val="19"/>
              </w:rPr>
              <w:t>Additional OIC Members</w:t>
            </w:r>
          </w:p>
        </w:tc>
        <w:tc>
          <w:tcPr>
            <w:tcW w:w="0" w:type="auto"/>
          </w:tcPr>
          <w:p w14:paraId="1AEF0265" w14:textId="77777777" w:rsidR="00CA7ABD" w:rsidRDefault="00000000">
            <w:pPr>
              <w:rPr>
                <w:rFonts w:hint="eastAsia"/>
              </w:rPr>
            </w:pPr>
            <w:r>
              <w:rPr>
                <w:sz w:val="19"/>
              </w:rPr>
              <w:t>6 countries</w:t>
            </w:r>
          </w:p>
        </w:tc>
        <w:tc>
          <w:tcPr>
            <w:tcW w:w="0" w:type="auto"/>
          </w:tcPr>
          <w:p w14:paraId="5E3B8A2C" w14:textId="77777777" w:rsidR="00CA7ABD" w:rsidRDefault="00000000">
            <w:pPr>
              <w:rPr>
                <w:rFonts w:hint="eastAsia"/>
              </w:rPr>
            </w:pPr>
            <w:r>
              <w:rPr>
                <w:sz w:val="19"/>
              </w:rPr>
              <w:t>$300-700M</w:t>
            </w:r>
          </w:p>
        </w:tc>
      </w:tr>
      <w:tr w:rsidR="00CA7ABD" w14:paraId="20A5184D" w14:textId="77777777">
        <w:tc>
          <w:tcPr>
            <w:tcW w:w="0" w:type="auto"/>
            <w:shd w:val="clear" w:color="auto" w:fill="ECEFF1"/>
          </w:tcPr>
          <w:p w14:paraId="3D1C6662" w14:textId="77777777" w:rsidR="00CA7ABD" w:rsidRDefault="00000000">
            <w:pPr>
              <w:rPr>
                <w:rFonts w:hint="eastAsia"/>
              </w:rPr>
            </w:pPr>
            <w:r>
              <w:rPr>
                <w:sz w:val="19"/>
              </w:rPr>
              <w:t>Innovative Mechanisms</w:t>
            </w:r>
          </w:p>
        </w:tc>
        <w:tc>
          <w:tcPr>
            <w:tcW w:w="0" w:type="auto"/>
            <w:shd w:val="clear" w:color="auto" w:fill="ECEFF1"/>
          </w:tcPr>
          <w:p w14:paraId="05909439" w14:textId="77777777" w:rsidR="00CA7ABD" w:rsidRDefault="00000000">
            <w:pPr>
              <w:rPr>
                <w:rFonts w:hint="eastAsia"/>
              </w:rPr>
            </w:pPr>
            <w:r>
              <w:rPr>
                <w:sz w:val="19"/>
              </w:rPr>
              <w:t>Cross-cutting</w:t>
            </w:r>
          </w:p>
        </w:tc>
        <w:tc>
          <w:tcPr>
            <w:tcW w:w="0" w:type="auto"/>
            <w:shd w:val="clear" w:color="auto" w:fill="ECEFF1"/>
          </w:tcPr>
          <w:p w14:paraId="16930149" w14:textId="77777777" w:rsidR="00CA7ABD" w:rsidRDefault="00000000">
            <w:pPr>
              <w:rPr>
                <w:rFonts w:hint="eastAsia"/>
              </w:rPr>
            </w:pPr>
            <w:r>
              <w:rPr>
                <w:sz w:val="19"/>
              </w:rPr>
              <w:t>$3-7B enabled</w:t>
            </w:r>
          </w:p>
        </w:tc>
      </w:tr>
      <w:tr w:rsidR="00CA7ABD" w14:paraId="3F365BB7" w14:textId="77777777">
        <w:tc>
          <w:tcPr>
            <w:tcW w:w="0" w:type="auto"/>
          </w:tcPr>
          <w:p w14:paraId="78A20016" w14:textId="77777777" w:rsidR="00CA7ABD" w:rsidRDefault="00000000">
            <w:pPr>
              <w:rPr>
                <w:rFonts w:hint="eastAsia"/>
              </w:rPr>
            </w:pPr>
            <w:r>
              <w:rPr>
                <w:sz w:val="19"/>
              </w:rPr>
              <w:t>TOTAL APPENDIX I</w:t>
            </w:r>
          </w:p>
        </w:tc>
        <w:tc>
          <w:tcPr>
            <w:tcW w:w="0" w:type="auto"/>
          </w:tcPr>
          <w:p w14:paraId="79EA3C15" w14:textId="77777777" w:rsidR="00CA7ABD" w:rsidRDefault="00000000">
            <w:pPr>
              <w:rPr>
                <w:rFonts w:hint="eastAsia"/>
              </w:rPr>
            </w:pPr>
            <w:r>
              <w:rPr>
                <w:sz w:val="19"/>
              </w:rPr>
              <w:t>54 countries</w:t>
            </w:r>
          </w:p>
        </w:tc>
        <w:tc>
          <w:tcPr>
            <w:tcW w:w="0" w:type="auto"/>
          </w:tcPr>
          <w:p w14:paraId="2A0FE7A5" w14:textId="77777777" w:rsidR="00CA7ABD" w:rsidRDefault="00000000">
            <w:pPr>
              <w:rPr>
                <w:rFonts w:hint="eastAsia"/>
              </w:rPr>
            </w:pPr>
            <w:r>
              <w:rPr>
                <w:sz w:val="19"/>
              </w:rPr>
              <w:t>$28-74B</w:t>
            </w:r>
          </w:p>
        </w:tc>
      </w:tr>
    </w:tbl>
    <w:p w14:paraId="23694CDB" w14:textId="77777777" w:rsidR="00CA7ABD" w:rsidRDefault="00000000">
      <w:pPr>
        <w:pStyle w:val="Heading3"/>
        <w:rPr>
          <w:rFonts w:hint="eastAsia"/>
        </w:rPr>
      </w:pPr>
      <w:r>
        <w:t>I.7 Additional Asian Financial Centers</w:t>
      </w:r>
    </w:p>
    <w:p w14:paraId="19B62B14" w14:textId="77777777" w:rsidR="00CA7ABD" w:rsidRDefault="00000000">
      <w:pPr>
        <w:pStyle w:val="Heading3"/>
        <w:rPr>
          <w:rFonts w:hint="eastAsia"/>
        </w:rPr>
      </w:pPr>
      <w:r>
        <w:t>Singapore</w:t>
      </w:r>
    </w:p>
    <w:p w14:paraId="7C9F569C" w14:textId="77777777" w:rsidR="00CA7ABD" w:rsidRDefault="00000000">
      <w:pPr>
        <w:rPr>
          <w:rFonts w:hint="eastAsia"/>
        </w:rPr>
      </w:pPr>
      <w:r>
        <w:t>Singapore deploys two of the world's largest sovereign wealth funds. GIC Private Limited manages over US$800 billion in assets, with a global portfolio spanning infrastructure, real estate, and equities across 40 countries. GIC co-invests in major infrastructure projects including power grids, data centers, and transport networks. Temasek Holdings manages approximately US$400 billion with a concentrated Asia-focused portfolio. Temasek invests directly in energy infrastructure, sustainable solutions, and urban development. Both funds participate in blended finance structures and co-investment platforms alongside multilateral development banks. Singapore's sovereign funds demonstrate appetite for long-tenor infrastructure exposure in emerging markets. Access pathway: The NDF Secretariat engages GIC and Temasek through their respective London and New York offices, presenting co-investment opportunities alongside AfDB or World Bank facilities. Proposed instrument: Singaporean SWF capital participates as equity anchor in Sub-Fund VI (Infrastructure Modernization) with 15-20 year horizon.</w:t>
      </w:r>
    </w:p>
    <w:p w14:paraId="07CA8F4B" w14:textId="77777777" w:rsidR="00CA7ABD" w:rsidRDefault="00000000">
      <w:pPr>
        <w:pStyle w:val="Heading3"/>
        <w:rPr>
          <w:rFonts w:hint="eastAsia"/>
        </w:rPr>
      </w:pPr>
      <w:r>
        <w:t>Vietnam</w:t>
      </w:r>
    </w:p>
    <w:p w14:paraId="00E7E407" w14:textId="77777777" w:rsidR="00CA7ABD" w:rsidRDefault="00000000">
      <w:pPr>
        <w:rPr>
          <w:rFonts w:hint="eastAsia"/>
        </w:rPr>
      </w:pPr>
      <w:r>
        <w:t>Vietnam's State Capital Investment Corporation (SCIC) manages state-owned enterprise divestment proceeds and strategic investments exceeding US$7 billion. SCIC actively seeks infrastructure partnerships in Southeast Asia and neighboring regions. The Vietnam Development Bank provides medium-to-long term financing for infrastructure and industrial projects. Vietnam has accumulated substantial construction expertise through domestic infrastructure build-out and participates in regional contracting consortia. Access pathway: SCIC evaluates co-investment opportunities through bilateral channels with the Ministry of Planning and Investment. Proposed instrument: SCIC equity participation in Sub-Fund II (Industrial Zone Revitalization) paired with Vietnamese construction contractor involvement in project implementation.</w:t>
      </w:r>
    </w:p>
    <w:p w14:paraId="5B23815C" w14:textId="77777777" w:rsidR="00CA7ABD" w:rsidRDefault="00000000">
      <w:pPr>
        <w:pStyle w:val="Heading3"/>
        <w:rPr>
          <w:rFonts w:hint="eastAsia"/>
        </w:rPr>
      </w:pPr>
      <w:r>
        <w:t>Kazakhstan</w:t>
      </w:r>
    </w:p>
    <w:p w14:paraId="7C2695B0" w14:textId="77777777" w:rsidR="00CA7ABD" w:rsidRDefault="00000000">
      <w:pPr>
        <w:rPr>
          <w:rFonts w:hint="eastAsia"/>
        </w:rPr>
      </w:pPr>
      <w:r>
        <w:t>Kazakhstan's Kazakhstan ranks among the world's top 25 sovereign wealth fund operators. Samruk-Kazyna Sovereign Wealth Fund manages over US$100 billion in assets and has attracted US$27 billion in foreign investment over the past six years. The fund actively pursues foreign direct investment in energy, transport, and digital infrastructure. The Development Bank of Kazakhstan (DBK) serves as the national development institution, disbursing 1,465.7 billion tenge (approximately US$3.1 billion) in 2024 for manufacturing, energy, and infrastructure projects. DBK maintains a US$1 billion credit line with the China Development Bank. The Kazakhstan Investment Development Fund (KIDF) co-invests with foreign partners in non-extractive sectors, sharing risks with foreign entities. Baiterek National Investment Holding, the parent for DBK and other institutions, plans to borrow US$3 billion abroad in 2026.</w:t>
      </w:r>
    </w:p>
    <w:p w14:paraId="6F49827C" w14:textId="77777777" w:rsidR="00CA7ABD" w:rsidRDefault="00000000">
      <w:pPr>
        <w:rPr>
          <w:rFonts w:hint="eastAsia"/>
        </w:rPr>
      </w:pPr>
      <w:r>
        <w:t>Kazakhstan's ODA reached US$50.4 million in 2024, with 83.9% delivered bilaterally through KazAID (Agency of International Development, established 2020). KazAID focuses on agriculture, food security, environmental protection, education, and healthcare, and contributes US$16.1 million annually to the UN system (WHO, UNDP, FAO). Kazakhstan and Iran maintain robust economic ties through the International North-South Transport Corridor (INSTC), which recorded a 53% traffic increase in 2025. Iranian President Pezeshkian and Kazakh President Tokayev met in late 2025, with Kazakhstan committing to supply US$200 million in goods to Iran and signing agreements on transport, healthcare, and intellectual property. While regional conflict has paused some joint projects, Kazakhstan offers strong potential for large-scale industrial and transport co-financing once political conditions stabilize.</w:t>
      </w:r>
    </w:p>
    <w:p w14:paraId="721FD17F" w14:textId="77777777" w:rsidR="00CA7ABD" w:rsidRDefault="00000000">
      <w:pPr>
        <w:rPr>
          <w:rFonts w:hint="eastAsia"/>
        </w:rPr>
      </w:pPr>
      <w:r>
        <w:t>Access pathway: Samruk-Kazyna reviews investment proposals through its Astana headquarters. DBK processes project financing requests through bilateral government channels. KIDF evaluates joint venture proposals through its Almaty office. Proposed instrument: Samruk-Kazyna provides senior debt to Sub-Fund I (Energy Infrastructure Restoration) leveraging Kazakhstani construction expertise in oil/gas facility rebuilding. DBK co-finances Sub-Fund VI (Infrastructure Modernization) through bilateral intergovernmental agreements. KIDF participates as equity partner in Sub-Fund II (Industrial Zone Revitalization).</w:t>
      </w:r>
    </w:p>
    <w:p w14:paraId="49B4D81E" w14:textId="77777777" w:rsidR="00CA7ABD" w:rsidRDefault="00000000">
      <w:pPr>
        <w:pStyle w:val="Heading3"/>
        <w:rPr>
          <w:rFonts w:hint="eastAsia"/>
        </w:rPr>
      </w:pPr>
      <w:r>
        <w:t>Uzbekistan</w:t>
      </w:r>
    </w:p>
    <w:p w14:paraId="39D3CECA" w14:textId="77777777" w:rsidR="00CA7ABD" w:rsidRDefault="00000000">
      <w:pPr>
        <w:rPr>
          <w:rFonts w:hint="eastAsia"/>
        </w:rPr>
      </w:pPr>
      <w:r>
        <w:t>Uzbekistan's Fund for Reconstruction and Development (UFRD), established in 2006, operates as a sovereign wealth fund financing strategic infrastructure and modernization projects exceeding US$23 billion in total deployments. UFRD co-finances projects with the Asian Development Bank, Islamic Development Bank, and bilateral partners. The fund maintains active credit lines through Uzbekistan's major commercial banks for on-lending to priority sectors. UFRD's mandate explicitly includes co-financing with international financial institutions and foreign investors. Access pathway: UFRD processes co-financing proposals through the Council for Management of the Fund chaired by the Prime Minister. Proposed instrument: UFRD participates in blended finance structures for Sub-Fund I and Sub-Fund V through parallel ADB-IsDB coordination.</w:t>
      </w:r>
    </w:p>
    <w:p w14:paraId="0DB0F7B3" w14:textId="77777777" w:rsidR="00CA7ABD" w:rsidRDefault="00000000">
      <w:pPr>
        <w:pStyle w:val="Heading3"/>
        <w:rPr>
          <w:rFonts w:hint="eastAsia"/>
        </w:rPr>
      </w:pPr>
      <w:r>
        <w:t>Mongolia</w:t>
      </w:r>
    </w:p>
    <w:p w14:paraId="591B391C" w14:textId="77777777" w:rsidR="00CA7ABD" w:rsidRDefault="00000000">
      <w:pPr>
        <w:rPr>
          <w:rFonts w:hint="eastAsia"/>
        </w:rPr>
      </w:pPr>
      <w:r>
        <w:t>Mongolia's parliament approved the Sovereign Wealth Fund Law in April 2024, creating three diversified funds: the Future Heritage Fund (collects and invests proceeds from subsoil resources), the Savings Fund (underwrites public health, education, and housing investments), and the Development Fund (supports development projects from budget surplus). The Future Heritage Fund currently holds approximately MNT213 billion (US$80 million) in assets and receives 65% of all mining royalties and dividends from state-owned mining companies. Mongolia projects MNT1 trillion (approximately US$393 million) annual injection into the fund. The fund currently invests only in international financial instruments, with domestic infrastructure investment capability developing over time. Mongolia's mining sector expertise in coal, copper, and gold provides relevant technical knowledge for resource-based infrastructure development.</w:t>
      </w:r>
    </w:p>
    <w:p w14:paraId="046AD206" w14:textId="77777777" w:rsidR="00CA7ABD" w:rsidRDefault="00000000">
      <w:pPr>
        <w:rPr>
          <w:rFonts w:hint="eastAsia"/>
        </w:rPr>
      </w:pPr>
      <w:r>
        <w:t>Access pathway: The NDF Secretariat engages the Mongolian Ministry of Finance and the Sovereign Wealth Fund Council through the Asia-Pacific regional development forum. Proposed instrument: Future Heritage Fund co-investment in Sub-Fund I (Energy Infrastructure Restoration) on a learn-and-invest basis, pairing Mongolian mining infrastructure expertise with Iranian energy reconstruction priorities.</w:t>
      </w:r>
    </w:p>
    <w:p w14:paraId="1107E468" w14:textId="77777777" w:rsidR="00CA7ABD" w:rsidRDefault="00000000">
      <w:pPr>
        <w:pStyle w:val="Heading3"/>
        <w:rPr>
          <w:rFonts w:hint="eastAsia"/>
        </w:rPr>
      </w:pPr>
      <w:r>
        <w:t>I.8 Major African Economies</w:t>
      </w:r>
    </w:p>
    <w:p w14:paraId="76D23468" w14:textId="77777777" w:rsidR="00CA7ABD" w:rsidRDefault="00000000">
      <w:pPr>
        <w:pStyle w:val="Heading3"/>
        <w:rPr>
          <w:rFonts w:hint="eastAsia"/>
        </w:rPr>
      </w:pPr>
      <w:r>
        <w:t>Nigeria</w:t>
      </w:r>
    </w:p>
    <w:p w14:paraId="793176AF" w14:textId="77777777" w:rsidR="00CA7ABD" w:rsidRDefault="00000000">
      <w:pPr>
        <w:rPr>
          <w:rFonts w:hint="eastAsia"/>
        </w:rPr>
      </w:pPr>
      <w:r>
        <w:t>Nigeria's Sovereign Investment Authority (NSIA) manages US$2.86 billion across three ring-fenced funds: the Future Generations Fund, the Stabilization Fund, and the Nigeria Infrastructure Fund (NIF). NSIA holds GCF accreditation and operates Carbon Vista for carbon market development. The Authority directly financed major road reconstruction including the Abuja-Kano Road, Lagos-Ibadan Expressway, and Second Niger Bridge, demonstrating proven reconstruction execution capability. NSIA partners with the African Development Bank on infrastructure debt facilities and received a 12-year senior corporate loan from AfDB in 2024. Access pathway: NSIA evaluates African regional investment opportunities through its Abuja headquarters and London representative office. Proposed instrument: NSIA contributes equity to Sub-Fund VI through AfDB-coordinated African infrastructure platform, leveraging NSIA's direct reconstruction expertise.</w:t>
      </w:r>
    </w:p>
    <w:p w14:paraId="79A30FFB" w14:textId="77777777" w:rsidR="00CA7ABD" w:rsidRDefault="00000000">
      <w:pPr>
        <w:pStyle w:val="Heading3"/>
        <w:rPr>
          <w:rFonts w:hint="eastAsia"/>
        </w:rPr>
      </w:pPr>
      <w:r>
        <w:t>Kenya</w:t>
      </w:r>
    </w:p>
    <w:p w14:paraId="7FA90C7C" w14:textId="77777777" w:rsidR="00CA7ABD" w:rsidRDefault="00000000">
      <w:pPr>
        <w:rPr>
          <w:rFonts w:hint="eastAsia"/>
        </w:rPr>
      </w:pPr>
      <w:r>
        <w:t>Kenya's National Infrastructure Fund anchors a KSh5 trillion (US$40 billion) ten-year national transformation programme. Kenya has established comprehensive PPP legislation and institutional frameworks with World Bank support. The country mobilized US$90 million in IDA financing for PPP development, generating a pipeline of 69 projects. Kenya's capital markets infrastructure debt vehicle, Infra CDV, demonstrates innovative local currency financing structures. Kenya hosts the Nairobi International Financial Centre and the African Trade Insurance Agency. Access pathway: The NDF Secretariat engages Kenya's National Treasury and the National Infrastructure Fund through the East African Community secretariat in Arusha. Proposed instrument: Kenya provides co-guarantee facilities for East African contractor participation in Sub-Fund VI projects.</w:t>
      </w:r>
    </w:p>
    <w:p w14:paraId="1350FE71" w14:textId="77777777" w:rsidR="00CA7ABD" w:rsidRDefault="00000000">
      <w:pPr>
        <w:pStyle w:val="Heading3"/>
        <w:rPr>
          <w:rFonts w:hint="eastAsia"/>
        </w:rPr>
      </w:pPr>
      <w:r>
        <w:t>Ghana</w:t>
      </w:r>
    </w:p>
    <w:p w14:paraId="253DDF3D" w14:textId="77777777" w:rsidR="00CA7ABD" w:rsidRDefault="00000000">
      <w:pPr>
        <w:rPr>
          <w:rFonts w:hint="eastAsia"/>
        </w:rPr>
      </w:pPr>
      <w:r>
        <w:t>Ghana Infrastructure Investment Fund (GIIF), established by Act of Parliament in 2014, holds US$325 million in unlevered capital and has committed US$275 million across 12 transactions worth US$2.78 billion in total project costs, achieving 10x leverage. GIIF operates as a 100% government-owned body investing in power, transport, ICT, mining, tourism, and affordable housing through debt, equity, mezzanine, and credit enhancement instruments. The fund maintains active DFI partnerships and received an US$85 million international DFI facility. GIIF has proven capacity to create ring-fenced sub-funds for specific sectors. Access pathway: GIIF welcomes partnerships with DFIs and sovereign funds for African infrastructure co-investment through its Accra headquarters. Proposed instrument: GIIF establishes a dedicated Reconstruction Sub-Fund with NDF seed capital, applying its proven sub-fund architecture to regional reconstruction finance.</w:t>
      </w:r>
    </w:p>
    <w:p w14:paraId="51A9E4C0" w14:textId="77777777" w:rsidR="00CA7ABD" w:rsidRDefault="00000000">
      <w:pPr>
        <w:pStyle w:val="Heading3"/>
        <w:rPr>
          <w:rFonts w:hint="eastAsia"/>
        </w:rPr>
      </w:pPr>
      <w:r>
        <w:t>Morocco</w:t>
      </w:r>
    </w:p>
    <w:p w14:paraId="7DB97F6D" w14:textId="77777777" w:rsidR="00CA7ABD" w:rsidRDefault="00000000">
      <w:pPr>
        <w:rPr>
          <w:rFonts w:hint="eastAsia"/>
        </w:rPr>
      </w:pPr>
      <w:r>
        <w:t>Morocco maintains an active development finance ecosystem anchored by the High Atlas Development Agency (ADHA) for post-disaster reconstruction, currently executing a EUR1 billion EIB-supported earthquake recovery programme. Morocco's Banque Centrale Populaire and Attijariwafa Bank provide commercial infrastructure financing. The Mohammed VI Fund for Investment targets strategic sectors including renewable energy and industrial infrastructure. Morocco's reconstruction experience demonstrates institutional capacity to manage large-scale infrastructure recovery with multilateral coordination. Access pathway: Morocco engages through the ADHA and the Ministry of Economy and Finance in Rabat. Proposed instrument: Morocco provides technical assistance and reconstruction methodology transfer to Sub-Fund VI through ADHA partnership.</w:t>
      </w:r>
    </w:p>
    <w:p w14:paraId="505A6518" w14:textId="77777777" w:rsidR="00CA7ABD" w:rsidRDefault="00000000">
      <w:pPr>
        <w:pStyle w:val="Heading3"/>
        <w:rPr>
          <w:rFonts w:hint="eastAsia"/>
        </w:rPr>
      </w:pPr>
      <w:r>
        <w:t>Ethiopia</w:t>
      </w:r>
    </w:p>
    <w:p w14:paraId="36E52428" w14:textId="77777777" w:rsidR="00CA7ABD" w:rsidRDefault="00000000">
      <w:pPr>
        <w:rPr>
          <w:rFonts w:hint="eastAsia"/>
        </w:rPr>
      </w:pPr>
      <w:r>
        <w:t>Ethiopia's Development Bank of Ethiopia (DBE) provides long-term financing for industrial and infrastructure development. Ethiopia hosts the Africa Infrastructure Financing Facility (AIFF), launched in February 2026 by African Union heads of state to accelerate cross-border infrastructure project preparation and financing. The AIFF addresses Africa's US$221 billion annual infrastructure financing gap through coordinated African multilateral financial institution action. Ethiopia's Ten-Year Development Plan 2021-2030 emphasizes quality sustainable infrastructure and climate-smart innovations. Access pathway: Ethiopia engages through the AIFF secretariat in Addis Ababa and the African Union Commission. Proposed instrument: Ethiopian participation channels through AIFF coordination with AfDB and Alliance of African Multilateral Financial Institutions (AAMFI) for Sub-Fund VI project preparation.</w:t>
      </w:r>
    </w:p>
    <w:p w14:paraId="0FA8F597" w14:textId="77777777" w:rsidR="00CA7ABD" w:rsidRDefault="00000000">
      <w:pPr>
        <w:pStyle w:val="Heading3"/>
        <w:rPr>
          <w:rFonts w:hint="eastAsia"/>
        </w:rPr>
      </w:pPr>
      <w:r>
        <w:t>Mauritania</w:t>
      </w:r>
    </w:p>
    <w:p w14:paraId="5FE25A46" w14:textId="77777777" w:rsidR="00CA7ABD" w:rsidRDefault="00000000">
      <w:pPr>
        <w:rPr>
          <w:rFonts w:hint="eastAsia"/>
        </w:rPr>
      </w:pPr>
      <w:r>
        <w:t>Mauritania accesses reconstruction-relevant finance through multiple channels that demonstrate applicable pathways for the NDF. The African Development Fund (ADF) financed a US$4.78 million project to modernize Mauritania's financial infrastructure, cutting inflation and raising financial inclusion from 21% to 55%. The Arab Coordination Group (ACG) pledged US$2 billion over five years for energy, water, transport, and digital infrastructure in Mauritania. The Islamic Development Bank approved and signed multiple financing agreements totaling hundreds of millions for the Mauritania-Mali power interconnection, healthcare facilities, and rural electrification. The Saudi Fund for Development signed an agreement to finance a high-voltage electricity line connecting Mauritania and Mali. The OPEC Fund approved over US$316 million in financing for energy, water, and agriculture sectors in Mauritania. Mauritania's National Fund for Hydrocarbon Revenues holds sovereign resources though withdrawals have historically covered budget deficits rather than development projects. The Banc d'Arguin (BACoMaB) Biodiversity Trust Fund, supported by the EU and Germany, finances marine protected areas and demonstrates environment-fund mechanisms. Access pathway: Mauritania's Ministry of Economic Affairs coordinates with Arab and multilateral donors through the National Aid Coordination Framework. Proposed instrument: Mauritania channels ACG and OPEC Fund resources to Sub-Fund I and Sub-Fund VI through parallel co-financing structures.</w:t>
      </w:r>
    </w:p>
    <w:p w14:paraId="09AE2705" w14:textId="77777777" w:rsidR="00CA7ABD" w:rsidRDefault="00000000">
      <w:pPr>
        <w:pStyle w:val="Heading3"/>
        <w:rPr>
          <w:rFonts w:hint="eastAsia"/>
        </w:rPr>
      </w:pPr>
      <w:r>
        <w:t>I.9 Latin American Development Banks</w:t>
      </w:r>
    </w:p>
    <w:p w14:paraId="791B9A65" w14:textId="77777777" w:rsidR="00CA7ABD" w:rsidRDefault="00000000">
      <w:pPr>
        <w:pStyle w:val="Heading3"/>
        <w:rPr>
          <w:rFonts w:hint="eastAsia"/>
        </w:rPr>
      </w:pPr>
      <w:r>
        <w:t>Colombia</w:t>
      </w:r>
    </w:p>
    <w:p w14:paraId="32FEFBA5" w14:textId="77777777" w:rsidR="00CA7ABD" w:rsidRDefault="00000000">
      <w:pPr>
        <w:rPr>
          <w:rFonts w:hint="eastAsia"/>
        </w:rPr>
      </w:pPr>
      <w:r>
        <w:t>Colombia's Financiera de Desarrollo Nacional (FDN) serves as the country's principal infrastructure development bank, specializing in long-term project finance for transportation, energy, and social infrastructure. FDN catalyzed over US$3.7 billion in financing for the 4G highway programme alone. The bank provides direct long-term facilities, subordinated debt, guarantees, and credit enhancement. FDN co-created Colombia's first Infrastructure Collective Debt Vehicle (Infra CDV) with IFC, CAF, and local pension funds. FDN's equity ownership includes 35% government stake with IFC and CAF as strategic investors, ensuring professional governance. Access pathway: FDN reviews international infrastructure co-investment through its Bogota headquarters. Proposed instrument: FDN participates in Sub-Fund VI blended finance structures, contributing project finance expertise and credit enhancement instruments.</w:t>
      </w:r>
    </w:p>
    <w:p w14:paraId="7B08B298" w14:textId="77777777" w:rsidR="00CA7ABD" w:rsidRDefault="00000000">
      <w:pPr>
        <w:pStyle w:val="Heading3"/>
        <w:rPr>
          <w:rFonts w:hint="eastAsia"/>
        </w:rPr>
      </w:pPr>
      <w:r>
        <w:t>Peru</w:t>
      </w:r>
    </w:p>
    <w:p w14:paraId="17B86044" w14:textId="77777777" w:rsidR="00CA7ABD" w:rsidRDefault="00000000">
      <w:pPr>
        <w:rPr>
          <w:rFonts w:hint="eastAsia"/>
        </w:rPr>
      </w:pPr>
      <w:r>
        <w:t>Peru's Corporacion Financiera de Desarrollo (COFIDE) operates as the national development bank with US$803 million in annual infrastructure disbursements and US$2.57 billion in total project financing. COFIDE finances up to 50% of project costs in partnership with international financial institutions, specializing in energy, transport, water, and environmental infrastructure. The bank maintains investment-grade credit ratings (Moody's Baa2, S&amp;P BBB+, Fitch BBB+). COFIDE partners with CAF Asset Management on infrastructure debt funds. Peru's infrastructure gap exceeds US$160 billion, giving COFIDE extensive project structuring experience. Access pathway: COFIDE evaluates international co-financing proposals through its Lima headquarters. Proposed instrument: COFIDE provides senior debt and project finance structuring to Sub-Fund VI through CAF-coordinated Latin America infrastructure platform.</w:t>
      </w:r>
    </w:p>
    <w:p w14:paraId="1751CBAD" w14:textId="77777777" w:rsidR="00CA7ABD" w:rsidRDefault="00000000">
      <w:pPr>
        <w:pStyle w:val="Heading3"/>
        <w:rPr>
          <w:rFonts w:hint="eastAsia"/>
        </w:rPr>
      </w:pPr>
      <w:r>
        <w:t>Chile</w:t>
      </w:r>
    </w:p>
    <w:p w14:paraId="37FF5D73" w14:textId="77777777" w:rsidR="00CA7ABD" w:rsidRDefault="00000000">
      <w:pPr>
        <w:rPr>
          <w:rFonts w:hint="eastAsia"/>
        </w:rPr>
      </w:pPr>
      <w:r>
        <w:t>Chile's BancoEstado provides development finance for infrastructure and productive sectors. The Chilean Economic Development Agency (CORFO) promotes investment through innovation funds and infrastructure programmes. Chile ranks as the leading Latin American OECD DAC donor with well-established development cooperation systems. The country's pension fund administrators (AFPs) hold over US$200 billion in assets under management and actively invest in infrastructure debt instruments. Chile's CAF membership provides additional coordination channels for regional infrastructure investment. Access pathway: Chilean participation channels through CORFO and the Ministry of Finance, with CAF coordination. Proposed instrument: Chilean AFP infrastructure debt investment in Sub-Fund VI through CAF-structured infrastructure debt fund.</w:t>
      </w:r>
    </w:p>
    <w:p w14:paraId="5AB0E80E" w14:textId="77777777" w:rsidR="00CA7ABD" w:rsidRDefault="00000000">
      <w:pPr>
        <w:pStyle w:val="Heading3"/>
        <w:rPr>
          <w:rFonts w:hint="eastAsia"/>
        </w:rPr>
      </w:pPr>
      <w:r>
        <w:t>Guyana</w:t>
      </w:r>
    </w:p>
    <w:p w14:paraId="4FC354C6" w14:textId="77777777" w:rsidR="00CA7ABD" w:rsidRDefault="00000000">
      <w:pPr>
        <w:rPr>
          <w:rFonts w:hint="eastAsia"/>
        </w:rPr>
      </w:pPr>
      <w:r>
        <w:t>Guyana is the world's fastest-growing economy driven by offshore oil discoveries. The Natural Resource Fund (NRF), Guyana's sovereign wealth fund, held a balance of approximately US$3.64 billion at the end of March 2026. President Ali signals a shift toward investing a portion of NRF funds internationally in safe, predictable economies. The Guyana Development Bank received an initial US$100 million allocation in Budget 2026, with an eventual capital pledge of US$200 million, providing collateral-free, interest-free loans to SMEs.</w:t>
      </w:r>
    </w:p>
    <w:p w14:paraId="13981B28" w14:textId="77777777" w:rsidR="00CA7ABD" w:rsidRDefault="00000000">
      <w:pPr>
        <w:rPr>
          <w:rFonts w:hint="eastAsia"/>
        </w:rPr>
      </w:pPr>
      <w:r>
        <w:t>International development partners maintain active financing relationships with Guyana. IDB Invest provided a US$5 million loan to the Institute of Private Enterprise Development (IPED) for micro and small enterprises, including US$2.5 million from IDB Invest and US$2.5 million from a JICA trust fund. JICA's TADAC Fund (US$1.5 billion) supports private sector projects and co-finances with IDB Invest. UK Export Finance raised its financing capacity for Guyana from GBP2.1 billion to GBP3 billion for infrastructure and private sector development. Canada provided a CA$120 million policy-based loan through the IDB for social protection, plus CA$9.5 million for the One Guyana Digital Skills Development Programme.</w:t>
      </w:r>
    </w:p>
    <w:p w14:paraId="4D567E3C" w14:textId="77777777" w:rsidR="00CA7ABD" w:rsidRDefault="00000000">
      <w:pPr>
        <w:rPr>
          <w:rFonts w:hint="eastAsia"/>
        </w:rPr>
      </w:pPr>
      <w:r>
        <w:t>Access pathway: Guyana channels resources through the Ministry of Finance and the NRF Board. Proposed instrument: NRF sovereign fund co-investment in Sub-Fund I (Energy Infrastructure Restoration) leveraging Guyana's parallel experience in natural resource fund management for infrastructure development.</w:t>
      </w:r>
    </w:p>
    <w:p w14:paraId="0A35A030" w14:textId="77777777" w:rsidR="00CA7ABD" w:rsidRDefault="00000000">
      <w:pPr>
        <w:pStyle w:val="Heading3"/>
        <w:rPr>
          <w:rFonts w:hint="eastAsia"/>
        </w:rPr>
      </w:pPr>
      <w:r>
        <w:t>I.10 Additional Sovereign Wealth and Regional Funds</w:t>
      </w:r>
    </w:p>
    <w:p w14:paraId="464F037D" w14:textId="77777777" w:rsidR="00CA7ABD" w:rsidRDefault="00000000">
      <w:pPr>
        <w:pStyle w:val="Heading3"/>
        <w:rPr>
          <w:rFonts w:hint="eastAsia"/>
        </w:rPr>
      </w:pPr>
      <w:r>
        <w:t>Azerbaijan</w:t>
      </w:r>
    </w:p>
    <w:p w14:paraId="6045B923" w14:textId="77777777" w:rsidR="00CA7ABD" w:rsidRDefault="00000000">
      <w:pPr>
        <w:rPr>
          <w:rFonts w:hint="eastAsia"/>
        </w:rPr>
      </w:pPr>
      <w:r>
        <w:t>Azerbaijan's State Oil Fund (SOFAZ) manages over US$50 billion in assets derived from oil and gas revenues. SOFAZ invests internationally in real estate, equities, and fixed income across developed and emerging markets. The fund has financed major infrastructure reconstruction in Azerbaijan and maintains appetite for energy-sector investments. The Azerbaijan Investment Company seeks direct investment opportunities in strategic sectors. Access pathway: SOFAZ evaluates international investment proposals through its Baku headquarters with representative offices in London and other financial centers. Proposed instrument: SOFAZ participates in Sub-Fund I as equity co-investor in energy infrastructure restoration.</w:t>
      </w:r>
    </w:p>
    <w:p w14:paraId="6DDC4EAD" w14:textId="77777777" w:rsidR="00CA7ABD" w:rsidRDefault="00000000">
      <w:pPr>
        <w:pStyle w:val="Heading3"/>
        <w:rPr>
          <w:rFonts w:hint="eastAsia"/>
        </w:rPr>
      </w:pPr>
      <w:r>
        <w:t>Serbia</w:t>
      </w:r>
    </w:p>
    <w:p w14:paraId="37C33052" w14:textId="77777777" w:rsidR="00CA7ABD" w:rsidRDefault="00000000">
      <w:pPr>
        <w:rPr>
          <w:rFonts w:hint="eastAsia"/>
        </w:rPr>
      </w:pPr>
      <w:r>
        <w:t>Serbia's Development Fund of the Republic of Serbia provides concessionary financing for infrastructure, agriculture, and environmental projects. Serbia maintains active cooperation with EBRD, EIB, and World Bank on infrastructure development. The country possesses relevant post-conflict reconstruction experience from the 1999 Kosovo war recovery period. Serbian construction firms have expertise in rebuilding transport and energy infrastructure under challenging conditions. Access pathway: Serbia engages through the Ministry of Finance and the Development Fund in Belgrade. Proposed instrument: Serbian reconstruction expertise contributes to Sub-Fund VI through specialized contractor consortiums and technical assistance.</w:t>
      </w:r>
    </w:p>
    <w:p w14:paraId="56217BCD" w14:textId="77777777" w:rsidR="00CA7ABD" w:rsidRDefault="00000000">
      <w:pPr>
        <w:pStyle w:val="Heading3"/>
        <w:rPr>
          <w:rFonts w:hint="eastAsia"/>
        </w:rPr>
      </w:pPr>
      <w:r>
        <w:t>Rwanda</w:t>
      </w:r>
    </w:p>
    <w:p w14:paraId="5D974249" w14:textId="77777777" w:rsidR="00CA7ABD" w:rsidRDefault="00000000">
      <w:pPr>
        <w:rPr>
          <w:rFonts w:hint="eastAsia"/>
        </w:rPr>
      </w:pPr>
      <w:r>
        <w:t>Rwanda's Rwanda Finance Limited operates the Kigali International Financial Centre, positioning the country as a pan-African financial hub. The Rwanda Development Bank (BRD) provides long-term financing for strategic infrastructure and green projects. Rwanda's Fund for Environment and Climate Change (FONERWA) channels climate finance into adaptation and mitigation investments. The country's post-genocide reconstruction demonstrates institutional capacity for rapid large-scale infrastructure recovery. Access pathway: Rwanda engages through the Ministry of Finance and Economic Planning and BRD. Proposed instrument: FONERWA contributes climate finance co-investment to Sub-Fund I (green energy) and Sub-Fund III (climate-resilient agriculture).</w:t>
      </w:r>
    </w:p>
    <w:p w14:paraId="0ED6CA0E" w14:textId="77777777" w:rsidR="00CA7ABD" w:rsidRDefault="00000000">
      <w:pPr>
        <w:pStyle w:val="Heading3"/>
        <w:rPr>
          <w:rFonts w:hint="eastAsia"/>
        </w:rPr>
      </w:pPr>
      <w:r>
        <w:t>India (Additional Detail)</w:t>
      </w:r>
    </w:p>
    <w:p w14:paraId="61124543" w14:textId="77777777" w:rsidR="00CA7ABD" w:rsidRDefault="00000000">
      <w:pPr>
        <w:rPr>
          <w:rFonts w:hint="eastAsia"/>
        </w:rPr>
      </w:pPr>
      <w:r>
        <w:t>India's EXIM Bank operates a US$10 billion Africa infrastructure financing window. The National Investment and Infrastructure Fund (NIIF) manages over US$4.5 billion with active international co-investment platforms. India's SBI Holdings and other state banks maintain dedicated infrastructure lending divisions. Indian construction conglomerates (Larsen &amp; Toubro, Shapoorji Pallonji, Tata Projects) rank among the world's largest infrastructure contractors with proven reconstruction capability. India participates in the Asian Infrastructure Investment Bank and New Development Bank as founding member. Access pathway: EXIM Bank and NIIF evaluate proposals through their New Delhi headquarters and international offices. Proposed instrument: EXIM Bank provides buyer's credit for Indian contractor participation; NIIF co-invests equity in Sub-Fund VI.</w:t>
      </w:r>
    </w:p>
    <w:p w14:paraId="14F814CD" w14:textId="77777777" w:rsidR="00CA7ABD" w:rsidRDefault="00000000">
      <w:pPr>
        <w:pStyle w:val="Heading3"/>
        <w:rPr>
          <w:rFonts w:hint="eastAsia"/>
        </w:rPr>
      </w:pPr>
      <w:r>
        <w:t>Indonesia (Additional Detail)</w:t>
      </w:r>
    </w:p>
    <w:p w14:paraId="0C42C0D0" w14:textId="77777777" w:rsidR="00CA7ABD" w:rsidRDefault="00000000">
      <w:pPr>
        <w:rPr>
          <w:rFonts w:hint="eastAsia"/>
        </w:rPr>
      </w:pPr>
      <w:r>
        <w:t>Indonesia's Badan Pengelola Investasi Daya Anugerah Nusantara (BPI Danantara) sovereign wealth fund manages over US$600 billion in assets, making it one of the world's largest. The Indonesia Investment Authority (INA) targets infrastructure and strategic sector investments with international co-investment mandates. Indonesia Eximbank provides trade and project finance for international construction contracts. Indonesian state construction firms (Waskita Karya, PP, Adhi Karya) execute major infrastructure projects across Southeast Asia, the Middle East, and Africa. Access pathway: INA and BPI Danantara review international co-investment through Jakarta headquarters. Proposed instrument: INA provides equity anchor alongside Indonesian contractor consortium participation in Sub-Fund VI.</w:t>
      </w:r>
    </w:p>
    <w:p w14:paraId="77EB91D9" w14:textId="77777777" w:rsidR="00CA7ABD" w:rsidRDefault="00000000">
      <w:pPr>
        <w:pStyle w:val="Heading3"/>
        <w:rPr>
          <w:rFonts w:hint="eastAsia"/>
        </w:rPr>
      </w:pPr>
      <w:r>
        <w:t>Appendix I Summary Table (Updated)</w:t>
      </w:r>
    </w:p>
    <w:p w14:paraId="23472B11" w14:textId="77777777" w:rsidR="00CA7ABD" w:rsidRDefault="00000000">
      <w:pPr>
        <w:rPr>
          <w:rFonts w:hint="eastAsia"/>
        </w:rPr>
      </w:pPr>
      <w:r>
        <w:t>The following table aggregates the expanded country-by-country funding coverage:</w:t>
      </w:r>
    </w:p>
    <w:tbl>
      <w:tblPr>
        <w:tblW w:w="5000" w:type="pct"/>
        <w:tblInd w:w="-8" w:type="dxa"/>
        <w:tblBorders>
          <w:top w:val="single" w:sz="6" w:space="0" w:color="78909C"/>
          <w:left w:val="single" w:sz="6" w:space="0" w:color="78909C"/>
          <w:bottom w:val="single" w:sz="6" w:space="0" w:color="78909C"/>
          <w:right w:val="single" w:sz="6" w:space="0" w:color="78909C"/>
          <w:insideH w:val="single" w:sz="4" w:space="0" w:color="B0BEC5"/>
          <w:insideV w:val="single" w:sz="4" w:space="0" w:color="B0BEC5"/>
        </w:tblBorders>
        <w:tblCellMar>
          <w:top w:w="60" w:type="dxa"/>
          <w:left w:w="100" w:type="dxa"/>
          <w:bottom w:w="60" w:type="dxa"/>
          <w:right w:w="100" w:type="dxa"/>
        </w:tblCellMar>
        <w:tblLook w:val="0000" w:firstRow="0" w:lastRow="0" w:firstColumn="0" w:lastColumn="0" w:noHBand="0" w:noVBand="0"/>
      </w:tblPr>
      <w:tblGrid>
        <w:gridCol w:w="4008"/>
        <w:gridCol w:w="3322"/>
        <w:gridCol w:w="1896"/>
      </w:tblGrid>
      <w:tr w:rsidR="00CA7ABD" w14:paraId="4E65E9E0" w14:textId="77777777">
        <w:tc>
          <w:tcPr>
            <w:tcW w:w="0" w:type="auto"/>
            <w:shd w:val="clear" w:color="auto" w:fill="37474F"/>
          </w:tcPr>
          <w:p w14:paraId="7C4C011D" w14:textId="77777777" w:rsidR="00CA7ABD" w:rsidRDefault="00000000">
            <w:pPr>
              <w:rPr>
                <w:rFonts w:hint="eastAsia"/>
              </w:rPr>
            </w:pPr>
            <w:r>
              <w:rPr>
                <w:b/>
                <w:color w:val="FFFFFF"/>
                <w:sz w:val="19"/>
              </w:rPr>
              <w:t>Region</w:t>
            </w:r>
          </w:p>
        </w:tc>
        <w:tc>
          <w:tcPr>
            <w:tcW w:w="0" w:type="auto"/>
            <w:shd w:val="clear" w:color="auto" w:fill="37474F"/>
          </w:tcPr>
          <w:p w14:paraId="0AD3C2DA" w14:textId="77777777" w:rsidR="00CA7ABD" w:rsidRDefault="00000000">
            <w:pPr>
              <w:rPr>
                <w:rFonts w:hint="eastAsia"/>
              </w:rPr>
            </w:pPr>
            <w:r>
              <w:rPr>
                <w:b/>
                <w:color w:val="FFFFFF"/>
                <w:sz w:val="19"/>
              </w:rPr>
              <w:t>Countries Covered</w:t>
            </w:r>
          </w:p>
        </w:tc>
        <w:tc>
          <w:tcPr>
            <w:tcW w:w="0" w:type="auto"/>
            <w:shd w:val="clear" w:color="auto" w:fill="37474F"/>
          </w:tcPr>
          <w:p w14:paraId="78E6EED9" w14:textId="77777777" w:rsidR="00CA7ABD" w:rsidRDefault="00000000">
            <w:pPr>
              <w:rPr>
                <w:rFonts w:hint="eastAsia"/>
              </w:rPr>
            </w:pPr>
            <w:r>
              <w:rPr>
                <w:b/>
                <w:color w:val="FFFFFF"/>
                <w:sz w:val="19"/>
              </w:rPr>
              <w:t>Est. Range</w:t>
            </w:r>
          </w:p>
        </w:tc>
      </w:tr>
      <w:tr w:rsidR="00CA7ABD" w14:paraId="7FEED8F3" w14:textId="77777777">
        <w:tc>
          <w:tcPr>
            <w:tcW w:w="0" w:type="auto"/>
          </w:tcPr>
          <w:p w14:paraId="36CA17B5" w14:textId="77777777" w:rsidR="00CA7ABD" w:rsidRDefault="00000000">
            <w:pPr>
              <w:rPr>
                <w:rFonts w:hint="eastAsia"/>
              </w:rPr>
            </w:pPr>
            <w:r>
              <w:rPr>
                <w:sz w:val="19"/>
              </w:rPr>
              <w:t>East Asia and Pacific</w:t>
            </w:r>
          </w:p>
        </w:tc>
        <w:tc>
          <w:tcPr>
            <w:tcW w:w="0" w:type="auto"/>
          </w:tcPr>
          <w:p w14:paraId="01FC52B9" w14:textId="77777777" w:rsidR="00CA7ABD" w:rsidRDefault="00000000">
            <w:pPr>
              <w:rPr>
                <w:rFonts w:hint="eastAsia"/>
              </w:rPr>
            </w:pPr>
            <w:r>
              <w:rPr>
                <w:sz w:val="19"/>
              </w:rPr>
              <w:t>16 countries</w:t>
            </w:r>
          </w:p>
        </w:tc>
        <w:tc>
          <w:tcPr>
            <w:tcW w:w="0" w:type="auto"/>
          </w:tcPr>
          <w:p w14:paraId="47FE4020" w14:textId="77777777" w:rsidR="00CA7ABD" w:rsidRDefault="00000000">
            <w:pPr>
              <w:rPr>
                <w:rFonts w:hint="eastAsia"/>
              </w:rPr>
            </w:pPr>
            <w:r>
              <w:rPr>
                <w:sz w:val="19"/>
              </w:rPr>
              <w:t>$20-55B</w:t>
            </w:r>
          </w:p>
        </w:tc>
      </w:tr>
      <w:tr w:rsidR="00CA7ABD" w14:paraId="41350942" w14:textId="77777777">
        <w:tc>
          <w:tcPr>
            <w:tcW w:w="0" w:type="auto"/>
            <w:shd w:val="clear" w:color="auto" w:fill="ECEFF1"/>
          </w:tcPr>
          <w:p w14:paraId="0905E482" w14:textId="77777777" w:rsidR="00CA7ABD" w:rsidRDefault="00000000">
            <w:pPr>
              <w:rPr>
                <w:rFonts w:hint="eastAsia"/>
              </w:rPr>
            </w:pPr>
            <w:r>
              <w:rPr>
                <w:sz w:val="19"/>
              </w:rPr>
              <w:t>Europe and North America</w:t>
            </w:r>
          </w:p>
        </w:tc>
        <w:tc>
          <w:tcPr>
            <w:tcW w:w="0" w:type="auto"/>
            <w:shd w:val="clear" w:color="auto" w:fill="ECEFF1"/>
          </w:tcPr>
          <w:p w14:paraId="421BF704" w14:textId="77777777" w:rsidR="00CA7ABD" w:rsidRDefault="00000000">
            <w:pPr>
              <w:rPr>
                <w:rFonts w:hint="eastAsia"/>
              </w:rPr>
            </w:pPr>
            <w:r>
              <w:rPr>
                <w:sz w:val="19"/>
              </w:rPr>
              <w:t>27 countries</w:t>
            </w:r>
          </w:p>
        </w:tc>
        <w:tc>
          <w:tcPr>
            <w:tcW w:w="0" w:type="auto"/>
            <w:shd w:val="clear" w:color="auto" w:fill="ECEFF1"/>
          </w:tcPr>
          <w:p w14:paraId="45E0193D" w14:textId="77777777" w:rsidR="00CA7ABD" w:rsidRDefault="00000000">
            <w:pPr>
              <w:rPr>
                <w:rFonts w:hint="eastAsia"/>
              </w:rPr>
            </w:pPr>
            <w:r>
              <w:rPr>
                <w:sz w:val="19"/>
              </w:rPr>
              <w:t>$8-16B</w:t>
            </w:r>
          </w:p>
        </w:tc>
      </w:tr>
      <w:tr w:rsidR="00CA7ABD" w14:paraId="39A073BB" w14:textId="77777777">
        <w:tc>
          <w:tcPr>
            <w:tcW w:w="0" w:type="auto"/>
          </w:tcPr>
          <w:p w14:paraId="2AB1097C" w14:textId="77777777" w:rsidR="00CA7ABD" w:rsidRDefault="00000000">
            <w:pPr>
              <w:rPr>
                <w:rFonts w:hint="eastAsia"/>
              </w:rPr>
            </w:pPr>
            <w:r>
              <w:rPr>
                <w:sz w:val="19"/>
              </w:rPr>
              <w:t>MENA, Africa, and Central Asia</w:t>
            </w:r>
          </w:p>
        </w:tc>
        <w:tc>
          <w:tcPr>
            <w:tcW w:w="0" w:type="auto"/>
          </w:tcPr>
          <w:p w14:paraId="64C5B216" w14:textId="77777777" w:rsidR="00CA7ABD" w:rsidRDefault="00000000">
            <w:pPr>
              <w:rPr>
                <w:rFonts w:hint="eastAsia"/>
              </w:rPr>
            </w:pPr>
            <w:r>
              <w:rPr>
                <w:sz w:val="19"/>
              </w:rPr>
              <w:t>20 countries</w:t>
            </w:r>
          </w:p>
        </w:tc>
        <w:tc>
          <w:tcPr>
            <w:tcW w:w="0" w:type="auto"/>
          </w:tcPr>
          <w:p w14:paraId="0F4DE03E" w14:textId="77777777" w:rsidR="00CA7ABD" w:rsidRDefault="00000000">
            <w:pPr>
              <w:rPr>
                <w:rFonts w:hint="eastAsia"/>
              </w:rPr>
            </w:pPr>
            <w:r>
              <w:rPr>
                <w:sz w:val="19"/>
              </w:rPr>
              <w:t>$5-10B</w:t>
            </w:r>
          </w:p>
        </w:tc>
      </w:tr>
      <w:tr w:rsidR="00CA7ABD" w14:paraId="744705B4" w14:textId="77777777">
        <w:tc>
          <w:tcPr>
            <w:tcW w:w="0" w:type="auto"/>
            <w:shd w:val="clear" w:color="auto" w:fill="ECEFF1"/>
          </w:tcPr>
          <w:p w14:paraId="5B84922A" w14:textId="77777777" w:rsidR="00CA7ABD" w:rsidRDefault="00000000">
            <w:pPr>
              <w:rPr>
                <w:rFonts w:hint="eastAsia"/>
              </w:rPr>
            </w:pPr>
            <w:r>
              <w:rPr>
                <w:sz w:val="19"/>
              </w:rPr>
              <w:t>Americas</w:t>
            </w:r>
          </w:p>
        </w:tc>
        <w:tc>
          <w:tcPr>
            <w:tcW w:w="0" w:type="auto"/>
            <w:shd w:val="clear" w:color="auto" w:fill="ECEFF1"/>
          </w:tcPr>
          <w:p w14:paraId="07E84F2B" w14:textId="77777777" w:rsidR="00CA7ABD" w:rsidRDefault="00000000">
            <w:pPr>
              <w:rPr>
                <w:rFonts w:hint="eastAsia"/>
              </w:rPr>
            </w:pPr>
            <w:r>
              <w:rPr>
                <w:sz w:val="19"/>
              </w:rPr>
              <w:t>8 countries</w:t>
            </w:r>
          </w:p>
        </w:tc>
        <w:tc>
          <w:tcPr>
            <w:tcW w:w="0" w:type="auto"/>
            <w:shd w:val="clear" w:color="auto" w:fill="ECEFF1"/>
          </w:tcPr>
          <w:p w14:paraId="7631EC66" w14:textId="77777777" w:rsidR="00CA7ABD" w:rsidRDefault="00000000">
            <w:pPr>
              <w:rPr>
                <w:rFonts w:hint="eastAsia"/>
              </w:rPr>
            </w:pPr>
            <w:r>
              <w:rPr>
                <w:sz w:val="19"/>
              </w:rPr>
              <w:t>$1.5-3B</w:t>
            </w:r>
          </w:p>
        </w:tc>
      </w:tr>
      <w:tr w:rsidR="00CA7ABD" w14:paraId="3404EDE4" w14:textId="77777777">
        <w:tc>
          <w:tcPr>
            <w:tcW w:w="0" w:type="auto"/>
          </w:tcPr>
          <w:p w14:paraId="63B2C5F2" w14:textId="77777777" w:rsidR="00CA7ABD" w:rsidRDefault="00000000">
            <w:pPr>
              <w:rPr>
                <w:rFonts w:hint="eastAsia"/>
              </w:rPr>
            </w:pPr>
            <w:r>
              <w:rPr>
                <w:sz w:val="19"/>
              </w:rPr>
              <w:t>Additional OIC Members</w:t>
            </w:r>
          </w:p>
        </w:tc>
        <w:tc>
          <w:tcPr>
            <w:tcW w:w="0" w:type="auto"/>
          </w:tcPr>
          <w:p w14:paraId="5C60C2FB" w14:textId="77777777" w:rsidR="00CA7ABD" w:rsidRDefault="00000000">
            <w:pPr>
              <w:rPr>
                <w:rFonts w:hint="eastAsia"/>
              </w:rPr>
            </w:pPr>
            <w:r>
              <w:rPr>
                <w:sz w:val="19"/>
              </w:rPr>
              <w:t>6 countries</w:t>
            </w:r>
          </w:p>
        </w:tc>
        <w:tc>
          <w:tcPr>
            <w:tcW w:w="0" w:type="auto"/>
          </w:tcPr>
          <w:p w14:paraId="072510DF" w14:textId="77777777" w:rsidR="00CA7ABD" w:rsidRDefault="00000000">
            <w:pPr>
              <w:rPr>
                <w:rFonts w:hint="eastAsia"/>
              </w:rPr>
            </w:pPr>
            <w:r>
              <w:rPr>
                <w:sz w:val="19"/>
              </w:rPr>
              <w:t>$300-700M</w:t>
            </w:r>
          </w:p>
        </w:tc>
      </w:tr>
      <w:tr w:rsidR="00CA7ABD" w14:paraId="256892CC" w14:textId="77777777">
        <w:tc>
          <w:tcPr>
            <w:tcW w:w="0" w:type="auto"/>
            <w:shd w:val="clear" w:color="auto" w:fill="ECEFF1"/>
          </w:tcPr>
          <w:p w14:paraId="3C27041E" w14:textId="77777777" w:rsidR="00CA7ABD" w:rsidRDefault="00000000">
            <w:pPr>
              <w:rPr>
                <w:rFonts w:hint="eastAsia"/>
              </w:rPr>
            </w:pPr>
            <w:r>
              <w:rPr>
                <w:sz w:val="19"/>
              </w:rPr>
              <w:t>Innovative Mechanisms</w:t>
            </w:r>
          </w:p>
        </w:tc>
        <w:tc>
          <w:tcPr>
            <w:tcW w:w="0" w:type="auto"/>
            <w:shd w:val="clear" w:color="auto" w:fill="ECEFF1"/>
          </w:tcPr>
          <w:p w14:paraId="3FD5C6E5" w14:textId="77777777" w:rsidR="00CA7ABD" w:rsidRDefault="00000000">
            <w:pPr>
              <w:rPr>
                <w:rFonts w:hint="eastAsia"/>
              </w:rPr>
            </w:pPr>
            <w:r>
              <w:rPr>
                <w:sz w:val="19"/>
              </w:rPr>
              <w:t>Cross-cutting</w:t>
            </w:r>
          </w:p>
        </w:tc>
        <w:tc>
          <w:tcPr>
            <w:tcW w:w="0" w:type="auto"/>
            <w:shd w:val="clear" w:color="auto" w:fill="ECEFF1"/>
          </w:tcPr>
          <w:p w14:paraId="073C0A6C" w14:textId="77777777" w:rsidR="00CA7ABD" w:rsidRDefault="00000000">
            <w:pPr>
              <w:rPr>
                <w:rFonts w:hint="eastAsia"/>
              </w:rPr>
            </w:pPr>
            <w:r>
              <w:rPr>
                <w:sz w:val="19"/>
              </w:rPr>
              <w:t>$3-7B enabled</w:t>
            </w:r>
          </w:p>
        </w:tc>
      </w:tr>
      <w:tr w:rsidR="00CA7ABD" w14:paraId="17EC0AA8" w14:textId="77777777">
        <w:tc>
          <w:tcPr>
            <w:tcW w:w="0" w:type="auto"/>
          </w:tcPr>
          <w:p w14:paraId="37D4737A" w14:textId="77777777" w:rsidR="00CA7ABD" w:rsidRDefault="00000000">
            <w:pPr>
              <w:rPr>
                <w:rFonts w:hint="eastAsia"/>
              </w:rPr>
            </w:pPr>
            <w:r>
              <w:rPr>
                <w:sz w:val="19"/>
              </w:rPr>
              <w:t>TOTAL APPENDIX I (Expanded)</w:t>
            </w:r>
          </w:p>
        </w:tc>
        <w:tc>
          <w:tcPr>
            <w:tcW w:w="0" w:type="auto"/>
          </w:tcPr>
          <w:p w14:paraId="6C5EE137" w14:textId="77777777" w:rsidR="00CA7ABD" w:rsidRDefault="00000000">
            <w:pPr>
              <w:rPr>
                <w:rFonts w:hint="eastAsia"/>
              </w:rPr>
            </w:pPr>
            <w:r>
              <w:rPr>
                <w:sz w:val="19"/>
              </w:rPr>
              <w:t>77 countries + mechanisms</w:t>
            </w:r>
          </w:p>
        </w:tc>
        <w:tc>
          <w:tcPr>
            <w:tcW w:w="0" w:type="auto"/>
          </w:tcPr>
          <w:p w14:paraId="0EF2E947" w14:textId="77777777" w:rsidR="00CA7ABD" w:rsidRDefault="00000000">
            <w:pPr>
              <w:rPr>
                <w:rFonts w:hint="eastAsia"/>
              </w:rPr>
            </w:pPr>
            <w:r>
              <w:rPr>
                <w:sz w:val="19"/>
              </w:rPr>
              <w:t>$38-92B</w:t>
            </w:r>
          </w:p>
        </w:tc>
      </w:tr>
    </w:tbl>
    <w:p w14:paraId="55619BE8" w14:textId="77777777" w:rsidR="00CA7ABD" w:rsidRDefault="00000000">
      <w:pPr>
        <w:pStyle w:val="Heading3"/>
        <w:rPr>
          <w:rFonts w:hint="eastAsia"/>
        </w:rPr>
      </w:pPr>
      <w:r>
        <w:t>I.11 Conclusion of Funding Framework</w:t>
      </w:r>
    </w:p>
    <w:p w14:paraId="1CA6FB0F" w14:textId="77777777" w:rsidR="00CA7ABD" w:rsidRDefault="00000000">
      <w:pPr>
        <w:rPr>
          <w:rFonts w:hint="eastAsia"/>
        </w:rPr>
      </w:pPr>
      <w:r>
        <w:t>The aggregation of the aforementioned sovereign wealth funds, multilateral development banks, OECD DAC donors, and specialized international facilities establishes a sufficiently capitalized and highly diversified funding base for the MRF. By distributing the financial burden across multiple neutral and international channels, the framework ensures the political viability of the $270 billion 10-year target while insulating the reconstruction effort from bilateral political disputes.</w:t>
      </w:r>
    </w:p>
    <w:p w14:paraId="4CFA37E1" w14:textId="77777777" w:rsidR="00CA7ABD" w:rsidRDefault="00000000">
      <w:pPr>
        <w:rPr>
          <w:rFonts w:hint="eastAsia"/>
        </w:rPr>
      </w:pPr>
      <w:r>
        <w:t>The Mauritania case illustrates the emerging reality of concentrated multilateral engagement in strategically positioned developing economies. Mauritania advances a US$100 billion pipeline of planned green hydrogen projects, including Project Aman (30 GW) and Project Nour (10 GW), combining Saharan solar irradiation with continuous coastal desert winds and direct Atlantic shipping access. The Greater Tortue Ahmeyim (GTA) natural gas field launched LNG exports in early 2025, creating an active revenue stream flowing into the National Fund for Hydrocarbon Reserves (FNRH). The World Bank DREAM project anchors Mauritania's critical minerals and energy storage frameworks, turning the nation into a credible hub for co-financing alongside Team Europe, the UN, and major Gulf State sovereign wealth funds. These dynamics demonstrate that countries with strategic geographic and resource positioning attract disproportionate international financing flows, a pattern the NDF leverages through Iran's own energy, mineral, and geographic assets.</w:t>
      </w:r>
    </w:p>
    <w:sectPr w:rsidR="00CA7ABD">
      <w:headerReference w:type="default" r:id="rId6"/>
      <w:footerReference w:type="default" r:id="rId7"/>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35E6C" w14:textId="77777777" w:rsidR="004C155F" w:rsidRDefault="004C155F">
      <w:pPr>
        <w:spacing w:after="0" w:line="240" w:lineRule="auto"/>
        <w:rPr>
          <w:rFonts w:hint="eastAsia"/>
        </w:rPr>
      </w:pPr>
      <w:r>
        <w:separator/>
      </w:r>
    </w:p>
  </w:endnote>
  <w:endnote w:type="continuationSeparator" w:id="0">
    <w:p w14:paraId="6437E1C9" w14:textId="77777777" w:rsidR="004C155F" w:rsidRDefault="004C155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5ABD3" w14:textId="77777777" w:rsidR="00CA7ABD" w:rsidRDefault="00000000">
    <w:pPr>
      <w:jc w:val="center"/>
      <w:rPr>
        <w:rFonts w:hint="eastAsia"/>
      </w:rPr>
    </w:pPr>
    <w:r>
      <w:rPr>
        <w:color w:val="78909C"/>
        <w:sz w:val="16"/>
      </w:rPr>
      <w:t>Page</w:t>
    </w:r>
    <w:r>
      <w:fldChar w:fldCharType="begin"/>
    </w:r>
    <w:r>
      <w:instrText xml:space="preserve"> PAGE </w:instrText>
    </w:r>
    <w:r w:rsidR="008107C5">
      <w:fldChar w:fldCharType="separate"/>
    </w:r>
    <w:r w:rsidR="008107C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2E063" w14:textId="77777777" w:rsidR="004C155F" w:rsidRDefault="004C155F">
      <w:pPr>
        <w:spacing w:after="0" w:line="240" w:lineRule="auto"/>
        <w:rPr>
          <w:rFonts w:hint="eastAsia"/>
        </w:rPr>
      </w:pPr>
      <w:r>
        <w:separator/>
      </w:r>
    </w:p>
  </w:footnote>
  <w:footnote w:type="continuationSeparator" w:id="0">
    <w:p w14:paraId="214A0871" w14:textId="77777777" w:rsidR="004C155F" w:rsidRDefault="004C155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AB3F" w14:textId="77777777" w:rsidR="00CA7ABD" w:rsidRDefault="00000000">
    <w:pPr>
      <w:jc w:val="center"/>
      <w:rPr>
        <w:rFonts w:hint="eastAsia"/>
      </w:rPr>
    </w:pPr>
    <w:r>
      <w:rPr>
        <w:color w:val="78909C"/>
        <w:sz w:val="16"/>
      </w:rPr>
      <w:t>The Islamabad Infinite Horizon Accord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A7ABD"/>
    <w:rsid w:val="004C155F"/>
    <w:rsid w:val="008107C5"/>
    <w:rsid w:val="00B0663E"/>
    <w:rsid w:val="00CA7AB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62784"/>
  <w15:docId w15:val="{AA752992-CC08-4516-9AE1-A3290ACAC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pPr>
    <w:rPr>
      <w:rFonts w:ascii="Georgia" w:eastAsia="SimSun" w:hAnsi="Georgia"/>
      <w:color w:val="263238"/>
      <w:sz w:val="22"/>
    </w:rPr>
  </w:style>
  <w:style w:type="paragraph" w:styleId="Heading1">
    <w:name w:val="heading 1"/>
    <w:basedOn w:val="Normal"/>
    <w:uiPriority w:val="9"/>
    <w:qFormat/>
    <w:pPr>
      <w:keepNext/>
      <w:keepLines/>
      <w:spacing w:before="520" w:after="200"/>
      <w:outlineLvl w:val="0"/>
    </w:pPr>
    <w:rPr>
      <w:b/>
      <w:color w:val="1A3242"/>
      <w:sz w:val="32"/>
    </w:rPr>
  </w:style>
  <w:style w:type="paragraph" w:styleId="Heading2">
    <w:name w:val="heading 2"/>
    <w:basedOn w:val="Normal"/>
    <w:uiPriority w:val="9"/>
    <w:unhideWhenUsed/>
    <w:qFormat/>
    <w:pPr>
      <w:keepNext/>
      <w:keepLines/>
      <w:spacing w:before="400" w:after="160"/>
      <w:outlineLvl w:val="1"/>
    </w:pPr>
    <w:rPr>
      <w:b/>
      <w:color w:val="37474F"/>
      <w:sz w:val="26"/>
    </w:rPr>
  </w:style>
  <w:style w:type="paragraph" w:styleId="Heading3">
    <w:name w:val="heading 3"/>
    <w:basedOn w:val="Normal"/>
    <w:uiPriority w:val="9"/>
    <w:unhideWhenUsed/>
    <w:qFormat/>
    <w:pPr>
      <w:keepNext/>
      <w:keepLines/>
      <w:spacing w:before="280"/>
      <w:outlineLvl w:val="2"/>
    </w:pPr>
    <w:rPr>
      <w:b/>
      <w:i/>
      <w:color w:val="546E7A"/>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pPr>
      <w:spacing w:before="160" w:after="160"/>
    </w:pPr>
    <w:rPr>
      <w:i/>
      <w:color w:val="455A64"/>
      <w:sz w:val="23"/>
    </w:rPr>
  </w:style>
  <w:style w:type="paragraph" w:styleId="TOC1">
    <w:name w:val="toc 1"/>
    <w:uiPriority w:val="39"/>
    <w:pPr>
      <w:tabs>
        <w:tab w:val="right" w:leader="dot" w:pos="9010"/>
      </w:tabs>
      <w:spacing w:before="120" w:after="40"/>
    </w:pPr>
    <w:rPr>
      <w:rFonts w:ascii="Calibri" w:hAnsi="Calibri"/>
      <w:b/>
      <w:color w:val="37474F"/>
      <w:sz w:val="21"/>
    </w:rPr>
  </w:style>
  <w:style w:type="paragraph" w:styleId="TOC2">
    <w:name w:val="toc 2"/>
    <w:uiPriority w:val="39"/>
    <w:pPr>
      <w:tabs>
        <w:tab w:val="right" w:leader="dot" w:pos="9010"/>
      </w:tabs>
      <w:spacing w:after="20"/>
      <w:ind w:left="360"/>
    </w:pPr>
    <w:rPr>
      <w:rFonts w:ascii="Calibri" w:hAnsi="Calibri"/>
      <w:color w:val="21212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56798</Words>
  <Characters>323751</Characters>
  <Application>Microsoft Office Word</Application>
  <DocSecurity>0</DocSecurity>
  <Lines>2697</Lines>
  <Paragraphs>759</Paragraphs>
  <ScaleCrop>false</ScaleCrop>
  <Company/>
  <LinksUpToDate>false</LinksUpToDate>
  <CharactersWithSpaces>379790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2026-08-15T08:59:00Z</dcterms:created>
  <dcterms:modified xsi:type="dcterms:W3CDTF">2026-08-15T08:59:00Z</dcterms:modified>
</cp:coreProperties>
</file>