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F45E0" w14:textId="77777777" w:rsidR="00D708EC" w:rsidRDefault="00D708EC">
      <w:pPr>
        <w:pageBreakBefore/>
        <w:rPr>
          <w:rFonts w:hint="eastAsia"/>
        </w:rPr>
      </w:pPr>
    </w:p>
    <w:p w14:paraId="3CA8892D" w14:textId="0E3C3187" w:rsidR="00D708EC" w:rsidRDefault="00D708EC">
      <w:pPr>
        <w:spacing w:before="2600" w:after="0"/>
        <w:jc w:val="center"/>
        <w:rPr>
          <w:rFonts w:hint="eastAsia"/>
        </w:rPr>
      </w:pPr>
    </w:p>
    <w:p w14:paraId="28A36548" w14:textId="77777777" w:rsidR="00D708EC" w:rsidRDefault="00000000">
      <w:pPr>
        <w:spacing w:before="700" w:after="0"/>
        <w:jc w:val="center"/>
        <w:rPr>
          <w:rFonts w:hint="eastAsia"/>
        </w:rPr>
      </w:pPr>
      <w:r>
        <w:rPr>
          <w:b/>
          <w:color w:val="1A3242"/>
          <w:sz w:val="80"/>
        </w:rPr>
        <w:t>THE ISLAMABAD</w:t>
      </w:r>
    </w:p>
    <w:p w14:paraId="1F713E25" w14:textId="77777777" w:rsidR="00D708EC" w:rsidRDefault="00000000">
      <w:pPr>
        <w:spacing w:after="0"/>
        <w:jc w:val="center"/>
        <w:rPr>
          <w:rFonts w:hint="eastAsia"/>
        </w:rPr>
      </w:pPr>
      <w:r>
        <w:rPr>
          <w:b/>
          <w:color w:val="1A3242"/>
          <w:sz w:val="80"/>
        </w:rPr>
        <w:t>IRREVOCABLE</w:t>
      </w:r>
    </w:p>
    <w:p w14:paraId="5669D3C0" w14:textId="77777777" w:rsidR="00D708EC" w:rsidRDefault="00000000">
      <w:pPr>
        <w:spacing w:after="500"/>
        <w:jc w:val="center"/>
        <w:rPr>
          <w:rFonts w:hint="eastAsia"/>
        </w:rPr>
      </w:pPr>
      <w:r>
        <w:rPr>
          <w:b/>
          <w:color w:val="1A3242"/>
          <w:sz w:val="80"/>
        </w:rPr>
        <w:t>PLENARY</w:t>
      </w:r>
    </w:p>
    <w:p w14:paraId="34ED6370" w14:textId="77777777" w:rsidR="00D708EC" w:rsidRDefault="00000000">
      <w:pPr>
        <w:spacing w:before="200" w:after="0"/>
        <w:jc w:val="center"/>
        <w:rPr>
          <w:rFonts w:hint="eastAsia"/>
        </w:rPr>
      </w:pPr>
      <w:r>
        <w:rPr>
          <w:i/>
          <w:color w:val="546E7A"/>
          <w:sz w:val="26"/>
        </w:rPr>
        <w:t>A Layered Treaty Package between the Islamic Republic of Iran and the United States of America,</w:t>
      </w:r>
    </w:p>
    <w:p w14:paraId="120C8EBD" w14:textId="77777777" w:rsidR="00D708EC" w:rsidRDefault="00000000">
      <w:pPr>
        <w:spacing w:after="0"/>
        <w:jc w:val="center"/>
        <w:rPr>
          <w:rFonts w:hint="eastAsia"/>
        </w:rPr>
      </w:pPr>
      <w:r>
        <w:rPr>
          <w:i/>
          <w:color w:val="546E7A"/>
          <w:sz w:val="26"/>
        </w:rPr>
        <w:t>with the Sultanate of Oman, the State of Qatar, the Islamic Republic of Pakistan, and the Swiss Confederation</w:t>
      </w:r>
    </w:p>
    <w:p w14:paraId="06CCB457" w14:textId="77777777" w:rsidR="00D708EC" w:rsidRDefault="00000000">
      <w:pPr>
        <w:spacing w:before="900" w:after="0"/>
        <w:jc w:val="center"/>
        <w:rPr>
          <w:rFonts w:hint="eastAsia"/>
        </w:rPr>
      </w:pPr>
      <w:r>
        <w:rPr>
          <w:color w:val="37474F"/>
          <w:sz w:val="24"/>
        </w:rPr>
        <w:t>Islamabad · August 2026 · Version 1.0</w:t>
      </w:r>
    </w:p>
    <w:p w14:paraId="762F329D" w14:textId="77777777" w:rsidR="00D708EC" w:rsidRDefault="00000000">
      <w:pPr>
        <w:spacing w:before="300" w:after="0"/>
        <w:jc w:val="center"/>
        <w:rPr>
          <w:rFonts w:hint="eastAsia"/>
        </w:rPr>
      </w:pPr>
      <w:r>
        <w:rPr>
          <w:color w:val="78909C"/>
          <w:sz w:val="20"/>
        </w:rPr>
        <w:t>Layer upon layer. Verification first. The commitment is irrevocable.</w:t>
      </w:r>
    </w:p>
    <w:p w14:paraId="0BB5960B" w14:textId="77777777" w:rsidR="00D708EC" w:rsidRDefault="00D708EC">
      <w:pPr>
        <w:rPr>
          <w:rFonts w:hint="eastAsia"/>
        </w:rPr>
        <w:sectPr w:rsidR="00D708EC">
          <w:pgSz w:w="11906" w:h="16838"/>
          <w:pgMar w:top="1440" w:right="1440" w:bottom="1440" w:left="1440" w:header="720" w:footer="720" w:gutter="0"/>
          <w:pgBorders>
            <w:top w:val="double" w:sz="12" w:space="24" w:color="8C7B54"/>
            <w:left w:val="double" w:sz="12" w:space="24" w:color="8C7B54"/>
            <w:bottom w:val="double" w:sz="12" w:space="24" w:color="8C7B54"/>
            <w:right w:val="double" w:sz="12" w:space="24" w:color="8C7B54"/>
          </w:pgBorders>
          <w:cols w:space="720"/>
        </w:sectPr>
      </w:pPr>
    </w:p>
    <w:p w14:paraId="5049D1C7" w14:textId="77777777" w:rsidR="00D708EC" w:rsidRDefault="00000000">
      <w:pPr>
        <w:keepNext/>
        <w:spacing w:after="360"/>
        <w:rPr>
          <w:rFonts w:hint="eastAsia"/>
        </w:rPr>
      </w:pPr>
      <w:r>
        <w:rPr>
          <w:rFonts w:ascii="Calibri" w:eastAsia="Calibri" w:hAnsi="Calibri" w:cs="Calibri"/>
          <w:b/>
          <w:caps/>
          <w:color w:val="37474F"/>
          <w:sz w:val="32"/>
          <w:szCs w:val="32"/>
        </w:rPr>
        <w:lastRenderedPageBreak/>
        <w:t>Table of Contents</w:t>
      </w:r>
    </w:p>
    <w:p w14:paraId="555A2478" w14:textId="3B05B897" w:rsidR="006648B0" w:rsidRDefault="00000000">
      <w:pPr>
        <w:pStyle w:val="TOC1"/>
        <w:rPr>
          <w:rFonts w:asciiTheme="minorHAnsi" w:hAnsiTheme="minorHAnsi"/>
          <w:b w:val="0"/>
          <w:noProof/>
          <w:color w:val="auto"/>
          <w:sz w:val="24"/>
        </w:rPr>
      </w:pPr>
      <w:r>
        <w:fldChar w:fldCharType="begin"/>
      </w:r>
      <w:r>
        <w:instrText xml:space="preserve"> TOC \o "1-2" \h \z \u </w:instrText>
      </w:r>
      <w:r>
        <w:fldChar w:fldCharType="separate"/>
      </w:r>
      <w:hyperlink w:anchor="_Toc237663514" w:history="1">
        <w:r w:rsidR="006648B0" w:rsidRPr="00116326">
          <w:rPr>
            <w:rStyle w:val="Hyperlink"/>
            <w:noProof/>
          </w:rPr>
          <w:t>Preamble: The Moment of August 2026</w:t>
        </w:r>
        <w:r w:rsidR="006648B0">
          <w:rPr>
            <w:noProof/>
            <w:webHidden/>
          </w:rPr>
          <w:tab/>
        </w:r>
        <w:r w:rsidR="006648B0">
          <w:rPr>
            <w:noProof/>
            <w:webHidden/>
          </w:rPr>
          <w:fldChar w:fldCharType="begin"/>
        </w:r>
        <w:r w:rsidR="006648B0">
          <w:rPr>
            <w:noProof/>
            <w:webHidden/>
          </w:rPr>
          <w:instrText xml:space="preserve"> PAGEREF _Toc237663514 \h </w:instrText>
        </w:r>
        <w:r w:rsidR="006648B0">
          <w:rPr>
            <w:noProof/>
            <w:webHidden/>
          </w:rPr>
        </w:r>
        <w:r w:rsidR="006648B0">
          <w:rPr>
            <w:noProof/>
            <w:webHidden/>
          </w:rPr>
          <w:fldChar w:fldCharType="separate"/>
        </w:r>
        <w:r w:rsidR="006648B0">
          <w:rPr>
            <w:noProof/>
            <w:webHidden/>
          </w:rPr>
          <w:t>6</w:t>
        </w:r>
        <w:r w:rsidR="006648B0">
          <w:rPr>
            <w:noProof/>
            <w:webHidden/>
          </w:rPr>
          <w:fldChar w:fldCharType="end"/>
        </w:r>
      </w:hyperlink>
    </w:p>
    <w:p w14:paraId="7E35E29C" w14:textId="106E6B84" w:rsidR="006648B0" w:rsidRDefault="006648B0">
      <w:pPr>
        <w:pStyle w:val="TOC1"/>
        <w:rPr>
          <w:rFonts w:asciiTheme="minorHAnsi" w:hAnsiTheme="minorHAnsi"/>
          <w:b w:val="0"/>
          <w:noProof/>
          <w:color w:val="auto"/>
          <w:sz w:val="24"/>
        </w:rPr>
      </w:pPr>
      <w:hyperlink w:anchor="_Toc237663515" w:history="1">
        <w:r w:rsidRPr="00116326">
          <w:rPr>
            <w:rStyle w:val="Hyperlink"/>
            <w:noProof/>
          </w:rPr>
          <w:t>Drafting Convention and Method</w:t>
        </w:r>
        <w:r>
          <w:rPr>
            <w:noProof/>
            <w:webHidden/>
          </w:rPr>
          <w:tab/>
        </w:r>
        <w:r>
          <w:rPr>
            <w:noProof/>
            <w:webHidden/>
          </w:rPr>
          <w:fldChar w:fldCharType="begin"/>
        </w:r>
        <w:r>
          <w:rPr>
            <w:noProof/>
            <w:webHidden/>
          </w:rPr>
          <w:instrText xml:space="preserve"> PAGEREF _Toc237663515 \h </w:instrText>
        </w:r>
        <w:r>
          <w:rPr>
            <w:noProof/>
            <w:webHidden/>
          </w:rPr>
        </w:r>
        <w:r>
          <w:rPr>
            <w:noProof/>
            <w:webHidden/>
          </w:rPr>
          <w:fldChar w:fldCharType="separate"/>
        </w:r>
        <w:r>
          <w:rPr>
            <w:noProof/>
            <w:webHidden/>
          </w:rPr>
          <w:t>7</w:t>
        </w:r>
        <w:r>
          <w:rPr>
            <w:noProof/>
            <w:webHidden/>
          </w:rPr>
          <w:fldChar w:fldCharType="end"/>
        </w:r>
      </w:hyperlink>
    </w:p>
    <w:p w14:paraId="744384C3" w14:textId="0A0DB1EE" w:rsidR="006648B0" w:rsidRDefault="006648B0">
      <w:pPr>
        <w:pStyle w:val="TOC1"/>
        <w:rPr>
          <w:rFonts w:asciiTheme="minorHAnsi" w:hAnsiTheme="minorHAnsi"/>
          <w:b w:val="0"/>
          <w:noProof/>
          <w:color w:val="auto"/>
          <w:sz w:val="24"/>
        </w:rPr>
      </w:pPr>
      <w:hyperlink w:anchor="_Toc237663516" w:history="1">
        <w:r w:rsidRPr="00116326">
          <w:rPr>
            <w:rStyle w:val="Hyperlink"/>
            <w:noProof/>
          </w:rPr>
          <w:t>The Shared Fact Ledger</w:t>
        </w:r>
        <w:r>
          <w:rPr>
            <w:noProof/>
            <w:webHidden/>
          </w:rPr>
          <w:tab/>
        </w:r>
        <w:r>
          <w:rPr>
            <w:noProof/>
            <w:webHidden/>
          </w:rPr>
          <w:fldChar w:fldCharType="begin"/>
        </w:r>
        <w:r>
          <w:rPr>
            <w:noProof/>
            <w:webHidden/>
          </w:rPr>
          <w:instrText xml:space="preserve"> PAGEREF _Toc237663516 \h </w:instrText>
        </w:r>
        <w:r>
          <w:rPr>
            <w:noProof/>
            <w:webHidden/>
          </w:rPr>
        </w:r>
        <w:r>
          <w:rPr>
            <w:noProof/>
            <w:webHidden/>
          </w:rPr>
          <w:fldChar w:fldCharType="separate"/>
        </w:r>
        <w:r>
          <w:rPr>
            <w:noProof/>
            <w:webHidden/>
          </w:rPr>
          <w:t>7</w:t>
        </w:r>
        <w:r>
          <w:rPr>
            <w:noProof/>
            <w:webHidden/>
          </w:rPr>
          <w:fldChar w:fldCharType="end"/>
        </w:r>
      </w:hyperlink>
    </w:p>
    <w:p w14:paraId="5D49240D" w14:textId="36B3253E" w:rsidR="006648B0" w:rsidRDefault="006648B0">
      <w:pPr>
        <w:pStyle w:val="TOC1"/>
        <w:rPr>
          <w:rFonts w:asciiTheme="minorHAnsi" w:hAnsiTheme="minorHAnsi"/>
          <w:b w:val="0"/>
          <w:noProof/>
          <w:color w:val="auto"/>
          <w:sz w:val="24"/>
        </w:rPr>
      </w:pPr>
      <w:hyperlink w:anchor="_Toc237663517" w:history="1">
        <w:r w:rsidRPr="00116326">
          <w:rPr>
            <w:rStyle w:val="Hyperlink"/>
            <w:noProof/>
          </w:rPr>
          <w:t>The Red Lines Register and the Perimeter Test</w:t>
        </w:r>
        <w:r>
          <w:rPr>
            <w:noProof/>
            <w:webHidden/>
          </w:rPr>
          <w:tab/>
        </w:r>
        <w:r>
          <w:rPr>
            <w:noProof/>
            <w:webHidden/>
          </w:rPr>
          <w:fldChar w:fldCharType="begin"/>
        </w:r>
        <w:r>
          <w:rPr>
            <w:noProof/>
            <w:webHidden/>
          </w:rPr>
          <w:instrText xml:space="preserve"> PAGEREF _Toc237663517 \h </w:instrText>
        </w:r>
        <w:r>
          <w:rPr>
            <w:noProof/>
            <w:webHidden/>
          </w:rPr>
        </w:r>
        <w:r>
          <w:rPr>
            <w:noProof/>
            <w:webHidden/>
          </w:rPr>
          <w:fldChar w:fldCharType="separate"/>
        </w:r>
        <w:r>
          <w:rPr>
            <w:noProof/>
            <w:webHidden/>
          </w:rPr>
          <w:t>8</w:t>
        </w:r>
        <w:r>
          <w:rPr>
            <w:noProof/>
            <w:webHidden/>
          </w:rPr>
          <w:fldChar w:fldCharType="end"/>
        </w:r>
      </w:hyperlink>
    </w:p>
    <w:p w14:paraId="59F8E043" w14:textId="0AE728ED" w:rsidR="006648B0" w:rsidRDefault="006648B0">
      <w:pPr>
        <w:pStyle w:val="TOC2"/>
        <w:rPr>
          <w:rFonts w:asciiTheme="minorHAnsi" w:hAnsiTheme="minorHAnsi"/>
          <w:noProof/>
          <w:color w:val="auto"/>
          <w:sz w:val="24"/>
        </w:rPr>
      </w:pPr>
      <w:hyperlink w:anchor="_Toc237663518" w:history="1">
        <w:r w:rsidRPr="00116326">
          <w:rPr>
            <w:rStyle w:val="Hyperlink"/>
            <w:noProof/>
          </w:rPr>
          <w:t>Purpose and Method</w:t>
        </w:r>
        <w:r>
          <w:rPr>
            <w:noProof/>
            <w:webHidden/>
          </w:rPr>
          <w:tab/>
        </w:r>
        <w:r>
          <w:rPr>
            <w:noProof/>
            <w:webHidden/>
          </w:rPr>
          <w:fldChar w:fldCharType="begin"/>
        </w:r>
        <w:r>
          <w:rPr>
            <w:noProof/>
            <w:webHidden/>
          </w:rPr>
          <w:instrText xml:space="preserve"> PAGEREF _Toc237663518 \h </w:instrText>
        </w:r>
        <w:r>
          <w:rPr>
            <w:noProof/>
            <w:webHidden/>
          </w:rPr>
        </w:r>
        <w:r>
          <w:rPr>
            <w:noProof/>
            <w:webHidden/>
          </w:rPr>
          <w:fldChar w:fldCharType="separate"/>
        </w:r>
        <w:r>
          <w:rPr>
            <w:noProof/>
            <w:webHidden/>
          </w:rPr>
          <w:t>8</w:t>
        </w:r>
        <w:r>
          <w:rPr>
            <w:noProof/>
            <w:webHidden/>
          </w:rPr>
          <w:fldChar w:fldCharType="end"/>
        </w:r>
      </w:hyperlink>
    </w:p>
    <w:p w14:paraId="3BC04681" w14:textId="35E82447" w:rsidR="006648B0" w:rsidRDefault="006648B0">
      <w:pPr>
        <w:pStyle w:val="TOC2"/>
        <w:rPr>
          <w:rFonts w:asciiTheme="minorHAnsi" w:hAnsiTheme="minorHAnsi"/>
          <w:noProof/>
          <w:color w:val="auto"/>
          <w:sz w:val="24"/>
        </w:rPr>
      </w:pPr>
      <w:hyperlink w:anchor="_Toc237663519" w:history="1">
        <w:r w:rsidRPr="00116326">
          <w:rPr>
            <w:rStyle w:val="Hyperlink"/>
            <w:noProof/>
          </w:rPr>
          <w:t>The Register in Summary</w:t>
        </w:r>
        <w:r>
          <w:rPr>
            <w:noProof/>
            <w:webHidden/>
          </w:rPr>
          <w:tab/>
        </w:r>
        <w:r>
          <w:rPr>
            <w:noProof/>
            <w:webHidden/>
          </w:rPr>
          <w:fldChar w:fldCharType="begin"/>
        </w:r>
        <w:r>
          <w:rPr>
            <w:noProof/>
            <w:webHidden/>
          </w:rPr>
          <w:instrText xml:space="preserve"> PAGEREF _Toc237663519 \h </w:instrText>
        </w:r>
        <w:r>
          <w:rPr>
            <w:noProof/>
            <w:webHidden/>
          </w:rPr>
        </w:r>
        <w:r>
          <w:rPr>
            <w:noProof/>
            <w:webHidden/>
          </w:rPr>
          <w:fldChar w:fldCharType="separate"/>
        </w:r>
        <w:r>
          <w:rPr>
            <w:noProof/>
            <w:webHidden/>
          </w:rPr>
          <w:t>9</w:t>
        </w:r>
        <w:r>
          <w:rPr>
            <w:noProof/>
            <w:webHidden/>
          </w:rPr>
          <w:fldChar w:fldCharType="end"/>
        </w:r>
      </w:hyperlink>
    </w:p>
    <w:p w14:paraId="5A5D865F" w14:textId="025B76C9" w:rsidR="006648B0" w:rsidRDefault="006648B0">
      <w:pPr>
        <w:pStyle w:val="TOC2"/>
        <w:rPr>
          <w:rFonts w:asciiTheme="minorHAnsi" w:hAnsiTheme="minorHAnsi"/>
          <w:noProof/>
          <w:color w:val="auto"/>
          <w:sz w:val="24"/>
        </w:rPr>
      </w:pPr>
      <w:hyperlink w:anchor="_Toc237663520" w:history="1">
        <w:r w:rsidRPr="00116326">
          <w:rPr>
            <w:rStyle w:val="Hyperlink"/>
            <w:noProof/>
          </w:rPr>
          <w:t>The Perimeter Test</w:t>
        </w:r>
        <w:r>
          <w:rPr>
            <w:noProof/>
            <w:webHidden/>
          </w:rPr>
          <w:tab/>
        </w:r>
        <w:r>
          <w:rPr>
            <w:noProof/>
            <w:webHidden/>
          </w:rPr>
          <w:fldChar w:fldCharType="begin"/>
        </w:r>
        <w:r>
          <w:rPr>
            <w:noProof/>
            <w:webHidden/>
          </w:rPr>
          <w:instrText xml:space="preserve"> PAGEREF _Toc237663520 \h </w:instrText>
        </w:r>
        <w:r>
          <w:rPr>
            <w:noProof/>
            <w:webHidden/>
          </w:rPr>
        </w:r>
        <w:r>
          <w:rPr>
            <w:noProof/>
            <w:webHidden/>
          </w:rPr>
          <w:fldChar w:fldCharType="separate"/>
        </w:r>
        <w:r>
          <w:rPr>
            <w:noProof/>
            <w:webHidden/>
          </w:rPr>
          <w:t>10</w:t>
        </w:r>
        <w:r>
          <w:rPr>
            <w:noProof/>
            <w:webHidden/>
          </w:rPr>
          <w:fldChar w:fldCharType="end"/>
        </w:r>
      </w:hyperlink>
    </w:p>
    <w:p w14:paraId="50F8DD9A" w14:textId="3D4C5AE2" w:rsidR="006648B0" w:rsidRDefault="006648B0">
      <w:pPr>
        <w:pStyle w:val="TOC2"/>
        <w:rPr>
          <w:rFonts w:asciiTheme="minorHAnsi" w:hAnsiTheme="minorHAnsi"/>
          <w:noProof/>
          <w:color w:val="auto"/>
          <w:sz w:val="24"/>
        </w:rPr>
      </w:pPr>
      <w:hyperlink w:anchor="_Toc237663521" w:history="1">
        <w:r w:rsidRPr="00116326">
          <w:rPr>
            <w:rStyle w:val="Hyperlink"/>
            <w:noProof/>
          </w:rPr>
          <w:t>Red Line Consultation</w:t>
        </w:r>
        <w:r>
          <w:rPr>
            <w:noProof/>
            <w:webHidden/>
          </w:rPr>
          <w:tab/>
        </w:r>
        <w:r>
          <w:rPr>
            <w:noProof/>
            <w:webHidden/>
          </w:rPr>
          <w:fldChar w:fldCharType="begin"/>
        </w:r>
        <w:r>
          <w:rPr>
            <w:noProof/>
            <w:webHidden/>
          </w:rPr>
          <w:instrText xml:space="preserve"> PAGEREF _Toc237663521 \h </w:instrText>
        </w:r>
        <w:r>
          <w:rPr>
            <w:noProof/>
            <w:webHidden/>
          </w:rPr>
        </w:r>
        <w:r>
          <w:rPr>
            <w:noProof/>
            <w:webHidden/>
          </w:rPr>
          <w:fldChar w:fldCharType="separate"/>
        </w:r>
        <w:r>
          <w:rPr>
            <w:noProof/>
            <w:webHidden/>
          </w:rPr>
          <w:t>10</w:t>
        </w:r>
        <w:r>
          <w:rPr>
            <w:noProof/>
            <w:webHidden/>
          </w:rPr>
          <w:fldChar w:fldCharType="end"/>
        </w:r>
      </w:hyperlink>
    </w:p>
    <w:p w14:paraId="765A36C8" w14:textId="0E61A79B" w:rsidR="006648B0" w:rsidRDefault="006648B0">
      <w:pPr>
        <w:pStyle w:val="TOC1"/>
        <w:rPr>
          <w:rFonts w:asciiTheme="minorHAnsi" w:hAnsiTheme="minorHAnsi"/>
          <w:b w:val="0"/>
          <w:noProof/>
          <w:color w:val="auto"/>
          <w:sz w:val="24"/>
        </w:rPr>
      </w:pPr>
      <w:hyperlink w:anchor="_Toc237663522" w:history="1">
        <w:r w:rsidRPr="00116326">
          <w:rPr>
            <w:rStyle w:val="Hyperlink"/>
            <w:noProof/>
          </w:rPr>
          <w:t>The Architecture at a Glance</w:t>
        </w:r>
        <w:r>
          <w:rPr>
            <w:noProof/>
            <w:webHidden/>
          </w:rPr>
          <w:tab/>
        </w:r>
        <w:r>
          <w:rPr>
            <w:noProof/>
            <w:webHidden/>
          </w:rPr>
          <w:fldChar w:fldCharType="begin"/>
        </w:r>
        <w:r>
          <w:rPr>
            <w:noProof/>
            <w:webHidden/>
          </w:rPr>
          <w:instrText xml:space="preserve"> PAGEREF _Toc237663522 \h </w:instrText>
        </w:r>
        <w:r>
          <w:rPr>
            <w:noProof/>
            <w:webHidden/>
          </w:rPr>
        </w:r>
        <w:r>
          <w:rPr>
            <w:noProof/>
            <w:webHidden/>
          </w:rPr>
          <w:fldChar w:fldCharType="separate"/>
        </w:r>
        <w:r>
          <w:rPr>
            <w:noProof/>
            <w:webHidden/>
          </w:rPr>
          <w:t>10</w:t>
        </w:r>
        <w:r>
          <w:rPr>
            <w:noProof/>
            <w:webHidden/>
          </w:rPr>
          <w:fldChar w:fldCharType="end"/>
        </w:r>
      </w:hyperlink>
    </w:p>
    <w:p w14:paraId="7DF48EB0" w14:textId="46BC5B72" w:rsidR="006648B0" w:rsidRDefault="006648B0">
      <w:pPr>
        <w:pStyle w:val="TOC1"/>
        <w:rPr>
          <w:rFonts w:asciiTheme="minorHAnsi" w:hAnsiTheme="minorHAnsi"/>
          <w:b w:val="0"/>
          <w:noProof/>
          <w:color w:val="auto"/>
          <w:sz w:val="24"/>
        </w:rPr>
      </w:pPr>
      <w:hyperlink w:anchor="_Toc237663523" w:history="1">
        <w:r w:rsidRPr="00116326">
          <w:rPr>
            <w:rStyle w:val="Hyperlink"/>
            <w:noProof/>
          </w:rPr>
          <w:t>LAYER ZERO: THE POLITICAL FRAME PROTOCOL</w:t>
        </w:r>
        <w:r>
          <w:rPr>
            <w:noProof/>
            <w:webHidden/>
          </w:rPr>
          <w:tab/>
        </w:r>
        <w:r>
          <w:rPr>
            <w:noProof/>
            <w:webHidden/>
          </w:rPr>
          <w:fldChar w:fldCharType="begin"/>
        </w:r>
        <w:r>
          <w:rPr>
            <w:noProof/>
            <w:webHidden/>
          </w:rPr>
          <w:instrText xml:space="preserve"> PAGEREF _Toc237663523 \h </w:instrText>
        </w:r>
        <w:r>
          <w:rPr>
            <w:noProof/>
            <w:webHidden/>
          </w:rPr>
        </w:r>
        <w:r>
          <w:rPr>
            <w:noProof/>
            <w:webHidden/>
          </w:rPr>
          <w:fldChar w:fldCharType="separate"/>
        </w:r>
        <w:r>
          <w:rPr>
            <w:noProof/>
            <w:webHidden/>
          </w:rPr>
          <w:t>12</w:t>
        </w:r>
        <w:r>
          <w:rPr>
            <w:noProof/>
            <w:webHidden/>
          </w:rPr>
          <w:fldChar w:fldCharType="end"/>
        </w:r>
      </w:hyperlink>
    </w:p>
    <w:p w14:paraId="2A12F5D7" w14:textId="6201D21F" w:rsidR="006648B0" w:rsidRDefault="006648B0">
      <w:pPr>
        <w:pStyle w:val="TOC2"/>
        <w:rPr>
          <w:rFonts w:asciiTheme="minorHAnsi" w:hAnsiTheme="minorHAnsi"/>
          <w:noProof/>
          <w:color w:val="auto"/>
          <w:sz w:val="24"/>
        </w:rPr>
      </w:pPr>
      <w:hyperlink w:anchor="_Toc237663524" w:history="1">
        <w:r w:rsidRPr="00116326">
          <w:rPr>
            <w:rStyle w:val="Hyperlink"/>
            <w:noProof/>
          </w:rPr>
          <w:t>Article 1: The Single Fact Base</w:t>
        </w:r>
        <w:r>
          <w:rPr>
            <w:noProof/>
            <w:webHidden/>
          </w:rPr>
          <w:tab/>
        </w:r>
        <w:r>
          <w:rPr>
            <w:noProof/>
            <w:webHidden/>
          </w:rPr>
          <w:fldChar w:fldCharType="begin"/>
        </w:r>
        <w:r>
          <w:rPr>
            <w:noProof/>
            <w:webHidden/>
          </w:rPr>
          <w:instrText xml:space="preserve"> PAGEREF _Toc237663524 \h </w:instrText>
        </w:r>
        <w:r>
          <w:rPr>
            <w:noProof/>
            <w:webHidden/>
          </w:rPr>
        </w:r>
        <w:r>
          <w:rPr>
            <w:noProof/>
            <w:webHidden/>
          </w:rPr>
          <w:fldChar w:fldCharType="separate"/>
        </w:r>
        <w:r>
          <w:rPr>
            <w:noProof/>
            <w:webHidden/>
          </w:rPr>
          <w:t>12</w:t>
        </w:r>
        <w:r>
          <w:rPr>
            <w:noProof/>
            <w:webHidden/>
          </w:rPr>
          <w:fldChar w:fldCharType="end"/>
        </w:r>
      </w:hyperlink>
    </w:p>
    <w:p w14:paraId="346E1558" w14:textId="082A1DA8" w:rsidR="006648B0" w:rsidRDefault="006648B0">
      <w:pPr>
        <w:pStyle w:val="TOC2"/>
        <w:rPr>
          <w:rFonts w:asciiTheme="minorHAnsi" w:hAnsiTheme="minorHAnsi"/>
          <w:noProof/>
          <w:color w:val="auto"/>
          <w:sz w:val="24"/>
        </w:rPr>
      </w:pPr>
      <w:hyperlink w:anchor="_Toc237663525" w:history="1">
        <w:r w:rsidRPr="00116326">
          <w:rPr>
            <w:rStyle w:val="Hyperlink"/>
            <w:noProof/>
          </w:rPr>
          <w:t>Article 2: Narrative Sovereignty</w:t>
        </w:r>
        <w:r>
          <w:rPr>
            <w:noProof/>
            <w:webHidden/>
          </w:rPr>
          <w:tab/>
        </w:r>
        <w:r>
          <w:rPr>
            <w:noProof/>
            <w:webHidden/>
          </w:rPr>
          <w:fldChar w:fldCharType="begin"/>
        </w:r>
        <w:r>
          <w:rPr>
            <w:noProof/>
            <w:webHidden/>
          </w:rPr>
          <w:instrText xml:space="preserve"> PAGEREF _Toc237663525 \h </w:instrText>
        </w:r>
        <w:r>
          <w:rPr>
            <w:noProof/>
            <w:webHidden/>
          </w:rPr>
        </w:r>
        <w:r>
          <w:rPr>
            <w:noProof/>
            <w:webHidden/>
          </w:rPr>
          <w:fldChar w:fldCharType="separate"/>
        </w:r>
        <w:r>
          <w:rPr>
            <w:noProof/>
            <w:webHidden/>
          </w:rPr>
          <w:t>12</w:t>
        </w:r>
        <w:r>
          <w:rPr>
            <w:noProof/>
            <w:webHidden/>
          </w:rPr>
          <w:fldChar w:fldCharType="end"/>
        </w:r>
      </w:hyperlink>
    </w:p>
    <w:p w14:paraId="7E359B72" w14:textId="3B37AAEA" w:rsidR="006648B0" w:rsidRDefault="006648B0">
      <w:pPr>
        <w:pStyle w:val="TOC2"/>
        <w:rPr>
          <w:rFonts w:asciiTheme="minorHAnsi" w:hAnsiTheme="minorHAnsi"/>
          <w:noProof/>
          <w:color w:val="auto"/>
          <w:sz w:val="24"/>
        </w:rPr>
      </w:pPr>
      <w:hyperlink w:anchor="_Toc237663526" w:history="1">
        <w:r w:rsidRPr="00116326">
          <w:rPr>
            <w:rStyle w:val="Hyperlink"/>
            <w:noProof/>
          </w:rPr>
          <w:t>Article 3: The No-Disavowal Covenant</w:t>
        </w:r>
        <w:r>
          <w:rPr>
            <w:noProof/>
            <w:webHidden/>
          </w:rPr>
          <w:tab/>
        </w:r>
        <w:r>
          <w:rPr>
            <w:noProof/>
            <w:webHidden/>
          </w:rPr>
          <w:fldChar w:fldCharType="begin"/>
        </w:r>
        <w:r>
          <w:rPr>
            <w:noProof/>
            <w:webHidden/>
          </w:rPr>
          <w:instrText xml:space="preserve"> PAGEREF _Toc237663526 \h </w:instrText>
        </w:r>
        <w:r>
          <w:rPr>
            <w:noProof/>
            <w:webHidden/>
          </w:rPr>
        </w:r>
        <w:r>
          <w:rPr>
            <w:noProof/>
            <w:webHidden/>
          </w:rPr>
          <w:fldChar w:fldCharType="separate"/>
        </w:r>
        <w:r>
          <w:rPr>
            <w:noProof/>
            <w:webHidden/>
          </w:rPr>
          <w:t>13</w:t>
        </w:r>
        <w:r>
          <w:rPr>
            <w:noProof/>
            <w:webHidden/>
          </w:rPr>
          <w:fldChar w:fldCharType="end"/>
        </w:r>
      </w:hyperlink>
    </w:p>
    <w:p w14:paraId="69995361" w14:textId="069BC618" w:rsidR="006648B0" w:rsidRDefault="006648B0">
      <w:pPr>
        <w:pStyle w:val="TOC2"/>
        <w:rPr>
          <w:rFonts w:asciiTheme="minorHAnsi" w:hAnsiTheme="minorHAnsi"/>
          <w:noProof/>
          <w:color w:val="auto"/>
          <w:sz w:val="24"/>
        </w:rPr>
      </w:pPr>
      <w:hyperlink w:anchor="_Toc237663527" w:history="1">
        <w:r w:rsidRPr="00116326">
          <w:rPr>
            <w:rStyle w:val="Hyperlink"/>
            <w:noProof/>
          </w:rPr>
          <w:t>Article 4: The Dignity and Respect Provisions</w:t>
        </w:r>
        <w:r>
          <w:rPr>
            <w:noProof/>
            <w:webHidden/>
          </w:rPr>
          <w:tab/>
        </w:r>
        <w:r>
          <w:rPr>
            <w:noProof/>
            <w:webHidden/>
          </w:rPr>
          <w:fldChar w:fldCharType="begin"/>
        </w:r>
        <w:r>
          <w:rPr>
            <w:noProof/>
            <w:webHidden/>
          </w:rPr>
          <w:instrText xml:space="preserve"> PAGEREF _Toc237663527 \h </w:instrText>
        </w:r>
        <w:r>
          <w:rPr>
            <w:noProof/>
            <w:webHidden/>
          </w:rPr>
        </w:r>
        <w:r>
          <w:rPr>
            <w:noProof/>
            <w:webHidden/>
          </w:rPr>
          <w:fldChar w:fldCharType="separate"/>
        </w:r>
        <w:r>
          <w:rPr>
            <w:noProof/>
            <w:webHidden/>
          </w:rPr>
          <w:t>14</w:t>
        </w:r>
        <w:r>
          <w:rPr>
            <w:noProof/>
            <w:webHidden/>
          </w:rPr>
          <w:fldChar w:fldCharType="end"/>
        </w:r>
      </w:hyperlink>
    </w:p>
    <w:p w14:paraId="3A20B0E4" w14:textId="44E7374E" w:rsidR="006648B0" w:rsidRDefault="006648B0">
      <w:pPr>
        <w:pStyle w:val="TOC2"/>
        <w:rPr>
          <w:rFonts w:asciiTheme="minorHAnsi" w:hAnsiTheme="minorHAnsi"/>
          <w:noProof/>
          <w:color w:val="auto"/>
          <w:sz w:val="24"/>
        </w:rPr>
      </w:pPr>
      <w:hyperlink w:anchor="_Toc237663528" w:history="1">
        <w:r w:rsidRPr="00116326">
          <w:rPr>
            <w:rStyle w:val="Hyperlink"/>
            <w:noProof/>
          </w:rPr>
          <w:t>Article 5: The Political Impossibility Doctrine</w:t>
        </w:r>
        <w:r>
          <w:rPr>
            <w:noProof/>
            <w:webHidden/>
          </w:rPr>
          <w:tab/>
        </w:r>
        <w:r>
          <w:rPr>
            <w:noProof/>
            <w:webHidden/>
          </w:rPr>
          <w:fldChar w:fldCharType="begin"/>
        </w:r>
        <w:r>
          <w:rPr>
            <w:noProof/>
            <w:webHidden/>
          </w:rPr>
          <w:instrText xml:space="preserve"> PAGEREF _Toc237663528 \h </w:instrText>
        </w:r>
        <w:r>
          <w:rPr>
            <w:noProof/>
            <w:webHidden/>
          </w:rPr>
        </w:r>
        <w:r>
          <w:rPr>
            <w:noProof/>
            <w:webHidden/>
          </w:rPr>
          <w:fldChar w:fldCharType="separate"/>
        </w:r>
        <w:r>
          <w:rPr>
            <w:noProof/>
            <w:webHidden/>
          </w:rPr>
          <w:t>14</w:t>
        </w:r>
        <w:r>
          <w:rPr>
            <w:noProof/>
            <w:webHidden/>
          </w:rPr>
          <w:fldChar w:fldCharType="end"/>
        </w:r>
      </w:hyperlink>
    </w:p>
    <w:p w14:paraId="132EEFF3" w14:textId="6C966CEA" w:rsidR="006648B0" w:rsidRDefault="006648B0">
      <w:pPr>
        <w:pStyle w:val="TOC2"/>
        <w:rPr>
          <w:rFonts w:asciiTheme="minorHAnsi" w:hAnsiTheme="minorHAnsi"/>
          <w:noProof/>
          <w:color w:val="auto"/>
          <w:sz w:val="24"/>
        </w:rPr>
      </w:pPr>
      <w:hyperlink w:anchor="_Toc237663529" w:history="1">
        <w:r w:rsidRPr="00116326">
          <w:rPr>
            <w:rStyle w:val="Hyperlink"/>
            <w:noProof/>
          </w:rPr>
          <w:t>Article 6: The Separate Podiums, Shared Facts Rule</w:t>
        </w:r>
        <w:r>
          <w:rPr>
            <w:noProof/>
            <w:webHidden/>
          </w:rPr>
          <w:tab/>
        </w:r>
        <w:r>
          <w:rPr>
            <w:noProof/>
            <w:webHidden/>
          </w:rPr>
          <w:fldChar w:fldCharType="begin"/>
        </w:r>
        <w:r>
          <w:rPr>
            <w:noProof/>
            <w:webHidden/>
          </w:rPr>
          <w:instrText xml:space="preserve"> PAGEREF _Toc237663529 \h </w:instrText>
        </w:r>
        <w:r>
          <w:rPr>
            <w:noProof/>
            <w:webHidden/>
          </w:rPr>
        </w:r>
        <w:r>
          <w:rPr>
            <w:noProof/>
            <w:webHidden/>
          </w:rPr>
          <w:fldChar w:fldCharType="separate"/>
        </w:r>
        <w:r>
          <w:rPr>
            <w:noProof/>
            <w:webHidden/>
          </w:rPr>
          <w:t>14</w:t>
        </w:r>
        <w:r>
          <w:rPr>
            <w:noProof/>
            <w:webHidden/>
          </w:rPr>
          <w:fldChar w:fldCharType="end"/>
        </w:r>
      </w:hyperlink>
    </w:p>
    <w:p w14:paraId="0AB7FDF2" w14:textId="012FEAA5" w:rsidR="006648B0" w:rsidRDefault="006648B0">
      <w:pPr>
        <w:pStyle w:val="TOC2"/>
        <w:rPr>
          <w:rFonts w:asciiTheme="minorHAnsi" w:hAnsiTheme="minorHAnsi"/>
          <w:noProof/>
          <w:color w:val="auto"/>
          <w:sz w:val="24"/>
        </w:rPr>
      </w:pPr>
      <w:hyperlink w:anchor="_Toc237663530" w:history="1">
        <w:r w:rsidRPr="00116326">
          <w:rPr>
            <w:rStyle w:val="Hyperlink"/>
            <w:noProof/>
          </w:rPr>
          <w:t>Article 6A: The Legacy Lock</w:t>
        </w:r>
        <w:r>
          <w:rPr>
            <w:noProof/>
            <w:webHidden/>
          </w:rPr>
          <w:tab/>
        </w:r>
        <w:r>
          <w:rPr>
            <w:noProof/>
            <w:webHidden/>
          </w:rPr>
          <w:fldChar w:fldCharType="begin"/>
        </w:r>
        <w:r>
          <w:rPr>
            <w:noProof/>
            <w:webHidden/>
          </w:rPr>
          <w:instrText xml:space="preserve"> PAGEREF _Toc237663530 \h </w:instrText>
        </w:r>
        <w:r>
          <w:rPr>
            <w:noProof/>
            <w:webHidden/>
          </w:rPr>
        </w:r>
        <w:r>
          <w:rPr>
            <w:noProof/>
            <w:webHidden/>
          </w:rPr>
          <w:fldChar w:fldCharType="separate"/>
        </w:r>
        <w:r>
          <w:rPr>
            <w:noProof/>
            <w:webHidden/>
          </w:rPr>
          <w:t>15</w:t>
        </w:r>
        <w:r>
          <w:rPr>
            <w:noProof/>
            <w:webHidden/>
          </w:rPr>
          <w:fldChar w:fldCharType="end"/>
        </w:r>
      </w:hyperlink>
    </w:p>
    <w:p w14:paraId="4F95D706" w14:textId="6A864A91" w:rsidR="006648B0" w:rsidRDefault="006648B0">
      <w:pPr>
        <w:pStyle w:val="TOC2"/>
        <w:rPr>
          <w:rFonts w:asciiTheme="minorHAnsi" w:hAnsiTheme="minorHAnsi"/>
          <w:noProof/>
          <w:color w:val="auto"/>
          <w:sz w:val="24"/>
        </w:rPr>
      </w:pPr>
      <w:hyperlink w:anchor="_Toc237663531" w:history="1">
        <w:r w:rsidRPr="00116326">
          <w:rPr>
            <w:rStyle w:val="Hyperlink"/>
            <w:noProof/>
          </w:rPr>
          <w:t>Article 6B: The Domestic Approval Pause</w:t>
        </w:r>
        <w:r>
          <w:rPr>
            <w:noProof/>
            <w:webHidden/>
          </w:rPr>
          <w:tab/>
        </w:r>
        <w:r>
          <w:rPr>
            <w:noProof/>
            <w:webHidden/>
          </w:rPr>
          <w:fldChar w:fldCharType="begin"/>
        </w:r>
        <w:r>
          <w:rPr>
            <w:noProof/>
            <w:webHidden/>
          </w:rPr>
          <w:instrText xml:space="preserve"> PAGEREF _Toc237663531 \h </w:instrText>
        </w:r>
        <w:r>
          <w:rPr>
            <w:noProof/>
            <w:webHidden/>
          </w:rPr>
        </w:r>
        <w:r>
          <w:rPr>
            <w:noProof/>
            <w:webHidden/>
          </w:rPr>
          <w:fldChar w:fldCharType="separate"/>
        </w:r>
        <w:r>
          <w:rPr>
            <w:noProof/>
            <w:webHidden/>
          </w:rPr>
          <w:t>15</w:t>
        </w:r>
        <w:r>
          <w:rPr>
            <w:noProof/>
            <w:webHidden/>
          </w:rPr>
          <w:fldChar w:fldCharType="end"/>
        </w:r>
      </w:hyperlink>
    </w:p>
    <w:p w14:paraId="4266DE2A" w14:textId="1B6D7178" w:rsidR="006648B0" w:rsidRDefault="006648B0">
      <w:pPr>
        <w:pStyle w:val="TOC2"/>
        <w:rPr>
          <w:rFonts w:asciiTheme="minorHAnsi" w:hAnsiTheme="minorHAnsi"/>
          <w:noProof/>
          <w:color w:val="auto"/>
          <w:sz w:val="24"/>
        </w:rPr>
      </w:pPr>
      <w:hyperlink w:anchor="_Toc237663532" w:history="1">
        <w:r w:rsidRPr="00116326">
          <w:rPr>
            <w:rStyle w:val="Hyperlink"/>
            <w:noProof/>
          </w:rPr>
          <w:t>Article 6C: The Narrative Package</w:t>
        </w:r>
        <w:r>
          <w:rPr>
            <w:noProof/>
            <w:webHidden/>
          </w:rPr>
          <w:tab/>
        </w:r>
        <w:r>
          <w:rPr>
            <w:noProof/>
            <w:webHidden/>
          </w:rPr>
          <w:fldChar w:fldCharType="begin"/>
        </w:r>
        <w:r>
          <w:rPr>
            <w:noProof/>
            <w:webHidden/>
          </w:rPr>
          <w:instrText xml:space="preserve"> PAGEREF _Toc237663532 \h </w:instrText>
        </w:r>
        <w:r>
          <w:rPr>
            <w:noProof/>
            <w:webHidden/>
          </w:rPr>
        </w:r>
        <w:r>
          <w:rPr>
            <w:noProof/>
            <w:webHidden/>
          </w:rPr>
          <w:fldChar w:fldCharType="separate"/>
        </w:r>
        <w:r>
          <w:rPr>
            <w:noProof/>
            <w:webHidden/>
          </w:rPr>
          <w:t>15</w:t>
        </w:r>
        <w:r>
          <w:rPr>
            <w:noProof/>
            <w:webHidden/>
          </w:rPr>
          <w:fldChar w:fldCharType="end"/>
        </w:r>
      </w:hyperlink>
    </w:p>
    <w:p w14:paraId="7F65DB0E" w14:textId="27339418" w:rsidR="006648B0" w:rsidRDefault="006648B0">
      <w:pPr>
        <w:pStyle w:val="TOC1"/>
        <w:rPr>
          <w:rFonts w:asciiTheme="minorHAnsi" w:hAnsiTheme="minorHAnsi"/>
          <w:b w:val="0"/>
          <w:noProof/>
          <w:color w:val="auto"/>
          <w:sz w:val="24"/>
        </w:rPr>
      </w:pPr>
      <w:hyperlink w:anchor="_Toc237663533" w:history="1">
        <w:r w:rsidRPr="00116326">
          <w:rPr>
            <w:rStyle w:val="Hyperlink"/>
            <w:noProof/>
          </w:rPr>
          <w:t>LAYER ONE: THE FINAL STATUS TREATY</w:t>
        </w:r>
        <w:r>
          <w:rPr>
            <w:noProof/>
            <w:webHidden/>
          </w:rPr>
          <w:tab/>
        </w:r>
        <w:r>
          <w:rPr>
            <w:noProof/>
            <w:webHidden/>
          </w:rPr>
          <w:fldChar w:fldCharType="begin"/>
        </w:r>
        <w:r>
          <w:rPr>
            <w:noProof/>
            <w:webHidden/>
          </w:rPr>
          <w:instrText xml:space="preserve"> PAGEREF _Toc237663533 \h </w:instrText>
        </w:r>
        <w:r>
          <w:rPr>
            <w:noProof/>
            <w:webHidden/>
          </w:rPr>
        </w:r>
        <w:r>
          <w:rPr>
            <w:noProof/>
            <w:webHidden/>
          </w:rPr>
          <w:fldChar w:fldCharType="separate"/>
        </w:r>
        <w:r>
          <w:rPr>
            <w:noProof/>
            <w:webHidden/>
          </w:rPr>
          <w:t>16</w:t>
        </w:r>
        <w:r>
          <w:rPr>
            <w:noProof/>
            <w:webHidden/>
          </w:rPr>
          <w:fldChar w:fldCharType="end"/>
        </w:r>
      </w:hyperlink>
    </w:p>
    <w:p w14:paraId="01919436" w14:textId="244191DF" w:rsidR="006648B0" w:rsidRDefault="006648B0">
      <w:pPr>
        <w:pStyle w:val="TOC1"/>
        <w:rPr>
          <w:rFonts w:asciiTheme="minorHAnsi" w:hAnsiTheme="minorHAnsi"/>
          <w:b w:val="0"/>
          <w:noProof/>
          <w:color w:val="auto"/>
          <w:sz w:val="24"/>
        </w:rPr>
      </w:pPr>
      <w:hyperlink w:anchor="_Toc237663534" w:history="1">
        <w:r w:rsidRPr="00116326">
          <w:rPr>
            <w:rStyle w:val="Hyperlink"/>
            <w:noProof/>
          </w:rPr>
          <w:t>PART I: FOUNDATIONS</w:t>
        </w:r>
        <w:r>
          <w:rPr>
            <w:noProof/>
            <w:webHidden/>
          </w:rPr>
          <w:tab/>
        </w:r>
        <w:r>
          <w:rPr>
            <w:noProof/>
            <w:webHidden/>
          </w:rPr>
          <w:fldChar w:fldCharType="begin"/>
        </w:r>
        <w:r>
          <w:rPr>
            <w:noProof/>
            <w:webHidden/>
          </w:rPr>
          <w:instrText xml:space="preserve"> PAGEREF _Toc237663534 \h </w:instrText>
        </w:r>
        <w:r>
          <w:rPr>
            <w:noProof/>
            <w:webHidden/>
          </w:rPr>
        </w:r>
        <w:r>
          <w:rPr>
            <w:noProof/>
            <w:webHidden/>
          </w:rPr>
          <w:fldChar w:fldCharType="separate"/>
        </w:r>
        <w:r>
          <w:rPr>
            <w:noProof/>
            <w:webHidden/>
          </w:rPr>
          <w:t>16</w:t>
        </w:r>
        <w:r>
          <w:rPr>
            <w:noProof/>
            <w:webHidden/>
          </w:rPr>
          <w:fldChar w:fldCharType="end"/>
        </w:r>
      </w:hyperlink>
    </w:p>
    <w:p w14:paraId="48EF934A" w14:textId="64157DFA" w:rsidR="006648B0" w:rsidRDefault="006648B0">
      <w:pPr>
        <w:pStyle w:val="TOC2"/>
        <w:rPr>
          <w:rFonts w:asciiTheme="minorHAnsi" w:hAnsiTheme="minorHAnsi"/>
          <w:noProof/>
          <w:color w:val="auto"/>
          <w:sz w:val="24"/>
        </w:rPr>
      </w:pPr>
      <w:hyperlink w:anchor="_Toc237663535" w:history="1">
        <w:r w:rsidRPr="00116326">
          <w:rPr>
            <w:rStyle w:val="Hyperlink"/>
            <w:noProof/>
          </w:rPr>
          <w:t>Article 7: Establishment, Purpose, and Scope</w:t>
        </w:r>
        <w:r>
          <w:rPr>
            <w:noProof/>
            <w:webHidden/>
          </w:rPr>
          <w:tab/>
        </w:r>
        <w:r>
          <w:rPr>
            <w:noProof/>
            <w:webHidden/>
          </w:rPr>
          <w:fldChar w:fldCharType="begin"/>
        </w:r>
        <w:r>
          <w:rPr>
            <w:noProof/>
            <w:webHidden/>
          </w:rPr>
          <w:instrText xml:space="preserve"> PAGEREF _Toc237663535 \h </w:instrText>
        </w:r>
        <w:r>
          <w:rPr>
            <w:noProof/>
            <w:webHidden/>
          </w:rPr>
        </w:r>
        <w:r>
          <w:rPr>
            <w:noProof/>
            <w:webHidden/>
          </w:rPr>
          <w:fldChar w:fldCharType="separate"/>
        </w:r>
        <w:r>
          <w:rPr>
            <w:noProof/>
            <w:webHidden/>
          </w:rPr>
          <w:t>16</w:t>
        </w:r>
        <w:r>
          <w:rPr>
            <w:noProof/>
            <w:webHidden/>
          </w:rPr>
          <w:fldChar w:fldCharType="end"/>
        </w:r>
      </w:hyperlink>
    </w:p>
    <w:p w14:paraId="29F25627" w14:textId="2A097A60" w:rsidR="006648B0" w:rsidRDefault="006648B0">
      <w:pPr>
        <w:pStyle w:val="TOC2"/>
        <w:rPr>
          <w:rFonts w:asciiTheme="minorHAnsi" w:hAnsiTheme="minorHAnsi"/>
          <w:noProof/>
          <w:color w:val="auto"/>
          <w:sz w:val="24"/>
        </w:rPr>
      </w:pPr>
      <w:hyperlink w:anchor="_Toc237663536" w:history="1">
        <w:r w:rsidRPr="00116326">
          <w:rPr>
            <w:rStyle w:val="Hyperlink"/>
            <w:noProof/>
          </w:rPr>
          <w:t>Article 8: The Parties, Facilitators, and Depositary</w:t>
        </w:r>
        <w:r>
          <w:rPr>
            <w:noProof/>
            <w:webHidden/>
          </w:rPr>
          <w:tab/>
        </w:r>
        <w:r>
          <w:rPr>
            <w:noProof/>
            <w:webHidden/>
          </w:rPr>
          <w:fldChar w:fldCharType="begin"/>
        </w:r>
        <w:r>
          <w:rPr>
            <w:noProof/>
            <w:webHidden/>
          </w:rPr>
          <w:instrText xml:space="preserve"> PAGEREF _Toc237663536 \h </w:instrText>
        </w:r>
        <w:r>
          <w:rPr>
            <w:noProof/>
            <w:webHidden/>
          </w:rPr>
        </w:r>
        <w:r>
          <w:rPr>
            <w:noProof/>
            <w:webHidden/>
          </w:rPr>
          <w:fldChar w:fldCharType="separate"/>
        </w:r>
        <w:r>
          <w:rPr>
            <w:noProof/>
            <w:webHidden/>
          </w:rPr>
          <w:t>16</w:t>
        </w:r>
        <w:r>
          <w:rPr>
            <w:noProof/>
            <w:webHidden/>
          </w:rPr>
          <w:fldChar w:fldCharType="end"/>
        </w:r>
      </w:hyperlink>
    </w:p>
    <w:p w14:paraId="50DFD40F" w14:textId="0075CDD6" w:rsidR="006648B0" w:rsidRDefault="006648B0">
      <w:pPr>
        <w:pStyle w:val="TOC2"/>
        <w:rPr>
          <w:rFonts w:asciiTheme="minorHAnsi" w:hAnsiTheme="minorHAnsi"/>
          <w:noProof/>
          <w:color w:val="auto"/>
          <w:sz w:val="24"/>
        </w:rPr>
      </w:pPr>
      <w:hyperlink w:anchor="_Toc237663537" w:history="1">
        <w:r w:rsidRPr="00116326">
          <w:rPr>
            <w:rStyle w:val="Hyperlink"/>
            <w:noProof/>
          </w:rPr>
          <w:t>Article 9: Legal Foundations</w:t>
        </w:r>
        <w:r>
          <w:rPr>
            <w:noProof/>
            <w:webHidden/>
          </w:rPr>
          <w:tab/>
        </w:r>
        <w:r>
          <w:rPr>
            <w:noProof/>
            <w:webHidden/>
          </w:rPr>
          <w:fldChar w:fldCharType="begin"/>
        </w:r>
        <w:r>
          <w:rPr>
            <w:noProof/>
            <w:webHidden/>
          </w:rPr>
          <w:instrText xml:space="preserve"> PAGEREF _Toc237663537 \h </w:instrText>
        </w:r>
        <w:r>
          <w:rPr>
            <w:noProof/>
            <w:webHidden/>
          </w:rPr>
        </w:r>
        <w:r>
          <w:rPr>
            <w:noProof/>
            <w:webHidden/>
          </w:rPr>
          <w:fldChar w:fldCharType="separate"/>
        </w:r>
        <w:r>
          <w:rPr>
            <w:noProof/>
            <w:webHidden/>
          </w:rPr>
          <w:t>17</w:t>
        </w:r>
        <w:r>
          <w:rPr>
            <w:noProof/>
            <w:webHidden/>
          </w:rPr>
          <w:fldChar w:fldCharType="end"/>
        </w:r>
      </w:hyperlink>
    </w:p>
    <w:p w14:paraId="35D71EA3" w14:textId="66D842BD" w:rsidR="006648B0" w:rsidRDefault="006648B0">
      <w:pPr>
        <w:pStyle w:val="TOC2"/>
        <w:rPr>
          <w:rFonts w:asciiTheme="minorHAnsi" w:hAnsiTheme="minorHAnsi"/>
          <w:noProof/>
          <w:color w:val="auto"/>
          <w:sz w:val="24"/>
        </w:rPr>
      </w:pPr>
      <w:hyperlink w:anchor="_Toc237663538" w:history="1">
        <w:r w:rsidRPr="00116326">
          <w:rPr>
            <w:rStyle w:val="Hyperlink"/>
            <w:noProof/>
          </w:rPr>
          <w:t>Article 10: Core Operating Principles</w:t>
        </w:r>
        <w:r>
          <w:rPr>
            <w:noProof/>
            <w:webHidden/>
          </w:rPr>
          <w:tab/>
        </w:r>
        <w:r>
          <w:rPr>
            <w:noProof/>
            <w:webHidden/>
          </w:rPr>
          <w:fldChar w:fldCharType="begin"/>
        </w:r>
        <w:r>
          <w:rPr>
            <w:noProof/>
            <w:webHidden/>
          </w:rPr>
          <w:instrText xml:space="preserve"> PAGEREF _Toc237663538 \h </w:instrText>
        </w:r>
        <w:r>
          <w:rPr>
            <w:noProof/>
            <w:webHidden/>
          </w:rPr>
        </w:r>
        <w:r>
          <w:rPr>
            <w:noProof/>
            <w:webHidden/>
          </w:rPr>
          <w:fldChar w:fldCharType="separate"/>
        </w:r>
        <w:r>
          <w:rPr>
            <w:noProof/>
            <w:webHidden/>
          </w:rPr>
          <w:t>17</w:t>
        </w:r>
        <w:r>
          <w:rPr>
            <w:noProof/>
            <w:webHidden/>
          </w:rPr>
          <w:fldChar w:fldCharType="end"/>
        </w:r>
      </w:hyperlink>
    </w:p>
    <w:p w14:paraId="18BF2F3B" w14:textId="4127B45D" w:rsidR="006648B0" w:rsidRDefault="006648B0">
      <w:pPr>
        <w:pStyle w:val="TOC2"/>
        <w:rPr>
          <w:rFonts w:asciiTheme="minorHAnsi" w:hAnsiTheme="minorHAnsi"/>
          <w:noProof/>
          <w:color w:val="auto"/>
          <w:sz w:val="24"/>
        </w:rPr>
      </w:pPr>
      <w:hyperlink w:anchor="_Toc237663539" w:history="1">
        <w:r w:rsidRPr="00116326">
          <w:rPr>
            <w:rStyle w:val="Hyperlink"/>
            <w:noProof/>
          </w:rPr>
          <w:t>Article 11: Definitions and Interpretation</w:t>
        </w:r>
        <w:r>
          <w:rPr>
            <w:noProof/>
            <w:webHidden/>
          </w:rPr>
          <w:tab/>
        </w:r>
        <w:r>
          <w:rPr>
            <w:noProof/>
            <w:webHidden/>
          </w:rPr>
          <w:fldChar w:fldCharType="begin"/>
        </w:r>
        <w:r>
          <w:rPr>
            <w:noProof/>
            <w:webHidden/>
          </w:rPr>
          <w:instrText xml:space="preserve"> PAGEREF _Toc237663539 \h </w:instrText>
        </w:r>
        <w:r>
          <w:rPr>
            <w:noProof/>
            <w:webHidden/>
          </w:rPr>
        </w:r>
        <w:r>
          <w:rPr>
            <w:noProof/>
            <w:webHidden/>
          </w:rPr>
          <w:fldChar w:fldCharType="separate"/>
        </w:r>
        <w:r>
          <w:rPr>
            <w:noProof/>
            <w:webHidden/>
          </w:rPr>
          <w:t>18</w:t>
        </w:r>
        <w:r>
          <w:rPr>
            <w:noProof/>
            <w:webHidden/>
          </w:rPr>
          <w:fldChar w:fldCharType="end"/>
        </w:r>
      </w:hyperlink>
    </w:p>
    <w:p w14:paraId="7983A001" w14:textId="319B06BD" w:rsidR="006648B0" w:rsidRDefault="006648B0">
      <w:pPr>
        <w:pStyle w:val="TOC1"/>
        <w:rPr>
          <w:rFonts w:asciiTheme="minorHAnsi" w:hAnsiTheme="minorHAnsi"/>
          <w:b w:val="0"/>
          <w:noProof/>
          <w:color w:val="auto"/>
          <w:sz w:val="24"/>
        </w:rPr>
      </w:pPr>
      <w:hyperlink w:anchor="_Toc237663540" w:history="1">
        <w:r w:rsidRPr="00116326">
          <w:rPr>
            <w:rStyle w:val="Hyperlink"/>
            <w:noProof/>
          </w:rPr>
          <w:t>PART II: PERMANENT CESSATION OF HOSTILITIES</w:t>
        </w:r>
        <w:r>
          <w:rPr>
            <w:noProof/>
            <w:webHidden/>
          </w:rPr>
          <w:tab/>
        </w:r>
        <w:r>
          <w:rPr>
            <w:noProof/>
            <w:webHidden/>
          </w:rPr>
          <w:fldChar w:fldCharType="begin"/>
        </w:r>
        <w:r>
          <w:rPr>
            <w:noProof/>
            <w:webHidden/>
          </w:rPr>
          <w:instrText xml:space="preserve"> PAGEREF _Toc237663540 \h </w:instrText>
        </w:r>
        <w:r>
          <w:rPr>
            <w:noProof/>
            <w:webHidden/>
          </w:rPr>
        </w:r>
        <w:r>
          <w:rPr>
            <w:noProof/>
            <w:webHidden/>
          </w:rPr>
          <w:fldChar w:fldCharType="separate"/>
        </w:r>
        <w:r>
          <w:rPr>
            <w:noProof/>
            <w:webHidden/>
          </w:rPr>
          <w:t>19</w:t>
        </w:r>
        <w:r>
          <w:rPr>
            <w:noProof/>
            <w:webHidden/>
          </w:rPr>
          <w:fldChar w:fldCharType="end"/>
        </w:r>
      </w:hyperlink>
    </w:p>
    <w:p w14:paraId="499E41B2" w14:textId="73756CAE" w:rsidR="006648B0" w:rsidRDefault="006648B0">
      <w:pPr>
        <w:pStyle w:val="TOC2"/>
        <w:rPr>
          <w:rFonts w:asciiTheme="minorHAnsi" w:hAnsiTheme="minorHAnsi"/>
          <w:noProof/>
          <w:color w:val="auto"/>
          <w:sz w:val="24"/>
        </w:rPr>
      </w:pPr>
      <w:hyperlink w:anchor="_Toc237663541" w:history="1">
        <w:r w:rsidRPr="00116326">
          <w:rPr>
            <w:rStyle w:val="Hyperlink"/>
            <w:noProof/>
          </w:rPr>
          <w:t>Article 12: The Permanent Termination</w:t>
        </w:r>
        <w:r>
          <w:rPr>
            <w:noProof/>
            <w:webHidden/>
          </w:rPr>
          <w:tab/>
        </w:r>
        <w:r>
          <w:rPr>
            <w:noProof/>
            <w:webHidden/>
          </w:rPr>
          <w:fldChar w:fldCharType="begin"/>
        </w:r>
        <w:r>
          <w:rPr>
            <w:noProof/>
            <w:webHidden/>
          </w:rPr>
          <w:instrText xml:space="preserve"> PAGEREF _Toc237663541 \h </w:instrText>
        </w:r>
        <w:r>
          <w:rPr>
            <w:noProof/>
            <w:webHidden/>
          </w:rPr>
        </w:r>
        <w:r>
          <w:rPr>
            <w:noProof/>
            <w:webHidden/>
          </w:rPr>
          <w:fldChar w:fldCharType="separate"/>
        </w:r>
        <w:r>
          <w:rPr>
            <w:noProof/>
            <w:webHidden/>
          </w:rPr>
          <w:t>19</w:t>
        </w:r>
        <w:r>
          <w:rPr>
            <w:noProof/>
            <w:webHidden/>
          </w:rPr>
          <w:fldChar w:fldCharType="end"/>
        </w:r>
      </w:hyperlink>
    </w:p>
    <w:p w14:paraId="574B22E7" w14:textId="311CC689" w:rsidR="006648B0" w:rsidRDefault="006648B0">
      <w:pPr>
        <w:pStyle w:val="TOC2"/>
        <w:rPr>
          <w:rFonts w:asciiTheme="minorHAnsi" w:hAnsiTheme="minorHAnsi"/>
          <w:noProof/>
          <w:color w:val="auto"/>
          <w:sz w:val="24"/>
        </w:rPr>
      </w:pPr>
      <w:hyperlink w:anchor="_Toc237663542" w:history="1">
        <w:r w:rsidRPr="00116326">
          <w:rPr>
            <w:rStyle w:val="Hyperlink"/>
            <w:noProof/>
          </w:rPr>
          <w:t>Article 13: The Lebanon Resolution and the Third-Party Guarantor Clause</w:t>
        </w:r>
        <w:r>
          <w:rPr>
            <w:noProof/>
            <w:webHidden/>
          </w:rPr>
          <w:tab/>
        </w:r>
        <w:r>
          <w:rPr>
            <w:noProof/>
            <w:webHidden/>
          </w:rPr>
          <w:fldChar w:fldCharType="begin"/>
        </w:r>
        <w:r>
          <w:rPr>
            <w:noProof/>
            <w:webHidden/>
          </w:rPr>
          <w:instrText xml:space="preserve"> PAGEREF _Toc237663542 \h </w:instrText>
        </w:r>
        <w:r>
          <w:rPr>
            <w:noProof/>
            <w:webHidden/>
          </w:rPr>
        </w:r>
        <w:r>
          <w:rPr>
            <w:noProof/>
            <w:webHidden/>
          </w:rPr>
          <w:fldChar w:fldCharType="separate"/>
        </w:r>
        <w:r>
          <w:rPr>
            <w:noProof/>
            <w:webHidden/>
          </w:rPr>
          <w:t>19</w:t>
        </w:r>
        <w:r>
          <w:rPr>
            <w:noProof/>
            <w:webHidden/>
          </w:rPr>
          <w:fldChar w:fldCharType="end"/>
        </w:r>
      </w:hyperlink>
    </w:p>
    <w:p w14:paraId="7886DE91" w14:textId="6F4B098D" w:rsidR="006648B0" w:rsidRDefault="006648B0">
      <w:pPr>
        <w:pStyle w:val="TOC1"/>
        <w:rPr>
          <w:rFonts w:asciiTheme="minorHAnsi" w:hAnsiTheme="minorHAnsi"/>
          <w:b w:val="0"/>
          <w:noProof/>
          <w:color w:val="auto"/>
          <w:sz w:val="24"/>
        </w:rPr>
      </w:pPr>
      <w:hyperlink w:anchor="_Toc237663543" w:history="1">
        <w:r w:rsidRPr="00116326">
          <w:rPr>
            <w:rStyle w:val="Hyperlink"/>
            <w:noProof/>
          </w:rPr>
          <w:t>PART III: SOVEREIGNTY AND NON-INTERFERENCE</w:t>
        </w:r>
        <w:r>
          <w:rPr>
            <w:noProof/>
            <w:webHidden/>
          </w:rPr>
          <w:tab/>
        </w:r>
        <w:r>
          <w:rPr>
            <w:noProof/>
            <w:webHidden/>
          </w:rPr>
          <w:fldChar w:fldCharType="begin"/>
        </w:r>
        <w:r>
          <w:rPr>
            <w:noProof/>
            <w:webHidden/>
          </w:rPr>
          <w:instrText xml:space="preserve"> PAGEREF _Toc237663543 \h </w:instrText>
        </w:r>
        <w:r>
          <w:rPr>
            <w:noProof/>
            <w:webHidden/>
          </w:rPr>
        </w:r>
        <w:r>
          <w:rPr>
            <w:noProof/>
            <w:webHidden/>
          </w:rPr>
          <w:fldChar w:fldCharType="separate"/>
        </w:r>
        <w:r>
          <w:rPr>
            <w:noProof/>
            <w:webHidden/>
          </w:rPr>
          <w:t>21</w:t>
        </w:r>
        <w:r>
          <w:rPr>
            <w:noProof/>
            <w:webHidden/>
          </w:rPr>
          <w:fldChar w:fldCharType="end"/>
        </w:r>
      </w:hyperlink>
    </w:p>
    <w:p w14:paraId="69155B08" w14:textId="0659F0F4" w:rsidR="006648B0" w:rsidRDefault="006648B0">
      <w:pPr>
        <w:pStyle w:val="TOC2"/>
        <w:rPr>
          <w:rFonts w:asciiTheme="minorHAnsi" w:hAnsiTheme="minorHAnsi"/>
          <w:noProof/>
          <w:color w:val="auto"/>
          <w:sz w:val="24"/>
        </w:rPr>
      </w:pPr>
      <w:hyperlink w:anchor="_Toc237663544" w:history="1">
        <w:r w:rsidRPr="00116326">
          <w:rPr>
            <w:rStyle w:val="Hyperlink"/>
            <w:noProof/>
          </w:rPr>
          <w:t>Article 14: The Sovereignty and No Regime Change Covenant</w:t>
        </w:r>
        <w:r>
          <w:rPr>
            <w:noProof/>
            <w:webHidden/>
          </w:rPr>
          <w:tab/>
        </w:r>
        <w:r>
          <w:rPr>
            <w:noProof/>
            <w:webHidden/>
          </w:rPr>
          <w:fldChar w:fldCharType="begin"/>
        </w:r>
        <w:r>
          <w:rPr>
            <w:noProof/>
            <w:webHidden/>
          </w:rPr>
          <w:instrText xml:space="preserve"> PAGEREF _Toc237663544 \h </w:instrText>
        </w:r>
        <w:r>
          <w:rPr>
            <w:noProof/>
            <w:webHidden/>
          </w:rPr>
        </w:r>
        <w:r>
          <w:rPr>
            <w:noProof/>
            <w:webHidden/>
          </w:rPr>
          <w:fldChar w:fldCharType="separate"/>
        </w:r>
        <w:r>
          <w:rPr>
            <w:noProof/>
            <w:webHidden/>
          </w:rPr>
          <w:t>21</w:t>
        </w:r>
        <w:r>
          <w:rPr>
            <w:noProof/>
            <w:webHidden/>
          </w:rPr>
          <w:fldChar w:fldCharType="end"/>
        </w:r>
      </w:hyperlink>
    </w:p>
    <w:p w14:paraId="73523392" w14:textId="3C167484" w:rsidR="006648B0" w:rsidRDefault="006648B0">
      <w:pPr>
        <w:pStyle w:val="TOC1"/>
        <w:rPr>
          <w:rFonts w:asciiTheme="minorHAnsi" w:hAnsiTheme="minorHAnsi"/>
          <w:b w:val="0"/>
          <w:noProof/>
          <w:color w:val="auto"/>
          <w:sz w:val="24"/>
        </w:rPr>
      </w:pPr>
      <w:hyperlink w:anchor="_Toc237663545" w:history="1">
        <w:r w:rsidRPr="00116326">
          <w:rPr>
            <w:rStyle w:val="Hyperlink"/>
            <w:noProof/>
          </w:rPr>
          <w:t>PART IV: MILITARY DISENGAGEMENT AND THE WITHDRAWAL PROTOCOL</w:t>
        </w:r>
        <w:r>
          <w:rPr>
            <w:noProof/>
            <w:webHidden/>
          </w:rPr>
          <w:tab/>
        </w:r>
        <w:r>
          <w:rPr>
            <w:noProof/>
            <w:webHidden/>
          </w:rPr>
          <w:fldChar w:fldCharType="begin"/>
        </w:r>
        <w:r>
          <w:rPr>
            <w:noProof/>
            <w:webHidden/>
          </w:rPr>
          <w:instrText xml:space="preserve"> PAGEREF _Toc237663545 \h </w:instrText>
        </w:r>
        <w:r>
          <w:rPr>
            <w:noProof/>
            <w:webHidden/>
          </w:rPr>
        </w:r>
        <w:r>
          <w:rPr>
            <w:noProof/>
            <w:webHidden/>
          </w:rPr>
          <w:fldChar w:fldCharType="separate"/>
        </w:r>
        <w:r>
          <w:rPr>
            <w:noProof/>
            <w:webHidden/>
          </w:rPr>
          <w:t>22</w:t>
        </w:r>
        <w:r>
          <w:rPr>
            <w:noProof/>
            <w:webHidden/>
          </w:rPr>
          <w:fldChar w:fldCharType="end"/>
        </w:r>
      </w:hyperlink>
    </w:p>
    <w:p w14:paraId="339156EF" w14:textId="18708E1B" w:rsidR="006648B0" w:rsidRDefault="006648B0">
      <w:pPr>
        <w:pStyle w:val="TOC2"/>
        <w:rPr>
          <w:rFonts w:asciiTheme="minorHAnsi" w:hAnsiTheme="minorHAnsi"/>
          <w:noProof/>
          <w:color w:val="auto"/>
          <w:sz w:val="24"/>
        </w:rPr>
      </w:pPr>
      <w:hyperlink w:anchor="_Toc237663546" w:history="1">
        <w:r w:rsidRPr="00116326">
          <w:rPr>
            <w:rStyle w:val="Hyperlink"/>
            <w:noProof/>
          </w:rPr>
          <w:t>Article 15: The Thirty-Day Withdrawal Protocol</w:t>
        </w:r>
        <w:r>
          <w:rPr>
            <w:noProof/>
            <w:webHidden/>
          </w:rPr>
          <w:tab/>
        </w:r>
        <w:r>
          <w:rPr>
            <w:noProof/>
            <w:webHidden/>
          </w:rPr>
          <w:fldChar w:fldCharType="begin"/>
        </w:r>
        <w:r>
          <w:rPr>
            <w:noProof/>
            <w:webHidden/>
          </w:rPr>
          <w:instrText xml:space="preserve"> PAGEREF _Toc237663546 \h </w:instrText>
        </w:r>
        <w:r>
          <w:rPr>
            <w:noProof/>
            <w:webHidden/>
          </w:rPr>
        </w:r>
        <w:r>
          <w:rPr>
            <w:noProof/>
            <w:webHidden/>
          </w:rPr>
          <w:fldChar w:fldCharType="separate"/>
        </w:r>
        <w:r>
          <w:rPr>
            <w:noProof/>
            <w:webHidden/>
          </w:rPr>
          <w:t>22</w:t>
        </w:r>
        <w:r>
          <w:rPr>
            <w:noProof/>
            <w:webHidden/>
          </w:rPr>
          <w:fldChar w:fldCharType="end"/>
        </w:r>
      </w:hyperlink>
    </w:p>
    <w:p w14:paraId="69C0E211" w14:textId="297FEEE4" w:rsidR="006648B0" w:rsidRDefault="006648B0">
      <w:pPr>
        <w:pStyle w:val="TOC2"/>
        <w:rPr>
          <w:rFonts w:asciiTheme="minorHAnsi" w:hAnsiTheme="minorHAnsi"/>
          <w:noProof/>
          <w:color w:val="auto"/>
          <w:sz w:val="24"/>
        </w:rPr>
      </w:pPr>
      <w:hyperlink w:anchor="_Toc237663547" w:history="1">
        <w:r w:rsidRPr="00116326">
          <w:rPr>
            <w:rStyle w:val="Hyperlink"/>
            <w:noProof/>
          </w:rPr>
          <w:t>Article 16: The Deconfliction Permanence</w:t>
        </w:r>
        <w:r>
          <w:rPr>
            <w:noProof/>
            <w:webHidden/>
          </w:rPr>
          <w:tab/>
        </w:r>
        <w:r>
          <w:rPr>
            <w:noProof/>
            <w:webHidden/>
          </w:rPr>
          <w:fldChar w:fldCharType="begin"/>
        </w:r>
        <w:r>
          <w:rPr>
            <w:noProof/>
            <w:webHidden/>
          </w:rPr>
          <w:instrText xml:space="preserve"> PAGEREF _Toc237663547 \h </w:instrText>
        </w:r>
        <w:r>
          <w:rPr>
            <w:noProof/>
            <w:webHidden/>
          </w:rPr>
        </w:r>
        <w:r>
          <w:rPr>
            <w:noProof/>
            <w:webHidden/>
          </w:rPr>
          <w:fldChar w:fldCharType="separate"/>
        </w:r>
        <w:r>
          <w:rPr>
            <w:noProof/>
            <w:webHidden/>
          </w:rPr>
          <w:t>23</w:t>
        </w:r>
        <w:r>
          <w:rPr>
            <w:noProof/>
            <w:webHidden/>
          </w:rPr>
          <w:fldChar w:fldCharType="end"/>
        </w:r>
      </w:hyperlink>
    </w:p>
    <w:p w14:paraId="27AD9ED0" w14:textId="0AF01DDD" w:rsidR="006648B0" w:rsidRDefault="006648B0">
      <w:pPr>
        <w:pStyle w:val="TOC1"/>
        <w:rPr>
          <w:rFonts w:asciiTheme="minorHAnsi" w:hAnsiTheme="minorHAnsi"/>
          <w:b w:val="0"/>
          <w:noProof/>
          <w:color w:val="auto"/>
          <w:sz w:val="24"/>
        </w:rPr>
      </w:pPr>
      <w:hyperlink w:anchor="_Toc237663548" w:history="1">
        <w:r w:rsidRPr="00116326">
          <w:rPr>
            <w:rStyle w:val="Hyperlink"/>
            <w:noProof/>
          </w:rPr>
          <w:t>PART V: NUCLEAR FINAL STATUS</w:t>
        </w:r>
        <w:r>
          <w:rPr>
            <w:noProof/>
            <w:webHidden/>
          </w:rPr>
          <w:tab/>
        </w:r>
        <w:r>
          <w:rPr>
            <w:noProof/>
            <w:webHidden/>
          </w:rPr>
          <w:fldChar w:fldCharType="begin"/>
        </w:r>
        <w:r>
          <w:rPr>
            <w:noProof/>
            <w:webHidden/>
          </w:rPr>
          <w:instrText xml:space="preserve"> PAGEREF _Toc237663548 \h </w:instrText>
        </w:r>
        <w:r>
          <w:rPr>
            <w:noProof/>
            <w:webHidden/>
          </w:rPr>
        </w:r>
        <w:r>
          <w:rPr>
            <w:noProof/>
            <w:webHidden/>
          </w:rPr>
          <w:fldChar w:fldCharType="separate"/>
        </w:r>
        <w:r>
          <w:rPr>
            <w:noProof/>
            <w:webHidden/>
          </w:rPr>
          <w:t>24</w:t>
        </w:r>
        <w:r>
          <w:rPr>
            <w:noProof/>
            <w:webHidden/>
          </w:rPr>
          <w:fldChar w:fldCharType="end"/>
        </w:r>
      </w:hyperlink>
    </w:p>
    <w:p w14:paraId="4AB255F9" w14:textId="48098DE6" w:rsidR="006648B0" w:rsidRDefault="006648B0">
      <w:pPr>
        <w:pStyle w:val="TOC2"/>
        <w:rPr>
          <w:rFonts w:asciiTheme="minorHAnsi" w:hAnsiTheme="minorHAnsi"/>
          <w:noProof/>
          <w:color w:val="auto"/>
          <w:sz w:val="24"/>
        </w:rPr>
      </w:pPr>
      <w:hyperlink w:anchor="_Toc237663549" w:history="1">
        <w:r w:rsidRPr="00116326">
          <w:rPr>
            <w:rStyle w:val="Hyperlink"/>
            <w:noProof/>
          </w:rPr>
          <w:t>Article 17: The Permanent Commitment</w:t>
        </w:r>
        <w:r>
          <w:rPr>
            <w:noProof/>
            <w:webHidden/>
          </w:rPr>
          <w:tab/>
        </w:r>
        <w:r>
          <w:rPr>
            <w:noProof/>
            <w:webHidden/>
          </w:rPr>
          <w:fldChar w:fldCharType="begin"/>
        </w:r>
        <w:r>
          <w:rPr>
            <w:noProof/>
            <w:webHidden/>
          </w:rPr>
          <w:instrText xml:space="preserve"> PAGEREF _Toc237663549 \h </w:instrText>
        </w:r>
        <w:r>
          <w:rPr>
            <w:noProof/>
            <w:webHidden/>
          </w:rPr>
        </w:r>
        <w:r>
          <w:rPr>
            <w:noProof/>
            <w:webHidden/>
          </w:rPr>
          <w:fldChar w:fldCharType="separate"/>
        </w:r>
        <w:r>
          <w:rPr>
            <w:noProof/>
            <w:webHidden/>
          </w:rPr>
          <w:t>24</w:t>
        </w:r>
        <w:r>
          <w:rPr>
            <w:noProof/>
            <w:webHidden/>
          </w:rPr>
          <w:fldChar w:fldCharType="end"/>
        </w:r>
      </w:hyperlink>
    </w:p>
    <w:p w14:paraId="36990514" w14:textId="500DC052" w:rsidR="006648B0" w:rsidRDefault="006648B0">
      <w:pPr>
        <w:pStyle w:val="TOC2"/>
        <w:rPr>
          <w:rFonts w:asciiTheme="minorHAnsi" w:hAnsiTheme="minorHAnsi"/>
          <w:noProof/>
          <w:color w:val="auto"/>
          <w:sz w:val="24"/>
        </w:rPr>
      </w:pPr>
      <w:hyperlink w:anchor="_Toc237663550" w:history="1">
        <w:r w:rsidRPr="00116326">
          <w:rPr>
            <w:rStyle w:val="Hyperlink"/>
            <w:noProof/>
          </w:rPr>
          <w:t>Article 18: The Stockpile Resolution (The 440-Kilogram Question)</w:t>
        </w:r>
        <w:r>
          <w:rPr>
            <w:noProof/>
            <w:webHidden/>
          </w:rPr>
          <w:tab/>
        </w:r>
        <w:r>
          <w:rPr>
            <w:noProof/>
            <w:webHidden/>
          </w:rPr>
          <w:fldChar w:fldCharType="begin"/>
        </w:r>
        <w:r>
          <w:rPr>
            <w:noProof/>
            <w:webHidden/>
          </w:rPr>
          <w:instrText xml:space="preserve"> PAGEREF _Toc237663550 \h </w:instrText>
        </w:r>
        <w:r>
          <w:rPr>
            <w:noProof/>
            <w:webHidden/>
          </w:rPr>
        </w:r>
        <w:r>
          <w:rPr>
            <w:noProof/>
            <w:webHidden/>
          </w:rPr>
          <w:fldChar w:fldCharType="separate"/>
        </w:r>
        <w:r>
          <w:rPr>
            <w:noProof/>
            <w:webHidden/>
          </w:rPr>
          <w:t>24</w:t>
        </w:r>
        <w:r>
          <w:rPr>
            <w:noProof/>
            <w:webHidden/>
          </w:rPr>
          <w:fldChar w:fldCharType="end"/>
        </w:r>
      </w:hyperlink>
    </w:p>
    <w:p w14:paraId="27649F04" w14:textId="7182B7F5" w:rsidR="006648B0" w:rsidRDefault="006648B0">
      <w:pPr>
        <w:pStyle w:val="TOC2"/>
        <w:rPr>
          <w:rFonts w:asciiTheme="minorHAnsi" w:hAnsiTheme="minorHAnsi"/>
          <w:noProof/>
          <w:color w:val="auto"/>
          <w:sz w:val="24"/>
        </w:rPr>
      </w:pPr>
      <w:hyperlink w:anchor="_Toc237663551" w:history="1">
        <w:r w:rsidRPr="00116326">
          <w:rPr>
            <w:rStyle w:val="Hyperlink"/>
            <w:noProof/>
          </w:rPr>
          <w:t>Article 19: The Permanent Caps</w:t>
        </w:r>
        <w:r>
          <w:rPr>
            <w:noProof/>
            <w:webHidden/>
          </w:rPr>
          <w:tab/>
        </w:r>
        <w:r>
          <w:rPr>
            <w:noProof/>
            <w:webHidden/>
          </w:rPr>
          <w:fldChar w:fldCharType="begin"/>
        </w:r>
        <w:r>
          <w:rPr>
            <w:noProof/>
            <w:webHidden/>
          </w:rPr>
          <w:instrText xml:space="preserve"> PAGEREF _Toc237663551 \h </w:instrText>
        </w:r>
        <w:r>
          <w:rPr>
            <w:noProof/>
            <w:webHidden/>
          </w:rPr>
        </w:r>
        <w:r>
          <w:rPr>
            <w:noProof/>
            <w:webHidden/>
          </w:rPr>
          <w:fldChar w:fldCharType="separate"/>
        </w:r>
        <w:r>
          <w:rPr>
            <w:noProof/>
            <w:webHidden/>
          </w:rPr>
          <w:t>25</w:t>
        </w:r>
        <w:r>
          <w:rPr>
            <w:noProof/>
            <w:webHidden/>
          </w:rPr>
          <w:fldChar w:fldCharType="end"/>
        </w:r>
      </w:hyperlink>
    </w:p>
    <w:p w14:paraId="5A35329F" w14:textId="055320DE" w:rsidR="006648B0" w:rsidRDefault="006648B0">
      <w:pPr>
        <w:pStyle w:val="TOC2"/>
        <w:rPr>
          <w:rFonts w:asciiTheme="minorHAnsi" w:hAnsiTheme="minorHAnsi"/>
          <w:noProof/>
          <w:color w:val="auto"/>
          <w:sz w:val="24"/>
        </w:rPr>
      </w:pPr>
      <w:hyperlink w:anchor="_Toc237663552" w:history="1">
        <w:r w:rsidRPr="00116326">
          <w:rPr>
            <w:rStyle w:val="Hyperlink"/>
            <w:noProof/>
          </w:rPr>
          <w:t>Article 20: The Verification and Inspection Settlement</w:t>
        </w:r>
        <w:r>
          <w:rPr>
            <w:noProof/>
            <w:webHidden/>
          </w:rPr>
          <w:tab/>
        </w:r>
        <w:r>
          <w:rPr>
            <w:noProof/>
            <w:webHidden/>
          </w:rPr>
          <w:fldChar w:fldCharType="begin"/>
        </w:r>
        <w:r>
          <w:rPr>
            <w:noProof/>
            <w:webHidden/>
          </w:rPr>
          <w:instrText xml:space="preserve"> PAGEREF _Toc237663552 \h </w:instrText>
        </w:r>
        <w:r>
          <w:rPr>
            <w:noProof/>
            <w:webHidden/>
          </w:rPr>
        </w:r>
        <w:r>
          <w:rPr>
            <w:noProof/>
            <w:webHidden/>
          </w:rPr>
          <w:fldChar w:fldCharType="separate"/>
        </w:r>
        <w:r>
          <w:rPr>
            <w:noProof/>
            <w:webHidden/>
          </w:rPr>
          <w:t>25</w:t>
        </w:r>
        <w:r>
          <w:rPr>
            <w:noProof/>
            <w:webHidden/>
          </w:rPr>
          <w:fldChar w:fldCharType="end"/>
        </w:r>
      </w:hyperlink>
    </w:p>
    <w:p w14:paraId="45E3D341" w14:textId="393F8365" w:rsidR="006648B0" w:rsidRDefault="006648B0">
      <w:pPr>
        <w:pStyle w:val="TOC2"/>
        <w:rPr>
          <w:rFonts w:asciiTheme="minorHAnsi" w:hAnsiTheme="minorHAnsi"/>
          <w:noProof/>
          <w:color w:val="auto"/>
          <w:sz w:val="24"/>
        </w:rPr>
      </w:pPr>
      <w:hyperlink w:anchor="_Toc237663553" w:history="1">
        <w:r w:rsidRPr="00116326">
          <w:rPr>
            <w:rStyle w:val="Hyperlink"/>
            <w:noProof/>
          </w:rPr>
          <w:t>Article 21: The Nuclear Firewall</w:t>
        </w:r>
        <w:r>
          <w:rPr>
            <w:noProof/>
            <w:webHidden/>
          </w:rPr>
          <w:tab/>
        </w:r>
        <w:r>
          <w:rPr>
            <w:noProof/>
            <w:webHidden/>
          </w:rPr>
          <w:fldChar w:fldCharType="begin"/>
        </w:r>
        <w:r>
          <w:rPr>
            <w:noProof/>
            <w:webHidden/>
          </w:rPr>
          <w:instrText xml:space="preserve"> PAGEREF _Toc237663553 \h </w:instrText>
        </w:r>
        <w:r>
          <w:rPr>
            <w:noProof/>
            <w:webHidden/>
          </w:rPr>
        </w:r>
        <w:r>
          <w:rPr>
            <w:noProof/>
            <w:webHidden/>
          </w:rPr>
          <w:fldChar w:fldCharType="separate"/>
        </w:r>
        <w:r>
          <w:rPr>
            <w:noProof/>
            <w:webHidden/>
          </w:rPr>
          <w:t>26</w:t>
        </w:r>
        <w:r>
          <w:rPr>
            <w:noProof/>
            <w:webHidden/>
          </w:rPr>
          <w:fldChar w:fldCharType="end"/>
        </w:r>
      </w:hyperlink>
    </w:p>
    <w:p w14:paraId="502C481E" w14:textId="2D8B0E20" w:rsidR="006648B0" w:rsidRDefault="006648B0">
      <w:pPr>
        <w:pStyle w:val="TOC1"/>
        <w:rPr>
          <w:rFonts w:asciiTheme="minorHAnsi" w:hAnsiTheme="minorHAnsi"/>
          <w:b w:val="0"/>
          <w:noProof/>
          <w:color w:val="auto"/>
          <w:sz w:val="24"/>
        </w:rPr>
      </w:pPr>
      <w:hyperlink w:anchor="_Toc237663554" w:history="1">
        <w:r w:rsidRPr="00116326">
          <w:rPr>
            <w:rStyle w:val="Hyperlink"/>
            <w:noProof/>
          </w:rPr>
          <w:t>PART VI: THE PERMANENT GOVERNANCE OF THE STRAIT OF HORMUZ</w:t>
        </w:r>
        <w:r>
          <w:rPr>
            <w:noProof/>
            <w:webHidden/>
          </w:rPr>
          <w:tab/>
        </w:r>
        <w:r>
          <w:rPr>
            <w:noProof/>
            <w:webHidden/>
          </w:rPr>
          <w:fldChar w:fldCharType="begin"/>
        </w:r>
        <w:r>
          <w:rPr>
            <w:noProof/>
            <w:webHidden/>
          </w:rPr>
          <w:instrText xml:space="preserve"> PAGEREF _Toc237663554 \h </w:instrText>
        </w:r>
        <w:r>
          <w:rPr>
            <w:noProof/>
            <w:webHidden/>
          </w:rPr>
        </w:r>
        <w:r>
          <w:rPr>
            <w:noProof/>
            <w:webHidden/>
          </w:rPr>
          <w:fldChar w:fldCharType="separate"/>
        </w:r>
        <w:r>
          <w:rPr>
            <w:noProof/>
            <w:webHidden/>
          </w:rPr>
          <w:t>27</w:t>
        </w:r>
        <w:r>
          <w:rPr>
            <w:noProof/>
            <w:webHidden/>
          </w:rPr>
          <w:fldChar w:fldCharType="end"/>
        </w:r>
      </w:hyperlink>
    </w:p>
    <w:p w14:paraId="4DD78921" w14:textId="6A75CDD3" w:rsidR="006648B0" w:rsidRDefault="006648B0">
      <w:pPr>
        <w:pStyle w:val="TOC2"/>
        <w:rPr>
          <w:rFonts w:asciiTheme="minorHAnsi" w:hAnsiTheme="minorHAnsi"/>
          <w:noProof/>
          <w:color w:val="auto"/>
          <w:sz w:val="24"/>
        </w:rPr>
      </w:pPr>
      <w:hyperlink w:anchor="_Toc237663555" w:history="1">
        <w:r w:rsidRPr="00116326">
          <w:rPr>
            <w:rStyle w:val="Hyperlink"/>
            <w:noProof/>
          </w:rPr>
          <w:t>Article 22: The Governance Area and the Corridor System</w:t>
        </w:r>
        <w:r>
          <w:rPr>
            <w:noProof/>
            <w:webHidden/>
          </w:rPr>
          <w:tab/>
        </w:r>
        <w:r>
          <w:rPr>
            <w:noProof/>
            <w:webHidden/>
          </w:rPr>
          <w:fldChar w:fldCharType="begin"/>
        </w:r>
        <w:r>
          <w:rPr>
            <w:noProof/>
            <w:webHidden/>
          </w:rPr>
          <w:instrText xml:space="preserve"> PAGEREF _Toc237663555 \h </w:instrText>
        </w:r>
        <w:r>
          <w:rPr>
            <w:noProof/>
            <w:webHidden/>
          </w:rPr>
        </w:r>
        <w:r>
          <w:rPr>
            <w:noProof/>
            <w:webHidden/>
          </w:rPr>
          <w:fldChar w:fldCharType="separate"/>
        </w:r>
        <w:r>
          <w:rPr>
            <w:noProof/>
            <w:webHidden/>
          </w:rPr>
          <w:t>27</w:t>
        </w:r>
        <w:r>
          <w:rPr>
            <w:noProof/>
            <w:webHidden/>
          </w:rPr>
          <w:fldChar w:fldCharType="end"/>
        </w:r>
      </w:hyperlink>
    </w:p>
    <w:p w14:paraId="60B495D9" w14:textId="1AE1E76A" w:rsidR="006648B0" w:rsidRDefault="006648B0">
      <w:pPr>
        <w:pStyle w:val="TOC2"/>
        <w:rPr>
          <w:rFonts w:asciiTheme="minorHAnsi" w:hAnsiTheme="minorHAnsi"/>
          <w:noProof/>
          <w:color w:val="auto"/>
          <w:sz w:val="24"/>
        </w:rPr>
      </w:pPr>
      <w:hyperlink w:anchor="_Toc237663556" w:history="1">
        <w:r w:rsidRPr="00116326">
          <w:rPr>
            <w:rStyle w:val="Hyperlink"/>
            <w:noProof/>
          </w:rPr>
          <w:t>Article 23: Notification, Not Permission</w:t>
        </w:r>
        <w:r>
          <w:rPr>
            <w:noProof/>
            <w:webHidden/>
          </w:rPr>
          <w:tab/>
        </w:r>
        <w:r>
          <w:rPr>
            <w:noProof/>
            <w:webHidden/>
          </w:rPr>
          <w:fldChar w:fldCharType="begin"/>
        </w:r>
        <w:r>
          <w:rPr>
            <w:noProof/>
            <w:webHidden/>
          </w:rPr>
          <w:instrText xml:space="preserve"> PAGEREF _Toc237663556 \h </w:instrText>
        </w:r>
        <w:r>
          <w:rPr>
            <w:noProof/>
            <w:webHidden/>
          </w:rPr>
        </w:r>
        <w:r>
          <w:rPr>
            <w:noProof/>
            <w:webHidden/>
          </w:rPr>
          <w:fldChar w:fldCharType="separate"/>
        </w:r>
        <w:r>
          <w:rPr>
            <w:noProof/>
            <w:webHidden/>
          </w:rPr>
          <w:t>27</w:t>
        </w:r>
        <w:r>
          <w:rPr>
            <w:noProof/>
            <w:webHidden/>
          </w:rPr>
          <w:fldChar w:fldCharType="end"/>
        </w:r>
      </w:hyperlink>
    </w:p>
    <w:p w14:paraId="0AE57E07" w14:textId="72258C7A" w:rsidR="006648B0" w:rsidRDefault="006648B0">
      <w:pPr>
        <w:pStyle w:val="TOC2"/>
        <w:rPr>
          <w:rFonts w:asciiTheme="minorHAnsi" w:hAnsiTheme="minorHAnsi"/>
          <w:noProof/>
          <w:color w:val="auto"/>
          <w:sz w:val="24"/>
        </w:rPr>
      </w:pPr>
      <w:hyperlink w:anchor="_Toc237663557" w:history="1">
        <w:r w:rsidRPr="00116326">
          <w:rPr>
            <w:rStyle w:val="Hyperlink"/>
            <w:noProof/>
          </w:rPr>
          <w:t>Article 24: The Joint Hormuz Authority</w:t>
        </w:r>
        <w:r>
          <w:rPr>
            <w:noProof/>
            <w:webHidden/>
          </w:rPr>
          <w:tab/>
        </w:r>
        <w:r>
          <w:rPr>
            <w:noProof/>
            <w:webHidden/>
          </w:rPr>
          <w:fldChar w:fldCharType="begin"/>
        </w:r>
        <w:r>
          <w:rPr>
            <w:noProof/>
            <w:webHidden/>
          </w:rPr>
          <w:instrText xml:space="preserve"> PAGEREF _Toc237663557 \h </w:instrText>
        </w:r>
        <w:r>
          <w:rPr>
            <w:noProof/>
            <w:webHidden/>
          </w:rPr>
        </w:r>
        <w:r>
          <w:rPr>
            <w:noProof/>
            <w:webHidden/>
          </w:rPr>
          <w:fldChar w:fldCharType="separate"/>
        </w:r>
        <w:r>
          <w:rPr>
            <w:noProof/>
            <w:webHidden/>
          </w:rPr>
          <w:t>28</w:t>
        </w:r>
        <w:r>
          <w:rPr>
            <w:noProof/>
            <w:webHidden/>
          </w:rPr>
          <w:fldChar w:fldCharType="end"/>
        </w:r>
      </w:hyperlink>
    </w:p>
    <w:p w14:paraId="21207E01" w14:textId="66E25064" w:rsidR="006648B0" w:rsidRDefault="006648B0">
      <w:pPr>
        <w:pStyle w:val="TOC2"/>
        <w:rPr>
          <w:rFonts w:asciiTheme="minorHAnsi" w:hAnsiTheme="minorHAnsi"/>
          <w:noProof/>
          <w:color w:val="auto"/>
          <w:sz w:val="24"/>
        </w:rPr>
      </w:pPr>
      <w:hyperlink w:anchor="_Toc237663558" w:history="1">
        <w:r w:rsidRPr="00116326">
          <w:rPr>
            <w:rStyle w:val="Hyperlink"/>
            <w:noProof/>
          </w:rPr>
          <w:t>Article 25: Naval and Military Transit</w:t>
        </w:r>
        <w:r>
          <w:rPr>
            <w:noProof/>
            <w:webHidden/>
          </w:rPr>
          <w:tab/>
        </w:r>
        <w:r>
          <w:rPr>
            <w:noProof/>
            <w:webHidden/>
          </w:rPr>
          <w:fldChar w:fldCharType="begin"/>
        </w:r>
        <w:r>
          <w:rPr>
            <w:noProof/>
            <w:webHidden/>
          </w:rPr>
          <w:instrText xml:space="preserve"> PAGEREF _Toc237663558 \h </w:instrText>
        </w:r>
        <w:r>
          <w:rPr>
            <w:noProof/>
            <w:webHidden/>
          </w:rPr>
        </w:r>
        <w:r>
          <w:rPr>
            <w:noProof/>
            <w:webHidden/>
          </w:rPr>
          <w:fldChar w:fldCharType="separate"/>
        </w:r>
        <w:r>
          <w:rPr>
            <w:noProof/>
            <w:webHidden/>
          </w:rPr>
          <w:t>29</w:t>
        </w:r>
        <w:r>
          <w:rPr>
            <w:noProof/>
            <w:webHidden/>
          </w:rPr>
          <w:fldChar w:fldCharType="end"/>
        </w:r>
      </w:hyperlink>
    </w:p>
    <w:p w14:paraId="768EAD53" w14:textId="26D3C1D5" w:rsidR="006648B0" w:rsidRDefault="006648B0">
      <w:pPr>
        <w:pStyle w:val="TOC2"/>
        <w:rPr>
          <w:rFonts w:asciiTheme="minorHAnsi" w:hAnsiTheme="minorHAnsi"/>
          <w:noProof/>
          <w:color w:val="auto"/>
          <w:sz w:val="24"/>
        </w:rPr>
      </w:pPr>
      <w:hyperlink w:anchor="_Toc237663559" w:history="1">
        <w:r w:rsidRPr="00116326">
          <w:rPr>
            <w:rStyle w:val="Hyperlink"/>
            <w:noProof/>
          </w:rPr>
          <w:t>Article 26: Mine Clearance and Hazard Certification</w:t>
        </w:r>
        <w:r>
          <w:rPr>
            <w:noProof/>
            <w:webHidden/>
          </w:rPr>
          <w:tab/>
        </w:r>
        <w:r>
          <w:rPr>
            <w:noProof/>
            <w:webHidden/>
          </w:rPr>
          <w:fldChar w:fldCharType="begin"/>
        </w:r>
        <w:r>
          <w:rPr>
            <w:noProof/>
            <w:webHidden/>
          </w:rPr>
          <w:instrText xml:space="preserve"> PAGEREF _Toc237663559 \h </w:instrText>
        </w:r>
        <w:r>
          <w:rPr>
            <w:noProof/>
            <w:webHidden/>
          </w:rPr>
        </w:r>
        <w:r>
          <w:rPr>
            <w:noProof/>
            <w:webHidden/>
          </w:rPr>
          <w:fldChar w:fldCharType="separate"/>
        </w:r>
        <w:r>
          <w:rPr>
            <w:noProof/>
            <w:webHidden/>
          </w:rPr>
          <w:t>29</w:t>
        </w:r>
        <w:r>
          <w:rPr>
            <w:noProof/>
            <w:webHidden/>
          </w:rPr>
          <w:fldChar w:fldCharType="end"/>
        </w:r>
      </w:hyperlink>
    </w:p>
    <w:p w14:paraId="5A9C357F" w14:textId="6DD54CDA" w:rsidR="006648B0" w:rsidRDefault="006648B0">
      <w:pPr>
        <w:pStyle w:val="TOC2"/>
        <w:rPr>
          <w:rFonts w:asciiTheme="minorHAnsi" w:hAnsiTheme="minorHAnsi"/>
          <w:noProof/>
          <w:color w:val="auto"/>
          <w:sz w:val="24"/>
        </w:rPr>
      </w:pPr>
      <w:hyperlink w:anchor="_Toc237663560" w:history="1">
        <w:r w:rsidRPr="00116326">
          <w:rPr>
            <w:rStyle w:val="Hyperlink"/>
            <w:noProof/>
          </w:rPr>
          <w:t>Article 26A: The Differential Band Processing</w:t>
        </w:r>
        <w:r>
          <w:rPr>
            <w:noProof/>
            <w:webHidden/>
          </w:rPr>
          <w:tab/>
        </w:r>
        <w:r>
          <w:rPr>
            <w:noProof/>
            <w:webHidden/>
          </w:rPr>
          <w:fldChar w:fldCharType="begin"/>
        </w:r>
        <w:r>
          <w:rPr>
            <w:noProof/>
            <w:webHidden/>
          </w:rPr>
          <w:instrText xml:space="preserve"> PAGEREF _Toc237663560 \h </w:instrText>
        </w:r>
        <w:r>
          <w:rPr>
            <w:noProof/>
            <w:webHidden/>
          </w:rPr>
        </w:r>
        <w:r>
          <w:rPr>
            <w:noProof/>
            <w:webHidden/>
          </w:rPr>
          <w:fldChar w:fldCharType="separate"/>
        </w:r>
        <w:r>
          <w:rPr>
            <w:noProof/>
            <w:webHidden/>
          </w:rPr>
          <w:t>29</w:t>
        </w:r>
        <w:r>
          <w:rPr>
            <w:noProof/>
            <w:webHidden/>
          </w:rPr>
          <w:fldChar w:fldCharType="end"/>
        </w:r>
      </w:hyperlink>
    </w:p>
    <w:p w14:paraId="35BD3C27" w14:textId="2B5689A1" w:rsidR="006648B0" w:rsidRDefault="006648B0">
      <w:pPr>
        <w:pStyle w:val="TOC2"/>
        <w:rPr>
          <w:rFonts w:asciiTheme="minorHAnsi" w:hAnsiTheme="minorHAnsi"/>
          <w:noProof/>
          <w:color w:val="auto"/>
          <w:sz w:val="24"/>
        </w:rPr>
      </w:pPr>
      <w:hyperlink w:anchor="_Toc237663561" w:history="1">
        <w:r w:rsidRPr="00116326">
          <w:rPr>
            <w:rStyle w:val="Hyperlink"/>
            <w:noProof/>
          </w:rPr>
          <w:t>Article 26B: The Core Protection Filter and the Lateral Transfer Protocol</w:t>
        </w:r>
        <w:r>
          <w:rPr>
            <w:noProof/>
            <w:webHidden/>
          </w:rPr>
          <w:tab/>
        </w:r>
        <w:r>
          <w:rPr>
            <w:noProof/>
            <w:webHidden/>
          </w:rPr>
          <w:fldChar w:fldCharType="begin"/>
        </w:r>
        <w:r>
          <w:rPr>
            <w:noProof/>
            <w:webHidden/>
          </w:rPr>
          <w:instrText xml:space="preserve"> PAGEREF _Toc237663561 \h </w:instrText>
        </w:r>
        <w:r>
          <w:rPr>
            <w:noProof/>
            <w:webHidden/>
          </w:rPr>
        </w:r>
        <w:r>
          <w:rPr>
            <w:noProof/>
            <w:webHidden/>
          </w:rPr>
          <w:fldChar w:fldCharType="separate"/>
        </w:r>
        <w:r>
          <w:rPr>
            <w:noProof/>
            <w:webHidden/>
          </w:rPr>
          <w:t>30</w:t>
        </w:r>
        <w:r>
          <w:rPr>
            <w:noProof/>
            <w:webHidden/>
          </w:rPr>
          <w:fldChar w:fldCharType="end"/>
        </w:r>
      </w:hyperlink>
    </w:p>
    <w:p w14:paraId="37B9770A" w14:textId="12AA0E7F" w:rsidR="006648B0" w:rsidRDefault="006648B0">
      <w:pPr>
        <w:pStyle w:val="TOC2"/>
        <w:rPr>
          <w:rFonts w:asciiTheme="minorHAnsi" w:hAnsiTheme="minorHAnsi"/>
          <w:noProof/>
          <w:color w:val="auto"/>
          <w:sz w:val="24"/>
        </w:rPr>
      </w:pPr>
      <w:hyperlink w:anchor="_Toc237663562" w:history="1">
        <w:r w:rsidRPr="00116326">
          <w:rPr>
            <w:rStyle w:val="Hyperlink"/>
            <w:noProof/>
          </w:rPr>
          <w:t>Article 26C: The Stability Coefficient</w:t>
        </w:r>
        <w:r>
          <w:rPr>
            <w:noProof/>
            <w:webHidden/>
          </w:rPr>
          <w:tab/>
        </w:r>
        <w:r>
          <w:rPr>
            <w:noProof/>
            <w:webHidden/>
          </w:rPr>
          <w:fldChar w:fldCharType="begin"/>
        </w:r>
        <w:r>
          <w:rPr>
            <w:noProof/>
            <w:webHidden/>
          </w:rPr>
          <w:instrText xml:space="preserve"> PAGEREF _Toc237663562 \h </w:instrText>
        </w:r>
        <w:r>
          <w:rPr>
            <w:noProof/>
            <w:webHidden/>
          </w:rPr>
        </w:r>
        <w:r>
          <w:rPr>
            <w:noProof/>
            <w:webHidden/>
          </w:rPr>
          <w:fldChar w:fldCharType="separate"/>
        </w:r>
        <w:r>
          <w:rPr>
            <w:noProof/>
            <w:webHidden/>
          </w:rPr>
          <w:t>30</w:t>
        </w:r>
        <w:r>
          <w:rPr>
            <w:noProof/>
            <w:webHidden/>
          </w:rPr>
          <w:fldChar w:fldCharType="end"/>
        </w:r>
      </w:hyperlink>
    </w:p>
    <w:p w14:paraId="6118906D" w14:textId="531710E2" w:rsidR="006648B0" w:rsidRDefault="006648B0">
      <w:pPr>
        <w:pStyle w:val="TOC1"/>
        <w:rPr>
          <w:rFonts w:asciiTheme="minorHAnsi" w:hAnsiTheme="minorHAnsi"/>
          <w:b w:val="0"/>
          <w:noProof/>
          <w:color w:val="auto"/>
          <w:sz w:val="24"/>
        </w:rPr>
      </w:pPr>
      <w:hyperlink w:anchor="_Toc237663563" w:history="1">
        <w:r w:rsidRPr="00116326">
          <w:rPr>
            <w:rStyle w:val="Hyperlink"/>
            <w:noProof/>
          </w:rPr>
          <w:t>PART VII: THE FEES RESOLUTION (THE GRAND BARGAIN OF THE STRAIT)</w:t>
        </w:r>
        <w:r>
          <w:rPr>
            <w:noProof/>
            <w:webHidden/>
          </w:rPr>
          <w:tab/>
        </w:r>
        <w:r>
          <w:rPr>
            <w:noProof/>
            <w:webHidden/>
          </w:rPr>
          <w:fldChar w:fldCharType="begin"/>
        </w:r>
        <w:r>
          <w:rPr>
            <w:noProof/>
            <w:webHidden/>
          </w:rPr>
          <w:instrText xml:space="preserve"> PAGEREF _Toc237663563 \h </w:instrText>
        </w:r>
        <w:r>
          <w:rPr>
            <w:noProof/>
            <w:webHidden/>
          </w:rPr>
        </w:r>
        <w:r>
          <w:rPr>
            <w:noProof/>
            <w:webHidden/>
          </w:rPr>
          <w:fldChar w:fldCharType="separate"/>
        </w:r>
        <w:r>
          <w:rPr>
            <w:noProof/>
            <w:webHidden/>
          </w:rPr>
          <w:t>32</w:t>
        </w:r>
        <w:r>
          <w:rPr>
            <w:noProof/>
            <w:webHidden/>
          </w:rPr>
          <w:fldChar w:fldCharType="end"/>
        </w:r>
      </w:hyperlink>
    </w:p>
    <w:p w14:paraId="06697E9E" w14:textId="223B6C50" w:rsidR="006648B0" w:rsidRDefault="006648B0">
      <w:pPr>
        <w:pStyle w:val="TOC2"/>
        <w:rPr>
          <w:rFonts w:asciiTheme="minorHAnsi" w:hAnsiTheme="minorHAnsi"/>
          <w:noProof/>
          <w:color w:val="auto"/>
          <w:sz w:val="24"/>
        </w:rPr>
      </w:pPr>
      <w:hyperlink w:anchor="_Toc237663564" w:history="1">
        <w:r w:rsidRPr="00116326">
          <w:rPr>
            <w:rStyle w:val="Hyperlink"/>
            <w:noProof/>
          </w:rPr>
          <w:t>Article 27: The Zero-Toll Covenant</w:t>
        </w:r>
        <w:r>
          <w:rPr>
            <w:noProof/>
            <w:webHidden/>
          </w:rPr>
          <w:tab/>
        </w:r>
        <w:r>
          <w:rPr>
            <w:noProof/>
            <w:webHidden/>
          </w:rPr>
          <w:fldChar w:fldCharType="begin"/>
        </w:r>
        <w:r>
          <w:rPr>
            <w:noProof/>
            <w:webHidden/>
          </w:rPr>
          <w:instrText xml:space="preserve"> PAGEREF _Toc237663564 \h </w:instrText>
        </w:r>
        <w:r>
          <w:rPr>
            <w:noProof/>
            <w:webHidden/>
          </w:rPr>
        </w:r>
        <w:r>
          <w:rPr>
            <w:noProof/>
            <w:webHidden/>
          </w:rPr>
          <w:fldChar w:fldCharType="separate"/>
        </w:r>
        <w:r>
          <w:rPr>
            <w:noProof/>
            <w:webHidden/>
          </w:rPr>
          <w:t>32</w:t>
        </w:r>
        <w:r>
          <w:rPr>
            <w:noProof/>
            <w:webHidden/>
          </w:rPr>
          <w:fldChar w:fldCharType="end"/>
        </w:r>
      </w:hyperlink>
    </w:p>
    <w:p w14:paraId="182B1EC9" w14:textId="75856349" w:rsidR="006648B0" w:rsidRDefault="006648B0">
      <w:pPr>
        <w:pStyle w:val="TOC2"/>
        <w:rPr>
          <w:rFonts w:asciiTheme="minorHAnsi" w:hAnsiTheme="minorHAnsi"/>
          <w:noProof/>
          <w:color w:val="auto"/>
          <w:sz w:val="24"/>
        </w:rPr>
      </w:pPr>
      <w:hyperlink w:anchor="_Toc237663565" w:history="1">
        <w:r w:rsidRPr="00116326">
          <w:rPr>
            <w:rStyle w:val="Hyperlink"/>
            <w:noProof/>
          </w:rPr>
          <w:t>Article 28: The Service Distinction and the Verified Services Catalog</w:t>
        </w:r>
        <w:r>
          <w:rPr>
            <w:noProof/>
            <w:webHidden/>
          </w:rPr>
          <w:tab/>
        </w:r>
        <w:r>
          <w:rPr>
            <w:noProof/>
            <w:webHidden/>
          </w:rPr>
          <w:fldChar w:fldCharType="begin"/>
        </w:r>
        <w:r>
          <w:rPr>
            <w:noProof/>
            <w:webHidden/>
          </w:rPr>
          <w:instrText xml:space="preserve"> PAGEREF _Toc237663565 \h </w:instrText>
        </w:r>
        <w:r>
          <w:rPr>
            <w:noProof/>
            <w:webHidden/>
          </w:rPr>
        </w:r>
        <w:r>
          <w:rPr>
            <w:noProof/>
            <w:webHidden/>
          </w:rPr>
          <w:fldChar w:fldCharType="separate"/>
        </w:r>
        <w:r>
          <w:rPr>
            <w:noProof/>
            <w:webHidden/>
          </w:rPr>
          <w:t>32</w:t>
        </w:r>
        <w:r>
          <w:rPr>
            <w:noProof/>
            <w:webHidden/>
          </w:rPr>
          <w:fldChar w:fldCharType="end"/>
        </w:r>
      </w:hyperlink>
    </w:p>
    <w:p w14:paraId="4948BF04" w14:textId="1D8E930F" w:rsidR="006648B0" w:rsidRDefault="006648B0">
      <w:pPr>
        <w:pStyle w:val="TOC2"/>
        <w:rPr>
          <w:rFonts w:asciiTheme="minorHAnsi" w:hAnsiTheme="minorHAnsi"/>
          <w:noProof/>
          <w:color w:val="auto"/>
          <w:sz w:val="24"/>
        </w:rPr>
      </w:pPr>
      <w:hyperlink w:anchor="_Toc237663566" w:history="1">
        <w:r w:rsidRPr="00116326">
          <w:rPr>
            <w:rStyle w:val="Hyperlink"/>
            <w:noProof/>
          </w:rPr>
          <w:t>Article 29: The Hormuz Maritime Stewardship Fund</w:t>
        </w:r>
        <w:r>
          <w:rPr>
            <w:noProof/>
            <w:webHidden/>
          </w:rPr>
          <w:tab/>
        </w:r>
        <w:r>
          <w:rPr>
            <w:noProof/>
            <w:webHidden/>
          </w:rPr>
          <w:fldChar w:fldCharType="begin"/>
        </w:r>
        <w:r>
          <w:rPr>
            <w:noProof/>
            <w:webHidden/>
          </w:rPr>
          <w:instrText xml:space="preserve"> PAGEREF _Toc237663566 \h </w:instrText>
        </w:r>
        <w:r>
          <w:rPr>
            <w:noProof/>
            <w:webHidden/>
          </w:rPr>
        </w:r>
        <w:r>
          <w:rPr>
            <w:noProof/>
            <w:webHidden/>
          </w:rPr>
          <w:fldChar w:fldCharType="separate"/>
        </w:r>
        <w:r>
          <w:rPr>
            <w:noProof/>
            <w:webHidden/>
          </w:rPr>
          <w:t>32</w:t>
        </w:r>
        <w:r>
          <w:rPr>
            <w:noProof/>
            <w:webHidden/>
          </w:rPr>
          <w:fldChar w:fldCharType="end"/>
        </w:r>
      </w:hyperlink>
    </w:p>
    <w:p w14:paraId="06D4C690" w14:textId="4B5352A8" w:rsidR="006648B0" w:rsidRDefault="006648B0">
      <w:pPr>
        <w:pStyle w:val="TOC2"/>
        <w:rPr>
          <w:rFonts w:asciiTheme="minorHAnsi" w:hAnsiTheme="minorHAnsi"/>
          <w:noProof/>
          <w:color w:val="auto"/>
          <w:sz w:val="24"/>
        </w:rPr>
      </w:pPr>
      <w:hyperlink w:anchor="_Toc237663567" w:history="1">
        <w:r w:rsidRPr="00116326">
          <w:rPr>
            <w:rStyle w:val="Hyperlink"/>
            <w:noProof/>
          </w:rPr>
          <w:t>Article 30: The Insurance Channel and the War-Risk Normalization</w:t>
        </w:r>
        <w:r>
          <w:rPr>
            <w:noProof/>
            <w:webHidden/>
          </w:rPr>
          <w:tab/>
        </w:r>
        <w:r>
          <w:rPr>
            <w:noProof/>
            <w:webHidden/>
          </w:rPr>
          <w:fldChar w:fldCharType="begin"/>
        </w:r>
        <w:r>
          <w:rPr>
            <w:noProof/>
            <w:webHidden/>
          </w:rPr>
          <w:instrText xml:space="preserve"> PAGEREF _Toc237663567 \h </w:instrText>
        </w:r>
        <w:r>
          <w:rPr>
            <w:noProof/>
            <w:webHidden/>
          </w:rPr>
        </w:r>
        <w:r>
          <w:rPr>
            <w:noProof/>
            <w:webHidden/>
          </w:rPr>
          <w:fldChar w:fldCharType="separate"/>
        </w:r>
        <w:r>
          <w:rPr>
            <w:noProof/>
            <w:webHidden/>
          </w:rPr>
          <w:t>33</w:t>
        </w:r>
        <w:r>
          <w:rPr>
            <w:noProof/>
            <w:webHidden/>
          </w:rPr>
          <w:fldChar w:fldCharType="end"/>
        </w:r>
      </w:hyperlink>
    </w:p>
    <w:p w14:paraId="2BD22814" w14:textId="75F41FDC" w:rsidR="006648B0" w:rsidRDefault="006648B0">
      <w:pPr>
        <w:pStyle w:val="TOC2"/>
        <w:rPr>
          <w:rFonts w:asciiTheme="minorHAnsi" w:hAnsiTheme="minorHAnsi"/>
          <w:noProof/>
          <w:color w:val="auto"/>
          <w:sz w:val="24"/>
        </w:rPr>
      </w:pPr>
      <w:hyperlink w:anchor="_Toc237663568" w:history="1">
        <w:r w:rsidRPr="00116326">
          <w:rPr>
            <w:rStyle w:val="Hyperlink"/>
            <w:noProof/>
          </w:rPr>
          <w:t>Article 31: The Iranian Revenue Settlement</w:t>
        </w:r>
        <w:r>
          <w:rPr>
            <w:noProof/>
            <w:webHidden/>
          </w:rPr>
          <w:tab/>
        </w:r>
        <w:r>
          <w:rPr>
            <w:noProof/>
            <w:webHidden/>
          </w:rPr>
          <w:fldChar w:fldCharType="begin"/>
        </w:r>
        <w:r>
          <w:rPr>
            <w:noProof/>
            <w:webHidden/>
          </w:rPr>
          <w:instrText xml:space="preserve"> PAGEREF _Toc237663568 \h </w:instrText>
        </w:r>
        <w:r>
          <w:rPr>
            <w:noProof/>
            <w:webHidden/>
          </w:rPr>
        </w:r>
        <w:r>
          <w:rPr>
            <w:noProof/>
            <w:webHidden/>
          </w:rPr>
          <w:fldChar w:fldCharType="separate"/>
        </w:r>
        <w:r>
          <w:rPr>
            <w:noProof/>
            <w:webHidden/>
          </w:rPr>
          <w:t>33</w:t>
        </w:r>
        <w:r>
          <w:rPr>
            <w:noProof/>
            <w:webHidden/>
          </w:rPr>
          <w:fldChar w:fldCharType="end"/>
        </w:r>
      </w:hyperlink>
    </w:p>
    <w:p w14:paraId="38584FB9" w14:textId="461E4CA1" w:rsidR="006648B0" w:rsidRDefault="006648B0">
      <w:pPr>
        <w:pStyle w:val="TOC2"/>
        <w:rPr>
          <w:rFonts w:asciiTheme="minorHAnsi" w:hAnsiTheme="minorHAnsi"/>
          <w:noProof/>
          <w:color w:val="auto"/>
          <w:sz w:val="24"/>
        </w:rPr>
      </w:pPr>
      <w:hyperlink w:anchor="_Toc237663569" w:history="1">
        <w:r w:rsidRPr="00116326">
          <w:rPr>
            <w:rStyle w:val="Hyperlink"/>
            <w:noProof/>
          </w:rPr>
          <w:t>Article 32: The Legacy Annex and the Confidence Memorandum</w:t>
        </w:r>
        <w:r>
          <w:rPr>
            <w:noProof/>
            <w:webHidden/>
          </w:rPr>
          <w:tab/>
        </w:r>
        <w:r>
          <w:rPr>
            <w:noProof/>
            <w:webHidden/>
          </w:rPr>
          <w:fldChar w:fldCharType="begin"/>
        </w:r>
        <w:r>
          <w:rPr>
            <w:noProof/>
            <w:webHidden/>
          </w:rPr>
          <w:instrText xml:space="preserve"> PAGEREF _Toc237663569 \h </w:instrText>
        </w:r>
        <w:r>
          <w:rPr>
            <w:noProof/>
            <w:webHidden/>
          </w:rPr>
        </w:r>
        <w:r>
          <w:rPr>
            <w:noProof/>
            <w:webHidden/>
          </w:rPr>
          <w:fldChar w:fldCharType="separate"/>
        </w:r>
        <w:r>
          <w:rPr>
            <w:noProof/>
            <w:webHidden/>
          </w:rPr>
          <w:t>34</w:t>
        </w:r>
        <w:r>
          <w:rPr>
            <w:noProof/>
            <w:webHidden/>
          </w:rPr>
          <w:fldChar w:fldCharType="end"/>
        </w:r>
      </w:hyperlink>
    </w:p>
    <w:p w14:paraId="2EF7387C" w14:textId="16C02CB7" w:rsidR="006648B0" w:rsidRDefault="006648B0">
      <w:pPr>
        <w:pStyle w:val="TOC1"/>
        <w:rPr>
          <w:rFonts w:asciiTheme="minorHAnsi" w:hAnsiTheme="minorHAnsi"/>
          <w:b w:val="0"/>
          <w:noProof/>
          <w:color w:val="auto"/>
          <w:sz w:val="24"/>
        </w:rPr>
      </w:pPr>
      <w:hyperlink w:anchor="_Toc237663570" w:history="1">
        <w:r w:rsidRPr="00116326">
          <w:rPr>
            <w:rStyle w:val="Hyperlink"/>
            <w:noProof/>
          </w:rPr>
          <w:t>PART VIII: THE SANCTIONS TERMINATION PROTOCOL</w:t>
        </w:r>
        <w:r>
          <w:rPr>
            <w:noProof/>
            <w:webHidden/>
          </w:rPr>
          <w:tab/>
        </w:r>
        <w:r>
          <w:rPr>
            <w:noProof/>
            <w:webHidden/>
          </w:rPr>
          <w:fldChar w:fldCharType="begin"/>
        </w:r>
        <w:r>
          <w:rPr>
            <w:noProof/>
            <w:webHidden/>
          </w:rPr>
          <w:instrText xml:space="preserve"> PAGEREF _Toc237663570 \h </w:instrText>
        </w:r>
        <w:r>
          <w:rPr>
            <w:noProof/>
            <w:webHidden/>
          </w:rPr>
        </w:r>
        <w:r>
          <w:rPr>
            <w:noProof/>
            <w:webHidden/>
          </w:rPr>
          <w:fldChar w:fldCharType="separate"/>
        </w:r>
        <w:r>
          <w:rPr>
            <w:noProof/>
            <w:webHidden/>
          </w:rPr>
          <w:t>35</w:t>
        </w:r>
        <w:r>
          <w:rPr>
            <w:noProof/>
            <w:webHidden/>
          </w:rPr>
          <w:fldChar w:fldCharType="end"/>
        </w:r>
      </w:hyperlink>
    </w:p>
    <w:p w14:paraId="5D3EC370" w14:textId="7DBD832F" w:rsidR="006648B0" w:rsidRDefault="006648B0">
      <w:pPr>
        <w:pStyle w:val="TOC2"/>
        <w:rPr>
          <w:rFonts w:asciiTheme="minorHAnsi" w:hAnsiTheme="minorHAnsi"/>
          <w:noProof/>
          <w:color w:val="auto"/>
          <w:sz w:val="24"/>
        </w:rPr>
      </w:pPr>
      <w:hyperlink w:anchor="_Toc237663571" w:history="1">
        <w:r w:rsidRPr="00116326">
          <w:rPr>
            <w:rStyle w:val="Hyperlink"/>
            <w:noProof/>
          </w:rPr>
          <w:t>Article 33: The Binding Termination Schedule</w:t>
        </w:r>
        <w:r>
          <w:rPr>
            <w:noProof/>
            <w:webHidden/>
          </w:rPr>
          <w:tab/>
        </w:r>
        <w:r>
          <w:rPr>
            <w:noProof/>
            <w:webHidden/>
          </w:rPr>
          <w:fldChar w:fldCharType="begin"/>
        </w:r>
        <w:r>
          <w:rPr>
            <w:noProof/>
            <w:webHidden/>
          </w:rPr>
          <w:instrText xml:space="preserve"> PAGEREF _Toc237663571 \h </w:instrText>
        </w:r>
        <w:r>
          <w:rPr>
            <w:noProof/>
            <w:webHidden/>
          </w:rPr>
        </w:r>
        <w:r>
          <w:rPr>
            <w:noProof/>
            <w:webHidden/>
          </w:rPr>
          <w:fldChar w:fldCharType="separate"/>
        </w:r>
        <w:r>
          <w:rPr>
            <w:noProof/>
            <w:webHidden/>
          </w:rPr>
          <w:t>35</w:t>
        </w:r>
        <w:r>
          <w:rPr>
            <w:noProof/>
            <w:webHidden/>
          </w:rPr>
          <w:fldChar w:fldCharType="end"/>
        </w:r>
      </w:hyperlink>
    </w:p>
    <w:p w14:paraId="4BDC8A16" w14:textId="48EC4D57" w:rsidR="006648B0" w:rsidRDefault="006648B0">
      <w:pPr>
        <w:pStyle w:val="TOC2"/>
        <w:rPr>
          <w:rFonts w:asciiTheme="minorHAnsi" w:hAnsiTheme="minorHAnsi"/>
          <w:noProof/>
          <w:color w:val="auto"/>
          <w:sz w:val="24"/>
        </w:rPr>
      </w:pPr>
      <w:hyperlink w:anchor="_Toc237663572" w:history="1">
        <w:r w:rsidRPr="00116326">
          <w:rPr>
            <w:rStyle w:val="Hyperlink"/>
            <w:noProof/>
          </w:rPr>
          <w:t>Article 34: The Congressional Track: Best Efforts with a Sunset</w:t>
        </w:r>
        <w:r>
          <w:rPr>
            <w:noProof/>
            <w:webHidden/>
          </w:rPr>
          <w:tab/>
        </w:r>
        <w:r>
          <w:rPr>
            <w:noProof/>
            <w:webHidden/>
          </w:rPr>
          <w:fldChar w:fldCharType="begin"/>
        </w:r>
        <w:r>
          <w:rPr>
            <w:noProof/>
            <w:webHidden/>
          </w:rPr>
          <w:instrText xml:space="preserve"> PAGEREF _Toc237663572 \h </w:instrText>
        </w:r>
        <w:r>
          <w:rPr>
            <w:noProof/>
            <w:webHidden/>
          </w:rPr>
        </w:r>
        <w:r>
          <w:rPr>
            <w:noProof/>
            <w:webHidden/>
          </w:rPr>
          <w:fldChar w:fldCharType="separate"/>
        </w:r>
        <w:r>
          <w:rPr>
            <w:noProof/>
            <w:webHidden/>
          </w:rPr>
          <w:t>36</w:t>
        </w:r>
        <w:r>
          <w:rPr>
            <w:noProof/>
            <w:webHidden/>
          </w:rPr>
          <w:fldChar w:fldCharType="end"/>
        </w:r>
      </w:hyperlink>
    </w:p>
    <w:p w14:paraId="66AA4522" w14:textId="73768025" w:rsidR="006648B0" w:rsidRDefault="006648B0">
      <w:pPr>
        <w:pStyle w:val="TOC2"/>
        <w:rPr>
          <w:rFonts w:asciiTheme="minorHAnsi" w:hAnsiTheme="minorHAnsi"/>
          <w:noProof/>
          <w:color w:val="auto"/>
          <w:sz w:val="24"/>
        </w:rPr>
      </w:pPr>
      <w:hyperlink w:anchor="_Toc237663573" w:history="1">
        <w:r w:rsidRPr="00116326">
          <w:rPr>
            <w:rStyle w:val="Hyperlink"/>
            <w:noProof/>
          </w:rPr>
          <w:t>Article 35: United Nations and Agency Actions</w:t>
        </w:r>
        <w:r>
          <w:rPr>
            <w:noProof/>
            <w:webHidden/>
          </w:rPr>
          <w:tab/>
        </w:r>
        <w:r>
          <w:rPr>
            <w:noProof/>
            <w:webHidden/>
          </w:rPr>
          <w:fldChar w:fldCharType="begin"/>
        </w:r>
        <w:r>
          <w:rPr>
            <w:noProof/>
            <w:webHidden/>
          </w:rPr>
          <w:instrText xml:space="preserve"> PAGEREF _Toc237663573 \h </w:instrText>
        </w:r>
        <w:r>
          <w:rPr>
            <w:noProof/>
            <w:webHidden/>
          </w:rPr>
        </w:r>
        <w:r>
          <w:rPr>
            <w:noProof/>
            <w:webHidden/>
          </w:rPr>
          <w:fldChar w:fldCharType="separate"/>
        </w:r>
        <w:r>
          <w:rPr>
            <w:noProof/>
            <w:webHidden/>
          </w:rPr>
          <w:t>36</w:t>
        </w:r>
        <w:r>
          <w:rPr>
            <w:noProof/>
            <w:webHidden/>
          </w:rPr>
          <w:fldChar w:fldCharType="end"/>
        </w:r>
      </w:hyperlink>
    </w:p>
    <w:p w14:paraId="2D2B0CB5" w14:textId="551FF559" w:rsidR="006648B0" w:rsidRDefault="006648B0">
      <w:pPr>
        <w:pStyle w:val="TOC1"/>
        <w:rPr>
          <w:rFonts w:asciiTheme="minorHAnsi" w:hAnsiTheme="minorHAnsi"/>
          <w:b w:val="0"/>
          <w:noProof/>
          <w:color w:val="auto"/>
          <w:sz w:val="24"/>
        </w:rPr>
      </w:pPr>
      <w:hyperlink w:anchor="_Toc237663574" w:history="1">
        <w:r w:rsidRPr="00116326">
          <w:rPr>
            <w:rStyle w:val="Hyperlink"/>
            <w:noProof/>
          </w:rPr>
          <w:t>PART IX: FROZEN ASSETS AND FINANCIAL NORMALIZATION</w:t>
        </w:r>
        <w:r>
          <w:rPr>
            <w:noProof/>
            <w:webHidden/>
          </w:rPr>
          <w:tab/>
        </w:r>
        <w:r>
          <w:rPr>
            <w:noProof/>
            <w:webHidden/>
          </w:rPr>
          <w:fldChar w:fldCharType="begin"/>
        </w:r>
        <w:r>
          <w:rPr>
            <w:noProof/>
            <w:webHidden/>
          </w:rPr>
          <w:instrText xml:space="preserve"> PAGEREF _Toc237663574 \h </w:instrText>
        </w:r>
        <w:r>
          <w:rPr>
            <w:noProof/>
            <w:webHidden/>
          </w:rPr>
        </w:r>
        <w:r>
          <w:rPr>
            <w:noProof/>
            <w:webHidden/>
          </w:rPr>
          <w:fldChar w:fldCharType="separate"/>
        </w:r>
        <w:r>
          <w:rPr>
            <w:noProof/>
            <w:webHidden/>
          </w:rPr>
          <w:t>37</w:t>
        </w:r>
        <w:r>
          <w:rPr>
            <w:noProof/>
            <w:webHidden/>
          </w:rPr>
          <w:fldChar w:fldCharType="end"/>
        </w:r>
      </w:hyperlink>
    </w:p>
    <w:p w14:paraId="6793500C" w14:textId="0F225CFF" w:rsidR="006648B0" w:rsidRDefault="006648B0">
      <w:pPr>
        <w:pStyle w:val="TOC2"/>
        <w:rPr>
          <w:rFonts w:asciiTheme="minorHAnsi" w:hAnsiTheme="minorHAnsi"/>
          <w:noProof/>
          <w:color w:val="auto"/>
          <w:sz w:val="24"/>
        </w:rPr>
      </w:pPr>
      <w:hyperlink w:anchor="_Toc237663575" w:history="1">
        <w:r w:rsidRPr="00116326">
          <w:rPr>
            <w:rStyle w:val="Hyperlink"/>
            <w:noProof/>
          </w:rPr>
          <w:t>Article 36: The Release Architecture</w:t>
        </w:r>
        <w:r>
          <w:rPr>
            <w:noProof/>
            <w:webHidden/>
          </w:rPr>
          <w:tab/>
        </w:r>
        <w:r>
          <w:rPr>
            <w:noProof/>
            <w:webHidden/>
          </w:rPr>
          <w:fldChar w:fldCharType="begin"/>
        </w:r>
        <w:r>
          <w:rPr>
            <w:noProof/>
            <w:webHidden/>
          </w:rPr>
          <w:instrText xml:space="preserve"> PAGEREF _Toc237663575 \h </w:instrText>
        </w:r>
        <w:r>
          <w:rPr>
            <w:noProof/>
            <w:webHidden/>
          </w:rPr>
        </w:r>
        <w:r>
          <w:rPr>
            <w:noProof/>
            <w:webHidden/>
          </w:rPr>
          <w:fldChar w:fldCharType="separate"/>
        </w:r>
        <w:r>
          <w:rPr>
            <w:noProof/>
            <w:webHidden/>
          </w:rPr>
          <w:t>37</w:t>
        </w:r>
        <w:r>
          <w:rPr>
            <w:noProof/>
            <w:webHidden/>
          </w:rPr>
          <w:fldChar w:fldCharType="end"/>
        </w:r>
      </w:hyperlink>
    </w:p>
    <w:p w14:paraId="1972C377" w14:textId="70A53785" w:rsidR="006648B0" w:rsidRDefault="006648B0">
      <w:pPr>
        <w:pStyle w:val="TOC1"/>
        <w:rPr>
          <w:rFonts w:asciiTheme="minorHAnsi" w:hAnsiTheme="minorHAnsi"/>
          <w:b w:val="0"/>
          <w:noProof/>
          <w:color w:val="auto"/>
          <w:sz w:val="24"/>
        </w:rPr>
      </w:pPr>
      <w:hyperlink w:anchor="_Toc237663576" w:history="1">
        <w:r w:rsidRPr="00116326">
          <w:rPr>
            <w:rStyle w:val="Hyperlink"/>
            <w:noProof/>
          </w:rPr>
          <w:t>PART X: RECONSTRUCTION AND DEVELOPMENT</w:t>
        </w:r>
        <w:r>
          <w:rPr>
            <w:noProof/>
            <w:webHidden/>
          </w:rPr>
          <w:tab/>
        </w:r>
        <w:r>
          <w:rPr>
            <w:noProof/>
            <w:webHidden/>
          </w:rPr>
          <w:fldChar w:fldCharType="begin"/>
        </w:r>
        <w:r>
          <w:rPr>
            <w:noProof/>
            <w:webHidden/>
          </w:rPr>
          <w:instrText xml:space="preserve"> PAGEREF _Toc237663576 \h </w:instrText>
        </w:r>
        <w:r>
          <w:rPr>
            <w:noProof/>
            <w:webHidden/>
          </w:rPr>
        </w:r>
        <w:r>
          <w:rPr>
            <w:noProof/>
            <w:webHidden/>
          </w:rPr>
          <w:fldChar w:fldCharType="separate"/>
        </w:r>
        <w:r>
          <w:rPr>
            <w:noProof/>
            <w:webHidden/>
          </w:rPr>
          <w:t>38</w:t>
        </w:r>
        <w:r>
          <w:rPr>
            <w:noProof/>
            <w:webHidden/>
          </w:rPr>
          <w:fldChar w:fldCharType="end"/>
        </w:r>
      </w:hyperlink>
    </w:p>
    <w:p w14:paraId="62C15D4F" w14:textId="4E7EFC79" w:rsidR="006648B0" w:rsidRDefault="006648B0">
      <w:pPr>
        <w:pStyle w:val="TOC2"/>
        <w:rPr>
          <w:rFonts w:asciiTheme="minorHAnsi" w:hAnsiTheme="minorHAnsi"/>
          <w:noProof/>
          <w:color w:val="auto"/>
          <w:sz w:val="24"/>
        </w:rPr>
      </w:pPr>
      <w:hyperlink w:anchor="_Toc237663577" w:history="1">
        <w:r w:rsidRPr="00116326">
          <w:rPr>
            <w:rStyle w:val="Hyperlink"/>
            <w:noProof/>
          </w:rPr>
          <w:t>Article 37: Incorporation of the Reconstruction and Development Fund Protocol</w:t>
        </w:r>
        <w:r>
          <w:rPr>
            <w:noProof/>
            <w:webHidden/>
          </w:rPr>
          <w:tab/>
        </w:r>
        <w:r>
          <w:rPr>
            <w:noProof/>
            <w:webHidden/>
          </w:rPr>
          <w:fldChar w:fldCharType="begin"/>
        </w:r>
        <w:r>
          <w:rPr>
            <w:noProof/>
            <w:webHidden/>
          </w:rPr>
          <w:instrText xml:space="preserve"> PAGEREF _Toc237663577 \h </w:instrText>
        </w:r>
        <w:r>
          <w:rPr>
            <w:noProof/>
            <w:webHidden/>
          </w:rPr>
        </w:r>
        <w:r>
          <w:rPr>
            <w:noProof/>
            <w:webHidden/>
          </w:rPr>
          <w:fldChar w:fldCharType="separate"/>
        </w:r>
        <w:r>
          <w:rPr>
            <w:noProof/>
            <w:webHidden/>
          </w:rPr>
          <w:t>38</w:t>
        </w:r>
        <w:r>
          <w:rPr>
            <w:noProof/>
            <w:webHidden/>
          </w:rPr>
          <w:fldChar w:fldCharType="end"/>
        </w:r>
      </w:hyperlink>
    </w:p>
    <w:p w14:paraId="2F257891" w14:textId="75518490" w:rsidR="006648B0" w:rsidRDefault="006648B0">
      <w:pPr>
        <w:pStyle w:val="TOC2"/>
        <w:rPr>
          <w:rFonts w:asciiTheme="minorHAnsi" w:hAnsiTheme="minorHAnsi"/>
          <w:noProof/>
          <w:color w:val="auto"/>
          <w:sz w:val="24"/>
        </w:rPr>
      </w:pPr>
      <w:hyperlink w:anchor="_Toc237663578" w:history="1">
        <w:r w:rsidRPr="00116326">
          <w:rPr>
            <w:rStyle w:val="Hyperlink"/>
            <w:noProof/>
          </w:rPr>
          <w:t>Article 38: Relationship to Other Economic Instruments</w:t>
        </w:r>
        <w:r>
          <w:rPr>
            <w:noProof/>
            <w:webHidden/>
          </w:rPr>
          <w:tab/>
        </w:r>
        <w:r>
          <w:rPr>
            <w:noProof/>
            <w:webHidden/>
          </w:rPr>
          <w:fldChar w:fldCharType="begin"/>
        </w:r>
        <w:r>
          <w:rPr>
            <w:noProof/>
            <w:webHidden/>
          </w:rPr>
          <w:instrText xml:space="preserve"> PAGEREF _Toc237663578 \h </w:instrText>
        </w:r>
        <w:r>
          <w:rPr>
            <w:noProof/>
            <w:webHidden/>
          </w:rPr>
        </w:r>
        <w:r>
          <w:rPr>
            <w:noProof/>
            <w:webHidden/>
          </w:rPr>
          <w:fldChar w:fldCharType="separate"/>
        </w:r>
        <w:r>
          <w:rPr>
            <w:noProof/>
            <w:webHidden/>
          </w:rPr>
          <w:t>39</w:t>
        </w:r>
        <w:r>
          <w:rPr>
            <w:noProof/>
            <w:webHidden/>
          </w:rPr>
          <w:fldChar w:fldCharType="end"/>
        </w:r>
      </w:hyperlink>
    </w:p>
    <w:p w14:paraId="4B8F167C" w14:textId="5D42E28C" w:rsidR="006648B0" w:rsidRDefault="006648B0">
      <w:pPr>
        <w:pStyle w:val="TOC1"/>
        <w:rPr>
          <w:rFonts w:asciiTheme="minorHAnsi" w:hAnsiTheme="minorHAnsi"/>
          <w:b w:val="0"/>
          <w:noProof/>
          <w:color w:val="auto"/>
          <w:sz w:val="24"/>
        </w:rPr>
      </w:pPr>
      <w:hyperlink w:anchor="_Toc237663579" w:history="1">
        <w:r w:rsidRPr="00116326">
          <w:rPr>
            <w:rStyle w:val="Hyperlink"/>
            <w:noProof/>
          </w:rPr>
          <w:t>PART XI: THE REGIONAL DE-ESCALATION PACT</w:t>
        </w:r>
        <w:r>
          <w:rPr>
            <w:noProof/>
            <w:webHidden/>
          </w:rPr>
          <w:tab/>
        </w:r>
        <w:r>
          <w:rPr>
            <w:noProof/>
            <w:webHidden/>
          </w:rPr>
          <w:fldChar w:fldCharType="begin"/>
        </w:r>
        <w:r>
          <w:rPr>
            <w:noProof/>
            <w:webHidden/>
          </w:rPr>
          <w:instrText xml:space="preserve"> PAGEREF _Toc237663579 \h </w:instrText>
        </w:r>
        <w:r>
          <w:rPr>
            <w:noProof/>
            <w:webHidden/>
          </w:rPr>
        </w:r>
        <w:r>
          <w:rPr>
            <w:noProof/>
            <w:webHidden/>
          </w:rPr>
          <w:fldChar w:fldCharType="separate"/>
        </w:r>
        <w:r>
          <w:rPr>
            <w:noProof/>
            <w:webHidden/>
          </w:rPr>
          <w:t>40</w:t>
        </w:r>
        <w:r>
          <w:rPr>
            <w:noProof/>
            <w:webHidden/>
          </w:rPr>
          <w:fldChar w:fldCharType="end"/>
        </w:r>
      </w:hyperlink>
    </w:p>
    <w:p w14:paraId="4B5E7BA5" w14:textId="36E4DC91" w:rsidR="006648B0" w:rsidRDefault="006648B0">
      <w:pPr>
        <w:pStyle w:val="TOC2"/>
        <w:rPr>
          <w:rFonts w:asciiTheme="minorHAnsi" w:hAnsiTheme="minorHAnsi"/>
          <w:noProof/>
          <w:color w:val="auto"/>
          <w:sz w:val="24"/>
        </w:rPr>
      </w:pPr>
      <w:hyperlink w:anchor="_Toc237663580" w:history="1">
        <w:r w:rsidRPr="00116326">
          <w:rPr>
            <w:rStyle w:val="Hyperlink"/>
            <w:noProof/>
          </w:rPr>
          <w:t>Article 39: The Fronts Settlement</w:t>
        </w:r>
        <w:r>
          <w:rPr>
            <w:noProof/>
            <w:webHidden/>
          </w:rPr>
          <w:tab/>
        </w:r>
        <w:r>
          <w:rPr>
            <w:noProof/>
            <w:webHidden/>
          </w:rPr>
          <w:fldChar w:fldCharType="begin"/>
        </w:r>
        <w:r>
          <w:rPr>
            <w:noProof/>
            <w:webHidden/>
          </w:rPr>
          <w:instrText xml:space="preserve"> PAGEREF _Toc237663580 \h </w:instrText>
        </w:r>
        <w:r>
          <w:rPr>
            <w:noProof/>
            <w:webHidden/>
          </w:rPr>
        </w:r>
        <w:r>
          <w:rPr>
            <w:noProof/>
            <w:webHidden/>
          </w:rPr>
          <w:fldChar w:fldCharType="separate"/>
        </w:r>
        <w:r>
          <w:rPr>
            <w:noProof/>
            <w:webHidden/>
          </w:rPr>
          <w:t>40</w:t>
        </w:r>
        <w:r>
          <w:rPr>
            <w:noProof/>
            <w:webHidden/>
          </w:rPr>
          <w:fldChar w:fldCharType="end"/>
        </w:r>
      </w:hyperlink>
    </w:p>
    <w:p w14:paraId="02BA58AA" w14:textId="4C88BC57" w:rsidR="006648B0" w:rsidRDefault="006648B0">
      <w:pPr>
        <w:pStyle w:val="TOC2"/>
        <w:rPr>
          <w:rFonts w:asciiTheme="minorHAnsi" w:hAnsiTheme="minorHAnsi"/>
          <w:noProof/>
          <w:color w:val="auto"/>
          <w:sz w:val="24"/>
        </w:rPr>
      </w:pPr>
      <w:hyperlink w:anchor="_Toc237663581" w:history="1">
        <w:r w:rsidRPr="00116326">
          <w:rPr>
            <w:rStyle w:val="Hyperlink"/>
            <w:noProof/>
          </w:rPr>
          <w:t>Article 39A: The Pilot Security Zones</w:t>
        </w:r>
        <w:r>
          <w:rPr>
            <w:noProof/>
            <w:webHidden/>
          </w:rPr>
          <w:tab/>
        </w:r>
        <w:r>
          <w:rPr>
            <w:noProof/>
            <w:webHidden/>
          </w:rPr>
          <w:fldChar w:fldCharType="begin"/>
        </w:r>
        <w:r>
          <w:rPr>
            <w:noProof/>
            <w:webHidden/>
          </w:rPr>
          <w:instrText xml:space="preserve"> PAGEREF _Toc237663581 \h </w:instrText>
        </w:r>
        <w:r>
          <w:rPr>
            <w:noProof/>
            <w:webHidden/>
          </w:rPr>
        </w:r>
        <w:r>
          <w:rPr>
            <w:noProof/>
            <w:webHidden/>
          </w:rPr>
          <w:fldChar w:fldCharType="separate"/>
        </w:r>
        <w:r>
          <w:rPr>
            <w:noProof/>
            <w:webHidden/>
          </w:rPr>
          <w:t>40</w:t>
        </w:r>
        <w:r>
          <w:rPr>
            <w:noProof/>
            <w:webHidden/>
          </w:rPr>
          <w:fldChar w:fldCharType="end"/>
        </w:r>
      </w:hyperlink>
    </w:p>
    <w:p w14:paraId="41E81E91" w14:textId="1AC649EC" w:rsidR="006648B0" w:rsidRDefault="006648B0">
      <w:pPr>
        <w:pStyle w:val="TOC2"/>
        <w:rPr>
          <w:rFonts w:asciiTheme="minorHAnsi" w:hAnsiTheme="minorHAnsi"/>
          <w:noProof/>
          <w:color w:val="auto"/>
          <w:sz w:val="24"/>
        </w:rPr>
      </w:pPr>
      <w:hyperlink w:anchor="_Toc237663582" w:history="1">
        <w:r w:rsidRPr="00116326">
          <w:rPr>
            <w:rStyle w:val="Hyperlink"/>
            <w:noProof/>
          </w:rPr>
          <w:t>Article 39B: The Compliance Credits</w:t>
        </w:r>
        <w:r>
          <w:rPr>
            <w:noProof/>
            <w:webHidden/>
          </w:rPr>
          <w:tab/>
        </w:r>
        <w:r>
          <w:rPr>
            <w:noProof/>
            <w:webHidden/>
          </w:rPr>
          <w:fldChar w:fldCharType="begin"/>
        </w:r>
        <w:r>
          <w:rPr>
            <w:noProof/>
            <w:webHidden/>
          </w:rPr>
          <w:instrText xml:space="preserve"> PAGEREF _Toc237663582 \h </w:instrText>
        </w:r>
        <w:r>
          <w:rPr>
            <w:noProof/>
            <w:webHidden/>
          </w:rPr>
        </w:r>
        <w:r>
          <w:rPr>
            <w:noProof/>
            <w:webHidden/>
          </w:rPr>
          <w:fldChar w:fldCharType="separate"/>
        </w:r>
        <w:r>
          <w:rPr>
            <w:noProof/>
            <w:webHidden/>
          </w:rPr>
          <w:t>41</w:t>
        </w:r>
        <w:r>
          <w:rPr>
            <w:noProof/>
            <w:webHidden/>
          </w:rPr>
          <w:fldChar w:fldCharType="end"/>
        </w:r>
      </w:hyperlink>
    </w:p>
    <w:p w14:paraId="00E96BFC" w14:textId="01DE622D" w:rsidR="006648B0" w:rsidRDefault="006648B0">
      <w:pPr>
        <w:pStyle w:val="TOC2"/>
        <w:rPr>
          <w:rFonts w:asciiTheme="minorHAnsi" w:hAnsiTheme="minorHAnsi"/>
          <w:noProof/>
          <w:color w:val="auto"/>
          <w:sz w:val="24"/>
        </w:rPr>
      </w:pPr>
      <w:hyperlink w:anchor="_Toc237663583" w:history="1">
        <w:r w:rsidRPr="00116326">
          <w:rPr>
            <w:rStyle w:val="Hyperlink"/>
            <w:noProof/>
          </w:rPr>
          <w:t>Article 39C: The De-escalation Channel</w:t>
        </w:r>
        <w:r>
          <w:rPr>
            <w:noProof/>
            <w:webHidden/>
          </w:rPr>
          <w:tab/>
        </w:r>
        <w:r>
          <w:rPr>
            <w:noProof/>
            <w:webHidden/>
          </w:rPr>
          <w:fldChar w:fldCharType="begin"/>
        </w:r>
        <w:r>
          <w:rPr>
            <w:noProof/>
            <w:webHidden/>
          </w:rPr>
          <w:instrText xml:space="preserve"> PAGEREF _Toc237663583 \h </w:instrText>
        </w:r>
        <w:r>
          <w:rPr>
            <w:noProof/>
            <w:webHidden/>
          </w:rPr>
        </w:r>
        <w:r>
          <w:rPr>
            <w:noProof/>
            <w:webHidden/>
          </w:rPr>
          <w:fldChar w:fldCharType="separate"/>
        </w:r>
        <w:r>
          <w:rPr>
            <w:noProof/>
            <w:webHidden/>
          </w:rPr>
          <w:t>41</w:t>
        </w:r>
        <w:r>
          <w:rPr>
            <w:noProof/>
            <w:webHidden/>
          </w:rPr>
          <w:fldChar w:fldCharType="end"/>
        </w:r>
      </w:hyperlink>
    </w:p>
    <w:p w14:paraId="15E05BB8" w14:textId="18E044DB" w:rsidR="006648B0" w:rsidRDefault="006648B0">
      <w:pPr>
        <w:pStyle w:val="TOC2"/>
        <w:rPr>
          <w:rFonts w:asciiTheme="minorHAnsi" w:hAnsiTheme="minorHAnsi"/>
          <w:noProof/>
          <w:color w:val="auto"/>
          <w:sz w:val="24"/>
        </w:rPr>
      </w:pPr>
      <w:hyperlink w:anchor="_Toc237663584" w:history="1">
        <w:r w:rsidRPr="00116326">
          <w:rPr>
            <w:rStyle w:val="Hyperlink"/>
            <w:noProof/>
          </w:rPr>
          <w:t>Article 40: The Regional Charter Horizon</w:t>
        </w:r>
        <w:r>
          <w:rPr>
            <w:noProof/>
            <w:webHidden/>
          </w:rPr>
          <w:tab/>
        </w:r>
        <w:r>
          <w:rPr>
            <w:noProof/>
            <w:webHidden/>
          </w:rPr>
          <w:fldChar w:fldCharType="begin"/>
        </w:r>
        <w:r>
          <w:rPr>
            <w:noProof/>
            <w:webHidden/>
          </w:rPr>
          <w:instrText xml:space="preserve"> PAGEREF _Toc237663584 \h </w:instrText>
        </w:r>
        <w:r>
          <w:rPr>
            <w:noProof/>
            <w:webHidden/>
          </w:rPr>
        </w:r>
        <w:r>
          <w:rPr>
            <w:noProof/>
            <w:webHidden/>
          </w:rPr>
          <w:fldChar w:fldCharType="separate"/>
        </w:r>
        <w:r>
          <w:rPr>
            <w:noProof/>
            <w:webHidden/>
          </w:rPr>
          <w:t>41</w:t>
        </w:r>
        <w:r>
          <w:rPr>
            <w:noProof/>
            <w:webHidden/>
          </w:rPr>
          <w:fldChar w:fldCharType="end"/>
        </w:r>
      </w:hyperlink>
    </w:p>
    <w:p w14:paraId="5B2B6C06" w14:textId="11F82772" w:rsidR="006648B0" w:rsidRDefault="006648B0">
      <w:pPr>
        <w:pStyle w:val="TOC1"/>
        <w:rPr>
          <w:rFonts w:asciiTheme="minorHAnsi" w:hAnsiTheme="minorHAnsi"/>
          <w:b w:val="0"/>
          <w:noProof/>
          <w:color w:val="auto"/>
          <w:sz w:val="24"/>
        </w:rPr>
      </w:pPr>
      <w:hyperlink w:anchor="_Toc237663585" w:history="1">
        <w:r w:rsidRPr="00116326">
          <w:rPr>
            <w:rStyle w:val="Hyperlink"/>
            <w:noProof/>
          </w:rPr>
          <w:t>PART XII: HUMANITARIAN PERMANENT PROVISIONS</w:t>
        </w:r>
        <w:r>
          <w:rPr>
            <w:noProof/>
            <w:webHidden/>
          </w:rPr>
          <w:tab/>
        </w:r>
        <w:r>
          <w:rPr>
            <w:noProof/>
            <w:webHidden/>
          </w:rPr>
          <w:fldChar w:fldCharType="begin"/>
        </w:r>
        <w:r>
          <w:rPr>
            <w:noProof/>
            <w:webHidden/>
          </w:rPr>
          <w:instrText xml:space="preserve"> PAGEREF _Toc237663585 \h </w:instrText>
        </w:r>
        <w:r>
          <w:rPr>
            <w:noProof/>
            <w:webHidden/>
          </w:rPr>
        </w:r>
        <w:r>
          <w:rPr>
            <w:noProof/>
            <w:webHidden/>
          </w:rPr>
          <w:fldChar w:fldCharType="separate"/>
        </w:r>
        <w:r>
          <w:rPr>
            <w:noProof/>
            <w:webHidden/>
          </w:rPr>
          <w:t>42</w:t>
        </w:r>
        <w:r>
          <w:rPr>
            <w:noProof/>
            <w:webHidden/>
          </w:rPr>
          <w:fldChar w:fldCharType="end"/>
        </w:r>
      </w:hyperlink>
    </w:p>
    <w:p w14:paraId="2BDC00C7" w14:textId="4B943504" w:rsidR="006648B0" w:rsidRDefault="006648B0">
      <w:pPr>
        <w:pStyle w:val="TOC2"/>
        <w:rPr>
          <w:rFonts w:asciiTheme="minorHAnsi" w:hAnsiTheme="minorHAnsi"/>
          <w:noProof/>
          <w:color w:val="auto"/>
          <w:sz w:val="24"/>
        </w:rPr>
      </w:pPr>
      <w:hyperlink w:anchor="_Toc237663586" w:history="1">
        <w:r w:rsidRPr="00116326">
          <w:rPr>
            <w:rStyle w:val="Hyperlink"/>
            <w:noProof/>
          </w:rPr>
          <w:t>Article 41: Seafarers, Vessels, and the Humanitarian Permanence</w:t>
        </w:r>
        <w:r>
          <w:rPr>
            <w:noProof/>
            <w:webHidden/>
          </w:rPr>
          <w:tab/>
        </w:r>
        <w:r>
          <w:rPr>
            <w:noProof/>
            <w:webHidden/>
          </w:rPr>
          <w:fldChar w:fldCharType="begin"/>
        </w:r>
        <w:r>
          <w:rPr>
            <w:noProof/>
            <w:webHidden/>
          </w:rPr>
          <w:instrText xml:space="preserve"> PAGEREF _Toc237663586 \h </w:instrText>
        </w:r>
        <w:r>
          <w:rPr>
            <w:noProof/>
            <w:webHidden/>
          </w:rPr>
        </w:r>
        <w:r>
          <w:rPr>
            <w:noProof/>
            <w:webHidden/>
          </w:rPr>
          <w:fldChar w:fldCharType="separate"/>
        </w:r>
        <w:r>
          <w:rPr>
            <w:noProof/>
            <w:webHidden/>
          </w:rPr>
          <w:t>42</w:t>
        </w:r>
        <w:r>
          <w:rPr>
            <w:noProof/>
            <w:webHidden/>
          </w:rPr>
          <w:fldChar w:fldCharType="end"/>
        </w:r>
      </w:hyperlink>
    </w:p>
    <w:p w14:paraId="3216A551" w14:textId="3B51F581" w:rsidR="006648B0" w:rsidRDefault="006648B0">
      <w:pPr>
        <w:pStyle w:val="TOC1"/>
        <w:rPr>
          <w:rFonts w:asciiTheme="minorHAnsi" w:hAnsiTheme="minorHAnsi"/>
          <w:b w:val="0"/>
          <w:noProof/>
          <w:color w:val="auto"/>
          <w:sz w:val="24"/>
        </w:rPr>
      </w:pPr>
      <w:hyperlink w:anchor="_Toc237663587" w:history="1">
        <w:r w:rsidRPr="00116326">
          <w:rPr>
            <w:rStyle w:val="Hyperlink"/>
            <w:noProof/>
          </w:rPr>
          <w:t>PART XIII: THE EXCLUDED FILES AND THE FIREWALL</w:t>
        </w:r>
        <w:r>
          <w:rPr>
            <w:noProof/>
            <w:webHidden/>
          </w:rPr>
          <w:tab/>
        </w:r>
        <w:r>
          <w:rPr>
            <w:noProof/>
            <w:webHidden/>
          </w:rPr>
          <w:fldChar w:fldCharType="begin"/>
        </w:r>
        <w:r>
          <w:rPr>
            <w:noProof/>
            <w:webHidden/>
          </w:rPr>
          <w:instrText xml:space="preserve"> PAGEREF _Toc237663587 \h </w:instrText>
        </w:r>
        <w:r>
          <w:rPr>
            <w:noProof/>
            <w:webHidden/>
          </w:rPr>
        </w:r>
        <w:r>
          <w:rPr>
            <w:noProof/>
            <w:webHidden/>
          </w:rPr>
          <w:fldChar w:fldCharType="separate"/>
        </w:r>
        <w:r>
          <w:rPr>
            <w:noProof/>
            <w:webHidden/>
          </w:rPr>
          <w:t>43</w:t>
        </w:r>
        <w:r>
          <w:rPr>
            <w:noProof/>
            <w:webHidden/>
          </w:rPr>
          <w:fldChar w:fldCharType="end"/>
        </w:r>
      </w:hyperlink>
    </w:p>
    <w:p w14:paraId="29D0D1CB" w14:textId="1DB01503" w:rsidR="006648B0" w:rsidRDefault="006648B0">
      <w:pPr>
        <w:pStyle w:val="TOC2"/>
        <w:rPr>
          <w:rFonts w:asciiTheme="minorHAnsi" w:hAnsiTheme="minorHAnsi"/>
          <w:noProof/>
          <w:color w:val="auto"/>
          <w:sz w:val="24"/>
        </w:rPr>
      </w:pPr>
      <w:hyperlink w:anchor="_Toc237663588" w:history="1">
        <w:r w:rsidRPr="00116326">
          <w:rPr>
            <w:rStyle w:val="Hyperlink"/>
            <w:noProof/>
          </w:rPr>
          <w:t>Article 42: The Missile File and the Separate Track</w:t>
        </w:r>
        <w:r>
          <w:rPr>
            <w:noProof/>
            <w:webHidden/>
          </w:rPr>
          <w:tab/>
        </w:r>
        <w:r>
          <w:rPr>
            <w:noProof/>
            <w:webHidden/>
          </w:rPr>
          <w:fldChar w:fldCharType="begin"/>
        </w:r>
        <w:r>
          <w:rPr>
            <w:noProof/>
            <w:webHidden/>
          </w:rPr>
          <w:instrText xml:space="preserve"> PAGEREF _Toc237663588 \h </w:instrText>
        </w:r>
        <w:r>
          <w:rPr>
            <w:noProof/>
            <w:webHidden/>
          </w:rPr>
        </w:r>
        <w:r>
          <w:rPr>
            <w:noProof/>
            <w:webHidden/>
          </w:rPr>
          <w:fldChar w:fldCharType="separate"/>
        </w:r>
        <w:r>
          <w:rPr>
            <w:noProof/>
            <w:webHidden/>
          </w:rPr>
          <w:t>43</w:t>
        </w:r>
        <w:r>
          <w:rPr>
            <w:noProof/>
            <w:webHidden/>
          </w:rPr>
          <w:fldChar w:fldCharType="end"/>
        </w:r>
      </w:hyperlink>
    </w:p>
    <w:p w14:paraId="4B0D2985" w14:textId="5F00B84F" w:rsidR="006648B0" w:rsidRDefault="006648B0">
      <w:pPr>
        <w:pStyle w:val="TOC2"/>
        <w:rPr>
          <w:rFonts w:asciiTheme="minorHAnsi" w:hAnsiTheme="minorHAnsi"/>
          <w:noProof/>
          <w:color w:val="auto"/>
          <w:sz w:val="24"/>
        </w:rPr>
      </w:pPr>
      <w:hyperlink w:anchor="_Toc237663589" w:history="1">
        <w:r w:rsidRPr="00116326">
          <w:rPr>
            <w:rStyle w:val="Hyperlink"/>
            <w:noProof/>
          </w:rPr>
          <w:t>Article 43: The Firewall General Clause</w:t>
        </w:r>
        <w:r>
          <w:rPr>
            <w:noProof/>
            <w:webHidden/>
          </w:rPr>
          <w:tab/>
        </w:r>
        <w:r>
          <w:rPr>
            <w:noProof/>
            <w:webHidden/>
          </w:rPr>
          <w:fldChar w:fldCharType="begin"/>
        </w:r>
        <w:r>
          <w:rPr>
            <w:noProof/>
            <w:webHidden/>
          </w:rPr>
          <w:instrText xml:space="preserve"> PAGEREF _Toc237663589 \h </w:instrText>
        </w:r>
        <w:r>
          <w:rPr>
            <w:noProof/>
            <w:webHidden/>
          </w:rPr>
        </w:r>
        <w:r>
          <w:rPr>
            <w:noProof/>
            <w:webHidden/>
          </w:rPr>
          <w:fldChar w:fldCharType="separate"/>
        </w:r>
        <w:r>
          <w:rPr>
            <w:noProof/>
            <w:webHidden/>
          </w:rPr>
          <w:t>43</w:t>
        </w:r>
        <w:r>
          <w:rPr>
            <w:noProof/>
            <w:webHidden/>
          </w:rPr>
          <w:fldChar w:fldCharType="end"/>
        </w:r>
      </w:hyperlink>
    </w:p>
    <w:p w14:paraId="52FEA5D0" w14:textId="05D29A1A" w:rsidR="006648B0" w:rsidRDefault="006648B0">
      <w:pPr>
        <w:pStyle w:val="TOC2"/>
        <w:rPr>
          <w:rFonts w:asciiTheme="minorHAnsi" w:hAnsiTheme="minorHAnsi"/>
          <w:noProof/>
          <w:color w:val="auto"/>
          <w:sz w:val="24"/>
        </w:rPr>
      </w:pPr>
      <w:hyperlink w:anchor="_Toc237663590" w:history="1">
        <w:r w:rsidRPr="00116326">
          <w:rPr>
            <w:rStyle w:val="Hyperlink"/>
            <w:noProof/>
          </w:rPr>
          <w:t>Article 44: The Complete Settlement Clause</w:t>
        </w:r>
        <w:r>
          <w:rPr>
            <w:noProof/>
            <w:webHidden/>
          </w:rPr>
          <w:tab/>
        </w:r>
        <w:r>
          <w:rPr>
            <w:noProof/>
            <w:webHidden/>
          </w:rPr>
          <w:fldChar w:fldCharType="begin"/>
        </w:r>
        <w:r>
          <w:rPr>
            <w:noProof/>
            <w:webHidden/>
          </w:rPr>
          <w:instrText xml:space="preserve"> PAGEREF _Toc237663590 \h </w:instrText>
        </w:r>
        <w:r>
          <w:rPr>
            <w:noProof/>
            <w:webHidden/>
          </w:rPr>
        </w:r>
        <w:r>
          <w:rPr>
            <w:noProof/>
            <w:webHidden/>
          </w:rPr>
          <w:fldChar w:fldCharType="separate"/>
        </w:r>
        <w:r>
          <w:rPr>
            <w:noProof/>
            <w:webHidden/>
          </w:rPr>
          <w:t>43</w:t>
        </w:r>
        <w:r>
          <w:rPr>
            <w:noProof/>
            <w:webHidden/>
          </w:rPr>
          <w:fldChar w:fldCharType="end"/>
        </w:r>
      </w:hyperlink>
    </w:p>
    <w:p w14:paraId="0E2BF5E1" w14:textId="5889EBCA" w:rsidR="006648B0" w:rsidRDefault="006648B0">
      <w:pPr>
        <w:pStyle w:val="TOC1"/>
        <w:rPr>
          <w:rFonts w:asciiTheme="minorHAnsi" w:hAnsiTheme="minorHAnsi"/>
          <w:b w:val="0"/>
          <w:noProof/>
          <w:color w:val="auto"/>
          <w:sz w:val="24"/>
        </w:rPr>
      </w:pPr>
      <w:hyperlink w:anchor="_Toc237663591" w:history="1">
        <w:r w:rsidRPr="00116326">
          <w:rPr>
            <w:rStyle w:val="Hyperlink"/>
            <w:noProof/>
          </w:rPr>
          <w:t>LAYER TWO: THE COTHROM VERIFICATION PROTOCOL</w:t>
        </w:r>
        <w:r>
          <w:rPr>
            <w:noProof/>
            <w:webHidden/>
          </w:rPr>
          <w:tab/>
        </w:r>
        <w:r>
          <w:rPr>
            <w:noProof/>
            <w:webHidden/>
          </w:rPr>
          <w:fldChar w:fldCharType="begin"/>
        </w:r>
        <w:r>
          <w:rPr>
            <w:noProof/>
            <w:webHidden/>
          </w:rPr>
          <w:instrText xml:space="preserve"> PAGEREF _Toc237663591 \h </w:instrText>
        </w:r>
        <w:r>
          <w:rPr>
            <w:noProof/>
            <w:webHidden/>
          </w:rPr>
        </w:r>
        <w:r>
          <w:rPr>
            <w:noProof/>
            <w:webHidden/>
          </w:rPr>
          <w:fldChar w:fldCharType="separate"/>
        </w:r>
        <w:r>
          <w:rPr>
            <w:noProof/>
            <w:webHidden/>
          </w:rPr>
          <w:t>44</w:t>
        </w:r>
        <w:r>
          <w:rPr>
            <w:noProof/>
            <w:webHidden/>
          </w:rPr>
          <w:fldChar w:fldCharType="end"/>
        </w:r>
      </w:hyperlink>
    </w:p>
    <w:p w14:paraId="47847FFF" w14:textId="0B982897" w:rsidR="006648B0" w:rsidRDefault="006648B0">
      <w:pPr>
        <w:pStyle w:val="TOC2"/>
        <w:rPr>
          <w:rFonts w:asciiTheme="minorHAnsi" w:hAnsiTheme="minorHAnsi"/>
          <w:noProof/>
          <w:color w:val="auto"/>
          <w:sz w:val="24"/>
        </w:rPr>
      </w:pPr>
      <w:hyperlink w:anchor="_Toc237663592" w:history="1">
        <w:r w:rsidRPr="00116326">
          <w:rPr>
            <w:rStyle w:val="Hyperlink"/>
            <w:noProof/>
          </w:rPr>
          <w:t>Article 45: Adoption of the Cothrom Method</w:t>
        </w:r>
        <w:r>
          <w:rPr>
            <w:noProof/>
            <w:webHidden/>
          </w:rPr>
          <w:tab/>
        </w:r>
        <w:r>
          <w:rPr>
            <w:noProof/>
            <w:webHidden/>
          </w:rPr>
          <w:fldChar w:fldCharType="begin"/>
        </w:r>
        <w:r>
          <w:rPr>
            <w:noProof/>
            <w:webHidden/>
          </w:rPr>
          <w:instrText xml:space="preserve"> PAGEREF _Toc237663592 \h </w:instrText>
        </w:r>
        <w:r>
          <w:rPr>
            <w:noProof/>
            <w:webHidden/>
          </w:rPr>
        </w:r>
        <w:r>
          <w:rPr>
            <w:noProof/>
            <w:webHidden/>
          </w:rPr>
          <w:fldChar w:fldCharType="separate"/>
        </w:r>
        <w:r>
          <w:rPr>
            <w:noProof/>
            <w:webHidden/>
          </w:rPr>
          <w:t>44</w:t>
        </w:r>
        <w:r>
          <w:rPr>
            <w:noProof/>
            <w:webHidden/>
          </w:rPr>
          <w:fldChar w:fldCharType="end"/>
        </w:r>
      </w:hyperlink>
    </w:p>
    <w:p w14:paraId="412F2983" w14:textId="7E3B30FA" w:rsidR="006648B0" w:rsidRDefault="006648B0">
      <w:pPr>
        <w:pStyle w:val="TOC2"/>
        <w:rPr>
          <w:rFonts w:asciiTheme="minorHAnsi" w:hAnsiTheme="minorHAnsi"/>
          <w:noProof/>
          <w:color w:val="auto"/>
          <w:sz w:val="24"/>
        </w:rPr>
      </w:pPr>
      <w:hyperlink w:anchor="_Toc237663593" w:history="1">
        <w:r w:rsidRPr="00116326">
          <w:rPr>
            <w:rStyle w:val="Hyperlink"/>
            <w:noProof/>
          </w:rPr>
          <w:t>Article 46: The Monitoring Systems</w:t>
        </w:r>
        <w:r>
          <w:rPr>
            <w:noProof/>
            <w:webHidden/>
          </w:rPr>
          <w:tab/>
        </w:r>
        <w:r>
          <w:rPr>
            <w:noProof/>
            <w:webHidden/>
          </w:rPr>
          <w:fldChar w:fldCharType="begin"/>
        </w:r>
        <w:r>
          <w:rPr>
            <w:noProof/>
            <w:webHidden/>
          </w:rPr>
          <w:instrText xml:space="preserve"> PAGEREF _Toc237663593 \h </w:instrText>
        </w:r>
        <w:r>
          <w:rPr>
            <w:noProof/>
            <w:webHidden/>
          </w:rPr>
        </w:r>
        <w:r>
          <w:rPr>
            <w:noProof/>
            <w:webHidden/>
          </w:rPr>
          <w:fldChar w:fldCharType="separate"/>
        </w:r>
        <w:r>
          <w:rPr>
            <w:noProof/>
            <w:webHidden/>
          </w:rPr>
          <w:t>44</w:t>
        </w:r>
        <w:r>
          <w:rPr>
            <w:noProof/>
            <w:webHidden/>
          </w:rPr>
          <w:fldChar w:fldCharType="end"/>
        </w:r>
      </w:hyperlink>
    </w:p>
    <w:p w14:paraId="49585231" w14:textId="192F2058" w:rsidR="006648B0" w:rsidRDefault="006648B0">
      <w:pPr>
        <w:pStyle w:val="TOC2"/>
        <w:rPr>
          <w:rFonts w:asciiTheme="minorHAnsi" w:hAnsiTheme="minorHAnsi"/>
          <w:noProof/>
          <w:color w:val="auto"/>
          <w:sz w:val="24"/>
        </w:rPr>
      </w:pPr>
      <w:hyperlink w:anchor="_Toc237663594" w:history="1">
        <w:r w:rsidRPr="00116326">
          <w:rPr>
            <w:rStyle w:val="Hyperlink"/>
            <w:noProof/>
          </w:rPr>
          <w:t>Article 47: The Anomaly Classification and Response</w:t>
        </w:r>
        <w:r>
          <w:rPr>
            <w:noProof/>
            <w:webHidden/>
          </w:rPr>
          <w:tab/>
        </w:r>
        <w:r>
          <w:rPr>
            <w:noProof/>
            <w:webHidden/>
          </w:rPr>
          <w:fldChar w:fldCharType="begin"/>
        </w:r>
        <w:r>
          <w:rPr>
            <w:noProof/>
            <w:webHidden/>
          </w:rPr>
          <w:instrText xml:space="preserve"> PAGEREF _Toc237663594 \h </w:instrText>
        </w:r>
        <w:r>
          <w:rPr>
            <w:noProof/>
            <w:webHidden/>
          </w:rPr>
        </w:r>
        <w:r>
          <w:rPr>
            <w:noProof/>
            <w:webHidden/>
          </w:rPr>
          <w:fldChar w:fldCharType="separate"/>
        </w:r>
        <w:r>
          <w:rPr>
            <w:noProof/>
            <w:webHidden/>
          </w:rPr>
          <w:t>45</w:t>
        </w:r>
        <w:r>
          <w:rPr>
            <w:noProof/>
            <w:webHidden/>
          </w:rPr>
          <w:fldChar w:fldCharType="end"/>
        </w:r>
      </w:hyperlink>
    </w:p>
    <w:p w14:paraId="5C560634" w14:textId="3BF71CAA" w:rsidR="006648B0" w:rsidRDefault="006648B0">
      <w:pPr>
        <w:pStyle w:val="TOC2"/>
        <w:rPr>
          <w:rFonts w:asciiTheme="minorHAnsi" w:hAnsiTheme="minorHAnsi"/>
          <w:noProof/>
          <w:color w:val="auto"/>
          <w:sz w:val="24"/>
        </w:rPr>
      </w:pPr>
      <w:hyperlink w:anchor="_Toc237663595" w:history="1">
        <w:r w:rsidRPr="00116326">
          <w:rPr>
            <w:rStyle w:val="Hyperlink"/>
            <w:noProof/>
          </w:rPr>
          <w:t>Article 48: The Verification Bonds and the Fund</w:t>
        </w:r>
        <w:r>
          <w:rPr>
            <w:noProof/>
            <w:webHidden/>
          </w:rPr>
          <w:tab/>
        </w:r>
        <w:r>
          <w:rPr>
            <w:noProof/>
            <w:webHidden/>
          </w:rPr>
          <w:fldChar w:fldCharType="begin"/>
        </w:r>
        <w:r>
          <w:rPr>
            <w:noProof/>
            <w:webHidden/>
          </w:rPr>
          <w:instrText xml:space="preserve"> PAGEREF _Toc237663595 \h </w:instrText>
        </w:r>
        <w:r>
          <w:rPr>
            <w:noProof/>
            <w:webHidden/>
          </w:rPr>
        </w:r>
        <w:r>
          <w:rPr>
            <w:noProof/>
            <w:webHidden/>
          </w:rPr>
          <w:fldChar w:fldCharType="separate"/>
        </w:r>
        <w:r>
          <w:rPr>
            <w:noProof/>
            <w:webHidden/>
          </w:rPr>
          <w:t>46</w:t>
        </w:r>
        <w:r>
          <w:rPr>
            <w:noProof/>
            <w:webHidden/>
          </w:rPr>
          <w:fldChar w:fldCharType="end"/>
        </w:r>
      </w:hyperlink>
    </w:p>
    <w:p w14:paraId="6B38E203" w14:textId="0FF64F0F" w:rsidR="006648B0" w:rsidRDefault="006648B0">
      <w:pPr>
        <w:pStyle w:val="TOC2"/>
        <w:rPr>
          <w:rFonts w:asciiTheme="minorHAnsi" w:hAnsiTheme="minorHAnsi"/>
          <w:noProof/>
          <w:color w:val="auto"/>
          <w:sz w:val="24"/>
        </w:rPr>
      </w:pPr>
      <w:hyperlink w:anchor="_Toc237663596" w:history="1">
        <w:r w:rsidRPr="00116326">
          <w:rPr>
            <w:rStyle w:val="Hyperlink"/>
            <w:noProof/>
          </w:rPr>
          <w:t>Article 49: Adversarial Claim Verification</w:t>
        </w:r>
        <w:r>
          <w:rPr>
            <w:noProof/>
            <w:webHidden/>
          </w:rPr>
          <w:tab/>
        </w:r>
        <w:r>
          <w:rPr>
            <w:noProof/>
            <w:webHidden/>
          </w:rPr>
          <w:fldChar w:fldCharType="begin"/>
        </w:r>
        <w:r>
          <w:rPr>
            <w:noProof/>
            <w:webHidden/>
          </w:rPr>
          <w:instrText xml:space="preserve"> PAGEREF _Toc237663596 \h </w:instrText>
        </w:r>
        <w:r>
          <w:rPr>
            <w:noProof/>
            <w:webHidden/>
          </w:rPr>
        </w:r>
        <w:r>
          <w:rPr>
            <w:noProof/>
            <w:webHidden/>
          </w:rPr>
          <w:fldChar w:fldCharType="separate"/>
        </w:r>
        <w:r>
          <w:rPr>
            <w:noProof/>
            <w:webHidden/>
          </w:rPr>
          <w:t>46</w:t>
        </w:r>
        <w:r>
          <w:rPr>
            <w:noProof/>
            <w:webHidden/>
          </w:rPr>
          <w:fldChar w:fldCharType="end"/>
        </w:r>
      </w:hyperlink>
    </w:p>
    <w:p w14:paraId="0043873A" w14:textId="7CD63D83" w:rsidR="006648B0" w:rsidRDefault="006648B0">
      <w:pPr>
        <w:pStyle w:val="TOC2"/>
        <w:rPr>
          <w:rFonts w:asciiTheme="minorHAnsi" w:hAnsiTheme="minorHAnsi"/>
          <w:noProof/>
          <w:color w:val="auto"/>
          <w:sz w:val="24"/>
        </w:rPr>
      </w:pPr>
      <w:hyperlink w:anchor="_Toc237663597" w:history="1">
        <w:r w:rsidRPr="00116326">
          <w:rPr>
            <w:rStyle w:val="Hyperlink"/>
            <w:noProof/>
          </w:rPr>
          <w:t>Article 50: The Three-Tier Breach Classification</w:t>
        </w:r>
        <w:r>
          <w:rPr>
            <w:noProof/>
            <w:webHidden/>
          </w:rPr>
          <w:tab/>
        </w:r>
        <w:r>
          <w:rPr>
            <w:noProof/>
            <w:webHidden/>
          </w:rPr>
          <w:fldChar w:fldCharType="begin"/>
        </w:r>
        <w:r>
          <w:rPr>
            <w:noProof/>
            <w:webHidden/>
          </w:rPr>
          <w:instrText xml:space="preserve"> PAGEREF _Toc237663597 \h </w:instrText>
        </w:r>
        <w:r>
          <w:rPr>
            <w:noProof/>
            <w:webHidden/>
          </w:rPr>
        </w:r>
        <w:r>
          <w:rPr>
            <w:noProof/>
            <w:webHidden/>
          </w:rPr>
          <w:fldChar w:fldCharType="separate"/>
        </w:r>
        <w:r>
          <w:rPr>
            <w:noProof/>
            <w:webHidden/>
          </w:rPr>
          <w:t>47</w:t>
        </w:r>
        <w:r>
          <w:rPr>
            <w:noProof/>
            <w:webHidden/>
          </w:rPr>
          <w:fldChar w:fldCharType="end"/>
        </w:r>
      </w:hyperlink>
    </w:p>
    <w:p w14:paraId="39A7728B" w14:textId="7E9271DB" w:rsidR="006648B0" w:rsidRDefault="006648B0">
      <w:pPr>
        <w:pStyle w:val="TOC2"/>
        <w:rPr>
          <w:rFonts w:asciiTheme="minorHAnsi" w:hAnsiTheme="minorHAnsi"/>
          <w:noProof/>
          <w:color w:val="auto"/>
          <w:sz w:val="24"/>
        </w:rPr>
      </w:pPr>
      <w:hyperlink w:anchor="_Toc237663598" w:history="1">
        <w:r w:rsidRPr="00116326">
          <w:rPr>
            <w:rStyle w:val="Hyperlink"/>
            <w:noProof/>
          </w:rPr>
          <w:t>Article 51: The Graduated Step-Back Mechanism</w:t>
        </w:r>
        <w:r>
          <w:rPr>
            <w:noProof/>
            <w:webHidden/>
          </w:rPr>
          <w:tab/>
        </w:r>
        <w:r>
          <w:rPr>
            <w:noProof/>
            <w:webHidden/>
          </w:rPr>
          <w:fldChar w:fldCharType="begin"/>
        </w:r>
        <w:r>
          <w:rPr>
            <w:noProof/>
            <w:webHidden/>
          </w:rPr>
          <w:instrText xml:space="preserve"> PAGEREF _Toc237663598 \h </w:instrText>
        </w:r>
        <w:r>
          <w:rPr>
            <w:noProof/>
            <w:webHidden/>
          </w:rPr>
        </w:r>
        <w:r>
          <w:rPr>
            <w:noProof/>
            <w:webHidden/>
          </w:rPr>
          <w:fldChar w:fldCharType="separate"/>
        </w:r>
        <w:r>
          <w:rPr>
            <w:noProof/>
            <w:webHidden/>
          </w:rPr>
          <w:t>48</w:t>
        </w:r>
        <w:r>
          <w:rPr>
            <w:noProof/>
            <w:webHidden/>
          </w:rPr>
          <w:fldChar w:fldCharType="end"/>
        </w:r>
      </w:hyperlink>
    </w:p>
    <w:p w14:paraId="67E21A5C" w14:textId="11ECB6AA" w:rsidR="006648B0" w:rsidRDefault="006648B0">
      <w:pPr>
        <w:pStyle w:val="TOC2"/>
        <w:rPr>
          <w:rFonts w:asciiTheme="minorHAnsi" w:hAnsiTheme="minorHAnsi"/>
          <w:noProof/>
          <w:color w:val="auto"/>
          <w:sz w:val="24"/>
        </w:rPr>
      </w:pPr>
      <w:hyperlink w:anchor="_Toc237663599" w:history="1">
        <w:r w:rsidRPr="00116326">
          <w:rPr>
            <w:rStyle w:val="Hyperlink"/>
            <w:noProof/>
          </w:rPr>
          <w:t>Article 51A: The Cumulative Step-Back Protocol</w:t>
        </w:r>
        <w:r>
          <w:rPr>
            <w:noProof/>
            <w:webHidden/>
          </w:rPr>
          <w:tab/>
        </w:r>
        <w:r>
          <w:rPr>
            <w:noProof/>
            <w:webHidden/>
          </w:rPr>
          <w:fldChar w:fldCharType="begin"/>
        </w:r>
        <w:r>
          <w:rPr>
            <w:noProof/>
            <w:webHidden/>
          </w:rPr>
          <w:instrText xml:space="preserve"> PAGEREF _Toc237663599 \h </w:instrText>
        </w:r>
        <w:r>
          <w:rPr>
            <w:noProof/>
            <w:webHidden/>
          </w:rPr>
        </w:r>
        <w:r>
          <w:rPr>
            <w:noProof/>
            <w:webHidden/>
          </w:rPr>
          <w:fldChar w:fldCharType="separate"/>
        </w:r>
        <w:r>
          <w:rPr>
            <w:noProof/>
            <w:webHidden/>
          </w:rPr>
          <w:t>48</w:t>
        </w:r>
        <w:r>
          <w:rPr>
            <w:noProof/>
            <w:webHidden/>
          </w:rPr>
          <w:fldChar w:fldCharType="end"/>
        </w:r>
      </w:hyperlink>
    </w:p>
    <w:p w14:paraId="681A17CE" w14:textId="45C08198" w:rsidR="006648B0" w:rsidRDefault="006648B0">
      <w:pPr>
        <w:pStyle w:val="TOC2"/>
        <w:rPr>
          <w:rFonts w:asciiTheme="minorHAnsi" w:hAnsiTheme="minorHAnsi"/>
          <w:noProof/>
          <w:color w:val="auto"/>
          <w:sz w:val="24"/>
        </w:rPr>
      </w:pPr>
      <w:hyperlink w:anchor="_Toc237663600" w:history="1">
        <w:r w:rsidRPr="00116326">
          <w:rPr>
            <w:rStyle w:val="Hyperlink"/>
            <w:noProof/>
          </w:rPr>
          <w:t>Article 52: The Earn-Back Pathway</w:t>
        </w:r>
        <w:r>
          <w:rPr>
            <w:noProof/>
            <w:webHidden/>
          </w:rPr>
          <w:tab/>
        </w:r>
        <w:r>
          <w:rPr>
            <w:noProof/>
            <w:webHidden/>
          </w:rPr>
          <w:fldChar w:fldCharType="begin"/>
        </w:r>
        <w:r>
          <w:rPr>
            <w:noProof/>
            <w:webHidden/>
          </w:rPr>
          <w:instrText xml:space="preserve"> PAGEREF _Toc237663600 \h </w:instrText>
        </w:r>
        <w:r>
          <w:rPr>
            <w:noProof/>
            <w:webHidden/>
          </w:rPr>
        </w:r>
        <w:r>
          <w:rPr>
            <w:noProof/>
            <w:webHidden/>
          </w:rPr>
          <w:fldChar w:fldCharType="separate"/>
        </w:r>
        <w:r>
          <w:rPr>
            <w:noProof/>
            <w:webHidden/>
          </w:rPr>
          <w:t>48</w:t>
        </w:r>
        <w:r>
          <w:rPr>
            <w:noProof/>
            <w:webHidden/>
          </w:rPr>
          <w:fldChar w:fldCharType="end"/>
        </w:r>
      </w:hyperlink>
    </w:p>
    <w:p w14:paraId="4C10389D" w14:textId="61A24A21" w:rsidR="006648B0" w:rsidRDefault="006648B0">
      <w:pPr>
        <w:pStyle w:val="TOC2"/>
        <w:rPr>
          <w:rFonts w:asciiTheme="minorHAnsi" w:hAnsiTheme="minorHAnsi"/>
          <w:noProof/>
          <w:color w:val="auto"/>
          <w:sz w:val="24"/>
        </w:rPr>
      </w:pPr>
      <w:hyperlink w:anchor="_Toc237663601" w:history="1">
        <w:r w:rsidRPr="00116326">
          <w:rPr>
            <w:rStyle w:val="Hyperlink"/>
            <w:noProof/>
          </w:rPr>
          <w:t>Article 52A: Relief Permanence</w:t>
        </w:r>
        <w:r>
          <w:rPr>
            <w:noProof/>
            <w:webHidden/>
          </w:rPr>
          <w:tab/>
        </w:r>
        <w:r>
          <w:rPr>
            <w:noProof/>
            <w:webHidden/>
          </w:rPr>
          <w:fldChar w:fldCharType="begin"/>
        </w:r>
        <w:r>
          <w:rPr>
            <w:noProof/>
            <w:webHidden/>
          </w:rPr>
          <w:instrText xml:space="preserve"> PAGEREF _Toc237663601 \h </w:instrText>
        </w:r>
        <w:r>
          <w:rPr>
            <w:noProof/>
            <w:webHidden/>
          </w:rPr>
        </w:r>
        <w:r>
          <w:rPr>
            <w:noProof/>
            <w:webHidden/>
          </w:rPr>
          <w:fldChar w:fldCharType="separate"/>
        </w:r>
        <w:r>
          <w:rPr>
            <w:noProof/>
            <w:webHidden/>
          </w:rPr>
          <w:t>49</w:t>
        </w:r>
        <w:r>
          <w:rPr>
            <w:noProof/>
            <w:webHidden/>
          </w:rPr>
          <w:fldChar w:fldCharType="end"/>
        </w:r>
      </w:hyperlink>
    </w:p>
    <w:p w14:paraId="2558C5C4" w14:textId="484E5C16" w:rsidR="006648B0" w:rsidRDefault="006648B0">
      <w:pPr>
        <w:pStyle w:val="TOC2"/>
        <w:rPr>
          <w:rFonts w:asciiTheme="minorHAnsi" w:hAnsiTheme="minorHAnsi"/>
          <w:noProof/>
          <w:color w:val="auto"/>
          <w:sz w:val="24"/>
        </w:rPr>
      </w:pPr>
      <w:hyperlink w:anchor="_Toc237663602" w:history="1">
        <w:r w:rsidRPr="00116326">
          <w:rPr>
            <w:rStyle w:val="Hyperlink"/>
            <w:noProof/>
          </w:rPr>
          <w:t>Article 53: Cross-Module Spillover Protection</w:t>
        </w:r>
        <w:r>
          <w:rPr>
            <w:noProof/>
            <w:webHidden/>
          </w:rPr>
          <w:tab/>
        </w:r>
        <w:r>
          <w:rPr>
            <w:noProof/>
            <w:webHidden/>
          </w:rPr>
          <w:fldChar w:fldCharType="begin"/>
        </w:r>
        <w:r>
          <w:rPr>
            <w:noProof/>
            <w:webHidden/>
          </w:rPr>
          <w:instrText xml:space="preserve"> PAGEREF _Toc237663602 \h </w:instrText>
        </w:r>
        <w:r>
          <w:rPr>
            <w:noProof/>
            <w:webHidden/>
          </w:rPr>
        </w:r>
        <w:r>
          <w:rPr>
            <w:noProof/>
            <w:webHidden/>
          </w:rPr>
          <w:fldChar w:fldCharType="separate"/>
        </w:r>
        <w:r>
          <w:rPr>
            <w:noProof/>
            <w:webHidden/>
          </w:rPr>
          <w:t>49</w:t>
        </w:r>
        <w:r>
          <w:rPr>
            <w:noProof/>
            <w:webHidden/>
          </w:rPr>
          <w:fldChar w:fldCharType="end"/>
        </w:r>
      </w:hyperlink>
    </w:p>
    <w:p w14:paraId="59A7A4CD" w14:textId="19B541A6" w:rsidR="006648B0" w:rsidRDefault="006648B0">
      <w:pPr>
        <w:pStyle w:val="TOC2"/>
        <w:rPr>
          <w:rFonts w:asciiTheme="minorHAnsi" w:hAnsiTheme="minorHAnsi"/>
          <w:noProof/>
          <w:color w:val="auto"/>
          <w:sz w:val="24"/>
        </w:rPr>
      </w:pPr>
      <w:hyperlink w:anchor="_Toc237663603" w:history="1">
        <w:r w:rsidRPr="00116326">
          <w:rPr>
            <w:rStyle w:val="Hyperlink"/>
            <w:noProof/>
          </w:rPr>
          <w:t>Article 54: The Protective Architecture</w:t>
        </w:r>
        <w:r>
          <w:rPr>
            <w:noProof/>
            <w:webHidden/>
          </w:rPr>
          <w:tab/>
        </w:r>
        <w:r>
          <w:rPr>
            <w:noProof/>
            <w:webHidden/>
          </w:rPr>
          <w:fldChar w:fldCharType="begin"/>
        </w:r>
        <w:r>
          <w:rPr>
            <w:noProof/>
            <w:webHidden/>
          </w:rPr>
          <w:instrText xml:space="preserve"> PAGEREF _Toc237663603 \h </w:instrText>
        </w:r>
        <w:r>
          <w:rPr>
            <w:noProof/>
            <w:webHidden/>
          </w:rPr>
        </w:r>
        <w:r>
          <w:rPr>
            <w:noProof/>
            <w:webHidden/>
          </w:rPr>
          <w:fldChar w:fldCharType="separate"/>
        </w:r>
        <w:r>
          <w:rPr>
            <w:noProof/>
            <w:webHidden/>
          </w:rPr>
          <w:t>49</w:t>
        </w:r>
        <w:r>
          <w:rPr>
            <w:noProof/>
            <w:webHidden/>
          </w:rPr>
          <w:fldChar w:fldCharType="end"/>
        </w:r>
      </w:hyperlink>
    </w:p>
    <w:p w14:paraId="0F6A39F2" w14:textId="0AF8E572" w:rsidR="006648B0" w:rsidRDefault="006648B0">
      <w:pPr>
        <w:pStyle w:val="TOC2"/>
        <w:rPr>
          <w:rFonts w:asciiTheme="minorHAnsi" w:hAnsiTheme="minorHAnsi"/>
          <w:noProof/>
          <w:color w:val="auto"/>
          <w:sz w:val="24"/>
        </w:rPr>
      </w:pPr>
      <w:hyperlink w:anchor="_Toc237663604" w:history="1">
        <w:r w:rsidRPr="00116326">
          <w:rPr>
            <w:rStyle w:val="Hyperlink"/>
            <w:noProof/>
          </w:rPr>
          <w:t>Article 54A: The Good Faith Exception</w:t>
        </w:r>
        <w:r>
          <w:rPr>
            <w:noProof/>
            <w:webHidden/>
          </w:rPr>
          <w:tab/>
        </w:r>
        <w:r>
          <w:rPr>
            <w:noProof/>
            <w:webHidden/>
          </w:rPr>
          <w:fldChar w:fldCharType="begin"/>
        </w:r>
        <w:r>
          <w:rPr>
            <w:noProof/>
            <w:webHidden/>
          </w:rPr>
          <w:instrText xml:space="preserve"> PAGEREF _Toc237663604 \h </w:instrText>
        </w:r>
        <w:r>
          <w:rPr>
            <w:noProof/>
            <w:webHidden/>
          </w:rPr>
        </w:r>
        <w:r>
          <w:rPr>
            <w:noProof/>
            <w:webHidden/>
          </w:rPr>
          <w:fldChar w:fldCharType="separate"/>
        </w:r>
        <w:r>
          <w:rPr>
            <w:noProof/>
            <w:webHidden/>
          </w:rPr>
          <w:t>50</w:t>
        </w:r>
        <w:r>
          <w:rPr>
            <w:noProof/>
            <w:webHidden/>
          </w:rPr>
          <w:fldChar w:fldCharType="end"/>
        </w:r>
      </w:hyperlink>
    </w:p>
    <w:p w14:paraId="793DBAD9" w14:textId="1A754E45" w:rsidR="006648B0" w:rsidRDefault="006648B0">
      <w:pPr>
        <w:pStyle w:val="TOC2"/>
        <w:rPr>
          <w:rFonts w:asciiTheme="minorHAnsi" w:hAnsiTheme="minorHAnsi"/>
          <w:noProof/>
          <w:color w:val="auto"/>
          <w:sz w:val="24"/>
        </w:rPr>
      </w:pPr>
      <w:hyperlink w:anchor="_Toc237663605" w:history="1">
        <w:r w:rsidRPr="00116326">
          <w:rPr>
            <w:rStyle w:val="Hyperlink"/>
            <w:noProof/>
          </w:rPr>
          <w:t>Article 54B: Quiet Periods</w:t>
        </w:r>
        <w:r>
          <w:rPr>
            <w:noProof/>
            <w:webHidden/>
          </w:rPr>
          <w:tab/>
        </w:r>
        <w:r>
          <w:rPr>
            <w:noProof/>
            <w:webHidden/>
          </w:rPr>
          <w:fldChar w:fldCharType="begin"/>
        </w:r>
        <w:r>
          <w:rPr>
            <w:noProof/>
            <w:webHidden/>
          </w:rPr>
          <w:instrText xml:space="preserve"> PAGEREF _Toc237663605 \h </w:instrText>
        </w:r>
        <w:r>
          <w:rPr>
            <w:noProof/>
            <w:webHidden/>
          </w:rPr>
        </w:r>
        <w:r>
          <w:rPr>
            <w:noProof/>
            <w:webHidden/>
          </w:rPr>
          <w:fldChar w:fldCharType="separate"/>
        </w:r>
        <w:r>
          <w:rPr>
            <w:noProof/>
            <w:webHidden/>
          </w:rPr>
          <w:t>51</w:t>
        </w:r>
        <w:r>
          <w:rPr>
            <w:noProof/>
            <w:webHidden/>
          </w:rPr>
          <w:fldChar w:fldCharType="end"/>
        </w:r>
      </w:hyperlink>
    </w:p>
    <w:p w14:paraId="5036110A" w14:textId="726A121F" w:rsidR="006648B0" w:rsidRDefault="006648B0">
      <w:pPr>
        <w:pStyle w:val="TOC2"/>
        <w:rPr>
          <w:rFonts w:asciiTheme="minorHAnsi" w:hAnsiTheme="minorHAnsi"/>
          <w:noProof/>
          <w:color w:val="auto"/>
          <w:sz w:val="24"/>
        </w:rPr>
      </w:pPr>
      <w:hyperlink w:anchor="_Toc237663606" w:history="1">
        <w:r w:rsidRPr="00116326">
          <w:rPr>
            <w:rStyle w:val="Hyperlink"/>
            <w:noProof/>
          </w:rPr>
          <w:t>Article 55: Red Team, Benchmarks, and Phase Assessment</w:t>
        </w:r>
        <w:r>
          <w:rPr>
            <w:noProof/>
            <w:webHidden/>
          </w:rPr>
          <w:tab/>
        </w:r>
        <w:r>
          <w:rPr>
            <w:noProof/>
            <w:webHidden/>
          </w:rPr>
          <w:fldChar w:fldCharType="begin"/>
        </w:r>
        <w:r>
          <w:rPr>
            <w:noProof/>
            <w:webHidden/>
          </w:rPr>
          <w:instrText xml:space="preserve"> PAGEREF _Toc237663606 \h </w:instrText>
        </w:r>
        <w:r>
          <w:rPr>
            <w:noProof/>
            <w:webHidden/>
          </w:rPr>
        </w:r>
        <w:r>
          <w:rPr>
            <w:noProof/>
            <w:webHidden/>
          </w:rPr>
          <w:fldChar w:fldCharType="separate"/>
        </w:r>
        <w:r>
          <w:rPr>
            <w:noProof/>
            <w:webHidden/>
          </w:rPr>
          <w:t>51</w:t>
        </w:r>
        <w:r>
          <w:rPr>
            <w:noProof/>
            <w:webHidden/>
          </w:rPr>
          <w:fldChar w:fldCharType="end"/>
        </w:r>
      </w:hyperlink>
    </w:p>
    <w:p w14:paraId="4538905D" w14:textId="1DC945BF" w:rsidR="006648B0" w:rsidRDefault="006648B0">
      <w:pPr>
        <w:pStyle w:val="TOC2"/>
        <w:rPr>
          <w:rFonts w:asciiTheme="minorHAnsi" w:hAnsiTheme="minorHAnsi"/>
          <w:noProof/>
          <w:color w:val="auto"/>
          <w:sz w:val="24"/>
        </w:rPr>
      </w:pPr>
      <w:hyperlink w:anchor="_Toc237663607" w:history="1">
        <w:r w:rsidRPr="00116326">
          <w:rPr>
            <w:rStyle w:val="Hyperlink"/>
            <w:noProof/>
          </w:rPr>
          <w:t>Article 56: The Summary Operating Principles</w:t>
        </w:r>
        <w:r>
          <w:rPr>
            <w:noProof/>
            <w:webHidden/>
          </w:rPr>
          <w:tab/>
        </w:r>
        <w:r>
          <w:rPr>
            <w:noProof/>
            <w:webHidden/>
          </w:rPr>
          <w:fldChar w:fldCharType="begin"/>
        </w:r>
        <w:r>
          <w:rPr>
            <w:noProof/>
            <w:webHidden/>
          </w:rPr>
          <w:instrText xml:space="preserve"> PAGEREF _Toc237663607 \h </w:instrText>
        </w:r>
        <w:r>
          <w:rPr>
            <w:noProof/>
            <w:webHidden/>
          </w:rPr>
        </w:r>
        <w:r>
          <w:rPr>
            <w:noProof/>
            <w:webHidden/>
          </w:rPr>
          <w:fldChar w:fldCharType="separate"/>
        </w:r>
        <w:r>
          <w:rPr>
            <w:noProof/>
            <w:webHidden/>
          </w:rPr>
          <w:t>51</w:t>
        </w:r>
        <w:r>
          <w:rPr>
            <w:noProof/>
            <w:webHidden/>
          </w:rPr>
          <w:fldChar w:fldCharType="end"/>
        </w:r>
      </w:hyperlink>
    </w:p>
    <w:p w14:paraId="2607108F" w14:textId="13A7EC31" w:rsidR="006648B0" w:rsidRDefault="006648B0">
      <w:pPr>
        <w:pStyle w:val="TOC1"/>
        <w:rPr>
          <w:rFonts w:asciiTheme="minorHAnsi" w:hAnsiTheme="minorHAnsi"/>
          <w:b w:val="0"/>
          <w:noProof/>
          <w:color w:val="auto"/>
          <w:sz w:val="24"/>
        </w:rPr>
      </w:pPr>
      <w:hyperlink w:anchor="_Toc237663608" w:history="1">
        <w:r w:rsidRPr="00116326">
          <w:rPr>
            <w:rStyle w:val="Hyperlink"/>
            <w:noProof/>
          </w:rPr>
          <w:t>LAYER THREE: IMPLEMENTATION, SEQUENCING, AND ENFORCEMENT</w:t>
        </w:r>
        <w:r>
          <w:rPr>
            <w:noProof/>
            <w:webHidden/>
          </w:rPr>
          <w:tab/>
        </w:r>
        <w:r>
          <w:rPr>
            <w:noProof/>
            <w:webHidden/>
          </w:rPr>
          <w:fldChar w:fldCharType="begin"/>
        </w:r>
        <w:r>
          <w:rPr>
            <w:noProof/>
            <w:webHidden/>
          </w:rPr>
          <w:instrText xml:space="preserve"> PAGEREF _Toc237663608 \h </w:instrText>
        </w:r>
        <w:r>
          <w:rPr>
            <w:noProof/>
            <w:webHidden/>
          </w:rPr>
        </w:r>
        <w:r>
          <w:rPr>
            <w:noProof/>
            <w:webHidden/>
          </w:rPr>
          <w:fldChar w:fldCharType="separate"/>
        </w:r>
        <w:r>
          <w:rPr>
            <w:noProof/>
            <w:webHidden/>
          </w:rPr>
          <w:t>53</w:t>
        </w:r>
        <w:r>
          <w:rPr>
            <w:noProof/>
            <w:webHidden/>
          </w:rPr>
          <w:fldChar w:fldCharType="end"/>
        </w:r>
      </w:hyperlink>
    </w:p>
    <w:p w14:paraId="78131071" w14:textId="65A8B0E3" w:rsidR="006648B0" w:rsidRDefault="006648B0">
      <w:pPr>
        <w:pStyle w:val="TOC2"/>
        <w:rPr>
          <w:rFonts w:asciiTheme="minorHAnsi" w:hAnsiTheme="minorHAnsi"/>
          <w:noProof/>
          <w:color w:val="auto"/>
          <w:sz w:val="24"/>
        </w:rPr>
      </w:pPr>
      <w:hyperlink w:anchor="_Toc237663609" w:history="1">
        <w:r w:rsidRPr="00116326">
          <w:rPr>
            <w:rStyle w:val="Hyperlink"/>
            <w:noProof/>
          </w:rPr>
          <w:t>Article 57: The Executive Mechanism (Joint Implementation Commission)</w:t>
        </w:r>
        <w:r>
          <w:rPr>
            <w:noProof/>
            <w:webHidden/>
          </w:rPr>
          <w:tab/>
        </w:r>
        <w:r>
          <w:rPr>
            <w:noProof/>
            <w:webHidden/>
          </w:rPr>
          <w:fldChar w:fldCharType="begin"/>
        </w:r>
        <w:r>
          <w:rPr>
            <w:noProof/>
            <w:webHidden/>
          </w:rPr>
          <w:instrText xml:space="preserve"> PAGEREF _Toc237663609 \h </w:instrText>
        </w:r>
        <w:r>
          <w:rPr>
            <w:noProof/>
            <w:webHidden/>
          </w:rPr>
        </w:r>
        <w:r>
          <w:rPr>
            <w:noProof/>
            <w:webHidden/>
          </w:rPr>
          <w:fldChar w:fldCharType="separate"/>
        </w:r>
        <w:r>
          <w:rPr>
            <w:noProof/>
            <w:webHidden/>
          </w:rPr>
          <w:t>53</w:t>
        </w:r>
        <w:r>
          <w:rPr>
            <w:noProof/>
            <w:webHidden/>
          </w:rPr>
          <w:fldChar w:fldCharType="end"/>
        </w:r>
      </w:hyperlink>
    </w:p>
    <w:p w14:paraId="0E6ABEBB" w14:textId="1F15CE3D" w:rsidR="006648B0" w:rsidRDefault="006648B0">
      <w:pPr>
        <w:pStyle w:val="TOC2"/>
        <w:rPr>
          <w:rFonts w:asciiTheme="minorHAnsi" w:hAnsiTheme="minorHAnsi"/>
          <w:noProof/>
          <w:color w:val="auto"/>
          <w:sz w:val="24"/>
        </w:rPr>
      </w:pPr>
      <w:hyperlink w:anchor="_Toc237663610" w:history="1">
        <w:r w:rsidRPr="00116326">
          <w:rPr>
            <w:rStyle w:val="Hyperlink"/>
            <w:noProof/>
          </w:rPr>
          <w:t>Article 57A: The Architecture Health Monitor</w:t>
        </w:r>
        <w:r>
          <w:rPr>
            <w:noProof/>
            <w:webHidden/>
          </w:rPr>
          <w:tab/>
        </w:r>
        <w:r>
          <w:rPr>
            <w:noProof/>
            <w:webHidden/>
          </w:rPr>
          <w:fldChar w:fldCharType="begin"/>
        </w:r>
        <w:r>
          <w:rPr>
            <w:noProof/>
            <w:webHidden/>
          </w:rPr>
          <w:instrText xml:space="preserve"> PAGEREF _Toc237663610 \h </w:instrText>
        </w:r>
        <w:r>
          <w:rPr>
            <w:noProof/>
            <w:webHidden/>
          </w:rPr>
        </w:r>
        <w:r>
          <w:rPr>
            <w:noProof/>
            <w:webHidden/>
          </w:rPr>
          <w:fldChar w:fldCharType="separate"/>
        </w:r>
        <w:r>
          <w:rPr>
            <w:noProof/>
            <w:webHidden/>
          </w:rPr>
          <w:t>53</w:t>
        </w:r>
        <w:r>
          <w:rPr>
            <w:noProof/>
            <w:webHidden/>
          </w:rPr>
          <w:fldChar w:fldCharType="end"/>
        </w:r>
      </w:hyperlink>
    </w:p>
    <w:p w14:paraId="3023D331" w14:textId="64DF649D" w:rsidR="006648B0" w:rsidRDefault="006648B0">
      <w:pPr>
        <w:pStyle w:val="TOC2"/>
        <w:rPr>
          <w:rFonts w:asciiTheme="minorHAnsi" w:hAnsiTheme="minorHAnsi"/>
          <w:noProof/>
          <w:color w:val="auto"/>
          <w:sz w:val="24"/>
        </w:rPr>
      </w:pPr>
      <w:hyperlink w:anchor="_Toc237663611" w:history="1">
        <w:r w:rsidRPr="00116326">
          <w:rPr>
            <w:rStyle w:val="Hyperlink"/>
            <w:noProof/>
          </w:rPr>
          <w:t>Article 57B: The Neutrality Cluster Mesh</w:t>
        </w:r>
        <w:r>
          <w:rPr>
            <w:noProof/>
            <w:webHidden/>
          </w:rPr>
          <w:tab/>
        </w:r>
        <w:r>
          <w:rPr>
            <w:noProof/>
            <w:webHidden/>
          </w:rPr>
          <w:fldChar w:fldCharType="begin"/>
        </w:r>
        <w:r>
          <w:rPr>
            <w:noProof/>
            <w:webHidden/>
          </w:rPr>
          <w:instrText xml:space="preserve"> PAGEREF _Toc237663611 \h </w:instrText>
        </w:r>
        <w:r>
          <w:rPr>
            <w:noProof/>
            <w:webHidden/>
          </w:rPr>
        </w:r>
        <w:r>
          <w:rPr>
            <w:noProof/>
            <w:webHidden/>
          </w:rPr>
          <w:fldChar w:fldCharType="separate"/>
        </w:r>
        <w:r>
          <w:rPr>
            <w:noProof/>
            <w:webHidden/>
          </w:rPr>
          <w:t>54</w:t>
        </w:r>
        <w:r>
          <w:rPr>
            <w:noProof/>
            <w:webHidden/>
          </w:rPr>
          <w:fldChar w:fldCharType="end"/>
        </w:r>
      </w:hyperlink>
    </w:p>
    <w:p w14:paraId="6969CEAC" w14:textId="1F84A600" w:rsidR="006648B0" w:rsidRDefault="006648B0">
      <w:pPr>
        <w:pStyle w:val="TOC2"/>
        <w:rPr>
          <w:rFonts w:asciiTheme="minorHAnsi" w:hAnsiTheme="minorHAnsi"/>
          <w:noProof/>
          <w:color w:val="auto"/>
          <w:sz w:val="24"/>
        </w:rPr>
      </w:pPr>
      <w:hyperlink w:anchor="_Toc237663612" w:history="1">
        <w:r w:rsidRPr="00116326">
          <w:rPr>
            <w:rStyle w:val="Hyperlink"/>
            <w:noProof/>
          </w:rPr>
          <w:t>Article 57C: The Weak Links Architecture</w:t>
        </w:r>
        <w:r>
          <w:rPr>
            <w:noProof/>
            <w:webHidden/>
          </w:rPr>
          <w:tab/>
        </w:r>
        <w:r>
          <w:rPr>
            <w:noProof/>
            <w:webHidden/>
          </w:rPr>
          <w:fldChar w:fldCharType="begin"/>
        </w:r>
        <w:r>
          <w:rPr>
            <w:noProof/>
            <w:webHidden/>
          </w:rPr>
          <w:instrText xml:space="preserve"> PAGEREF _Toc237663612 \h </w:instrText>
        </w:r>
        <w:r>
          <w:rPr>
            <w:noProof/>
            <w:webHidden/>
          </w:rPr>
        </w:r>
        <w:r>
          <w:rPr>
            <w:noProof/>
            <w:webHidden/>
          </w:rPr>
          <w:fldChar w:fldCharType="separate"/>
        </w:r>
        <w:r>
          <w:rPr>
            <w:noProof/>
            <w:webHidden/>
          </w:rPr>
          <w:t>54</w:t>
        </w:r>
        <w:r>
          <w:rPr>
            <w:noProof/>
            <w:webHidden/>
          </w:rPr>
          <w:fldChar w:fldCharType="end"/>
        </w:r>
      </w:hyperlink>
    </w:p>
    <w:p w14:paraId="1B2A8E74" w14:textId="58C059F7" w:rsidR="006648B0" w:rsidRDefault="006648B0">
      <w:pPr>
        <w:pStyle w:val="TOC2"/>
        <w:rPr>
          <w:rFonts w:asciiTheme="minorHAnsi" w:hAnsiTheme="minorHAnsi"/>
          <w:noProof/>
          <w:color w:val="auto"/>
          <w:sz w:val="24"/>
        </w:rPr>
      </w:pPr>
      <w:hyperlink w:anchor="_Toc237663613" w:history="1">
        <w:r w:rsidRPr="00116326">
          <w:rPr>
            <w:rStyle w:val="Hyperlink"/>
            <w:noProof/>
          </w:rPr>
          <w:t>Article 57D: The Cold Data Reserve</w:t>
        </w:r>
        <w:r>
          <w:rPr>
            <w:noProof/>
            <w:webHidden/>
          </w:rPr>
          <w:tab/>
        </w:r>
        <w:r>
          <w:rPr>
            <w:noProof/>
            <w:webHidden/>
          </w:rPr>
          <w:fldChar w:fldCharType="begin"/>
        </w:r>
        <w:r>
          <w:rPr>
            <w:noProof/>
            <w:webHidden/>
          </w:rPr>
          <w:instrText xml:space="preserve"> PAGEREF _Toc237663613 \h </w:instrText>
        </w:r>
        <w:r>
          <w:rPr>
            <w:noProof/>
            <w:webHidden/>
          </w:rPr>
        </w:r>
        <w:r>
          <w:rPr>
            <w:noProof/>
            <w:webHidden/>
          </w:rPr>
          <w:fldChar w:fldCharType="separate"/>
        </w:r>
        <w:r>
          <w:rPr>
            <w:noProof/>
            <w:webHidden/>
          </w:rPr>
          <w:t>54</w:t>
        </w:r>
        <w:r>
          <w:rPr>
            <w:noProof/>
            <w:webHidden/>
          </w:rPr>
          <w:fldChar w:fldCharType="end"/>
        </w:r>
      </w:hyperlink>
    </w:p>
    <w:p w14:paraId="4AA7B62E" w14:textId="7D6C5E51" w:rsidR="006648B0" w:rsidRDefault="006648B0">
      <w:pPr>
        <w:pStyle w:val="TOC2"/>
        <w:rPr>
          <w:rFonts w:asciiTheme="minorHAnsi" w:hAnsiTheme="minorHAnsi"/>
          <w:noProof/>
          <w:color w:val="auto"/>
          <w:sz w:val="24"/>
        </w:rPr>
      </w:pPr>
      <w:hyperlink w:anchor="_Toc237663614" w:history="1">
        <w:r w:rsidRPr="00116326">
          <w:rPr>
            <w:rStyle w:val="Hyperlink"/>
            <w:noProof/>
          </w:rPr>
          <w:t>Article 58: The Master Sequencing Calendar</w:t>
        </w:r>
        <w:r>
          <w:rPr>
            <w:noProof/>
            <w:webHidden/>
          </w:rPr>
          <w:tab/>
        </w:r>
        <w:r>
          <w:rPr>
            <w:noProof/>
            <w:webHidden/>
          </w:rPr>
          <w:fldChar w:fldCharType="begin"/>
        </w:r>
        <w:r>
          <w:rPr>
            <w:noProof/>
            <w:webHidden/>
          </w:rPr>
          <w:instrText xml:space="preserve"> PAGEREF _Toc237663614 \h </w:instrText>
        </w:r>
        <w:r>
          <w:rPr>
            <w:noProof/>
            <w:webHidden/>
          </w:rPr>
        </w:r>
        <w:r>
          <w:rPr>
            <w:noProof/>
            <w:webHidden/>
          </w:rPr>
          <w:fldChar w:fldCharType="separate"/>
        </w:r>
        <w:r>
          <w:rPr>
            <w:noProof/>
            <w:webHidden/>
          </w:rPr>
          <w:t>54</w:t>
        </w:r>
        <w:r>
          <w:rPr>
            <w:noProof/>
            <w:webHidden/>
          </w:rPr>
          <w:fldChar w:fldCharType="end"/>
        </w:r>
      </w:hyperlink>
    </w:p>
    <w:p w14:paraId="1F04EBD6" w14:textId="4A7BE81A" w:rsidR="006648B0" w:rsidRDefault="006648B0">
      <w:pPr>
        <w:pStyle w:val="TOC2"/>
        <w:rPr>
          <w:rFonts w:asciiTheme="minorHAnsi" w:hAnsiTheme="minorHAnsi"/>
          <w:noProof/>
          <w:color w:val="auto"/>
          <w:sz w:val="24"/>
        </w:rPr>
      </w:pPr>
      <w:hyperlink w:anchor="_Toc237663615" w:history="1">
        <w:r w:rsidRPr="00116326">
          <w:rPr>
            <w:rStyle w:val="Hyperlink"/>
            <w:noProof/>
          </w:rPr>
          <w:t>Article 58A: The Simultaneous First Step Protocol</w:t>
        </w:r>
        <w:r>
          <w:rPr>
            <w:noProof/>
            <w:webHidden/>
          </w:rPr>
          <w:tab/>
        </w:r>
        <w:r>
          <w:rPr>
            <w:noProof/>
            <w:webHidden/>
          </w:rPr>
          <w:fldChar w:fldCharType="begin"/>
        </w:r>
        <w:r>
          <w:rPr>
            <w:noProof/>
            <w:webHidden/>
          </w:rPr>
          <w:instrText xml:space="preserve"> PAGEREF _Toc237663615 \h </w:instrText>
        </w:r>
        <w:r>
          <w:rPr>
            <w:noProof/>
            <w:webHidden/>
          </w:rPr>
        </w:r>
        <w:r>
          <w:rPr>
            <w:noProof/>
            <w:webHidden/>
          </w:rPr>
          <w:fldChar w:fldCharType="separate"/>
        </w:r>
        <w:r>
          <w:rPr>
            <w:noProof/>
            <w:webHidden/>
          </w:rPr>
          <w:t>55</w:t>
        </w:r>
        <w:r>
          <w:rPr>
            <w:noProof/>
            <w:webHidden/>
          </w:rPr>
          <w:fldChar w:fldCharType="end"/>
        </w:r>
      </w:hyperlink>
    </w:p>
    <w:p w14:paraId="1AD84484" w14:textId="7A71692E" w:rsidR="006648B0" w:rsidRDefault="006648B0">
      <w:pPr>
        <w:pStyle w:val="TOC2"/>
        <w:rPr>
          <w:rFonts w:asciiTheme="minorHAnsi" w:hAnsiTheme="minorHAnsi"/>
          <w:noProof/>
          <w:color w:val="auto"/>
          <w:sz w:val="24"/>
        </w:rPr>
      </w:pPr>
      <w:hyperlink w:anchor="_Toc237663616" w:history="1">
        <w:r w:rsidRPr="00116326">
          <w:rPr>
            <w:rStyle w:val="Hyperlink"/>
            <w:noProof/>
          </w:rPr>
          <w:t>Article 58B: The Interlocking Commitment Sequence</w:t>
        </w:r>
        <w:r>
          <w:rPr>
            <w:noProof/>
            <w:webHidden/>
          </w:rPr>
          <w:tab/>
        </w:r>
        <w:r>
          <w:rPr>
            <w:noProof/>
            <w:webHidden/>
          </w:rPr>
          <w:fldChar w:fldCharType="begin"/>
        </w:r>
        <w:r>
          <w:rPr>
            <w:noProof/>
            <w:webHidden/>
          </w:rPr>
          <w:instrText xml:space="preserve"> PAGEREF _Toc237663616 \h </w:instrText>
        </w:r>
        <w:r>
          <w:rPr>
            <w:noProof/>
            <w:webHidden/>
          </w:rPr>
        </w:r>
        <w:r>
          <w:rPr>
            <w:noProof/>
            <w:webHidden/>
          </w:rPr>
          <w:fldChar w:fldCharType="separate"/>
        </w:r>
        <w:r>
          <w:rPr>
            <w:noProof/>
            <w:webHidden/>
          </w:rPr>
          <w:t>56</w:t>
        </w:r>
        <w:r>
          <w:rPr>
            <w:noProof/>
            <w:webHidden/>
          </w:rPr>
          <w:fldChar w:fldCharType="end"/>
        </w:r>
      </w:hyperlink>
    </w:p>
    <w:p w14:paraId="75C93246" w14:textId="17DB1E51" w:rsidR="006648B0" w:rsidRDefault="006648B0">
      <w:pPr>
        <w:pStyle w:val="TOC2"/>
        <w:rPr>
          <w:rFonts w:asciiTheme="minorHAnsi" w:hAnsiTheme="minorHAnsi"/>
          <w:noProof/>
          <w:color w:val="auto"/>
          <w:sz w:val="24"/>
        </w:rPr>
      </w:pPr>
      <w:hyperlink w:anchor="_Toc237663617" w:history="1">
        <w:r w:rsidRPr="00116326">
          <w:rPr>
            <w:rStyle w:val="Hyperlink"/>
            <w:noProof/>
          </w:rPr>
          <w:t>Article 59: The Reciprocity Ledger</w:t>
        </w:r>
        <w:r>
          <w:rPr>
            <w:noProof/>
            <w:webHidden/>
          </w:rPr>
          <w:tab/>
        </w:r>
        <w:r>
          <w:rPr>
            <w:noProof/>
            <w:webHidden/>
          </w:rPr>
          <w:fldChar w:fldCharType="begin"/>
        </w:r>
        <w:r>
          <w:rPr>
            <w:noProof/>
            <w:webHidden/>
          </w:rPr>
          <w:instrText xml:space="preserve"> PAGEREF _Toc237663617 \h </w:instrText>
        </w:r>
        <w:r>
          <w:rPr>
            <w:noProof/>
            <w:webHidden/>
          </w:rPr>
        </w:r>
        <w:r>
          <w:rPr>
            <w:noProof/>
            <w:webHidden/>
          </w:rPr>
          <w:fldChar w:fldCharType="separate"/>
        </w:r>
        <w:r>
          <w:rPr>
            <w:noProof/>
            <w:webHidden/>
          </w:rPr>
          <w:t>56</w:t>
        </w:r>
        <w:r>
          <w:rPr>
            <w:noProof/>
            <w:webHidden/>
          </w:rPr>
          <w:fldChar w:fldCharType="end"/>
        </w:r>
      </w:hyperlink>
    </w:p>
    <w:p w14:paraId="429A9BB8" w14:textId="03F34990" w:rsidR="006648B0" w:rsidRDefault="006648B0">
      <w:pPr>
        <w:pStyle w:val="TOC2"/>
        <w:rPr>
          <w:rFonts w:asciiTheme="minorHAnsi" w:hAnsiTheme="minorHAnsi"/>
          <w:noProof/>
          <w:color w:val="auto"/>
          <w:sz w:val="24"/>
        </w:rPr>
      </w:pPr>
      <w:hyperlink w:anchor="_Toc237663618" w:history="1">
        <w:r w:rsidRPr="00116326">
          <w:rPr>
            <w:rStyle w:val="Hyperlink"/>
            <w:noProof/>
          </w:rPr>
          <w:t>Article 59A: The Forward Drift Archive</w:t>
        </w:r>
        <w:r>
          <w:rPr>
            <w:noProof/>
            <w:webHidden/>
          </w:rPr>
          <w:tab/>
        </w:r>
        <w:r>
          <w:rPr>
            <w:noProof/>
            <w:webHidden/>
          </w:rPr>
          <w:fldChar w:fldCharType="begin"/>
        </w:r>
        <w:r>
          <w:rPr>
            <w:noProof/>
            <w:webHidden/>
          </w:rPr>
          <w:instrText xml:space="preserve"> PAGEREF _Toc237663618 \h </w:instrText>
        </w:r>
        <w:r>
          <w:rPr>
            <w:noProof/>
            <w:webHidden/>
          </w:rPr>
        </w:r>
        <w:r>
          <w:rPr>
            <w:noProof/>
            <w:webHidden/>
          </w:rPr>
          <w:fldChar w:fldCharType="separate"/>
        </w:r>
        <w:r>
          <w:rPr>
            <w:noProof/>
            <w:webHidden/>
          </w:rPr>
          <w:t>56</w:t>
        </w:r>
        <w:r>
          <w:rPr>
            <w:noProof/>
            <w:webHidden/>
          </w:rPr>
          <w:fldChar w:fldCharType="end"/>
        </w:r>
      </w:hyperlink>
    </w:p>
    <w:p w14:paraId="4054B816" w14:textId="38B68E37" w:rsidR="006648B0" w:rsidRDefault="006648B0">
      <w:pPr>
        <w:pStyle w:val="TOC2"/>
        <w:rPr>
          <w:rFonts w:asciiTheme="minorHAnsi" w:hAnsiTheme="minorHAnsi"/>
          <w:noProof/>
          <w:color w:val="auto"/>
          <w:sz w:val="24"/>
        </w:rPr>
      </w:pPr>
      <w:hyperlink w:anchor="_Toc237663619" w:history="1">
        <w:r w:rsidRPr="00116326">
          <w:rPr>
            <w:rStyle w:val="Hyperlink"/>
            <w:noProof/>
          </w:rPr>
          <w:t>Article 60: The Dispute Resolution Ladder</w:t>
        </w:r>
        <w:r>
          <w:rPr>
            <w:noProof/>
            <w:webHidden/>
          </w:rPr>
          <w:tab/>
        </w:r>
        <w:r>
          <w:rPr>
            <w:noProof/>
            <w:webHidden/>
          </w:rPr>
          <w:fldChar w:fldCharType="begin"/>
        </w:r>
        <w:r>
          <w:rPr>
            <w:noProof/>
            <w:webHidden/>
          </w:rPr>
          <w:instrText xml:space="preserve"> PAGEREF _Toc237663619 \h </w:instrText>
        </w:r>
        <w:r>
          <w:rPr>
            <w:noProof/>
            <w:webHidden/>
          </w:rPr>
        </w:r>
        <w:r>
          <w:rPr>
            <w:noProof/>
            <w:webHidden/>
          </w:rPr>
          <w:fldChar w:fldCharType="separate"/>
        </w:r>
        <w:r>
          <w:rPr>
            <w:noProof/>
            <w:webHidden/>
          </w:rPr>
          <w:t>57</w:t>
        </w:r>
        <w:r>
          <w:rPr>
            <w:noProof/>
            <w:webHidden/>
          </w:rPr>
          <w:fldChar w:fldCharType="end"/>
        </w:r>
      </w:hyperlink>
    </w:p>
    <w:p w14:paraId="0D270075" w14:textId="50D040F7" w:rsidR="006648B0" w:rsidRDefault="006648B0">
      <w:pPr>
        <w:pStyle w:val="TOC2"/>
        <w:rPr>
          <w:rFonts w:asciiTheme="minorHAnsi" w:hAnsiTheme="minorHAnsi"/>
          <w:noProof/>
          <w:color w:val="auto"/>
          <w:sz w:val="24"/>
        </w:rPr>
      </w:pPr>
      <w:hyperlink w:anchor="_Toc237663620" w:history="1">
        <w:r w:rsidRPr="00116326">
          <w:rPr>
            <w:rStyle w:val="Hyperlink"/>
            <w:noProof/>
          </w:rPr>
          <w:t>Article 60A: The Good Faith Pause</w:t>
        </w:r>
        <w:r>
          <w:rPr>
            <w:noProof/>
            <w:webHidden/>
          </w:rPr>
          <w:tab/>
        </w:r>
        <w:r>
          <w:rPr>
            <w:noProof/>
            <w:webHidden/>
          </w:rPr>
          <w:fldChar w:fldCharType="begin"/>
        </w:r>
        <w:r>
          <w:rPr>
            <w:noProof/>
            <w:webHidden/>
          </w:rPr>
          <w:instrText xml:space="preserve"> PAGEREF _Toc237663620 \h </w:instrText>
        </w:r>
        <w:r>
          <w:rPr>
            <w:noProof/>
            <w:webHidden/>
          </w:rPr>
        </w:r>
        <w:r>
          <w:rPr>
            <w:noProof/>
            <w:webHidden/>
          </w:rPr>
          <w:fldChar w:fldCharType="separate"/>
        </w:r>
        <w:r>
          <w:rPr>
            <w:noProof/>
            <w:webHidden/>
          </w:rPr>
          <w:t>57</w:t>
        </w:r>
        <w:r>
          <w:rPr>
            <w:noProof/>
            <w:webHidden/>
          </w:rPr>
          <w:fldChar w:fldCharType="end"/>
        </w:r>
      </w:hyperlink>
    </w:p>
    <w:p w14:paraId="2C494187" w14:textId="554C01A9" w:rsidR="006648B0" w:rsidRDefault="006648B0">
      <w:pPr>
        <w:pStyle w:val="TOC2"/>
        <w:rPr>
          <w:rFonts w:asciiTheme="minorHAnsi" w:hAnsiTheme="minorHAnsi"/>
          <w:noProof/>
          <w:color w:val="auto"/>
          <w:sz w:val="24"/>
        </w:rPr>
      </w:pPr>
      <w:hyperlink w:anchor="_Toc237663621" w:history="1">
        <w:r w:rsidRPr="00116326">
          <w:rPr>
            <w:rStyle w:val="Hyperlink"/>
            <w:noProof/>
          </w:rPr>
          <w:t>Article 61: The Nofade Guarantee (Standing Continuity)</w:t>
        </w:r>
        <w:r>
          <w:rPr>
            <w:noProof/>
            <w:webHidden/>
          </w:rPr>
          <w:tab/>
        </w:r>
        <w:r>
          <w:rPr>
            <w:noProof/>
            <w:webHidden/>
          </w:rPr>
          <w:fldChar w:fldCharType="begin"/>
        </w:r>
        <w:r>
          <w:rPr>
            <w:noProof/>
            <w:webHidden/>
          </w:rPr>
          <w:instrText xml:space="preserve"> PAGEREF _Toc237663621 \h </w:instrText>
        </w:r>
        <w:r>
          <w:rPr>
            <w:noProof/>
            <w:webHidden/>
          </w:rPr>
        </w:r>
        <w:r>
          <w:rPr>
            <w:noProof/>
            <w:webHidden/>
          </w:rPr>
          <w:fldChar w:fldCharType="separate"/>
        </w:r>
        <w:r>
          <w:rPr>
            <w:noProof/>
            <w:webHidden/>
          </w:rPr>
          <w:t>57</w:t>
        </w:r>
        <w:r>
          <w:rPr>
            <w:noProof/>
            <w:webHidden/>
          </w:rPr>
          <w:fldChar w:fldCharType="end"/>
        </w:r>
      </w:hyperlink>
    </w:p>
    <w:p w14:paraId="1163944A" w14:textId="76A4761F" w:rsidR="006648B0" w:rsidRDefault="006648B0">
      <w:pPr>
        <w:pStyle w:val="TOC1"/>
        <w:rPr>
          <w:rFonts w:asciiTheme="minorHAnsi" w:hAnsiTheme="minorHAnsi"/>
          <w:b w:val="0"/>
          <w:noProof/>
          <w:color w:val="auto"/>
          <w:sz w:val="24"/>
        </w:rPr>
      </w:pPr>
      <w:hyperlink w:anchor="_Toc237663622" w:history="1">
        <w:r w:rsidRPr="00116326">
          <w:rPr>
            <w:rStyle w:val="Hyperlink"/>
            <w:noProof/>
          </w:rPr>
          <w:t>LAYER FOUR: INTERNATIONAL LEGAL RATIFICATION</w:t>
        </w:r>
        <w:r>
          <w:rPr>
            <w:noProof/>
            <w:webHidden/>
          </w:rPr>
          <w:tab/>
        </w:r>
        <w:r>
          <w:rPr>
            <w:noProof/>
            <w:webHidden/>
          </w:rPr>
          <w:fldChar w:fldCharType="begin"/>
        </w:r>
        <w:r>
          <w:rPr>
            <w:noProof/>
            <w:webHidden/>
          </w:rPr>
          <w:instrText xml:space="preserve"> PAGEREF _Toc237663622 \h </w:instrText>
        </w:r>
        <w:r>
          <w:rPr>
            <w:noProof/>
            <w:webHidden/>
          </w:rPr>
        </w:r>
        <w:r>
          <w:rPr>
            <w:noProof/>
            <w:webHidden/>
          </w:rPr>
          <w:fldChar w:fldCharType="separate"/>
        </w:r>
        <w:r>
          <w:rPr>
            <w:noProof/>
            <w:webHidden/>
          </w:rPr>
          <w:t>59</w:t>
        </w:r>
        <w:r>
          <w:rPr>
            <w:noProof/>
            <w:webHidden/>
          </w:rPr>
          <w:fldChar w:fldCharType="end"/>
        </w:r>
      </w:hyperlink>
    </w:p>
    <w:p w14:paraId="343C8FDC" w14:textId="2A6F878D" w:rsidR="006648B0" w:rsidRDefault="006648B0">
      <w:pPr>
        <w:pStyle w:val="TOC2"/>
        <w:rPr>
          <w:rFonts w:asciiTheme="minorHAnsi" w:hAnsiTheme="minorHAnsi"/>
          <w:noProof/>
          <w:color w:val="auto"/>
          <w:sz w:val="24"/>
        </w:rPr>
      </w:pPr>
      <w:hyperlink w:anchor="_Toc237663623" w:history="1">
        <w:r w:rsidRPr="00116326">
          <w:rPr>
            <w:rStyle w:val="Hyperlink"/>
            <w:noProof/>
          </w:rPr>
          <w:t>Article 62: The Binding United Nations Security Council Resolution</w:t>
        </w:r>
        <w:r>
          <w:rPr>
            <w:noProof/>
            <w:webHidden/>
          </w:rPr>
          <w:tab/>
        </w:r>
        <w:r>
          <w:rPr>
            <w:noProof/>
            <w:webHidden/>
          </w:rPr>
          <w:fldChar w:fldCharType="begin"/>
        </w:r>
        <w:r>
          <w:rPr>
            <w:noProof/>
            <w:webHidden/>
          </w:rPr>
          <w:instrText xml:space="preserve"> PAGEREF _Toc237663623 \h </w:instrText>
        </w:r>
        <w:r>
          <w:rPr>
            <w:noProof/>
            <w:webHidden/>
          </w:rPr>
        </w:r>
        <w:r>
          <w:rPr>
            <w:noProof/>
            <w:webHidden/>
          </w:rPr>
          <w:fldChar w:fldCharType="separate"/>
        </w:r>
        <w:r>
          <w:rPr>
            <w:noProof/>
            <w:webHidden/>
          </w:rPr>
          <w:t>59</w:t>
        </w:r>
        <w:r>
          <w:rPr>
            <w:noProof/>
            <w:webHidden/>
          </w:rPr>
          <w:fldChar w:fldCharType="end"/>
        </w:r>
      </w:hyperlink>
    </w:p>
    <w:p w14:paraId="1267AE83" w14:textId="5DD4FFCF" w:rsidR="006648B0" w:rsidRDefault="006648B0">
      <w:pPr>
        <w:pStyle w:val="TOC2"/>
        <w:rPr>
          <w:rFonts w:asciiTheme="minorHAnsi" w:hAnsiTheme="minorHAnsi"/>
          <w:noProof/>
          <w:color w:val="auto"/>
          <w:sz w:val="24"/>
        </w:rPr>
      </w:pPr>
      <w:hyperlink w:anchor="_Toc237663624" w:history="1">
        <w:r w:rsidRPr="00116326">
          <w:rPr>
            <w:rStyle w:val="Hyperlink"/>
            <w:noProof/>
          </w:rPr>
          <w:t>Article 63: The Depositary</w:t>
        </w:r>
        <w:r>
          <w:rPr>
            <w:noProof/>
            <w:webHidden/>
          </w:rPr>
          <w:tab/>
        </w:r>
        <w:r>
          <w:rPr>
            <w:noProof/>
            <w:webHidden/>
          </w:rPr>
          <w:fldChar w:fldCharType="begin"/>
        </w:r>
        <w:r>
          <w:rPr>
            <w:noProof/>
            <w:webHidden/>
          </w:rPr>
          <w:instrText xml:space="preserve"> PAGEREF _Toc237663624 \h </w:instrText>
        </w:r>
        <w:r>
          <w:rPr>
            <w:noProof/>
            <w:webHidden/>
          </w:rPr>
        </w:r>
        <w:r>
          <w:rPr>
            <w:noProof/>
            <w:webHidden/>
          </w:rPr>
          <w:fldChar w:fldCharType="separate"/>
        </w:r>
        <w:r>
          <w:rPr>
            <w:noProof/>
            <w:webHidden/>
          </w:rPr>
          <w:t>59</w:t>
        </w:r>
        <w:r>
          <w:rPr>
            <w:noProof/>
            <w:webHidden/>
          </w:rPr>
          <w:fldChar w:fldCharType="end"/>
        </w:r>
      </w:hyperlink>
    </w:p>
    <w:p w14:paraId="2E9E84EC" w14:textId="2D188E77" w:rsidR="006648B0" w:rsidRDefault="006648B0">
      <w:pPr>
        <w:pStyle w:val="TOC2"/>
        <w:rPr>
          <w:rFonts w:asciiTheme="minorHAnsi" w:hAnsiTheme="minorHAnsi"/>
          <w:noProof/>
          <w:color w:val="auto"/>
          <w:sz w:val="24"/>
        </w:rPr>
      </w:pPr>
      <w:hyperlink w:anchor="_Toc237663625" w:history="1">
        <w:r w:rsidRPr="00116326">
          <w:rPr>
            <w:rStyle w:val="Hyperlink"/>
            <w:noProof/>
          </w:rPr>
          <w:t>Article 64: Accession and Participation</w:t>
        </w:r>
        <w:r>
          <w:rPr>
            <w:noProof/>
            <w:webHidden/>
          </w:rPr>
          <w:tab/>
        </w:r>
        <w:r>
          <w:rPr>
            <w:noProof/>
            <w:webHidden/>
          </w:rPr>
          <w:fldChar w:fldCharType="begin"/>
        </w:r>
        <w:r>
          <w:rPr>
            <w:noProof/>
            <w:webHidden/>
          </w:rPr>
          <w:instrText xml:space="preserve"> PAGEREF _Toc237663625 \h </w:instrText>
        </w:r>
        <w:r>
          <w:rPr>
            <w:noProof/>
            <w:webHidden/>
          </w:rPr>
        </w:r>
        <w:r>
          <w:rPr>
            <w:noProof/>
            <w:webHidden/>
          </w:rPr>
          <w:fldChar w:fldCharType="separate"/>
        </w:r>
        <w:r>
          <w:rPr>
            <w:noProof/>
            <w:webHidden/>
          </w:rPr>
          <w:t>59</w:t>
        </w:r>
        <w:r>
          <w:rPr>
            <w:noProof/>
            <w:webHidden/>
          </w:rPr>
          <w:fldChar w:fldCharType="end"/>
        </w:r>
      </w:hyperlink>
    </w:p>
    <w:p w14:paraId="125E2775" w14:textId="7E7D7302" w:rsidR="006648B0" w:rsidRDefault="006648B0">
      <w:pPr>
        <w:pStyle w:val="TOC2"/>
        <w:rPr>
          <w:rFonts w:asciiTheme="minorHAnsi" w:hAnsiTheme="minorHAnsi"/>
          <w:noProof/>
          <w:color w:val="auto"/>
          <w:sz w:val="24"/>
        </w:rPr>
      </w:pPr>
      <w:hyperlink w:anchor="_Toc237663626" w:history="1">
        <w:r w:rsidRPr="00116326">
          <w:rPr>
            <w:rStyle w:val="Hyperlink"/>
            <w:noProof/>
          </w:rPr>
          <w:t>Article 65: Amendment</w:t>
        </w:r>
        <w:r>
          <w:rPr>
            <w:noProof/>
            <w:webHidden/>
          </w:rPr>
          <w:tab/>
        </w:r>
        <w:r>
          <w:rPr>
            <w:noProof/>
            <w:webHidden/>
          </w:rPr>
          <w:fldChar w:fldCharType="begin"/>
        </w:r>
        <w:r>
          <w:rPr>
            <w:noProof/>
            <w:webHidden/>
          </w:rPr>
          <w:instrText xml:space="preserve"> PAGEREF _Toc237663626 \h </w:instrText>
        </w:r>
        <w:r>
          <w:rPr>
            <w:noProof/>
            <w:webHidden/>
          </w:rPr>
        </w:r>
        <w:r>
          <w:rPr>
            <w:noProof/>
            <w:webHidden/>
          </w:rPr>
          <w:fldChar w:fldCharType="separate"/>
        </w:r>
        <w:r>
          <w:rPr>
            <w:noProof/>
            <w:webHidden/>
          </w:rPr>
          <w:t>60</w:t>
        </w:r>
        <w:r>
          <w:rPr>
            <w:noProof/>
            <w:webHidden/>
          </w:rPr>
          <w:fldChar w:fldCharType="end"/>
        </w:r>
      </w:hyperlink>
    </w:p>
    <w:p w14:paraId="411C5F30" w14:textId="24A1F88D" w:rsidR="006648B0" w:rsidRDefault="006648B0">
      <w:pPr>
        <w:pStyle w:val="TOC2"/>
        <w:rPr>
          <w:rFonts w:asciiTheme="minorHAnsi" w:hAnsiTheme="minorHAnsi"/>
          <w:noProof/>
          <w:color w:val="auto"/>
          <w:sz w:val="24"/>
        </w:rPr>
      </w:pPr>
      <w:hyperlink w:anchor="_Toc237663627" w:history="1">
        <w:r w:rsidRPr="00116326">
          <w:rPr>
            <w:rStyle w:val="Hyperlink"/>
            <w:noProof/>
          </w:rPr>
          <w:t>Article 66: Withdrawal</w:t>
        </w:r>
        <w:r>
          <w:rPr>
            <w:noProof/>
            <w:webHidden/>
          </w:rPr>
          <w:tab/>
        </w:r>
        <w:r>
          <w:rPr>
            <w:noProof/>
            <w:webHidden/>
          </w:rPr>
          <w:fldChar w:fldCharType="begin"/>
        </w:r>
        <w:r>
          <w:rPr>
            <w:noProof/>
            <w:webHidden/>
          </w:rPr>
          <w:instrText xml:space="preserve"> PAGEREF _Toc237663627 \h </w:instrText>
        </w:r>
        <w:r>
          <w:rPr>
            <w:noProof/>
            <w:webHidden/>
          </w:rPr>
        </w:r>
        <w:r>
          <w:rPr>
            <w:noProof/>
            <w:webHidden/>
          </w:rPr>
          <w:fldChar w:fldCharType="separate"/>
        </w:r>
        <w:r>
          <w:rPr>
            <w:noProof/>
            <w:webHidden/>
          </w:rPr>
          <w:t>60</w:t>
        </w:r>
        <w:r>
          <w:rPr>
            <w:noProof/>
            <w:webHidden/>
          </w:rPr>
          <w:fldChar w:fldCharType="end"/>
        </w:r>
      </w:hyperlink>
    </w:p>
    <w:p w14:paraId="787C8A4D" w14:textId="5DAE63DC" w:rsidR="006648B0" w:rsidRDefault="006648B0">
      <w:pPr>
        <w:pStyle w:val="TOC2"/>
        <w:rPr>
          <w:rFonts w:asciiTheme="minorHAnsi" w:hAnsiTheme="minorHAnsi"/>
          <w:noProof/>
          <w:color w:val="auto"/>
          <w:sz w:val="24"/>
        </w:rPr>
      </w:pPr>
      <w:hyperlink w:anchor="_Toc237663628" w:history="1">
        <w:r w:rsidRPr="00116326">
          <w:rPr>
            <w:rStyle w:val="Hyperlink"/>
            <w:noProof/>
          </w:rPr>
          <w:t>Article 67: Languages and the Authoritative Texts</w:t>
        </w:r>
        <w:r>
          <w:rPr>
            <w:noProof/>
            <w:webHidden/>
          </w:rPr>
          <w:tab/>
        </w:r>
        <w:r>
          <w:rPr>
            <w:noProof/>
            <w:webHidden/>
          </w:rPr>
          <w:fldChar w:fldCharType="begin"/>
        </w:r>
        <w:r>
          <w:rPr>
            <w:noProof/>
            <w:webHidden/>
          </w:rPr>
          <w:instrText xml:space="preserve"> PAGEREF _Toc237663628 \h </w:instrText>
        </w:r>
        <w:r>
          <w:rPr>
            <w:noProof/>
            <w:webHidden/>
          </w:rPr>
        </w:r>
        <w:r>
          <w:rPr>
            <w:noProof/>
            <w:webHidden/>
          </w:rPr>
          <w:fldChar w:fldCharType="separate"/>
        </w:r>
        <w:r>
          <w:rPr>
            <w:noProof/>
            <w:webHidden/>
          </w:rPr>
          <w:t>60</w:t>
        </w:r>
        <w:r>
          <w:rPr>
            <w:noProof/>
            <w:webHidden/>
          </w:rPr>
          <w:fldChar w:fldCharType="end"/>
        </w:r>
      </w:hyperlink>
    </w:p>
    <w:p w14:paraId="5CD2B251" w14:textId="720B702E" w:rsidR="006648B0" w:rsidRDefault="006648B0">
      <w:pPr>
        <w:pStyle w:val="TOC2"/>
        <w:rPr>
          <w:rFonts w:asciiTheme="minorHAnsi" w:hAnsiTheme="minorHAnsi"/>
          <w:noProof/>
          <w:color w:val="auto"/>
          <w:sz w:val="24"/>
        </w:rPr>
      </w:pPr>
      <w:hyperlink w:anchor="_Toc237663629" w:history="1">
        <w:r w:rsidRPr="00116326">
          <w:rPr>
            <w:rStyle w:val="Hyperlink"/>
            <w:noProof/>
          </w:rPr>
          <w:t>Article 68: The Irrevocable Horizon Clause</w:t>
        </w:r>
        <w:r>
          <w:rPr>
            <w:noProof/>
            <w:webHidden/>
          </w:rPr>
          <w:tab/>
        </w:r>
        <w:r>
          <w:rPr>
            <w:noProof/>
            <w:webHidden/>
          </w:rPr>
          <w:fldChar w:fldCharType="begin"/>
        </w:r>
        <w:r>
          <w:rPr>
            <w:noProof/>
            <w:webHidden/>
          </w:rPr>
          <w:instrText xml:space="preserve"> PAGEREF _Toc237663629 \h </w:instrText>
        </w:r>
        <w:r>
          <w:rPr>
            <w:noProof/>
            <w:webHidden/>
          </w:rPr>
        </w:r>
        <w:r>
          <w:rPr>
            <w:noProof/>
            <w:webHidden/>
          </w:rPr>
          <w:fldChar w:fldCharType="separate"/>
        </w:r>
        <w:r>
          <w:rPr>
            <w:noProof/>
            <w:webHidden/>
          </w:rPr>
          <w:t>60</w:t>
        </w:r>
        <w:r>
          <w:rPr>
            <w:noProof/>
            <w:webHidden/>
          </w:rPr>
          <w:fldChar w:fldCharType="end"/>
        </w:r>
      </w:hyperlink>
    </w:p>
    <w:p w14:paraId="1A0FC17E" w14:textId="723D2321" w:rsidR="006648B0" w:rsidRDefault="006648B0">
      <w:pPr>
        <w:pStyle w:val="TOC1"/>
        <w:rPr>
          <w:rFonts w:asciiTheme="minorHAnsi" w:hAnsiTheme="minorHAnsi"/>
          <w:b w:val="0"/>
          <w:noProof/>
          <w:color w:val="auto"/>
          <w:sz w:val="24"/>
        </w:rPr>
      </w:pPr>
      <w:hyperlink w:anchor="_Toc237663630" w:history="1">
        <w:r w:rsidRPr="00116326">
          <w:rPr>
            <w:rStyle w:val="Hyperlink"/>
            <w:noProof/>
          </w:rPr>
          <w:t>ANNEX A: THE GOVERNANCE AREA, CORRIDOR COORDINATES, AND THE VERIFIED SERVICES CATALOG</w:t>
        </w:r>
        <w:r>
          <w:rPr>
            <w:noProof/>
            <w:webHidden/>
          </w:rPr>
          <w:tab/>
        </w:r>
        <w:r>
          <w:rPr>
            <w:noProof/>
            <w:webHidden/>
          </w:rPr>
          <w:fldChar w:fldCharType="begin"/>
        </w:r>
        <w:r>
          <w:rPr>
            <w:noProof/>
            <w:webHidden/>
          </w:rPr>
          <w:instrText xml:space="preserve"> PAGEREF _Toc237663630 \h </w:instrText>
        </w:r>
        <w:r>
          <w:rPr>
            <w:noProof/>
            <w:webHidden/>
          </w:rPr>
        </w:r>
        <w:r>
          <w:rPr>
            <w:noProof/>
            <w:webHidden/>
          </w:rPr>
          <w:fldChar w:fldCharType="separate"/>
        </w:r>
        <w:r>
          <w:rPr>
            <w:noProof/>
            <w:webHidden/>
          </w:rPr>
          <w:t>62</w:t>
        </w:r>
        <w:r>
          <w:rPr>
            <w:noProof/>
            <w:webHidden/>
          </w:rPr>
          <w:fldChar w:fldCharType="end"/>
        </w:r>
      </w:hyperlink>
    </w:p>
    <w:p w14:paraId="697EC01C" w14:textId="0D4B23E4" w:rsidR="006648B0" w:rsidRDefault="006648B0">
      <w:pPr>
        <w:pStyle w:val="TOC2"/>
        <w:rPr>
          <w:rFonts w:asciiTheme="minorHAnsi" w:hAnsiTheme="minorHAnsi"/>
          <w:noProof/>
          <w:color w:val="auto"/>
          <w:sz w:val="24"/>
        </w:rPr>
      </w:pPr>
      <w:hyperlink w:anchor="_Toc237663631" w:history="1">
        <w:r w:rsidRPr="00116326">
          <w:rPr>
            <w:rStyle w:val="Hyperlink"/>
            <w:noProof/>
          </w:rPr>
          <w:t>Section A.1: The Boundary Polygon</w:t>
        </w:r>
        <w:r>
          <w:rPr>
            <w:noProof/>
            <w:webHidden/>
          </w:rPr>
          <w:tab/>
        </w:r>
        <w:r>
          <w:rPr>
            <w:noProof/>
            <w:webHidden/>
          </w:rPr>
          <w:fldChar w:fldCharType="begin"/>
        </w:r>
        <w:r>
          <w:rPr>
            <w:noProof/>
            <w:webHidden/>
          </w:rPr>
          <w:instrText xml:space="preserve"> PAGEREF _Toc237663631 \h </w:instrText>
        </w:r>
        <w:r>
          <w:rPr>
            <w:noProof/>
            <w:webHidden/>
          </w:rPr>
        </w:r>
        <w:r>
          <w:rPr>
            <w:noProof/>
            <w:webHidden/>
          </w:rPr>
          <w:fldChar w:fldCharType="separate"/>
        </w:r>
        <w:r>
          <w:rPr>
            <w:noProof/>
            <w:webHidden/>
          </w:rPr>
          <w:t>62</w:t>
        </w:r>
        <w:r>
          <w:rPr>
            <w:noProof/>
            <w:webHidden/>
          </w:rPr>
          <w:fldChar w:fldCharType="end"/>
        </w:r>
      </w:hyperlink>
    </w:p>
    <w:p w14:paraId="3E9CDAFF" w14:textId="7869A62A" w:rsidR="006648B0" w:rsidRDefault="006648B0">
      <w:pPr>
        <w:pStyle w:val="TOC2"/>
        <w:rPr>
          <w:rFonts w:asciiTheme="minorHAnsi" w:hAnsiTheme="minorHAnsi"/>
          <w:noProof/>
          <w:color w:val="auto"/>
          <w:sz w:val="24"/>
        </w:rPr>
      </w:pPr>
      <w:hyperlink w:anchor="_Toc237663632" w:history="1">
        <w:r w:rsidRPr="00116326">
          <w:rPr>
            <w:rStyle w:val="Hyperlink"/>
            <w:noProof/>
          </w:rPr>
          <w:t>Section A.2: Corridor Technical Parameters</w:t>
        </w:r>
        <w:r>
          <w:rPr>
            <w:noProof/>
            <w:webHidden/>
          </w:rPr>
          <w:tab/>
        </w:r>
        <w:r>
          <w:rPr>
            <w:noProof/>
            <w:webHidden/>
          </w:rPr>
          <w:fldChar w:fldCharType="begin"/>
        </w:r>
        <w:r>
          <w:rPr>
            <w:noProof/>
            <w:webHidden/>
          </w:rPr>
          <w:instrText xml:space="preserve"> PAGEREF _Toc237663632 \h </w:instrText>
        </w:r>
        <w:r>
          <w:rPr>
            <w:noProof/>
            <w:webHidden/>
          </w:rPr>
        </w:r>
        <w:r>
          <w:rPr>
            <w:noProof/>
            <w:webHidden/>
          </w:rPr>
          <w:fldChar w:fldCharType="separate"/>
        </w:r>
        <w:r>
          <w:rPr>
            <w:noProof/>
            <w:webHidden/>
          </w:rPr>
          <w:t>62</w:t>
        </w:r>
        <w:r>
          <w:rPr>
            <w:noProof/>
            <w:webHidden/>
          </w:rPr>
          <w:fldChar w:fldCharType="end"/>
        </w:r>
      </w:hyperlink>
    </w:p>
    <w:p w14:paraId="228A46E6" w14:textId="32F4F357" w:rsidR="006648B0" w:rsidRDefault="006648B0">
      <w:pPr>
        <w:pStyle w:val="TOC2"/>
        <w:rPr>
          <w:rFonts w:asciiTheme="minorHAnsi" w:hAnsiTheme="minorHAnsi"/>
          <w:noProof/>
          <w:color w:val="auto"/>
          <w:sz w:val="24"/>
        </w:rPr>
      </w:pPr>
      <w:hyperlink w:anchor="_Toc237663633" w:history="1">
        <w:r w:rsidRPr="00116326">
          <w:rPr>
            <w:rStyle w:val="Hyperlink"/>
            <w:noProof/>
          </w:rPr>
          <w:t>Section A.3: The Verified Services Catalog</w:t>
        </w:r>
        <w:r>
          <w:rPr>
            <w:noProof/>
            <w:webHidden/>
          </w:rPr>
          <w:tab/>
        </w:r>
        <w:r>
          <w:rPr>
            <w:noProof/>
            <w:webHidden/>
          </w:rPr>
          <w:fldChar w:fldCharType="begin"/>
        </w:r>
        <w:r>
          <w:rPr>
            <w:noProof/>
            <w:webHidden/>
          </w:rPr>
          <w:instrText xml:space="preserve"> PAGEREF _Toc237663633 \h </w:instrText>
        </w:r>
        <w:r>
          <w:rPr>
            <w:noProof/>
            <w:webHidden/>
          </w:rPr>
        </w:r>
        <w:r>
          <w:rPr>
            <w:noProof/>
            <w:webHidden/>
          </w:rPr>
          <w:fldChar w:fldCharType="separate"/>
        </w:r>
        <w:r>
          <w:rPr>
            <w:noProof/>
            <w:webHidden/>
          </w:rPr>
          <w:t>63</w:t>
        </w:r>
        <w:r>
          <w:rPr>
            <w:noProof/>
            <w:webHidden/>
          </w:rPr>
          <w:fldChar w:fldCharType="end"/>
        </w:r>
      </w:hyperlink>
    </w:p>
    <w:p w14:paraId="2DCEAC5D" w14:textId="72DFBE59" w:rsidR="006648B0" w:rsidRDefault="006648B0">
      <w:pPr>
        <w:pStyle w:val="TOC1"/>
        <w:rPr>
          <w:rFonts w:asciiTheme="minorHAnsi" w:hAnsiTheme="minorHAnsi"/>
          <w:b w:val="0"/>
          <w:noProof/>
          <w:color w:val="auto"/>
          <w:sz w:val="24"/>
        </w:rPr>
      </w:pPr>
      <w:hyperlink w:anchor="_Toc237663634" w:history="1">
        <w:r w:rsidRPr="00116326">
          <w:rPr>
            <w:rStyle w:val="Hyperlink"/>
            <w:noProof/>
          </w:rPr>
          <w:t>ANNEX B: THE NUCLEAR VERIFICATION ANNEX</w:t>
        </w:r>
        <w:r>
          <w:rPr>
            <w:noProof/>
            <w:webHidden/>
          </w:rPr>
          <w:tab/>
        </w:r>
        <w:r>
          <w:rPr>
            <w:noProof/>
            <w:webHidden/>
          </w:rPr>
          <w:fldChar w:fldCharType="begin"/>
        </w:r>
        <w:r>
          <w:rPr>
            <w:noProof/>
            <w:webHidden/>
          </w:rPr>
          <w:instrText xml:space="preserve"> PAGEREF _Toc237663634 \h </w:instrText>
        </w:r>
        <w:r>
          <w:rPr>
            <w:noProof/>
            <w:webHidden/>
          </w:rPr>
        </w:r>
        <w:r>
          <w:rPr>
            <w:noProof/>
            <w:webHidden/>
          </w:rPr>
          <w:fldChar w:fldCharType="separate"/>
        </w:r>
        <w:r>
          <w:rPr>
            <w:noProof/>
            <w:webHidden/>
          </w:rPr>
          <w:t>65</w:t>
        </w:r>
        <w:r>
          <w:rPr>
            <w:noProof/>
            <w:webHidden/>
          </w:rPr>
          <w:fldChar w:fldCharType="end"/>
        </w:r>
      </w:hyperlink>
    </w:p>
    <w:p w14:paraId="6CB73836" w14:textId="7FD60099" w:rsidR="006648B0" w:rsidRDefault="006648B0">
      <w:pPr>
        <w:pStyle w:val="TOC2"/>
        <w:rPr>
          <w:rFonts w:asciiTheme="minorHAnsi" w:hAnsiTheme="minorHAnsi"/>
          <w:noProof/>
          <w:color w:val="auto"/>
          <w:sz w:val="24"/>
        </w:rPr>
      </w:pPr>
      <w:hyperlink w:anchor="_Toc237663635" w:history="1">
        <w:r w:rsidRPr="00116326">
          <w:rPr>
            <w:rStyle w:val="Hyperlink"/>
            <w:noProof/>
          </w:rPr>
          <w:t>Section B.1: The Inventory and the Down-Blending Campaign</w:t>
        </w:r>
        <w:r>
          <w:rPr>
            <w:noProof/>
            <w:webHidden/>
          </w:rPr>
          <w:tab/>
        </w:r>
        <w:r>
          <w:rPr>
            <w:noProof/>
            <w:webHidden/>
          </w:rPr>
          <w:fldChar w:fldCharType="begin"/>
        </w:r>
        <w:r>
          <w:rPr>
            <w:noProof/>
            <w:webHidden/>
          </w:rPr>
          <w:instrText xml:space="preserve"> PAGEREF _Toc237663635 \h </w:instrText>
        </w:r>
        <w:r>
          <w:rPr>
            <w:noProof/>
            <w:webHidden/>
          </w:rPr>
        </w:r>
        <w:r>
          <w:rPr>
            <w:noProof/>
            <w:webHidden/>
          </w:rPr>
          <w:fldChar w:fldCharType="separate"/>
        </w:r>
        <w:r>
          <w:rPr>
            <w:noProof/>
            <w:webHidden/>
          </w:rPr>
          <w:t>65</w:t>
        </w:r>
        <w:r>
          <w:rPr>
            <w:noProof/>
            <w:webHidden/>
          </w:rPr>
          <w:fldChar w:fldCharType="end"/>
        </w:r>
      </w:hyperlink>
    </w:p>
    <w:p w14:paraId="4BF453F2" w14:textId="29ED63E0" w:rsidR="006648B0" w:rsidRDefault="006648B0">
      <w:pPr>
        <w:pStyle w:val="TOC2"/>
        <w:rPr>
          <w:rFonts w:asciiTheme="minorHAnsi" w:hAnsiTheme="minorHAnsi"/>
          <w:noProof/>
          <w:color w:val="auto"/>
          <w:sz w:val="24"/>
        </w:rPr>
      </w:pPr>
      <w:hyperlink w:anchor="_Toc237663636" w:history="1">
        <w:r w:rsidRPr="00116326">
          <w:rPr>
            <w:rStyle w:val="Hyperlink"/>
            <w:noProof/>
          </w:rPr>
          <w:t>Section B.2: The Permanent Caps and the Cascade Table</w:t>
        </w:r>
        <w:r>
          <w:rPr>
            <w:noProof/>
            <w:webHidden/>
          </w:rPr>
          <w:tab/>
        </w:r>
        <w:r>
          <w:rPr>
            <w:noProof/>
            <w:webHidden/>
          </w:rPr>
          <w:fldChar w:fldCharType="begin"/>
        </w:r>
        <w:r>
          <w:rPr>
            <w:noProof/>
            <w:webHidden/>
          </w:rPr>
          <w:instrText xml:space="preserve"> PAGEREF _Toc237663636 \h </w:instrText>
        </w:r>
        <w:r>
          <w:rPr>
            <w:noProof/>
            <w:webHidden/>
          </w:rPr>
        </w:r>
        <w:r>
          <w:rPr>
            <w:noProof/>
            <w:webHidden/>
          </w:rPr>
          <w:fldChar w:fldCharType="separate"/>
        </w:r>
        <w:r>
          <w:rPr>
            <w:noProof/>
            <w:webHidden/>
          </w:rPr>
          <w:t>65</w:t>
        </w:r>
        <w:r>
          <w:rPr>
            <w:noProof/>
            <w:webHidden/>
          </w:rPr>
          <w:fldChar w:fldCharType="end"/>
        </w:r>
      </w:hyperlink>
    </w:p>
    <w:p w14:paraId="77454D24" w14:textId="647101A6" w:rsidR="006648B0" w:rsidRDefault="006648B0">
      <w:pPr>
        <w:pStyle w:val="TOC2"/>
        <w:rPr>
          <w:rFonts w:asciiTheme="minorHAnsi" w:hAnsiTheme="minorHAnsi"/>
          <w:noProof/>
          <w:color w:val="auto"/>
          <w:sz w:val="24"/>
        </w:rPr>
      </w:pPr>
      <w:hyperlink w:anchor="_Toc237663637" w:history="1">
        <w:r w:rsidRPr="00116326">
          <w:rPr>
            <w:rStyle w:val="Hyperlink"/>
            <w:noProof/>
          </w:rPr>
          <w:t>Section B.3: The Fuel Cycle and Supply Assurance</w:t>
        </w:r>
        <w:r>
          <w:rPr>
            <w:noProof/>
            <w:webHidden/>
          </w:rPr>
          <w:tab/>
        </w:r>
        <w:r>
          <w:rPr>
            <w:noProof/>
            <w:webHidden/>
          </w:rPr>
          <w:fldChar w:fldCharType="begin"/>
        </w:r>
        <w:r>
          <w:rPr>
            <w:noProof/>
            <w:webHidden/>
          </w:rPr>
          <w:instrText xml:space="preserve"> PAGEREF _Toc237663637 \h </w:instrText>
        </w:r>
        <w:r>
          <w:rPr>
            <w:noProof/>
            <w:webHidden/>
          </w:rPr>
        </w:r>
        <w:r>
          <w:rPr>
            <w:noProof/>
            <w:webHidden/>
          </w:rPr>
          <w:fldChar w:fldCharType="separate"/>
        </w:r>
        <w:r>
          <w:rPr>
            <w:noProof/>
            <w:webHidden/>
          </w:rPr>
          <w:t>66</w:t>
        </w:r>
        <w:r>
          <w:rPr>
            <w:noProof/>
            <w:webHidden/>
          </w:rPr>
          <w:fldChar w:fldCharType="end"/>
        </w:r>
      </w:hyperlink>
    </w:p>
    <w:p w14:paraId="38AD634D" w14:textId="1DBC76E1" w:rsidR="006648B0" w:rsidRDefault="006648B0">
      <w:pPr>
        <w:pStyle w:val="TOC2"/>
        <w:rPr>
          <w:rFonts w:asciiTheme="minorHAnsi" w:hAnsiTheme="minorHAnsi"/>
          <w:noProof/>
          <w:color w:val="auto"/>
          <w:sz w:val="24"/>
        </w:rPr>
      </w:pPr>
      <w:hyperlink w:anchor="_Toc237663638" w:history="1">
        <w:r w:rsidRPr="00116326">
          <w:rPr>
            <w:rStyle w:val="Hyperlink"/>
            <w:noProof/>
          </w:rPr>
          <w:t>Section B.4: Access Regime</w:t>
        </w:r>
        <w:r>
          <w:rPr>
            <w:noProof/>
            <w:webHidden/>
          </w:rPr>
          <w:tab/>
        </w:r>
        <w:r>
          <w:rPr>
            <w:noProof/>
            <w:webHidden/>
          </w:rPr>
          <w:fldChar w:fldCharType="begin"/>
        </w:r>
        <w:r>
          <w:rPr>
            <w:noProof/>
            <w:webHidden/>
          </w:rPr>
          <w:instrText xml:space="preserve"> PAGEREF _Toc237663638 \h </w:instrText>
        </w:r>
        <w:r>
          <w:rPr>
            <w:noProof/>
            <w:webHidden/>
          </w:rPr>
        </w:r>
        <w:r>
          <w:rPr>
            <w:noProof/>
            <w:webHidden/>
          </w:rPr>
          <w:fldChar w:fldCharType="separate"/>
        </w:r>
        <w:r>
          <w:rPr>
            <w:noProof/>
            <w:webHidden/>
          </w:rPr>
          <w:t>66</w:t>
        </w:r>
        <w:r>
          <w:rPr>
            <w:noProof/>
            <w:webHidden/>
          </w:rPr>
          <w:fldChar w:fldCharType="end"/>
        </w:r>
      </w:hyperlink>
    </w:p>
    <w:p w14:paraId="6EC75950" w14:textId="671B1B6F" w:rsidR="006648B0" w:rsidRDefault="006648B0">
      <w:pPr>
        <w:pStyle w:val="TOC1"/>
        <w:rPr>
          <w:rFonts w:asciiTheme="minorHAnsi" w:hAnsiTheme="minorHAnsi"/>
          <w:b w:val="0"/>
          <w:noProof/>
          <w:color w:val="auto"/>
          <w:sz w:val="24"/>
        </w:rPr>
      </w:pPr>
      <w:hyperlink w:anchor="_Toc237663639" w:history="1">
        <w:r w:rsidRPr="00116326">
          <w:rPr>
            <w:rStyle w:val="Hyperlink"/>
            <w:noProof/>
          </w:rPr>
          <w:t>ANNEX C: THE SANCTIONS TERMINATION AND ASSET RELEASE SCHEDULE</w:t>
        </w:r>
        <w:r>
          <w:rPr>
            <w:noProof/>
            <w:webHidden/>
          </w:rPr>
          <w:tab/>
        </w:r>
        <w:r>
          <w:rPr>
            <w:noProof/>
            <w:webHidden/>
          </w:rPr>
          <w:fldChar w:fldCharType="begin"/>
        </w:r>
        <w:r>
          <w:rPr>
            <w:noProof/>
            <w:webHidden/>
          </w:rPr>
          <w:instrText xml:space="preserve"> PAGEREF _Toc237663639 \h </w:instrText>
        </w:r>
        <w:r>
          <w:rPr>
            <w:noProof/>
            <w:webHidden/>
          </w:rPr>
        </w:r>
        <w:r>
          <w:rPr>
            <w:noProof/>
            <w:webHidden/>
          </w:rPr>
          <w:fldChar w:fldCharType="separate"/>
        </w:r>
        <w:r>
          <w:rPr>
            <w:noProof/>
            <w:webHidden/>
          </w:rPr>
          <w:t>67</w:t>
        </w:r>
        <w:r>
          <w:rPr>
            <w:noProof/>
            <w:webHidden/>
          </w:rPr>
          <w:fldChar w:fldCharType="end"/>
        </w:r>
      </w:hyperlink>
    </w:p>
    <w:p w14:paraId="70BA31D1" w14:textId="71A4B936" w:rsidR="006648B0" w:rsidRDefault="006648B0">
      <w:pPr>
        <w:pStyle w:val="TOC2"/>
        <w:rPr>
          <w:rFonts w:asciiTheme="minorHAnsi" w:hAnsiTheme="minorHAnsi"/>
          <w:noProof/>
          <w:color w:val="auto"/>
          <w:sz w:val="24"/>
        </w:rPr>
      </w:pPr>
      <w:hyperlink w:anchor="_Toc237663640" w:history="1">
        <w:r w:rsidRPr="00116326">
          <w:rPr>
            <w:rStyle w:val="Hyperlink"/>
            <w:noProof/>
          </w:rPr>
          <w:t>Section C.1: The Termination Register</w:t>
        </w:r>
        <w:r>
          <w:rPr>
            <w:noProof/>
            <w:webHidden/>
          </w:rPr>
          <w:tab/>
        </w:r>
        <w:r>
          <w:rPr>
            <w:noProof/>
            <w:webHidden/>
          </w:rPr>
          <w:fldChar w:fldCharType="begin"/>
        </w:r>
        <w:r>
          <w:rPr>
            <w:noProof/>
            <w:webHidden/>
          </w:rPr>
          <w:instrText xml:space="preserve"> PAGEREF _Toc237663640 \h </w:instrText>
        </w:r>
        <w:r>
          <w:rPr>
            <w:noProof/>
            <w:webHidden/>
          </w:rPr>
        </w:r>
        <w:r>
          <w:rPr>
            <w:noProof/>
            <w:webHidden/>
          </w:rPr>
          <w:fldChar w:fldCharType="separate"/>
        </w:r>
        <w:r>
          <w:rPr>
            <w:noProof/>
            <w:webHidden/>
          </w:rPr>
          <w:t>67</w:t>
        </w:r>
        <w:r>
          <w:rPr>
            <w:noProof/>
            <w:webHidden/>
          </w:rPr>
          <w:fldChar w:fldCharType="end"/>
        </w:r>
      </w:hyperlink>
    </w:p>
    <w:p w14:paraId="32162486" w14:textId="6FA017D3" w:rsidR="006648B0" w:rsidRDefault="006648B0">
      <w:pPr>
        <w:pStyle w:val="TOC2"/>
        <w:rPr>
          <w:rFonts w:asciiTheme="minorHAnsi" w:hAnsiTheme="minorHAnsi"/>
          <w:noProof/>
          <w:color w:val="auto"/>
          <w:sz w:val="24"/>
        </w:rPr>
      </w:pPr>
      <w:hyperlink w:anchor="_Toc237663641" w:history="1">
        <w:r w:rsidRPr="00116326">
          <w:rPr>
            <w:rStyle w:val="Hyperlink"/>
            <w:noProof/>
          </w:rPr>
          <w:t>Section C.2: The Asset Release Table</w:t>
        </w:r>
        <w:r>
          <w:rPr>
            <w:noProof/>
            <w:webHidden/>
          </w:rPr>
          <w:tab/>
        </w:r>
        <w:r>
          <w:rPr>
            <w:noProof/>
            <w:webHidden/>
          </w:rPr>
          <w:fldChar w:fldCharType="begin"/>
        </w:r>
        <w:r>
          <w:rPr>
            <w:noProof/>
            <w:webHidden/>
          </w:rPr>
          <w:instrText xml:space="preserve"> PAGEREF _Toc237663641 \h </w:instrText>
        </w:r>
        <w:r>
          <w:rPr>
            <w:noProof/>
            <w:webHidden/>
          </w:rPr>
        </w:r>
        <w:r>
          <w:rPr>
            <w:noProof/>
            <w:webHidden/>
          </w:rPr>
          <w:fldChar w:fldCharType="separate"/>
        </w:r>
        <w:r>
          <w:rPr>
            <w:noProof/>
            <w:webHidden/>
          </w:rPr>
          <w:t>67</w:t>
        </w:r>
        <w:r>
          <w:rPr>
            <w:noProof/>
            <w:webHidden/>
          </w:rPr>
          <w:fldChar w:fldCharType="end"/>
        </w:r>
      </w:hyperlink>
    </w:p>
    <w:p w14:paraId="1683FD6D" w14:textId="18E8B3DB" w:rsidR="006648B0" w:rsidRDefault="006648B0">
      <w:pPr>
        <w:pStyle w:val="TOC1"/>
        <w:rPr>
          <w:rFonts w:asciiTheme="minorHAnsi" w:hAnsiTheme="minorHAnsi"/>
          <w:b w:val="0"/>
          <w:noProof/>
          <w:color w:val="auto"/>
          <w:sz w:val="24"/>
        </w:rPr>
      </w:pPr>
      <w:hyperlink w:anchor="_Toc237663642" w:history="1">
        <w:r w:rsidRPr="00116326">
          <w:rPr>
            <w:rStyle w:val="Hyperlink"/>
            <w:noProof/>
          </w:rPr>
          <w:t>ANNEX D: THE HORMUZ MARITIME STEWARDSHIP FUND CHARTER</w:t>
        </w:r>
        <w:r>
          <w:rPr>
            <w:noProof/>
            <w:webHidden/>
          </w:rPr>
          <w:tab/>
        </w:r>
        <w:r>
          <w:rPr>
            <w:noProof/>
            <w:webHidden/>
          </w:rPr>
          <w:fldChar w:fldCharType="begin"/>
        </w:r>
        <w:r>
          <w:rPr>
            <w:noProof/>
            <w:webHidden/>
          </w:rPr>
          <w:instrText xml:space="preserve"> PAGEREF _Toc237663642 \h </w:instrText>
        </w:r>
        <w:r>
          <w:rPr>
            <w:noProof/>
            <w:webHidden/>
          </w:rPr>
        </w:r>
        <w:r>
          <w:rPr>
            <w:noProof/>
            <w:webHidden/>
          </w:rPr>
          <w:fldChar w:fldCharType="separate"/>
        </w:r>
        <w:r>
          <w:rPr>
            <w:noProof/>
            <w:webHidden/>
          </w:rPr>
          <w:t>69</w:t>
        </w:r>
        <w:r>
          <w:rPr>
            <w:noProof/>
            <w:webHidden/>
          </w:rPr>
          <w:fldChar w:fldCharType="end"/>
        </w:r>
      </w:hyperlink>
    </w:p>
    <w:p w14:paraId="609E02C8" w14:textId="279ADFA1" w:rsidR="006648B0" w:rsidRDefault="006648B0">
      <w:pPr>
        <w:pStyle w:val="TOC2"/>
        <w:rPr>
          <w:rFonts w:asciiTheme="minorHAnsi" w:hAnsiTheme="minorHAnsi"/>
          <w:noProof/>
          <w:color w:val="auto"/>
          <w:sz w:val="24"/>
        </w:rPr>
      </w:pPr>
      <w:hyperlink w:anchor="_Toc237663643" w:history="1">
        <w:r w:rsidRPr="00116326">
          <w:rPr>
            <w:rStyle w:val="Hyperlink"/>
            <w:noProof/>
          </w:rPr>
          <w:t>Section D.1: Establishment and Governance</w:t>
        </w:r>
        <w:r>
          <w:rPr>
            <w:noProof/>
            <w:webHidden/>
          </w:rPr>
          <w:tab/>
        </w:r>
        <w:r>
          <w:rPr>
            <w:noProof/>
            <w:webHidden/>
          </w:rPr>
          <w:fldChar w:fldCharType="begin"/>
        </w:r>
        <w:r>
          <w:rPr>
            <w:noProof/>
            <w:webHidden/>
          </w:rPr>
          <w:instrText xml:space="preserve"> PAGEREF _Toc237663643 \h </w:instrText>
        </w:r>
        <w:r>
          <w:rPr>
            <w:noProof/>
            <w:webHidden/>
          </w:rPr>
        </w:r>
        <w:r>
          <w:rPr>
            <w:noProof/>
            <w:webHidden/>
          </w:rPr>
          <w:fldChar w:fldCharType="separate"/>
        </w:r>
        <w:r>
          <w:rPr>
            <w:noProof/>
            <w:webHidden/>
          </w:rPr>
          <w:t>69</w:t>
        </w:r>
        <w:r>
          <w:rPr>
            <w:noProof/>
            <w:webHidden/>
          </w:rPr>
          <w:fldChar w:fldCharType="end"/>
        </w:r>
      </w:hyperlink>
    </w:p>
    <w:p w14:paraId="28DD97BC" w14:textId="41093D6B" w:rsidR="006648B0" w:rsidRDefault="006648B0">
      <w:pPr>
        <w:pStyle w:val="TOC2"/>
        <w:rPr>
          <w:rFonts w:asciiTheme="minorHAnsi" w:hAnsiTheme="minorHAnsi"/>
          <w:noProof/>
          <w:color w:val="auto"/>
          <w:sz w:val="24"/>
        </w:rPr>
      </w:pPr>
      <w:hyperlink w:anchor="_Toc237663644" w:history="1">
        <w:r w:rsidRPr="00116326">
          <w:rPr>
            <w:rStyle w:val="Hyperlink"/>
            <w:noProof/>
          </w:rPr>
          <w:t>Section D.2: Sources and the Tri-Channel Funding System</w:t>
        </w:r>
        <w:r>
          <w:rPr>
            <w:noProof/>
            <w:webHidden/>
          </w:rPr>
          <w:tab/>
        </w:r>
        <w:r>
          <w:rPr>
            <w:noProof/>
            <w:webHidden/>
          </w:rPr>
          <w:fldChar w:fldCharType="begin"/>
        </w:r>
        <w:r>
          <w:rPr>
            <w:noProof/>
            <w:webHidden/>
          </w:rPr>
          <w:instrText xml:space="preserve"> PAGEREF _Toc237663644 \h </w:instrText>
        </w:r>
        <w:r>
          <w:rPr>
            <w:noProof/>
            <w:webHidden/>
          </w:rPr>
        </w:r>
        <w:r>
          <w:rPr>
            <w:noProof/>
            <w:webHidden/>
          </w:rPr>
          <w:fldChar w:fldCharType="separate"/>
        </w:r>
        <w:r>
          <w:rPr>
            <w:noProof/>
            <w:webHidden/>
          </w:rPr>
          <w:t>69</w:t>
        </w:r>
        <w:r>
          <w:rPr>
            <w:noProof/>
            <w:webHidden/>
          </w:rPr>
          <w:fldChar w:fldCharType="end"/>
        </w:r>
      </w:hyperlink>
    </w:p>
    <w:p w14:paraId="5812E269" w14:textId="21E9A8E6" w:rsidR="006648B0" w:rsidRDefault="006648B0">
      <w:pPr>
        <w:pStyle w:val="TOC2"/>
        <w:rPr>
          <w:rFonts w:asciiTheme="minorHAnsi" w:hAnsiTheme="minorHAnsi"/>
          <w:noProof/>
          <w:color w:val="auto"/>
          <w:sz w:val="24"/>
        </w:rPr>
      </w:pPr>
      <w:hyperlink w:anchor="_Toc237663645" w:history="1">
        <w:r w:rsidRPr="00116326">
          <w:rPr>
            <w:rStyle w:val="Hyperlink"/>
            <w:noProof/>
          </w:rPr>
          <w:t>Section D.2A: The Escrow Survival Fund</w:t>
        </w:r>
        <w:r>
          <w:rPr>
            <w:noProof/>
            <w:webHidden/>
          </w:rPr>
          <w:tab/>
        </w:r>
        <w:r>
          <w:rPr>
            <w:noProof/>
            <w:webHidden/>
          </w:rPr>
          <w:fldChar w:fldCharType="begin"/>
        </w:r>
        <w:r>
          <w:rPr>
            <w:noProof/>
            <w:webHidden/>
          </w:rPr>
          <w:instrText xml:space="preserve"> PAGEREF _Toc237663645 \h </w:instrText>
        </w:r>
        <w:r>
          <w:rPr>
            <w:noProof/>
            <w:webHidden/>
          </w:rPr>
        </w:r>
        <w:r>
          <w:rPr>
            <w:noProof/>
            <w:webHidden/>
          </w:rPr>
          <w:fldChar w:fldCharType="separate"/>
        </w:r>
        <w:r>
          <w:rPr>
            <w:noProof/>
            <w:webHidden/>
          </w:rPr>
          <w:t>69</w:t>
        </w:r>
        <w:r>
          <w:rPr>
            <w:noProof/>
            <w:webHidden/>
          </w:rPr>
          <w:fldChar w:fldCharType="end"/>
        </w:r>
      </w:hyperlink>
    </w:p>
    <w:p w14:paraId="6784AB30" w14:textId="7537C9C4" w:rsidR="006648B0" w:rsidRDefault="006648B0">
      <w:pPr>
        <w:pStyle w:val="TOC2"/>
        <w:rPr>
          <w:rFonts w:asciiTheme="minorHAnsi" w:hAnsiTheme="minorHAnsi"/>
          <w:noProof/>
          <w:color w:val="auto"/>
          <w:sz w:val="24"/>
        </w:rPr>
      </w:pPr>
      <w:hyperlink w:anchor="_Toc237663646" w:history="1">
        <w:r w:rsidRPr="00116326">
          <w:rPr>
            <w:rStyle w:val="Hyperlink"/>
            <w:noProof/>
          </w:rPr>
          <w:t>Section D.3: The Commercial Parameters</w:t>
        </w:r>
        <w:r>
          <w:rPr>
            <w:noProof/>
            <w:webHidden/>
          </w:rPr>
          <w:tab/>
        </w:r>
        <w:r>
          <w:rPr>
            <w:noProof/>
            <w:webHidden/>
          </w:rPr>
          <w:fldChar w:fldCharType="begin"/>
        </w:r>
        <w:r>
          <w:rPr>
            <w:noProof/>
            <w:webHidden/>
          </w:rPr>
          <w:instrText xml:space="preserve"> PAGEREF _Toc237663646 \h </w:instrText>
        </w:r>
        <w:r>
          <w:rPr>
            <w:noProof/>
            <w:webHidden/>
          </w:rPr>
        </w:r>
        <w:r>
          <w:rPr>
            <w:noProof/>
            <w:webHidden/>
          </w:rPr>
          <w:fldChar w:fldCharType="separate"/>
        </w:r>
        <w:r>
          <w:rPr>
            <w:noProof/>
            <w:webHidden/>
          </w:rPr>
          <w:t>70</w:t>
        </w:r>
        <w:r>
          <w:rPr>
            <w:noProof/>
            <w:webHidden/>
          </w:rPr>
          <w:fldChar w:fldCharType="end"/>
        </w:r>
      </w:hyperlink>
    </w:p>
    <w:p w14:paraId="67A8307E" w14:textId="6FD5DDAB" w:rsidR="006648B0" w:rsidRDefault="006648B0">
      <w:pPr>
        <w:pStyle w:val="TOC2"/>
        <w:rPr>
          <w:rFonts w:asciiTheme="minorHAnsi" w:hAnsiTheme="minorHAnsi"/>
          <w:noProof/>
          <w:color w:val="auto"/>
          <w:sz w:val="24"/>
        </w:rPr>
      </w:pPr>
      <w:hyperlink w:anchor="_Toc237663647" w:history="1">
        <w:r w:rsidRPr="00116326">
          <w:rPr>
            <w:rStyle w:val="Hyperlink"/>
            <w:noProof/>
          </w:rPr>
          <w:t>Section D.4: The Legacy Memorandum</w:t>
        </w:r>
        <w:r>
          <w:rPr>
            <w:noProof/>
            <w:webHidden/>
          </w:rPr>
          <w:tab/>
        </w:r>
        <w:r>
          <w:rPr>
            <w:noProof/>
            <w:webHidden/>
          </w:rPr>
          <w:fldChar w:fldCharType="begin"/>
        </w:r>
        <w:r>
          <w:rPr>
            <w:noProof/>
            <w:webHidden/>
          </w:rPr>
          <w:instrText xml:space="preserve"> PAGEREF _Toc237663647 \h </w:instrText>
        </w:r>
        <w:r>
          <w:rPr>
            <w:noProof/>
            <w:webHidden/>
          </w:rPr>
        </w:r>
        <w:r>
          <w:rPr>
            <w:noProof/>
            <w:webHidden/>
          </w:rPr>
          <w:fldChar w:fldCharType="separate"/>
        </w:r>
        <w:r>
          <w:rPr>
            <w:noProof/>
            <w:webHidden/>
          </w:rPr>
          <w:t>70</w:t>
        </w:r>
        <w:r>
          <w:rPr>
            <w:noProof/>
            <w:webHidden/>
          </w:rPr>
          <w:fldChar w:fldCharType="end"/>
        </w:r>
      </w:hyperlink>
    </w:p>
    <w:p w14:paraId="3A594CBB" w14:textId="474305F0" w:rsidR="006648B0" w:rsidRDefault="006648B0">
      <w:pPr>
        <w:pStyle w:val="TOC1"/>
        <w:rPr>
          <w:rFonts w:asciiTheme="minorHAnsi" w:hAnsiTheme="minorHAnsi"/>
          <w:b w:val="0"/>
          <w:noProof/>
          <w:color w:val="auto"/>
          <w:sz w:val="24"/>
        </w:rPr>
      </w:pPr>
      <w:hyperlink w:anchor="_Toc237663648" w:history="1">
        <w:r w:rsidRPr="00116326">
          <w:rPr>
            <w:rStyle w:val="Hyperlink"/>
            <w:noProof/>
          </w:rPr>
          <w:t>ANNEX F: ACCESSION, ARBITRATION, AND INSTITUTIONAL INSTRUMENTS</w:t>
        </w:r>
        <w:r>
          <w:rPr>
            <w:noProof/>
            <w:webHidden/>
          </w:rPr>
          <w:tab/>
        </w:r>
        <w:r>
          <w:rPr>
            <w:noProof/>
            <w:webHidden/>
          </w:rPr>
          <w:fldChar w:fldCharType="begin"/>
        </w:r>
        <w:r>
          <w:rPr>
            <w:noProof/>
            <w:webHidden/>
          </w:rPr>
          <w:instrText xml:space="preserve"> PAGEREF _Toc237663648 \h </w:instrText>
        </w:r>
        <w:r>
          <w:rPr>
            <w:noProof/>
            <w:webHidden/>
          </w:rPr>
        </w:r>
        <w:r>
          <w:rPr>
            <w:noProof/>
            <w:webHidden/>
          </w:rPr>
          <w:fldChar w:fldCharType="separate"/>
        </w:r>
        <w:r>
          <w:rPr>
            <w:noProof/>
            <w:webHidden/>
          </w:rPr>
          <w:t>71</w:t>
        </w:r>
        <w:r>
          <w:rPr>
            <w:noProof/>
            <w:webHidden/>
          </w:rPr>
          <w:fldChar w:fldCharType="end"/>
        </w:r>
      </w:hyperlink>
    </w:p>
    <w:p w14:paraId="0EE17E8C" w14:textId="63DABB51" w:rsidR="006648B0" w:rsidRDefault="006648B0">
      <w:pPr>
        <w:pStyle w:val="TOC2"/>
        <w:rPr>
          <w:rFonts w:asciiTheme="minorHAnsi" w:hAnsiTheme="minorHAnsi"/>
          <w:noProof/>
          <w:color w:val="auto"/>
          <w:sz w:val="24"/>
        </w:rPr>
      </w:pPr>
      <w:hyperlink w:anchor="_Toc237663649" w:history="1">
        <w:r w:rsidRPr="00116326">
          <w:rPr>
            <w:rStyle w:val="Hyperlink"/>
            <w:noProof/>
          </w:rPr>
          <w:t>Section F.1: The Accession Protocol</w:t>
        </w:r>
        <w:r>
          <w:rPr>
            <w:noProof/>
            <w:webHidden/>
          </w:rPr>
          <w:tab/>
        </w:r>
        <w:r>
          <w:rPr>
            <w:noProof/>
            <w:webHidden/>
          </w:rPr>
          <w:fldChar w:fldCharType="begin"/>
        </w:r>
        <w:r>
          <w:rPr>
            <w:noProof/>
            <w:webHidden/>
          </w:rPr>
          <w:instrText xml:space="preserve"> PAGEREF _Toc237663649 \h </w:instrText>
        </w:r>
        <w:r>
          <w:rPr>
            <w:noProof/>
            <w:webHidden/>
          </w:rPr>
        </w:r>
        <w:r>
          <w:rPr>
            <w:noProof/>
            <w:webHidden/>
          </w:rPr>
          <w:fldChar w:fldCharType="separate"/>
        </w:r>
        <w:r>
          <w:rPr>
            <w:noProof/>
            <w:webHidden/>
          </w:rPr>
          <w:t>71</w:t>
        </w:r>
        <w:r>
          <w:rPr>
            <w:noProof/>
            <w:webHidden/>
          </w:rPr>
          <w:fldChar w:fldCharType="end"/>
        </w:r>
      </w:hyperlink>
    </w:p>
    <w:p w14:paraId="7BC087D0" w14:textId="13CC189D" w:rsidR="006648B0" w:rsidRDefault="006648B0">
      <w:pPr>
        <w:pStyle w:val="TOC2"/>
        <w:rPr>
          <w:rFonts w:asciiTheme="minorHAnsi" w:hAnsiTheme="minorHAnsi"/>
          <w:noProof/>
          <w:color w:val="auto"/>
          <w:sz w:val="24"/>
        </w:rPr>
      </w:pPr>
      <w:hyperlink w:anchor="_Toc237663650" w:history="1">
        <w:r w:rsidRPr="00116326">
          <w:rPr>
            <w:rStyle w:val="Hyperlink"/>
            <w:noProof/>
          </w:rPr>
          <w:t>Section F.1A: The Opt-In Roles Framework</w:t>
        </w:r>
        <w:r>
          <w:rPr>
            <w:noProof/>
            <w:webHidden/>
          </w:rPr>
          <w:tab/>
        </w:r>
        <w:r>
          <w:rPr>
            <w:noProof/>
            <w:webHidden/>
          </w:rPr>
          <w:fldChar w:fldCharType="begin"/>
        </w:r>
        <w:r>
          <w:rPr>
            <w:noProof/>
            <w:webHidden/>
          </w:rPr>
          <w:instrText xml:space="preserve"> PAGEREF _Toc237663650 \h </w:instrText>
        </w:r>
        <w:r>
          <w:rPr>
            <w:noProof/>
            <w:webHidden/>
          </w:rPr>
        </w:r>
        <w:r>
          <w:rPr>
            <w:noProof/>
            <w:webHidden/>
          </w:rPr>
          <w:fldChar w:fldCharType="separate"/>
        </w:r>
        <w:r>
          <w:rPr>
            <w:noProof/>
            <w:webHidden/>
          </w:rPr>
          <w:t>71</w:t>
        </w:r>
        <w:r>
          <w:rPr>
            <w:noProof/>
            <w:webHidden/>
          </w:rPr>
          <w:fldChar w:fldCharType="end"/>
        </w:r>
      </w:hyperlink>
    </w:p>
    <w:p w14:paraId="2427374B" w14:textId="7C6E7422" w:rsidR="006648B0" w:rsidRDefault="006648B0">
      <w:pPr>
        <w:pStyle w:val="TOC2"/>
        <w:rPr>
          <w:rFonts w:asciiTheme="minorHAnsi" w:hAnsiTheme="minorHAnsi"/>
          <w:noProof/>
          <w:color w:val="auto"/>
          <w:sz w:val="24"/>
        </w:rPr>
      </w:pPr>
      <w:hyperlink w:anchor="_Toc237663651" w:history="1">
        <w:r w:rsidRPr="00116326">
          <w:rPr>
            <w:rStyle w:val="Hyperlink"/>
            <w:noProof/>
          </w:rPr>
          <w:t>Section F.2: The Treaty-Level Arbitral Tribunal</w:t>
        </w:r>
        <w:r>
          <w:rPr>
            <w:noProof/>
            <w:webHidden/>
          </w:rPr>
          <w:tab/>
        </w:r>
        <w:r>
          <w:rPr>
            <w:noProof/>
            <w:webHidden/>
          </w:rPr>
          <w:fldChar w:fldCharType="begin"/>
        </w:r>
        <w:r>
          <w:rPr>
            <w:noProof/>
            <w:webHidden/>
          </w:rPr>
          <w:instrText xml:space="preserve"> PAGEREF _Toc237663651 \h </w:instrText>
        </w:r>
        <w:r>
          <w:rPr>
            <w:noProof/>
            <w:webHidden/>
          </w:rPr>
        </w:r>
        <w:r>
          <w:rPr>
            <w:noProof/>
            <w:webHidden/>
          </w:rPr>
          <w:fldChar w:fldCharType="separate"/>
        </w:r>
        <w:r>
          <w:rPr>
            <w:noProof/>
            <w:webHidden/>
          </w:rPr>
          <w:t>71</w:t>
        </w:r>
        <w:r>
          <w:rPr>
            <w:noProof/>
            <w:webHidden/>
          </w:rPr>
          <w:fldChar w:fldCharType="end"/>
        </w:r>
      </w:hyperlink>
    </w:p>
    <w:p w14:paraId="0F80EE1F" w14:textId="69A4F0B6" w:rsidR="006648B0" w:rsidRDefault="006648B0">
      <w:pPr>
        <w:pStyle w:val="TOC2"/>
        <w:rPr>
          <w:rFonts w:asciiTheme="minorHAnsi" w:hAnsiTheme="minorHAnsi"/>
          <w:noProof/>
          <w:color w:val="auto"/>
          <w:sz w:val="24"/>
        </w:rPr>
      </w:pPr>
      <w:hyperlink w:anchor="_Toc237663652" w:history="1">
        <w:r w:rsidRPr="00116326">
          <w:rPr>
            <w:rStyle w:val="Hyperlink"/>
            <w:noProof/>
          </w:rPr>
          <w:t>Section F.3: Institutional Instruments</w:t>
        </w:r>
        <w:r>
          <w:rPr>
            <w:noProof/>
            <w:webHidden/>
          </w:rPr>
          <w:tab/>
        </w:r>
        <w:r>
          <w:rPr>
            <w:noProof/>
            <w:webHidden/>
          </w:rPr>
          <w:fldChar w:fldCharType="begin"/>
        </w:r>
        <w:r>
          <w:rPr>
            <w:noProof/>
            <w:webHidden/>
          </w:rPr>
          <w:instrText xml:space="preserve"> PAGEREF _Toc237663652 \h </w:instrText>
        </w:r>
        <w:r>
          <w:rPr>
            <w:noProof/>
            <w:webHidden/>
          </w:rPr>
        </w:r>
        <w:r>
          <w:rPr>
            <w:noProof/>
            <w:webHidden/>
          </w:rPr>
          <w:fldChar w:fldCharType="separate"/>
        </w:r>
        <w:r>
          <w:rPr>
            <w:noProof/>
            <w:webHidden/>
          </w:rPr>
          <w:t>72</w:t>
        </w:r>
        <w:r>
          <w:rPr>
            <w:noProof/>
            <w:webHidden/>
          </w:rPr>
          <w:fldChar w:fldCharType="end"/>
        </w:r>
      </w:hyperlink>
    </w:p>
    <w:p w14:paraId="603BE5BD" w14:textId="38A4326C" w:rsidR="006648B0" w:rsidRDefault="006648B0">
      <w:pPr>
        <w:pStyle w:val="TOC1"/>
        <w:rPr>
          <w:rFonts w:asciiTheme="minorHAnsi" w:hAnsiTheme="minorHAnsi"/>
          <w:b w:val="0"/>
          <w:noProof/>
          <w:color w:val="auto"/>
          <w:sz w:val="24"/>
        </w:rPr>
      </w:pPr>
      <w:hyperlink w:anchor="_Toc237663653" w:history="1">
        <w:r w:rsidRPr="00116326">
          <w:rPr>
            <w:rStyle w:val="Hyperlink"/>
            <w:noProof/>
          </w:rPr>
          <w:t>ANNEX G: THE RED LINES REGISTER (FULL TEXT)</w:t>
        </w:r>
        <w:r>
          <w:rPr>
            <w:noProof/>
            <w:webHidden/>
          </w:rPr>
          <w:tab/>
        </w:r>
        <w:r>
          <w:rPr>
            <w:noProof/>
            <w:webHidden/>
          </w:rPr>
          <w:fldChar w:fldCharType="begin"/>
        </w:r>
        <w:r>
          <w:rPr>
            <w:noProof/>
            <w:webHidden/>
          </w:rPr>
          <w:instrText xml:space="preserve"> PAGEREF _Toc237663653 \h </w:instrText>
        </w:r>
        <w:r>
          <w:rPr>
            <w:noProof/>
            <w:webHidden/>
          </w:rPr>
        </w:r>
        <w:r>
          <w:rPr>
            <w:noProof/>
            <w:webHidden/>
          </w:rPr>
          <w:fldChar w:fldCharType="separate"/>
        </w:r>
        <w:r>
          <w:rPr>
            <w:noProof/>
            <w:webHidden/>
          </w:rPr>
          <w:t>73</w:t>
        </w:r>
        <w:r>
          <w:rPr>
            <w:noProof/>
            <w:webHidden/>
          </w:rPr>
          <w:fldChar w:fldCharType="end"/>
        </w:r>
      </w:hyperlink>
    </w:p>
    <w:p w14:paraId="74E972A0" w14:textId="422F03F0" w:rsidR="006648B0" w:rsidRDefault="006648B0">
      <w:pPr>
        <w:pStyle w:val="TOC2"/>
        <w:rPr>
          <w:rFonts w:asciiTheme="minorHAnsi" w:hAnsiTheme="minorHAnsi"/>
          <w:noProof/>
          <w:color w:val="auto"/>
          <w:sz w:val="24"/>
        </w:rPr>
      </w:pPr>
      <w:hyperlink w:anchor="_Toc237663654" w:history="1">
        <w:r w:rsidRPr="00116326">
          <w:rPr>
            <w:rStyle w:val="Hyperlink"/>
            <w:noProof/>
          </w:rPr>
          <w:t>Section G.1: Registered Red Lines of the United States of America</w:t>
        </w:r>
        <w:r>
          <w:rPr>
            <w:noProof/>
            <w:webHidden/>
          </w:rPr>
          <w:tab/>
        </w:r>
        <w:r>
          <w:rPr>
            <w:noProof/>
            <w:webHidden/>
          </w:rPr>
          <w:fldChar w:fldCharType="begin"/>
        </w:r>
        <w:r>
          <w:rPr>
            <w:noProof/>
            <w:webHidden/>
          </w:rPr>
          <w:instrText xml:space="preserve"> PAGEREF _Toc237663654 \h </w:instrText>
        </w:r>
        <w:r>
          <w:rPr>
            <w:noProof/>
            <w:webHidden/>
          </w:rPr>
        </w:r>
        <w:r>
          <w:rPr>
            <w:noProof/>
            <w:webHidden/>
          </w:rPr>
          <w:fldChar w:fldCharType="separate"/>
        </w:r>
        <w:r>
          <w:rPr>
            <w:noProof/>
            <w:webHidden/>
          </w:rPr>
          <w:t>73</w:t>
        </w:r>
        <w:r>
          <w:rPr>
            <w:noProof/>
            <w:webHidden/>
          </w:rPr>
          <w:fldChar w:fldCharType="end"/>
        </w:r>
      </w:hyperlink>
    </w:p>
    <w:p w14:paraId="3ADF64B4" w14:textId="2554962E" w:rsidR="006648B0" w:rsidRDefault="006648B0">
      <w:pPr>
        <w:pStyle w:val="TOC2"/>
        <w:rPr>
          <w:rFonts w:asciiTheme="minorHAnsi" w:hAnsiTheme="minorHAnsi"/>
          <w:noProof/>
          <w:color w:val="auto"/>
          <w:sz w:val="24"/>
        </w:rPr>
      </w:pPr>
      <w:hyperlink w:anchor="_Toc237663655" w:history="1">
        <w:r w:rsidRPr="00116326">
          <w:rPr>
            <w:rStyle w:val="Hyperlink"/>
            <w:noProof/>
          </w:rPr>
          <w:t>Section G.2: Registered Red Lines of the Islamic Republic of Iran</w:t>
        </w:r>
        <w:r>
          <w:rPr>
            <w:noProof/>
            <w:webHidden/>
          </w:rPr>
          <w:tab/>
        </w:r>
        <w:r>
          <w:rPr>
            <w:noProof/>
            <w:webHidden/>
          </w:rPr>
          <w:fldChar w:fldCharType="begin"/>
        </w:r>
        <w:r>
          <w:rPr>
            <w:noProof/>
            <w:webHidden/>
          </w:rPr>
          <w:instrText xml:space="preserve"> PAGEREF _Toc237663655 \h </w:instrText>
        </w:r>
        <w:r>
          <w:rPr>
            <w:noProof/>
            <w:webHidden/>
          </w:rPr>
        </w:r>
        <w:r>
          <w:rPr>
            <w:noProof/>
            <w:webHidden/>
          </w:rPr>
          <w:fldChar w:fldCharType="separate"/>
        </w:r>
        <w:r>
          <w:rPr>
            <w:noProof/>
            <w:webHidden/>
          </w:rPr>
          <w:t>73</w:t>
        </w:r>
        <w:r>
          <w:rPr>
            <w:noProof/>
            <w:webHidden/>
          </w:rPr>
          <w:fldChar w:fldCharType="end"/>
        </w:r>
      </w:hyperlink>
    </w:p>
    <w:p w14:paraId="27271B8B" w14:textId="09C114E2" w:rsidR="006648B0" w:rsidRDefault="006648B0">
      <w:pPr>
        <w:pStyle w:val="TOC2"/>
        <w:rPr>
          <w:rFonts w:asciiTheme="minorHAnsi" w:hAnsiTheme="minorHAnsi"/>
          <w:noProof/>
          <w:color w:val="auto"/>
          <w:sz w:val="24"/>
        </w:rPr>
      </w:pPr>
      <w:hyperlink w:anchor="_Toc237663656" w:history="1">
        <w:r w:rsidRPr="00116326">
          <w:rPr>
            <w:rStyle w:val="Hyperlink"/>
            <w:noProof/>
          </w:rPr>
          <w:t>Section G.3: Registered Red Lines of the Sultanate of Oman</w:t>
        </w:r>
        <w:r>
          <w:rPr>
            <w:noProof/>
            <w:webHidden/>
          </w:rPr>
          <w:tab/>
        </w:r>
        <w:r>
          <w:rPr>
            <w:noProof/>
            <w:webHidden/>
          </w:rPr>
          <w:fldChar w:fldCharType="begin"/>
        </w:r>
        <w:r>
          <w:rPr>
            <w:noProof/>
            <w:webHidden/>
          </w:rPr>
          <w:instrText xml:space="preserve"> PAGEREF _Toc237663656 \h </w:instrText>
        </w:r>
        <w:r>
          <w:rPr>
            <w:noProof/>
            <w:webHidden/>
          </w:rPr>
        </w:r>
        <w:r>
          <w:rPr>
            <w:noProof/>
            <w:webHidden/>
          </w:rPr>
          <w:fldChar w:fldCharType="separate"/>
        </w:r>
        <w:r>
          <w:rPr>
            <w:noProof/>
            <w:webHidden/>
          </w:rPr>
          <w:t>74</w:t>
        </w:r>
        <w:r>
          <w:rPr>
            <w:noProof/>
            <w:webHidden/>
          </w:rPr>
          <w:fldChar w:fldCharType="end"/>
        </w:r>
      </w:hyperlink>
    </w:p>
    <w:p w14:paraId="22586848" w14:textId="06604FE3" w:rsidR="006648B0" w:rsidRDefault="006648B0">
      <w:pPr>
        <w:pStyle w:val="TOC2"/>
        <w:rPr>
          <w:rFonts w:asciiTheme="minorHAnsi" w:hAnsiTheme="minorHAnsi"/>
          <w:noProof/>
          <w:color w:val="auto"/>
          <w:sz w:val="24"/>
        </w:rPr>
      </w:pPr>
      <w:hyperlink w:anchor="_Toc237663657" w:history="1">
        <w:r w:rsidRPr="00116326">
          <w:rPr>
            <w:rStyle w:val="Hyperlink"/>
            <w:noProof/>
          </w:rPr>
          <w:t>Section G.4: Registered Red Lines of the Facilitating Parties</w:t>
        </w:r>
        <w:r>
          <w:rPr>
            <w:noProof/>
            <w:webHidden/>
          </w:rPr>
          <w:tab/>
        </w:r>
        <w:r>
          <w:rPr>
            <w:noProof/>
            <w:webHidden/>
          </w:rPr>
          <w:fldChar w:fldCharType="begin"/>
        </w:r>
        <w:r>
          <w:rPr>
            <w:noProof/>
            <w:webHidden/>
          </w:rPr>
          <w:instrText xml:space="preserve"> PAGEREF _Toc237663657 \h </w:instrText>
        </w:r>
        <w:r>
          <w:rPr>
            <w:noProof/>
            <w:webHidden/>
          </w:rPr>
        </w:r>
        <w:r>
          <w:rPr>
            <w:noProof/>
            <w:webHidden/>
          </w:rPr>
          <w:fldChar w:fldCharType="separate"/>
        </w:r>
        <w:r>
          <w:rPr>
            <w:noProof/>
            <w:webHidden/>
          </w:rPr>
          <w:t>74</w:t>
        </w:r>
        <w:r>
          <w:rPr>
            <w:noProof/>
            <w:webHidden/>
          </w:rPr>
          <w:fldChar w:fldCharType="end"/>
        </w:r>
      </w:hyperlink>
    </w:p>
    <w:p w14:paraId="34A56241" w14:textId="78A32171" w:rsidR="006648B0" w:rsidRDefault="006648B0">
      <w:pPr>
        <w:pStyle w:val="TOC2"/>
        <w:rPr>
          <w:rFonts w:asciiTheme="minorHAnsi" w:hAnsiTheme="minorHAnsi"/>
          <w:noProof/>
          <w:color w:val="auto"/>
          <w:sz w:val="24"/>
        </w:rPr>
      </w:pPr>
      <w:hyperlink w:anchor="_Toc237663658" w:history="1">
        <w:r w:rsidRPr="00116326">
          <w:rPr>
            <w:rStyle w:val="Hyperlink"/>
            <w:noProof/>
          </w:rPr>
          <w:t>Section G.5: The Perimeter Test Procedure</w:t>
        </w:r>
        <w:r>
          <w:rPr>
            <w:noProof/>
            <w:webHidden/>
          </w:rPr>
          <w:tab/>
        </w:r>
        <w:r>
          <w:rPr>
            <w:noProof/>
            <w:webHidden/>
          </w:rPr>
          <w:fldChar w:fldCharType="begin"/>
        </w:r>
        <w:r>
          <w:rPr>
            <w:noProof/>
            <w:webHidden/>
          </w:rPr>
          <w:instrText xml:space="preserve"> PAGEREF _Toc237663658 \h </w:instrText>
        </w:r>
        <w:r>
          <w:rPr>
            <w:noProof/>
            <w:webHidden/>
          </w:rPr>
        </w:r>
        <w:r>
          <w:rPr>
            <w:noProof/>
            <w:webHidden/>
          </w:rPr>
          <w:fldChar w:fldCharType="separate"/>
        </w:r>
        <w:r>
          <w:rPr>
            <w:noProof/>
            <w:webHidden/>
          </w:rPr>
          <w:t>74</w:t>
        </w:r>
        <w:r>
          <w:rPr>
            <w:noProof/>
            <w:webHidden/>
          </w:rPr>
          <w:fldChar w:fldCharType="end"/>
        </w:r>
      </w:hyperlink>
    </w:p>
    <w:p w14:paraId="47B7381F" w14:textId="2C35D31F" w:rsidR="006648B0" w:rsidRDefault="006648B0">
      <w:pPr>
        <w:pStyle w:val="TOC1"/>
        <w:rPr>
          <w:rFonts w:asciiTheme="minorHAnsi" w:hAnsiTheme="minorHAnsi"/>
          <w:b w:val="0"/>
          <w:noProof/>
          <w:color w:val="auto"/>
          <w:sz w:val="24"/>
        </w:rPr>
      </w:pPr>
      <w:hyperlink w:anchor="_Toc237663659" w:history="1">
        <w:r w:rsidRPr="00116326">
          <w:rPr>
            <w:rStyle w:val="Hyperlink"/>
            <w:noProof/>
          </w:rPr>
          <w:t>SIGNATURE AND EXECUTION</w:t>
        </w:r>
        <w:r>
          <w:rPr>
            <w:noProof/>
            <w:webHidden/>
          </w:rPr>
          <w:tab/>
        </w:r>
        <w:r>
          <w:rPr>
            <w:noProof/>
            <w:webHidden/>
          </w:rPr>
          <w:fldChar w:fldCharType="begin"/>
        </w:r>
        <w:r>
          <w:rPr>
            <w:noProof/>
            <w:webHidden/>
          </w:rPr>
          <w:instrText xml:space="preserve"> PAGEREF _Toc237663659 \h </w:instrText>
        </w:r>
        <w:r>
          <w:rPr>
            <w:noProof/>
            <w:webHidden/>
          </w:rPr>
        </w:r>
        <w:r>
          <w:rPr>
            <w:noProof/>
            <w:webHidden/>
          </w:rPr>
          <w:fldChar w:fldCharType="separate"/>
        </w:r>
        <w:r>
          <w:rPr>
            <w:noProof/>
            <w:webHidden/>
          </w:rPr>
          <w:t>75</w:t>
        </w:r>
        <w:r>
          <w:rPr>
            <w:noProof/>
            <w:webHidden/>
          </w:rPr>
          <w:fldChar w:fldCharType="end"/>
        </w:r>
      </w:hyperlink>
    </w:p>
    <w:p w14:paraId="5AF0D54D" w14:textId="67193E98" w:rsidR="006648B0" w:rsidRDefault="006648B0">
      <w:pPr>
        <w:pStyle w:val="TOC1"/>
        <w:rPr>
          <w:rFonts w:asciiTheme="minorHAnsi" w:hAnsiTheme="minorHAnsi"/>
          <w:b w:val="0"/>
          <w:noProof/>
          <w:color w:val="auto"/>
          <w:sz w:val="24"/>
        </w:rPr>
      </w:pPr>
      <w:hyperlink w:anchor="_Toc237663660" w:history="1">
        <w:r w:rsidRPr="00116326">
          <w:rPr>
            <w:rStyle w:val="Hyperlink"/>
            <w:noProof/>
          </w:rPr>
          <w:t>ANNEX E: THE COTHROM VERIFICATION METHOD (FULL TEXT, INCORPORATED AS OPERATIVE LAW)</w:t>
        </w:r>
        <w:r>
          <w:rPr>
            <w:noProof/>
            <w:webHidden/>
          </w:rPr>
          <w:tab/>
        </w:r>
        <w:r>
          <w:rPr>
            <w:noProof/>
            <w:webHidden/>
          </w:rPr>
          <w:fldChar w:fldCharType="begin"/>
        </w:r>
        <w:r>
          <w:rPr>
            <w:noProof/>
            <w:webHidden/>
          </w:rPr>
          <w:instrText xml:space="preserve"> PAGEREF _Toc237663660 \h </w:instrText>
        </w:r>
        <w:r>
          <w:rPr>
            <w:noProof/>
            <w:webHidden/>
          </w:rPr>
        </w:r>
        <w:r>
          <w:rPr>
            <w:noProof/>
            <w:webHidden/>
          </w:rPr>
          <w:fldChar w:fldCharType="separate"/>
        </w:r>
        <w:r>
          <w:rPr>
            <w:noProof/>
            <w:webHidden/>
          </w:rPr>
          <w:t>76</w:t>
        </w:r>
        <w:r>
          <w:rPr>
            <w:noProof/>
            <w:webHidden/>
          </w:rPr>
          <w:fldChar w:fldCharType="end"/>
        </w:r>
      </w:hyperlink>
    </w:p>
    <w:p w14:paraId="6433D538" w14:textId="195B922A" w:rsidR="006648B0" w:rsidRDefault="006648B0">
      <w:pPr>
        <w:pStyle w:val="TOC2"/>
        <w:rPr>
          <w:rFonts w:asciiTheme="minorHAnsi" w:hAnsiTheme="minorHAnsi"/>
          <w:noProof/>
          <w:color w:val="auto"/>
          <w:sz w:val="24"/>
        </w:rPr>
      </w:pPr>
      <w:hyperlink w:anchor="_Toc237663661" w:history="1">
        <w:r w:rsidRPr="00116326">
          <w:rPr>
            <w:rStyle w:val="Hyperlink"/>
            <w:noProof/>
          </w:rPr>
          <w:t>PREAMBLE: THE COTHROM PRINCIPLE</w:t>
        </w:r>
        <w:r>
          <w:rPr>
            <w:noProof/>
            <w:webHidden/>
          </w:rPr>
          <w:tab/>
        </w:r>
        <w:r>
          <w:rPr>
            <w:noProof/>
            <w:webHidden/>
          </w:rPr>
          <w:fldChar w:fldCharType="begin"/>
        </w:r>
        <w:r>
          <w:rPr>
            <w:noProof/>
            <w:webHidden/>
          </w:rPr>
          <w:instrText xml:space="preserve"> PAGEREF _Toc237663661 \h </w:instrText>
        </w:r>
        <w:r>
          <w:rPr>
            <w:noProof/>
            <w:webHidden/>
          </w:rPr>
        </w:r>
        <w:r>
          <w:rPr>
            <w:noProof/>
            <w:webHidden/>
          </w:rPr>
          <w:fldChar w:fldCharType="separate"/>
        </w:r>
        <w:r>
          <w:rPr>
            <w:noProof/>
            <w:webHidden/>
          </w:rPr>
          <w:t>76</w:t>
        </w:r>
        <w:r>
          <w:rPr>
            <w:noProof/>
            <w:webHidden/>
          </w:rPr>
          <w:fldChar w:fldCharType="end"/>
        </w:r>
      </w:hyperlink>
    </w:p>
    <w:p w14:paraId="3387B4EA" w14:textId="3891D682" w:rsidR="006648B0" w:rsidRDefault="006648B0">
      <w:pPr>
        <w:pStyle w:val="TOC2"/>
        <w:rPr>
          <w:rFonts w:asciiTheme="minorHAnsi" w:hAnsiTheme="minorHAnsi"/>
          <w:noProof/>
          <w:color w:val="auto"/>
          <w:sz w:val="24"/>
        </w:rPr>
      </w:pPr>
      <w:hyperlink w:anchor="_Toc237663662" w:history="1">
        <w:r w:rsidRPr="00116326">
          <w:rPr>
            <w:rStyle w:val="Hyperlink"/>
            <w:noProof/>
          </w:rPr>
          <w:t>PART I: DATA INFRASTRUCTURE AND ANOMALY DETECTION</w:t>
        </w:r>
        <w:r>
          <w:rPr>
            <w:noProof/>
            <w:webHidden/>
          </w:rPr>
          <w:tab/>
        </w:r>
        <w:r>
          <w:rPr>
            <w:noProof/>
            <w:webHidden/>
          </w:rPr>
          <w:fldChar w:fldCharType="begin"/>
        </w:r>
        <w:r>
          <w:rPr>
            <w:noProof/>
            <w:webHidden/>
          </w:rPr>
          <w:instrText xml:space="preserve"> PAGEREF _Toc237663662 \h </w:instrText>
        </w:r>
        <w:r>
          <w:rPr>
            <w:noProof/>
            <w:webHidden/>
          </w:rPr>
        </w:r>
        <w:r>
          <w:rPr>
            <w:noProof/>
            <w:webHidden/>
          </w:rPr>
          <w:fldChar w:fldCharType="separate"/>
        </w:r>
        <w:r>
          <w:rPr>
            <w:noProof/>
            <w:webHidden/>
          </w:rPr>
          <w:t>76</w:t>
        </w:r>
        <w:r>
          <w:rPr>
            <w:noProof/>
            <w:webHidden/>
          </w:rPr>
          <w:fldChar w:fldCharType="end"/>
        </w:r>
      </w:hyperlink>
    </w:p>
    <w:p w14:paraId="78343A3D" w14:textId="7F6A41AF" w:rsidR="006648B0" w:rsidRDefault="006648B0">
      <w:pPr>
        <w:pStyle w:val="TOC2"/>
        <w:rPr>
          <w:rFonts w:asciiTheme="minorHAnsi" w:hAnsiTheme="minorHAnsi"/>
          <w:noProof/>
          <w:color w:val="auto"/>
          <w:sz w:val="24"/>
        </w:rPr>
      </w:pPr>
      <w:hyperlink w:anchor="_Toc237663663" w:history="1">
        <w:r w:rsidRPr="00116326">
          <w:rPr>
            <w:rStyle w:val="Hyperlink"/>
            <w:noProof/>
          </w:rPr>
          <w:t>PART II: ADVERSARIAL CLAIM VERIFICATION</w:t>
        </w:r>
        <w:r>
          <w:rPr>
            <w:noProof/>
            <w:webHidden/>
          </w:rPr>
          <w:tab/>
        </w:r>
        <w:r>
          <w:rPr>
            <w:noProof/>
            <w:webHidden/>
          </w:rPr>
          <w:fldChar w:fldCharType="begin"/>
        </w:r>
        <w:r>
          <w:rPr>
            <w:noProof/>
            <w:webHidden/>
          </w:rPr>
          <w:instrText xml:space="preserve"> PAGEREF _Toc237663663 \h </w:instrText>
        </w:r>
        <w:r>
          <w:rPr>
            <w:noProof/>
            <w:webHidden/>
          </w:rPr>
        </w:r>
        <w:r>
          <w:rPr>
            <w:noProof/>
            <w:webHidden/>
          </w:rPr>
          <w:fldChar w:fldCharType="separate"/>
        </w:r>
        <w:r>
          <w:rPr>
            <w:noProof/>
            <w:webHidden/>
          </w:rPr>
          <w:t>80</w:t>
        </w:r>
        <w:r>
          <w:rPr>
            <w:noProof/>
            <w:webHidden/>
          </w:rPr>
          <w:fldChar w:fldCharType="end"/>
        </w:r>
      </w:hyperlink>
    </w:p>
    <w:p w14:paraId="06AB3013" w14:textId="45F705DD" w:rsidR="006648B0" w:rsidRDefault="006648B0">
      <w:pPr>
        <w:pStyle w:val="TOC2"/>
        <w:rPr>
          <w:rFonts w:asciiTheme="minorHAnsi" w:hAnsiTheme="minorHAnsi"/>
          <w:noProof/>
          <w:color w:val="auto"/>
          <w:sz w:val="24"/>
        </w:rPr>
      </w:pPr>
      <w:hyperlink w:anchor="_Toc237663664" w:history="1">
        <w:r w:rsidRPr="00116326">
          <w:rPr>
            <w:rStyle w:val="Hyperlink"/>
            <w:noProof/>
          </w:rPr>
          <w:t>PART III: THE STEP-BACK AND EARN-BACK COMPLIANCE ENGINE</w:t>
        </w:r>
        <w:r>
          <w:rPr>
            <w:noProof/>
            <w:webHidden/>
          </w:rPr>
          <w:tab/>
        </w:r>
        <w:r>
          <w:rPr>
            <w:noProof/>
            <w:webHidden/>
          </w:rPr>
          <w:fldChar w:fldCharType="begin"/>
        </w:r>
        <w:r>
          <w:rPr>
            <w:noProof/>
            <w:webHidden/>
          </w:rPr>
          <w:instrText xml:space="preserve"> PAGEREF _Toc237663664 \h </w:instrText>
        </w:r>
        <w:r>
          <w:rPr>
            <w:noProof/>
            <w:webHidden/>
          </w:rPr>
        </w:r>
        <w:r>
          <w:rPr>
            <w:noProof/>
            <w:webHidden/>
          </w:rPr>
          <w:fldChar w:fldCharType="separate"/>
        </w:r>
        <w:r>
          <w:rPr>
            <w:noProof/>
            <w:webHidden/>
          </w:rPr>
          <w:t>86</w:t>
        </w:r>
        <w:r>
          <w:rPr>
            <w:noProof/>
            <w:webHidden/>
          </w:rPr>
          <w:fldChar w:fldCharType="end"/>
        </w:r>
      </w:hyperlink>
    </w:p>
    <w:p w14:paraId="705FEA65" w14:textId="58E7A363" w:rsidR="006648B0" w:rsidRDefault="006648B0">
      <w:pPr>
        <w:pStyle w:val="TOC2"/>
        <w:rPr>
          <w:rFonts w:asciiTheme="minorHAnsi" w:hAnsiTheme="minorHAnsi"/>
          <w:noProof/>
          <w:color w:val="auto"/>
          <w:sz w:val="24"/>
        </w:rPr>
      </w:pPr>
      <w:hyperlink w:anchor="_Toc237663665" w:history="1">
        <w:r w:rsidRPr="00116326">
          <w:rPr>
            <w:rStyle w:val="Hyperlink"/>
            <w:noProof/>
          </w:rPr>
          <w:t>PART IV: PROTECTIVE ARCHITECTURE</w:t>
        </w:r>
        <w:r>
          <w:rPr>
            <w:noProof/>
            <w:webHidden/>
          </w:rPr>
          <w:tab/>
        </w:r>
        <w:r>
          <w:rPr>
            <w:noProof/>
            <w:webHidden/>
          </w:rPr>
          <w:fldChar w:fldCharType="begin"/>
        </w:r>
        <w:r>
          <w:rPr>
            <w:noProof/>
            <w:webHidden/>
          </w:rPr>
          <w:instrText xml:space="preserve"> PAGEREF _Toc237663665 \h </w:instrText>
        </w:r>
        <w:r>
          <w:rPr>
            <w:noProof/>
            <w:webHidden/>
          </w:rPr>
        </w:r>
        <w:r>
          <w:rPr>
            <w:noProof/>
            <w:webHidden/>
          </w:rPr>
          <w:fldChar w:fldCharType="separate"/>
        </w:r>
        <w:r>
          <w:rPr>
            <w:noProof/>
            <w:webHidden/>
          </w:rPr>
          <w:t>90</w:t>
        </w:r>
        <w:r>
          <w:rPr>
            <w:noProof/>
            <w:webHidden/>
          </w:rPr>
          <w:fldChar w:fldCharType="end"/>
        </w:r>
      </w:hyperlink>
    </w:p>
    <w:p w14:paraId="2AB005F3" w14:textId="003909B1" w:rsidR="006648B0" w:rsidRDefault="006648B0">
      <w:pPr>
        <w:pStyle w:val="TOC2"/>
        <w:rPr>
          <w:rFonts w:asciiTheme="minorHAnsi" w:hAnsiTheme="minorHAnsi"/>
          <w:noProof/>
          <w:color w:val="auto"/>
          <w:sz w:val="24"/>
        </w:rPr>
      </w:pPr>
      <w:hyperlink w:anchor="_Toc237663666" w:history="1">
        <w:r w:rsidRPr="00116326">
          <w:rPr>
            <w:rStyle w:val="Hyperlink"/>
            <w:noProof/>
          </w:rPr>
          <w:t>PART V: OPERATIONAL SUPPLEMENTS</w:t>
        </w:r>
        <w:r>
          <w:rPr>
            <w:noProof/>
            <w:webHidden/>
          </w:rPr>
          <w:tab/>
        </w:r>
        <w:r>
          <w:rPr>
            <w:noProof/>
            <w:webHidden/>
          </w:rPr>
          <w:fldChar w:fldCharType="begin"/>
        </w:r>
        <w:r>
          <w:rPr>
            <w:noProof/>
            <w:webHidden/>
          </w:rPr>
          <w:instrText xml:space="preserve"> PAGEREF _Toc237663666 \h </w:instrText>
        </w:r>
        <w:r>
          <w:rPr>
            <w:noProof/>
            <w:webHidden/>
          </w:rPr>
        </w:r>
        <w:r>
          <w:rPr>
            <w:noProof/>
            <w:webHidden/>
          </w:rPr>
          <w:fldChar w:fldCharType="separate"/>
        </w:r>
        <w:r>
          <w:rPr>
            <w:noProof/>
            <w:webHidden/>
          </w:rPr>
          <w:t>92</w:t>
        </w:r>
        <w:r>
          <w:rPr>
            <w:noProof/>
            <w:webHidden/>
          </w:rPr>
          <w:fldChar w:fldCharType="end"/>
        </w:r>
      </w:hyperlink>
    </w:p>
    <w:p w14:paraId="3DE10C6D" w14:textId="488A1E45" w:rsidR="006648B0" w:rsidRDefault="006648B0">
      <w:pPr>
        <w:pStyle w:val="TOC2"/>
        <w:rPr>
          <w:rFonts w:asciiTheme="minorHAnsi" w:hAnsiTheme="minorHAnsi"/>
          <w:noProof/>
          <w:color w:val="auto"/>
          <w:sz w:val="24"/>
        </w:rPr>
      </w:pPr>
      <w:hyperlink w:anchor="_Toc237663667" w:history="1">
        <w:r w:rsidRPr="00116326">
          <w:rPr>
            <w:rStyle w:val="Hyperlink"/>
            <w:noProof/>
          </w:rPr>
          <w:t>CLOSING</w:t>
        </w:r>
        <w:r>
          <w:rPr>
            <w:noProof/>
            <w:webHidden/>
          </w:rPr>
          <w:tab/>
        </w:r>
        <w:r>
          <w:rPr>
            <w:noProof/>
            <w:webHidden/>
          </w:rPr>
          <w:fldChar w:fldCharType="begin"/>
        </w:r>
        <w:r>
          <w:rPr>
            <w:noProof/>
            <w:webHidden/>
          </w:rPr>
          <w:instrText xml:space="preserve"> PAGEREF _Toc237663667 \h </w:instrText>
        </w:r>
        <w:r>
          <w:rPr>
            <w:noProof/>
            <w:webHidden/>
          </w:rPr>
        </w:r>
        <w:r>
          <w:rPr>
            <w:noProof/>
            <w:webHidden/>
          </w:rPr>
          <w:fldChar w:fldCharType="separate"/>
        </w:r>
        <w:r>
          <w:rPr>
            <w:noProof/>
            <w:webHidden/>
          </w:rPr>
          <w:t>97</w:t>
        </w:r>
        <w:r>
          <w:rPr>
            <w:noProof/>
            <w:webHidden/>
          </w:rPr>
          <w:fldChar w:fldCharType="end"/>
        </w:r>
      </w:hyperlink>
    </w:p>
    <w:p w14:paraId="7DA68092" w14:textId="33A3E4D3" w:rsidR="006648B0" w:rsidRDefault="006648B0">
      <w:pPr>
        <w:pStyle w:val="TOC1"/>
        <w:rPr>
          <w:rFonts w:asciiTheme="minorHAnsi" w:hAnsiTheme="minorHAnsi"/>
          <w:b w:val="0"/>
          <w:noProof/>
          <w:color w:val="auto"/>
          <w:sz w:val="24"/>
        </w:rPr>
      </w:pPr>
      <w:hyperlink w:anchor="_Toc237663668" w:history="1">
        <w:r w:rsidRPr="00116326">
          <w:rPr>
            <w:rStyle w:val="Hyperlink"/>
            <w:noProof/>
          </w:rPr>
          <w:t>ANNEX RDF: THE RECONSTRUCTION AND DEVELOPMENT FUND PROTOCOL (FULL TEXT, INCORPORATED AS OPERATIVE LAW)</w:t>
        </w:r>
        <w:r>
          <w:rPr>
            <w:noProof/>
            <w:webHidden/>
          </w:rPr>
          <w:tab/>
        </w:r>
        <w:r>
          <w:rPr>
            <w:noProof/>
            <w:webHidden/>
          </w:rPr>
          <w:fldChar w:fldCharType="begin"/>
        </w:r>
        <w:r>
          <w:rPr>
            <w:noProof/>
            <w:webHidden/>
          </w:rPr>
          <w:instrText xml:space="preserve"> PAGEREF _Toc237663668 \h </w:instrText>
        </w:r>
        <w:r>
          <w:rPr>
            <w:noProof/>
            <w:webHidden/>
          </w:rPr>
        </w:r>
        <w:r>
          <w:rPr>
            <w:noProof/>
            <w:webHidden/>
          </w:rPr>
          <w:fldChar w:fldCharType="separate"/>
        </w:r>
        <w:r>
          <w:rPr>
            <w:noProof/>
            <w:webHidden/>
          </w:rPr>
          <w:t>98</w:t>
        </w:r>
        <w:r>
          <w:rPr>
            <w:noProof/>
            <w:webHidden/>
          </w:rPr>
          <w:fldChar w:fldCharType="end"/>
        </w:r>
      </w:hyperlink>
    </w:p>
    <w:p w14:paraId="779F4C1C" w14:textId="37C675BA" w:rsidR="006648B0" w:rsidRDefault="006648B0">
      <w:pPr>
        <w:pStyle w:val="TOC2"/>
        <w:rPr>
          <w:rFonts w:asciiTheme="minorHAnsi" w:hAnsiTheme="minorHAnsi"/>
          <w:noProof/>
          <w:color w:val="auto"/>
          <w:sz w:val="24"/>
        </w:rPr>
      </w:pPr>
      <w:hyperlink w:anchor="_Toc237663669" w:history="1">
        <w:r w:rsidRPr="00116326">
          <w:rPr>
            <w:rStyle w:val="Hyperlink"/>
            <w:noProof/>
          </w:rPr>
          <w:t>ANNEX RDF</w:t>
        </w:r>
        <w:r>
          <w:rPr>
            <w:noProof/>
            <w:webHidden/>
          </w:rPr>
          <w:tab/>
        </w:r>
        <w:r>
          <w:rPr>
            <w:noProof/>
            <w:webHidden/>
          </w:rPr>
          <w:fldChar w:fldCharType="begin"/>
        </w:r>
        <w:r>
          <w:rPr>
            <w:noProof/>
            <w:webHidden/>
          </w:rPr>
          <w:instrText xml:space="preserve"> PAGEREF _Toc237663669 \h </w:instrText>
        </w:r>
        <w:r>
          <w:rPr>
            <w:noProof/>
            <w:webHidden/>
          </w:rPr>
        </w:r>
        <w:r>
          <w:rPr>
            <w:noProof/>
            <w:webHidden/>
          </w:rPr>
          <w:fldChar w:fldCharType="separate"/>
        </w:r>
        <w:r>
          <w:rPr>
            <w:noProof/>
            <w:webHidden/>
          </w:rPr>
          <w:t>98</w:t>
        </w:r>
        <w:r>
          <w:rPr>
            <w:noProof/>
            <w:webHidden/>
          </w:rPr>
          <w:fldChar w:fldCharType="end"/>
        </w:r>
      </w:hyperlink>
    </w:p>
    <w:p w14:paraId="3537BDBE" w14:textId="1D546E0B" w:rsidR="006648B0" w:rsidRDefault="006648B0">
      <w:pPr>
        <w:pStyle w:val="TOC2"/>
        <w:rPr>
          <w:rFonts w:asciiTheme="minorHAnsi" w:hAnsiTheme="minorHAnsi"/>
          <w:noProof/>
          <w:color w:val="auto"/>
          <w:sz w:val="24"/>
        </w:rPr>
      </w:pPr>
      <w:hyperlink w:anchor="_Toc237663670" w:history="1">
        <w:r w:rsidRPr="00116326">
          <w:rPr>
            <w:rStyle w:val="Hyperlink"/>
            <w:noProof/>
          </w:rPr>
          <w:t>Preamble</w:t>
        </w:r>
        <w:r>
          <w:rPr>
            <w:noProof/>
            <w:webHidden/>
          </w:rPr>
          <w:tab/>
        </w:r>
        <w:r>
          <w:rPr>
            <w:noProof/>
            <w:webHidden/>
          </w:rPr>
          <w:fldChar w:fldCharType="begin"/>
        </w:r>
        <w:r>
          <w:rPr>
            <w:noProof/>
            <w:webHidden/>
          </w:rPr>
          <w:instrText xml:space="preserve"> PAGEREF _Toc237663670 \h </w:instrText>
        </w:r>
        <w:r>
          <w:rPr>
            <w:noProof/>
            <w:webHidden/>
          </w:rPr>
        </w:r>
        <w:r>
          <w:rPr>
            <w:noProof/>
            <w:webHidden/>
          </w:rPr>
          <w:fldChar w:fldCharType="separate"/>
        </w:r>
        <w:r>
          <w:rPr>
            <w:noProof/>
            <w:webHidden/>
          </w:rPr>
          <w:t>98</w:t>
        </w:r>
        <w:r>
          <w:rPr>
            <w:noProof/>
            <w:webHidden/>
          </w:rPr>
          <w:fldChar w:fldCharType="end"/>
        </w:r>
      </w:hyperlink>
    </w:p>
    <w:p w14:paraId="3676E755" w14:textId="03ABF15A" w:rsidR="006648B0" w:rsidRDefault="006648B0">
      <w:pPr>
        <w:pStyle w:val="TOC2"/>
        <w:rPr>
          <w:rFonts w:asciiTheme="minorHAnsi" w:hAnsiTheme="minorHAnsi"/>
          <w:noProof/>
          <w:color w:val="auto"/>
          <w:sz w:val="24"/>
        </w:rPr>
      </w:pPr>
      <w:hyperlink w:anchor="_Toc237663671" w:history="1">
        <w:r w:rsidRPr="00116326">
          <w:rPr>
            <w:rStyle w:val="Hyperlink"/>
            <w:noProof/>
          </w:rPr>
          <w:t>Index</w:t>
        </w:r>
        <w:r>
          <w:rPr>
            <w:noProof/>
            <w:webHidden/>
          </w:rPr>
          <w:tab/>
        </w:r>
        <w:r>
          <w:rPr>
            <w:noProof/>
            <w:webHidden/>
          </w:rPr>
          <w:fldChar w:fldCharType="begin"/>
        </w:r>
        <w:r>
          <w:rPr>
            <w:noProof/>
            <w:webHidden/>
          </w:rPr>
          <w:instrText xml:space="preserve"> PAGEREF _Toc237663671 \h </w:instrText>
        </w:r>
        <w:r>
          <w:rPr>
            <w:noProof/>
            <w:webHidden/>
          </w:rPr>
        </w:r>
        <w:r>
          <w:rPr>
            <w:noProof/>
            <w:webHidden/>
          </w:rPr>
          <w:fldChar w:fldCharType="separate"/>
        </w:r>
        <w:r>
          <w:rPr>
            <w:noProof/>
            <w:webHidden/>
          </w:rPr>
          <w:t>100</w:t>
        </w:r>
        <w:r>
          <w:rPr>
            <w:noProof/>
            <w:webHidden/>
          </w:rPr>
          <w:fldChar w:fldCharType="end"/>
        </w:r>
      </w:hyperlink>
    </w:p>
    <w:p w14:paraId="0A958265" w14:textId="77176480" w:rsidR="006648B0" w:rsidRDefault="006648B0">
      <w:pPr>
        <w:pStyle w:val="TOC2"/>
        <w:rPr>
          <w:rFonts w:asciiTheme="minorHAnsi" w:hAnsiTheme="minorHAnsi"/>
          <w:noProof/>
          <w:color w:val="auto"/>
          <w:sz w:val="24"/>
        </w:rPr>
      </w:pPr>
      <w:hyperlink w:anchor="_Toc237663672" w:history="1">
        <w:r w:rsidRPr="00116326">
          <w:rPr>
            <w:rStyle w:val="Hyperlink"/>
            <w:noProof/>
          </w:rPr>
          <w:t>Article 1: Definitions</w:t>
        </w:r>
        <w:r>
          <w:rPr>
            <w:noProof/>
            <w:webHidden/>
          </w:rPr>
          <w:tab/>
        </w:r>
        <w:r>
          <w:rPr>
            <w:noProof/>
            <w:webHidden/>
          </w:rPr>
          <w:fldChar w:fldCharType="begin"/>
        </w:r>
        <w:r>
          <w:rPr>
            <w:noProof/>
            <w:webHidden/>
          </w:rPr>
          <w:instrText xml:space="preserve"> PAGEREF _Toc237663672 \h </w:instrText>
        </w:r>
        <w:r>
          <w:rPr>
            <w:noProof/>
            <w:webHidden/>
          </w:rPr>
        </w:r>
        <w:r>
          <w:rPr>
            <w:noProof/>
            <w:webHidden/>
          </w:rPr>
          <w:fldChar w:fldCharType="separate"/>
        </w:r>
        <w:r>
          <w:rPr>
            <w:noProof/>
            <w:webHidden/>
          </w:rPr>
          <w:t>100</w:t>
        </w:r>
        <w:r>
          <w:rPr>
            <w:noProof/>
            <w:webHidden/>
          </w:rPr>
          <w:fldChar w:fldCharType="end"/>
        </w:r>
      </w:hyperlink>
    </w:p>
    <w:p w14:paraId="24B8205B" w14:textId="1DCA118E" w:rsidR="006648B0" w:rsidRDefault="006648B0">
      <w:pPr>
        <w:pStyle w:val="TOC2"/>
        <w:rPr>
          <w:rFonts w:asciiTheme="minorHAnsi" w:hAnsiTheme="minorHAnsi"/>
          <w:noProof/>
          <w:color w:val="auto"/>
          <w:sz w:val="24"/>
        </w:rPr>
      </w:pPr>
      <w:hyperlink w:anchor="_Toc237663673" w:history="1">
        <w:r w:rsidRPr="00116326">
          <w:rPr>
            <w:rStyle w:val="Hyperlink"/>
            <w:noProof/>
          </w:rPr>
          <w:t>Article 2: Capital Aggregation and Escrow</w:t>
        </w:r>
        <w:r>
          <w:rPr>
            <w:noProof/>
            <w:webHidden/>
          </w:rPr>
          <w:tab/>
        </w:r>
        <w:r>
          <w:rPr>
            <w:noProof/>
            <w:webHidden/>
          </w:rPr>
          <w:fldChar w:fldCharType="begin"/>
        </w:r>
        <w:r>
          <w:rPr>
            <w:noProof/>
            <w:webHidden/>
          </w:rPr>
          <w:instrText xml:space="preserve"> PAGEREF _Toc237663673 \h </w:instrText>
        </w:r>
        <w:r>
          <w:rPr>
            <w:noProof/>
            <w:webHidden/>
          </w:rPr>
        </w:r>
        <w:r>
          <w:rPr>
            <w:noProof/>
            <w:webHidden/>
          </w:rPr>
          <w:fldChar w:fldCharType="separate"/>
        </w:r>
        <w:r>
          <w:rPr>
            <w:noProof/>
            <w:webHidden/>
          </w:rPr>
          <w:t>108</w:t>
        </w:r>
        <w:r>
          <w:rPr>
            <w:noProof/>
            <w:webHidden/>
          </w:rPr>
          <w:fldChar w:fldCharType="end"/>
        </w:r>
      </w:hyperlink>
    </w:p>
    <w:p w14:paraId="46BDF75C" w14:textId="45A3BF8A" w:rsidR="006648B0" w:rsidRDefault="006648B0">
      <w:pPr>
        <w:pStyle w:val="TOC2"/>
        <w:rPr>
          <w:rFonts w:asciiTheme="minorHAnsi" w:hAnsiTheme="minorHAnsi"/>
          <w:noProof/>
          <w:color w:val="auto"/>
          <w:sz w:val="24"/>
        </w:rPr>
      </w:pPr>
      <w:hyperlink w:anchor="_Toc237663674" w:history="1">
        <w:r w:rsidRPr="00116326">
          <w:rPr>
            <w:rStyle w:val="Hyperlink"/>
            <w:noProof/>
          </w:rPr>
          <w:t>Article 3: Project Proposal and Approval Process</w:t>
        </w:r>
        <w:r>
          <w:rPr>
            <w:noProof/>
            <w:webHidden/>
          </w:rPr>
          <w:tab/>
        </w:r>
        <w:r>
          <w:rPr>
            <w:noProof/>
            <w:webHidden/>
          </w:rPr>
          <w:fldChar w:fldCharType="begin"/>
        </w:r>
        <w:r>
          <w:rPr>
            <w:noProof/>
            <w:webHidden/>
          </w:rPr>
          <w:instrText xml:space="preserve"> PAGEREF _Toc237663674 \h </w:instrText>
        </w:r>
        <w:r>
          <w:rPr>
            <w:noProof/>
            <w:webHidden/>
          </w:rPr>
        </w:r>
        <w:r>
          <w:rPr>
            <w:noProof/>
            <w:webHidden/>
          </w:rPr>
          <w:fldChar w:fldCharType="separate"/>
        </w:r>
        <w:r>
          <w:rPr>
            <w:noProof/>
            <w:webHidden/>
          </w:rPr>
          <w:t>109</w:t>
        </w:r>
        <w:r>
          <w:rPr>
            <w:noProof/>
            <w:webHidden/>
          </w:rPr>
          <w:fldChar w:fldCharType="end"/>
        </w:r>
      </w:hyperlink>
    </w:p>
    <w:p w14:paraId="00C75606" w14:textId="059EC5DF" w:rsidR="006648B0" w:rsidRDefault="006648B0">
      <w:pPr>
        <w:pStyle w:val="TOC2"/>
        <w:rPr>
          <w:rFonts w:asciiTheme="minorHAnsi" w:hAnsiTheme="minorHAnsi"/>
          <w:noProof/>
          <w:color w:val="auto"/>
          <w:sz w:val="24"/>
        </w:rPr>
      </w:pPr>
      <w:hyperlink w:anchor="_Toc237663675" w:history="1">
        <w:r w:rsidRPr="00116326">
          <w:rPr>
            <w:rStyle w:val="Hyperlink"/>
            <w:noProof/>
          </w:rPr>
          <w:t>Article 4: Disbursement and Verification</w:t>
        </w:r>
        <w:r>
          <w:rPr>
            <w:noProof/>
            <w:webHidden/>
          </w:rPr>
          <w:tab/>
        </w:r>
        <w:r>
          <w:rPr>
            <w:noProof/>
            <w:webHidden/>
          </w:rPr>
          <w:fldChar w:fldCharType="begin"/>
        </w:r>
        <w:r>
          <w:rPr>
            <w:noProof/>
            <w:webHidden/>
          </w:rPr>
          <w:instrText xml:space="preserve"> PAGEREF _Toc237663675 \h </w:instrText>
        </w:r>
        <w:r>
          <w:rPr>
            <w:noProof/>
            <w:webHidden/>
          </w:rPr>
        </w:r>
        <w:r>
          <w:rPr>
            <w:noProof/>
            <w:webHidden/>
          </w:rPr>
          <w:fldChar w:fldCharType="separate"/>
        </w:r>
        <w:r>
          <w:rPr>
            <w:noProof/>
            <w:webHidden/>
          </w:rPr>
          <w:t>111</w:t>
        </w:r>
        <w:r>
          <w:rPr>
            <w:noProof/>
            <w:webHidden/>
          </w:rPr>
          <w:fldChar w:fldCharType="end"/>
        </w:r>
      </w:hyperlink>
    </w:p>
    <w:p w14:paraId="7A3BD03C" w14:textId="6E93A9E9" w:rsidR="006648B0" w:rsidRDefault="006648B0">
      <w:pPr>
        <w:pStyle w:val="TOC2"/>
        <w:rPr>
          <w:rFonts w:asciiTheme="minorHAnsi" w:hAnsiTheme="minorHAnsi"/>
          <w:noProof/>
          <w:color w:val="auto"/>
          <w:sz w:val="24"/>
        </w:rPr>
      </w:pPr>
      <w:hyperlink w:anchor="_Toc237663676" w:history="1">
        <w:r w:rsidRPr="00116326">
          <w:rPr>
            <w:rStyle w:val="Hyperlink"/>
            <w:noProof/>
          </w:rPr>
          <w:t>Article 5: Governance and Transparency</w:t>
        </w:r>
        <w:r>
          <w:rPr>
            <w:noProof/>
            <w:webHidden/>
          </w:rPr>
          <w:tab/>
        </w:r>
        <w:r>
          <w:rPr>
            <w:noProof/>
            <w:webHidden/>
          </w:rPr>
          <w:fldChar w:fldCharType="begin"/>
        </w:r>
        <w:r>
          <w:rPr>
            <w:noProof/>
            <w:webHidden/>
          </w:rPr>
          <w:instrText xml:space="preserve"> PAGEREF _Toc237663676 \h </w:instrText>
        </w:r>
        <w:r>
          <w:rPr>
            <w:noProof/>
            <w:webHidden/>
          </w:rPr>
        </w:r>
        <w:r>
          <w:rPr>
            <w:noProof/>
            <w:webHidden/>
          </w:rPr>
          <w:fldChar w:fldCharType="separate"/>
        </w:r>
        <w:r>
          <w:rPr>
            <w:noProof/>
            <w:webHidden/>
          </w:rPr>
          <w:t>113</w:t>
        </w:r>
        <w:r>
          <w:rPr>
            <w:noProof/>
            <w:webHidden/>
          </w:rPr>
          <w:fldChar w:fldCharType="end"/>
        </w:r>
      </w:hyperlink>
    </w:p>
    <w:p w14:paraId="63B08681" w14:textId="002681B6" w:rsidR="006648B0" w:rsidRDefault="006648B0">
      <w:pPr>
        <w:pStyle w:val="TOC2"/>
        <w:rPr>
          <w:rFonts w:asciiTheme="minorHAnsi" w:hAnsiTheme="minorHAnsi"/>
          <w:noProof/>
          <w:color w:val="auto"/>
          <w:sz w:val="24"/>
        </w:rPr>
      </w:pPr>
      <w:hyperlink w:anchor="_Toc237663677" w:history="1">
        <w:r w:rsidRPr="00116326">
          <w:rPr>
            <w:rStyle w:val="Hyperlink"/>
            <w:noProof/>
          </w:rPr>
          <w:t>Article 6: Relationship to Other Annexes</w:t>
        </w:r>
        <w:r>
          <w:rPr>
            <w:noProof/>
            <w:webHidden/>
          </w:rPr>
          <w:tab/>
        </w:r>
        <w:r>
          <w:rPr>
            <w:noProof/>
            <w:webHidden/>
          </w:rPr>
          <w:fldChar w:fldCharType="begin"/>
        </w:r>
        <w:r>
          <w:rPr>
            <w:noProof/>
            <w:webHidden/>
          </w:rPr>
          <w:instrText xml:space="preserve"> PAGEREF _Toc237663677 \h </w:instrText>
        </w:r>
        <w:r>
          <w:rPr>
            <w:noProof/>
            <w:webHidden/>
          </w:rPr>
        </w:r>
        <w:r>
          <w:rPr>
            <w:noProof/>
            <w:webHidden/>
          </w:rPr>
          <w:fldChar w:fldCharType="separate"/>
        </w:r>
        <w:r>
          <w:rPr>
            <w:noProof/>
            <w:webHidden/>
          </w:rPr>
          <w:t>116</w:t>
        </w:r>
        <w:r>
          <w:rPr>
            <w:noProof/>
            <w:webHidden/>
          </w:rPr>
          <w:fldChar w:fldCharType="end"/>
        </w:r>
      </w:hyperlink>
    </w:p>
    <w:p w14:paraId="06250039" w14:textId="30E3C4BB" w:rsidR="006648B0" w:rsidRDefault="006648B0">
      <w:pPr>
        <w:pStyle w:val="TOC2"/>
        <w:rPr>
          <w:rFonts w:asciiTheme="minorHAnsi" w:hAnsiTheme="minorHAnsi"/>
          <w:noProof/>
          <w:color w:val="auto"/>
          <w:sz w:val="24"/>
        </w:rPr>
      </w:pPr>
      <w:hyperlink w:anchor="_Toc237663678" w:history="1">
        <w:r w:rsidRPr="00116326">
          <w:rPr>
            <w:rStyle w:val="Hyperlink"/>
            <w:noProof/>
          </w:rPr>
          <w:t>Article 7: Duration and Supersession</w:t>
        </w:r>
        <w:r>
          <w:rPr>
            <w:noProof/>
            <w:webHidden/>
          </w:rPr>
          <w:tab/>
        </w:r>
        <w:r>
          <w:rPr>
            <w:noProof/>
            <w:webHidden/>
          </w:rPr>
          <w:fldChar w:fldCharType="begin"/>
        </w:r>
        <w:r>
          <w:rPr>
            <w:noProof/>
            <w:webHidden/>
          </w:rPr>
          <w:instrText xml:space="preserve"> PAGEREF _Toc237663678 \h </w:instrText>
        </w:r>
        <w:r>
          <w:rPr>
            <w:noProof/>
            <w:webHidden/>
          </w:rPr>
        </w:r>
        <w:r>
          <w:rPr>
            <w:noProof/>
            <w:webHidden/>
          </w:rPr>
          <w:fldChar w:fldCharType="separate"/>
        </w:r>
        <w:r>
          <w:rPr>
            <w:noProof/>
            <w:webHidden/>
          </w:rPr>
          <w:t>117</w:t>
        </w:r>
        <w:r>
          <w:rPr>
            <w:noProof/>
            <w:webHidden/>
          </w:rPr>
          <w:fldChar w:fldCharType="end"/>
        </w:r>
      </w:hyperlink>
    </w:p>
    <w:p w14:paraId="548639C3" w14:textId="4FD48E0B" w:rsidR="006648B0" w:rsidRDefault="006648B0">
      <w:pPr>
        <w:pStyle w:val="TOC2"/>
        <w:rPr>
          <w:rFonts w:asciiTheme="minorHAnsi" w:hAnsiTheme="minorHAnsi"/>
          <w:noProof/>
          <w:color w:val="auto"/>
          <w:sz w:val="24"/>
        </w:rPr>
      </w:pPr>
      <w:hyperlink w:anchor="_Toc237663679" w:history="1">
        <w:r w:rsidRPr="00116326">
          <w:rPr>
            <w:rStyle w:val="Hyperlink"/>
            <w:noProof/>
          </w:rPr>
          <w:t>Article 8: Sovereign Procurement and Non-Directed Purchasing</w:t>
        </w:r>
        <w:r>
          <w:rPr>
            <w:noProof/>
            <w:webHidden/>
          </w:rPr>
          <w:tab/>
        </w:r>
        <w:r>
          <w:rPr>
            <w:noProof/>
            <w:webHidden/>
          </w:rPr>
          <w:fldChar w:fldCharType="begin"/>
        </w:r>
        <w:r>
          <w:rPr>
            <w:noProof/>
            <w:webHidden/>
          </w:rPr>
          <w:instrText xml:space="preserve"> PAGEREF _Toc237663679 \h </w:instrText>
        </w:r>
        <w:r>
          <w:rPr>
            <w:noProof/>
            <w:webHidden/>
          </w:rPr>
        </w:r>
        <w:r>
          <w:rPr>
            <w:noProof/>
            <w:webHidden/>
          </w:rPr>
          <w:fldChar w:fldCharType="separate"/>
        </w:r>
        <w:r>
          <w:rPr>
            <w:noProof/>
            <w:webHidden/>
          </w:rPr>
          <w:t>119</w:t>
        </w:r>
        <w:r>
          <w:rPr>
            <w:noProof/>
            <w:webHidden/>
          </w:rPr>
          <w:fldChar w:fldCharType="end"/>
        </w:r>
      </w:hyperlink>
    </w:p>
    <w:p w14:paraId="3C62CA60" w14:textId="220A6FAB" w:rsidR="006648B0" w:rsidRDefault="006648B0">
      <w:pPr>
        <w:pStyle w:val="TOC2"/>
        <w:rPr>
          <w:rFonts w:asciiTheme="minorHAnsi" w:hAnsiTheme="minorHAnsi"/>
          <w:noProof/>
          <w:color w:val="auto"/>
          <w:sz w:val="24"/>
        </w:rPr>
      </w:pPr>
      <w:hyperlink w:anchor="_Toc237663680" w:history="1">
        <w:r w:rsidRPr="00116326">
          <w:rPr>
            <w:rStyle w:val="Hyperlink"/>
            <w:noProof/>
          </w:rPr>
          <w:t>Appendix A: Capital Contributor Registry</w:t>
        </w:r>
        <w:r>
          <w:rPr>
            <w:noProof/>
            <w:webHidden/>
          </w:rPr>
          <w:tab/>
        </w:r>
        <w:r>
          <w:rPr>
            <w:noProof/>
            <w:webHidden/>
          </w:rPr>
          <w:fldChar w:fldCharType="begin"/>
        </w:r>
        <w:r>
          <w:rPr>
            <w:noProof/>
            <w:webHidden/>
          </w:rPr>
          <w:instrText xml:space="preserve"> PAGEREF _Toc237663680 \h </w:instrText>
        </w:r>
        <w:r>
          <w:rPr>
            <w:noProof/>
            <w:webHidden/>
          </w:rPr>
        </w:r>
        <w:r>
          <w:rPr>
            <w:noProof/>
            <w:webHidden/>
          </w:rPr>
          <w:fldChar w:fldCharType="separate"/>
        </w:r>
        <w:r>
          <w:rPr>
            <w:noProof/>
            <w:webHidden/>
          </w:rPr>
          <w:t>120</w:t>
        </w:r>
        <w:r>
          <w:rPr>
            <w:noProof/>
            <w:webHidden/>
          </w:rPr>
          <w:fldChar w:fldCharType="end"/>
        </w:r>
      </w:hyperlink>
    </w:p>
    <w:p w14:paraId="34FAAB3A" w14:textId="69719723" w:rsidR="006648B0" w:rsidRDefault="006648B0">
      <w:pPr>
        <w:pStyle w:val="TOC2"/>
        <w:rPr>
          <w:rFonts w:asciiTheme="minorHAnsi" w:hAnsiTheme="minorHAnsi"/>
          <w:noProof/>
          <w:color w:val="auto"/>
          <w:sz w:val="24"/>
        </w:rPr>
      </w:pPr>
      <w:hyperlink w:anchor="_Toc237663681" w:history="1">
        <w:r w:rsidRPr="00116326">
          <w:rPr>
            <w:rStyle w:val="Hyperlink"/>
            <w:noProof/>
          </w:rPr>
          <w:t>Appendix B: Regional Development Funds and Grant Programs</w:t>
        </w:r>
        <w:r>
          <w:rPr>
            <w:noProof/>
            <w:webHidden/>
          </w:rPr>
          <w:tab/>
        </w:r>
        <w:r>
          <w:rPr>
            <w:noProof/>
            <w:webHidden/>
          </w:rPr>
          <w:fldChar w:fldCharType="begin"/>
        </w:r>
        <w:r>
          <w:rPr>
            <w:noProof/>
            <w:webHidden/>
          </w:rPr>
          <w:instrText xml:space="preserve"> PAGEREF _Toc237663681 \h </w:instrText>
        </w:r>
        <w:r>
          <w:rPr>
            <w:noProof/>
            <w:webHidden/>
          </w:rPr>
        </w:r>
        <w:r>
          <w:rPr>
            <w:noProof/>
            <w:webHidden/>
          </w:rPr>
          <w:fldChar w:fldCharType="separate"/>
        </w:r>
        <w:r>
          <w:rPr>
            <w:noProof/>
            <w:webHidden/>
          </w:rPr>
          <w:t>122</w:t>
        </w:r>
        <w:r>
          <w:rPr>
            <w:noProof/>
            <w:webHidden/>
          </w:rPr>
          <w:fldChar w:fldCharType="end"/>
        </w:r>
      </w:hyperlink>
    </w:p>
    <w:p w14:paraId="0F87AE8F" w14:textId="737E9742" w:rsidR="006648B0" w:rsidRDefault="006648B0">
      <w:pPr>
        <w:pStyle w:val="TOC2"/>
        <w:rPr>
          <w:rFonts w:asciiTheme="minorHAnsi" w:hAnsiTheme="minorHAnsi"/>
          <w:noProof/>
          <w:color w:val="auto"/>
          <w:sz w:val="24"/>
        </w:rPr>
      </w:pPr>
      <w:hyperlink w:anchor="_Toc237663682" w:history="1">
        <w:r w:rsidRPr="00116326">
          <w:rPr>
            <w:rStyle w:val="Hyperlink"/>
            <w:noProof/>
          </w:rPr>
          <w:t>Appendix C: The Multilateral Architecture</w:t>
        </w:r>
        <w:r>
          <w:rPr>
            <w:noProof/>
            <w:webHidden/>
          </w:rPr>
          <w:tab/>
        </w:r>
        <w:r>
          <w:rPr>
            <w:noProof/>
            <w:webHidden/>
          </w:rPr>
          <w:fldChar w:fldCharType="begin"/>
        </w:r>
        <w:r>
          <w:rPr>
            <w:noProof/>
            <w:webHidden/>
          </w:rPr>
          <w:instrText xml:space="preserve"> PAGEREF _Toc237663682 \h </w:instrText>
        </w:r>
        <w:r>
          <w:rPr>
            <w:noProof/>
            <w:webHidden/>
          </w:rPr>
        </w:r>
        <w:r>
          <w:rPr>
            <w:noProof/>
            <w:webHidden/>
          </w:rPr>
          <w:fldChar w:fldCharType="separate"/>
        </w:r>
        <w:r>
          <w:rPr>
            <w:noProof/>
            <w:webHidden/>
          </w:rPr>
          <w:t>124</w:t>
        </w:r>
        <w:r>
          <w:rPr>
            <w:noProof/>
            <w:webHidden/>
          </w:rPr>
          <w:fldChar w:fldCharType="end"/>
        </w:r>
      </w:hyperlink>
    </w:p>
    <w:p w14:paraId="6340594C" w14:textId="24BD3DCD" w:rsidR="006648B0" w:rsidRDefault="006648B0">
      <w:pPr>
        <w:pStyle w:val="TOC2"/>
        <w:rPr>
          <w:rFonts w:asciiTheme="minorHAnsi" w:hAnsiTheme="minorHAnsi"/>
          <w:noProof/>
          <w:color w:val="auto"/>
          <w:sz w:val="24"/>
        </w:rPr>
      </w:pPr>
      <w:hyperlink w:anchor="_Toc237663683" w:history="1">
        <w:r w:rsidRPr="00116326">
          <w:rPr>
            <w:rStyle w:val="Hyperlink"/>
            <w:noProof/>
          </w:rPr>
          <w:t>Appendix D: Supplementary Regional Programs</w:t>
        </w:r>
        <w:r>
          <w:rPr>
            <w:noProof/>
            <w:webHidden/>
          </w:rPr>
          <w:tab/>
        </w:r>
        <w:r>
          <w:rPr>
            <w:noProof/>
            <w:webHidden/>
          </w:rPr>
          <w:fldChar w:fldCharType="begin"/>
        </w:r>
        <w:r>
          <w:rPr>
            <w:noProof/>
            <w:webHidden/>
          </w:rPr>
          <w:instrText xml:space="preserve"> PAGEREF _Toc237663683 \h </w:instrText>
        </w:r>
        <w:r>
          <w:rPr>
            <w:noProof/>
            <w:webHidden/>
          </w:rPr>
        </w:r>
        <w:r>
          <w:rPr>
            <w:noProof/>
            <w:webHidden/>
          </w:rPr>
          <w:fldChar w:fldCharType="separate"/>
        </w:r>
        <w:r>
          <w:rPr>
            <w:noProof/>
            <w:webHidden/>
          </w:rPr>
          <w:t>126</w:t>
        </w:r>
        <w:r>
          <w:rPr>
            <w:noProof/>
            <w:webHidden/>
          </w:rPr>
          <w:fldChar w:fldCharType="end"/>
        </w:r>
      </w:hyperlink>
    </w:p>
    <w:p w14:paraId="36AE9F0A" w14:textId="029E6498" w:rsidR="006648B0" w:rsidRDefault="006648B0">
      <w:pPr>
        <w:pStyle w:val="TOC2"/>
        <w:rPr>
          <w:rFonts w:asciiTheme="minorHAnsi" w:hAnsiTheme="minorHAnsi"/>
          <w:noProof/>
          <w:color w:val="auto"/>
          <w:sz w:val="24"/>
        </w:rPr>
      </w:pPr>
      <w:hyperlink w:anchor="_Toc237663684" w:history="1">
        <w:r w:rsidRPr="00116326">
          <w:rPr>
            <w:rStyle w:val="Hyperlink"/>
            <w:noProof/>
          </w:rPr>
          <w:t>Signature Block</w:t>
        </w:r>
        <w:r>
          <w:rPr>
            <w:noProof/>
            <w:webHidden/>
          </w:rPr>
          <w:tab/>
        </w:r>
        <w:r>
          <w:rPr>
            <w:noProof/>
            <w:webHidden/>
          </w:rPr>
          <w:fldChar w:fldCharType="begin"/>
        </w:r>
        <w:r>
          <w:rPr>
            <w:noProof/>
            <w:webHidden/>
          </w:rPr>
          <w:instrText xml:space="preserve"> PAGEREF _Toc237663684 \h </w:instrText>
        </w:r>
        <w:r>
          <w:rPr>
            <w:noProof/>
            <w:webHidden/>
          </w:rPr>
        </w:r>
        <w:r>
          <w:rPr>
            <w:noProof/>
            <w:webHidden/>
          </w:rPr>
          <w:fldChar w:fldCharType="separate"/>
        </w:r>
        <w:r>
          <w:rPr>
            <w:noProof/>
            <w:webHidden/>
          </w:rPr>
          <w:t>128</w:t>
        </w:r>
        <w:r>
          <w:rPr>
            <w:noProof/>
            <w:webHidden/>
          </w:rPr>
          <w:fldChar w:fldCharType="end"/>
        </w:r>
      </w:hyperlink>
    </w:p>
    <w:p w14:paraId="641801B8" w14:textId="5382C96B" w:rsidR="006648B0" w:rsidRDefault="006648B0">
      <w:pPr>
        <w:pStyle w:val="TOC2"/>
        <w:rPr>
          <w:rFonts w:asciiTheme="minorHAnsi" w:hAnsiTheme="minorHAnsi"/>
          <w:noProof/>
          <w:color w:val="auto"/>
          <w:sz w:val="24"/>
        </w:rPr>
      </w:pPr>
      <w:hyperlink w:anchor="_Toc237663685" w:history="1">
        <w:r w:rsidRPr="00116326">
          <w:rPr>
            <w:rStyle w:val="Hyperlink"/>
            <w:noProof/>
          </w:rPr>
          <w:t>Appendix E: International Funding Sources and Application Pathways</w:t>
        </w:r>
        <w:r>
          <w:rPr>
            <w:noProof/>
            <w:webHidden/>
          </w:rPr>
          <w:tab/>
        </w:r>
        <w:r>
          <w:rPr>
            <w:noProof/>
            <w:webHidden/>
          </w:rPr>
          <w:fldChar w:fldCharType="begin"/>
        </w:r>
        <w:r>
          <w:rPr>
            <w:noProof/>
            <w:webHidden/>
          </w:rPr>
          <w:instrText xml:space="preserve"> PAGEREF _Toc237663685 \h </w:instrText>
        </w:r>
        <w:r>
          <w:rPr>
            <w:noProof/>
            <w:webHidden/>
          </w:rPr>
        </w:r>
        <w:r>
          <w:rPr>
            <w:noProof/>
            <w:webHidden/>
          </w:rPr>
          <w:fldChar w:fldCharType="separate"/>
        </w:r>
        <w:r>
          <w:rPr>
            <w:noProof/>
            <w:webHidden/>
          </w:rPr>
          <w:t>128</w:t>
        </w:r>
        <w:r>
          <w:rPr>
            <w:noProof/>
            <w:webHidden/>
          </w:rPr>
          <w:fldChar w:fldCharType="end"/>
        </w:r>
      </w:hyperlink>
    </w:p>
    <w:p w14:paraId="0806EDCD" w14:textId="55D6BC52" w:rsidR="006648B0" w:rsidRDefault="006648B0">
      <w:pPr>
        <w:pStyle w:val="TOC2"/>
        <w:rPr>
          <w:rFonts w:asciiTheme="minorHAnsi" w:hAnsiTheme="minorHAnsi"/>
          <w:noProof/>
          <w:color w:val="auto"/>
          <w:sz w:val="24"/>
        </w:rPr>
      </w:pPr>
      <w:hyperlink w:anchor="_Toc237663686" w:history="1">
        <w:r w:rsidRPr="00116326">
          <w:rPr>
            <w:rStyle w:val="Hyperlink"/>
            <w:noProof/>
          </w:rPr>
          <w:t>Appendix F: Force Majeure and Sanctions Reimposition Fallback Protocol</w:t>
        </w:r>
        <w:r>
          <w:rPr>
            <w:noProof/>
            <w:webHidden/>
          </w:rPr>
          <w:tab/>
        </w:r>
        <w:r>
          <w:rPr>
            <w:noProof/>
            <w:webHidden/>
          </w:rPr>
          <w:fldChar w:fldCharType="begin"/>
        </w:r>
        <w:r>
          <w:rPr>
            <w:noProof/>
            <w:webHidden/>
          </w:rPr>
          <w:instrText xml:space="preserve"> PAGEREF _Toc237663686 \h </w:instrText>
        </w:r>
        <w:r>
          <w:rPr>
            <w:noProof/>
            <w:webHidden/>
          </w:rPr>
        </w:r>
        <w:r>
          <w:rPr>
            <w:noProof/>
            <w:webHidden/>
          </w:rPr>
          <w:fldChar w:fldCharType="separate"/>
        </w:r>
        <w:r>
          <w:rPr>
            <w:noProof/>
            <w:webHidden/>
          </w:rPr>
          <w:t>135</w:t>
        </w:r>
        <w:r>
          <w:rPr>
            <w:noProof/>
            <w:webHidden/>
          </w:rPr>
          <w:fldChar w:fldCharType="end"/>
        </w:r>
      </w:hyperlink>
    </w:p>
    <w:p w14:paraId="0CDD91EA" w14:textId="646A9C4B" w:rsidR="006648B0" w:rsidRDefault="006648B0">
      <w:pPr>
        <w:pStyle w:val="TOC2"/>
        <w:rPr>
          <w:rFonts w:asciiTheme="minorHAnsi" w:hAnsiTheme="minorHAnsi"/>
          <w:noProof/>
          <w:color w:val="auto"/>
          <w:sz w:val="24"/>
        </w:rPr>
      </w:pPr>
      <w:hyperlink w:anchor="_Toc237663687" w:history="1">
        <w:r w:rsidRPr="00116326">
          <w:rPr>
            <w:rStyle w:val="Hyperlink"/>
            <w:noProof/>
          </w:rPr>
          <w:t>End of Annex RDF</w:t>
        </w:r>
        <w:r>
          <w:rPr>
            <w:noProof/>
            <w:webHidden/>
          </w:rPr>
          <w:tab/>
        </w:r>
        <w:r>
          <w:rPr>
            <w:noProof/>
            <w:webHidden/>
          </w:rPr>
          <w:fldChar w:fldCharType="begin"/>
        </w:r>
        <w:r>
          <w:rPr>
            <w:noProof/>
            <w:webHidden/>
          </w:rPr>
          <w:instrText xml:space="preserve"> PAGEREF _Toc237663687 \h </w:instrText>
        </w:r>
        <w:r>
          <w:rPr>
            <w:noProof/>
            <w:webHidden/>
          </w:rPr>
        </w:r>
        <w:r>
          <w:rPr>
            <w:noProof/>
            <w:webHidden/>
          </w:rPr>
          <w:fldChar w:fldCharType="separate"/>
        </w:r>
        <w:r>
          <w:rPr>
            <w:noProof/>
            <w:webHidden/>
          </w:rPr>
          <w:t>137</w:t>
        </w:r>
        <w:r>
          <w:rPr>
            <w:noProof/>
            <w:webHidden/>
          </w:rPr>
          <w:fldChar w:fldCharType="end"/>
        </w:r>
      </w:hyperlink>
    </w:p>
    <w:p w14:paraId="2B337994" w14:textId="775A31D1" w:rsidR="006648B0" w:rsidRDefault="006648B0">
      <w:pPr>
        <w:pStyle w:val="TOC2"/>
        <w:rPr>
          <w:rFonts w:asciiTheme="minorHAnsi" w:hAnsiTheme="minorHAnsi"/>
          <w:noProof/>
          <w:color w:val="auto"/>
          <w:sz w:val="24"/>
        </w:rPr>
      </w:pPr>
      <w:hyperlink w:anchor="_Toc237663688" w:history="1">
        <w:r w:rsidRPr="00116326">
          <w:rPr>
            <w:rStyle w:val="Hyperlink"/>
            <w:noProof/>
          </w:rPr>
          <w:t>Appendix G: Additional International Funding Sources</w:t>
        </w:r>
        <w:r>
          <w:rPr>
            <w:noProof/>
            <w:webHidden/>
          </w:rPr>
          <w:tab/>
        </w:r>
        <w:r>
          <w:rPr>
            <w:noProof/>
            <w:webHidden/>
          </w:rPr>
          <w:fldChar w:fldCharType="begin"/>
        </w:r>
        <w:r>
          <w:rPr>
            <w:noProof/>
            <w:webHidden/>
          </w:rPr>
          <w:instrText xml:space="preserve"> PAGEREF _Toc237663688 \h </w:instrText>
        </w:r>
        <w:r>
          <w:rPr>
            <w:noProof/>
            <w:webHidden/>
          </w:rPr>
        </w:r>
        <w:r>
          <w:rPr>
            <w:noProof/>
            <w:webHidden/>
          </w:rPr>
          <w:fldChar w:fldCharType="separate"/>
        </w:r>
        <w:r>
          <w:rPr>
            <w:noProof/>
            <w:webHidden/>
          </w:rPr>
          <w:t>138</w:t>
        </w:r>
        <w:r>
          <w:rPr>
            <w:noProof/>
            <w:webHidden/>
          </w:rPr>
          <w:fldChar w:fldCharType="end"/>
        </w:r>
      </w:hyperlink>
    </w:p>
    <w:p w14:paraId="70CBE5C0" w14:textId="672D1F90" w:rsidR="006648B0" w:rsidRDefault="006648B0">
      <w:pPr>
        <w:pStyle w:val="TOC2"/>
        <w:rPr>
          <w:rFonts w:asciiTheme="minorHAnsi" w:hAnsiTheme="minorHAnsi"/>
          <w:noProof/>
          <w:color w:val="auto"/>
          <w:sz w:val="24"/>
        </w:rPr>
      </w:pPr>
      <w:hyperlink w:anchor="_Toc237663689" w:history="1">
        <w:r w:rsidRPr="00116326">
          <w:rPr>
            <w:rStyle w:val="Hyperlink"/>
            <w:noProof/>
          </w:rPr>
          <w:t>Appendix H: Global South, BRICS, and Regional Development Partners</w:t>
        </w:r>
        <w:r>
          <w:rPr>
            <w:noProof/>
            <w:webHidden/>
          </w:rPr>
          <w:tab/>
        </w:r>
        <w:r>
          <w:rPr>
            <w:noProof/>
            <w:webHidden/>
          </w:rPr>
          <w:fldChar w:fldCharType="begin"/>
        </w:r>
        <w:r>
          <w:rPr>
            <w:noProof/>
            <w:webHidden/>
          </w:rPr>
          <w:instrText xml:space="preserve"> PAGEREF _Toc237663689 \h </w:instrText>
        </w:r>
        <w:r>
          <w:rPr>
            <w:noProof/>
            <w:webHidden/>
          </w:rPr>
        </w:r>
        <w:r>
          <w:rPr>
            <w:noProof/>
            <w:webHidden/>
          </w:rPr>
          <w:fldChar w:fldCharType="separate"/>
        </w:r>
        <w:r>
          <w:rPr>
            <w:noProof/>
            <w:webHidden/>
          </w:rPr>
          <w:t>147</w:t>
        </w:r>
        <w:r>
          <w:rPr>
            <w:noProof/>
            <w:webHidden/>
          </w:rPr>
          <w:fldChar w:fldCharType="end"/>
        </w:r>
      </w:hyperlink>
    </w:p>
    <w:p w14:paraId="5939DF6C" w14:textId="0ACAE235" w:rsidR="006648B0" w:rsidRDefault="006648B0">
      <w:pPr>
        <w:pStyle w:val="TOC2"/>
        <w:rPr>
          <w:rFonts w:asciiTheme="minorHAnsi" w:hAnsiTheme="minorHAnsi"/>
          <w:noProof/>
          <w:color w:val="auto"/>
          <w:sz w:val="24"/>
        </w:rPr>
      </w:pPr>
      <w:hyperlink w:anchor="_Toc237663690" w:history="1">
        <w:r w:rsidRPr="00116326">
          <w:rPr>
            <w:rStyle w:val="Hyperlink"/>
            <w:noProof/>
          </w:rPr>
          <w:t>Appendix I: Country-by-Country Funding Sources</w:t>
        </w:r>
        <w:r>
          <w:rPr>
            <w:noProof/>
            <w:webHidden/>
          </w:rPr>
          <w:tab/>
        </w:r>
        <w:r>
          <w:rPr>
            <w:noProof/>
            <w:webHidden/>
          </w:rPr>
          <w:fldChar w:fldCharType="begin"/>
        </w:r>
        <w:r>
          <w:rPr>
            <w:noProof/>
            <w:webHidden/>
          </w:rPr>
          <w:instrText xml:space="preserve"> PAGEREF _Toc237663690 \h </w:instrText>
        </w:r>
        <w:r>
          <w:rPr>
            <w:noProof/>
            <w:webHidden/>
          </w:rPr>
        </w:r>
        <w:r>
          <w:rPr>
            <w:noProof/>
            <w:webHidden/>
          </w:rPr>
          <w:fldChar w:fldCharType="separate"/>
        </w:r>
        <w:r>
          <w:rPr>
            <w:noProof/>
            <w:webHidden/>
          </w:rPr>
          <w:t>155</w:t>
        </w:r>
        <w:r>
          <w:rPr>
            <w:noProof/>
            <w:webHidden/>
          </w:rPr>
          <w:fldChar w:fldCharType="end"/>
        </w:r>
      </w:hyperlink>
    </w:p>
    <w:p w14:paraId="09F2584A" w14:textId="1C3D2900" w:rsidR="00D708EC" w:rsidRDefault="00000000">
      <w:pPr>
        <w:rPr>
          <w:rFonts w:hint="eastAsia"/>
        </w:rPr>
      </w:pPr>
      <w:r>
        <w:fldChar w:fldCharType="end"/>
      </w:r>
    </w:p>
    <w:p w14:paraId="3131D491" w14:textId="77777777" w:rsidR="00D708EC" w:rsidRDefault="00000000">
      <w:pPr>
        <w:pStyle w:val="Heading1"/>
        <w:rPr>
          <w:rFonts w:hint="eastAsia"/>
        </w:rPr>
      </w:pPr>
      <w:bookmarkStart w:id="0" w:name="_Toc237663514"/>
      <w:r>
        <w:t>Preamble: The Moment of August 2026</w:t>
      </w:r>
      <w:bookmarkEnd w:id="0"/>
    </w:p>
    <w:p w14:paraId="5FB495AA" w14:textId="77777777" w:rsidR="00D708EC" w:rsidRDefault="00000000">
      <w:pPr>
        <w:rPr>
          <w:rFonts w:hint="eastAsia"/>
        </w:rPr>
      </w:pPr>
      <w:r>
        <w:t>The Islamic Republic of Iran and the United States of America, hereinafter the Principal Parties, together with the Sultanate of Oman, the State of Qatar, the Islamic Republic of Pakistan, and the participating states and institutions named in the Participation Schedule, hereinafter the Facilitating Parties,</w:t>
      </w:r>
    </w:p>
    <w:p w14:paraId="2DDE968A" w14:textId="77777777" w:rsidR="00D708EC" w:rsidRDefault="00000000">
      <w:pPr>
        <w:rPr>
          <w:rFonts w:hint="eastAsia"/>
        </w:rPr>
      </w:pPr>
      <w:r>
        <w:t>Conscious that the war of 2026 inflicted grave damage upon the peoples, infrastructure, and economies of the region, and that the closure of the Strait of Hormuz imposed costs upon every nation that trades in energy, food, fertilizer, and medicine,</w:t>
      </w:r>
    </w:p>
    <w:p w14:paraId="4F4208AB" w14:textId="77777777" w:rsidR="00D708EC" w:rsidRDefault="00000000">
      <w:pPr>
        <w:rPr>
          <w:rFonts w:hint="eastAsia"/>
        </w:rPr>
      </w:pPr>
      <w:r>
        <w:t>Recalling the Memorandum of Understanding signed in June 2026, hereinafter the Islamabad Memorandum, which established a sixty-day framework for the negotiation of a final agreement and committed the parties to endorsement of that final agreement by a binding resolution of the United Nations Security Council,</w:t>
      </w:r>
    </w:p>
    <w:p w14:paraId="33536E79" w14:textId="77777777" w:rsidR="00D708EC" w:rsidRDefault="00000000">
      <w:pPr>
        <w:rPr>
          <w:rFonts w:hint="eastAsia"/>
        </w:rPr>
      </w:pPr>
      <w:r>
        <w:t>Recalling the temporary ceasefire of April 2026, the talks at Islamabad, the rounds at Muscat, Geneva, Rome, and Lake Lucerne, and the working group sessions between the Islamic Republic of Iran and the Sultanate of Oman on the governance of the Strait of Hormuz,</w:t>
      </w:r>
    </w:p>
    <w:p w14:paraId="22C1F672" w14:textId="77777777" w:rsidR="00D708EC" w:rsidRDefault="00000000">
      <w:pPr>
        <w:rPr>
          <w:rFonts w:hint="eastAsia"/>
        </w:rPr>
      </w:pPr>
      <w:r>
        <w:t>Affirming that the Strait of Hormuz carries roughly one fifth of the petroleum liquids consumed on earth each day, and that its governance concerns all nations even as its shoreline belongs to its coastal states,</w:t>
      </w:r>
    </w:p>
    <w:p w14:paraId="061828C4" w14:textId="77777777" w:rsidR="00D708EC" w:rsidRDefault="00000000">
      <w:pPr>
        <w:rPr>
          <w:rFonts w:hint="eastAsia"/>
        </w:rPr>
      </w:pPr>
      <w:r>
        <w:t>Determined that this settlement terminates the war once and for all, converts temporary leverage into permanent institutions, and replaces the logic of confrontation with the logic of mutual interest,</w:t>
      </w:r>
    </w:p>
    <w:p w14:paraId="67E0A744" w14:textId="77777777" w:rsidR="00D708EC" w:rsidRDefault="00000000">
      <w:pPr>
        <w:rPr>
          <w:rFonts w:hint="eastAsia"/>
        </w:rPr>
      </w:pPr>
      <w:r>
        <w:t>Resolved that no provision of this Accord crosses the red line of any Party, that every obligation binds symmetrically within the framework architecture, and that verification operates as a reciprocal architecture in which all parties invest, all parties verify, and all parties recover,</w:t>
      </w:r>
    </w:p>
    <w:p w14:paraId="307DC128" w14:textId="77777777" w:rsidR="00D708EC" w:rsidRDefault="00000000">
      <w:pPr>
        <w:rPr>
          <w:rFonts w:hint="eastAsia"/>
        </w:rPr>
      </w:pPr>
      <w:r>
        <w:lastRenderedPageBreak/>
        <w:t>Hereby establish THE ISLAMABAD IRREVOCABLE PLENARY, a layered treaty package comprising one Final Status Treaty, one Verification Protocol, one Implementation and Enforcement Layer, one International Ratification Layer, and the Annexes that this Accord incorporates as operative law.</w:t>
      </w:r>
    </w:p>
    <w:p w14:paraId="6367F31F" w14:textId="77777777" w:rsidR="00D708EC" w:rsidRDefault="00000000">
      <w:pPr>
        <w:pStyle w:val="Heading1"/>
        <w:rPr>
          <w:rFonts w:hint="eastAsia"/>
        </w:rPr>
      </w:pPr>
      <w:bookmarkStart w:id="1" w:name="_Toc237663515"/>
      <w:r>
        <w:t>Drafting Convention and Method</w:t>
      </w:r>
      <w:bookmarkEnd w:id="1"/>
    </w:p>
    <w:p w14:paraId="25E6D311" w14:textId="77777777" w:rsidR="00D708EC" w:rsidRDefault="00000000">
      <w:pPr>
        <w:rPr>
          <w:rFonts w:hint="eastAsia"/>
        </w:rPr>
      </w:pPr>
      <w:r>
        <w:t>This Accord observes a strict drafting discipline. Every obligation appears in the active present tense. Every sentence names an active subject performing a direct action. The framework architecture states consequences as immediate realities rather than as threats, evaluations, or future contingencies. Prohibitions appear as features of the shared framework architecture, never as unilateral restraint by one Party for the benefit of another. This convention preserves legal force while eliminating the appearance of hierarchy, capitulation, or asymmetric burden. Both Principal Parties stand bound equally by the design of the framework, not by one Party restraining itself for the other.</w:t>
      </w:r>
    </w:p>
    <w:p w14:paraId="233BEEBF" w14:textId="77777777" w:rsidR="00D708EC" w:rsidRDefault="00000000">
      <w:pPr>
        <w:rPr>
          <w:rFonts w:hint="eastAsia"/>
        </w:rPr>
      </w:pPr>
      <w:r>
        <w:t>Interpretive rule on language: words of futurity, discretion, or hierarchy do not appear in this Accord by design. Where a reader imports such words from habit, the reader substitutes the present-tense, active, symmetric construction that this Drafting Convention establishes.</w:t>
      </w:r>
    </w:p>
    <w:p w14:paraId="4D42D85F" w14:textId="77777777" w:rsidR="00D708EC" w:rsidRDefault="00000000">
      <w:pPr>
        <w:rPr>
          <w:rFonts w:hint="eastAsia"/>
        </w:rPr>
      </w:pPr>
      <w:r>
        <w:t>The Accord executes in the English, Farsi, and Arabic languages, each text equally authoritative. Divergence among texts resolves through the interpretation notes of the Annexes. Persistent divergence resolves in favor of the reading that best preserves the corridor system, the Zero-Toll Rule, the nuclear prohibition, and the Red Lines Register. Where the Register does not resolve the divergence, the dispute-tier panel determines the prevailing reading for substantive articles, and the English text governs the technical annexes.</w:t>
      </w:r>
    </w:p>
    <w:p w14:paraId="18739D30" w14:textId="77777777" w:rsidR="00D708EC" w:rsidRDefault="00000000">
      <w:pPr>
        <w:pStyle w:val="Heading1"/>
        <w:rPr>
          <w:rFonts w:hint="eastAsia"/>
        </w:rPr>
      </w:pPr>
      <w:bookmarkStart w:id="2" w:name="_Toc237663516"/>
      <w:r>
        <w:t>The Shared Fact Ledger</w:t>
      </w:r>
      <w:bookmarkEnd w:id="2"/>
    </w:p>
    <w:p w14:paraId="26620AC3" w14:textId="77777777" w:rsidR="00D708EC" w:rsidRDefault="00000000">
      <w:pPr>
        <w:rPr>
          <w:rFonts w:hint="eastAsia"/>
        </w:rPr>
      </w:pPr>
      <w:r>
        <w:t>The Parties adopt a single factual foundation. Every government interprets these facts for its own audience under Layer Zero, and no government disputes the facts themselves. The Joint Implementation Commission maintains this Ledger, the Shared Digital Registry anchors it, and the Compliance Dashboard publishes its non-classified metrics. The Ledger records the following facts as the common factual floor of this Accord:</w:t>
      </w:r>
    </w:p>
    <w:p w14:paraId="1A43A9E4" w14:textId="77777777" w:rsidR="00D708EC" w:rsidRDefault="00000000">
      <w:pPr>
        <w:ind w:left="360"/>
        <w:rPr>
          <w:rFonts w:hint="eastAsia"/>
        </w:rPr>
      </w:pPr>
      <w:r>
        <w:rPr>
          <w:color w:val="37474F"/>
        </w:rPr>
        <w:t>•</w:t>
      </w:r>
      <w:r>
        <w:t>Fact 1: The war of 2026 began on 28 February 2026 and produced military operations on multiple fronts, including strikes inside Iran, strikes on regional bases, and the closure of the Strait of Hormuz to ordinary commercial transit.</w:t>
      </w:r>
    </w:p>
    <w:p w14:paraId="30D95B82" w14:textId="77777777" w:rsidR="00D708EC" w:rsidRDefault="00000000">
      <w:pPr>
        <w:ind w:left="360"/>
        <w:rPr>
          <w:rFonts w:hint="eastAsia"/>
        </w:rPr>
      </w:pPr>
      <w:r>
        <w:rPr>
          <w:color w:val="37474F"/>
        </w:rPr>
        <w:t>•</w:t>
      </w:r>
      <w:r>
        <w:t>Fact 2: The Strait of Hormuz, at its narrowest, measures approximately 21 nautical miles, and its inbound and outbound traffic lanes pass through the territorial waters of the Islamic Republic of Iran and the Sultanate of Oman.</w:t>
      </w:r>
    </w:p>
    <w:p w14:paraId="1D984F3D" w14:textId="77777777" w:rsidR="00D708EC" w:rsidRDefault="00000000">
      <w:pPr>
        <w:ind w:left="360"/>
        <w:rPr>
          <w:rFonts w:hint="eastAsia"/>
        </w:rPr>
      </w:pPr>
      <w:r>
        <w:rPr>
          <w:color w:val="37474F"/>
        </w:rPr>
        <w:lastRenderedPageBreak/>
        <w:t>•</w:t>
      </w:r>
      <w:r>
        <w:t>Fact 3: Approximately one fifth of global petroleum liquids consumption and a substantial share of global liquefied natural gas trade transits the Strait in ordinary times.</w:t>
      </w:r>
    </w:p>
    <w:p w14:paraId="772495CC" w14:textId="77777777" w:rsidR="00D708EC" w:rsidRDefault="00000000">
      <w:pPr>
        <w:ind w:left="360"/>
        <w:rPr>
          <w:rFonts w:hint="eastAsia"/>
        </w:rPr>
      </w:pPr>
      <w:r>
        <w:rPr>
          <w:color w:val="37474F"/>
        </w:rPr>
        <w:t>•</w:t>
      </w:r>
      <w:r>
        <w:t>Fact 4: At the height of the crisis, more than 3,000 vessels and approximately 20,000 seafarers remained stranded in the Gulf and its approaches, facing shortages of food, water, and medical supplies.</w:t>
      </w:r>
    </w:p>
    <w:p w14:paraId="5193AD9E" w14:textId="77777777" w:rsidR="00D708EC" w:rsidRDefault="00000000">
      <w:pPr>
        <w:ind w:left="360"/>
        <w:rPr>
          <w:rFonts w:hint="eastAsia"/>
        </w:rPr>
      </w:pPr>
      <w:r>
        <w:rPr>
          <w:color w:val="37474F"/>
        </w:rPr>
        <w:t>•</w:t>
      </w:r>
      <w:r>
        <w:t>Fact 5: Iran possesses a stockpile of uranium enriched to 60 percent purity, estimated at approximately 440 kilograms, alongside larger stocks enriched to lower levels, and enrichment facilities at Natanz, Fordow, and Isfahan.</w:t>
      </w:r>
    </w:p>
    <w:p w14:paraId="29785FA4" w14:textId="77777777" w:rsidR="00D708EC" w:rsidRDefault="00000000">
      <w:pPr>
        <w:ind w:left="360"/>
        <w:rPr>
          <w:rFonts w:hint="eastAsia"/>
        </w:rPr>
      </w:pPr>
      <w:r>
        <w:rPr>
          <w:color w:val="37474F"/>
        </w:rPr>
        <w:t>•</w:t>
      </w:r>
      <w:r>
        <w:t>Fact 6: Iran affirms, as a matter of religious and strategic doctrine, that it neither seeks nor possesses nuclear weapons, and the United States affirms, as a matter of its own doctrine, that Iran is never permitted to obtain a nuclear weapon. This Accord converts both affirmations into one verifiable architecture.</w:t>
      </w:r>
    </w:p>
    <w:p w14:paraId="09F9D6DF" w14:textId="77777777" w:rsidR="00D708EC" w:rsidRDefault="00000000">
      <w:pPr>
        <w:ind w:left="360"/>
        <w:rPr>
          <w:rFonts w:hint="eastAsia"/>
        </w:rPr>
      </w:pPr>
      <w:r>
        <w:rPr>
          <w:color w:val="37474F"/>
        </w:rPr>
        <w:t>•</w:t>
      </w:r>
      <w:r>
        <w:t>Fact 7: The Memorandum of Understanding of June 2026 established a sixty-day negotiation window, a temporary toll-free passage regime, the release of a first tranche of frozen assets, and the commitment to a binding United Nations Security Council resolution endorsing the final agreement.</w:t>
      </w:r>
    </w:p>
    <w:p w14:paraId="50B4D6A4" w14:textId="77777777" w:rsidR="00D708EC" w:rsidRDefault="00000000">
      <w:pPr>
        <w:ind w:left="360"/>
        <w:rPr>
          <w:rFonts w:hint="eastAsia"/>
        </w:rPr>
      </w:pPr>
      <w:r>
        <w:rPr>
          <w:color w:val="37474F"/>
        </w:rPr>
        <w:t>•</w:t>
      </w:r>
      <w:r>
        <w:t>Fact 8: The United States maintains naval and air forces in the region, and Iran maintains coastal defense forces on the northern shore of the Strait. The blockade of Iranian ports and the closure of the Strait each constitute leverage that this Accord converts into permanent settlement.</w:t>
      </w:r>
    </w:p>
    <w:p w14:paraId="449B432B" w14:textId="77777777" w:rsidR="00D708EC" w:rsidRDefault="00000000">
      <w:pPr>
        <w:ind w:left="360"/>
        <w:rPr>
          <w:rFonts w:hint="eastAsia"/>
        </w:rPr>
      </w:pPr>
      <w:r>
        <w:rPr>
          <w:color w:val="37474F"/>
        </w:rPr>
        <w:t>•</w:t>
      </w:r>
      <w:r>
        <w:t>Fact 9: Reconstruction of damaged Iranian civilian infrastructure carries an estimated cost of approximately 270 billion dollars over a ten-year horizon, and the Memorandum contemplates international financing of at least 300 billion dollars for reconstruction and economic development.</w:t>
      </w:r>
    </w:p>
    <w:p w14:paraId="136CB08D" w14:textId="77777777" w:rsidR="00D708EC" w:rsidRDefault="00000000">
      <w:pPr>
        <w:ind w:left="360"/>
        <w:rPr>
          <w:rFonts w:hint="eastAsia"/>
        </w:rPr>
      </w:pPr>
      <w:r>
        <w:rPr>
          <w:color w:val="37474F"/>
        </w:rPr>
        <w:t>•</w:t>
      </w:r>
      <w:r>
        <w:t>Fact 10: Neither Party recognizes the legitimacy of the demands of the other in full, and both Parties accept this Accord as the complete and final resolution of the disputes it enumerates, each for its own reasons, each in its own words.</w:t>
      </w:r>
    </w:p>
    <w:p w14:paraId="4BBDC23A" w14:textId="77777777" w:rsidR="00D708EC" w:rsidRDefault="00000000">
      <w:pPr>
        <w:rPr>
          <w:rFonts w:hint="eastAsia"/>
        </w:rPr>
      </w:pPr>
      <w:r>
        <w:t>The Ledger functions as the factual floor. No Party conditions implementation on the other Party adopting its interpretation of these facts. Layer Zero governs interpretation. The Ledger governs fact.</w:t>
      </w:r>
    </w:p>
    <w:p w14:paraId="49D0FCF7" w14:textId="77777777" w:rsidR="00D708EC" w:rsidRDefault="00000000">
      <w:pPr>
        <w:pStyle w:val="Heading1"/>
        <w:rPr>
          <w:rFonts w:hint="eastAsia"/>
        </w:rPr>
      </w:pPr>
      <w:bookmarkStart w:id="3" w:name="_Toc237663517"/>
      <w:r>
        <w:t>The Red Lines Register and the Perimeter Test</w:t>
      </w:r>
      <w:bookmarkEnd w:id="3"/>
    </w:p>
    <w:p w14:paraId="71857E06" w14:textId="77777777" w:rsidR="00D708EC" w:rsidRDefault="00000000">
      <w:pPr>
        <w:pStyle w:val="Heading2"/>
        <w:rPr>
          <w:rFonts w:hint="eastAsia"/>
        </w:rPr>
      </w:pPr>
      <w:bookmarkStart w:id="4" w:name="_Toc237663518"/>
      <w:r>
        <w:t>Purpose and Method</w:t>
      </w:r>
      <w:bookmarkEnd w:id="4"/>
    </w:p>
    <w:p w14:paraId="29409468" w14:textId="77777777" w:rsidR="00D708EC" w:rsidRDefault="00000000">
      <w:pPr>
        <w:rPr>
          <w:rFonts w:hint="eastAsia"/>
        </w:rPr>
      </w:pPr>
      <w:r>
        <w:t xml:space="preserve">Each Party registers, in Annex G, the positions it treats as existential. The Register binds every organ of this Accord. No provision, no interpretation, no dispute outcome, and no </w:t>
      </w:r>
      <w:r>
        <w:lastRenderedPageBreak/>
        <w:t>enforcement action crosses a registered Red Line. The Register operates as law within the framework, not as rhetoric outside it.</w:t>
      </w:r>
    </w:p>
    <w:p w14:paraId="2D8A26BC" w14:textId="77777777" w:rsidR="00D708EC" w:rsidRDefault="00000000">
      <w:pPr>
        <w:pStyle w:val="Heading2"/>
        <w:rPr>
          <w:rFonts w:hint="eastAsia"/>
        </w:rPr>
      </w:pPr>
      <w:bookmarkStart w:id="5" w:name="_Toc237663519"/>
      <w:r>
        <w:t>The Register in Summary</w:t>
      </w:r>
      <w:bookmarkEnd w:id="5"/>
    </w:p>
    <w:p w14:paraId="27FCC2AE" w14:textId="77777777" w:rsidR="00D708EC" w:rsidRDefault="00000000">
      <w:pPr>
        <w:rPr>
          <w:rFonts w:hint="eastAsia"/>
        </w:rPr>
      </w:pPr>
      <w:r>
        <w:t>Registered Red Lines of the United States:</w:t>
      </w:r>
    </w:p>
    <w:p w14:paraId="26C55285" w14:textId="77777777" w:rsidR="00D708EC" w:rsidRDefault="00000000">
      <w:pPr>
        <w:ind w:left="360"/>
        <w:rPr>
          <w:rFonts w:hint="eastAsia"/>
        </w:rPr>
      </w:pPr>
      <w:r>
        <w:rPr>
          <w:color w:val="37474F"/>
        </w:rPr>
        <w:t>•</w:t>
      </w:r>
      <w:r>
        <w:t>US-1: Iran neither develops, acquires, nor possesses a nuclear weapon, and no pathway to a nuclear weapon survives this Accord.</w:t>
      </w:r>
    </w:p>
    <w:p w14:paraId="7AFB92D4" w14:textId="77777777" w:rsidR="00D708EC" w:rsidRDefault="00000000">
      <w:pPr>
        <w:ind w:left="360"/>
        <w:rPr>
          <w:rFonts w:hint="eastAsia"/>
        </w:rPr>
      </w:pPr>
      <w:r>
        <w:rPr>
          <w:color w:val="37474F"/>
        </w:rPr>
        <w:t>•</w:t>
      </w:r>
      <w:r>
        <w:t>US-2: The Strait of Hormuz operates without tolls, charges, or fees on passage, in both directions, for all vessels, permanently.</w:t>
      </w:r>
    </w:p>
    <w:p w14:paraId="203CB90B" w14:textId="77777777" w:rsidR="00D708EC" w:rsidRDefault="00000000">
      <w:pPr>
        <w:ind w:left="360"/>
        <w:rPr>
          <w:rFonts w:hint="eastAsia"/>
        </w:rPr>
      </w:pPr>
      <w:r>
        <w:rPr>
          <w:color w:val="37474F"/>
        </w:rPr>
        <w:t>•</w:t>
      </w:r>
      <w:r>
        <w:t>US-3: No nuclear-related sanction terminates except through the performance-based schedule of this Accord, and violation reactivates suspended measures through the proportionate engine of Layer Two, never through automatic war.</w:t>
      </w:r>
    </w:p>
    <w:p w14:paraId="54938F5F" w14:textId="77777777" w:rsidR="00D708EC" w:rsidRDefault="00000000">
      <w:pPr>
        <w:ind w:left="360"/>
        <w:rPr>
          <w:rFonts w:hint="eastAsia"/>
        </w:rPr>
      </w:pPr>
      <w:r>
        <w:rPr>
          <w:color w:val="37474F"/>
        </w:rPr>
        <w:t>•</w:t>
      </w:r>
      <w:r>
        <w:t>US-4: The security of regional allies of the United States, including Israel, remains outside the bargaining inventory of this Accord, and the framework architecture addresses regional fronts through the guarantor structure of Part XI rather than through any concession traded against them.</w:t>
      </w:r>
    </w:p>
    <w:p w14:paraId="3BF00814" w14:textId="77777777" w:rsidR="00D708EC" w:rsidRDefault="00000000">
      <w:pPr>
        <w:ind w:left="360"/>
        <w:rPr>
          <w:rFonts w:hint="eastAsia"/>
        </w:rPr>
      </w:pPr>
      <w:r>
        <w:rPr>
          <w:color w:val="37474F"/>
        </w:rPr>
        <w:t>•</w:t>
      </w:r>
      <w:r>
        <w:t>US-5: No payment of war reparations by the United States to Iran occurs under this Accord in any form labeled reparations, compensation, or damages.</w:t>
      </w:r>
    </w:p>
    <w:p w14:paraId="0272B592" w14:textId="77777777" w:rsidR="00D708EC" w:rsidRDefault="00000000">
      <w:pPr>
        <w:rPr>
          <w:rFonts w:hint="eastAsia"/>
        </w:rPr>
      </w:pPr>
      <w:r>
        <w:t>Registered Red Lines of the Islamic Republic of Iran:</w:t>
      </w:r>
    </w:p>
    <w:p w14:paraId="05AC4E67" w14:textId="77777777" w:rsidR="00D708EC" w:rsidRDefault="00000000">
      <w:pPr>
        <w:ind w:left="360"/>
        <w:rPr>
          <w:rFonts w:hint="eastAsia"/>
        </w:rPr>
      </w:pPr>
      <w:r>
        <w:rPr>
          <w:color w:val="37474F"/>
        </w:rPr>
        <w:t>•</w:t>
      </w:r>
      <w:r>
        <w:t>IR-1: Iran retains the inalienable right to the peaceful use of nuclear energy, including domestic enrichment within the permanent caps of Part V, and the framework architecture never orders the total dismantlement of the Iranian nuclear program.</w:t>
      </w:r>
    </w:p>
    <w:p w14:paraId="3E4866EA" w14:textId="77777777" w:rsidR="00D708EC" w:rsidRDefault="00000000">
      <w:pPr>
        <w:ind w:left="360"/>
        <w:rPr>
          <w:rFonts w:hint="eastAsia"/>
        </w:rPr>
      </w:pPr>
      <w:r>
        <w:rPr>
          <w:color w:val="37474F"/>
        </w:rPr>
        <w:t>•</w:t>
      </w:r>
      <w:r>
        <w:t>IR-2: Enriched material remains on Iranian territory; the framework architecture down-blends it on site under international supervision and excludes any obligation of export or surrender of material abroad.</w:t>
      </w:r>
    </w:p>
    <w:p w14:paraId="7AA0F0E4" w14:textId="77777777" w:rsidR="00D708EC" w:rsidRDefault="00000000">
      <w:pPr>
        <w:ind w:left="360"/>
        <w:rPr>
          <w:rFonts w:hint="eastAsia"/>
        </w:rPr>
      </w:pPr>
      <w:r>
        <w:rPr>
          <w:color w:val="37474F"/>
        </w:rPr>
        <w:t>•</w:t>
      </w:r>
      <w:r>
        <w:t>IR-3: The sovereignty, territorial integrity, and political system of the Islamic Republic stand outside the scope of this Accord; the framework architecture codifies the No Regime Change Objective and excludes any instrument of internal political transformation.</w:t>
      </w:r>
    </w:p>
    <w:p w14:paraId="0B466034" w14:textId="77777777" w:rsidR="00D708EC" w:rsidRDefault="00000000">
      <w:pPr>
        <w:ind w:left="360"/>
        <w:rPr>
          <w:rFonts w:hint="eastAsia"/>
        </w:rPr>
      </w:pPr>
      <w:r>
        <w:rPr>
          <w:color w:val="37474F"/>
        </w:rPr>
        <w:t>•</w:t>
      </w:r>
      <w:r>
        <w:t>IR-4: Iran holds a recognized, institutionalized role in the administration of the Strait of Hormuz as a coastal state, and the post-war order does not restore the pre-war status quo without that recognition.</w:t>
      </w:r>
    </w:p>
    <w:p w14:paraId="25E56AA8" w14:textId="77777777" w:rsidR="00D708EC" w:rsidRDefault="00000000">
      <w:pPr>
        <w:ind w:left="360"/>
        <w:rPr>
          <w:rFonts w:hint="eastAsia"/>
        </w:rPr>
      </w:pPr>
      <w:r>
        <w:rPr>
          <w:color w:val="37474F"/>
        </w:rPr>
        <w:t>•</w:t>
      </w:r>
      <w:r>
        <w:t>IR-5: All sanctions terminate through the binding schedule of this Accord, frozen assets release in full, and reconstruction financing reaches the architecture that Annex RDF establishes.</w:t>
      </w:r>
    </w:p>
    <w:p w14:paraId="6D39789C" w14:textId="77777777" w:rsidR="00D708EC" w:rsidRDefault="00000000">
      <w:pPr>
        <w:rPr>
          <w:rFonts w:hint="eastAsia"/>
        </w:rPr>
      </w:pPr>
      <w:r>
        <w:t>Registered Red Lines of the Sultanate of Oman:</w:t>
      </w:r>
    </w:p>
    <w:p w14:paraId="50D4E0BF" w14:textId="77777777" w:rsidR="00D708EC" w:rsidRDefault="00000000">
      <w:pPr>
        <w:ind w:left="360"/>
        <w:rPr>
          <w:rFonts w:hint="eastAsia"/>
        </w:rPr>
      </w:pPr>
      <w:r>
        <w:rPr>
          <w:color w:val="37474F"/>
        </w:rPr>
        <w:lastRenderedPageBreak/>
        <w:t>•</w:t>
      </w:r>
      <w:r>
        <w:t>OM-1: The southern corridor operates under Omani administration within Omani waters, and the sovereignty and neutrality of Oman stand unimpaired.</w:t>
      </w:r>
    </w:p>
    <w:p w14:paraId="11BEE4C5" w14:textId="77777777" w:rsidR="00D708EC" w:rsidRDefault="00000000">
      <w:pPr>
        <w:ind w:left="360"/>
        <w:rPr>
          <w:rFonts w:hint="eastAsia"/>
        </w:rPr>
      </w:pPr>
      <w:r>
        <w:rPr>
          <w:color w:val="37474F"/>
        </w:rPr>
        <w:t>•</w:t>
      </w:r>
      <w:r>
        <w:t>OM-2: No arrangement militarizes Omani territory or imposes upon Oman any obligation to host foreign forces.</w:t>
      </w:r>
    </w:p>
    <w:p w14:paraId="635B03D3" w14:textId="77777777" w:rsidR="00D708EC" w:rsidRDefault="00000000">
      <w:pPr>
        <w:rPr>
          <w:rFonts w:hint="eastAsia"/>
        </w:rPr>
      </w:pPr>
      <w:r>
        <w:t>Registered Red Lines of the Facilitating Parties appear in Annex G and carry identical force.</w:t>
      </w:r>
    </w:p>
    <w:p w14:paraId="35AEA093" w14:textId="77777777" w:rsidR="00D708EC" w:rsidRDefault="00000000">
      <w:pPr>
        <w:pStyle w:val="Heading2"/>
        <w:rPr>
          <w:rFonts w:hint="eastAsia"/>
        </w:rPr>
      </w:pPr>
      <w:bookmarkStart w:id="6" w:name="_Toc237663520"/>
      <w:r>
        <w:t>The Perimeter Test</w:t>
      </w:r>
      <w:bookmarkEnd w:id="6"/>
    </w:p>
    <w:p w14:paraId="075308F6" w14:textId="77777777" w:rsidR="00D708EC" w:rsidRDefault="00000000">
      <w:pPr>
        <w:rPr>
          <w:rFonts w:hint="eastAsia"/>
        </w:rPr>
      </w:pPr>
      <w:r>
        <w:t>Every proposal, interpretation, amendment, and enforcement action within this Accord passes through the Perimeter Test: the Joint Implementation Commission checks the action against every registered Red Line. An action that crosses a Red Line exits the framework automatically and returns to the proposing body with a written statement of the line crossed. The Perimeter Test operates before adoption, never after. No Party trades a Red Line, and no organ of the Accord counts a Red Line as negotiable inventory.</w:t>
      </w:r>
    </w:p>
    <w:p w14:paraId="178B8BE1" w14:textId="77777777" w:rsidR="00D708EC" w:rsidRDefault="00000000">
      <w:pPr>
        <w:pStyle w:val="Heading2"/>
        <w:rPr>
          <w:rFonts w:hint="eastAsia"/>
        </w:rPr>
      </w:pPr>
      <w:bookmarkStart w:id="7" w:name="_Toc237663521"/>
      <w:r>
        <w:t>Red Line Consultation</w:t>
      </w:r>
      <w:bookmarkEnd w:id="7"/>
    </w:p>
    <w:p w14:paraId="5F81E74A" w14:textId="77777777" w:rsidR="00D708EC" w:rsidRDefault="00000000">
      <w:pPr>
        <w:rPr>
          <w:rFonts w:hint="eastAsia"/>
        </w:rPr>
      </w:pPr>
      <w:r>
        <w:t>Where an action approaches the perimeter without crossing it, the affected Party invokes Red Line Consultation. Consultation convenes within 72 hours at the level of the Permanent Coordination Council. The proposing body suspends the action pending consultation. Consultation concludes within 14 days with one of three outcomes: withdrawal of the action, modification within the perimeter, or referral to the Guarantor Matrix for political judgment.</w:t>
      </w:r>
    </w:p>
    <w:p w14:paraId="1592F6B3" w14:textId="77777777" w:rsidR="00D708EC" w:rsidRDefault="00000000">
      <w:pPr>
        <w:pStyle w:val="Heading1"/>
        <w:rPr>
          <w:rFonts w:hint="eastAsia"/>
        </w:rPr>
      </w:pPr>
      <w:bookmarkStart w:id="8" w:name="_Toc237663522"/>
      <w:r>
        <w:t>The Architecture at a Glance</w:t>
      </w:r>
      <w:bookmarkEnd w:id="8"/>
    </w:p>
    <w:p w14:paraId="420EEB52" w14:textId="77777777" w:rsidR="00D708EC" w:rsidRDefault="00000000">
      <w:pPr>
        <w:rPr>
          <w:rFonts w:hint="eastAsia"/>
        </w:rPr>
      </w:pPr>
      <w:r>
        <w:t>This Accord builds one layer upon another. Each layer stands complete in itself, and each layer draws strength from the layers beneath it. The Partial Success Doctrine governs the whole: no single unresolved module invalidates the remainder of the framework.</w:t>
      </w:r>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994"/>
        <w:gridCol w:w="2641"/>
        <w:gridCol w:w="5591"/>
      </w:tblGrid>
      <w:tr w:rsidR="00D708EC" w14:paraId="50395198" w14:textId="77777777">
        <w:tc>
          <w:tcPr>
            <w:tcW w:w="0" w:type="auto"/>
            <w:shd w:val="clear" w:color="auto" w:fill="37474F"/>
          </w:tcPr>
          <w:p w14:paraId="51668EC4" w14:textId="77777777" w:rsidR="00D708EC" w:rsidRDefault="00000000">
            <w:pPr>
              <w:rPr>
                <w:rFonts w:hint="eastAsia"/>
              </w:rPr>
            </w:pPr>
            <w:r>
              <w:rPr>
                <w:b/>
                <w:color w:val="FFFFFF"/>
                <w:sz w:val="19"/>
              </w:rPr>
              <w:t>Layer</w:t>
            </w:r>
          </w:p>
        </w:tc>
        <w:tc>
          <w:tcPr>
            <w:tcW w:w="0" w:type="auto"/>
            <w:shd w:val="clear" w:color="auto" w:fill="37474F"/>
          </w:tcPr>
          <w:p w14:paraId="667FD735" w14:textId="77777777" w:rsidR="00D708EC" w:rsidRDefault="00000000">
            <w:pPr>
              <w:rPr>
                <w:rFonts w:hint="eastAsia"/>
              </w:rPr>
            </w:pPr>
            <w:r>
              <w:rPr>
                <w:b/>
                <w:color w:val="FFFFFF"/>
                <w:sz w:val="19"/>
              </w:rPr>
              <w:t>Instrument</w:t>
            </w:r>
          </w:p>
        </w:tc>
        <w:tc>
          <w:tcPr>
            <w:tcW w:w="0" w:type="auto"/>
            <w:shd w:val="clear" w:color="auto" w:fill="37474F"/>
          </w:tcPr>
          <w:p w14:paraId="516FFC92" w14:textId="77777777" w:rsidR="00D708EC" w:rsidRDefault="00000000">
            <w:pPr>
              <w:rPr>
                <w:rFonts w:hint="eastAsia"/>
              </w:rPr>
            </w:pPr>
            <w:r>
              <w:rPr>
                <w:b/>
                <w:color w:val="FFFFFF"/>
                <w:sz w:val="19"/>
              </w:rPr>
              <w:t>Function</w:t>
            </w:r>
          </w:p>
        </w:tc>
      </w:tr>
      <w:tr w:rsidR="00D708EC" w14:paraId="4314013B" w14:textId="77777777">
        <w:tc>
          <w:tcPr>
            <w:tcW w:w="0" w:type="auto"/>
          </w:tcPr>
          <w:p w14:paraId="41FC04EB" w14:textId="77777777" w:rsidR="00D708EC" w:rsidRDefault="00000000">
            <w:pPr>
              <w:rPr>
                <w:rFonts w:hint="eastAsia"/>
              </w:rPr>
            </w:pPr>
            <w:r>
              <w:rPr>
                <w:sz w:val="19"/>
              </w:rPr>
              <w:t>Layer Zero</w:t>
            </w:r>
          </w:p>
        </w:tc>
        <w:tc>
          <w:tcPr>
            <w:tcW w:w="0" w:type="auto"/>
          </w:tcPr>
          <w:p w14:paraId="7C5576E5" w14:textId="77777777" w:rsidR="00D708EC" w:rsidRDefault="00000000">
            <w:pPr>
              <w:rPr>
                <w:rFonts w:hint="eastAsia"/>
              </w:rPr>
            </w:pPr>
            <w:r>
              <w:rPr>
                <w:sz w:val="19"/>
              </w:rPr>
              <w:t>The Political Frame Protocol (Articles 1 to 6)</w:t>
            </w:r>
          </w:p>
        </w:tc>
        <w:tc>
          <w:tcPr>
            <w:tcW w:w="0" w:type="auto"/>
          </w:tcPr>
          <w:p w14:paraId="75BF32FD" w14:textId="77777777" w:rsidR="00D708EC" w:rsidRDefault="00000000">
            <w:pPr>
              <w:rPr>
                <w:rFonts w:hint="eastAsia"/>
              </w:rPr>
            </w:pPr>
            <w:r>
              <w:rPr>
                <w:sz w:val="19"/>
              </w:rPr>
              <w:t>One fact base; narrative sovereignty; every capital explains the settlement to its own audience in its own words</w:t>
            </w:r>
          </w:p>
        </w:tc>
      </w:tr>
      <w:tr w:rsidR="00D708EC" w14:paraId="3EEE7455" w14:textId="77777777">
        <w:tc>
          <w:tcPr>
            <w:tcW w:w="0" w:type="auto"/>
            <w:shd w:val="clear" w:color="auto" w:fill="ECEFF1"/>
          </w:tcPr>
          <w:p w14:paraId="71800EDF" w14:textId="77777777" w:rsidR="00D708EC" w:rsidRDefault="00000000">
            <w:pPr>
              <w:rPr>
                <w:rFonts w:hint="eastAsia"/>
              </w:rPr>
            </w:pPr>
            <w:r>
              <w:rPr>
                <w:sz w:val="19"/>
              </w:rPr>
              <w:t>Layer One</w:t>
            </w:r>
          </w:p>
        </w:tc>
        <w:tc>
          <w:tcPr>
            <w:tcW w:w="0" w:type="auto"/>
            <w:shd w:val="clear" w:color="auto" w:fill="ECEFF1"/>
          </w:tcPr>
          <w:p w14:paraId="58C76411" w14:textId="77777777" w:rsidR="00D708EC" w:rsidRDefault="00000000">
            <w:pPr>
              <w:rPr>
                <w:rFonts w:hint="eastAsia"/>
              </w:rPr>
            </w:pPr>
            <w:r>
              <w:rPr>
                <w:sz w:val="19"/>
              </w:rPr>
              <w:t>The Final Status Treaty (Articles 7 to 44)</w:t>
            </w:r>
          </w:p>
        </w:tc>
        <w:tc>
          <w:tcPr>
            <w:tcW w:w="0" w:type="auto"/>
            <w:shd w:val="clear" w:color="auto" w:fill="ECEFF1"/>
          </w:tcPr>
          <w:p w14:paraId="7456BF1B" w14:textId="77777777" w:rsidR="00D708EC" w:rsidRDefault="00000000">
            <w:pPr>
              <w:rPr>
                <w:rFonts w:hint="eastAsia"/>
              </w:rPr>
            </w:pPr>
            <w:r>
              <w:rPr>
                <w:sz w:val="19"/>
              </w:rPr>
              <w:t>Permanent settlement of war, sovereignty, withdrawal, nuclear status, Strait governance, fees, sanctions, assets, reconstruction, and regional fronts</w:t>
            </w:r>
          </w:p>
        </w:tc>
      </w:tr>
      <w:tr w:rsidR="00D708EC" w14:paraId="76BB80C0" w14:textId="77777777">
        <w:tc>
          <w:tcPr>
            <w:tcW w:w="0" w:type="auto"/>
          </w:tcPr>
          <w:p w14:paraId="5CF1AEBA" w14:textId="77777777" w:rsidR="00D708EC" w:rsidRDefault="00000000">
            <w:pPr>
              <w:rPr>
                <w:rFonts w:hint="eastAsia"/>
              </w:rPr>
            </w:pPr>
            <w:r>
              <w:rPr>
                <w:sz w:val="19"/>
              </w:rPr>
              <w:t>Layer Two</w:t>
            </w:r>
          </w:p>
        </w:tc>
        <w:tc>
          <w:tcPr>
            <w:tcW w:w="0" w:type="auto"/>
          </w:tcPr>
          <w:p w14:paraId="3EC90B35" w14:textId="77777777" w:rsidR="00D708EC" w:rsidRDefault="00000000">
            <w:pPr>
              <w:rPr>
                <w:rFonts w:hint="eastAsia"/>
              </w:rPr>
            </w:pPr>
            <w:r>
              <w:rPr>
                <w:sz w:val="19"/>
              </w:rPr>
              <w:t>The Cothrom Verification Protocol (Articles 45 to 68)</w:t>
            </w:r>
          </w:p>
        </w:tc>
        <w:tc>
          <w:tcPr>
            <w:tcW w:w="0" w:type="auto"/>
          </w:tcPr>
          <w:p w14:paraId="41BFD0D6" w14:textId="77777777" w:rsidR="00D708EC" w:rsidRDefault="00000000">
            <w:pPr>
              <w:rPr>
                <w:rFonts w:hint="eastAsia"/>
              </w:rPr>
            </w:pPr>
            <w:r>
              <w:rPr>
                <w:sz w:val="19"/>
              </w:rPr>
              <w:t>Reciprocal verification, graduated step-back, guaranteed earn-back; no snapback, no collapse dynamics</w:t>
            </w:r>
          </w:p>
        </w:tc>
      </w:tr>
      <w:tr w:rsidR="00D708EC" w14:paraId="6ADD9CB1" w14:textId="77777777">
        <w:tc>
          <w:tcPr>
            <w:tcW w:w="0" w:type="auto"/>
            <w:shd w:val="clear" w:color="auto" w:fill="ECEFF1"/>
          </w:tcPr>
          <w:p w14:paraId="12472BE1" w14:textId="77777777" w:rsidR="00D708EC" w:rsidRDefault="00000000">
            <w:pPr>
              <w:rPr>
                <w:rFonts w:hint="eastAsia"/>
              </w:rPr>
            </w:pPr>
            <w:r>
              <w:rPr>
                <w:sz w:val="19"/>
              </w:rPr>
              <w:t>Layer Three</w:t>
            </w:r>
          </w:p>
        </w:tc>
        <w:tc>
          <w:tcPr>
            <w:tcW w:w="0" w:type="auto"/>
            <w:shd w:val="clear" w:color="auto" w:fill="ECEFF1"/>
          </w:tcPr>
          <w:p w14:paraId="4F6B2064" w14:textId="77777777" w:rsidR="00D708EC" w:rsidRDefault="00000000">
            <w:pPr>
              <w:rPr>
                <w:rFonts w:hint="eastAsia"/>
              </w:rPr>
            </w:pPr>
            <w:r>
              <w:rPr>
                <w:sz w:val="19"/>
              </w:rPr>
              <w:t xml:space="preserve">The Implementation and Enforcement Layer (Articles </w:t>
            </w:r>
            <w:r>
              <w:rPr>
                <w:sz w:val="19"/>
              </w:rPr>
              <w:lastRenderedPageBreak/>
              <w:t>69 to 80)</w:t>
            </w:r>
          </w:p>
        </w:tc>
        <w:tc>
          <w:tcPr>
            <w:tcW w:w="0" w:type="auto"/>
            <w:shd w:val="clear" w:color="auto" w:fill="ECEFF1"/>
          </w:tcPr>
          <w:p w14:paraId="5BC68B5F" w14:textId="77777777" w:rsidR="00D708EC" w:rsidRDefault="00000000">
            <w:pPr>
              <w:rPr>
                <w:rFonts w:hint="eastAsia"/>
              </w:rPr>
            </w:pPr>
            <w:r>
              <w:rPr>
                <w:sz w:val="19"/>
              </w:rPr>
              <w:lastRenderedPageBreak/>
              <w:t>The Executive Mechanism, the synchronized calendar, the Reciprocity Ledger, dispute resolution</w:t>
            </w:r>
          </w:p>
        </w:tc>
      </w:tr>
      <w:tr w:rsidR="00D708EC" w14:paraId="5824E556" w14:textId="77777777">
        <w:tc>
          <w:tcPr>
            <w:tcW w:w="0" w:type="auto"/>
          </w:tcPr>
          <w:p w14:paraId="52D122B1" w14:textId="77777777" w:rsidR="00D708EC" w:rsidRDefault="00000000">
            <w:pPr>
              <w:rPr>
                <w:rFonts w:hint="eastAsia"/>
              </w:rPr>
            </w:pPr>
            <w:r>
              <w:rPr>
                <w:sz w:val="19"/>
              </w:rPr>
              <w:t>Layer Four</w:t>
            </w:r>
          </w:p>
        </w:tc>
        <w:tc>
          <w:tcPr>
            <w:tcW w:w="0" w:type="auto"/>
          </w:tcPr>
          <w:p w14:paraId="3C2CCBD3" w14:textId="77777777" w:rsidR="00D708EC" w:rsidRDefault="00000000">
            <w:pPr>
              <w:rPr>
                <w:rFonts w:hint="eastAsia"/>
              </w:rPr>
            </w:pPr>
            <w:r>
              <w:rPr>
                <w:sz w:val="19"/>
              </w:rPr>
              <w:t>The International Ratification Layer (Articles 81 to 90)</w:t>
            </w:r>
          </w:p>
        </w:tc>
        <w:tc>
          <w:tcPr>
            <w:tcW w:w="0" w:type="auto"/>
          </w:tcPr>
          <w:p w14:paraId="1D942A3B" w14:textId="77777777" w:rsidR="00D708EC" w:rsidRDefault="00000000">
            <w:pPr>
              <w:rPr>
                <w:rFonts w:hint="eastAsia"/>
              </w:rPr>
            </w:pPr>
            <w:r>
              <w:rPr>
                <w:sz w:val="19"/>
              </w:rPr>
              <w:t>United Nations Security Council endorsement, depositary, accession, amendment, languages, perpetuity</w:t>
            </w:r>
          </w:p>
        </w:tc>
      </w:tr>
      <w:tr w:rsidR="00D708EC" w14:paraId="3F439A37" w14:textId="77777777">
        <w:tc>
          <w:tcPr>
            <w:tcW w:w="0" w:type="auto"/>
            <w:shd w:val="clear" w:color="auto" w:fill="ECEFF1"/>
          </w:tcPr>
          <w:p w14:paraId="1A7EEE29" w14:textId="77777777" w:rsidR="00D708EC" w:rsidRDefault="00000000">
            <w:pPr>
              <w:rPr>
                <w:rFonts w:hint="eastAsia"/>
              </w:rPr>
            </w:pPr>
            <w:r>
              <w:rPr>
                <w:sz w:val="19"/>
              </w:rPr>
              <w:t>Annexes</w:t>
            </w:r>
          </w:p>
        </w:tc>
        <w:tc>
          <w:tcPr>
            <w:tcW w:w="0" w:type="auto"/>
            <w:shd w:val="clear" w:color="auto" w:fill="ECEFF1"/>
          </w:tcPr>
          <w:p w14:paraId="12834D2D" w14:textId="77777777" w:rsidR="00D708EC" w:rsidRDefault="00000000">
            <w:pPr>
              <w:rPr>
                <w:rFonts w:hint="eastAsia"/>
              </w:rPr>
            </w:pPr>
            <w:r>
              <w:rPr>
                <w:sz w:val="19"/>
              </w:rPr>
              <w:t>Annexes A through G</w:t>
            </w:r>
          </w:p>
        </w:tc>
        <w:tc>
          <w:tcPr>
            <w:tcW w:w="0" w:type="auto"/>
            <w:shd w:val="clear" w:color="auto" w:fill="ECEFF1"/>
          </w:tcPr>
          <w:p w14:paraId="52346641" w14:textId="77777777" w:rsidR="00D708EC" w:rsidRDefault="00000000">
            <w:pPr>
              <w:rPr>
                <w:rFonts w:hint="eastAsia"/>
              </w:rPr>
            </w:pPr>
            <w:r>
              <w:rPr>
                <w:sz w:val="19"/>
              </w:rPr>
              <w:t>Operative technical law: corridors, nuclear verification, sanctions schedule, fund charters, the full Cothrom Method, the Reconstruction and Development Fund Protocol, the full Red Lines Register</w:t>
            </w:r>
          </w:p>
        </w:tc>
      </w:tr>
    </w:tbl>
    <w:p w14:paraId="1F7FF837" w14:textId="77777777" w:rsidR="00D708EC" w:rsidRDefault="00000000">
      <w:pPr>
        <w:rPr>
          <w:rFonts w:hint="eastAsia"/>
        </w:rPr>
      </w:pPr>
      <w:r>
        <w:t>The framework architecture treats this Accord as a permanent instrument. It carries no sunset. It enters dormancy only through the defined act of the Nofade provisions, and it reconstitutes upon the filing of reactivation instruments. The commitment of this Accord is irrevocable by design: the architecture plans not for a world of perfect compliance, but for a world of human fallibility, political friction, and the enduring possibility of recovery.</w:t>
      </w:r>
    </w:p>
    <w:p w14:paraId="0B620D5B" w14:textId="77777777" w:rsidR="00D708EC" w:rsidRDefault="00D708EC">
      <w:pPr>
        <w:pageBreakBefore/>
        <w:rPr>
          <w:rFonts w:hint="eastAsia"/>
        </w:rPr>
      </w:pPr>
    </w:p>
    <w:p w14:paraId="4BA71873" w14:textId="77777777" w:rsidR="00D708EC" w:rsidRDefault="00000000">
      <w:pPr>
        <w:pStyle w:val="Heading1"/>
        <w:rPr>
          <w:rFonts w:hint="eastAsia"/>
        </w:rPr>
      </w:pPr>
      <w:bookmarkStart w:id="9" w:name="_Toc237663523"/>
      <w:r>
        <w:t>LAYER ZERO: THE POLITICAL FRAME PROTOCOL</w:t>
      </w:r>
      <w:bookmarkEnd w:id="9"/>
    </w:p>
    <w:p w14:paraId="6461DD0D" w14:textId="77777777" w:rsidR="00D708EC" w:rsidRDefault="00000000">
      <w:pPr>
        <w:pStyle w:val="Quote"/>
        <w:rPr>
          <w:rFonts w:hint="eastAsia"/>
        </w:rPr>
      </w:pPr>
      <w:r>
        <w:t>The parties share one set of facts. Each party tells those facts to its own people in its own way. The framework protects both.</w:t>
      </w:r>
    </w:p>
    <w:p w14:paraId="196A1D6F" w14:textId="77777777" w:rsidR="00D708EC" w:rsidRDefault="00000000">
      <w:pPr>
        <w:pStyle w:val="Heading2"/>
        <w:rPr>
          <w:rFonts w:hint="eastAsia"/>
        </w:rPr>
      </w:pPr>
      <w:bookmarkStart w:id="10" w:name="_Toc237663524"/>
      <w:r>
        <w:t>Article 1: The Single Fact Base</w:t>
      </w:r>
      <w:bookmarkEnd w:id="10"/>
    </w:p>
    <w:p w14:paraId="16F7D968" w14:textId="77777777" w:rsidR="00D708EC" w:rsidRDefault="00000000">
      <w:pPr>
        <w:rPr>
          <w:rFonts w:hint="eastAsia"/>
        </w:rPr>
      </w:pPr>
      <w:r>
        <w:t>1.1 The Shared Fact Ledger constitutes the single factual base of this Accord. All organs of the Accord, all verification products, and all public dashboards draw their facts from the Ledger and from the Shared Digital Registry that anchors it.</w:t>
      </w:r>
    </w:p>
    <w:p w14:paraId="3D5C3975" w14:textId="77777777" w:rsidR="00D708EC" w:rsidRDefault="00000000">
      <w:pPr>
        <w:rPr>
          <w:rFonts w:hint="eastAsia"/>
        </w:rPr>
      </w:pPr>
      <w:r>
        <w:t>1.2 The framework architecture publishes identical data to all Parties with identical latency. No Party receives preferential access, earlier notification, or exclusive feeds. Data symmetry is the foundation of narrative symmetry.</w:t>
      </w:r>
    </w:p>
    <w:p w14:paraId="16150CB5" w14:textId="77777777" w:rsidR="00D708EC" w:rsidRDefault="00000000">
      <w:pPr>
        <w:rPr>
          <w:rFonts w:hint="eastAsia"/>
        </w:rPr>
      </w:pPr>
      <w:r>
        <w:t>1.3 No Party conditions performance under this Accord upon any other Party adopting its characterization of the Ledger. The Accord binds conduct, not belief.</w:t>
      </w:r>
    </w:p>
    <w:p w14:paraId="40952F01" w14:textId="77777777" w:rsidR="00D708EC" w:rsidRDefault="00000000">
      <w:pPr>
        <w:pStyle w:val="Heading2"/>
        <w:rPr>
          <w:rFonts w:hint="eastAsia"/>
        </w:rPr>
      </w:pPr>
      <w:bookmarkStart w:id="11" w:name="_Toc237663525"/>
      <w:r>
        <w:t>Article 2: Narrative Sovereignty</w:t>
      </w:r>
      <w:bookmarkEnd w:id="11"/>
    </w:p>
    <w:p w14:paraId="36391C7F" w14:textId="77777777" w:rsidR="00D708EC" w:rsidRDefault="00000000">
      <w:pPr>
        <w:rPr>
          <w:rFonts w:hint="eastAsia"/>
        </w:rPr>
      </w:pPr>
      <w:r>
        <w:t>2.1 Each Party holds sovereign authority over the presentation of this Accord to its own domestic audience. The framework architecture protects this authority as the Narrative Sovereignty Doctrine: the same facts support divergent narratives, and the divergence itself forms part of the settlement.</w:t>
      </w:r>
    </w:p>
    <w:p w14:paraId="4806F387" w14:textId="77777777" w:rsidR="00D708EC" w:rsidRDefault="00000000">
      <w:pPr>
        <w:rPr>
          <w:rFonts w:hint="eastAsia"/>
        </w:rPr>
      </w:pPr>
      <w:r>
        <w:t>2.2 Authorized framings. The following framings coexist under this Accord, each consistent with the Ledger, none binding on any other Party:</w:t>
      </w:r>
    </w:p>
    <w:p w14:paraId="4DB94F25" w14:textId="77777777" w:rsidR="00D708EC" w:rsidRDefault="00000000">
      <w:pPr>
        <w:ind w:left="360"/>
        <w:rPr>
          <w:rFonts w:hint="eastAsia"/>
        </w:rPr>
      </w:pPr>
      <w:r>
        <w:rPr>
          <w:color w:val="37474F"/>
        </w:rPr>
        <w:t>•</w:t>
      </w:r>
      <w:r>
        <w:t>Washington framing: the Accord constitutes the permanent, verified denial of any Iranian nuclear weapon; the restoration of free, toll-free navigation; the end of the blockade on terms of verified performance; the protection of the American taxpayer through a reconstruction architecture that routes third-party capital, not United States government cash; and the conversion of military leverage into a permanent enforcement engine that reactivates measures proportionately upon violation.</w:t>
      </w:r>
    </w:p>
    <w:p w14:paraId="591E14C2" w14:textId="77777777" w:rsidR="00D708EC" w:rsidRDefault="00000000">
      <w:pPr>
        <w:ind w:left="360"/>
        <w:rPr>
          <w:rFonts w:hint="eastAsia"/>
        </w:rPr>
      </w:pPr>
      <w:r>
        <w:rPr>
          <w:color w:val="37474F"/>
        </w:rPr>
        <w:t>•</w:t>
      </w:r>
      <w:r>
        <w:t>Tehran framing: the Accord constitutes the recognition of Iran as a sovereign equal; the preservation of the peaceful nuclear program and of enrichment on Iranian soil; the termination of all sanctions and the release of all frozen assets; the institutionalization of the Iranian coastal-state role in the Strait; the withdrawal of United States forces from the proximity of Iran; and the financing of national reconstruction at the scale the Memorandum contemplates.</w:t>
      </w:r>
    </w:p>
    <w:p w14:paraId="720F39E7" w14:textId="77777777" w:rsidR="00D708EC" w:rsidRDefault="00000000">
      <w:pPr>
        <w:ind w:left="360"/>
        <w:rPr>
          <w:rFonts w:hint="eastAsia"/>
        </w:rPr>
      </w:pPr>
      <w:r>
        <w:rPr>
          <w:color w:val="37474F"/>
        </w:rPr>
        <w:t>•</w:t>
      </w:r>
      <w:r>
        <w:t xml:space="preserve">Muscat framing: the Accord constitutes the vindication of Omani neutrality and mediation; the confirmation of Omani administration of the southern corridor; and the </w:t>
      </w:r>
      <w:r>
        <w:lastRenderedPageBreak/>
        <w:t>conversion of the Strait into a jointly governed waterway modeled on the cooperative straits of the world.</w:t>
      </w:r>
    </w:p>
    <w:p w14:paraId="4D2D548B" w14:textId="77777777" w:rsidR="00D708EC" w:rsidRDefault="00000000">
      <w:pPr>
        <w:ind w:left="360"/>
        <w:rPr>
          <w:rFonts w:hint="eastAsia"/>
        </w:rPr>
      </w:pPr>
      <w:r>
        <w:rPr>
          <w:color w:val="37474F"/>
        </w:rPr>
        <w:t>•</w:t>
      </w:r>
      <w:r>
        <w:t>Islamabad framing: the Accord constitutes the success of Pakistani mediation from the Memorandum to the final settlement, and the elevation of Pakistan as the depositary of a permanent regional peace architecture.</w:t>
      </w:r>
    </w:p>
    <w:p w14:paraId="5F113BA0" w14:textId="77777777" w:rsidR="00D708EC" w:rsidRDefault="00000000">
      <w:pPr>
        <w:ind w:left="360"/>
        <w:rPr>
          <w:rFonts w:hint="eastAsia"/>
        </w:rPr>
      </w:pPr>
      <w:r>
        <w:rPr>
          <w:color w:val="37474F"/>
        </w:rPr>
        <w:t>•</w:t>
      </w:r>
      <w:r>
        <w:t>Doha framing: the Accord constitutes the confirmation of the State of Qatar as the trusted neutral financial intermediary of the region, administering the escrow and the reconstruction funds with technical integrity.</w:t>
      </w:r>
    </w:p>
    <w:p w14:paraId="33294EE1" w14:textId="77777777" w:rsidR="00D708EC" w:rsidRDefault="00000000">
      <w:pPr>
        <w:ind w:left="360"/>
        <w:rPr>
          <w:rFonts w:hint="eastAsia"/>
        </w:rPr>
      </w:pPr>
      <w:r>
        <w:rPr>
          <w:color w:val="37474F"/>
        </w:rPr>
        <w:t>•</w:t>
      </w:r>
      <w:r>
        <w:t>Gulf capitals framing: the Accord constitutes a regionally owned security framework in which the coastal states govern their own waterway, reconstruction flows stabilize the neighborhood, and the Gulf states lead the funding architecture as principal contributors and governors.</w:t>
      </w:r>
    </w:p>
    <w:p w14:paraId="52C3DAD7" w14:textId="77777777" w:rsidR="00D708EC" w:rsidRDefault="00000000">
      <w:pPr>
        <w:ind w:left="360"/>
        <w:rPr>
          <w:rFonts w:hint="eastAsia"/>
        </w:rPr>
      </w:pPr>
      <w:r>
        <w:rPr>
          <w:color w:val="37474F"/>
        </w:rPr>
        <w:t>•</w:t>
      </w:r>
      <w:r>
        <w:t>Jerusalem framing: the Accord constitutes the verified denial of an Iranian nuclear weapon and the codified commitment regarding southern Lebanon under Resolution 1701, with the United States guaranteeing the architecture with its full diplomatic and security leverage.</w:t>
      </w:r>
    </w:p>
    <w:p w14:paraId="3EAF406C" w14:textId="77777777" w:rsidR="00D708EC" w:rsidRDefault="00000000">
      <w:pPr>
        <w:ind w:left="360"/>
        <w:rPr>
          <w:rFonts w:hint="eastAsia"/>
        </w:rPr>
      </w:pPr>
      <w:r>
        <w:rPr>
          <w:color w:val="37474F"/>
        </w:rPr>
        <w:t>•</w:t>
      </w:r>
      <w:r>
        <w:t>European, Chinese, Russian, Indian, and other contributor framings: the Accord constitutes the reopening of the energy artery of the world economy and a bankable, audited reconstruction market governed by international standards.</w:t>
      </w:r>
    </w:p>
    <w:p w14:paraId="644752AA" w14:textId="77777777" w:rsidR="00D708EC" w:rsidRDefault="00000000">
      <w:pPr>
        <w:rPr>
          <w:rFonts w:hint="eastAsia"/>
        </w:rPr>
      </w:pPr>
      <w:r>
        <w:t>2.3 The Joint Implementation Commission maintains a public Record of Framings. Each Party files its official framing with the Depositary within 30 days of signature. A framing remains valid so long as the Ledger supports it. A framing that contradicts the Ledger receives a technical note from the Commission, and the note publishes alongside the framing. The Commission never edits, approves, or censors a framing.</w:t>
      </w:r>
    </w:p>
    <w:p w14:paraId="1F3B1F06" w14:textId="77777777" w:rsidR="00D708EC" w:rsidRDefault="00000000">
      <w:pPr>
        <w:pStyle w:val="Heading2"/>
        <w:rPr>
          <w:rFonts w:hint="eastAsia"/>
        </w:rPr>
      </w:pPr>
      <w:bookmarkStart w:id="12" w:name="_Toc237663526"/>
      <w:r>
        <w:t>Article 3: The No-Disavowal Covenant</w:t>
      </w:r>
      <w:bookmarkEnd w:id="12"/>
    </w:p>
    <w:p w14:paraId="3A21E5CC" w14:textId="77777777" w:rsidR="00D708EC" w:rsidRDefault="00000000">
      <w:pPr>
        <w:rPr>
          <w:rFonts w:hint="eastAsia"/>
        </w:rPr>
      </w:pPr>
      <w:r>
        <w:t>3.1 No organ of this Accord, and no Party acting through an organ, characterizes the domestic presentation of another Party as false, perfidious, or in bad faith, provided the presentation remains consistent with the Ledger.</w:t>
      </w:r>
    </w:p>
    <w:p w14:paraId="41799AED" w14:textId="77777777" w:rsidR="00D708EC" w:rsidRDefault="00000000">
      <w:pPr>
        <w:rPr>
          <w:rFonts w:hint="eastAsia"/>
        </w:rPr>
      </w:pPr>
      <w:r>
        <w:t>3.2 A Party that experiences domestic political difficulty from the framing of another Party raises the matter through the Narrative Consultation Channel of the Permanent Coordination Council, never through public repudiation of the Accord itself. The channel convenes within seven days and concludes with a joint technical statement of the underlying facts, attributed to the Commission rather than to either Party.</w:t>
      </w:r>
    </w:p>
    <w:p w14:paraId="71394B70" w14:textId="77777777" w:rsidR="00D708EC" w:rsidRDefault="00000000">
      <w:pPr>
        <w:rPr>
          <w:rFonts w:hint="eastAsia"/>
        </w:rPr>
      </w:pPr>
      <w:r>
        <w:t>3.3 Leaders retain full freedom to claim victory at home. The framework architecture treats victory claims as symmetric entitlements. A claim of victory by one Party does not constitute a concession by the other, and no victory claim alters any obligation, schedule, or verification standard of this Accord.</w:t>
      </w:r>
    </w:p>
    <w:p w14:paraId="3E10039F" w14:textId="77777777" w:rsidR="00D708EC" w:rsidRDefault="00000000">
      <w:pPr>
        <w:pStyle w:val="Heading2"/>
        <w:rPr>
          <w:rFonts w:hint="eastAsia"/>
        </w:rPr>
      </w:pPr>
      <w:bookmarkStart w:id="13" w:name="_Toc237663527"/>
      <w:r>
        <w:lastRenderedPageBreak/>
        <w:t>Article 4: The Dignity and Respect Provisions</w:t>
      </w:r>
      <w:bookmarkEnd w:id="13"/>
    </w:p>
    <w:p w14:paraId="0767AF06" w14:textId="77777777" w:rsidR="00D708EC" w:rsidRDefault="00000000">
      <w:pPr>
        <w:rPr>
          <w:rFonts w:hint="eastAsia"/>
        </w:rPr>
      </w:pPr>
      <w:r>
        <w:t>4.1 The era of threats and insults closes with the entry into force of this Accord. The framework architecture excludes threats of force, threats of economic ruin, and derogation of the leadership, faith, or national symbols of any Party from the conduct of relations among the Parties.</w:t>
      </w:r>
    </w:p>
    <w:p w14:paraId="2FB23EDD" w14:textId="77777777" w:rsidR="00D708EC" w:rsidRDefault="00000000">
      <w:pPr>
        <w:rPr>
          <w:rFonts w:hint="eastAsia"/>
        </w:rPr>
      </w:pPr>
      <w:r>
        <w:t>4.2 Official communications between the Parties observe the Standing Courtesy Protocol: communications route through the Shared Digital Registry or the diplomatic channel, carry neutral language, and receive acknowledgment within 24 hours.</w:t>
      </w:r>
    </w:p>
    <w:p w14:paraId="64227B46" w14:textId="77777777" w:rsidR="00D708EC" w:rsidRDefault="00000000">
      <w:pPr>
        <w:rPr>
          <w:rFonts w:hint="eastAsia"/>
        </w:rPr>
      </w:pPr>
      <w:r>
        <w:t>4.3 The framework architecture excludes the characterization of any Party's constitutional order as a negotiating object. The No Regime Change Objective of Article 14 operates as law, and public advocacy of the overthrow of the government of a Party by an organ of this Accord constitutes a Tier 1 event under the Cothrom Protocol.</w:t>
      </w:r>
    </w:p>
    <w:p w14:paraId="19E02837" w14:textId="77777777" w:rsidR="00D708EC" w:rsidRDefault="00000000">
      <w:pPr>
        <w:pStyle w:val="Heading2"/>
        <w:rPr>
          <w:rFonts w:hint="eastAsia"/>
        </w:rPr>
      </w:pPr>
      <w:bookmarkStart w:id="14" w:name="_Toc237663528"/>
      <w:r>
        <w:t>Article 5: The Political Impossibility Doctrine</w:t>
      </w:r>
      <w:bookmarkEnd w:id="14"/>
    </w:p>
    <w:p w14:paraId="47737C27" w14:textId="77777777" w:rsidR="00D708EC" w:rsidRDefault="00000000">
      <w:pPr>
        <w:rPr>
          <w:rFonts w:hint="eastAsia"/>
        </w:rPr>
      </w:pPr>
      <w:r>
        <w:t>5.1 The Accord codifies the domestic constraints of each Party as design parameters, not as defects. The following constraints stand registered and binding upon the drafting and interpretation of every organ:</w:t>
      </w:r>
    </w:p>
    <w:p w14:paraId="346ECA85" w14:textId="77777777" w:rsidR="00D708EC" w:rsidRDefault="00000000">
      <w:pPr>
        <w:ind w:left="360"/>
        <w:rPr>
          <w:rFonts w:hint="eastAsia"/>
        </w:rPr>
      </w:pPr>
      <w:r>
        <w:rPr>
          <w:color w:val="37474F"/>
        </w:rPr>
        <w:t>•</w:t>
      </w:r>
      <w:r>
        <w:t>Washington constraint: no direct United States government cash transfers to Iran; no instrument styled as reparations; congressional statutes addressed through the best-efforts and sunset mechanism of Part VIII rather than through promises the Executive lacks the power to keep alone.</w:t>
      </w:r>
    </w:p>
    <w:p w14:paraId="195C2ECE" w14:textId="77777777" w:rsidR="00D708EC" w:rsidRDefault="00000000">
      <w:pPr>
        <w:ind w:left="360"/>
        <w:rPr>
          <w:rFonts w:hint="eastAsia"/>
        </w:rPr>
      </w:pPr>
      <w:r>
        <w:rPr>
          <w:color w:val="37474F"/>
        </w:rPr>
        <w:t>•</w:t>
      </w:r>
      <w:r>
        <w:t>Tehran constraint: no export of enriched material from Iranian territory; no abandonment of enrichment as such; no instrument that reads as surrender, tutelage, or external governance of Iranian internal affairs.</w:t>
      </w:r>
    </w:p>
    <w:p w14:paraId="007C4A30" w14:textId="77777777" w:rsidR="00D708EC" w:rsidRDefault="00000000">
      <w:pPr>
        <w:ind w:left="360"/>
        <w:rPr>
          <w:rFonts w:hint="eastAsia"/>
        </w:rPr>
      </w:pPr>
      <w:r>
        <w:rPr>
          <w:color w:val="37474F"/>
        </w:rPr>
        <w:t>•</w:t>
      </w:r>
      <w:r>
        <w:t>Muscat constraint: no militarization of Omani soil; no arrangement that compromises the neutrality that gives Omani mediation its value.</w:t>
      </w:r>
    </w:p>
    <w:p w14:paraId="3B36D380" w14:textId="77777777" w:rsidR="00D708EC" w:rsidRDefault="00000000">
      <w:pPr>
        <w:rPr>
          <w:rFonts w:hint="eastAsia"/>
        </w:rPr>
      </w:pPr>
      <w:r>
        <w:t>5.2 Where a proposal collides with a registered constraint, the Perimeter Test returns the proposal for redesign. The framework treats constraint collisions as engineering problems, never as pretexts for escalation.</w:t>
      </w:r>
    </w:p>
    <w:p w14:paraId="415CBAF4" w14:textId="77777777" w:rsidR="00D708EC" w:rsidRDefault="00000000">
      <w:pPr>
        <w:pStyle w:val="Heading2"/>
        <w:rPr>
          <w:rFonts w:hint="eastAsia"/>
        </w:rPr>
      </w:pPr>
      <w:bookmarkStart w:id="15" w:name="_Toc237663529"/>
      <w:r>
        <w:t>Article 6: The Separate Podiums, Shared Facts Rule</w:t>
      </w:r>
      <w:bookmarkEnd w:id="15"/>
    </w:p>
    <w:p w14:paraId="1D7D05B3" w14:textId="77777777" w:rsidR="00D708EC" w:rsidRDefault="00000000">
      <w:pPr>
        <w:rPr>
          <w:rFonts w:hint="eastAsia"/>
        </w:rPr>
      </w:pPr>
      <w:r>
        <w:t>6.1 The Parties hold no joint victory press conference. Each Party addresses its own audience from its own podium, in its own language, on its own schedule. The Commission publishes the Ledger and the signature record, and the podiums draw from that common record.</w:t>
      </w:r>
    </w:p>
    <w:p w14:paraId="60505C72" w14:textId="77777777" w:rsidR="00D708EC" w:rsidRDefault="00000000">
      <w:pPr>
        <w:rPr>
          <w:rFonts w:hint="eastAsia"/>
        </w:rPr>
      </w:pPr>
      <w:r>
        <w:t>6.2 Signature executes electronically or in person, at the election of each signatory, consistent with the digital signature practice the Parties adopted for the Memorandum. Each signature carries identical legal force regardless of the manner of execution.</w:t>
      </w:r>
    </w:p>
    <w:p w14:paraId="05F77901" w14:textId="77777777" w:rsidR="00D708EC" w:rsidRDefault="00000000">
      <w:pPr>
        <w:rPr>
          <w:rFonts w:hint="eastAsia"/>
        </w:rPr>
      </w:pPr>
      <w:r>
        <w:lastRenderedPageBreak/>
        <w:t>6.3 The Depositary publishes the authentic texts simultaneously in English, Farsi, and Arabic. No Party publishes a summary styled as the sole authoritative account of the Accord; summaries publish as national framings under Article 2.</w:t>
      </w:r>
    </w:p>
    <w:p w14:paraId="01E9CAF2" w14:textId="77777777" w:rsidR="00D708EC" w:rsidRDefault="00000000">
      <w:pPr>
        <w:pStyle w:val="Heading2"/>
        <w:rPr>
          <w:rFonts w:hint="eastAsia"/>
        </w:rPr>
      </w:pPr>
      <w:bookmarkStart w:id="16" w:name="_Toc237663530"/>
      <w:r>
        <w:t>Article 6A: The Legacy Lock</w:t>
      </w:r>
      <w:bookmarkEnd w:id="16"/>
    </w:p>
    <w:p w14:paraId="011B6682" w14:textId="77777777" w:rsidR="00D708EC" w:rsidRDefault="00000000">
      <w:pPr>
        <w:rPr>
          <w:rFonts w:hint="eastAsia"/>
        </w:rPr>
      </w:pPr>
      <w:r>
        <w:t>6A.1 When a leader signs a commitment of this Accord, the Forward Drift Archive of Article 59A records the leader's name and the commitment permanently. The Archive is public and append-only. Reversal of a commitment requires the reversing government to publish a formal explanation of why the predecessor's work stands undone. The Archive thereby creates a political cost for reversal and a political protection for signature: leaders sign knowing the record protects their legacy.</w:t>
      </w:r>
    </w:p>
    <w:p w14:paraId="13382C60" w14:textId="77777777" w:rsidR="00D708EC" w:rsidRDefault="00000000">
      <w:pPr>
        <w:rPr>
          <w:rFonts w:hint="eastAsia"/>
        </w:rPr>
      </w:pPr>
      <w:r>
        <w:t>6A.2 The Legacy Lock binds no future government's legal freedom of action; it binds the public record. Its power is reputational, permanent, and symmetric across all Parties.</w:t>
      </w:r>
    </w:p>
    <w:p w14:paraId="6D0B0A40" w14:textId="77777777" w:rsidR="00D708EC" w:rsidRDefault="00000000">
      <w:pPr>
        <w:pStyle w:val="Heading2"/>
        <w:rPr>
          <w:rFonts w:hint="eastAsia"/>
        </w:rPr>
      </w:pPr>
      <w:bookmarkStart w:id="17" w:name="_Toc237663531"/>
      <w:r>
        <w:t>Article 6B: The Domestic Approval Pause</w:t>
      </w:r>
      <w:bookmarkEnd w:id="17"/>
    </w:p>
    <w:p w14:paraId="5B952CD8" w14:textId="77777777" w:rsidR="00D708EC" w:rsidRDefault="00000000">
      <w:pPr>
        <w:rPr>
          <w:rFonts w:hint="eastAsia"/>
        </w:rPr>
      </w:pPr>
      <w:r>
        <w:t>6B.1 A window of 90 days operates between signature and full activation, during which each signatory secures the domestic approvals its own constitutional practice favors. The pause carries no conditionality: Day Zero obligations of an existential character (cessation of hostilities, the blockade termination, the corridor opening, the humanitarian absolutes) execute immediately upon signature, and the remaining activation schedule runs from the close of the pause or earlier by a Party's notice of readiness.</w:t>
      </w:r>
    </w:p>
    <w:p w14:paraId="04E64698" w14:textId="77777777" w:rsidR="00D708EC" w:rsidRDefault="00000000">
      <w:pPr>
        <w:rPr>
          <w:rFonts w:hint="eastAsia"/>
        </w:rPr>
      </w:pPr>
      <w:r>
        <w:t>6B.2 During the pause, the verification systems of Layer Two activate in monitoring mode, building the data record that activation converts into the compliance record.</w:t>
      </w:r>
    </w:p>
    <w:p w14:paraId="112EECD2" w14:textId="77777777" w:rsidR="00D708EC" w:rsidRDefault="00000000">
      <w:pPr>
        <w:pStyle w:val="Heading2"/>
        <w:rPr>
          <w:rFonts w:hint="eastAsia"/>
        </w:rPr>
      </w:pPr>
      <w:bookmarkStart w:id="18" w:name="_Toc237663532"/>
      <w:r>
        <w:t>Article 6C: The Narrative Package</w:t>
      </w:r>
      <w:bookmarkEnd w:id="18"/>
    </w:p>
    <w:p w14:paraId="503FDF39" w14:textId="77777777" w:rsidR="00D708EC" w:rsidRDefault="00000000">
      <w:pPr>
        <w:rPr>
          <w:rFonts w:hint="eastAsia"/>
        </w:rPr>
      </w:pPr>
      <w:r>
        <w:t>6C.1 The Depositary secretariat provides each signatory, upon execution, a pre-drafted Narrative Package: model speeches, talking points, and public messaging frameworks consistent with the Shared Fact Ledger and with that signatory's authorized framing under Article 2. Leaders deliver their narrative; they do not have to invent it under time pressure.</w:t>
      </w:r>
    </w:p>
    <w:p w14:paraId="3D636A9E" w14:textId="77777777" w:rsidR="00D708EC" w:rsidRDefault="00000000">
      <w:pPr>
        <w:rPr>
          <w:rFonts w:hint="eastAsia"/>
        </w:rPr>
      </w:pPr>
      <w:r>
        <w:t>6C.2 The Narrative Package is an instrument of convenience, never of constraint. Each signatory edits, adapts, or discards its package freely, and the framework architecture attaches no compliance significance to the use or non-use of any package.</w:t>
      </w:r>
    </w:p>
    <w:p w14:paraId="29FE123B" w14:textId="77777777" w:rsidR="00D708EC" w:rsidRDefault="00D708EC">
      <w:pPr>
        <w:pageBreakBefore/>
        <w:rPr>
          <w:rFonts w:hint="eastAsia"/>
        </w:rPr>
      </w:pPr>
    </w:p>
    <w:p w14:paraId="130E2B51" w14:textId="77777777" w:rsidR="00D708EC" w:rsidRDefault="00000000">
      <w:pPr>
        <w:pStyle w:val="Heading1"/>
        <w:rPr>
          <w:rFonts w:hint="eastAsia"/>
        </w:rPr>
      </w:pPr>
      <w:bookmarkStart w:id="19" w:name="_Toc237663533"/>
      <w:r>
        <w:t>LAYER ONE: THE FINAL STATUS TREATY</w:t>
      </w:r>
      <w:bookmarkEnd w:id="19"/>
    </w:p>
    <w:p w14:paraId="21A079A6" w14:textId="77777777" w:rsidR="00D708EC" w:rsidRDefault="00000000">
      <w:pPr>
        <w:pStyle w:val="Quote"/>
        <w:rPr>
          <w:rFonts w:hint="eastAsia"/>
        </w:rPr>
      </w:pPr>
      <w:r>
        <w:t>The master settlement. This layer supersedes the Islamabad Memorandum and resolves permanently the disputes that the Memorandum deferred.</w:t>
      </w:r>
    </w:p>
    <w:p w14:paraId="2467AA20" w14:textId="77777777" w:rsidR="00D708EC" w:rsidRDefault="00000000">
      <w:pPr>
        <w:pStyle w:val="Heading1"/>
        <w:rPr>
          <w:rFonts w:hint="eastAsia"/>
        </w:rPr>
      </w:pPr>
      <w:bookmarkStart w:id="20" w:name="_Toc237663534"/>
      <w:r>
        <w:t>PART I: FOUNDATIONS</w:t>
      </w:r>
      <w:bookmarkEnd w:id="20"/>
    </w:p>
    <w:p w14:paraId="37F658C7" w14:textId="77777777" w:rsidR="00D708EC" w:rsidRDefault="00000000">
      <w:pPr>
        <w:pStyle w:val="Heading2"/>
        <w:rPr>
          <w:rFonts w:hint="eastAsia"/>
        </w:rPr>
      </w:pPr>
      <w:bookmarkStart w:id="21" w:name="_Toc237663535"/>
      <w:r>
        <w:t>Article 7: Establishment, Purpose, and Scope</w:t>
      </w:r>
      <w:bookmarkEnd w:id="21"/>
    </w:p>
    <w:p w14:paraId="00B8AB41" w14:textId="77777777" w:rsidR="00D708EC" w:rsidRDefault="00000000">
      <w:pPr>
        <w:rPr>
          <w:rFonts w:hint="eastAsia"/>
        </w:rPr>
      </w:pPr>
      <w:r>
        <w:t>7.1 Establishment. This Treaty establishes the permanent peace architecture between the Islamic Republic of Iran and the United States of America, with the participation of the Facilitating Parties, and supersedes the Islamabad Memorandum of June 2026 upon entry into force. Commitments the Memorandum records as performed remain performed; commitments the Memorandum deferred, this Treaty settles.</w:t>
      </w:r>
    </w:p>
    <w:p w14:paraId="478E91BD" w14:textId="77777777" w:rsidR="00D708EC" w:rsidRDefault="00000000">
      <w:pPr>
        <w:rPr>
          <w:rFonts w:hint="eastAsia"/>
        </w:rPr>
      </w:pPr>
      <w:r>
        <w:t>7.2 Purpose. The Treaty terminates the war permanently, restores and secures navigation through the Strait of Hormuz, forecloses every pathway to an Iranian nuclear weapon while preserving the peaceful Iranian nuclear program, terminates the sanctions architecture on a binding schedule, releases frozen assets, establishes the reconstruction architecture, and settles the regional fronts through the guarantor structure of Part XI.</w:t>
      </w:r>
    </w:p>
    <w:p w14:paraId="4379D12F" w14:textId="77777777" w:rsidR="00D708EC" w:rsidRDefault="00000000">
      <w:pPr>
        <w:rPr>
          <w:rFonts w:hint="eastAsia"/>
        </w:rPr>
      </w:pPr>
      <w:r>
        <w:t>7.3 Geographic scope. The Treaty operates worldwide as to obligations of the Parties, and designates the Strait of Hormuz Governance Area per the coordinates of Annex A for the maritime regime.</w:t>
      </w:r>
    </w:p>
    <w:p w14:paraId="335ACEFE" w14:textId="77777777" w:rsidR="00D708EC" w:rsidRDefault="00000000">
      <w:pPr>
        <w:rPr>
          <w:rFonts w:hint="eastAsia"/>
        </w:rPr>
      </w:pPr>
      <w:r>
        <w:t>7.4 Functional scope. The Treaty governs: cessation of hostilities; sovereignty and non-interference; military disengagement; nuclear final status; Strait governance and the fees resolution; sanctions termination; frozen assets; reconstruction; regional de-escalation; humanitarian protection; and the verification, implementation, and ratification architecture of Layers Two through Four.</w:t>
      </w:r>
    </w:p>
    <w:p w14:paraId="3DC3B4B9" w14:textId="77777777" w:rsidR="00D708EC" w:rsidRDefault="00000000">
      <w:pPr>
        <w:rPr>
          <w:rFonts w:hint="eastAsia"/>
        </w:rPr>
      </w:pPr>
      <w:r>
        <w:t>7.5 What this Treaty does not do. The Treaty does not adjudicate history, does not award reparations in either direction, does not alter the constitutional order of any Party, does not resolve the Iranian ballistic missile file, does not establish diplomatic relations between the Principal Parties, and does not prejudice the legal position of any Party on any matter outside its functional scope. Article 43 firewalls the excluded files.</w:t>
      </w:r>
    </w:p>
    <w:p w14:paraId="17F8FDDE" w14:textId="77777777" w:rsidR="00D708EC" w:rsidRDefault="00000000">
      <w:pPr>
        <w:pStyle w:val="Heading2"/>
        <w:rPr>
          <w:rFonts w:hint="eastAsia"/>
        </w:rPr>
      </w:pPr>
      <w:bookmarkStart w:id="22" w:name="_Toc237663536"/>
      <w:r>
        <w:t>Article 8: The Parties, Facilitators, and Depositary</w:t>
      </w:r>
      <w:bookmarkEnd w:id="22"/>
    </w:p>
    <w:p w14:paraId="462FED43" w14:textId="77777777" w:rsidR="00D708EC" w:rsidRDefault="00000000">
      <w:pPr>
        <w:rPr>
          <w:rFonts w:hint="eastAsia"/>
        </w:rPr>
      </w:pPr>
      <w:r>
        <w:t>8.1 Principal Parties: the Islamic Republic of Iran and the United States of America.</w:t>
      </w:r>
    </w:p>
    <w:p w14:paraId="37AE0559" w14:textId="77777777" w:rsidR="00D708EC" w:rsidRDefault="00000000">
      <w:pPr>
        <w:rPr>
          <w:rFonts w:hint="eastAsia"/>
        </w:rPr>
      </w:pPr>
      <w:r>
        <w:lastRenderedPageBreak/>
        <w:t>8.2 Coastal Party: the Sultanate of Oman, as co-administrator of the Strait regime and holder of registered Red Lines OM-1 and OM-2.</w:t>
      </w:r>
    </w:p>
    <w:p w14:paraId="2A0FF14A" w14:textId="77777777" w:rsidR="00D708EC" w:rsidRDefault="00000000">
      <w:pPr>
        <w:rPr>
          <w:rFonts w:hint="eastAsia"/>
        </w:rPr>
      </w:pPr>
      <w:r>
        <w:t>8.3 Facilitating Parties: the State of Qatar as Escrow Agent; the Islamic Republic of Pakistan as Depositary and convener of the Islamabad channel; the Swiss Confederation as Technical Facilitator and coordinator of the Third-Party Expert Pool; and the states and institutions acceding under Article 84.</w:t>
      </w:r>
    </w:p>
    <w:p w14:paraId="40A86213" w14:textId="77777777" w:rsidR="00D708EC" w:rsidRDefault="00000000">
      <w:pPr>
        <w:rPr>
          <w:rFonts w:hint="eastAsia"/>
        </w:rPr>
      </w:pPr>
      <w:r>
        <w:t>8.4 Institutional participants: the International Atomic Energy Agency exercises the verification mandate of Part V and Annex B; the International Maritime Organization exercises the certification and registry functions of Part VI; the World Bank exercises the fiduciary functions of Annex RDF. Institutional participants act within their mandates and acquire no political functions.</w:t>
      </w:r>
    </w:p>
    <w:p w14:paraId="16C7439A" w14:textId="77777777" w:rsidR="00D708EC" w:rsidRDefault="00000000">
      <w:pPr>
        <w:pStyle w:val="Heading2"/>
        <w:rPr>
          <w:rFonts w:hint="eastAsia"/>
        </w:rPr>
      </w:pPr>
      <w:bookmarkStart w:id="23" w:name="_Toc237663537"/>
      <w:r>
        <w:t>Article 9: Legal Foundations</w:t>
      </w:r>
      <w:bookmarkEnd w:id="23"/>
    </w:p>
    <w:p w14:paraId="75793678" w14:textId="77777777" w:rsidR="00D708EC" w:rsidRDefault="00000000">
      <w:pPr>
        <w:rPr>
          <w:rFonts w:hint="eastAsia"/>
        </w:rPr>
      </w:pPr>
      <w:r>
        <w:t>9.1 The Treaty rests upon the Charter of the United Nations, the sovereign equality of states, and the customary law of the sea, including the regime of transit passage through straits used for international navigation.</w:t>
      </w:r>
    </w:p>
    <w:p w14:paraId="462B9D64" w14:textId="77777777" w:rsidR="00D708EC" w:rsidRDefault="00000000">
      <w:pPr>
        <w:rPr>
          <w:rFonts w:hint="eastAsia"/>
        </w:rPr>
      </w:pPr>
      <w:r>
        <w:t>9.2 The Treaty preserves transit passage. Nothing in the corridor system, the services architecture, or the stewardship institutions suspends, conditions, or diminishes the right of transit passage. The corridor system organizes transit; it never rations it.</w:t>
      </w:r>
    </w:p>
    <w:p w14:paraId="1241F2A7" w14:textId="77777777" w:rsidR="00D708EC" w:rsidRDefault="00000000">
      <w:pPr>
        <w:rPr>
          <w:rFonts w:hint="eastAsia"/>
        </w:rPr>
      </w:pPr>
      <w:r>
        <w:t>9.3 The service distinction. International law distinguishes a charge on passage, which the framework excludes absolutely, from a charge for specific services rendered at the election of the vessel, which the framework organizes under Part VII. Every financial mechanism of this Accord operates on the services side of that distinction.</w:t>
      </w:r>
    </w:p>
    <w:p w14:paraId="0706A4AC" w14:textId="77777777" w:rsidR="00D708EC" w:rsidRDefault="00000000">
      <w:pPr>
        <w:rPr>
          <w:rFonts w:hint="eastAsia"/>
        </w:rPr>
      </w:pPr>
      <w:r>
        <w:t>9.4 Non-prejudice and no precedent. Participation in this Treaty, in its monitoring systems, in its escrow structures, or in its funds constitutes neither recognition of any legal position nor precedent for any other waterway, dispute, or negotiation. Data collection under the Treaty carries no political meaning.</w:t>
      </w:r>
    </w:p>
    <w:p w14:paraId="24E81036" w14:textId="77777777" w:rsidR="00D708EC" w:rsidRDefault="00000000">
      <w:pPr>
        <w:rPr>
          <w:rFonts w:hint="eastAsia"/>
        </w:rPr>
      </w:pPr>
      <w:r>
        <w:t>9.5 Relationship to the International Maritime Organization. The Parties route the navigation products of this Treaty through the IMO as the competent international body, and the IMO certifies the traffic scheme of Annex A as a routeing measure under its own procedures.</w:t>
      </w:r>
    </w:p>
    <w:p w14:paraId="75C2A428" w14:textId="77777777" w:rsidR="00D708EC" w:rsidRDefault="00000000">
      <w:pPr>
        <w:pStyle w:val="Heading2"/>
        <w:rPr>
          <w:rFonts w:hint="eastAsia"/>
        </w:rPr>
      </w:pPr>
      <w:bookmarkStart w:id="24" w:name="_Toc237663538"/>
      <w:r>
        <w:t>Article 10: Core Operating Principles</w:t>
      </w:r>
      <w:bookmarkEnd w:id="24"/>
    </w:p>
    <w:p w14:paraId="472089BE" w14:textId="77777777" w:rsidR="00D708EC" w:rsidRDefault="00000000">
      <w:pPr>
        <w:ind w:left="360"/>
        <w:rPr>
          <w:rFonts w:hint="eastAsia"/>
        </w:rPr>
      </w:pPr>
      <w:r>
        <w:rPr>
          <w:color w:val="37474F"/>
        </w:rPr>
        <w:t>•</w:t>
      </w:r>
      <w:r>
        <w:t>Paired Action: every step pairs with a reciprocal step, and the Reciprocity Ledger records each pair. No step executes alone.</w:t>
      </w:r>
    </w:p>
    <w:p w14:paraId="46511790" w14:textId="77777777" w:rsidR="00D708EC" w:rsidRDefault="00000000">
      <w:pPr>
        <w:ind w:left="360"/>
        <w:rPr>
          <w:rFonts w:hint="eastAsia"/>
        </w:rPr>
      </w:pPr>
      <w:r>
        <w:rPr>
          <w:color w:val="37474F"/>
        </w:rPr>
        <w:t>•</w:t>
      </w:r>
      <w:r>
        <w:t>Mutual Architecture: constraints bind the framework, not one Party for the benefit of the other.</w:t>
      </w:r>
    </w:p>
    <w:p w14:paraId="3001CB7A" w14:textId="77777777" w:rsidR="00D708EC" w:rsidRDefault="00000000">
      <w:pPr>
        <w:ind w:left="360"/>
        <w:rPr>
          <w:rFonts w:hint="eastAsia"/>
        </w:rPr>
      </w:pPr>
      <w:r>
        <w:rPr>
          <w:color w:val="37474F"/>
        </w:rPr>
        <w:lastRenderedPageBreak/>
        <w:t>•</w:t>
      </w:r>
      <w:r>
        <w:t>Nofade Continuity: the Treaty carries no sunset; earned progress never expires by the passage of time; exit is an act, never a fade.</w:t>
      </w:r>
    </w:p>
    <w:p w14:paraId="4FE7CAD4" w14:textId="77777777" w:rsidR="00D708EC" w:rsidRDefault="00000000">
      <w:pPr>
        <w:ind w:left="360"/>
        <w:rPr>
          <w:rFonts w:hint="eastAsia"/>
        </w:rPr>
      </w:pPr>
      <w:r>
        <w:rPr>
          <w:color w:val="37474F"/>
        </w:rPr>
        <w:t>•</w:t>
      </w:r>
      <w:r>
        <w:t>Proportionality: consequences fit the violation; the Cothrom engine of Layer Two replaces snapback.</w:t>
      </w:r>
    </w:p>
    <w:p w14:paraId="0A5D1A1C" w14:textId="77777777" w:rsidR="00D708EC" w:rsidRDefault="00000000">
      <w:pPr>
        <w:ind w:left="360"/>
        <w:rPr>
          <w:rFonts w:hint="eastAsia"/>
        </w:rPr>
      </w:pPr>
      <w:r>
        <w:rPr>
          <w:color w:val="37474F"/>
        </w:rPr>
        <w:t>•</w:t>
      </w:r>
      <w:r>
        <w:t>Transparency over Trust: the architecture substitutes shared data for demanded faith.</w:t>
      </w:r>
    </w:p>
    <w:p w14:paraId="30BF57A6" w14:textId="77777777" w:rsidR="00D708EC" w:rsidRDefault="00000000">
      <w:pPr>
        <w:ind w:left="360"/>
        <w:rPr>
          <w:rFonts w:hint="eastAsia"/>
        </w:rPr>
      </w:pPr>
      <w:r>
        <w:rPr>
          <w:color w:val="37474F"/>
        </w:rPr>
        <w:t>•</w:t>
      </w:r>
      <w:r>
        <w:t>Civilian Character: the Strait institutions operate as civilian bodies; security functions remain functions, never commands.</w:t>
      </w:r>
    </w:p>
    <w:p w14:paraId="37924CFA" w14:textId="77777777" w:rsidR="00D708EC" w:rsidRDefault="00000000">
      <w:pPr>
        <w:ind w:left="360"/>
        <w:rPr>
          <w:rFonts w:hint="eastAsia"/>
        </w:rPr>
      </w:pPr>
      <w:r>
        <w:rPr>
          <w:color w:val="37474F"/>
        </w:rPr>
        <w:t>•</w:t>
      </w:r>
      <w:r>
        <w:t>Partial Success: modules operate as independent tracks; failure in one never cascades without certification under the Consensus Minus One rule.</w:t>
      </w:r>
    </w:p>
    <w:p w14:paraId="029FEC37" w14:textId="77777777" w:rsidR="00D708EC" w:rsidRDefault="00000000">
      <w:pPr>
        <w:ind w:left="360"/>
        <w:rPr>
          <w:rFonts w:hint="eastAsia"/>
        </w:rPr>
      </w:pPr>
      <w:r>
        <w:rPr>
          <w:color w:val="37474F"/>
        </w:rPr>
        <w:t>•</w:t>
      </w:r>
      <w:r>
        <w:t>The Political Acceptability Rule: every mechanism of this Treaty satisfies the registered constraints of Article 5, and the Perimeter Test enforces that satisfaction.</w:t>
      </w:r>
    </w:p>
    <w:p w14:paraId="4C35A1D8" w14:textId="77777777" w:rsidR="00D708EC" w:rsidRDefault="00000000">
      <w:pPr>
        <w:pStyle w:val="Heading2"/>
        <w:rPr>
          <w:rFonts w:hint="eastAsia"/>
        </w:rPr>
      </w:pPr>
      <w:bookmarkStart w:id="25" w:name="_Toc237663539"/>
      <w:r>
        <w:t>Article 11: Definitions and Interpretation</w:t>
      </w:r>
      <w:bookmarkEnd w:id="25"/>
    </w:p>
    <w:p w14:paraId="408EA739" w14:textId="77777777" w:rsidR="00D708EC" w:rsidRDefault="00000000">
      <w:pPr>
        <w:rPr>
          <w:rFonts w:hint="eastAsia"/>
        </w:rPr>
      </w:pPr>
      <w:r>
        <w:t>11.1 Definitions. In this Treaty: the Governance Area means the area bounded by the polygon of Annex A; Corridor means a designated transit lane within the Governance Area; Verified Service means a service listed in the Verified Services Catalog of Annex A; the Fund means the Hormuz Maritime Stewardship Fund of Annex D; the JIC means the Joint Implementation Commission of Article 69; the JMC means the Joint Monitoring Cell of Layer Two; the Registry means the Shared Digital Registry; Step-Back and Earn-Back carry the meanings Layer Two assigns; Red Line means a position registered under Annex G; and Day Zero means the date of entry into force under Article 82.</w:t>
      </w:r>
    </w:p>
    <w:p w14:paraId="3BB218B0" w14:textId="77777777" w:rsidR="00D708EC" w:rsidRDefault="00000000">
      <w:pPr>
        <w:rPr>
          <w:rFonts w:hint="eastAsia"/>
        </w:rPr>
      </w:pPr>
      <w:r>
        <w:t>11.2 Interpretation. The Treaty reads as a single instrument with its Annexes. Operative articles govern over recitals. Specific provisions govern over general ones. No interpretation defeats a Red Line, the Zero-Toll Rule, the nuclear prohibition, or the humanitarian protections.</w:t>
      </w:r>
    </w:p>
    <w:p w14:paraId="3A69EFC1" w14:textId="77777777" w:rsidR="00D708EC" w:rsidRDefault="00D708EC">
      <w:pPr>
        <w:pageBreakBefore/>
        <w:rPr>
          <w:rFonts w:hint="eastAsia"/>
        </w:rPr>
      </w:pPr>
    </w:p>
    <w:p w14:paraId="0D1F9476" w14:textId="77777777" w:rsidR="00D708EC" w:rsidRDefault="00000000">
      <w:pPr>
        <w:pStyle w:val="Heading1"/>
        <w:rPr>
          <w:rFonts w:hint="eastAsia"/>
        </w:rPr>
      </w:pPr>
      <w:bookmarkStart w:id="26" w:name="_Toc237663540"/>
      <w:r>
        <w:t>PART II: PERMANENT CESSATION OF HOSTILITIES</w:t>
      </w:r>
      <w:bookmarkEnd w:id="26"/>
    </w:p>
    <w:p w14:paraId="0F8F2213" w14:textId="77777777" w:rsidR="00D708EC" w:rsidRDefault="00000000">
      <w:pPr>
        <w:pStyle w:val="Heading2"/>
        <w:rPr>
          <w:rFonts w:hint="eastAsia"/>
        </w:rPr>
      </w:pPr>
      <w:bookmarkStart w:id="27" w:name="_Toc237663541"/>
      <w:r>
        <w:t>Article 12: The Permanent Termination</w:t>
      </w:r>
      <w:bookmarkEnd w:id="27"/>
    </w:p>
    <w:p w14:paraId="011AF704" w14:textId="77777777" w:rsidR="00D708EC" w:rsidRDefault="00000000">
      <w:pPr>
        <w:rPr>
          <w:rFonts w:hint="eastAsia"/>
        </w:rPr>
      </w:pPr>
      <w:r>
        <w:t>12.1 The war ends with this Treaty. The framework architecture records the permanent termination of all military operations between the Principal Parties and on all fronts addressed by Part XI, including Lebanon, effective Day Zero. The termination carries no expiration date.</w:t>
      </w:r>
    </w:p>
    <w:p w14:paraId="02830C34" w14:textId="77777777" w:rsidR="00D708EC" w:rsidRDefault="00000000">
      <w:pPr>
        <w:rPr>
          <w:rFonts w:hint="eastAsia"/>
        </w:rPr>
      </w:pPr>
      <w:r>
        <w:t>12.2 The framework architecture excludes the threat or use of force between the Principal Parties, in any domain, for any purpose connected with the disputes this Treaty settles. This exclusion operates as a feature of the architecture, binding both Parties identically, and not as a concession of either.</w:t>
      </w:r>
    </w:p>
    <w:p w14:paraId="7877DFC2" w14:textId="77777777" w:rsidR="00D708EC" w:rsidRDefault="00000000">
      <w:pPr>
        <w:rPr>
          <w:rFonts w:hint="eastAsia"/>
        </w:rPr>
      </w:pPr>
      <w:r>
        <w:t>12.3 Force posture freeze. Military postures within the Governance Area and within 50 nautical miles of the Strait freeze at their Day Zero positions pending the disengagement schedule of Part IV. The freeze excludes new deployments, new live-fire exercises, and new forward positioning within the frozen zone.</w:t>
      </w:r>
    </w:p>
    <w:p w14:paraId="29D01C02" w14:textId="77777777" w:rsidR="00D708EC" w:rsidRDefault="00000000">
      <w:pPr>
        <w:rPr>
          <w:rFonts w:hint="eastAsia"/>
        </w:rPr>
      </w:pPr>
      <w:r>
        <w:t>12.4 The Naval blockade of Iranian ports and coastal areas terminates on Day Zero in its entirety. The United States Navy completes stand-down of interception posture within 72 hours, and the JMC certifies stand-down through the telemetry of Layer Two. The termination of the blockade pairs, in the Reciprocity Ledger, with the simultaneous opening of all corridors under Part VI.</w:t>
      </w:r>
    </w:p>
    <w:p w14:paraId="2FCF5411" w14:textId="77777777" w:rsidR="00D708EC" w:rsidRDefault="00000000">
      <w:pPr>
        <w:pStyle w:val="Heading2"/>
        <w:rPr>
          <w:rFonts w:hint="eastAsia"/>
        </w:rPr>
      </w:pPr>
      <w:bookmarkStart w:id="28" w:name="_Toc237663542"/>
      <w:r>
        <w:t>Article 13: The Lebanon Resolution and the Third-Party Guarantor Clause</w:t>
      </w:r>
      <w:bookmarkEnd w:id="28"/>
    </w:p>
    <w:p w14:paraId="3FD8D3C3" w14:textId="77777777" w:rsidR="00D708EC" w:rsidRDefault="00000000">
      <w:pPr>
        <w:rPr>
          <w:rFonts w:hint="eastAsia"/>
        </w:rPr>
      </w:pPr>
      <w:r>
        <w:t>13.1 The structural gap. The cessation on the Lebanese front engages a state that holds no signature on this Treaty. The framework architecture closes this gap not by pretending the gap is small, but by binding the party that holds leverage over that state.</w:t>
      </w:r>
    </w:p>
    <w:p w14:paraId="7C40B388" w14:textId="77777777" w:rsidR="00D708EC" w:rsidRDefault="00000000">
      <w:pPr>
        <w:rPr>
          <w:rFonts w:hint="eastAsia"/>
        </w:rPr>
      </w:pPr>
      <w:r>
        <w:t>13.2 The Guarantor Clause. The United States guarantees, within this Treaty and toward Iran and the Guarantor Matrix, that it applies its full diplomatic and security leverage to maintain the cessation of strikes on Lebanese territory and to support the implementation of United Nations Security Council Resolution 1701. This guarantee constitutes an obligation of the United States under this Treaty, verifiable through the Layer Two regime as the conduct of a Party.</w:t>
      </w:r>
    </w:p>
    <w:p w14:paraId="5934647C" w14:textId="77777777" w:rsidR="00D708EC" w:rsidRDefault="00000000">
      <w:pPr>
        <w:rPr>
          <w:rFonts w:hint="eastAsia"/>
        </w:rPr>
      </w:pPr>
      <w:r>
        <w:t xml:space="preserve">13.3 The paired codification. Iran codifies, within this Treaty and toward the United States and the Guarantor Matrix, its commitment to the full implementation of United Nations Security Council Resolution 1701 in southern Lebanon, consistent with Lebanese state sovereignty, including the objective of an area south of the Litani River free of armed </w:t>
      </w:r>
      <w:r>
        <w:lastRenderedPageBreak/>
        <w:t>personnel and weapons other than those of the Lebanese state, and channels its relationships with Lebanese parties into state-to-state and political tracks. This codification constitutes an obligation of Iran under this Treaty, verifiable through the Layer Two regime.</w:t>
      </w:r>
    </w:p>
    <w:p w14:paraId="49FFE175" w14:textId="77777777" w:rsidR="00D708EC" w:rsidRDefault="00000000">
      <w:pPr>
        <w:rPr>
          <w:rFonts w:hint="eastAsia"/>
        </w:rPr>
      </w:pPr>
      <w:r>
        <w:t>13.4 Triangular architecture. Obligations 13.2 and 13.3 bind simultaneously and verify independently. A breach of one does not license breach of the other; the Cothrom engine addresses each on its own module. The Guarantor Matrix convenes within 48 hours upon a Tier 2 or Tier 3 classification on the Lebanon module.</w:t>
      </w:r>
    </w:p>
    <w:p w14:paraId="78791B5E" w14:textId="77777777" w:rsidR="00D708EC" w:rsidRDefault="00000000">
      <w:pPr>
        <w:rPr>
          <w:rFonts w:hint="eastAsia"/>
        </w:rPr>
      </w:pPr>
      <w:r>
        <w:t>13.5 The other fronts. The cessation architecture of this Article extends to Yemen, Iraq, and Syria through the same structure: the Principal Parties codify the termination of support for military operations against each other and against the forces of the other on those fronts, and the Regional De-escalation Pact of Part XI operationalizes the codification state by state.</w:t>
      </w:r>
    </w:p>
    <w:p w14:paraId="591BEB7E" w14:textId="77777777" w:rsidR="00D708EC" w:rsidRDefault="00D708EC">
      <w:pPr>
        <w:pageBreakBefore/>
        <w:rPr>
          <w:rFonts w:hint="eastAsia"/>
        </w:rPr>
      </w:pPr>
    </w:p>
    <w:p w14:paraId="1F2634D7" w14:textId="77777777" w:rsidR="00D708EC" w:rsidRDefault="00000000">
      <w:pPr>
        <w:pStyle w:val="Heading1"/>
        <w:rPr>
          <w:rFonts w:hint="eastAsia"/>
        </w:rPr>
      </w:pPr>
      <w:bookmarkStart w:id="29" w:name="_Toc237663543"/>
      <w:r>
        <w:t>PART III: SOVEREIGNTY AND NON-INTERFERENCE</w:t>
      </w:r>
      <w:bookmarkEnd w:id="29"/>
    </w:p>
    <w:p w14:paraId="17C5DD72" w14:textId="77777777" w:rsidR="00D708EC" w:rsidRDefault="00000000">
      <w:pPr>
        <w:pStyle w:val="Heading2"/>
        <w:rPr>
          <w:rFonts w:hint="eastAsia"/>
        </w:rPr>
      </w:pPr>
      <w:bookmarkStart w:id="30" w:name="_Toc237663544"/>
      <w:r>
        <w:t>Article 14: The Sovereignty and No Regime Change Covenant</w:t>
      </w:r>
      <w:bookmarkEnd w:id="30"/>
    </w:p>
    <w:p w14:paraId="1CCD20E1" w14:textId="77777777" w:rsidR="00D708EC" w:rsidRDefault="00000000">
      <w:pPr>
        <w:rPr>
          <w:rFonts w:hint="eastAsia"/>
        </w:rPr>
      </w:pPr>
      <w:r>
        <w:t>14.1 The framework architecture codifies the sovereign equality of the Principal Parties and excludes interference in the internal affairs of either, in any form: political, economic, cyber, informational, or covert.</w:t>
      </w:r>
    </w:p>
    <w:p w14:paraId="04730FA4" w14:textId="77777777" w:rsidR="00D708EC" w:rsidRDefault="00000000">
      <w:pPr>
        <w:rPr>
          <w:rFonts w:hint="eastAsia"/>
        </w:rPr>
      </w:pPr>
      <w:r>
        <w:t>14.2 The No Regime Change Objective. The framework architecture excludes the overthrow, replacement, or transformation of the constitutional order of either Principal Party as an objective, an instrument, or a funded activity. No organ, fund, escrow, or program of this Accord finances, facilitates, or provides cover for any such activity. The Political Discretion Fund of Layer Two lists such purposes among its prohibited uses.</w:t>
      </w:r>
    </w:p>
    <w:p w14:paraId="4D2BA706" w14:textId="77777777" w:rsidR="00D708EC" w:rsidRDefault="00000000">
      <w:pPr>
        <w:rPr>
          <w:rFonts w:hint="eastAsia"/>
        </w:rPr>
      </w:pPr>
      <w:r>
        <w:t>14.3 Mutual non-hostility in international bodies. The Principal Parties terminate sponsorship of measures directed against the other in international organizations, excepting participation in the verification and safeguards processes this Treaty itself establishes.</w:t>
      </w:r>
    </w:p>
    <w:p w14:paraId="1EB35D9C" w14:textId="77777777" w:rsidR="00D708EC" w:rsidRDefault="00000000">
      <w:pPr>
        <w:rPr>
          <w:rFonts w:hint="eastAsia"/>
        </w:rPr>
      </w:pPr>
      <w:r>
        <w:t>14.4 Cyber non-interference. The framework architecture excludes state-directed cyber operations against the critical infrastructure, financial systems, verification systems, or command systems of the other Party. The JMC maintains a cyber-anomaly channel, and suspected operations route through the attribution-deferral protocol of Layer Two, including the False Flag Protocol.</w:t>
      </w:r>
    </w:p>
    <w:p w14:paraId="621AE7A3" w14:textId="77777777" w:rsidR="00D708EC" w:rsidRDefault="00000000">
      <w:pPr>
        <w:rPr>
          <w:rFonts w:hint="eastAsia"/>
        </w:rPr>
      </w:pPr>
      <w:r>
        <w:t>14.5 The respect provisions of Layer Zero Article 4 bind as operational law under this Part.</w:t>
      </w:r>
    </w:p>
    <w:p w14:paraId="3D353A5F" w14:textId="77777777" w:rsidR="00D708EC" w:rsidRDefault="00D708EC">
      <w:pPr>
        <w:pageBreakBefore/>
        <w:rPr>
          <w:rFonts w:hint="eastAsia"/>
        </w:rPr>
      </w:pPr>
    </w:p>
    <w:p w14:paraId="3E0D2667" w14:textId="77777777" w:rsidR="00D708EC" w:rsidRDefault="00000000">
      <w:pPr>
        <w:pStyle w:val="Heading1"/>
        <w:rPr>
          <w:rFonts w:hint="eastAsia"/>
        </w:rPr>
      </w:pPr>
      <w:bookmarkStart w:id="31" w:name="_Toc237663545"/>
      <w:r>
        <w:t>PART IV: MILITARY DISENGAGEMENT AND THE WITHDRAWAL PROTOCOL</w:t>
      </w:r>
      <w:bookmarkEnd w:id="31"/>
    </w:p>
    <w:p w14:paraId="198719BB" w14:textId="77777777" w:rsidR="00D708EC" w:rsidRDefault="00000000">
      <w:pPr>
        <w:pStyle w:val="Heading2"/>
        <w:rPr>
          <w:rFonts w:hint="eastAsia"/>
        </w:rPr>
      </w:pPr>
      <w:bookmarkStart w:id="32" w:name="_Toc237663546"/>
      <w:r>
        <w:t>Article 15: The Thirty-Day Withdrawal Protocol</w:t>
      </w:r>
      <w:bookmarkEnd w:id="32"/>
    </w:p>
    <w:p w14:paraId="6EF2EC61" w14:textId="77777777" w:rsidR="00D708EC" w:rsidRDefault="00000000">
      <w:pPr>
        <w:rPr>
          <w:rFonts w:hint="eastAsia"/>
        </w:rPr>
      </w:pPr>
      <w:r>
        <w:t>15.1 The United States completes the withdrawal of its combat forces from the proximity of Iran within 30 days after Day Zero. Proximity means: the Persian Gulf, the Gulf of Oman within the defined line of Annex A, and the forward posture established for the 2026 campaign, as scheduled in the Withdrawal Table of this Article.</w:t>
      </w:r>
    </w:p>
    <w:p w14:paraId="78633015" w14:textId="77777777" w:rsidR="00D708EC" w:rsidRDefault="00000000">
      <w:pPr>
        <w:rPr>
          <w:rFonts w:hint="eastAsia"/>
        </w:rPr>
      </w:pPr>
      <w:r>
        <w:t>15.2 Withdrawal Table:</w:t>
      </w:r>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782"/>
        <w:gridCol w:w="1079"/>
        <w:gridCol w:w="4543"/>
        <w:gridCol w:w="2822"/>
      </w:tblGrid>
      <w:tr w:rsidR="00D708EC" w14:paraId="12C5BD4D" w14:textId="77777777">
        <w:tc>
          <w:tcPr>
            <w:tcW w:w="0" w:type="auto"/>
            <w:shd w:val="clear" w:color="auto" w:fill="37474F"/>
          </w:tcPr>
          <w:p w14:paraId="103896BC" w14:textId="77777777" w:rsidR="00D708EC" w:rsidRDefault="00000000">
            <w:pPr>
              <w:rPr>
                <w:rFonts w:hint="eastAsia"/>
              </w:rPr>
            </w:pPr>
            <w:r>
              <w:rPr>
                <w:b/>
                <w:color w:val="FFFFFF"/>
                <w:sz w:val="19"/>
              </w:rPr>
              <w:t>Phase</w:t>
            </w:r>
          </w:p>
        </w:tc>
        <w:tc>
          <w:tcPr>
            <w:tcW w:w="0" w:type="auto"/>
            <w:shd w:val="clear" w:color="auto" w:fill="37474F"/>
          </w:tcPr>
          <w:p w14:paraId="65FB5C92" w14:textId="77777777" w:rsidR="00D708EC" w:rsidRDefault="00000000">
            <w:pPr>
              <w:rPr>
                <w:rFonts w:hint="eastAsia"/>
              </w:rPr>
            </w:pPr>
            <w:r>
              <w:rPr>
                <w:b/>
                <w:color w:val="FFFFFF"/>
                <w:sz w:val="19"/>
              </w:rPr>
              <w:t>Deadline</w:t>
            </w:r>
          </w:p>
        </w:tc>
        <w:tc>
          <w:tcPr>
            <w:tcW w:w="0" w:type="auto"/>
            <w:shd w:val="clear" w:color="auto" w:fill="37474F"/>
          </w:tcPr>
          <w:p w14:paraId="771B48AB" w14:textId="77777777" w:rsidR="00D708EC" w:rsidRDefault="00000000">
            <w:pPr>
              <w:rPr>
                <w:rFonts w:hint="eastAsia"/>
              </w:rPr>
            </w:pPr>
            <w:r>
              <w:rPr>
                <w:b/>
                <w:color w:val="FFFFFF"/>
                <w:sz w:val="19"/>
              </w:rPr>
              <w:t>Action</w:t>
            </w:r>
          </w:p>
        </w:tc>
        <w:tc>
          <w:tcPr>
            <w:tcW w:w="0" w:type="auto"/>
            <w:shd w:val="clear" w:color="auto" w:fill="37474F"/>
          </w:tcPr>
          <w:p w14:paraId="6CBFBD15" w14:textId="77777777" w:rsidR="00D708EC" w:rsidRDefault="00000000">
            <w:pPr>
              <w:rPr>
                <w:rFonts w:hint="eastAsia"/>
              </w:rPr>
            </w:pPr>
            <w:r>
              <w:rPr>
                <w:b/>
                <w:color w:val="FFFFFF"/>
                <w:sz w:val="19"/>
              </w:rPr>
              <w:t>Verification</w:t>
            </w:r>
          </w:p>
        </w:tc>
      </w:tr>
      <w:tr w:rsidR="00D708EC" w14:paraId="054E8B76" w14:textId="77777777">
        <w:tc>
          <w:tcPr>
            <w:tcW w:w="0" w:type="auto"/>
          </w:tcPr>
          <w:p w14:paraId="46FBF163" w14:textId="77777777" w:rsidR="00D708EC" w:rsidRDefault="00000000">
            <w:pPr>
              <w:rPr>
                <w:rFonts w:hint="eastAsia"/>
              </w:rPr>
            </w:pPr>
            <w:r>
              <w:rPr>
                <w:sz w:val="19"/>
              </w:rPr>
              <w:t>W-1</w:t>
            </w:r>
          </w:p>
        </w:tc>
        <w:tc>
          <w:tcPr>
            <w:tcW w:w="0" w:type="auto"/>
          </w:tcPr>
          <w:p w14:paraId="4A684891" w14:textId="77777777" w:rsidR="00D708EC" w:rsidRDefault="00000000">
            <w:pPr>
              <w:rPr>
                <w:rFonts w:hint="eastAsia"/>
              </w:rPr>
            </w:pPr>
            <w:r>
              <w:rPr>
                <w:sz w:val="19"/>
              </w:rPr>
              <w:t>Day 3</w:t>
            </w:r>
          </w:p>
        </w:tc>
        <w:tc>
          <w:tcPr>
            <w:tcW w:w="0" w:type="auto"/>
          </w:tcPr>
          <w:p w14:paraId="1DB4C835" w14:textId="77777777" w:rsidR="00D708EC" w:rsidRDefault="00000000">
            <w:pPr>
              <w:rPr>
                <w:rFonts w:hint="eastAsia"/>
              </w:rPr>
            </w:pPr>
            <w:r>
              <w:rPr>
                <w:sz w:val="19"/>
              </w:rPr>
              <w:t>Carrier strike groups depart the Gulf of Oman operating box</w:t>
            </w:r>
          </w:p>
        </w:tc>
        <w:tc>
          <w:tcPr>
            <w:tcW w:w="0" w:type="auto"/>
          </w:tcPr>
          <w:p w14:paraId="3B715173" w14:textId="77777777" w:rsidR="00D708EC" w:rsidRDefault="00000000">
            <w:pPr>
              <w:rPr>
                <w:rFonts w:hint="eastAsia"/>
              </w:rPr>
            </w:pPr>
            <w:r>
              <w:rPr>
                <w:sz w:val="19"/>
              </w:rPr>
              <w:t>JMC telemetry; satellite confirmation</w:t>
            </w:r>
          </w:p>
        </w:tc>
      </w:tr>
      <w:tr w:rsidR="00D708EC" w14:paraId="337DC03D" w14:textId="77777777">
        <w:tc>
          <w:tcPr>
            <w:tcW w:w="0" w:type="auto"/>
            <w:shd w:val="clear" w:color="auto" w:fill="ECEFF1"/>
          </w:tcPr>
          <w:p w14:paraId="3148E9D0" w14:textId="77777777" w:rsidR="00D708EC" w:rsidRDefault="00000000">
            <w:pPr>
              <w:rPr>
                <w:rFonts w:hint="eastAsia"/>
              </w:rPr>
            </w:pPr>
            <w:r>
              <w:rPr>
                <w:sz w:val="19"/>
              </w:rPr>
              <w:t>W-2</w:t>
            </w:r>
          </w:p>
        </w:tc>
        <w:tc>
          <w:tcPr>
            <w:tcW w:w="0" w:type="auto"/>
            <w:shd w:val="clear" w:color="auto" w:fill="ECEFF1"/>
          </w:tcPr>
          <w:p w14:paraId="553E9007" w14:textId="77777777" w:rsidR="00D708EC" w:rsidRDefault="00000000">
            <w:pPr>
              <w:rPr>
                <w:rFonts w:hint="eastAsia"/>
              </w:rPr>
            </w:pPr>
            <w:r>
              <w:rPr>
                <w:sz w:val="19"/>
              </w:rPr>
              <w:t>Day 7</w:t>
            </w:r>
          </w:p>
        </w:tc>
        <w:tc>
          <w:tcPr>
            <w:tcW w:w="0" w:type="auto"/>
            <w:shd w:val="clear" w:color="auto" w:fill="ECEFF1"/>
          </w:tcPr>
          <w:p w14:paraId="5C28309C" w14:textId="77777777" w:rsidR="00D708EC" w:rsidRDefault="00000000">
            <w:pPr>
              <w:rPr>
                <w:rFonts w:hint="eastAsia"/>
              </w:rPr>
            </w:pPr>
            <w:r>
              <w:rPr>
                <w:sz w:val="19"/>
              </w:rPr>
              <w:t>Blockade intercept posture fully demobilized; minesweeping transfers to the joint program of Article 26</w:t>
            </w:r>
          </w:p>
        </w:tc>
        <w:tc>
          <w:tcPr>
            <w:tcW w:w="0" w:type="auto"/>
            <w:shd w:val="clear" w:color="auto" w:fill="ECEFF1"/>
          </w:tcPr>
          <w:p w14:paraId="0CDDC93C" w14:textId="77777777" w:rsidR="00D708EC" w:rsidRDefault="00000000">
            <w:pPr>
              <w:rPr>
                <w:rFonts w:hint="eastAsia"/>
              </w:rPr>
            </w:pPr>
            <w:r>
              <w:rPr>
                <w:sz w:val="19"/>
              </w:rPr>
              <w:t>JMC incident mesh; IMO registry</w:t>
            </w:r>
          </w:p>
        </w:tc>
      </w:tr>
      <w:tr w:rsidR="00D708EC" w14:paraId="7DDAB225" w14:textId="77777777">
        <w:tc>
          <w:tcPr>
            <w:tcW w:w="0" w:type="auto"/>
          </w:tcPr>
          <w:p w14:paraId="7A44BBE6" w14:textId="77777777" w:rsidR="00D708EC" w:rsidRDefault="00000000">
            <w:pPr>
              <w:rPr>
                <w:rFonts w:hint="eastAsia"/>
              </w:rPr>
            </w:pPr>
            <w:r>
              <w:rPr>
                <w:sz w:val="19"/>
              </w:rPr>
              <w:t>W-3</w:t>
            </w:r>
          </w:p>
        </w:tc>
        <w:tc>
          <w:tcPr>
            <w:tcW w:w="0" w:type="auto"/>
          </w:tcPr>
          <w:p w14:paraId="39E95B4B" w14:textId="77777777" w:rsidR="00D708EC" w:rsidRDefault="00000000">
            <w:pPr>
              <w:rPr>
                <w:rFonts w:hint="eastAsia"/>
              </w:rPr>
            </w:pPr>
            <w:r>
              <w:rPr>
                <w:sz w:val="19"/>
              </w:rPr>
              <w:t>Day 15</w:t>
            </w:r>
          </w:p>
        </w:tc>
        <w:tc>
          <w:tcPr>
            <w:tcW w:w="0" w:type="auto"/>
          </w:tcPr>
          <w:p w14:paraId="48602616" w14:textId="77777777" w:rsidR="00D708EC" w:rsidRDefault="00000000">
            <w:pPr>
              <w:rPr>
                <w:rFonts w:hint="eastAsia"/>
              </w:rPr>
            </w:pPr>
            <w:r>
              <w:rPr>
                <w:sz w:val="19"/>
              </w:rPr>
              <w:t>Expeditionary air and missile-defense augmentations redeploy to home or pre-crisis stations</w:t>
            </w:r>
          </w:p>
        </w:tc>
        <w:tc>
          <w:tcPr>
            <w:tcW w:w="0" w:type="auto"/>
          </w:tcPr>
          <w:p w14:paraId="2BA1EBAA" w14:textId="77777777" w:rsidR="00D708EC" w:rsidRDefault="00000000">
            <w:pPr>
              <w:rPr>
                <w:rFonts w:hint="eastAsia"/>
              </w:rPr>
            </w:pPr>
            <w:r>
              <w:rPr>
                <w:sz w:val="19"/>
              </w:rPr>
              <w:t>Third-party telemetry tie-breaker feed</w:t>
            </w:r>
          </w:p>
        </w:tc>
      </w:tr>
      <w:tr w:rsidR="00D708EC" w14:paraId="0694174A" w14:textId="77777777">
        <w:tc>
          <w:tcPr>
            <w:tcW w:w="0" w:type="auto"/>
            <w:shd w:val="clear" w:color="auto" w:fill="ECEFF1"/>
          </w:tcPr>
          <w:p w14:paraId="49F12A08" w14:textId="77777777" w:rsidR="00D708EC" w:rsidRDefault="00000000">
            <w:pPr>
              <w:rPr>
                <w:rFonts w:hint="eastAsia"/>
              </w:rPr>
            </w:pPr>
            <w:r>
              <w:rPr>
                <w:sz w:val="19"/>
              </w:rPr>
              <w:t>W-4</w:t>
            </w:r>
          </w:p>
        </w:tc>
        <w:tc>
          <w:tcPr>
            <w:tcW w:w="0" w:type="auto"/>
            <w:shd w:val="clear" w:color="auto" w:fill="ECEFF1"/>
          </w:tcPr>
          <w:p w14:paraId="43E640A9" w14:textId="77777777" w:rsidR="00D708EC" w:rsidRDefault="00000000">
            <w:pPr>
              <w:rPr>
                <w:rFonts w:hint="eastAsia"/>
              </w:rPr>
            </w:pPr>
            <w:r>
              <w:rPr>
                <w:sz w:val="19"/>
              </w:rPr>
              <w:t>Day 30</w:t>
            </w:r>
          </w:p>
        </w:tc>
        <w:tc>
          <w:tcPr>
            <w:tcW w:w="0" w:type="auto"/>
            <w:shd w:val="clear" w:color="auto" w:fill="ECEFF1"/>
          </w:tcPr>
          <w:p w14:paraId="734B5F5E" w14:textId="77777777" w:rsidR="00D708EC" w:rsidRDefault="00000000">
            <w:pPr>
              <w:rPr>
                <w:rFonts w:hint="eastAsia"/>
              </w:rPr>
            </w:pPr>
            <w:r>
              <w:rPr>
                <w:sz w:val="19"/>
              </w:rPr>
              <w:t>Residual posture reaches the Steady-State Line of Annex A; withdrawal certificate issues</w:t>
            </w:r>
          </w:p>
        </w:tc>
        <w:tc>
          <w:tcPr>
            <w:tcW w:w="0" w:type="auto"/>
            <w:shd w:val="clear" w:color="auto" w:fill="ECEFF1"/>
          </w:tcPr>
          <w:p w14:paraId="2D96A065" w14:textId="77777777" w:rsidR="00D708EC" w:rsidRDefault="00000000">
            <w:pPr>
              <w:rPr>
                <w:rFonts w:hint="eastAsia"/>
              </w:rPr>
            </w:pPr>
            <w:r>
              <w:rPr>
                <w:sz w:val="19"/>
              </w:rPr>
              <w:t>Stability Audit; Guarantor Matrix countersignature</w:t>
            </w:r>
          </w:p>
        </w:tc>
      </w:tr>
    </w:tbl>
    <w:p w14:paraId="7A4E2821" w14:textId="77777777" w:rsidR="00D708EC" w:rsidRDefault="00000000">
      <w:pPr>
        <w:rPr>
          <w:rFonts w:hint="eastAsia"/>
        </w:rPr>
      </w:pPr>
      <w:r>
        <w:t>15.3 The Steady-State Line. The residual United States posture after Day 30 conforms to the peacetime baseline that the Parties record in Annex A: access agreements and facilities that predate the crisis remain governed by their own instruments with host states, and the framework architecture excludes the use of any regional facility for operations against Iran. Iran likewise maintains its coastal posture within the notified peacetime baseline recorded in Annex A.</w:t>
      </w:r>
    </w:p>
    <w:p w14:paraId="23666750" w14:textId="77777777" w:rsidR="00D708EC" w:rsidRDefault="00000000">
      <w:pPr>
        <w:rPr>
          <w:rFonts w:hint="eastAsia"/>
        </w:rPr>
      </w:pPr>
      <w:r>
        <w:t>15.4 Verification of withdrawal operates under Layer Two as a standing verification module, with the Third-Party Telemetry Tie-Breaker resolving any data conflict automatically.</w:t>
      </w:r>
    </w:p>
    <w:p w14:paraId="2A961C24" w14:textId="77777777" w:rsidR="00D708EC" w:rsidRDefault="00000000">
      <w:pPr>
        <w:rPr>
          <w:rFonts w:hint="eastAsia"/>
        </w:rPr>
      </w:pPr>
      <w:r>
        <w:t>15.5 The framework architecture excludes permanent United States enforcement presence in the Governance Area. Security functions within the Governance Area rest with the coastal states and the institutions of Part VI. Distant support arrangements, where any state requests them, operate outside the Governance Area and outside this Treaty.</w:t>
      </w:r>
    </w:p>
    <w:p w14:paraId="5BC24DC5" w14:textId="77777777" w:rsidR="00D708EC" w:rsidRDefault="00000000">
      <w:pPr>
        <w:pStyle w:val="Heading2"/>
        <w:rPr>
          <w:rFonts w:hint="eastAsia"/>
        </w:rPr>
      </w:pPr>
      <w:bookmarkStart w:id="33" w:name="_Toc237663547"/>
      <w:r>
        <w:lastRenderedPageBreak/>
        <w:t>Article 16: The Deconfliction Permanence</w:t>
      </w:r>
      <w:bookmarkEnd w:id="33"/>
    </w:p>
    <w:p w14:paraId="482E5D5A" w14:textId="77777777" w:rsidR="00D708EC" w:rsidRDefault="00000000">
      <w:pPr>
        <w:rPr>
          <w:rFonts w:hint="eastAsia"/>
        </w:rPr>
      </w:pPr>
      <w:r>
        <w:t>16.1 The deconfliction hotline established during the crisis converts into a permanent Standing Channel connecting the Iranian, Omani, and United States operational commands, with the 15-minute answer standard and satellite fallback. The Standing Channel operates in perpetuity and survives any dispute, pause, or dormancy of other modules.</w:t>
      </w:r>
    </w:p>
    <w:p w14:paraId="35C016EB" w14:textId="77777777" w:rsidR="00D708EC" w:rsidRDefault="00000000">
      <w:pPr>
        <w:rPr>
          <w:rFonts w:hint="eastAsia"/>
        </w:rPr>
      </w:pPr>
      <w:r>
        <w:t>16.2 Incidents at sea or in the air route first through the Standing Channel, second through the JMC incident mesh, and third through the Tier system of Layer Two. No incident answers itself with force.</w:t>
      </w:r>
    </w:p>
    <w:p w14:paraId="253C0B51" w14:textId="77777777" w:rsidR="00D708EC" w:rsidRDefault="00000000">
      <w:pPr>
        <w:rPr>
          <w:rFonts w:hint="eastAsia"/>
        </w:rPr>
      </w:pPr>
      <w:r>
        <w:t>16.3 The framework architecture excludes live-fire exercises within 50 nautical miles of the Strait absent 14-day advance notification through the Registry, and excludes any exercise profile simulating blockade or interdiction of commercial traffic.</w:t>
      </w:r>
    </w:p>
    <w:p w14:paraId="0B8AE304" w14:textId="77777777" w:rsidR="00D708EC" w:rsidRDefault="00D708EC">
      <w:pPr>
        <w:pageBreakBefore/>
        <w:rPr>
          <w:rFonts w:hint="eastAsia"/>
        </w:rPr>
      </w:pPr>
    </w:p>
    <w:p w14:paraId="6A33D9F5" w14:textId="77777777" w:rsidR="00D708EC" w:rsidRDefault="00000000">
      <w:pPr>
        <w:pStyle w:val="Heading1"/>
        <w:rPr>
          <w:rFonts w:hint="eastAsia"/>
        </w:rPr>
      </w:pPr>
      <w:bookmarkStart w:id="34" w:name="_Toc237663548"/>
      <w:r>
        <w:t>PART V: NUCLEAR FINAL STATUS</w:t>
      </w:r>
      <w:bookmarkEnd w:id="34"/>
    </w:p>
    <w:p w14:paraId="623D6D1C" w14:textId="77777777" w:rsidR="00D708EC" w:rsidRDefault="00000000">
      <w:pPr>
        <w:pStyle w:val="Heading2"/>
        <w:rPr>
          <w:rFonts w:hint="eastAsia"/>
        </w:rPr>
      </w:pPr>
      <w:bookmarkStart w:id="35" w:name="_Toc237663549"/>
      <w:r>
        <w:t>Article 17: The Permanent Commitment</w:t>
      </w:r>
      <w:bookmarkEnd w:id="35"/>
    </w:p>
    <w:p w14:paraId="698FB498" w14:textId="77777777" w:rsidR="00D708EC" w:rsidRDefault="00000000">
      <w:pPr>
        <w:rPr>
          <w:rFonts w:hint="eastAsia"/>
        </w:rPr>
      </w:pPr>
      <w:r>
        <w:t>17.1 Iran commits, permanently and without time limit, never to develop, acquire, manufacture, stockpile, or possess nuclear weapons or other nuclear explosive devices. This commitment carries no sunset, and the verification architecture of this Treaty and of Annex B renders it continuously verifiable.</w:t>
      </w:r>
    </w:p>
    <w:p w14:paraId="49101ADD" w14:textId="77777777" w:rsidR="00D708EC" w:rsidRDefault="00000000">
      <w:pPr>
        <w:rPr>
          <w:rFonts w:hint="eastAsia"/>
        </w:rPr>
      </w:pPr>
      <w:r>
        <w:t>17.2 The framework architecture recognizes the inalienable right of Iran to the peaceful use of nuclear energy, including domestic enrichment within the permanent caps of Article 19. The commitment of 17.1 and the right of 17.2 operate as one integrated settlement: neither survives the destruction of the other, and the verification architecture protects both simultaneously.</w:t>
      </w:r>
    </w:p>
    <w:p w14:paraId="09E35C7E" w14:textId="77777777" w:rsidR="00D708EC" w:rsidRDefault="00000000">
      <w:pPr>
        <w:rPr>
          <w:rFonts w:hint="eastAsia"/>
        </w:rPr>
      </w:pPr>
      <w:r>
        <w:t>17.3 The United States commits, permanently, to treat the verified maintenance of the settlement of this Part as the complete and final resolution of the Iranian nuclear file, and to normalize the treatment of the Iranian nuclear program in international bodies accordingly.</w:t>
      </w:r>
    </w:p>
    <w:p w14:paraId="725FF6D5" w14:textId="77777777" w:rsidR="00D708EC" w:rsidRDefault="00000000">
      <w:pPr>
        <w:pStyle w:val="Heading2"/>
        <w:rPr>
          <w:rFonts w:hint="eastAsia"/>
        </w:rPr>
      </w:pPr>
      <w:bookmarkStart w:id="36" w:name="_Toc237663550"/>
      <w:r>
        <w:t>Article 18: The Stockpile Resolution (The 440-Kilogram Question)</w:t>
      </w:r>
      <w:bookmarkEnd w:id="36"/>
    </w:p>
    <w:p w14:paraId="668D37E5" w14:textId="77777777" w:rsidR="00D708EC" w:rsidRDefault="00000000">
      <w:pPr>
        <w:rPr>
          <w:rFonts w:hint="eastAsia"/>
        </w:rPr>
      </w:pPr>
      <w:r>
        <w:t>18.1 Inventory Day. On Day One of this Treaty, Iran provides the International Atomic Energy Agency a complete declaration and physical inventory of all enriched uranium on its territory, including all material enriched to 60 percent, all material dispersed or relocated during the conflict, and all feed, product, tails, and scrap. IAEA inspectors receive full access to all declared sites upon signature: Natanz, Fordow, Isfahan, and every location the declaration identifies. Access upon signature constitutes a Day One obligation, not a post-ratification aspiration.</w:t>
      </w:r>
    </w:p>
    <w:p w14:paraId="52A64965" w14:textId="77777777" w:rsidR="00D708EC" w:rsidRDefault="00000000">
      <w:pPr>
        <w:rPr>
          <w:rFonts w:hint="eastAsia"/>
        </w:rPr>
      </w:pPr>
      <w:r>
        <w:t>18.2 On-site down-blending. The entire stockpile of uranium enriched above 3.67 percent, including the approximately 440 kilograms of material enriched to 60 percent, down-blends to below 3.67 percent uranium-235 on Iranian territory, at declared facilities, under continuous IAEA supervision with in-room containment and surveillance. Down-blending completes within 30 days of Day Zero. The material never leaves Iranian territory, satisfying Red Line IR-2, and its weapons utility reaches zero, satisfying Red Line US-1. The architecture treats these two satisfactions as one indivisible act.</w:t>
      </w:r>
    </w:p>
    <w:p w14:paraId="505A9589" w14:textId="77777777" w:rsidR="00D708EC" w:rsidRDefault="00000000">
      <w:pPr>
        <w:rPr>
          <w:rFonts w:hint="eastAsia"/>
        </w:rPr>
      </w:pPr>
      <w:r>
        <w:t>18.3 Joint execution. The down-blending campaign operates as a trilateral technical program of Iran, the IAEA, and a United States technical liaison attached to the IAEA team, consistent with the demand architecture of the negotiation for joint disposition of the material. The United States liaison observes through the IAEA chain of custody and holds no independent authority on Iranian soil.</w:t>
      </w:r>
    </w:p>
    <w:p w14:paraId="3E278D8C" w14:textId="77777777" w:rsidR="00D708EC" w:rsidRDefault="00000000">
      <w:pPr>
        <w:rPr>
          <w:rFonts w:hint="eastAsia"/>
        </w:rPr>
      </w:pPr>
      <w:r>
        <w:lastRenderedPageBreak/>
        <w:t>18.4 Irreversibility. Down-blended material converts to fuel-appropriate chemical form under the schedule of Annex B. The architecture excludes re-enrichment pathways for the down-blended inventory through the caps of Article 19 and the continuous monitoring of Annex B.</w:t>
      </w:r>
    </w:p>
    <w:p w14:paraId="0E6E1977" w14:textId="77777777" w:rsidR="00D708EC" w:rsidRDefault="00000000">
      <w:pPr>
        <w:rPr>
          <w:rFonts w:hint="eastAsia"/>
        </w:rPr>
      </w:pPr>
      <w:r>
        <w:t>18.5 Sequencing. The down-blending obligation activates Day One and completes Day 30. The first sanctions tranche of Part VIII pairs with verified completion of the inventory; the second tranche pairs with verified completion of down-blending. Verification first, relief second: the Reciprocity Ledger records the pairing.</w:t>
      </w:r>
    </w:p>
    <w:p w14:paraId="30D3A965" w14:textId="77777777" w:rsidR="00D708EC" w:rsidRDefault="00000000">
      <w:pPr>
        <w:pStyle w:val="Heading2"/>
        <w:rPr>
          <w:rFonts w:hint="eastAsia"/>
        </w:rPr>
      </w:pPr>
      <w:bookmarkStart w:id="37" w:name="_Toc237663551"/>
      <w:r>
        <w:t>Article 19: The Permanent Caps</w:t>
      </w:r>
      <w:bookmarkEnd w:id="37"/>
    </w:p>
    <w:p w14:paraId="43166640" w14:textId="77777777" w:rsidR="00D708EC" w:rsidRDefault="00000000">
      <w:pPr>
        <w:rPr>
          <w:rFonts w:hint="eastAsia"/>
        </w:rPr>
      </w:pPr>
      <w:r>
        <w:t>19.1 Enrichment ceiling. Enrichment on Iranian territory operates at or below 3.67 percent uranium-235, permanently.</w:t>
      </w:r>
    </w:p>
    <w:p w14:paraId="4D5D87EE" w14:textId="77777777" w:rsidR="00D708EC" w:rsidRDefault="00000000">
      <w:pPr>
        <w:rPr>
          <w:rFonts w:hint="eastAsia"/>
        </w:rPr>
      </w:pPr>
      <w:r>
        <w:t>19.2 Stockpile ceiling. The total stockpile of enriched uranium on Iranian territory operates at or below 300 kilograms of uranium enriched up to 3.67 percent, measured in uranium mass, permanently, with the excess above the ceiling converting to fuel elements or diluting on a running basis under Annex B.</w:t>
      </w:r>
    </w:p>
    <w:p w14:paraId="183497C5" w14:textId="77777777" w:rsidR="00D708EC" w:rsidRDefault="00000000">
      <w:pPr>
        <w:rPr>
          <w:rFonts w:hint="eastAsia"/>
        </w:rPr>
      </w:pPr>
      <w:r>
        <w:t>19.3 Capacity architecture. Installed enrichment capacity conforms to the Cascade Table of Annex B, sized to the fuel needs of the Bushehr reactor program and the Tehran Research Reactor on a rolling 15-year planning basis. Fordow converts to a non-enrichment nuclear, physics, and technology center under IAEA monitoring. Natanz and Isfahan operate within the declared configuration of Annex B.</w:t>
      </w:r>
    </w:p>
    <w:p w14:paraId="34AF2008" w14:textId="77777777" w:rsidR="00D708EC" w:rsidRDefault="00000000">
      <w:pPr>
        <w:rPr>
          <w:rFonts w:hint="eastAsia"/>
        </w:rPr>
      </w:pPr>
      <w:r>
        <w:t>19.4 The caps carry no expiration. The framework architecture excludes sunset clauses from this Part. The verification intensity of Annex B follows a trust-graduated schedule: verification relaxes in form as clean certifications accumulate, and the caps themselves never relax.</w:t>
      </w:r>
    </w:p>
    <w:p w14:paraId="3D6CA6FA" w14:textId="77777777" w:rsidR="00D708EC" w:rsidRDefault="00000000">
      <w:pPr>
        <w:pStyle w:val="Heading2"/>
        <w:rPr>
          <w:rFonts w:hint="eastAsia"/>
        </w:rPr>
      </w:pPr>
      <w:bookmarkStart w:id="38" w:name="_Toc237663552"/>
      <w:r>
        <w:t>Article 20: The Verification and Inspection Settlement</w:t>
      </w:r>
      <w:bookmarkEnd w:id="38"/>
    </w:p>
    <w:p w14:paraId="0C4E9705" w14:textId="77777777" w:rsidR="00D708EC" w:rsidRDefault="00000000">
      <w:pPr>
        <w:rPr>
          <w:rFonts w:hint="eastAsia"/>
        </w:rPr>
      </w:pPr>
      <w:r>
        <w:t>20.1 Iran applies the Additional Protocol provisionally from Day Zero and ratifies it within 12 months, and observes the modified Code 3.1 of the Subsidiary Arrangements permanently.</w:t>
      </w:r>
    </w:p>
    <w:p w14:paraId="3E045842" w14:textId="77777777" w:rsidR="00D708EC" w:rsidRDefault="00000000">
      <w:pPr>
        <w:rPr>
          <w:rFonts w:hint="eastAsia"/>
        </w:rPr>
      </w:pPr>
      <w:r>
        <w:t>20.2 Managed access. The IAEA exercises complementary access to declared sites on a continuous basis and managed access to undeclared locations under the challenge procedure of Annex B, which protects legitimate security interests through managed techniques while preserving the technical integrity of the inspection. The Annex B procedure resolves any access request within defined days, and unresolved access disputes escalate through the technical truth chain of Layer Two, never through political rupture.</w:t>
      </w:r>
    </w:p>
    <w:p w14:paraId="47BAB3B8" w14:textId="77777777" w:rsidR="00D708EC" w:rsidRDefault="00000000">
      <w:pPr>
        <w:rPr>
          <w:rFonts w:hint="eastAsia"/>
        </w:rPr>
      </w:pPr>
      <w:r>
        <w:t xml:space="preserve">20.3 Outstanding safeguards issues. The Parties and the IAEA close the file of outstanding safeguards questions through the structured process of Annex B: Iran provides the technical accesses and explanations the Agency lists, the Agency reports closure to its Board of </w:t>
      </w:r>
      <w:r>
        <w:lastRenderedPageBreak/>
        <w:t>Governors, and the Board resolution of Annex C terminates the prior non-compliance findings in the same motion that endorses this settlement.</w:t>
      </w:r>
    </w:p>
    <w:p w14:paraId="608D6838" w14:textId="77777777" w:rsidR="00D708EC" w:rsidRDefault="00000000">
      <w:pPr>
        <w:rPr>
          <w:rFonts w:hint="eastAsia"/>
        </w:rPr>
      </w:pPr>
      <w:r>
        <w:t>20.4 Continuous presence. The IAEA maintains a resident inspection office in Iran with standing access to enrichment sites, environmental sampling, online enrichment monitors, and real-time cascade telemetry feeding the Shared Digital Registry under the data rules of Layer Two.</w:t>
      </w:r>
    </w:p>
    <w:p w14:paraId="2BE40609" w14:textId="77777777" w:rsidR="00D708EC" w:rsidRDefault="00000000">
      <w:pPr>
        <w:rPr>
          <w:rFonts w:hint="eastAsia"/>
        </w:rPr>
      </w:pPr>
      <w:r>
        <w:t>20.5 Long-duration supply assurance. The Fuel Assurance Window of Annex B guarantees Iran fuel supply for power and research reactors at market terms through an international consortium, removing the scarcity argument for excess capacity while leaving the sovereign choice of supply with Iran.</w:t>
      </w:r>
    </w:p>
    <w:p w14:paraId="65C84B01" w14:textId="77777777" w:rsidR="00D708EC" w:rsidRDefault="00000000">
      <w:pPr>
        <w:pStyle w:val="Heading2"/>
        <w:rPr>
          <w:rFonts w:hint="eastAsia"/>
        </w:rPr>
      </w:pPr>
      <w:bookmarkStart w:id="39" w:name="_Toc237663553"/>
      <w:r>
        <w:t>Article 21: The Nuclear Firewall</w:t>
      </w:r>
      <w:bookmarkEnd w:id="39"/>
    </w:p>
    <w:p w14:paraId="4FF246FF" w14:textId="77777777" w:rsidR="00D708EC" w:rsidRDefault="00000000">
      <w:pPr>
        <w:rPr>
          <w:rFonts w:hint="eastAsia"/>
        </w:rPr>
      </w:pPr>
      <w:r>
        <w:t>21.1 The nuclear module operates as an independent track under the Partial Success Doctrine. No dispute in the maritime, financial, or regional modules suspends the nuclear verification regime, and no nuclear dispute suspends the humanitarian, corridor, or reconstruction modules, absent certification under the Consensus Minus One rule.</w:t>
      </w:r>
    </w:p>
    <w:p w14:paraId="1C9A721D" w14:textId="77777777" w:rsidR="00D708EC" w:rsidRDefault="00000000">
      <w:pPr>
        <w:rPr>
          <w:rFonts w:hint="eastAsia"/>
        </w:rPr>
      </w:pPr>
      <w:r>
        <w:t>21.2 The framework architecture excludes military action against the nuclear facilities of Iran as an enforcement instrument of this Treaty. Compliance failures route exclusively through the Cothrom engine of Layer Two. The No Automatic Military Escalation Clause of Layer Two restates this exclusion as absolute and non-waivable.</w:t>
      </w:r>
    </w:p>
    <w:p w14:paraId="6C189554" w14:textId="77777777" w:rsidR="00D708EC" w:rsidRDefault="00D708EC">
      <w:pPr>
        <w:pageBreakBefore/>
        <w:rPr>
          <w:rFonts w:hint="eastAsia"/>
        </w:rPr>
      </w:pPr>
    </w:p>
    <w:p w14:paraId="0625ACB5" w14:textId="77777777" w:rsidR="00D708EC" w:rsidRDefault="00000000">
      <w:pPr>
        <w:pStyle w:val="Heading1"/>
        <w:rPr>
          <w:rFonts w:hint="eastAsia"/>
        </w:rPr>
      </w:pPr>
      <w:bookmarkStart w:id="40" w:name="_Toc237663554"/>
      <w:r>
        <w:t>PART VI: THE PERMANENT GOVERNANCE OF THE STRAIT OF HORMUZ</w:t>
      </w:r>
      <w:bookmarkEnd w:id="40"/>
    </w:p>
    <w:p w14:paraId="6E5F5286" w14:textId="77777777" w:rsidR="00D708EC" w:rsidRDefault="00000000">
      <w:pPr>
        <w:pStyle w:val="Heading2"/>
        <w:rPr>
          <w:rFonts w:hint="eastAsia"/>
        </w:rPr>
      </w:pPr>
      <w:bookmarkStart w:id="41" w:name="_Toc237663555"/>
      <w:r>
        <w:t>Article 22: The Governance Area and the Corridor System</w:t>
      </w:r>
      <w:bookmarkEnd w:id="41"/>
    </w:p>
    <w:p w14:paraId="59EDD66A" w14:textId="77777777" w:rsidR="00D708EC" w:rsidRDefault="00000000">
      <w:pPr>
        <w:rPr>
          <w:rFonts w:hint="eastAsia"/>
        </w:rPr>
      </w:pPr>
      <w:r>
        <w:t>22.1 The Governance Area. The Strait of Hormuz Governance Area comprises the waters bounded by the polygon of Annex A, from the approaches off Musandam to the line northwest of Qeshm, as charted in the Neutral Coordinate Registry that the Depositary and the IMO jointly hold.</w:t>
      </w:r>
    </w:p>
    <w:p w14:paraId="1447848A" w14:textId="77777777" w:rsidR="00D708EC" w:rsidRDefault="00000000">
      <w:pPr>
        <w:rPr>
          <w:rFonts w:hint="eastAsia"/>
        </w:rPr>
      </w:pPr>
      <w:r>
        <w:t>22.2 The Three Corridors. Transit through the Governance Area flows through three corridors:</w:t>
      </w:r>
    </w:p>
    <w:p w14:paraId="16B4686B" w14:textId="77777777" w:rsidR="00D708EC" w:rsidRDefault="00000000">
      <w:pPr>
        <w:ind w:left="360"/>
        <w:rPr>
          <w:rFonts w:hint="eastAsia"/>
        </w:rPr>
      </w:pPr>
      <w:r>
        <w:rPr>
          <w:color w:val="37474F"/>
        </w:rPr>
        <w:t>•</w:t>
      </w:r>
      <w:r>
        <w:t>Corridor One, the Northern Stewardship Corridor: the inbound lane through Iranian territorial waters, administered by Iran as coastal state within the rules of this Part.</w:t>
      </w:r>
    </w:p>
    <w:p w14:paraId="221692E3" w14:textId="77777777" w:rsidR="00D708EC" w:rsidRDefault="00000000">
      <w:pPr>
        <w:ind w:left="360"/>
        <w:rPr>
          <w:rFonts w:hint="eastAsia"/>
        </w:rPr>
      </w:pPr>
      <w:r>
        <w:rPr>
          <w:color w:val="37474F"/>
        </w:rPr>
        <w:t>•</w:t>
      </w:r>
      <w:r>
        <w:t>Corridor Two, the Central Buffer Corridor: the jointly managed middle lane, administered by the Joint Hormuz Authority under the Twin-Key Rule.</w:t>
      </w:r>
    </w:p>
    <w:p w14:paraId="570DC2EA" w14:textId="77777777" w:rsidR="00D708EC" w:rsidRDefault="00000000">
      <w:pPr>
        <w:ind w:left="360"/>
        <w:rPr>
          <w:rFonts w:hint="eastAsia"/>
        </w:rPr>
      </w:pPr>
      <w:r>
        <w:rPr>
          <w:color w:val="37474F"/>
        </w:rPr>
        <w:t>•</w:t>
      </w:r>
      <w:r>
        <w:t>Corridor Three, the Southern Assurance Corridor: the outbound lane through Omani territorial waters, administered by Oman as coastal state, with the segment transiting Iranian waters operating under the standing concurrence recorded in Annex A.</w:t>
      </w:r>
    </w:p>
    <w:p w14:paraId="45FB6A8B" w14:textId="77777777" w:rsidR="00D708EC" w:rsidRDefault="00000000">
      <w:pPr>
        <w:rPr>
          <w:rFonts w:hint="eastAsia"/>
        </w:rPr>
      </w:pPr>
      <w:r>
        <w:t>22.3 The wartime lane sunset. The temporary wartime routing arrangements, including the single-channel routing and prior-approval mechanisms of the conflict period, terminate on Day Zero and convert into the notification regime of Article 23. The Iran-Oman temporary corridor understanding of 2026 converts, with the concurrence of both coastal states, into the permanent corridor system of this Article.</w:t>
      </w:r>
    </w:p>
    <w:p w14:paraId="593320AD" w14:textId="77777777" w:rsidR="00D708EC" w:rsidRDefault="00000000">
      <w:pPr>
        <w:rPr>
          <w:rFonts w:hint="eastAsia"/>
        </w:rPr>
      </w:pPr>
      <w:r>
        <w:t>22.4 Corridor modification proceeds through the Joint Hormuz Authority with IMO certification, under the Twin-Key Rule, and never unilaterally.</w:t>
      </w:r>
    </w:p>
    <w:p w14:paraId="19795FF2" w14:textId="77777777" w:rsidR="00D708EC" w:rsidRDefault="00000000">
      <w:pPr>
        <w:pStyle w:val="Heading2"/>
        <w:rPr>
          <w:rFonts w:hint="eastAsia"/>
        </w:rPr>
      </w:pPr>
      <w:bookmarkStart w:id="42" w:name="_Toc237663556"/>
      <w:r>
        <w:t>Article 23: Notification, Not Permission</w:t>
      </w:r>
      <w:bookmarkEnd w:id="42"/>
    </w:p>
    <w:p w14:paraId="60628B3F" w14:textId="77777777" w:rsidR="00D708EC" w:rsidRDefault="00000000">
      <w:pPr>
        <w:rPr>
          <w:rFonts w:hint="eastAsia"/>
        </w:rPr>
      </w:pPr>
      <w:r>
        <w:t>23.1 Transit operates on file-and-acknowledge. A transiting vessel files a Vessel Intent Form through the common channel; the Maritime Coordination Center acknowledges receipt with a track number and routing assignment; the vessel transits. The framework architecture excludes permit requirements, prior approval, and condition-based passage for commercial vessels.</w:t>
      </w:r>
    </w:p>
    <w:p w14:paraId="3F84E2E7" w14:textId="77777777" w:rsidR="00D708EC" w:rsidRDefault="00000000">
      <w:pPr>
        <w:rPr>
          <w:rFonts w:hint="eastAsia"/>
        </w:rPr>
      </w:pPr>
      <w:r>
        <w:t>23.2 The acknowledgement arrives within 60 minutes of filing, automatically. Absence of acknowledgement within 60 minutes constitutes acknowledgement by default. Silence never strands a ship.</w:t>
      </w:r>
    </w:p>
    <w:p w14:paraId="68018AC9" w14:textId="77777777" w:rsidR="00D708EC" w:rsidRDefault="00000000">
      <w:pPr>
        <w:rPr>
          <w:rFonts w:hint="eastAsia"/>
        </w:rPr>
      </w:pPr>
      <w:r>
        <w:lastRenderedPageBreak/>
        <w:t>23.3 Vessel classification and differentiated treatment follow the schedule of Annex A: commercial vessels in ordinary trade; humanitarian vessels with absolute priority; naval and state vessels under the notification-plus regime of Article 25; and vessels in distress under the rescue regime of the Standing Rules.</w:t>
      </w:r>
    </w:p>
    <w:p w14:paraId="1E363D2E" w14:textId="77777777" w:rsidR="00D708EC" w:rsidRDefault="00000000">
      <w:pPr>
        <w:rPr>
          <w:rFonts w:hint="eastAsia"/>
        </w:rPr>
      </w:pPr>
      <w:r>
        <w:t>23.4 The Absolute Non-Interdiction Protocol. Commercial transit operates under an absolute non-interdiction rule within the framework. No organ, force, or agent of any Party boards, diverts, detains, or interdicts a commercial vessel in transit within the Governance Area, except under the narrow safety and environmental exceptions of Annex A executed by the Joint Hormuz Authority under the Twin-Key Rule, with every exception logged, justified, and reviewable.</w:t>
      </w:r>
    </w:p>
    <w:p w14:paraId="21D5C05D" w14:textId="77777777" w:rsidR="00D708EC" w:rsidRDefault="00000000">
      <w:pPr>
        <w:pStyle w:val="Heading2"/>
        <w:rPr>
          <w:rFonts w:hint="eastAsia"/>
        </w:rPr>
      </w:pPr>
      <w:bookmarkStart w:id="43" w:name="_Toc237663557"/>
      <w:r>
        <w:t>Article 24: The Joint Hormuz Authority</w:t>
      </w:r>
      <w:bookmarkEnd w:id="43"/>
    </w:p>
    <w:p w14:paraId="20418189" w14:textId="77777777" w:rsidR="00D708EC" w:rsidRDefault="00000000">
      <w:pPr>
        <w:rPr>
          <w:rFonts w:hint="eastAsia"/>
        </w:rPr>
      </w:pPr>
      <w:r>
        <w:t>24.1 Establishment. The Parties establish the Joint Hormuz Authority, a permanent civilian institution with international legal personality, headquartered in Muscat with a liaison office in Bandar Abbas. The Authority comprises the Authority Council, the Secretariat, the Maritime Coordination Center, and the Verification and Surveillance Directorate.</w:t>
      </w:r>
    </w:p>
    <w:p w14:paraId="0C131EC4" w14:textId="77777777" w:rsidR="00D708EC" w:rsidRDefault="00000000">
      <w:pPr>
        <w:rPr>
          <w:rFonts w:hint="eastAsia"/>
        </w:rPr>
      </w:pPr>
      <w:r>
        <w:t>24.2 The Council. Voting seats: Iran, Oman. Observer seats with voice: the United States, the Gulf Cooperation Council collectively, the IMO, and one rotating seat for a major shipping nation elected annually by the Stakeholder Panel. Decisions of the Council take effect by consensus of the voting seats on corridor, safety, and financial matters, consistent with the Twin-Key Rule.</w:t>
      </w:r>
    </w:p>
    <w:p w14:paraId="54900F4E" w14:textId="77777777" w:rsidR="00D708EC" w:rsidRDefault="00000000">
      <w:pPr>
        <w:rPr>
          <w:rFonts w:hint="eastAsia"/>
        </w:rPr>
      </w:pPr>
      <w:r>
        <w:t>24.3 The Twin-Key Rule. No consequential action within the Governance Area executes on one key. Consequential actions, meaning corridor modification, flow-state changes, safety exceptions to non-interdiction, and fee-schedule changes within the services architecture, execute only with the concurrence of both coastal-state keys. The Rule converts control into shared administration: Iran holds a recognized, institutionalized administrative role (satisfying Red Line IR-4), and no state holds unilateral control of the waterway (satisfying Red Line US-2 and the Gulf interest).</w:t>
      </w:r>
    </w:p>
    <w:p w14:paraId="35A815D4" w14:textId="77777777" w:rsidR="00D708EC" w:rsidRDefault="00000000">
      <w:pPr>
        <w:rPr>
          <w:rFonts w:hint="eastAsia"/>
        </w:rPr>
      </w:pPr>
      <w:r>
        <w:t>24.4 The PGSA Transition Protocol. The Persian Gulf Strait Authority established by Iran in June 2026 transitions into the Iranian technical component within the operational directorate of the Joint Hormuz Authority. The transition is functional: the permit-issuing function terminates and converts into the notification protocol of Article 23; the traffic-coordination, hazard-bulletin, and environmental-monitoring functions continue under the joint civilian structure. The transition delivers the recognized Iranian administrative role within a structure in which the other Parties participate.</w:t>
      </w:r>
    </w:p>
    <w:p w14:paraId="0C5A2E7A" w14:textId="77777777" w:rsidR="00D708EC" w:rsidRDefault="00000000">
      <w:pPr>
        <w:rPr>
          <w:rFonts w:hint="eastAsia"/>
        </w:rPr>
      </w:pPr>
      <w:r>
        <w:t>24.5 The Maritime Coordination Center operates 24/7 with joint staffing, the common channel, the Standing Logbook, the incident-alert mesh, and the Open Water Bulletin, which publishes flow states, hazard notices, and corridor status to the world in near-real time.</w:t>
      </w:r>
    </w:p>
    <w:p w14:paraId="7AB5A43B" w14:textId="77777777" w:rsidR="00D708EC" w:rsidRDefault="00000000">
      <w:pPr>
        <w:rPr>
          <w:rFonts w:hint="eastAsia"/>
        </w:rPr>
      </w:pPr>
      <w:r>
        <w:lastRenderedPageBreak/>
        <w:t>24.6 Budget discipline. The Authority operates on the budget of Annex D, funded through the Tri-Channel system of Part VII, with an annual independent audit published on the transparency dashboard.</w:t>
      </w:r>
    </w:p>
    <w:p w14:paraId="256A6831" w14:textId="77777777" w:rsidR="00D708EC" w:rsidRDefault="00000000">
      <w:pPr>
        <w:pStyle w:val="Heading2"/>
        <w:rPr>
          <w:rFonts w:hint="eastAsia"/>
        </w:rPr>
      </w:pPr>
      <w:bookmarkStart w:id="44" w:name="_Toc237663558"/>
      <w:r>
        <w:t>Article 25: Naval and Military Transit</w:t>
      </w:r>
      <w:bookmarkEnd w:id="44"/>
    </w:p>
    <w:p w14:paraId="7E2BE3E8" w14:textId="77777777" w:rsidR="00D708EC" w:rsidRDefault="00000000">
      <w:pPr>
        <w:rPr>
          <w:rFonts w:hint="eastAsia"/>
        </w:rPr>
      </w:pPr>
      <w:r>
        <w:t>25.1 Naval and state vessels transit under notification-plus: filing of intent 48 hours ahead, acknowledgment through the Standing Channel, and transit in ordinary formation without hostile profiles. The framework architecture excludes interference with lawful naval transit, and excludes provocative profile within the Governance Area.</w:t>
      </w:r>
    </w:p>
    <w:p w14:paraId="74D33FC0" w14:textId="77777777" w:rsidR="00D708EC" w:rsidRDefault="00000000">
      <w:pPr>
        <w:rPr>
          <w:rFonts w:hint="eastAsia"/>
        </w:rPr>
      </w:pPr>
      <w:r>
        <w:t>25.2 The United States Transit Assurance. United States naval vessels transit the Governance Area under the same notification-plus regime as all states, and the framework architecture records the assurance of the United States that its naval posture in the region serves the steady-state baseline of Article 15. Symmetrically, the framework records the assurance of Iran that coastal-defense profiles remain non-targeting toward transiting vessels. Both assurances verify through the fused picture of Layer Two.</w:t>
      </w:r>
    </w:p>
    <w:p w14:paraId="6741AE58" w14:textId="77777777" w:rsidR="00D708EC" w:rsidRDefault="00000000">
      <w:pPr>
        <w:pStyle w:val="Heading2"/>
        <w:rPr>
          <w:rFonts w:hint="eastAsia"/>
        </w:rPr>
      </w:pPr>
      <w:bookmarkStart w:id="45" w:name="_Toc237663559"/>
      <w:r>
        <w:t>Article 26: Mine Clearance and Hazard Certification</w:t>
      </w:r>
      <w:bookmarkEnd w:id="45"/>
    </w:p>
    <w:p w14:paraId="5DCA6113" w14:textId="77777777" w:rsidR="00D708EC" w:rsidRDefault="00000000">
      <w:pPr>
        <w:rPr>
          <w:rFonts w:hint="eastAsia"/>
        </w:rPr>
      </w:pPr>
      <w:r>
        <w:t>26.1 The Joint Mine Action Program clears and certifies the Governance Area. The program operates under the Joint Hormuz Authority with the participation of Iranian, Omani, and invited multinational mine-countermeasure assets, and with UNMAS coordination for the approaches.</w:t>
      </w:r>
    </w:p>
    <w:p w14:paraId="37FB0074" w14:textId="77777777" w:rsidR="00D708EC" w:rsidRDefault="00000000">
      <w:pPr>
        <w:rPr>
          <w:rFonts w:hint="eastAsia"/>
        </w:rPr>
      </w:pPr>
      <w:r>
        <w:t>26.2 The program executes in parallel with the opening. Corridor Three, the Southern Assurance Corridor, opens at Hour 72 as the first operational lane, under Omani administration, on the notification regime of Article 23, with provisional certification pending completion of the full sweep. Corridor Two certifies by Day 20. Corridor One, the Northern Stewardship Corridor, opens by Day 30 upon completion of mine clearance and certification within its waters. Certification publishes through the IMO registry as the Seal of Safe Transit upon completion of each corridor sweep. The Hour 72 opening delivers the political headline; the Day 30 northern opening delivers operational realism.</w:t>
      </w:r>
    </w:p>
    <w:p w14:paraId="334D20DB" w14:textId="77777777" w:rsidR="00D708EC" w:rsidRDefault="00000000">
      <w:pPr>
        <w:rPr>
          <w:rFonts w:hint="eastAsia"/>
        </w:rPr>
      </w:pPr>
      <w:r>
        <w:t>26.3 Hazard data, including mine locations as reported by all parties, flows into the Joint Drift-Prediction and Hazard Model and the Shared Weather and Hazard Service, which operate permanently as services of the Authority.</w:t>
      </w:r>
    </w:p>
    <w:p w14:paraId="30F24CAC" w14:textId="77777777" w:rsidR="00D708EC" w:rsidRDefault="00000000">
      <w:pPr>
        <w:pStyle w:val="Heading2"/>
        <w:rPr>
          <w:rFonts w:hint="eastAsia"/>
        </w:rPr>
      </w:pPr>
      <w:bookmarkStart w:id="46" w:name="_Toc237663560"/>
      <w:r>
        <w:t>Article 26A: The Differential Band Processing</w:t>
      </w:r>
      <w:bookmarkEnd w:id="46"/>
    </w:p>
    <w:p w14:paraId="5A743787" w14:textId="77777777" w:rsidR="00D708EC" w:rsidRDefault="00000000">
      <w:pPr>
        <w:rPr>
          <w:rFonts w:hint="eastAsia"/>
        </w:rPr>
      </w:pPr>
      <w:r>
        <w:t>26A.1 Maritime disputes process through three concentric bands, separating dispute intensity so that small disputes never reach the core commitments:</w:t>
      </w:r>
    </w:p>
    <w:p w14:paraId="3783161A" w14:textId="77777777" w:rsidR="00D708EC" w:rsidRDefault="00000000">
      <w:pPr>
        <w:ind w:left="360"/>
        <w:rPr>
          <w:rFonts w:hint="eastAsia"/>
        </w:rPr>
      </w:pPr>
      <w:r>
        <w:rPr>
          <w:color w:val="37474F"/>
        </w:rPr>
        <w:lastRenderedPageBreak/>
        <w:t xml:space="preserve">•  </w:t>
      </w:r>
      <w:r>
        <w:t>Band One (14-day cycle): operational and technical disputes: routing, scheduling, documentation, minor incidents. The Maritime Coordination Center resolves them within 14 days.</w:t>
      </w:r>
    </w:p>
    <w:p w14:paraId="3AF3B80A" w14:textId="77777777" w:rsidR="00D708EC" w:rsidRDefault="00000000">
      <w:pPr>
        <w:ind w:left="360"/>
        <w:rPr>
          <w:rFonts w:hint="eastAsia"/>
        </w:rPr>
      </w:pPr>
      <w:r>
        <w:rPr>
          <w:color w:val="37474F"/>
        </w:rPr>
        <w:t xml:space="preserve">•  </w:t>
      </w:r>
      <w:r>
        <w:t>Band Two (45-day cycle): systemic disputes: repeated patterns, service-charge questions, corridor parameter adjustments. The Joint Hormuz Authority Council resolves them within 45 days.</w:t>
      </w:r>
    </w:p>
    <w:p w14:paraId="32E8343F" w14:textId="77777777" w:rsidR="00D708EC" w:rsidRDefault="00000000">
      <w:pPr>
        <w:ind w:left="360"/>
        <w:rPr>
          <w:rFonts w:hint="eastAsia"/>
        </w:rPr>
      </w:pPr>
      <w:r>
        <w:rPr>
          <w:color w:val="37474F"/>
        </w:rPr>
        <w:t xml:space="preserve">•  </w:t>
      </w:r>
      <w:r>
        <w:t>Band Three (120-day cycle): structural disputes: governance, Twin-Key questions, Charter-level interpretation. The Permanent Coordination Council resolves them within 120 days.</w:t>
      </w:r>
    </w:p>
    <w:p w14:paraId="11291BD9" w14:textId="77777777" w:rsidR="00D708EC" w:rsidRDefault="00000000">
      <w:pPr>
        <w:rPr>
          <w:rFonts w:hint="eastAsia"/>
        </w:rPr>
      </w:pPr>
      <w:r>
        <w:t>26A.2 The bands rotate: disputes enter the band matching their intensity, and only a band's failure routes a dispute inward. Rotation in the outer bands protects the still center of the Accord.</w:t>
      </w:r>
    </w:p>
    <w:p w14:paraId="711E07D4" w14:textId="77777777" w:rsidR="00D708EC" w:rsidRDefault="00000000">
      <w:pPr>
        <w:pStyle w:val="Heading2"/>
        <w:rPr>
          <w:rFonts w:hint="eastAsia"/>
        </w:rPr>
      </w:pPr>
      <w:bookmarkStart w:id="47" w:name="_Toc237663561"/>
      <w:r>
        <w:t>Article 26B: The Core Protection Filter and the Lateral Transfer Protocol</w:t>
      </w:r>
      <w:bookmarkEnd w:id="47"/>
    </w:p>
    <w:p w14:paraId="281F5278" w14:textId="77777777" w:rsidR="00D708EC" w:rsidRDefault="00000000">
      <w:pPr>
        <w:rPr>
          <w:rFonts w:hint="eastAsia"/>
        </w:rPr>
      </w:pPr>
      <w:r>
        <w:t>26B.1 The Core Protection Filter is the selective membrane between the rotating bands and the foundational commitments. A dispute reaches the core only upon satisfying the three-criteria pressure test: (1) a Materiality Criterion, certifying the dispute directly threatens a foundational commitment; (2) an Exhaustion Criterion, certifying that outer-band processing and the Lateral Transfer Protocol both attempted resolution; (3) a Party Confirmation Criterion, under which both Parties confirm through their band representatives that core attention is warranted. No single Party forces a dispute into the core without corroboration.</w:t>
      </w:r>
    </w:p>
    <w:p w14:paraId="54AB8236" w14:textId="77777777" w:rsidR="00D708EC" w:rsidRDefault="00000000">
      <w:pPr>
        <w:rPr>
          <w:rFonts w:hint="eastAsia"/>
        </w:rPr>
      </w:pPr>
      <w:r>
        <w:t>26B.2 The Lateral Transfer Protocol deflects disputes sideways to parallel channels within the same band: a corridor dispute transfers to the data channel, the insurance channel, or the technical channel for resolution, and returns to its origin channel upon settlement. Sideways movement absorbs pressure that rigid vertical escalation would otherwise drive into the core.</w:t>
      </w:r>
    </w:p>
    <w:p w14:paraId="52AF296F" w14:textId="77777777" w:rsidR="00D708EC" w:rsidRDefault="00000000">
      <w:pPr>
        <w:rPr>
          <w:rFonts w:hint="eastAsia"/>
        </w:rPr>
      </w:pPr>
      <w:r>
        <w:t>26B.3 The filter also radiates outward: every band processes disputes with published awareness of the core values, so that even small resolutions align with the Zero-Toll Covenant, the non-interdiction protocol, and the Red Lines Register.</w:t>
      </w:r>
    </w:p>
    <w:p w14:paraId="24D55CAB" w14:textId="77777777" w:rsidR="00D708EC" w:rsidRDefault="00000000">
      <w:pPr>
        <w:pStyle w:val="Heading2"/>
        <w:rPr>
          <w:rFonts w:hint="eastAsia"/>
        </w:rPr>
      </w:pPr>
      <w:bookmarkStart w:id="48" w:name="_Toc237663562"/>
      <w:r>
        <w:t>Article 26C: The Stability Coefficient</w:t>
      </w:r>
      <w:bookmarkEnd w:id="48"/>
    </w:p>
    <w:p w14:paraId="2850E1B1" w14:textId="77777777" w:rsidR="00D708EC" w:rsidRDefault="00000000">
      <w:pPr>
        <w:rPr>
          <w:rFonts w:hint="eastAsia"/>
        </w:rPr>
      </w:pPr>
      <w:r>
        <w:t>26C.1 The Joint Hormuz Authority calculates a weekly Stability Coefficient, a single published figure expressing the health of the maritime module as a function of band rotation speed, dispute volume, and filter integrity: the faster the outer bands resolve disputes, the lower the dispute volume, and the cleaner the filter record, the higher the coefficient.</w:t>
      </w:r>
    </w:p>
    <w:p w14:paraId="41EF0769" w14:textId="77777777" w:rsidR="00D708EC" w:rsidRDefault="00000000">
      <w:pPr>
        <w:rPr>
          <w:rFonts w:hint="eastAsia"/>
        </w:rPr>
      </w:pPr>
      <w:r>
        <w:lastRenderedPageBreak/>
        <w:t>26C.2 The coefficient publishes on the Open Water Bulletin and the Compliance Dashboard. A coefficient declining across four consecutive weeks triggers a technical review of the band system; a coefficient at or above the health threshold for 26 consecutive weeks constitutes evidence supporting the Confidence Trigger of Article 30.1.</w:t>
      </w:r>
    </w:p>
    <w:p w14:paraId="09FC2542" w14:textId="77777777" w:rsidR="00D708EC" w:rsidRDefault="00D708EC">
      <w:pPr>
        <w:pageBreakBefore/>
        <w:rPr>
          <w:rFonts w:hint="eastAsia"/>
        </w:rPr>
      </w:pPr>
    </w:p>
    <w:p w14:paraId="292E0DD9" w14:textId="77777777" w:rsidR="00D708EC" w:rsidRDefault="00000000">
      <w:pPr>
        <w:pStyle w:val="Heading1"/>
        <w:rPr>
          <w:rFonts w:hint="eastAsia"/>
        </w:rPr>
      </w:pPr>
      <w:bookmarkStart w:id="49" w:name="_Toc237663563"/>
      <w:r>
        <w:t>PART VII: THE FEES RESOLUTION (THE GRAND BARGAIN OF THE STRAIT)</w:t>
      </w:r>
      <w:bookmarkEnd w:id="49"/>
    </w:p>
    <w:p w14:paraId="66D61280" w14:textId="77777777" w:rsidR="00D708EC" w:rsidRDefault="00000000">
      <w:pPr>
        <w:pStyle w:val="Heading2"/>
        <w:rPr>
          <w:rFonts w:hint="eastAsia"/>
        </w:rPr>
      </w:pPr>
      <w:bookmarkStart w:id="50" w:name="_Toc237663564"/>
      <w:r>
        <w:t>Article 27: The Zero-Toll Covenant</w:t>
      </w:r>
      <w:bookmarkEnd w:id="50"/>
    </w:p>
    <w:p w14:paraId="3D909C15" w14:textId="77777777" w:rsidR="00D708EC" w:rsidRDefault="00000000">
      <w:pPr>
        <w:rPr>
          <w:rFonts w:hint="eastAsia"/>
        </w:rPr>
      </w:pPr>
      <w:r>
        <w:t>27.1 The framework architecture excludes tolls, charges, fees, dues, or any mandatory payment as a condition of passage through the Strait of Hormuz, in both directions, for all vessels, permanently. Passage is free. This covenant satisfies Red Line US-2 as a permanent feature of the architecture, and it carries no sunset and no exception.</w:t>
      </w:r>
    </w:p>
    <w:p w14:paraId="6FC09476" w14:textId="77777777" w:rsidR="00D708EC" w:rsidRDefault="00000000">
      <w:pPr>
        <w:rPr>
          <w:rFonts w:hint="eastAsia"/>
        </w:rPr>
      </w:pPr>
      <w:r>
        <w:t>27.2 The Zero-Toll Covenant binds every organ of this Treaty and every participating institution. No corridor authority, no fund, no escrow, and no future amendment reintroduces a charge on passage. The Perimeter Test returns any such proposal automatically.</w:t>
      </w:r>
    </w:p>
    <w:p w14:paraId="4A0C73F8" w14:textId="77777777" w:rsidR="00D708EC" w:rsidRDefault="00000000">
      <w:pPr>
        <w:pStyle w:val="Heading2"/>
        <w:rPr>
          <w:rFonts w:hint="eastAsia"/>
        </w:rPr>
      </w:pPr>
      <w:bookmarkStart w:id="51" w:name="_Toc237663565"/>
      <w:r>
        <w:t>Article 28: The Service Distinction and the Verified Services Catalog</w:t>
      </w:r>
      <w:bookmarkEnd w:id="51"/>
    </w:p>
    <w:p w14:paraId="5AC9C9BC" w14:textId="77777777" w:rsidR="00D708EC" w:rsidRDefault="00000000">
      <w:pPr>
        <w:rPr>
          <w:rFonts w:hint="eastAsia"/>
        </w:rPr>
      </w:pPr>
      <w:r>
        <w:t>28.1 The law of the sea distinguishes passage from services. The framework prices services, never passage. Annex A publishes the Verified Services Catalog: pilotage, tug assistance, deep-draft escort through the buffer corridor, search and rescue beyond standing obligations, environmental response standby, wreck removal, navigational data products, and the scheduled convoy-window program.</w:t>
      </w:r>
    </w:p>
    <w:p w14:paraId="0A4D0692" w14:textId="77777777" w:rsidR="00D708EC" w:rsidRDefault="00000000">
      <w:pPr>
        <w:rPr>
          <w:rFonts w:hint="eastAsia"/>
        </w:rPr>
      </w:pPr>
      <w:r>
        <w:t>28.2 Vessels request services at their election. A vessel that requests no service pays nothing, transits freely, and owes nothing. The request, the service, and the payment each log in the Registry, and the Joint Hormuz Authority publishes the rate schedule annually.</w:t>
      </w:r>
    </w:p>
    <w:p w14:paraId="4801B747" w14:textId="77777777" w:rsidR="00D708EC" w:rsidRDefault="00000000">
      <w:pPr>
        <w:rPr>
          <w:rFonts w:hint="eastAsia"/>
        </w:rPr>
      </w:pPr>
      <w:r>
        <w:t>28.3 Service charges are non-discriminatory, cost-related, and identical for all flags. The Heavy-User Cap guarantees that no single operator's annual service charges exceed the cap of Annex D, delivering predictability to the largest tanker and gas fleets. The Green Discount applies a sliding reduction for vessels meeting the emissions standard of Annex D, turning the tariff book into an environmental instrument.</w:t>
      </w:r>
    </w:p>
    <w:p w14:paraId="04E0E707" w14:textId="77777777" w:rsidR="00D708EC" w:rsidRDefault="00000000">
      <w:pPr>
        <w:pStyle w:val="Heading2"/>
        <w:rPr>
          <w:rFonts w:hint="eastAsia"/>
        </w:rPr>
      </w:pPr>
      <w:bookmarkStart w:id="52" w:name="_Toc237663566"/>
      <w:r>
        <w:t>Article 29: The Hormuz Maritime Stewardship Fund</w:t>
      </w:r>
      <w:bookmarkEnd w:id="52"/>
    </w:p>
    <w:p w14:paraId="430BAEEA" w14:textId="77777777" w:rsidR="00D708EC" w:rsidRDefault="00000000">
      <w:pPr>
        <w:rPr>
          <w:rFonts w:hint="eastAsia"/>
        </w:rPr>
      </w:pPr>
      <w:r>
        <w:t>29.1 The Parties establish the Hormuz Maritime Stewardship Fund, modeled on the cooperative arrangement of the Strait of Malacca, administered by the Joint Hormuz Authority with the Qatar Central Bank as financial agent under the neutral-escrow architecture.</w:t>
      </w:r>
    </w:p>
    <w:p w14:paraId="324229C4" w14:textId="77777777" w:rsidR="00D708EC" w:rsidRDefault="00000000">
      <w:pPr>
        <w:rPr>
          <w:rFonts w:hint="eastAsia"/>
        </w:rPr>
      </w:pPr>
      <w:r>
        <w:lastRenderedPageBreak/>
        <w:t>29.2 Sources of the Fund: voluntary contributions of user states and shipping nations; voluntary industry contributions through the classification societies and P&amp;I clubs; a dedicated allocation from the insurance channel of Article 30; contributions of the coastal states; and grants of international bodies. The Fund finances: navigation aids, the hazard service, environmental protection and response capacity, search and rescue, the mine-action reserve, and the operating budget of the Authority.</w:t>
      </w:r>
    </w:p>
    <w:p w14:paraId="2F49071E" w14:textId="77777777" w:rsidR="00D708EC" w:rsidRDefault="00000000">
      <w:pPr>
        <w:rPr>
          <w:rFonts w:hint="eastAsia"/>
        </w:rPr>
      </w:pPr>
      <w:r>
        <w:t>29.3 The voluntary character of the Fund preserves the Zero-Toll Covenant absolutely. No vessel conditions passage upon contribution. The Fund publishes its contributors and its accounts quarterly, and the social license of the system, not any legal compulsion, sustains it. The Malacca experience demonstrates the model: a cooperative fund sustains services without a single compulsory charge on passage.</w:t>
      </w:r>
    </w:p>
    <w:p w14:paraId="1FA2C53E" w14:textId="77777777" w:rsidR="00D708EC" w:rsidRDefault="00000000">
      <w:pPr>
        <w:rPr>
          <w:rFonts w:hint="eastAsia"/>
        </w:rPr>
      </w:pPr>
      <w:r>
        <w:t>29.4 The route assurance data service. The Authority offers a Route Assurance Data Subscription: verified safety, tracking, weather, and hazard data products for fleets and insurers, priced as a commercial data product under Annex D. The subscription wraps value in a product, never in a condition of passage, and operates as a revenue line of the Fund.</w:t>
      </w:r>
    </w:p>
    <w:p w14:paraId="4275AFF8" w14:textId="77777777" w:rsidR="00D708EC" w:rsidRDefault="00000000">
      <w:pPr>
        <w:pStyle w:val="Heading2"/>
        <w:rPr>
          <w:rFonts w:hint="eastAsia"/>
        </w:rPr>
      </w:pPr>
      <w:bookmarkStart w:id="53" w:name="_Toc237663567"/>
      <w:r>
        <w:t>Article 30: The Insurance Channel and the War-Risk Normalization</w:t>
      </w:r>
      <w:bookmarkEnd w:id="53"/>
    </w:p>
    <w:p w14:paraId="37EC8BC5" w14:textId="77777777" w:rsidR="00D708EC" w:rsidRDefault="00000000">
      <w:pPr>
        <w:rPr>
          <w:rFonts w:hint="eastAsia"/>
        </w:rPr>
      </w:pPr>
      <w:r>
        <w:t>30.1 The war-risk premium architecture converts into the stability dividend. Upon certification of each corridor under Article 26 and upon each clean Stability Audit, the Stakeholder Panel of shipping and insurance representatives issues the market signal for premium reduction, and the Panel issues the Confidence Trigger upon 180 consecutive days of stable operation, recommending normalization of premiums to the pre-conflict baseline. The Council responds to the Confidence Trigger within 30 days, and silence constitutes acceptance.</w:t>
      </w:r>
    </w:p>
    <w:p w14:paraId="08BAD3C5" w14:textId="77777777" w:rsidR="00D708EC" w:rsidRDefault="00000000">
      <w:pPr>
        <w:rPr>
          <w:rFonts w:hint="eastAsia"/>
        </w:rPr>
      </w:pPr>
      <w:r>
        <w:t>30.2 A defined fraction of war-risk and transit premiums during the normalization period flows into the Fund through the insurance channel: insurers collect the fraction within the premium the market already bears, and remit it to the Fund as a stewardship contribution. The charge rides a commercial risk product, never the act of passage, and it sunsets automatically upon premium normalization.</w:t>
      </w:r>
    </w:p>
    <w:p w14:paraId="025ADFD2" w14:textId="77777777" w:rsidR="00D708EC" w:rsidRDefault="00000000">
      <w:pPr>
        <w:rPr>
          <w:rFonts w:hint="eastAsia"/>
        </w:rPr>
      </w:pPr>
      <w:r>
        <w:t>30.3 Port-of-origin processing. Administrative documentation for Strait services processes at the port of origin through the Authority's documentation window, as a service of the port call rather than of the transit. This placement reinforces the legal character of every charge as payment for processing and services, not for passage.</w:t>
      </w:r>
    </w:p>
    <w:p w14:paraId="7349380E" w14:textId="77777777" w:rsidR="00D708EC" w:rsidRDefault="00000000">
      <w:pPr>
        <w:pStyle w:val="Heading2"/>
        <w:rPr>
          <w:rFonts w:hint="eastAsia"/>
        </w:rPr>
      </w:pPr>
      <w:bookmarkStart w:id="54" w:name="_Toc237663568"/>
      <w:r>
        <w:t>Article 31: The Iranian Revenue Settlement</w:t>
      </w:r>
      <w:bookmarkEnd w:id="54"/>
    </w:p>
    <w:p w14:paraId="5AF856D7" w14:textId="77777777" w:rsidR="00D708EC" w:rsidRDefault="00000000">
      <w:pPr>
        <w:rPr>
          <w:rFonts w:hint="eastAsia"/>
        </w:rPr>
      </w:pPr>
      <w:r>
        <w:t>31.1 The settlement of the fees question completes in three channels, none of which is a toll:</w:t>
      </w:r>
    </w:p>
    <w:p w14:paraId="04285A4A" w14:textId="77777777" w:rsidR="00D708EC" w:rsidRDefault="00000000">
      <w:pPr>
        <w:ind w:left="360"/>
        <w:rPr>
          <w:rFonts w:hint="eastAsia"/>
        </w:rPr>
      </w:pPr>
      <w:r>
        <w:rPr>
          <w:color w:val="37474F"/>
        </w:rPr>
        <w:t>•</w:t>
      </w:r>
      <w:r>
        <w:t>Channel One: the service revenues of the Verified Services Catalog, in which the Iranian component of the joint services apparatus earns the commercial value of the services it delivers.</w:t>
      </w:r>
    </w:p>
    <w:p w14:paraId="1B1C76BE" w14:textId="77777777" w:rsidR="00D708EC" w:rsidRDefault="00000000">
      <w:pPr>
        <w:ind w:left="360"/>
        <w:rPr>
          <w:rFonts w:hint="eastAsia"/>
        </w:rPr>
      </w:pPr>
      <w:r>
        <w:rPr>
          <w:color w:val="37474F"/>
        </w:rPr>
        <w:lastRenderedPageBreak/>
        <w:t>•</w:t>
      </w:r>
      <w:r>
        <w:t>Channel Two: the Stewardship Fund, in which the multilateral community finances the stewardship functions the coastal states perform, with disbursement shares per Annex D.</w:t>
      </w:r>
    </w:p>
    <w:p w14:paraId="2E0410CB" w14:textId="77777777" w:rsidR="00D708EC" w:rsidRDefault="00000000">
      <w:pPr>
        <w:ind w:left="360"/>
        <w:rPr>
          <w:rFonts w:hint="eastAsia"/>
        </w:rPr>
      </w:pPr>
      <w:r>
        <w:rPr>
          <w:color w:val="37474F"/>
        </w:rPr>
        <w:t>•</w:t>
      </w:r>
      <w:r>
        <w:t>Channel Three: the Hormuz Development Facility within Annex RDF, under which the reconstruction architecture prioritizes the coastal provinces and the maritime infrastructure of Iran within the reconstruction program, delivering economic development at a scale no toll could reach.</w:t>
      </w:r>
    </w:p>
    <w:p w14:paraId="6D05174E" w14:textId="77777777" w:rsidR="00D708EC" w:rsidRDefault="00000000">
      <w:pPr>
        <w:rPr>
          <w:rFonts w:hint="eastAsia"/>
        </w:rPr>
      </w:pPr>
      <w:r>
        <w:t>31.2 The Reciprocity Ledger records the pairing: the Zero-Toll Covenant of Article 27 pairs with the three channels of this Article and with the reconstruction prioritization of Annex RDF. The pairing satisfies the Iranian interest in recognized stewardship and economic benefit, the American red line against tolls, the Omani interest in cooperative administration, and the Gulf interest in a boring, predictable waterway.</w:t>
      </w:r>
    </w:p>
    <w:p w14:paraId="775C0A30" w14:textId="77777777" w:rsidR="00D708EC" w:rsidRDefault="00000000">
      <w:pPr>
        <w:rPr>
          <w:rFonts w:hint="eastAsia"/>
        </w:rPr>
      </w:pPr>
      <w:r>
        <w:t>31.3 The success metric of this Part is boredom. The architecture succeeds when the Strait becomes a mundane administrative waterway: ships file, ships transit, services price like services anywhere, and the politics of the Strait exits the front page. The Boredom Standard governs the annual review of this Part.</w:t>
      </w:r>
    </w:p>
    <w:p w14:paraId="20FFC136" w14:textId="77777777" w:rsidR="00D708EC" w:rsidRDefault="00000000">
      <w:pPr>
        <w:pStyle w:val="Heading2"/>
        <w:rPr>
          <w:rFonts w:hint="eastAsia"/>
        </w:rPr>
      </w:pPr>
      <w:bookmarkStart w:id="55" w:name="_Toc237663569"/>
      <w:r>
        <w:t>Article 32: The Legacy Annex and the Confidence Memorandum</w:t>
      </w:r>
      <w:bookmarkEnd w:id="55"/>
    </w:p>
    <w:p w14:paraId="0EA3EC24" w14:textId="77777777" w:rsidR="00D708EC" w:rsidRDefault="00000000">
      <w:pPr>
        <w:rPr>
          <w:rFonts w:hint="eastAsia"/>
        </w:rPr>
      </w:pPr>
      <w:r>
        <w:t>32.1 Annex D records the historical context of the fees dispute, acknowledges its political sensitivity, and memorializes the confidence-building measures that resolved it. The architecture treats the memory of the dispute as institutional knowledge, not as open grievance.</w:t>
      </w:r>
    </w:p>
    <w:p w14:paraId="41A6EB68" w14:textId="77777777" w:rsidR="00D708EC" w:rsidRDefault="00000000">
      <w:pPr>
        <w:rPr>
          <w:rFonts w:hint="eastAsia"/>
        </w:rPr>
      </w:pPr>
      <w:r>
        <w:t>32.2 The phased activation record: the temporary toll-free window of the Memorandum, the interim Iran-Oman corridor arrangement, and the early fee simulation of the crisis period each form steps on the record that produced this settlement, and the Registry preserves them for audit and for history.</w:t>
      </w:r>
    </w:p>
    <w:p w14:paraId="3BA1D5D0" w14:textId="77777777" w:rsidR="00D708EC" w:rsidRDefault="00D708EC">
      <w:pPr>
        <w:pageBreakBefore/>
        <w:rPr>
          <w:rFonts w:hint="eastAsia"/>
        </w:rPr>
      </w:pPr>
    </w:p>
    <w:p w14:paraId="4A946F05" w14:textId="77777777" w:rsidR="00D708EC" w:rsidRDefault="00000000">
      <w:pPr>
        <w:pStyle w:val="Heading1"/>
        <w:rPr>
          <w:rFonts w:hint="eastAsia"/>
        </w:rPr>
      </w:pPr>
      <w:bookmarkStart w:id="56" w:name="_Toc237663570"/>
      <w:r>
        <w:t>PART VIII: THE SANCTIONS TERMINATION PROTOCOL</w:t>
      </w:r>
      <w:bookmarkEnd w:id="56"/>
    </w:p>
    <w:p w14:paraId="3B73E038" w14:textId="77777777" w:rsidR="00D708EC" w:rsidRDefault="00000000">
      <w:pPr>
        <w:pStyle w:val="Heading2"/>
        <w:rPr>
          <w:rFonts w:hint="eastAsia"/>
        </w:rPr>
      </w:pPr>
      <w:bookmarkStart w:id="57" w:name="_Toc237663571"/>
      <w:r>
        <w:t>Article 33: The Binding Termination Schedule</w:t>
      </w:r>
      <w:bookmarkEnd w:id="57"/>
    </w:p>
    <w:p w14:paraId="676D902B" w14:textId="77777777" w:rsidR="00D708EC" w:rsidRDefault="00000000">
      <w:pPr>
        <w:rPr>
          <w:rFonts w:hint="eastAsia"/>
        </w:rPr>
      </w:pPr>
      <w:r>
        <w:t>33.1 The sanctions architecture terminates on the binding schedule of Annex C. The schedule is law, not intention. Each tranche of termination pairs with a verified milestone of this Treaty, and the Reciprocity Ledger records each pairing. Verification first, relief second; and relief, once delivered, never evaporates by the passage of time.</w:t>
      </w:r>
    </w:p>
    <w:p w14:paraId="7140BAED" w14:textId="77777777" w:rsidR="00D708EC" w:rsidRDefault="00000000">
      <w:pPr>
        <w:rPr>
          <w:rFonts w:hint="eastAsia"/>
        </w:rPr>
      </w:pPr>
      <w:r>
        <w:t>33.2 Termination categories and schedule:</w:t>
      </w:r>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1012"/>
        <w:gridCol w:w="4072"/>
        <w:gridCol w:w="3102"/>
        <w:gridCol w:w="1040"/>
      </w:tblGrid>
      <w:tr w:rsidR="00D708EC" w14:paraId="16E8EE5C" w14:textId="77777777">
        <w:tc>
          <w:tcPr>
            <w:tcW w:w="0" w:type="auto"/>
            <w:shd w:val="clear" w:color="auto" w:fill="37474F"/>
          </w:tcPr>
          <w:p w14:paraId="5B501939" w14:textId="77777777" w:rsidR="00D708EC" w:rsidRDefault="00000000">
            <w:pPr>
              <w:rPr>
                <w:rFonts w:hint="eastAsia"/>
              </w:rPr>
            </w:pPr>
            <w:r>
              <w:rPr>
                <w:b/>
                <w:color w:val="FFFFFF"/>
                <w:sz w:val="19"/>
              </w:rPr>
              <w:t>Tranche</w:t>
            </w:r>
          </w:p>
        </w:tc>
        <w:tc>
          <w:tcPr>
            <w:tcW w:w="0" w:type="auto"/>
            <w:shd w:val="clear" w:color="auto" w:fill="37474F"/>
          </w:tcPr>
          <w:p w14:paraId="2AE474C1" w14:textId="77777777" w:rsidR="00D708EC" w:rsidRDefault="00000000">
            <w:pPr>
              <w:rPr>
                <w:rFonts w:hint="eastAsia"/>
              </w:rPr>
            </w:pPr>
            <w:r>
              <w:rPr>
                <w:b/>
                <w:color w:val="FFFFFF"/>
                <w:sz w:val="19"/>
              </w:rPr>
              <w:t>Scope</w:t>
            </w:r>
          </w:p>
        </w:tc>
        <w:tc>
          <w:tcPr>
            <w:tcW w:w="0" w:type="auto"/>
            <w:shd w:val="clear" w:color="auto" w:fill="37474F"/>
          </w:tcPr>
          <w:p w14:paraId="195FC9D0" w14:textId="77777777" w:rsidR="00D708EC" w:rsidRDefault="00000000">
            <w:pPr>
              <w:rPr>
                <w:rFonts w:hint="eastAsia"/>
              </w:rPr>
            </w:pPr>
            <w:r>
              <w:rPr>
                <w:b/>
                <w:color w:val="FFFFFF"/>
                <w:sz w:val="19"/>
              </w:rPr>
              <w:t>Trigger milestone</w:t>
            </w:r>
          </w:p>
        </w:tc>
        <w:tc>
          <w:tcPr>
            <w:tcW w:w="0" w:type="auto"/>
            <w:shd w:val="clear" w:color="auto" w:fill="37474F"/>
          </w:tcPr>
          <w:p w14:paraId="0ACDDECC" w14:textId="77777777" w:rsidR="00D708EC" w:rsidRDefault="00000000">
            <w:pPr>
              <w:rPr>
                <w:rFonts w:hint="eastAsia"/>
              </w:rPr>
            </w:pPr>
            <w:r>
              <w:rPr>
                <w:b/>
                <w:color w:val="FFFFFF"/>
                <w:sz w:val="19"/>
              </w:rPr>
              <w:t>Target date</w:t>
            </w:r>
          </w:p>
        </w:tc>
      </w:tr>
      <w:tr w:rsidR="00D708EC" w14:paraId="4E796E70" w14:textId="77777777">
        <w:tc>
          <w:tcPr>
            <w:tcW w:w="0" w:type="auto"/>
          </w:tcPr>
          <w:p w14:paraId="010D0662" w14:textId="77777777" w:rsidR="00D708EC" w:rsidRDefault="00000000">
            <w:pPr>
              <w:rPr>
                <w:rFonts w:hint="eastAsia"/>
              </w:rPr>
            </w:pPr>
            <w:r>
              <w:rPr>
                <w:sz w:val="19"/>
              </w:rPr>
              <w:t>T-1</w:t>
            </w:r>
          </w:p>
        </w:tc>
        <w:tc>
          <w:tcPr>
            <w:tcW w:w="0" w:type="auto"/>
          </w:tcPr>
          <w:p w14:paraId="6BBA9199" w14:textId="77777777" w:rsidR="00D708EC" w:rsidRDefault="00000000">
            <w:pPr>
              <w:rPr>
                <w:rFonts w:hint="eastAsia"/>
              </w:rPr>
            </w:pPr>
            <w:r>
              <w:rPr>
                <w:sz w:val="19"/>
              </w:rPr>
              <w:t>Humanitarian, agricultural, medical, and civil aviation sanctions and licenses; first oil waivers</w:t>
            </w:r>
          </w:p>
        </w:tc>
        <w:tc>
          <w:tcPr>
            <w:tcW w:w="0" w:type="auto"/>
          </w:tcPr>
          <w:p w14:paraId="6F709D08" w14:textId="77777777" w:rsidR="00D708EC" w:rsidRDefault="00000000">
            <w:pPr>
              <w:rPr>
                <w:rFonts w:hint="eastAsia"/>
              </w:rPr>
            </w:pPr>
            <w:r>
              <w:rPr>
                <w:sz w:val="19"/>
              </w:rPr>
              <w:t>Entry into force; Inventory Day complete (Article 18.1)</w:t>
            </w:r>
          </w:p>
        </w:tc>
        <w:tc>
          <w:tcPr>
            <w:tcW w:w="0" w:type="auto"/>
          </w:tcPr>
          <w:p w14:paraId="4E452A6D" w14:textId="77777777" w:rsidR="00D708EC" w:rsidRDefault="00000000">
            <w:pPr>
              <w:rPr>
                <w:rFonts w:hint="eastAsia"/>
              </w:rPr>
            </w:pPr>
            <w:r>
              <w:rPr>
                <w:sz w:val="19"/>
              </w:rPr>
              <w:t>Day 1 to Day 7</w:t>
            </w:r>
          </w:p>
        </w:tc>
      </w:tr>
      <w:tr w:rsidR="00D708EC" w14:paraId="6D3DC582" w14:textId="77777777">
        <w:tc>
          <w:tcPr>
            <w:tcW w:w="0" w:type="auto"/>
            <w:shd w:val="clear" w:color="auto" w:fill="ECEFF1"/>
          </w:tcPr>
          <w:p w14:paraId="238EAC89" w14:textId="77777777" w:rsidR="00D708EC" w:rsidRDefault="00000000">
            <w:pPr>
              <w:rPr>
                <w:rFonts w:hint="eastAsia"/>
              </w:rPr>
            </w:pPr>
            <w:r>
              <w:rPr>
                <w:sz w:val="19"/>
              </w:rPr>
              <w:t>T-2</w:t>
            </w:r>
          </w:p>
        </w:tc>
        <w:tc>
          <w:tcPr>
            <w:tcW w:w="0" w:type="auto"/>
            <w:shd w:val="clear" w:color="auto" w:fill="ECEFF1"/>
          </w:tcPr>
          <w:p w14:paraId="337DC230" w14:textId="77777777" w:rsidR="00D708EC" w:rsidRDefault="00000000">
            <w:pPr>
              <w:rPr>
                <w:rFonts w:hint="eastAsia"/>
              </w:rPr>
            </w:pPr>
            <w:r>
              <w:rPr>
                <w:sz w:val="19"/>
              </w:rPr>
              <w:t>Financial messaging and banking channels; standing OFAC general licenses for trade finance; second oil waivers</w:t>
            </w:r>
          </w:p>
        </w:tc>
        <w:tc>
          <w:tcPr>
            <w:tcW w:w="0" w:type="auto"/>
            <w:shd w:val="clear" w:color="auto" w:fill="ECEFF1"/>
          </w:tcPr>
          <w:p w14:paraId="7A8F6AAC" w14:textId="77777777" w:rsidR="00D708EC" w:rsidRDefault="00000000">
            <w:pPr>
              <w:rPr>
                <w:rFonts w:hint="eastAsia"/>
              </w:rPr>
            </w:pPr>
            <w:r>
              <w:rPr>
                <w:sz w:val="19"/>
              </w:rPr>
              <w:t>Verified completion of 60-percent stockpile down-blending start; corridor certifications under way</w:t>
            </w:r>
          </w:p>
        </w:tc>
        <w:tc>
          <w:tcPr>
            <w:tcW w:w="0" w:type="auto"/>
            <w:shd w:val="clear" w:color="auto" w:fill="ECEFF1"/>
          </w:tcPr>
          <w:p w14:paraId="6AFC5460" w14:textId="77777777" w:rsidR="00D708EC" w:rsidRDefault="00000000">
            <w:pPr>
              <w:rPr>
                <w:rFonts w:hint="eastAsia"/>
              </w:rPr>
            </w:pPr>
            <w:r>
              <w:rPr>
                <w:sz w:val="19"/>
              </w:rPr>
              <w:t>Day 15</w:t>
            </w:r>
          </w:p>
        </w:tc>
      </w:tr>
      <w:tr w:rsidR="00D708EC" w14:paraId="5E340DE5" w14:textId="77777777">
        <w:tc>
          <w:tcPr>
            <w:tcW w:w="0" w:type="auto"/>
          </w:tcPr>
          <w:p w14:paraId="75CEF5F3" w14:textId="77777777" w:rsidR="00D708EC" w:rsidRDefault="00000000">
            <w:pPr>
              <w:rPr>
                <w:rFonts w:hint="eastAsia"/>
              </w:rPr>
            </w:pPr>
            <w:r>
              <w:rPr>
                <w:sz w:val="19"/>
              </w:rPr>
              <w:t>T-3</w:t>
            </w:r>
          </w:p>
        </w:tc>
        <w:tc>
          <w:tcPr>
            <w:tcW w:w="0" w:type="auto"/>
          </w:tcPr>
          <w:p w14:paraId="1FBE5082" w14:textId="77777777" w:rsidR="00D708EC" w:rsidRDefault="00000000">
            <w:pPr>
              <w:rPr>
                <w:rFonts w:hint="eastAsia"/>
              </w:rPr>
            </w:pPr>
            <w:r>
              <w:rPr>
                <w:sz w:val="19"/>
              </w:rPr>
              <w:t>Termination of nuclear-related secondary sanctions; petroleum and petrochemical export normalization; shipping and insurance sanctions</w:t>
            </w:r>
          </w:p>
        </w:tc>
        <w:tc>
          <w:tcPr>
            <w:tcW w:w="0" w:type="auto"/>
          </w:tcPr>
          <w:p w14:paraId="63234DFC" w14:textId="77777777" w:rsidR="00D708EC" w:rsidRDefault="00000000">
            <w:pPr>
              <w:rPr>
                <w:rFonts w:hint="eastAsia"/>
              </w:rPr>
            </w:pPr>
            <w:r>
              <w:rPr>
                <w:sz w:val="19"/>
              </w:rPr>
              <w:t>Verified completion of down-blending (Article 18.2); Corridor One certification</w:t>
            </w:r>
          </w:p>
        </w:tc>
        <w:tc>
          <w:tcPr>
            <w:tcW w:w="0" w:type="auto"/>
          </w:tcPr>
          <w:p w14:paraId="5C73B6AE" w14:textId="77777777" w:rsidR="00D708EC" w:rsidRDefault="00000000">
            <w:pPr>
              <w:rPr>
                <w:rFonts w:hint="eastAsia"/>
              </w:rPr>
            </w:pPr>
            <w:r>
              <w:rPr>
                <w:sz w:val="19"/>
              </w:rPr>
              <w:t>Day 30 to Day 45</w:t>
            </w:r>
          </w:p>
        </w:tc>
      </w:tr>
      <w:tr w:rsidR="00D708EC" w14:paraId="5AABAA7C" w14:textId="77777777">
        <w:tc>
          <w:tcPr>
            <w:tcW w:w="0" w:type="auto"/>
            <w:shd w:val="clear" w:color="auto" w:fill="ECEFF1"/>
          </w:tcPr>
          <w:p w14:paraId="0E05FE7C" w14:textId="77777777" w:rsidR="00D708EC" w:rsidRDefault="00000000">
            <w:pPr>
              <w:rPr>
                <w:rFonts w:hint="eastAsia"/>
              </w:rPr>
            </w:pPr>
            <w:r>
              <w:rPr>
                <w:sz w:val="19"/>
              </w:rPr>
              <w:t>T-4</w:t>
            </w:r>
          </w:p>
        </w:tc>
        <w:tc>
          <w:tcPr>
            <w:tcW w:w="0" w:type="auto"/>
            <w:shd w:val="clear" w:color="auto" w:fill="ECEFF1"/>
          </w:tcPr>
          <w:p w14:paraId="17008AEE" w14:textId="77777777" w:rsidR="00D708EC" w:rsidRDefault="00000000">
            <w:pPr>
              <w:rPr>
                <w:rFonts w:hint="eastAsia"/>
              </w:rPr>
            </w:pPr>
            <w:r>
              <w:rPr>
                <w:sz w:val="19"/>
              </w:rPr>
              <w:t>Termination of remaining primary sanctions within executive authority; UNSC and IAEA Board actions of Annex C</w:t>
            </w:r>
          </w:p>
        </w:tc>
        <w:tc>
          <w:tcPr>
            <w:tcW w:w="0" w:type="auto"/>
            <w:shd w:val="clear" w:color="auto" w:fill="ECEFF1"/>
          </w:tcPr>
          <w:p w14:paraId="0ADE8290" w14:textId="77777777" w:rsidR="00D708EC" w:rsidRDefault="00000000">
            <w:pPr>
              <w:rPr>
                <w:rFonts w:hint="eastAsia"/>
              </w:rPr>
            </w:pPr>
            <w:r>
              <w:rPr>
                <w:sz w:val="19"/>
              </w:rPr>
              <w:t>First clean quarterly certification of Annex B</w:t>
            </w:r>
          </w:p>
        </w:tc>
        <w:tc>
          <w:tcPr>
            <w:tcW w:w="0" w:type="auto"/>
            <w:shd w:val="clear" w:color="auto" w:fill="ECEFF1"/>
          </w:tcPr>
          <w:p w14:paraId="15438756" w14:textId="77777777" w:rsidR="00D708EC" w:rsidRDefault="00000000">
            <w:pPr>
              <w:rPr>
                <w:rFonts w:hint="eastAsia"/>
              </w:rPr>
            </w:pPr>
            <w:r>
              <w:rPr>
                <w:sz w:val="19"/>
              </w:rPr>
              <w:t>Day 90</w:t>
            </w:r>
          </w:p>
        </w:tc>
      </w:tr>
      <w:tr w:rsidR="00D708EC" w14:paraId="12D06068" w14:textId="77777777">
        <w:tc>
          <w:tcPr>
            <w:tcW w:w="0" w:type="auto"/>
          </w:tcPr>
          <w:p w14:paraId="06B83263" w14:textId="77777777" w:rsidR="00D708EC" w:rsidRDefault="00000000">
            <w:pPr>
              <w:rPr>
                <w:rFonts w:hint="eastAsia"/>
              </w:rPr>
            </w:pPr>
            <w:r>
              <w:rPr>
                <w:sz w:val="19"/>
              </w:rPr>
              <w:t>T-5</w:t>
            </w:r>
          </w:p>
        </w:tc>
        <w:tc>
          <w:tcPr>
            <w:tcW w:w="0" w:type="auto"/>
          </w:tcPr>
          <w:p w14:paraId="6371C38C" w14:textId="77777777" w:rsidR="00D708EC" w:rsidRDefault="00000000">
            <w:pPr>
              <w:rPr>
                <w:rFonts w:hint="eastAsia"/>
              </w:rPr>
            </w:pPr>
            <w:r>
              <w:rPr>
                <w:sz w:val="19"/>
              </w:rPr>
              <w:t>Residual statutory architecture: congressional track of Article 34 completes or converts</w:t>
            </w:r>
          </w:p>
        </w:tc>
        <w:tc>
          <w:tcPr>
            <w:tcW w:w="0" w:type="auto"/>
          </w:tcPr>
          <w:p w14:paraId="1E67CBEC" w14:textId="77777777" w:rsidR="00D708EC" w:rsidRDefault="00000000">
            <w:pPr>
              <w:rPr>
                <w:rFonts w:hint="eastAsia"/>
              </w:rPr>
            </w:pPr>
            <w:r>
              <w:rPr>
                <w:sz w:val="19"/>
              </w:rPr>
              <w:t>12-month mark</w:t>
            </w:r>
          </w:p>
        </w:tc>
        <w:tc>
          <w:tcPr>
            <w:tcW w:w="0" w:type="auto"/>
          </w:tcPr>
          <w:p w14:paraId="0F06CC18" w14:textId="77777777" w:rsidR="00D708EC" w:rsidRDefault="00000000">
            <w:pPr>
              <w:rPr>
                <w:rFonts w:hint="eastAsia"/>
              </w:rPr>
            </w:pPr>
            <w:r>
              <w:rPr>
                <w:sz w:val="19"/>
              </w:rPr>
              <w:t>Day 365</w:t>
            </w:r>
          </w:p>
        </w:tc>
      </w:tr>
    </w:tbl>
    <w:p w14:paraId="5F0F2549" w14:textId="77777777" w:rsidR="00D708EC" w:rsidRDefault="00000000">
      <w:pPr>
        <w:rPr>
          <w:rFonts w:hint="eastAsia"/>
        </w:rPr>
      </w:pPr>
      <w:r>
        <w:t>33.3 The oil normalization. United States Treasury waivers for the export of Iranian crude oil, petroleum products, and petrochemicals, and for associated banking, insurance, and transportation services, issue immediately upon the T-1 trigger and convert into permanent general licenses at T-3. Iranian petroleum re-enters the market as an ordinary commodity.</w:t>
      </w:r>
    </w:p>
    <w:p w14:paraId="63164180" w14:textId="77777777" w:rsidR="00D708EC" w:rsidRDefault="00000000">
      <w:pPr>
        <w:rPr>
          <w:rFonts w:hint="eastAsia"/>
        </w:rPr>
      </w:pPr>
      <w:r>
        <w:t>33.4 The framework architecture excludes the imposition of new sanctions upon Iran for the matters this Treaty settles. Measures addressing conduct outside the scope of this Treaty follow the notification and consultation protocol of Article 70 before adoption, and the Perimeter Test applies.</w:t>
      </w:r>
    </w:p>
    <w:p w14:paraId="67DBBF7D" w14:textId="77777777" w:rsidR="00D708EC" w:rsidRDefault="00000000">
      <w:pPr>
        <w:pStyle w:val="Heading2"/>
        <w:rPr>
          <w:rFonts w:hint="eastAsia"/>
        </w:rPr>
      </w:pPr>
      <w:bookmarkStart w:id="58" w:name="_Toc237663572"/>
      <w:r>
        <w:lastRenderedPageBreak/>
        <w:t>Article 34: The Congressional Track: Best Efforts with a Sunset</w:t>
      </w:r>
      <w:bookmarkEnd w:id="58"/>
    </w:p>
    <w:p w14:paraId="744DFF24" w14:textId="77777777" w:rsidR="00D708EC" w:rsidRDefault="00000000">
      <w:pPr>
        <w:rPr>
          <w:rFonts w:hint="eastAsia"/>
        </w:rPr>
      </w:pPr>
      <w:r>
        <w:t>34.1 The United States executive branch actively seeks, through a sustained legislative program, the repeal or permanent statutory termination of congressionally mandated sanctions within the scope of Annex C. This commitment binds the executive to a genuine, documented effort: transmission of the legislative package within 60 days, designation of administration witnesses, and inclusion in the President's legislative priorities.</w:t>
      </w:r>
    </w:p>
    <w:p w14:paraId="6F41F505" w14:textId="77777777" w:rsidR="00D708EC" w:rsidRDefault="00000000">
      <w:pPr>
        <w:rPr>
          <w:rFonts w:hint="eastAsia"/>
        </w:rPr>
      </w:pPr>
      <w:r>
        <w:t>34.2 The sunset conversion. Where the Congress fails to act on a listed statute within 12 months of Day Zero, the termination obligation of this Treaty converts, automatically and without further act, into a permanent, non-revocable executive waiver of that statute's secondary application for all activity consistent with this Treaty. The waiver architecture delivers the commercial certainty that international business needs: the letter of the statute survives for the domestic record, and the practice of the sanction terminates for the world.</w:t>
      </w:r>
    </w:p>
    <w:p w14:paraId="5061C537" w14:textId="77777777" w:rsidR="00D708EC" w:rsidRDefault="00000000">
      <w:pPr>
        <w:rPr>
          <w:rFonts w:hint="eastAsia"/>
        </w:rPr>
      </w:pPr>
      <w:r>
        <w:t>34.3 The executive reports to the JIC every 90 days on the congressional track, and the report publishes on the dashboard. Failure of the congressional track never constitutes a breach of this Treaty where the sunset conversion of 34.2 operates; failure to issue or maintain the conversion waiver constitutes a Tier 2 event on the financial module.</w:t>
      </w:r>
    </w:p>
    <w:p w14:paraId="51D7A752" w14:textId="77777777" w:rsidR="00D708EC" w:rsidRDefault="00000000">
      <w:pPr>
        <w:pStyle w:val="Heading2"/>
        <w:rPr>
          <w:rFonts w:hint="eastAsia"/>
        </w:rPr>
      </w:pPr>
      <w:bookmarkStart w:id="59" w:name="_Toc237663573"/>
      <w:r>
        <w:t>Article 35: United Nations and Agency Actions</w:t>
      </w:r>
      <w:bookmarkEnd w:id="59"/>
    </w:p>
    <w:p w14:paraId="593AD48C" w14:textId="77777777" w:rsidR="00D708EC" w:rsidRDefault="00000000">
      <w:pPr>
        <w:rPr>
          <w:rFonts w:hint="eastAsia"/>
        </w:rPr>
      </w:pPr>
      <w:r>
        <w:t>35.1 The United Nations Security Council resolution of Layer Four terminates the prior sanctions resolutions within the scope of Annex C and endorses this Treaty in the same instrument.</w:t>
      </w:r>
    </w:p>
    <w:p w14:paraId="40F8DDF2" w14:textId="77777777" w:rsidR="00D708EC" w:rsidRDefault="00000000">
      <w:pPr>
        <w:rPr>
          <w:rFonts w:hint="eastAsia"/>
        </w:rPr>
      </w:pPr>
      <w:r>
        <w:t>35.2 The IAEA Board of Governors, upon the Director General's report of the verified completion of Articles 18 and 20.3, closes the outstanding safeguards file and terminates the prior non-compliance resolution, replacing them with the standing verification mandate of Annex B.</w:t>
      </w:r>
    </w:p>
    <w:p w14:paraId="266753A6" w14:textId="77777777" w:rsidR="00D708EC" w:rsidRDefault="00D708EC">
      <w:pPr>
        <w:pageBreakBefore/>
        <w:rPr>
          <w:rFonts w:hint="eastAsia"/>
        </w:rPr>
      </w:pPr>
    </w:p>
    <w:p w14:paraId="6500CCC3" w14:textId="77777777" w:rsidR="00D708EC" w:rsidRDefault="00000000">
      <w:pPr>
        <w:pStyle w:val="Heading1"/>
        <w:rPr>
          <w:rFonts w:hint="eastAsia"/>
        </w:rPr>
      </w:pPr>
      <w:bookmarkStart w:id="60" w:name="_Toc237663574"/>
      <w:r>
        <w:t>PART IX: FROZEN ASSETS AND FINANCIAL NORMALIZATION</w:t>
      </w:r>
      <w:bookmarkEnd w:id="60"/>
    </w:p>
    <w:p w14:paraId="6ABC3D4A" w14:textId="77777777" w:rsidR="00D708EC" w:rsidRDefault="00000000">
      <w:pPr>
        <w:pStyle w:val="Heading2"/>
        <w:rPr>
          <w:rFonts w:hint="eastAsia"/>
        </w:rPr>
      </w:pPr>
      <w:bookmarkStart w:id="61" w:name="_Toc237663575"/>
      <w:r>
        <w:t>Article 36: The Release Architecture</w:t>
      </w:r>
      <w:bookmarkEnd w:id="61"/>
    </w:p>
    <w:p w14:paraId="528821AA" w14:textId="77777777" w:rsidR="00D708EC" w:rsidRDefault="00000000">
      <w:pPr>
        <w:rPr>
          <w:rFonts w:hint="eastAsia"/>
        </w:rPr>
      </w:pPr>
      <w:r>
        <w:t>36.1 All frozen Iranian assets release in full. The release operates through the Neutral Escrow administered by the Qatar Central Bank, in the tranches of Annex C, each tranche paired with a verified milestone in the Reciprocity Ledger. The first tranche of 12 billion dollars, released under the Memorandum, stands confirmed as delivered and enters the Ledger as the opening entry.</w:t>
      </w:r>
    </w:p>
    <w:p w14:paraId="4B80522C" w14:textId="77777777" w:rsidR="00D708EC" w:rsidRDefault="00000000">
      <w:pPr>
        <w:rPr>
          <w:rFonts w:hint="eastAsia"/>
        </w:rPr>
      </w:pPr>
      <w:r>
        <w:t>36.2 Pools. The Escrow maintains Pool A (sovereign assets of the Central Bank of Iran), Pool B (commercial and trade-credit assets), and Pool C (the frozen asset conversion window of Annex RDF, under which holdings in third countries convert directly into reconstruction contracts with contractors of the holding nation). The conversion window targets 6 to 10 billion dollars of immediately deployable reconstruction capital.</w:t>
      </w:r>
    </w:p>
    <w:p w14:paraId="14DD2C8A" w14:textId="77777777" w:rsidR="00D708EC" w:rsidRDefault="00000000">
      <w:pPr>
        <w:rPr>
          <w:rFonts w:hint="eastAsia"/>
        </w:rPr>
      </w:pPr>
      <w:r>
        <w:t>36.3 No-clawback. Assets and funds released under this Treaty are irrevocable. The framework architecture excludes clawback, re-freezing, or rescission of released funds under any circumstances, including dispute, suspension, or termination of any module. This absolute rule gives the release real economic meaning.</w:t>
      </w:r>
    </w:p>
    <w:p w14:paraId="040279B6" w14:textId="77777777" w:rsidR="00D708EC" w:rsidRDefault="00000000">
      <w:pPr>
        <w:rPr>
          <w:rFonts w:hint="eastAsia"/>
        </w:rPr>
      </w:pPr>
      <w:r>
        <w:t>36.4 Priority consideration, never direction. Within Pool A, the release window opens with a priority-consideration track for purchases of United States agricultural products: Iranian buyers receive streamlined licensing for agricultural purchases from United States suppliers during the first 12 months. This track creates opportunity, not obligation. Consistent with Article 8 of Annex RDF, Iran holds no obligation to purchase from any particular country, holds full sovereign authority over procurement, and the affirmation of the Governor of the Central Bank of Iran on this point stands incorporated as a binding interpretive understanding. The track delivers American farmers a fair first look, and delivers Iran the absolute preservation of sovereign purchasing.</w:t>
      </w:r>
    </w:p>
    <w:p w14:paraId="6E03EAD8" w14:textId="77777777" w:rsidR="00D708EC" w:rsidRDefault="00000000">
      <w:pPr>
        <w:rPr>
          <w:rFonts w:hint="eastAsia"/>
        </w:rPr>
      </w:pPr>
      <w:r>
        <w:t>36.5 Financial normalization. Iranian banks reconnect to international financial messaging under the T-2 licenses; correspondent relationships receive the comfort letters of Annex C; and the United States issues the general licenses that permit ordinary trade finance, insurance, and shipping services for Iran.</w:t>
      </w:r>
    </w:p>
    <w:p w14:paraId="2755555C" w14:textId="77777777" w:rsidR="00D708EC" w:rsidRDefault="00D708EC">
      <w:pPr>
        <w:pageBreakBefore/>
        <w:rPr>
          <w:rFonts w:hint="eastAsia"/>
        </w:rPr>
      </w:pPr>
    </w:p>
    <w:p w14:paraId="0FB86BB0" w14:textId="77777777" w:rsidR="00D708EC" w:rsidRDefault="00000000">
      <w:pPr>
        <w:pStyle w:val="Heading1"/>
        <w:rPr>
          <w:rFonts w:hint="eastAsia"/>
        </w:rPr>
      </w:pPr>
      <w:bookmarkStart w:id="62" w:name="_Toc237663576"/>
      <w:r>
        <w:t>PART X: RECONSTRUCTION AND DEVELOPMENT</w:t>
      </w:r>
      <w:bookmarkEnd w:id="62"/>
    </w:p>
    <w:p w14:paraId="3107FA6F" w14:textId="77777777" w:rsidR="00D708EC" w:rsidRDefault="00000000">
      <w:pPr>
        <w:pStyle w:val="Heading2"/>
        <w:rPr>
          <w:rFonts w:hint="eastAsia"/>
        </w:rPr>
      </w:pPr>
      <w:bookmarkStart w:id="63" w:name="_Toc237663577"/>
      <w:r>
        <w:t>Article 37: Incorporation of the Reconstruction and Development Fund Protocol</w:t>
      </w:r>
      <w:bookmarkEnd w:id="63"/>
    </w:p>
    <w:p w14:paraId="1A1F3058" w14:textId="77777777" w:rsidR="00D708EC" w:rsidRDefault="00000000">
      <w:pPr>
        <w:rPr>
          <w:rFonts w:hint="eastAsia"/>
        </w:rPr>
      </w:pPr>
      <w:r>
        <w:t>37.1 This Treaty incorporates Annex RDF, the Reconstruction and Development Fund Protocol, in full, as operative law of this Accord. The Multilateral Reconstruction Fund (MRF), its Sub-Funds, its governance, its escrow architecture, its procurement protections, and its appendices bind as integral parts of this Treaty.</w:t>
      </w:r>
    </w:p>
    <w:p w14:paraId="398E6667" w14:textId="77777777" w:rsidR="00D708EC" w:rsidRDefault="00000000">
      <w:pPr>
        <w:rPr>
          <w:rFonts w:hint="eastAsia"/>
        </w:rPr>
      </w:pPr>
      <w:r>
        <w:t>37.2 The headline settlement. The reconstruction architecture targets the scale the Memorandum contemplates: at least 300 billion dollars in international financing for the reconstruction and economic development of Iran, assembled through the MRF Sub-Funds (270 billion dollar ten-year capitalization target), the frozen asset conversion window, the bilateral programs, the SDR channeling window, the carbon pre-financing facility, and the supplementary sources the RDF appendices catalog.</w:t>
      </w:r>
    </w:p>
    <w:p w14:paraId="26FB4D5E" w14:textId="77777777" w:rsidR="00D708EC" w:rsidRDefault="00000000">
      <w:pPr>
        <w:rPr>
          <w:rFonts w:hint="eastAsia"/>
        </w:rPr>
      </w:pPr>
      <w:r>
        <w:t>37.3 The political settlement of reconstruction finance. The framework architecture excludes direct United States government cash transfers to Iran (Washington constraint, Article 5). The United States participates through technical assistance, capacity building, regulatory facilitation through the OFAC general licenses and the sanctions firewall, diplomatic encouragement of third-party contributions, and the private-sector Safe Harbor and In-Kind Contribution Window of Annex RDF. Iran retains sovereign authority over project selection and procurement, and no contributor imposes projects. Gulf sovereign funds anchor the architecture; the World Bank verifies; the Qatar Central Bank administers the escrow.</w:t>
      </w:r>
    </w:p>
    <w:p w14:paraId="11D3E1B9" w14:textId="77777777" w:rsidR="00D708EC" w:rsidRDefault="00000000">
      <w:pPr>
        <w:rPr>
          <w:rFonts w:hint="eastAsia"/>
        </w:rPr>
      </w:pPr>
      <w:r>
        <w:t>37.4 The Hormuz Development Facility. Within the MRF-Transport and MRF-Energy Sub-Funds, a dedicated window prioritizes the coastal provinces, ports, and maritime infrastructure of the Hormuz littoral, pairing the fees settlement of Article 31 with tangible regional development.</w:t>
      </w:r>
    </w:p>
    <w:p w14:paraId="08873021" w14:textId="77777777" w:rsidR="00D708EC" w:rsidRDefault="00000000">
      <w:pPr>
        <w:rPr>
          <w:rFonts w:hint="eastAsia"/>
        </w:rPr>
      </w:pPr>
      <w:r>
        <w:t>37.5 Performance-based disbursement and no-clawback operate per Articles 4 and 5 of Annex RDF. The quarterly site-visit audit, the whistleblower mechanism, the political risk insurance pool, the hard-currency facility, the contingency reserves, and the contractor performance bond regime of Annex RDF each apply as written.</w:t>
      </w:r>
    </w:p>
    <w:p w14:paraId="454E2520" w14:textId="77777777" w:rsidR="00D708EC" w:rsidRDefault="00000000">
      <w:pPr>
        <w:rPr>
          <w:rFonts w:hint="eastAsia"/>
        </w:rPr>
      </w:pPr>
      <w:r>
        <w:t>37.6 The United Nations coordination. The MRF coordinates with UNMAS for pre-reconstruction clearance of unexploded ordnance and with the UN Peacebuilding Fund for stabilization programming, per Article 6.3 of Annex RDF.</w:t>
      </w:r>
    </w:p>
    <w:p w14:paraId="61F30CDF" w14:textId="77777777" w:rsidR="00D708EC" w:rsidRDefault="00000000">
      <w:pPr>
        <w:pStyle w:val="Heading2"/>
        <w:rPr>
          <w:rFonts w:hint="eastAsia"/>
        </w:rPr>
      </w:pPr>
      <w:bookmarkStart w:id="64" w:name="_Toc237663578"/>
      <w:r>
        <w:lastRenderedPageBreak/>
        <w:t>Article 38: Relationship to Other Economic Instruments</w:t>
      </w:r>
      <w:bookmarkEnd w:id="64"/>
    </w:p>
    <w:p w14:paraId="4441B575" w14:textId="77777777" w:rsidR="00D708EC" w:rsidRDefault="00000000">
      <w:pPr>
        <w:rPr>
          <w:rFonts w:hint="eastAsia"/>
        </w:rPr>
      </w:pPr>
      <w:r>
        <w:t>38.1 The MRF firewalls from every other module: a breach on the Lebanon module, the nuclear module, or the maritime module never suspends humanitarian tranches, and suspends reconstruction disbursements only upon certification under the Consensus Minus One rule that the breach directly and materially undermines the reconstruction module.</w:t>
      </w:r>
    </w:p>
    <w:p w14:paraId="27DB194E" w14:textId="77777777" w:rsidR="00D708EC" w:rsidRDefault="00000000">
      <w:pPr>
        <w:rPr>
          <w:rFonts w:hint="eastAsia"/>
        </w:rPr>
      </w:pPr>
      <w:r>
        <w:t>38.2 Force majeure events, including any reimposition of sanctions overriding the OFAC firewall, activate the Fallback Protocol of Appendix F of Annex RDF: disbursed funds stand protected absolutely; undisbursed funds remain in trust at the Qatar Central Bank, earning interest, protected from attachment, pending resolution or reactivation.</w:t>
      </w:r>
    </w:p>
    <w:p w14:paraId="1B6689F9" w14:textId="77777777" w:rsidR="00D708EC" w:rsidRDefault="00D708EC">
      <w:pPr>
        <w:pageBreakBefore/>
        <w:rPr>
          <w:rFonts w:hint="eastAsia"/>
        </w:rPr>
      </w:pPr>
    </w:p>
    <w:p w14:paraId="47C7D79E" w14:textId="77777777" w:rsidR="00D708EC" w:rsidRDefault="00000000">
      <w:pPr>
        <w:pStyle w:val="Heading1"/>
        <w:rPr>
          <w:rFonts w:hint="eastAsia"/>
        </w:rPr>
      </w:pPr>
      <w:bookmarkStart w:id="65" w:name="_Toc237663579"/>
      <w:r>
        <w:t>PART XI: THE REGIONAL DE-ESCALATION PACT</w:t>
      </w:r>
      <w:bookmarkEnd w:id="65"/>
    </w:p>
    <w:p w14:paraId="58A7B126" w14:textId="77777777" w:rsidR="00D708EC" w:rsidRDefault="00000000">
      <w:pPr>
        <w:pStyle w:val="Heading2"/>
        <w:rPr>
          <w:rFonts w:hint="eastAsia"/>
        </w:rPr>
      </w:pPr>
      <w:bookmarkStart w:id="66" w:name="_Toc237663580"/>
      <w:r>
        <w:t>Article 39: The Fronts Settlement</w:t>
      </w:r>
      <w:bookmarkEnd w:id="66"/>
    </w:p>
    <w:p w14:paraId="3443D619" w14:textId="77777777" w:rsidR="00D708EC" w:rsidRDefault="00000000">
      <w:pPr>
        <w:rPr>
          <w:rFonts w:hint="eastAsia"/>
        </w:rPr>
      </w:pPr>
      <w:r>
        <w:t>39.1 Scope. This Part settles the fronts the war engaged: Lebanon, Yemen, Iraq, and Syria. Each front settles through the same architecture: codified cessation, guarantor leverage, and conversion of support relationships into state-to-state and political channels.</w:t>
      </w:r>
    </w:p>
    <w:p w14:paraId="29794803" w14:textId="77777777" w:rsidR="00D708EC" w:rsidRDefault="00000000">
      <w:pPr>
        <w:rPr>
          <w:rFonts w:hint="eastAsia"/>
        </w:rPr>
      </w:pPr>
      <w:r>
        <w:t>39.2 Lebanon. Article 13 operates as the Lebanon instrument: the United States guarantee of full diplomatic and security leverage for the cessation of strikes, paired with the Iranian codification regarding southern Lebanon under Resolution 1701. The Guarantor Matrix reviews the Lebanon module every 90 days during the first year.</w:t>
      </w:r>
    </w:p>
    <w:p w14:paraId="2CCC6725" w14:textId="77777777" w:rsidR="00D708EC" w:rsidRDefault="00000000">
      <w:pPr>
        <w:rPr>
          <w:rFonts w:hint="eastAsia"/>
        </w:rPr>
      </w:pPr>
      <w:r>
        <w:t>39.3 Yemen. The Parties codify support for the United Nations-led Yemen process, the cessation of external military supply to the parties of the Yemen conflict by the Principal Parties, and the maritime security arrangements for the Bab el-Mandeb that Annex A references as the Southern Approaches Protocol.</w:t>
      </w:r>
    </w:p>
    <w:p w14:paraId="389DB7EE" w14:textId="77777777" w:rsidR="00D708EC" w:rsidRDefault="00000000">
      <w:pPr>
        <w:rPr>
          <w:rFonts w:hint="eastAsia"/>
        </w:rPr>
      </w:pPr>
      <w:r>
        <w:t>39.4 Iraq and Syria. The Parties codify respect for the sovereignty and territorial integrity of Iraq and Syria, the cessation of operations against the forces of the other Party on those territories, and the conversion of remaining presence questions into bilateral state-to-state tracks with those governments.</w:t>
      </w:r>
    </w:p>
    <w:p w14:paraId="15A5F5DD" w14:textId="77777777" w:rsidR="00D708EC" w:rsidRDefault="00000000">
      <w:pPr>
        <w:rPr>
          <w:rFonts w:hint="eastAsia"/>
        </w:rPr>
      </w:pPr>
      <w:r>
        <w:t>39.5 The proxy paradigm resolution. The framework architecture records the strategic shift of the region from proxy confrontation to institutional de-escalation. Iran channels its regional relationships into diplomatic, economic, and political support within international law; the United States codifies the termination of the forward military campaign architecture of 2026; and both record the shift as the mutual architecture of the settlement, not as the unilateral abandonment of any relationship by either.</w:t>
      </w:r>
    </w:p>
    <w:p w14:paraId="1AD5CEF1" w14:textId="77777777" w:rsidR="00D708EC" w:rsidRDefault="00000000">
      <w:pPr>
        <w:pStyle w:val="Heading2"/>
        <w:rPr>
          <w:rFonts w:hint="eastAsia"/>
        </w:rPr>
      </w:pPr>
      <w:bookmarkStart w:id="67" w:name="_Toc237663581"/>
      <w:r>
        <w:t>Article 39A: The Pilot Security Zones</w:t>
      </w:r>
      <w:bookmarkEnd w:id="67"/>
    </w:p>
    <w:p w14:paraId="1770BB1C" w14:textId="77777777" w:rsidR="00D708EC" w:rsidRDefault="00000000">
      <w:pPr>
        <w:rPr>
          <w:rFonts w:hint="eastAsia"/>
        </w:rPr>
      </w:pPr>
      <w:r>
        <w:t>39A.1 The Lebanon module operationalizes through Pilot Security Zones: geographically defined areas south of the Litani River in which the Lebanese Armed Forces assume verified security control, consistent with Lebanese state sovereignty and the implementation of Resolution 1701. The zones activate in sequence, each activation certified by the Lebanon-Specific Verification Team of the JMC through observable outcomes on the ground, measured by telemetry and neutral observers.</w:t>
      </w:r>
    </w:p>
    <w:p w14:paraId="5AC6E68E" w14:textId="77777777" w:rsidR="00D708EC" w:rsidRDefault="00000000">
      <w:pPr>
        <w:rPr>
          <w:rFonts w:hint="eastAsia"/>
        </w:rPr>
      </w:pPr>
      <w:r>
        <w:t>39A.2 The framework architecture conditions no Iranian obligation upon guaranteeing the conduct of any non-state actor. Verification measures outcomes, not promises; attribution runs through the forensic protocol of Article 54.5, never through assumption.</w:t>
      </w:r>
    </w:p>
    <w:p w14:paraId="1B87B712" w14:textId="77777777" w:rsidR="00D708EC" w:rsidRDefault="00000000">
      <w:pPr>
        <w:pStyle w:val="Heading2"/>
        <w:rPr>
          <w:rFonts w:hint="eastAsia"/>
        </w:rPr>
      </w:pPr>
      <w:bookmarkStart w:id="68" w:name="_Toc237663582"/>
      <w:r>
        <w:lastRenderedPageBreak/>
        <w:t>Article 39B: The Compliance Credits</w:t>
      </w:r>
      <w:bookmarkEnd w:id="68"/>
    </w:p>
    <w:p w14:paraId="4086ED14" w14:textId="77777777" w:rsidR="00D708EC" w:rsidRDefault="00000000">
      <w:pPr>
        <w:rPr>
          <w:rFonts w:hint="eastAsia"/>
        </w:rPr>
      </w:pPr>
      <w:r>
        <w:t>39B.1 For every 30 consecutive days in which a regional front remains free of any dashboard-verified, sustained, attributed, offensive resumption, the JIC registers a Compliance Credit to the account of the relevant Party.</w:t>
      </w:r>
    </w:p>
    <w:p w14:paraId="1341F34E" w14:textId="77777777" w:rsidR="00D708EC" w:rsidRDefault="00000000">
      <w:pPr>
        <w:rPr>
          <w:rFonts w:hint="eastAsia"/>
        </w:rPr>
      </w:pPr>
      <w:r>
        <w:t>39B.2 A Party applies banked Compliance Credits, at its discretion, to: extend any verification window for a nuclear milestone by up to 5 days without penalty; reduce an earn-back monitoring period by up to 10 percent; or accelerate a scheduled asset release within the Annex C calendar by up to 15 days. Credits create a positive incentive for stability: calm accumulates value.</w:t>
      </w:r>
    </w:p>
    <w:p w14:paraId="641FC569" w14:textId="77777777" w:rsidR="00D708EC" w:rsidRDefault="00000000">
      <w:pPr>
        <w:pStyle w:val="Heading2"/>
        <w:rPr>
          <w:rFonts w:hint="eastAsia"/>
        </w:rPr>
      </w:pPr>
      <w:bookmarkStart w:id="69" w:name="_Toc237663583"/>
      <w:r>
        <w:t>Article 39C: The De-escalation Channel</w:t>
      </w:r>
      <w:bookmarkEnd w:id="69"/>
    </w:p>
    <w:p w14:paraId="31E53153" w14:textId="77777777" w:rsidR="00D708EC" w:rsidRDefault="00000000">
      <w:pPr>
        <w:rPr>
          <w:rFonts w:hint="eastAsia"/>
        </w:rPr>
      </w:pPr>
      <w:r>
        <w:t>39C.1 The Sultanate of Oman hosts a standing, confidential De-escalation Channel available to the parties on the Lebanon front, including Israel and Hezbollah, for the prevention of incidents, the clarification of signals, and the management of crises. The channel operates under Omani secrecy rules; participation in the channel carries no recognition, no admission, and no prejudice.</w:t>
      </w:r>
    </w:p>
    <w:p w14:paraId="40A2115F" w14:textId="77777777" w:rsidR="00D708EC" w:rsidRDefault="00000000">
      <w:pPr>
        <w:rPr>
          <w:rFonts w:hint="eastAsia"/>
        </w:rPr>
      </w:pPr>
      <w:r>
        <w:t>39C.2 The channel connects to, but remains institutionally separate from, the Third-Party Guarantor Clause of Article 13: the guarantor obligations bind under this Treaty; the channel serves every party that uses it, signatory or not.</w:t>
      </w:r>
    </w:p>
    <w:p w14:paraId="248149A6" w14:textId="77777777" w:rsidR="00D708EC" w:rsidRDefault="00000000">
      <w:pPr>
        <w:pStyle w:val="Heading2"/>
        <w:rPr>
          <w:rFonts w:hint="eastAsia"/>
        </w:rPr>
      </w:pPr>
      <w:bookmarkStart w:id="70" w:name="_Toc237663584"/>
      <w:r>
        <w:t>Article 40: The Regional Charter Horizon</w:t>
      </w:r>
      <w:bookmarkEnd w:id="70"/>
    </w:p>
    <w:p w14:paraId="0EF31A82" w14:textId="77777777" w:rsidR="00D708EC" w:rsidRDefault="00000000">
      <w:pPr>
        <w:rPr>
          <w:rFonts w:hint="eastAsia"/>
        </w:rPr>
      </w:pPr>
      <w:r>
        <w:t>40.1 The Parties sponsor, within 12 months, a regional conference under Pakistani and Omani convening toward a Regional Multi-Lateral Charter codifying the security, maritime, and economic architecture of this Accord at the regional level, with the Gulf Cooperation Council, Iraq, and other regional states as principals.</w:t>
      </w:r>
    </w:p>
    <w:p w14:paraId="1F4C9F5B" w14:textId="77777777" w:rsidR="00D708EC" w:rsidRDefault="00000000">
      <w:pPr>
        <w:rPr>
          <w:rFonts w:hint="eastAsia"/>
        </w:rPr>
      </w:pPr>
      <w:r>
        <w:t>40.2 The Charter track operates as an independent module. Its pace never conditions the obligations of this Treaty, and its eventual adoption supplements, never replaces, this Accord.</w:t>
      </w:r>
    </w:p>
    <w:p w14:paraId="598A2D64" w14:textId="77777777" w:rsidR="00D708EC" w:rsidRDefault="00D708EC">
      <w:pPr>
        <w:pageBreakBefore/>
        <w:rPr>
          <w:rFonts w:hint="eastAsia"/>
        </w:rPr>
      </w:pPr>
    </w:p>
    <w:p w14:paraId="24FC2C2C" w14:textId="77777777" w:rsidR="00D708EC" w:rsidRDefault="00000000">
      <w:pPr>
        <w:pStyle w:val="Heading1"/>
        <w:rPr>
          <w:rFonts w:hint="eastAsia"/>
        </w:rPr>
      </w:pPr>
      <w:bookmarkStart w:id="71" w:name="_Toc237663585"/>
      <w:r>
        <w:t>PART XII: HUMANITARIAN PERMANENT PROVISIONS</w:t>
      </w:r>
      <w:bookmarkEnd w:id="71"/>
    </w:p>
    <w:p w14:paraId="79375B76" w14:textId="77777777" w:rsidR="00D708EC" w:rsidRDefault="00000000">
      <w:pPr>
        <w:pStyle w:val="Heading2"/>
        <w:rPr>
          <w:rFonts w:hint="eastAsia"/>
        </w:rPr>
      </w:pPr>
      <w:bookmarkStart w:id="72" w:name="_Toc237663586"/>
      <w:r>
        <w:t>Article 41: Seafarers, Vessels, and the Humanitarian Permanence</w:t>
      </w:r>
      <w:bookmarkEnd w:id="72"/>
    </w:p>
    <w:p w14:paraId="5BBCC902" w14:textId="77777777" w:rsidR="00D708EC" w:rsidRDefault="00000000">
      <w:pPr>
        <w:rPr>
          <w:rFonts w:hint="eastAsia"/>
        </w:rPr>
      </w:pPr>
      <w:r>
        <w:t>41.1 The stranded-crew emergency of 2026 closes permanently. The evacuation framework completed under the crisis instruments enters the record, and the Standing Rules of this Article guarantee: no detention of seafarers for transit; no prosecution of crews for lawful passage; consular access within 24 hours in any future contingency; and the absolute priority of humanitarian vessels in every corridor and every flow state.</w:t>
      </w:r>
    </w:p>
    <w:p w14:paraId="74783767" w14:textId="77777777" w:rsidR="00D708EC" w:rsidRDefault="00000000">
      <w:pPr>
        <w:rPr>
          <w:rFonts w:hint="eastAsia"/>
        </w:rPr>
      </w:pPr>
      <w:r>
        <w:t>41.2 Detained vessels and crews of the conflict period release under the schedule already established by the humanitarian instruments, and the JIC certifies completion. The Non-Prosecution Covenant of the crisis framework continues permanently.</w:t>
      </w:r>
    </w:p>
    <w:p w14:paraId="42F256EA" w14:textId="77777777" w:rsidR="00D708EC" w:rsidRDefault="00000000">
      <w:pPr>
        <w:rPr>
          <w:rFonts w:hint="eastAsia"/>
        </w:rPr>
      </w:pPr>
      <w:r>
        <w:t>41.3 The Humanitarian Bridge converts into a standing Humanitarian Lane: a permanently designated priority routing for vessels carrying food, medicine, medical equipment, and relief supplies, certified by the Authority and published in the Open Water Bulletin. Humanitarian protections remain absolute under every circumstance of this Accord, including dispute, suspension, step-back, and dormancy.</w:t>
      </w:r>
    </w:p>
    <w:p w14:paraId="65FD2972" w14:textId="77777777" w:rsidR="00D708EC" w:rsidRDefault="00000000">
      <w:pPr>
        <w:rPr>
          <w:rFonts w:hint="eastAsia"/>
        </w:rPr>
      </w:pPr>
      <w:r>
        <w:t>41.4 The framework architecture excludes, permanently and absolutely, the targeting of desalination plants, power plants serving civilian populations, hospitals, and civilian water infrastructure, by any Party, in any contingency. This exclusion survives every other provision of this Accord and stands outside the step-back engine entirely.</w:t>
      </w:r>
    </w:p>
    <w:p w14:paraId="3C2BDD78" w14:textId="77777777" w:rsidR="00D708EC" w:rsidRDefault="00D708EC">
      <w:pPr>
        <w:pageBreakBefore/>
        <w:rPr>
          <w:rFonts w:hint="eastAsia"/>
        </w:rPr>
      </w:pPr>
    </w:p>
    <w:p w14:paraId="79DC2360" w14:textId="77777777" w:rsidR="00D708EC" w:rsidRDefault="00000000">
      <w:pPr>
        <w:pStyle w:val="Heading1"/>
        <w:rPr>
          <w:rFonts w:hint="eastAsia"/>
        </w:rPr>
      </w:pPr>
      <w:bookmarkStart w:id="73" w:name="_Toc237663587"/>
      <w:r>
        <w:t>PART XIII: THE EXCLUDED FILES AND THE FIREWALL</w:t>
      </w:r>
      <w:bookmarkEnd w:id="73"/>
    </w:p>
    <w:p w14:paraId="0D461177" w14:textId="77777777" w:rsidR="00D708EC" w:rsidRDefault="00000000">
      <w:pPr>
        <w:pStyle w:val="Heading2"/>
        <w:rPr>
          <w:rFonts w:hint="eastAsia"/>
        </w:rPr>
      </w:pPr>
      <w:bookmarkStart w:id="74" w:name="_Toc237663588"/>
      <w:r>
        <w:t>Article 42: The Missile File and the Separate Track</w:t>
      </w:r>
      <w:bookmarkEnd w:id="74"/>
    </w:p>
    <w:p w14:paraId="5418B1CF" w14:textId="77777777" w:rsidR="00D708EC" w:rsidRDefault="00000000">
      <w:pPr>
        <w:rPr>
          <w:rFonts w:hint="eastAsia"/>
        </w:rPr>
      </w:pPr>
      <w:r>
        <w:t>42.1 The Iranian ballistic missile program stands outside this Treaty. The Parties acknowledge the file as a legitimate security concern of the United States and its partners, and acknowledge the Iranian position that its conventional deterrent stands outside negotiation under threat. The framework architecture resolves the impasse by firewall: the missile file proceeds, if at all, through a separate, voluntary, future track, and no provision of this Treaty conditions upon it.</w:t>
      </w:r>
    </w:p>
    <w:p w14:paraId="526A3926" w14:textId="77777777" w:rsidR="00D708EC" w:rsidRDefault="00000000">
      <w:pPr>
        <w:rPr>
          <w:rFonts w:hint="eastAsia"/>
        </w:rPr>
      </w:pPr>
      <w:r>
        <w:t>42.2 The firewall binds in both directions: progress or failure on the missile file never activates step-back within this Accord, and obligations of this Accord never leverage the missile file. The Guarantor Matrix notes the file annually on the record, without action.</w:t>
      </w:r>
    </w:p>
    <w:p w14:paraId="501F56AC" w14:textId="77777777" w:rsidR="00D708EC" w:rsidRDefault="00000000">
      <w:pPr>
        <w:pStyle w:val="Heading2"/>
        <w:rPr>
          <w:rFonts w:hint="eastAsia"/>
        </w:rPr>
      </w:pPr>
      <w:bookmarkStart w:id="75" w:name="_Toc237663589"/>
      <w:r>
        <w:t>Article 43: The Firewall General Clause</w:t>
      </w:r>
      <w:bookmarkEnd w:id="75"/>
    </w:p>
    <w:p w14:paraId="5D4CE597" w14:textId="77777777" w:rsidR="00D708EC" w:rsidRDefault="00000000">
      <w:pPr>
        <w:rPr>
          <w:rFonts w:hint="eastAsia"/>
        </w:rPr>
      </w:pPr>
      <w:r>
        <w:t>43.1 Matters this Treaty excludes by Article 7.5 operate under the Partial Success Doctrine as independent tracks. No organ of this Accord trades, links, or leverages an excluded file against an included obligation.</w:t>
      </w:r>
    </w:p>
    <w:p w14:paraId="6A10BB47" w14:textId="77777777" w:rsidR="00D708EC" w:rsidRDefault="00000000">
      <w:pPr>
        <w:rPr>
          <w:rFonts w:hint="eastAsia"/>
        </w:rPr>
      </w:pPr>
      <w:r>
        <w:t>43.2 The Abraham Accords track, diplomatic recognition questions, and bilateral relationship questions between Iran and third states stand outside this Treaty entirely. Nothing in this Accord conditions any obligation upon any normalization, and nothing in any normalization modifies this Accord.</w:t>
      </w:r>
    </w:p>
    <w:p w14:paraId="1EED8270" w14:textId="77777777" w:rsidR="00D708EC" w:rsidRDefault="00000000">
      <w:pPr>
        <w:pStyle w:val="Heading2"/>
        <w:rPr>
          <w:rFonts w:hint="eastAsia"/>
        </w:rPr>
      </w:pPr>
      <w:bookmarkStart w:id="76" w:name="_Toc237663590"/>
      <w:r>
        <w:t>Article 44: The Complete Settlement Clause</w:t>
      </w:r>
      <w:bookmarkEnd w:id="76"/>
    </w:p>
    <w:p w14:paraId="18B1CEE4" w14:textId="77777777" w:rsidR="00D708EC" w:rsidRDefault="00000000">
      <w:pPr>
        <w:rPr>
          <w:rFonts w:hint="eastAsia"/>
        </w:rPr>
      </w:pPr>
      <w:r>
        <w:t>44.1 Within its functional scope, this Treaty constitutes the complete and final settlement of the disputes it enumerates. The Parties discharge each other, permanently, from claims arising from the 2026 war, through the architecture of this Treaty: no reparations flow in either direction in any form labeled reparations, compensation, or damages, and the reconstruction architecture of Part X, the asset releases of Part IX, and the sanctions termination of Part VIII together constitute the economic settlement in full.</w:t>
      </w:r>
    </w:p>
    <w:p w14:paraId="785AD040" w14:textId="77777777" w:rsidR="00D708EC" w:rsidRDefault="00000000">
      <w:pPr>
        <w:rPr>
          <w:rFonts w:hint="eastAsia"/>
        </w:rPr>
      </w:pPr>
      <w:r>
        <w:t>44.2 Demands outside this settlement, including historical claims spanning prior decades, stand discharged as between the Parties for the purposes of this Accord, each Party reserving its narrative of history for its own people under Layer Zero.</w:t>
      </w:r>
    </w:p>
    <w:p w14:paraId="4EF415C5" w14:textId="77777777" w:rsidR="00D708EC" w:rsidRDefault="00D708EC">
      <w:pPr>
        <w:pageBreakBefore/>
        <w:rPr>
          <w:rFonts w:hint="eastAsia"/>
        </w:rPr>
      </w:pPr>
    </w:p>
    <w:p w14:paraId="04F3FD6A" w14:textId="77777777" w:rsidR="00D708EC" w:rsidRDefault="00000000">
      <w:pPr>
        <w:pStyle w:val="Heading1"/>
        <w:rPr>
          <w:rFonts w:hint="eastAsia"/>
        </w:rPr>
      </w:pPr>
      <w:bookmarkStart w:id="77" w:name="_Toc237663591"/>
      <w:r>
        <w:t>LAYER TWO: THE COTHROM VERIFICATION PROTOCOL</w:t>
      </w:r>
      <w:bookmarkEnd w:id="77"/>
    </w:p>
    <w:p w14:paraId="1F4D6CA1" w14:textId="77777777" w:rsidR="00D708EC" w:rsidRDefault="00000000">
      <w:pPr>
        <w:pStyle w:val="Quote"/>
        <w:rPr>
          <w:rFonts w:hint="eastAsia"/>
        </w:rPr>
      </w:pPr>
      <w:r>
        <w:t>Cothrom: equal, balanced, level, fair. Verification as a reciprocal architecture: all parties invest, all parties verify, all parties recover. Snapback kills agreements; this framework breathes.</w:t>
      </w:r>
    </w:p>
    <w:p w14:paraId="784D1AE7" w14:textId="77777777" w:rsidR="00D708EC" w:rsidRDefault="00000000">
      <w:pPr>
        <w:pStyle w:val="Heading2"/>
        <w:rPr>
          <w:rFonts w:hint="eastAsia"/>
        </w:rPr>
      </w:pPr>
      <w:bookmarkStart w:id="78" w:name="_Toc237663592"/>
      <w:r>
        <w:t>Article 45: Adoption of the Cothrom Method</w:t>
      </w:r>
      <w:bookmarkEnd w:id="78"/>
    </w:p>
    <w:p w14:paraId="410DF585" w14:textId="77777777" w:rsidR="00D708EC" w:rsidRDefault="00000000">
      <w:pPr>
        <w:rPr>
          <w:rFonts w:hint="eastAsia"/>
        </w:rPr>
      </w:pPr>
      <w:r>
        <w:t>45.1 The Parties adopt the Cothrom Verification Method as the exclusive compliance and verification engine of this Accord. Annex E incorporates the full text of the Method as operative law. This Layer states its application to this Accord and its binding summary principles.</w:t>
      </w:r>
    </w:p>
    <w:p w14:paraId="4F90D4D8" w14:textId="77777777" w:rsidR="00D708EC" w:rsidRDefault="00000000">
      <w:pPr>
        <w:rPr>
          <w:rFonts w:hint="eastAsia"/>
        </w:rPr>
      </w:pPr>
      <w:r>
        <w:t>45.2 Core operating principle: the framework architecture does not collapse upon breach. It breathes. Discretionary benefits pause first. Core constraints survive longest. Humanitarian protections remain absolute. Minor infractions produce minor proportional consequences. Sustained compliance restores full benefits. No violation creates permanent exclusion.</w:t>
      </w:r>
    </w:p>
    <w:p w14:paraId="02424108" w14:textId="77777777" w:rsidR="00D708EC" w:rsidRDefault="00000000">
      <w:pPr>
        <w:rPr>
          <w:rFonts w:hint="eastAsia"/>
        </w:rPr>
      </w:pPr>
      <w:r>
        <w:t>45.3 The Method replaces snapback with a graduated, reversible, proportionate compliance engine. Verification under this Accord treats the monitored Party and the monitoring Party as joint investors in one architecture: both deposit verification bonds, both submit and challenge claims through identical procedures, and both recover through identical earn-back pathways.</w:t>
      </w:r>
    </w:p>
    <w:p w14:paraId="42C58C39" w14:textId="77777777" w:rsidR="00D708EC" w:rsidRDefault="00000000">
      <w:pPr>
        <w:pStyle w:val="Heading2"/>
        <w:rPr>
          <w:rFonts w:hint="eastAsia"/>
        </w:rPr>
      </w:pPr>
      <w:bookmarkStart w:id="79" w:name="_Toc237663593"/>
      <w:r>
        <w:t>Article 46: The Monitoring Systems</w:t>
      </w:r>
      <w:bookmarkEnd w:id="79"/>
    </w:p>
    <w:p w14:paraId="2FA14904" w14:textId="77777777" w:rsidR="00D708EC" w:rsidRDefault="00000000">
      <w:pPr>
        <w:rPr>
          <w:rFonts w:hint="eastAsia"/>
        </w:rPr>
      </w:pPr>
      <w:r>
        <w:t>46.1 Upon signature, the following systems activate immediately and operate continuously: primary telemetry feeds (satellite, radar, sensor networks); coastal and territorial sensor integration; the nuclear telemetry of Annex B (online enrichment monitors, cascade telemetry, environmental sampling seals); the maritime fused picture of Part VI (the incident-alert mesh, the common channel log, the corridor tracking system); and the withdrawal verification feeds of Part IV.</w:t>
      </w:r>
    </w:p>
    <w:p w14:paraId="597AF4EB" w14:textId="77777777" w:rsidR="00D708EC" w:rsidRDefault="00000000">
      <w:pPr>
        <w:rPr>
          <w:rFonts w:hint="eastAsia"/>
        </w:rPr>
      </w:pPr>
      <w:r>
        <w:t>46.2 The Joint Monitoring Cell (JMC) convenes at Muscat within 72 hours of signature and operates 24/7 with pre-accredited personnel of both Principal Parties and the neutral technical staff of the Third-Party Expert Pool.</w:t>
      </w:r>
    </w:p>
    <w:p w14:paraId="5D12CCBC" w14:textId="77777777" w:rsidR="00D708EC" w:rsidRDefault="00000000">
      <w:pPr>
        <w:rPr>
          <w:rFonts w:hint="eastAsia"/>
        </w:rPr>
      </w:pPr>
      <w:r>
        <w:t>46.3 The Shared Digital Registry logs all tracks, alerts, claims, verification packages, and notifications with cryptographic chain-of-custody. The Registry retains all logged data for a minimum of five years. No Party modifies, deletes, or redacts logged data.</w:t>
      </w:r>
    </w:p>
    <w:p w14:paraId="354541AF" w14:textId="77777777" w:rsidR="00D708EC" w:rsidRDefault="00000000">
      <w:pPr>
        <w:rPr>
          <w:rFonts w:hint="eastAsia"/>
        </w:rPr>
      </w:pPr>
      <w:r>
        <w:lastRenderedPageBreak/>
        <w:t>46.4 The Compliance Dashboard publishes non-classified metrics to the public. Data reaches all Parties with identical latency, and the Third-Party Telemetry Tie-Breaker, an independent commercial provider under contract to the Swiss Technical Facilitator, activates automatically upon any conflict between primary feeds.</w:t>
      </w:r>
    </w:p>
    <w:p w14:paraId="3CF593F1" w14:textId="77777777" w:rsidR="00D708EC" w:rsidRDefault="00000000">
      <w:pPr>
        <w:rPr>
          <w:rFonts w:hint="eastAsia"/>
        </w:rPr>
      </w:pPr>
      <w:r>
        <w:t>46.5 Data standards. All data conforms to the simultaneous, unalterable, transparent, non-attributable, and non-imputable standards of the Method. Data serves technical verification exclusively. No political meaning attaches to its collection, transmission, or receipt, and no participation in data systems constitutes recognition of any legal position.</w:t>
      </w:r>
    </w:p>
    <w:p w14:paraId="34395553" w14:textId="77777777" w:rsidR="00D708EC" w:rsidRDefault="00000000">
      <w:pPr>
        <w:rPr>
          <w:rFonts w:hint="eastAsia"/>
        </w:rPr>
      </w:pPr>
      <w:r>
        <w:t>46.6 Data quality. Each Party maintains the signal-to-noise and format standards of the technical annexes. Persistent failure, meaning three or more consecutive formatting alerts or signal violations within 72 hours, constitutes a breach of the transparency requirement and enters the Tier system.</w:t>
      </w:r>
    </w:p>
    <w:p w14:paraId="168B23A7" w14:textId="77777777" w:rsidR="00D708EC" w:rsidRDefault="00000000">
      <w:pPr>
        <w:pStyle w:val="Heading2"/>
        <w:rPr>
          <w:rFonts w:hint="eastAsia"/>
        </w:rPr>
      </w:pPr>
      <w:bookmarkStart w:id="80" w:name="_Toc237663594"/>
      <w:r>
        <w:t>Article 47: The Anomaly Classification and Response</w:t>
      </w:r>
      <w:bookmarkEnd w:id="80"/>
    </w:p>
    <w:p w14:paraId="72E3709E" w14:textId="77777777" w:rsidR="00D708EC" w:rsidRDefault="00000000">
      <w:pPr>
        <w:rPr>
          <w:rFonts w:hint="eastAsia"/>
        </w:rPr>
      </w:pPr>
      <w:r>
        <w:t>47.1 Alert severity classification filters noise from genuine compliance events:</w:t>
      </w:r>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745"/>
        <w:gridCol w:w="1518"/>
        <w:gridCol w:w="3021"/>
        <w:gridCol w:w="3942"/>
      </w:tblGrid>
      <w:tr w:rsidR="00D708EC" w14:paraId="15A95C1E" w14:textId="77777777">
        <w:tc>
          <w:tcPr>
            <w:tcW w:w="0" w:type="auto"/>
            <w:shd w:val="clear" w:color="auto" w:fill="37474F"/>
          </w:tcPr>
          <w:p w14:paraId="1A644B05" w14:textId="77777777" w:rsidR="00D708EC" w:rsidRDefault="00000000">
            <w:pPr>
              <w:rPr>
                <w:rFonts w:hint="eastAsia"/>
              </w:rPr>
            </w:pPr>
            <w:r>
              <w:rPr>
                <w:b/>
                <w:color w:val="FFFFFF"/>
                <w:sz w:val="19"/>
              </w:rPr>
              <w:t>Level</w:t>
            </w:r>
          </w:p>
        </w:tc>
        <w:tc>
          <w:tcPr>
            <w:tcW w:w="0" w:type="auto"/>
            <w:shd w:val="clear" w:color="auto" w:fill="37474F"/>
          </w:tcPr>
          <w:p w14:paraId="149ECEC5" w14:textId="77777777" w:rsidR="00D708EC" w:rsidRDefault="00000000">
            <w:pPr>
              <w:rPr>
                <w:rFonts w:hint="eastAsia"/>
              </w:rPr>
            </w:pPr>
            <w:r>
              <w:rPr>
                <w:b/>
                <w:color w:val="FFFFFF"/>
                <w:sz w:val="19"/>
              </w:rPr>
              <w:t>Class</w:t>
            </w:r>
          </w:p>
        </w:tc>
        <w:tc>
          <w:tcPr>
            <w:tcW w:w="0" w:type="auto"/>
            <w:shd w:val="clear" w:color="auto" w:fill="37474F"/>
          </w:tcPr>
          <w:p w14:paraId="2B6F07C7" w14:textId="77777777" w:rsidR="00D708EC" w:rsidRDefault="00000000">
            <w:pPr>
              <w:rPr>
                <w:rFonts w:hint="eastAsia"/>
              </w:rPr>
            </w:pPr>
            <w:r>
              <w:rPr>
                <w:b/>
                <w:color w:val="FFFFFF"/>
                <w:sz w:val="19"/>
              </w:rPr>
              <w:t>Examples</w:t>
            </w:r>
          </w:p>
        </w:tc>
        <w:tc>
          <w:tcPr>
            <w:tcW w:w="0" w:type="auto"/>
            <w:shd w:val="clear" w:color="auto" w:fill="37474F"/>
          </w:tcPr>
          <w:p w14:paraId="5D8A1736" w14:textId="77777777" w:rsidR="00D708EC" w:rsidRDefault="00000000">
            <w:pPr>
              <w:rPr>
                <w:rFonts w:hint="eastAsia"/>
              </w:rPr>
            </w:pPr>
            <w:r>
              <w:rPr>
                <w:b/>
                <w:color w:val="FFFFFF"/>
                <w:sz w:val="19"/>
              </w:rPr>
              <w:t>Response</w:t>
            </w:r>
          </w:p>
        </w:tc>
      </w:tr>
      <w:tr w:rsidR="00D708EC" w14:paraId="074048C5" w14:textId="77777777">
        <w:tc>
          <w:tcPr>
            <w:tcW w:w="0" w:type="auto"/>
          </w:tcPr>
          <w:p w14:paraId="1D3FBB26" w14:textId="77777777" w:rsidR="00D708EC" w:rsidRDefault="00000000">
            <w:pPr>
              <w:rPr>
                <w:rFonts w:hint="eastAsia"/>
              </w:rPr>
            </w:pPr>
            <w:r>
              <w:rPr>
                <w:sz w:val="19"/>
              </w:rPr>
              <w:t>Level 1</w:t>
            </w:r>
          </w:p>
        </w:tc>
        <w:tc>
          <w:tcPr>
            <w:tcW w:w="0" w:type="auto"/>
          </w:tcPr>
          <w:p w14:paraId="30FB68E3" w14:textId="77777777" w:rsidR="00D708EC" w:rsidRDefault="00000000">
            <w:pPr>
              <w:rPr>
                <w:rFonts w:hint="eastAsia"/>
              </w:rPr>
            </w:pPr>
            <w:r>
              <w:rPr>
                <w:sz w:val="19"/>
              </w:rPr>
              <w:t>Informational</w:t>
            </w:r>
          </w:p>
        </w:tc>
        <w:tc>
          <w:tcPr>
            <w:tcW w:w="0" w:type="auto"/>
          </w:tcPr>
          <w:p w14:paraId="37F39C44" w14:textId="77777777" w:rsidR="00D708EC" w:rsidRDefault="00000000">
            <w:pPr>
              <w:rPr>
                <w:rFonts w:hint="eastAsia"/>
              </w:rPr>
            </w:pPr>
            <w:r>
              <w:rPr>
                <w:sz w:val="19"/>
              </w:rPr>
              <w:t>Sensor maintenance, scheduled downtime, minor transmission interruption</w:t>
            </w:r>
          </w:p>
        </w:tc>
        <w:tc>
          <w:tcPr>
            <w:tcW w:w="0" w:type="auto"/>
          </w:tcPr>
          <w:p w14:paraId="17BEA157" w14:textId="77777777" w:rsidR="00D708EC" w:rsidRDefault="00000000">
            <w:pPr>
              <w:rPr>
                <w:rFonts w:hint="eastAsia"/>
              </w:rPr>
            </w:pPr>
            <w:r>
              <w:rPr>
                <w:sz w:val="19"/>
              </w:rPr>
              <w:t>No action; no notification</w:t>
            </w:r>
          </w:p>
        </w:tc>
      </w:tr>
      <w:tr w:rsidR="00D708EC" w14:paraId="7C0A601B" w14:textId="77777777">
        <w:tc>
          <w:tcPr>
            <w:tcW w:w="0" w:type="auto"/>
            <w:shd w:val="clear" w:color="auto" w:fill="ECEFF1"/>
          </w:tcPr>
          <w:p w14:paraId="48346FF4" w14:textId="77777777" w:rsidR="00D708EC" w:rsidRDefault="00000000">
            <w:pPr>
              <w:rPr>
                <w:rFonts w:hint="eastAsia"/>
              </w:rPr>
            </w:pPr>
            <w:r>
              <w:rPr>
                <w:sz w:val="19"/>
              </w:rPr>
              <w:t>Level 2</w:t>
            </w:r>
          </w:p>
        </w:tc>
        <w:tc>
          <w:tcPr>
            <w:tcW w:w="0" w:type="auto"/>
            <w:shd w:val="clear" w:color="auto" w:fill="ECEFF1"/>
          </w:tcPr>
          <w:p w14:paraId="1EB7BAEF" w14:textId="77777777" w:rsidR="00D708EC" w:rsidRDefault="00000000">
            <w:pPr>
              <w:rPr>
                <w:rFonts w:hint="eastAsia"/>
              </w:rPr>
            </w:pPr>
            <w:r>
              <w:rPr>
                <w:sz w:val="19"/>
              </w:rPr>
              <w:t>Technical Review</w:t>
            </w:r>
          </w:p>
        </w:tc>
        <w:tc>
          <w:tcPr>
            <w:tcW w:w="0" w:type="auto"/>
            <w:shd w:val="clear" w:color="auto" w:fill="ECEFF1"/>
          </w:tcPr>
          <w:p w14:paraId="098B2DC2" w14:textId="77777777" w:rsidR="00D708EC" w:rsidRDefault="00000000">
            <w:pPr>
              <w:rPr>
                <w:rFonts w:hint="eastAsia"/>
              </w:rPr>
            </w:pPr>
            <w:r>
              <w:rPr>
                <w:sz w:val="19"/>
              </w:rPr>
              <w:t>Unscheduled downtime under 4 hours; single anomalous reading without pattern</w:t>
            </w:r>
          </w:p>
        </w:tc>
        <w:tc>
          <w:tcPr>
            <w:tcW w:w="0" w:type="auto"/>
            <w:shd w:val="clear" w:color="auto" w:fill="ECEFF1"/>
          </w:tcPr>
          <w:p w14:paraId="3B67112B" w14:textId="77777777" w:rsidR="00D708EC" w:rsidRDefault="00000000">
            <w:pPr>
              <w:rPr>
                <w:rFonts w:hint="eastAsia"/>
              </w:rPr>
            </w:pPr>
            <w:r>
              <w:rPr>
                <w:sz w:val="19"/>
              </w:rPr>
              <w:t>JMC technical review within 7 days; no penalty</w:t>
            </w:r>
          </w:p>
        </w:tc>
      </w:tr>
      <w:tr w:rsidR="00D708EC" w14:paraId="533181DB" w14:textId="77777777">
        <w:tc>
          <w:tcPr>
            <w:tcW w:w="0" w:type="auto"/>
          </w:tcPr>
          <w:p w14:paraId="3515E292" w14:textId="77777777" w:rsidR="00D708EC" w:rsidRDefault="00000000">
            <w:pPr>
              <w:rPr>
                <w:rFonts w:hint="eastAsia"/>
              </w:rPr>
            </w:pPr>
            <w:r>
              <w:rPr>
                <w:sz w:val="19"/>
              </w:rPr>
              <w:t>Level 3</w:t>
            </w:r>
          </w:p>
        </w:tc>
        <w:tc>
          <w:tcPr>
            <w:tcW w:w="0" w:type="auto"/>
          </w:tcPr>
          <w:p w14:paraId="23A1D122" w14:textId="77777777" w:rsidR="00D708EC" w:rsidRDefault="00000000">
            <w:pPr>
              <w:rPr>
                <w:rFonts w:hint="eastAsia"/>
              </w:rPr>
            </w:pPr>
            <w:r>
              <w:rPr>
                <w:sz w:val="19"/>
              </w:rPr>
              <w:t>Compliance Review</w:t>
            </w:r>
          </w:p>
        </w:tc>
        <w:tc>
          <w:tcPr>
            <w:tcW w:w="0" w:type="auto"/>
          </w:tcPr>
          <w:p w14:paraId="11E0D3E1" w14:textId="77777777" w:rsidR="00D708EC" w:rsidRDefault="00000000">
            <w:pPr>
              <w:rPr>
                <w:rFonts w:hint="eastAsia"/>
              </w:rPr>
            </w:pPr>
            <w:r>
              <w:rPr>
                <w:sz w:val="19"/>
              </w:rPr>
              <w:t>Downtime over 4 hours; pattern of anomalous readings</w:t>
            </w:r>
          </w:p>
        </w:tc>
        <w:tc>
          <w:tcPr>
            <w:tcW w:w="0" w:type="auto"/>
          </w:tcPr>
          <w:p w14:paraId="792D1FFF" w14:textId="77777777" w:rsidR="00D708EC" w:rsidRDefault="00000000">
            <w:pPr>
              <w:rPr>
                <w:rFonts w:hint="eastAsia"/>
              </w:rPr>
            </w:pPr>
            <w:r>
              <w:rPr>
                <w:sz w:val="19"/>
              </w:rPr>
              <w:t>Enhanced inspection within 72 hours; potential Tier 1 if unresolved in 14 days</w:t>
            </w:r>
          </w:p>
        </w:tc>
      </w:tr>
      <w:tr w:rsidR="00D708EC" w14:paraId="6EC54AC6" w14:textId="77777777">
        <w:tc>
          <w:tcPr>
            <w:tcW w:w="0" w:type="auto"/>
            <w:shd w:val="clear" w:color="auto" w:fill="ECEFF1"/>
          </w:tcPr>
          <w:p w14:paraId="2D4F9117" w14:textId="77777777" w:rsidR="00D708EC" w:rsidRDefault="00000000">
            <w:pPr>
              <w:rPr>
                <w:rFonts w:hint="eastAsia"/>
              </w:rPr>
            </w:pPr>
            <w:r>
              <w:rPr>
                <w:sz w:val="19"/>
              </w:rPr>
              <w:t>Level 4</w:t>
            </w:r>
          </w:p>
        </w:tc>
        <w:tc>
          <w:tcPr>
            <w:tcW w:w="0" w:type="auto"/>
            <w:shd w:val="clear" w:color="auto" w:fill="ECEFF1"/>
          </w:tcPr>
          <w:p w14:paraId="607DF3B9" w14:textId="77777777" w:rsidR="00D708EC" w:rsidRDefault="00000000">
            <w:pPr>
              <w:rPr>
                <w:rFonts w:hint="eastAsia"/>
              </w:rPr>
            </w:pPr>
            <w:r>
              <w:rPr>
                <w:sz w:val="19"/>
              </w:rPr>
              <w:t>Breach Indicator</w:t>
            </w:r>
          </w:p>
        </w:tc>
        <w:tc>
          <w:tcPr>
            <w:tcW w:w="0" w:type="auto"/>
            <w:shd w:val="clear" w:color="auto" w:fill="ECEFF1"/>
          </w:tcPr>
          <w:p w14:paraId="5AFBEE46" w14:textId="77777777" w:rsidR="00D708EC" w:rsidRDefault="00000000">
            <w:pPr>
              <w:rPr>
                <w:rFonts w:hint="eastAsia"/>
              </w:rPr>
            </w:pPr>
            <w:r>
              <w:rPr>
                <w:sz w:val="19"/>
              </w:rPr>
              <w:t>Evidence of tampering, deliberate disablement, material diversion</w:t>
            </w:r>
          </w:p>
        </w:tc>
        <w:tc>
          <w:tcPr>
            <w:tcW w:w="0" w:type="auto"/>
            <w:shd w:val="clear" w:color="auto" w:fill="ECEFF1"/>
          </w:tcPr>
          <w:p w14:paraId="0DF0ED1E" w14:textId="77777777" w:rsidR="00D708EC" w:rsidRDefault="00000000">
            <w:pPr>
              <w:rPr>
                <w:rFonts w:hint="eastAsia"/>
              </w:rPr>
            </w:pPr>
            <w:r>
              <w:rPr>
                <w:sz w:val="19"/>
              </w:rPr>
              <w:t>Tier 2 step-back consideration; JMC convenes within 24 hours; mandatory executive consultation before any penalty</w:t>
            </w:r>
          </w:p>
        </w:tc>
      </w:tr>
    </w:tbl>
    <w:p w14:paraId="21D27495" w14:textId="77777777" w:rsidR="00D708EC" w:rsidRDefault="00000000">
      <w:pPr>
        <w:rPr>
          <w:rFonts w:hint="eastAsia"/>
        </w:rPr>
      </w:pPr>
      <w:r>
        <w:t>47.2 Only Level 4 triggers potential step-back. Levels 1 through 3 resolve through technical channels without penalty.</w:t>
      </w:r>
    </w:p>
    <w:p w14:paraId="21CF4C47" w14:textId="77777777" w:rsidR="00D708EC" w:rsidRDefault="00000000">
      <w:pPr>
        <w:rPr>
          <w:rFonts w:hint="eastAsia"/>
        </w:rPr>
      </w:pPr>
      <w:r>
        <w:t>47.3 The Anomaly Response Playbook binds both Parties from signature: automated communication to both Parties within five minutes of a Level 3 or Level 4 alert; pre-vetted operational stand-down for forces in the vicinity; emergency video-conference within 30 minutes; all steps logged in the Registry.</w:t>
      </w:r>
    </w:p>
    <w:p w14:paraId="28ADF299" w14:textId="77777777" w:rsidR="00D708EC" w:rsidRDefault="00000000">
      <w:pPr>
        <w:rPr>
          <w:rFonts w:hint="eastAsia"/>
        </w:rPr>
      </w:pPr>
      <w:r>
        <w:t>47.4 The Technical Truth Escalation Chain resolves data fidelity disputes on a binding clock: Day 1, preliminary technical finding by the JMC Chief Technical Officer; Day 3, Technical Working Group corroboration report; Day 5, binding determination by the neutral expert panel, final and unappealable. Registration of a technical dispute freezes all operational responses to the disputed event for 24 hours; the hold lifts automatically upon resolution.</w:t>
      </w:r>
    </w:p>
    <w:p w14:paraId="344090E7" w14:textId="77777777" w:rsidR="00D708EC" w:rsidRDefault="00000000">
      <w:pPr>
        <w:rPr>
          <w:rFonts w:hint="eastAsia"/>
        </w:rPr>
      </w:pPr>
      <w:r>
        <w:lastRenderedPageBreak/>
        <w:t>47.5 The sole automatic trigger. If telemetry from a verification-relevant facility remains unavailable for 48 consecutive hours and the Technical Working Group certifies the unavailability is not equipment failure or maintenance, all framework benefits related to that facility suspend automatically, and no human veto overrides the suspension. Restoration and authentication of telemetry lifts the suspension immediately. This automatic suspension is the only penalty that activates without executive consultation.</w:t>
      </w:r>
    </w:p>
    <w:p w14:paraId="2C03C609" w14:textId="77777777" w:rsidR="00D708EC" w:rsidRDefault="00000000">
      <w:pPr>
        <w:pStyle w:val="Heading2"/>
        <w:rPr>
          <w:rFonts w:hint="eastAsia"/>
        </w:rPr>
      </w:pPr>
      <w:bookmarkStart w:id="81" w:name="_Toc237663595"/>
      <w:r>
        <w:t>Article 48: The Verification Bonds and the Fund</w:t>
      </w:r>
      <w:bookmarkEnd w:id="81"/>
    </w:p>
    <w:p w14:paraId="27D11220" w14:textId="77777777" w:rsidR="00D708EC" w:rsidRDefault="00000000">
      <w:pPr>
        <w:rPr>
          <w:rFonts w:hint="eastAsia"/>
        </w:rPr>
      </w:pPr>
      <w:r>
        <w:t>48.1 Both Principal Parties deposit a Verification Bond with the Swiss Technical Facilitator before the first phase commences. The bond is a performance stake, never a fee. Release and forfeit conditions follow Annex E: the Claimant bond releases upon accumulation of 50 or more verified credits; the Verifier bond releases upon an objection upheld rate of 50 percent or greater; frivolous objection rates above 30 percent forfeit.</w:t>
      </w:r>
    </w:p>
    <w:p w14:paraId="1AB11AB6" w14:textId="77777777" w:rsidR="00D708EC" w:rsidRDefault="00000000">
      <w:pPr>
        <w:rPr>
          <w:rFonts w:hint="eastAsia"/>
        </w:rPr>
      </w:pPr>
      <w:r>
        <w:t>48.2 The Contingency Reserve equals 10 percent of the phase allocation and releases only upon joint written request or JMC certification of cost overrun. Budget continuity holds across fallback and extension: released tranches remain available, and neither Party recalls released funds because of fallback activation.</w:t>
      </w:r>
    </w:p>
    <w:p w14:paraId="175A7DBA" w14:textId="77777777" w:rsidR="00D708EC" w:rsidRDefault="00000000">
      <w:pPr>
        <w:pStyle w:val="Heading2"/>
        <w:rPr>
          <w:rFonts w:hint="eastAsia"/>
        </w:rPr>
      </w:pPr>
      <w:bookmarkStart w:id="82" w:name="_Toc237663596"/>
      <w:r>
        <w:t>Article 49: Adversarial Claim Verification</w:t>
      </w:r>
      <w:bookmarkEnd w:id="82"/>
    </w:p>
    <w:p w14:paraId="05961899" w14:textId="77777777" w:rsidR="00D708EC" w:rsidRDefault="00000000">
      <w:pPr>
        <w:rPr>
          <w:rFonts w:hint="eastAsia"/>
        </w:rPr>
      </w:pPr>
      <w:r>
        <w:t>49.1 Claims. Service and compliance claims submit through the Registry with primary evidence, supporting documentation with chain-of-custody, and JMC liaison certification, each within 24 hours of service delivery. The Technical Working Group assigns each claim a confirmation level against the golden record, and credits accumulate per the schedule of Annex E, with rapid-confirmation bonuses for verification within 12 hours.</w:t>
      </w:r>
    </w:p>
    <w:p w14:paraId="6A3A58C1" w14:textId="77777777" w:rsidR="00D708EC" w:rsidRDefault="00000000">
      <w:pPr>
        <w:rPr>
          <w:rFonts w:hint="eastAsia"/>
        </w:rPr>
      </w:pPr>
      <w:r>
        <w:t>49.2 Challenges. The opposing Party holds a 48-hour challenge window. Challenge types and costs follow Annex E: acceptance (zero cost); technical review request (5 credits, multiplier applies); full objection (20 credits, penalty of twice the reimbursement value upon failure). The Technical Review Panel convenes within 24 hours, decides solely on the unalterable Registry data, and issues a binding determination with a verification score.</w:t>
      </w:r>
    </w:p>
    <w:p w14:paraId="5B6BE6A3" w14:textId="77777777" w:rsidR="00D708EC" w:rsidRDefault="00000000">
      <w:pPr>
        <w:rPr>
          <w:rFonts w:hint="eastAsia"/>
        </w:rPr>
      </w:pPr>
      <w:r>
        <w:t>49.3 The Frivolous Review Escalation Ladder disciplines the challenge function: first failure, standard penalty; second, double penalty plus 24-hour moratorium; third, quadruple penalty plus 72-hour moratorium and Council review; fourth, quadruple penalty plus automatic bad-faith designation, under which the opposing Party's claims receive automatic verification for 7 days. The ladder resets at each phase boundary.</w:t>
      </w:r>
    </w:p>
    <w:p w14:paraId="557BE516" w14:textId="77777777" w:rsidR="00D708EC" w:rsidRDefault="00000000">
      <w:pPr>
        <w:rPr>
          <w:rFonts w:hint="eastAsia"/>
        </w:rPr>
      </w:pPr>
      <w:r>
        <w:t>49.4 Anonymous Review. All challenges submit anonymously; the challenged Party receives notice without the challenger's identity; overturned challenges reveal the challenger only to the challenged Party through secure diplomatic channels. Verification stays data-driven, never accusatory.</w:t>
      </w:r>
    </w:p>
    <w:p w14:paraId="0D107016" w14:textId="77777777" w:rsidR="00D708EC" w:rsidRDefault="00000000">
      <w:pPr>
        <w:rPr>
          <w:rFonts w:hint="eastAsia"/>
        </w:rPr>
      </w:pPr>
      <w:r>
        <w:lastRenderedPageBreak/>
        <w:t>49.5 Partial credit. The Panel awards credit proportionally to accuracy: 90 to 100 percent earns full credit plus bonus; 70 to 89 percent earns 75 percent; 50 to 69 percent earns 50 percent; below 50 percent earns rejection with ladder penalty. High-value claims pass through the Escrow Reserve of Annex E: 21 to 50 credits, half held in reserve; 51 credits and above, three quarters held in reserve, releasing upon final adjudication.</w:t>
      </w:r>
    </w:p>
    <w:p w14:paraId="4AA8AF78" w14:textId="77777777" w:rsidR="00D708EC" w:rsidRDefault="00000000">
      <w:pPr>
        <w:rPr>
          <w:rFonts w:hint="eastAsia"/>
        </w:rPr>
      </w:pPr>
      <w:r>
        <w:t>49.6 Third-Party Expert Oversight. A standing pool of five neutral experts, accredited by the Swiss Technical Facilitator, with the composition of Annex E (Switzerland as coordinator and tie-breaker; Japan; the United Arab Emirates; Singapore; one rotating seat), reviews determinations through the Second Opinion mechanism: a failed Second Opinion costs 10 credits; a successful one vacates the Panel determination, re-adjudicates the claim on the Second Opinion as authoritative, and rotates the Panel.</w:t>
      </w:r>
    </w:p>
    <w:p w14:paraId="44606044" w14:textId="77777777" w:rsidR="00D708EC" w:rsidRDefault="00000000">
      <w:pPr>
        <w:rPr>
          <w:rFonts w:hint="eastAsia"/>
        </w:rPr>
      </w:pPr>
      <w:r>
        <w:t>49.7 Pacing buffers prevent flooding: daily claim and challenge limits scale by phase per Annex E, and the JMC enforces them automatically.</w:t>
      </w:r>
    </w:p>
    <w:p w14:paraId="4059EA18" w14:textId="77777777" w:rsidR="00D708EC" w:rsidRDefault="00000000">
      <w:pPr>
        <w:pStyle w:val="Heading2"/>
        <w:rPr>
          <w:rFonts w:hint="eastAsia"/>
        </w:rPr>
      </w:pPr>
      <w:bookmarkStart w:id="83" w:name="_Toc237663597"/>
      <w:r>
        <w:t>Article 50: The Three-Tier Breach Classification</w:t>
      </w:r>
      <w:bookmarkEnd w:id="83"/>
    </w:p>
    <w:p w14:paraId="547668F1" w14:textId="77777777" w:rsidR="00D708EC" w:rsidRDefault="00000000">
      <w:pPr>
        <w:rPr>
          <w:rFonts w:hint="eastAsia"/>
        </w:rPr>
      </w:pPr>
      <w:r>
        <w:t>50.1 Tier 1, Technical Dispute (de minimis): readings less than 0.5 percent above ceiling; two or fewer elements outside agreed status; reporting delays of 48 hours or less with administrative cause. Response: no benefit reduction, no step-back, technical assistance within 72 hours, 14-day engineering window, confidential handling. Tier 1 events never accumulate toward Tier 2.</w:t>
      </w:r>
    </w:p>
    <w:p w14:paraId="5DA4D7AA" w14:textId="77777777" w:rsidR="00D708EC" w:rsidRDefault="00000000">
      <w:pPr>
        <w:rPr>
          <w:rFonts w:hint="eastAsia"/>
        </w:rPr>
      </w:pPr>
      <w:r>
        <w:t>50.2 Tier 2, Material Disruption: readings exceeding 0.5 percent above ceiling; more than two elements outside agreed status; more than 72 hours of obstruction or denied access; unscheduled sensor downtime over 4 hours without documented cause; patterns suggesting systematic manipulation; confirmed tampering; falsified telemetry; any discovered backdoor in cryptographic systems. Response graduates by duration: days 1 to 7, ten percent reduction in non-humanitarian benefits; days 7 to 14, fifteen percent; days 15 to 30, twenty-five percent; beyond 30 days, twenty-five percent plus mandatory referral to the Guarantor Matrix. Humanitarian tranches remain fully protected at all times; the Political Discretion Fund remains exempt; a 30-day remediation window opens automatically; executive consultation precedes any penalty.</w:t>
      </w:r>
    </w:p>
    <w:p w14:paraId="17F2871A" w14:textId="77777777" w:rsidR="00D708EC" w:rsidRDefault="00000000">
      <w:pPr>
        <w:rPr>
          <w:rFonts w:hint="eastAsia"/>
        </w:rPr>
      </w:pPr>
      <w:r>
        <w:t>50.3 Tier 3, Deliberate Hostile Violation: prohibited weapons activity detected; fissile or hazardous material diversion confirmed; physical attack on inspectors or facilities; deliberate compromise of framework sensors undermining the verification architecture; deliberately falsified telemetry that, if believed, would have triggered step-back or military response; systematic Tier 2 patterns demonstrating institutional bad faith. Response graduates by remediation speed: remediation begun within 72 hours, twenty-five percent reduction; after 72 hours without remediation, thirty-five percent; after 30 days, fifty percent. Tier 3 modules enter hold; a 90-day remediation window opens; the Guarantor Matrix convenes within 48 hours.</w:t>
      </w:r>
    </w:p>
    <w:p w14:paraId="4E35AAF7" w14:textId="77777777" w:rsidR="00D708EC" w:rsidRDefault="00000000">
      <w:pPr>
        <w:pStyle w:val="Heading2"/>
        <w:rPr>
          <w:rFonts w:hint="eastAsia"/>
        </w:rPr>
      </w:pPr>
      <w:bookmarkStart w:id="84" w:name="_Toc237663598"/>
      <w:r>
        <w:lastRenderedPageBreak/>
        <w:t>Article 51: The Graduated Step-Back Mechanism</w:t>
      </w:r>
      <w:bookmarkEnd w:id="84"/>
    </w:p>
    <w:p w14:paraId="7BEC9A3F" w14:textId="77777777" w:rsidR="00D708EC" w:rsidRDefault="00000000">
      <w:pPr>
        <w:rPr>
          <w:rFonts w:hint="eastAsia"/>
        </w:rPr>
      </w:pPr>
      <w:r>
        <w:t>51.1 Proportionality. Penalty equals Base Tier Penalty multiplied by Duration Multiplier (0.4 for correction within 24 hours, rising to 1.0 at uncured expiry of the remediation window) multiplied by Remediation Factor (0.5 full remediation, 0.75 partial, 1.0 none).</w:t>
      </w:r>
    </w:p>
    <w:p w14:paraId="3EE65EE5" w14:textId="77777777" w:rsidR="00D708EC" w:rsidRDefault="00000000">
      <w:pPr>
        <w:rPr>
          <w:rFonts w:hint="eastAsia"/>
        </w:rPr>
      </w:pPr>
      <w:r>
        <w:t>51.2 Sequenced impact. Step-back pauses benefits in this exact order: first, discretionary measures (reconstruction credits, over-compliance credits, bonus funds); second, commercial financial benefits (expanded access, export licenses, non-humanitarian trade facilitation); third, core relief tranches (frozen asset releases, general license renewals); last, core constraints and verification obligations; never, humanitarian tranches, released escrowed funds, or hotline and deconfliction protocols.</w:t>
      </w:r>
    </w:p>
    <w:p w14:paraId="26D34259" w14:textId="77777777" w:rsidR="00D708EC" w:rsidRDefault="00000000">
      <w:pPr>
        <w:rPr>
          <w:rFonts w:hint="eastAsia"/>
        </w:rPr>
      </w:pPr>
      <w:r>
        <w:t>51.3 Human-in-the-loop. AI systems flag anomalies and present evidence packages within 6 hours; the JMC duty officer reviews within 12 hours; senior officials of both Parties confer within 48 hours, the mandatory cooling-off; executive consultation confirms tier classification before any penalty activates. The Annual Human-in-the-Loop Audit verifies that no autonomous penalty decision occurs, and failure of any audit criterion triggers recalibration of the AI system within 30 days.</w:t>
      </w:r>
    </w:p>
    <w:p w14:paraId="11A50AEE" w14:textId="77777777" w:rsidR="00D708EC" w:rsidRDefault="00000000">
      <w:pPr>
        <w:rPr>
          <w:rFonts w:hint="eastAsia"/>
        </w:rPr>
      </w:pPr>
      <w:r>
        <w:t>51.4 The 48-hour cooling-off architecture. Before any step-back activates: no penalties accrue; senior officials confer directly; the Swiss Technical Facilitator proposes de-escalation measures; the period extends to 72 hours by mutual agreement.</w:t>
      </w:r>
    </w:p>
    <w:p w14:paraId="03A10197" w14:textId="77777777" w:rsidR="00D708EC" w:rsidRDefault="00000000">
      <w:pPr>
        <w:pStyle w:val="Heading2"/>
        <w:rPr>
          <w:rFonts w:hint="eastAsia"/>
        </w:rPr>
      </w:pPr>
      <w:bookmarkStart w:id="85" w:name="_Toc237663599"/>
      <w:r>
        <w:t>Article 51A: The Cumulative Step-Back Protocol</w:t>
      </w:r>
      <w:bookmarkEnd w:id="85"/>
    </w:p>
    <w:p w14:paraId="52C6A903" w14:textId="77777777" w:rsidR="00D708EC" w:rsidRDefault="00000000">
      <w:pPr>
        <w:rPr>
          <w:rFonts w:hint="eastAsia"/>
        </w:rPr>
      </w:pPr>
      <w:r>
        <w:t>51A.1 Threshold: three or more Level 1 or Level 2 events within any 30-day period, across any combination of modules, constitute a Cumulative Step-Back event. The purpose is to prevent multiple minor violations from collectively eroding the framework without ever triggering proportionate review.</w:t>
      </w:r>
    </w:p>
    <w:p w14:paraId="2A4EC9E8" w14:textId="77777777" w:rsidR="00D708EC" w:rsidRDefault="00000000">
      <w:pPr>
        <w:rPr>
          <w:rFonts w:hint="eastAsia"/>
        </w:rPr>
      </w:pPr>
      <w:r>
        <w:t>51A.2 Upon reaching the threshold, the JMC convenes a collective review within 7 days: the review examines the pattern rather than any single incident, classifies the pattern under the Tier system if warranted, and prescribes a remediation plan. The individual events retain their original classifications; the cumulative event addresses the pattern. Death by a thousand cuts meets one visible, reviewable moment instead.</w:t>
      </w:r>
    </w:p>
    <w:p w14:paraId="2BA49FC0" w14:textId="77777777" w:rsidR="00D708EC" w:rsidRDefault="00000000">
      <w:pPr>
        <w:pStyle w:val="Heading2"/>
        <w:rPr>
          <w:rFonts w:hint="eastAsia"/>
        </w:rPr>
      </w:pPr>
      <w:bookmarkStart w:id="86" w:name="_Toc237663600"/>
      <w:r>
        <w:t>Article 52: The Earn-Back Pathway</w:t>
      </w:r>
      <w:bookmarkEnd w:id="86"/>
    </w:p>
    <w:p w14:paraId="659153C0" w14:textId="77777777" w:rsidR="00D708EC" w:rsidRDefault="00000000">
      <w:pPr>
        <w:rPr>
          <w:rFonts w:hint="eastAsia"/>
        </w:rPr>
      </w:pPr>
      <w:r>
        <w:t>52.1 Earn-back is a structural feature, not a privilege. Every step-back penalty carries an automatic, defined earn-back route. No penalty is permanent.</w:t>
      </w:r>
    </w:p>
    <w:p w14:paraId="1346E623" w14:textId="77777777" w:rsidR="00D708EC" w:rsidRDefault="00000000">
      <w:pPr>
        <w:rPr>
          <w:rFonts w:hint="eastAsia"/>
        </w:rPr>
      </w:pPr>
      <w:r>
        <w:t xml:space="preserve">52.2 Tier 1: resolution within 14 days returns full status automatically. Tier 2: full earn-back follows 14 days of clean compliance after remediation, with clean certification restoring full benefits automatically on Day 15; over-compliance credit compresses the period by up to 25 percent, minimum 11 days. Tier 3: full earn-back follows 90 days of sustained clean </w:t>
      </w:r>
      <w:r>
        <w:lastRenderedPageBreak/>
        <w:t>compliance on the intensive-to-reduced monitoring schedule of Annex E, with clean certification plus majority confirmation restoring full benefits on Day 91; over-compliance credit compresses the period by up to 25 percent, minimum 68 days.</w:t>
      </w:r>
    </w:p>
    <w:p w14:paraId="21F78A15" w14:textId="77777777" w:rsidR="00D708EC" w:rsidRDefault="00000000">
      <w:pPr>
        <w:rPr>
          <w:rFonts w:hint="eastAsia"/>
        </w:rPr>
      </w:pPr>
      <w:r>
        <w:t>52.3 Earn-back never requires admission of guilt, payment of damages, political concessions beyond return to compliance, or renegotiation of the underlying commitment. Earn-back requires verified compliance, sustained compliance for the monitoring period, technical or majority confirmation, and no new Tier 2 or Tier 3 violation during the period.</w:t>
      </w:r>
    </w:p>
    <w:p w14:paraId="30791867" w14:textId="77777777" w:rsidR="00D708EC" w:rsidRDefault="00000000">
      <w:pPr>
        <w:rPr>
          <w:rFonts w:hint="eastAsia"/>
        </w:rPr>
      </w:pPr>
      <w:r>
        <w:t>52.4 The earn-back credit system banks compliance: each month of sustained compliance beyond baseline accrues one credit week, applicable to future earn-back periods.</w:t>
      </w:r>
    </w:p>
    <w:p w14:paraId="30A9F9EA" w14:textId="77777777" w:rsidR="00D708EC" w:rsidRDefault="00000000">
      <w:pPr>
        <w:pStyle w:val="Heading2"/>
        <w:rPr>
          <w:rFonts w:hint="eastAsia"/>
        </w:rPr>
      </w:pPr>
      <w:bookmarkStart w:id="87" w:name="_Toc237663601"/>
      <w:r>
        <w:t>Article 52A: Relief Permanence</w:t>
      </w:r>
      <w:bookmarkEnd w:id="87"/>
    </w:p>
    <w:p w14:paraId="03E55F54" w14:textId="77777777" w:rsidR="00D708EC" w:rsidRDefault="00000000">
      <w:pPr>
        <w:rPr>
          <w:rFonts w:hint="eastAsia"/>
        </w:rPr>
      </w:pPr>
      <w:r>
        <w:t>52A.1 Delivered relief measures convert to permanent status after 24 months of sustained compliance, sustained compliance meaning no Tier 2 or higher step-back action during that period. A step-back action resets the clock.</w:t>
      </w:r>
    </w:p>
    <w:p w14:paraId="1186BA6A" w14:textId="77777777" w:rsidR="00D708EC" w:rsidRDefault="00000000">
      <w:pPr>
        <w:rPr>
          <w:rFonts w:hint="eastAsia"/>
        </w:rPr>
      </w:pPr>
      <w:r>
        <w:t>52A.2 After a relief measure achieves permanent status, its reversal requires a formal finding of material breach through the Human-in-the-Loop Review with Guarantor Matrix confirmation. Relief permanence protects earned normalization from ordinary political weather: the longer the peace holds, the harder it becomes to unmake.</w:t>
      </w:r>
    </w:p>
    <w:p w14:paraId="78AA1E04" w14:textId="77777777" w:rsidR="00D708EC" w:rsidRDefault="00000000">
      <w:pPr>
        <w:pStyle w:val="Heading2"/>
        <w:rPr>
          <w:rFonts w:hint="eastAsia"/>
        </w:rPr>
      </w:pPr>
      <w:bookmarkStart w:id="88" w:name="_Toc237663602"/>
      <w:r>
        <w:t>Article 53: Cross-Module Spillover Protection</w:t>
      </w:r>
      <w:bookmarkEnd w:id="88"/>
    </w:p>
    <w:p w14:paraId="314E716C" w14:textId="77777777" w:rsidR="00D708EC" w:rsidRDefault="00000000">
      <w:pPr>
        <w:rPr>
          <w:rFonts w:hint="eastAsia"/>
        </w:rPr>
      </w:pPr>
      <w:r>
        <w:t>53.1 Default rule: step-back applies only within the module where the violation occurred. A maritime violation touches maritime benefits; it never touches nuclear relief, reconstruction disbursements, or humanitarian flows.</w:t>
      </w:r>
    </w:p>
    <w:p w14:paraId="2961FA5A" w14:textId="77777777" w:rsidR="00D708EC" w:rsidRDefault="00000000">
      <w:pPr>
        <w:rPr>
          <w:rFonts w:hint="eastAsia"/>
        </w:rPr>
      </w:pPr>
      <w:r>
        <w:t>53.2 Exception: cross-module spillover requires certification by two-thirds majority that the violation directly and materially undermines a different module, under the Consensus Minus One rule excluding the affected Party's vote. Failure of certification refers the question to the Guarantor Matrix for final political judgment.</w:t>
      </w:r>
    </w:p>
    <w:p w14:paraId="2ECE186D" w14:textId="77777777" w:rsidR="00D708EC" w:rsidRDefault="00000000">
      <w:pPr>
        <w:rPr>
          <w:rFonts w:hint="eastAsia"/>
        </w:rPr>
      </w:pPr>
      <w:r>
        <w:t>53.3 The Partial Success Doctrine: no single unresolved module invalidates the remainder of the framework. Each module operates as an independent contractual track. This doctrine is binding and interpretive.</w:t>
      </w:r>
    </w:p>
    <w:p w14:paraId="338BDD3F" w14:textId="77777777" w:rsidR="00D708EC" w:rsidRDefault="00000000">
      <w:pPr>
        <w:pStyle w:val="Heading2"/>
        <w:rPr>
          <w:rFonts w:hint="eastAsia"/>
        </w:rPr>
      </w:pPr>
      <w:bookmarkStart w:id="89" w:name="_Toc237663603"/>
      <w:r>
        <w:t>Article 54: The Protective Architecture</w:t>
      </w:r>
      <w:bookmarkEnd w:id="89"/>
    </w:p>
    <w:p w14:paraId="17B396F3" w14:textId="77777777" w:rsidR="00D708EC" w:rsidRDefault="00000000">
      <w:pPr>
        <w:rPr>
          <w:rFonts w:hint="eastAsia"/>
        </w:rPr>
      </w:pPr>
      <w:r>
        <w:t>54.1 Temporary Operational Suspension. Either Principal Party invokes suspension for up to 14 days per invocation, maximum three invocations per calendar year. Suspension freezes new obligations and preserves verification custody, the Standing Channel, humanitarian corridors, and escrowed funds. Suspension is a safety valve, never a breach, and it pauses both earn-back timelines and penalty durations.</w:t>
      </w:r>
    </w:p>
    <w:p w14:paraId="5FB2B2AE" w14:textId="77777777" w:rsidR="00D708EC" w:rsidRDefault="00000000">
      <w:pPr>
        <w:rPr>
          <w:rFonts w:hint="eastAsia"/>
        </w:rPr>
      </w:pPr>
      <w:r>
        <w:lastRenderedPageBreak/>
        <w:t>54.2 The Good Faith Reset. A Party whose Verification Fund score falls to negative 20 or below resets to zero once per phase, upon written acknowledgment of errors logged in the Registry and a 7-day enhanced-cooperation commitment of daily liaison contact and same-day verification responses. The reset prevents irreversible negative spirals; the once-per-phase limit prevents abuse.</w:t>
      </w:r>
    </w:p>
    <w:p w14:paraId="657DA536" w14:textId="77777777" w:rsidR="00D708EC" w:rsidRDefault="00000000">
      <w:pPr>
        <w:rPr>
          <w:rFonts w:hint="eastAsia"/>
        </w:rPr>
      </w:pPr>
      <w:r>
        <w:t>54.3 Mutual Consent Escalation. The verification score is advisory. Both Parties, by joint written agreement transmitted simultaneously, override score-based outcomes, defer a Decision Point for joint telemetry review, or recalculate from the raw golden record. Either Party withdraws consent within 24 hours without penalty, whereupon the score-based pathway resumes automatically.</w:t>
      </w:r>
    </w:p>
    <w:p w14:paraId="2037E6F4" w14:textId="77777777" w:rsidR="00D708EC" w:rsidRDefault="00000000">
      <w:pPr>
        <w:rPr>
          <w:rFonts w:hint="eastAsia"/>
        </w:rPr>
      </w:pPr>
      <w:r>
        <w:t>54.4 The No Automatic Military Escalation Clause. Under no circumstances does any compliance dispute, Tier classification, step-back penalty, or framework suspension automatically authorize, trigger, or justify the use of military force by any Party. The step-back architecture is purely economic and diplomatic. Military action requires separate, explicit decision by the head of government of a Party under its constitutional procedures. This separation is absolute and non-waivable.</w:t>
      </w:r>
    </w:p>
    <w:p w14:paraId="1BA3EC6B" w14:textId="77777777" w:rsidR="00D708EC" w:rsidRDefault="00000000">
      <w:pPr>
        <w:rPr>
          <w:rFonts w:hint="eastAsia"/>
        </w:rPr>
      </w:pPr>
      <w:r>
        <w:t>54.5 The False Flag Protocol. Upon attacks by unknown actors: both Parties operate under a presumption of good faith; a 48-hour attribution-deferral window applies before any penalty assignment; forensic investigation precedes breach classification; rogue actors and false-flag operations stand explicitly excluded from bilateral penalties. The Integrity Cell conducts a standing false-flag forensic analysis of every incident in the Governance Area, examining weapons residue, intercepts where available, vessel-track anomalies, and third-party staging evidence, and publishes a classification within 14 days: confirmed state actor, confirmed non-state actor, inconclusive, or confirmed false flag. A confirmed false flag finding restores standing automatically for any Party targeted by the staged incident.</w:t>
      </w:r>
    </w:p>
    <w:p w14:paraId="7AB18D2C" w14:textId="77777777" w:rsidR="00D708EC" w:rsidRDefault="00000000">
      <w:pPr>
        <w:rPr>
          <w:rFonts w:hint="eastAsia"/>
        </w:rPr>
      </w:pPr>
      <w:r>
        <w:t>54.6 The Political Discretion Fund. A fund of 50 million dollars, capitalized equally by the Principal Parties, held in a dedicated sub-account of the Qatar escrow, operates outside the step-back system entirely. No Tier 2 or Tier 3 penalty reduces, freezes, or delays it. Disbursement of amounts at or below five million dollars per decision executes by majority vote of the Permanent Coordination Council, with the Swiss Technical Facilitator certifying conformity with the permitted uses. Disbursement of amounts above five million dollars requires unanimous agreement of both heads of government plus the Swiss Technical Facilitator. Permitted uses: goodwill projects, partial compliance rewards, confidence-building measures. Prohibited uses: military purposes, intelligence activities, penalty payments, and any purpose violating the No Regime Change Objective.</w:t>
      </w:r>
    </w:p>
    <w:p w14:paraId="0881DC0E" w14:textId="77777777" w:rsidR="00D708EC" w:rsidRDefault="00000000">
      <w:pPr>
        <w:pStyle w:val="Heading2"/>
        <w:rPr>
          <w:rFonts w:hint="eastAsia"/>
        </w:rPr>
      </w:pPr>
      <w:bookmarkStart w:id="90" w:name="_Toc237663604"/>
      <w:r>
        <w:t>Article 54A: The Good Faith Exception</w:t>
      </w:r>
      <w:bookmarkEnd w:id="90"/>
    </w:p>
    <w:p w14:paraId="78E3BD5B" w14:textId="77777777" w:rsidR="00D708EC" w:rsidRDefault="00000000">
      <w:pPr>
        <w:rPr>
          <w:rFonts w:hint="eastAsia"/>
        </w:rPr>
      </w:pPr>
      <w:r>
        <w:t xml:space="preserve">54A.1 A Party that fails an obligation petitions the Human-in-the-Loop Panel for a Good Faith Exception. Conditions: the failure results from events outside the Party's control; the </w:t>
      </w:r>
      <w:r>
        <w:lastRenderedPageBreak/>
        <w:t>Party provides verified evidence; and the Party commits to a remediation plan with an accelerated timeline.</w:t>
      </w:r>
    </w:p>
    <w:p w14:paraId="53E435B5" w14:textId="77777777" w:rsidR="00D708EC" w:rsidRDefault="00000000">
      <w:pPr>
        <w:rPr>
          <w:rFonts w:hint="eastAsia"/>
        </w:rPr>
      </w:pPr>
      <w:r>
        <w:t>54A.2 Where the Panel grants the exception: no corrective action triggers; the obligation deadline extends by the certified delay period; and the exception and its evidence base log in the Registry. The exception protects against genuine misfortune without opening a loophole: the evidence standard and the Registry record keep it honest.</w:t>
      </w:r>
    </w:p>
    <w:p w14:paraId="74ED3F16" w14:textId="77777777" w:rsidR="00D708EC" w:rsidRDefault="00000000">
      <w:pPr>
        <w:pStyle w:val="Heading2"/>
        <w:rPr>
          <w:rFonts w:hint="eastAsia"/>
        </w:rPr>
      </w:pPr>
      <w:bookmarkStart w:id="91" w:name="_Toc237663605"/>
      <w:r>
        <w:t>Article 54B: Quiet Periods</w:t>
      </w:r>
      <w:bookmarkEnd w:id="91"/>
    </w:p>
    <w:p w14:paraId="4C9A2321" w14:textId="77777777" w:rsidR="00D708EC" w:rsidRDefault="00000000">
      <w:pPr>
        <w:rPr>
          <w:rFonts w:hint="eastAsia"/>
        </w:rPr>
      </w:pPr>
      <w:r>
        <w:t>54B.1 The Human-in-the-Loop Panel declares a Quiet Period during high-political-stress events: elections, leadership transitions, or major policy shifts in any Principal Party. Duration: up to 60 days, triggered by any Party's request plus one neutral concurrence. Maximum two Quiet Periods per calendar year.</w:t>
      </w:r>
    </w:p>
    <w:p w14:paraId="504297CE" w14:textId="77777777" w:rsidR="00D708EC" w:rsidRDefault="00000000">
      <w:pPr>
        <w:rPr>
          <w:rFonts w:hint="eastAsia"/>
        </w:rPr>
      </w:pPr>
      <w:r>
        <w:t>54B.2 During a Quiet Period: core obligations continue and verify normally; discretionary process deadlines suspend with no penalties; and the step-back clock pauses. Quiet Periods prevent domestic political volatility from breaking an international framework that outlasts it.</w:t>
      </w:r>
    </w:p>
    <w:p w14:paraId="25C6AC7A" w14:textId="77777777" w:rsidR="00D708EC" w:rsidRDefault="00000000">
      <w:pPr>
        <w:pStyle w:val="Heading2"/>
        <w:rPr>
          <w:rFonts w:hint="eastAsia"/>
        </w:rPr>
      </w:pPr>
      <w:bookmarkStart w:id="92" w:name="_Toc237663606"/>
      <w:r>
        <w:t>Article 55: Red Team, Benchmarks, and Phase Assessment</w:t>
      </w:r>
      <w:bookmarkEnd w:id="92"/>
    </w:p>
    <w:p w14:paraId="51D39AB6" w14:textId="77777777" w:rsidR="00D708EC" w:rsidRDefault="00000000">
      <w:pPr>
        <w:rPr>
          <w:rFonts w:hint="eastAsia"/>
        </w:rPr>
      </w:pPr>
      <w:r>
        <w:t>55.1 The JMC maintains a standing Red Team that probes the monitoring system continuously, produces a findings report every seven days, and verifies corrective actions in its subsequent report. The Registry logs all findings and actions.</w:t>
      </w:r>
    </w:p>
    <w:p w14:paraId="3DE32284" w14:textId="77777777" w:rsidR="00D708EC" w:rsidRDefault="00000000">
      <w:pPr>
        <w:rPr>
          <w:rFonts w:hint="eastAsia"/>
        </w:rPr>
      </w:pPr>
      <w:r>
        <w:t>55.2 Performance benchmarks at each phase conclusion: system uptime above 95 percent across feeds; data latency differential below 30 seconds; false-positive rates below the defined thresholds; full 24/7 JMC staffing; Registry continuity with no data gap exceeding 15 minutes. The Phase Report transmits simultaneously to both Parties and the Council, constitutes presumptive evidence of system functionality, and no Party blocks, delays, or redacts it.</w:t>
      </w:r>
    </w:p>
    <w:p w14:paraId="4DAFF918" w14:textId="77777777" w:rsidR="00D708EC" w:rsidRDefault="00000000">
      <w:pPr>
        <w:rPr>
          <w:rFonts w:hint="eastAsia"/>
        </w:rPr>
      </w:pPr>
      <w:r>
        <w:t>55.3 Score-based pathway determination, the unified assessment checklist, score publication contents, the expedited verification track (4-hour claim submission, 6-hour response, 12-hour panel determination, double credit), the Counter-Evidence Review procedure, score resets at phase boundaries, the Material Breach Protocol, the Technical Corrections Protocol, and the Declassification Schedule each operate as written in Annex E.</w:t>
      </w:r>
    </w:p>
    <w:p w14:paraId="72F3F112" w14:textId="77777777" w:rsidR="00D708EC" w:rsidRDefault="00000000">
      <w:pPr>
        <w:pStyle w:val="Heading2"/>
        <w:rPr>
          <w:rFonts w:hint="eastAsia"/>
        </w:rPr>
      </w:pPr>
      <w:bookmarkStart w:id="93" w:name="_Toc237663607"/>
      <w:r>
        <w:t>Article 56: The Summary Operating Principles</w:t>
      </w:r>
      <w:bookmarkEnd w:id="93"/>
    </w:p>
    <w:p w14:paraId="13743A33" w14:textId="77777777" w:rsidR="00D708EC" w:rsidRDefault="00000000">
      <w:pPr>
        <w:rPr>
          <w:rFonts w:hint="eastAsia"/>
        </w:rPr>
      </w:pPr>
      <w:r>
        <w:t>The following principles govern every organ, official, and process of this Accord:</w:t>
      </w:r>
    </w:p>
    <w:p w14:paraId="6CE97757" w14:textId="77777777" w:rsidR="00D708EC" w:rsidRDefault="00000000">
      <w:pPr>
        <w:ind w:left="360"/>
        <w:rPr>
          <w:rFonts w:hint="eastAsia"/>
        </w:rPr>
      </w:pPr>
      <w:r>
        <w:rPr>
          <w:color w:val="37474F"/>
        </w:rPr>
        <w:t>•</w:t>
      </w:r>
      <w:r>
        <w:t>1. Proportionality governs everything. The penalty fits the violation.</w:t>
      </w:r>
    </w:p>
    <w:p w14:paraId="53942304" w14:textId="77777777" w:rsidR="00D708EC" w:rsidRDefault="00000000">
      <w:pPr>
        <w:ind w:left="360"/>
        <w:rPr>
          <w:rFonts w:hint="eastAsia"/>
        </w:rPr>
      </w:pPr>
      <w:r>
        <w:rPr>
          <w:color w:val="37474F"/>
        </w:rPr>
        <w:t>•</w:t>
      </w:r>
      <w:r>
        <w:t>2. Human judgment sits above automation. AI informs; humans decide.</w:t>
      </w:r>
    </w:p>
    <w:p w14:paraId="75102532" w14:textId="77777777" w:rsidR="00D708EC" w:rsidRDefault="00000000">
      <w:pPr>
        <w:ind w:left="360"/>
        <w:rPr>
          <w:rFonts w:hint="eastAsia"/>
        </w:rPr>
      </w:pPr>
      <w:r>
        <w:rPr>
          <w:color w:val="37474F"/>
        </w:rPr>
        <w:lastRenderedPageBreak/>
        <w:t>•</w:t>
      </w:r>
      <w:r>
        <w:t>3. Earn-back is always available. No violation creates permanent exclusion.</w:t>
      </w:r>
    </w:p>
    <w:p w14:paraId="076FD9B7" w14:textId="77777777" w:rsidR="00D708EC" w:rsidRDefault="00000000">
      <w:pPr>
        <w:ind w:left="360"/>
        <w:rPr>
          <w:rFonts w:hint="eastAsia"/>
        </w:rPr>
      </w:pPr>
      <w:r>
        <w:rPr>
          <w:color w:val="37474F"/>
        </w:rPr>
        <w:t>•</w:t>
      </w:r>
      <w:r>
        <w:t>4. Humanitarian flows are sacred. No step-back touches food, medicine, or safety.</w:t>
      </w:r>
    </w:p>
    <w:p w14:paraId="69000058" w14:textId="77777777" w:rsidR="00D708EC" w:rsidRDefault="00000000">
      <w:pPr>
        <w:ind w:left="360"/>
        <w:rPr>
          <w:rFonts w:hint="eastAsia"/>
        </w:rPr>
      </w:pPr>
      <w:r>
        <w:rPr>
          <w:color w:val="37474F"/>
        </w:rPr>
        <w:t>•</w:t>
      </w:r>
      <w:r>
        <w:t>5. Modules fire independently. Failure in one does not collapse the rest.</w:t>
      </w:r>
    </w:p>
    <w:p w14:paraId="401A1905" w14:textId="77777777" w:rsidR="00D708EC" w:rsidRDefault="00000000">
      <w:pPr>
        <w:ind w:left="360"/>
        <w:rPr>
          <w:rFonts w:hint="eastAsia"/>
        </w:rPr>
      </w:pPr>
      <w:r>
        <w:rPr>
          <w:color w:val="37474F"/>
        </w:rPr>
        <w:t>•</w:t>
      </w:r>
      <w:r>
        <w:t>6. Cooling-off prevents heat-of-moment escalation. Every penalty pauses for consultation.</w:t>
      </w:r>
    </w:p>
    <w:p w14:paraId="443EA19E" w14:textId="77777777" w:rsidR="00D708EC" w:rsidRDefault="00000000">
      <w:pPr>
        <w:ind w:left="360"/>
        <w:rPr>
          <w:rFonts w:hint="eastAsia"/>
        </w:rPr>
      </w:pPr>
      <w:r>
        <w:rPr>
          <w:color w:val="37474F"/>
        </w:rPr>
        <w:t>•</w:t>
      </w:r>
      <w:r>
        <w:t>7. Monitoring gaps trigger automatic protection. The 48-hour telemetry rule admits no human override.</w:t>
      </w:r>
    </w:p>
    <w:p w14:paraId="31CB0B35" w14:textId="77777777" w:rsidR="00D708EC" w:rsidRDefault="00000000">
      <w:pPr>
        <w:ind w:left="360"/>
        <w:rPr>
          <w:rFonts w:hint="eastAsia"/>
        </w:rPr>
      </w:pPr>
      <w:r>
        <w:rPr>
          <w:color w:val="37474F"/>
        </w:rPr>
        <w:t>•</w:t>
      </w:r>
      <w:r>
        <w:t>8. Partial success survives. The framework endures even when individual modules lag.</w:t>
      </w:r>
    </w:p>
    <w:p w14:paraId="5579BDCE" w14:textId="77777777" w:rsidR="00D708EC" w:rsidRDefault="00000000">
      <w:pPr>
        <w:ind w:left="360"/>
        <w:rPr>
          <w:rFonts w:hint="eastAsia"/>
        </w:rPr>
      </w:pPr>
      <w:r>
        <w:rPr>
          <w:color w:val="37474F"/>
        </w:rPr>
        <w:t>•</w:t>
      </w:r>
      <w:r>
        <w:t>9. Military escalation is structurally decoupled. Economic penalties never authorize force.</w:t>
      </w:r>
    </w:p>
    <w:p w14:paraId="3A73619A" w14:textId="77777777" w:rsidR="00D708EC" w:rsidRDefault="00000000">
      <w:pPr>
        <w:ind w:left="360"/>
        <w:rPr>
          <w:rFonts w:hint="eastAsia"/>
        </w:rPr>
      </w:pPr>
      <w:r>
        <w:rPr>
          <w:color w:val="37474F"/>
        </w:rPr>
        <w:t>•</w:t>
      </w:r>
      <w:r>
        <w:t>10. The framework presumes good faith. Attribution requires evidence. False flags stand excluded.</w:t>
      </w:r>
    </w:p>
    <w:p w14:paraId="77741BA5" w14:textId="77777777" w:rsidR="00D708EC" w:rsidRDefault="00000000">
      <w:pPr>
        <w:ind w:left="360"/>
        <w:rPr>
          <w:rFonts w:hint="eastAsia"/>
        </w:rPr>
      </w:pPr>
      <w:r>
        <w:rPr>
          <w:color w:val="37474F"/>
        </w:rPr>
        <w:t>•</w:t>
      </w:r>
      <w:r>
        <w:t>11. Data is data. No political meaning attaches to its collection or sharing.</w:t>
      </w:r>
    </w:p>
    <w:p w14:paraId="3C558CD1" w14:textId="77777777" w:rsidR="00D708EC" w:rsidRDefault="00000000">
      <w:pPr>
        <w:ind w:left="360"/>
        <w:rPr>
          <w:rFonts w:hint="eastAsia"/>
        </w:rPr>
      </w:pPr>
      <w:r>
        <w:rPr>
          <w:color w:val="37474F"/>
        </w:rPr>
        <w:t>•</w:t>
      </w:r>
      <w:r>
        <w:t>12. Verification is reciprocal. All parties invest; all parties verify; all parties recover.</w:t>
      </w:r>
    </w:p>
    <w:p w14:paraId="3907FBC7" w14:textId="77777777" w:rsidR="00D708EC" w:rsidRDefault="00D708EC">
      <w:pPr>
        <w:pageBreakBefore/>
        <w:rPr>
          <w:rFonts w:hint="eastAsia"/>
        </w:rPr>
      </w:pPr>
    </w:p>
    <w:p w14:paraId="0252D092" w14:textId="77777777" w:rsidR="00D708EC" w:rsidRDefault="00000000">
      <w:pPr>
        <w:pStyle w:val="Heading1"/>
        <w:rPr>
          <w:rFonts w:hint="eastAsia"/>
        </w:rPr>
      </w:pPr>
      <w:bookmarkStart w:id="94" w:name="_Toc237663608"/>
      <w:r>
        <w:t>LAYER THREE: IMPLEMENTATION, SEQUENCING, AND ENFORCEMENT</w:t>
      </w:r>
      <w:bookmarkEnd w:id="94"/>
    </w:p>
    <w:p w14:paraId="3E182B42" w14:textId="77777777" w:rsidR="00D708EC" w:rsidRDefault="00000000">
      <w:pPr>
        <w:pStyle w:val="Heading2"/>
        <w:rPr>
          <w:rFonts w:hint="eastAsia"/>
        </w:rPr>
      </w:pPr>
      <w:bookmarkStart w:id="95" w:name="_Toc237663609"/>
      <w:r>
        <w:t>Article 57: The Executive Mechanism (Joint Implementation Commission)</w:t>
      </w:r>
      <w:bookmarkEnd w:id="95"/>
    </w:p>
    <w:p w14:paraId="404061FD" w14:textId="77777777" w:rsidR="00D708EC" w:rsidRDefault="00000000">
      <w:pPr>
        <w:rPr>
          <w:rFonts w:hint="eastAsia"/>
        </w:rPr>
      </w:pPr>
      <w:r>
        <w:t>57.1 Establishment. The Parties establish the Joint Implementation Commission (JIC) as the executive mechanism of this Accord, succeeding the executive mechanism the Memorandum contemplated. The JIC seats: the two Principal Parties (one commissioner each, with one vote each), the Sultanate of Oman (one commissioner, one vote on maritime matters), the State of Qatar (one commissioner, one vote on financial matters), the Swiss Technical Facilitator (non-voting technical chair), and the Depositary (non-voting secretary). The IAEA, the IMO, and the World Bank attend as institutional observers within their mandates.</w:t>
      </w:r>
    </w:p>
    <w:p w14:paraId="00FBFDAE" w14:textId="77777777" w:rsidR="00D708EC" w:rsidRDefault="00000000">
      <w:pPr>
        <w:rPr>
          <w:rFonts w:hint="eastAsia"/>
        </w:rPr>
      </w:pPr>
      <w:r>
        <w:t>57.2 Functions. The JIC oversees implementation of every module; certifies milestones for the Reciprocity Ledger; operates the Perimeter Test; manages the technical dispute ladder; convenes the Permanent Coordination Council; and reports quarterly to the Parties, the Guarantor Matrix, and the United Nations Security Council.</w:t>
      </w:r>
    </w:p>
    <w:p w14:paraId="5E3FBCB9" w14:textId="77777777" w:rsidR="00D708EC" w:rsidRDefault="00000000">
      <w:pPr>
        <w:rPr>
          <w:rFonts w:hint="eastAsia"/>
        </w:rPr>
      </w:pPr>
      <w:r>
        <w:t>57.3 The Permanent Coordination Council. Senior political representatives of the Principal Parties and the Facilitating Parties meet monthly, and in emergency session within 48 hours upon call of any member. The Council handles the political tier of every dispute and every extension decision.</w:t>
      </w:r>
    </w:p>
    <w:p w14:paraId="4E37EE1B" w14:textId="77777777" w:rsidR="00D708EC" w:rsidRDefault="00000000">
      <w:pPr>
        <w:rPr>
          <w:rFonts w:hint="eastAsia"/>
        </w:rPr>
      </w:pPr>
      <w:r>
        <w:t>57.4 The Guarantor Matrix. The Matrix comprises the Facilitating Parties plus the rotating regional seat. It convenes within 48 hours of any Tier 3 classification, any failed Consensus Minus One certification, any RSC deadlock referral under Annex RDF, or any request of a Principal Party supported by a Facilitating Party. The Matrix issues binding procedural decisions and non-binding substantive recommendations, and it never amends the Treaty.</w:t>
      </w:r>
    </w:p>
    <w:p w14:paraId="52B67280" w14:textId="77777777" w:rsidR="00D708EC" w:rsidRDefault="00000000">
      <w:pPr>
        <w:pStyle w:val="Heading2"/>
        <w:rPr>
          <w:rFonts w:hint="eastAsia"/>
        </w:rPr>
      </w:pPr>
      <w:bookmarkStart w:id="96" w:name="_Toc237663610"/>
      <w:r>
        <w:t>Article 57A: The Architecture Health Monitor</w:t>
      </w:r>
      <w:bookmarkEnd w:id="96"/>
    </w:p>
    <w:p w14:paraId="3C537988" w14:textId="77777777" w:rsidR="00D708EC" w:rsidRDefault="00000000">
      <w:pPr>
        <w:rPr>
          <w:rFonts w:hint="eastAsia"/>
        </w:rPr>
      </w:pPr>
      <w:r>
        <w:t>57A.1 The JIC maintains a unified Architecture Health Monitor: a single 0 to 100 score, published weekly on the Compliance Dashboard, tracking compliance event rates, escrow and disbursement continuity, incident volumes across modules, verification system uptime, and the political participation indicators of the Council and the Matrix.</w:t>
      </w:r>
    </w:p>
    <w:p w14:paraId="696A38DC" w14:textId="77777777" w:rsidR="00D708EC" w:rsidRDefault="00000000">
      <w:pPr>
        <w:rPr>
          <w:rFonts w:hint="eastAsia"/>
        </w:rPr>
      </w:pPr>
      <w:r>
        <w:t>57A.2 The Monitor provides early warning of systemic decline. A score declining across four consecutive weeks triggers a technical review; a score below the caution threshold convenes the Permanent Coordination Council automatically. The Monitor measures the health of the architecture, never the virtue of a Party.</w:t>
      </w:r>
    </w:p>
    <w:p w14:paraId="2B1443B0" w14:textId="77777777" w:rsidR="00D708EC" w:rsidRDefault="00000000">
      <w:pPr>
        <w:pStyle w:val="Heading2"/>
        <w:rPr>
          <w:rFonts w:hint="eastAsia"/>
        </w:rPr>
      </w:pPr>
      <w:bookmarkStart w:id="97" w:name="_Toc237663611"/>
      <w:r>
        <w:lastRenderedPageBreak/>
        <w:t>Article 57B: The Neutrality Cluster Mesh</w:t>
      </w:r>
      <w:bookmarkEnd w:id="97"/>
    </w:p>
    <w:p w14:paraId="437582C4" w14:textId="77777777" w:rsidR="00D708EC" w:rsidRDefault="00000000">
      <w:pPr>
        <w:rPr>
          <w:rFonts w:hint="eastAsia"/>
        </w:rPr>
      </w:pPr>
      <w:r>
        <w:t>57B.1 The facilitation architecture operates as a mesh of three parallel neutrality clusters: a Regional Cluster (Oman, Qatar, Pakistan), a European Cluster (Switzerland and one rotating European neutral), and a Global Cluster (the institutional participants within their mandates). Each cluster pairs a co-coordinator from another cluster for every joint function, so that no single power controls the platform and no single capital hosts every secret.</w:t>
      </w:r>
    </w:p>
    <w:p w14:paraId="0E266C27" w14:textId="77777777" w:rsidR="00D708EC" w:rsidRDefault="00000000">
      <w:pPr>
        <w:rPr>
          <w:rFonts w:hint="eastAsia"/>
        </w:rPr>
      </w:pPr>
      <w:r>
        <w:t>57B.2 The clusters back each other up: where one cluster's function interrupts, the paired cluster assumes the function within 72 hours, and the Registry records the substitution.</w:t>
      </w:r>
    </w:p>
    <w:p w14:paraId="730FCA90" w14:textId="77777777" w:rsidR="00D708EC" w:rsidRDefault="00000000">
      <w:pPr>
        <w:pStyle w:val="Heading2"/>
        <w:rPr>
          <w:rFonts w:hint="eastAsia"/>
        </w:rPr>
      </w:pPr>
      <w:bookmarkStart w:id="98" w:name="_Toc237663612"/>
      <w:r>
        <w:t>Article 57C: The Weak Links Architecture</w:t>
      </w:r>
      <w:bookmarkEnd w:id="98"/>
    </w:p>
    <w:p w14:paraId="3FDAF192" w14:textId="77777777" w:rsidR="00D708EC" w:rsidRDefault="00000000">
      <w:pPr>
        <w:rPr>
          <w:rFonts w:hint="eastAsia"/>
        </w:rPr>
      </w:pPr>
      <w:r>
        <w:t>57C.1 Connections between operational clusters follow the Weak Links doctrine: flexible, low-frequency connections (periodic joint sessions, shared reserve arrangements, mutual notification lines) that preserve the autonomy of each cluster while preventing isolation. The architecture avoids strong-link dependency, in which the weakening of one node weakens every node tied to it.</w:t>
      </w:r>
    </w:p>
    <w:p w14:paraId="4D72403C" w14:textId="77777777" w:rsidR="00D708EC" w:rsidRDefault="00000000">
      <w:pPr>
        <w:rPr>
          <w:rFonts w:hint="eastAsia"/>
        </w:rPr>
      </w:pPr>
      <w:r>
        <w:t>57C.2 The JIC reviews the linkage map annually and adjusts connection frequency within the doctrine, keeping the system loosely coupled and thereby resilient.</w:t>
      </w:r>
    </w:p>
    <w:p w14:paraId="3317219A" w14:textId="77777777" w:rsidR="00D708EC" w:rsidRDefault="00000000">
      <w:pPr>
        <w:pStyle w:val="Heading2"/>
        <w:rPr>
          <w:rFonts w:hint="eastAsia"/>
        </w:rPr>
      </w:pPr>
      <w:bookmarkStart w:id="99" w:name="_Toc237663613"/>
      <w:r>
        <w:t>Article 57D: The Cold Data Reserve</w:t>
      </w:r>
      <w:bookmarkEnd w:id="99"/>
    </w:p>
    <w:p w14:paraId="1970E8B0" w14:textId="77777777" w:rsidR="00D708EC" w:rsidRDefault="00000000">
      <w:pPr>
        <w:rPr>
          <w:rFonts w:hint="eastAsia"/>
        </w:rPr>
      </w:pPr>
      <w:r>
        <w:t>57D.1 The Cold Data Reserve is the immutable, multi-copy, cryptographically secured log of all framework decisions, verification outcomes, and compliance determinations. The Reserve maintains four synchronized copies in four neutral jurisdictions, under the custody of the Depositary, the Swiss Technical Facilitator, and two rotating custodians.</w:t>
      </w:r>
    </w:p>
    <w:p w14:paraId="1B9B7651" w14:textId="77777777" w:rsidR="00D708EC" w:rsidRDefault="00000000">
      <w:pPr>
        <w:rPr>
          <w:rFonts w:hint="eastAsia"/>
        </w:rPr>
      </w:pPr>
      <w:r>
        <w:t>57D.2 The Reserve is the framework's permanent memory: it survives political transitions, leadership changes, and institutional disruptions. No Party, organ, or custodian alters or deletes a Reserve record; corrections enter only as new, appended records that preserve the original.</w:t>
      </w:r>
    </w:p>
    <w:p w14:paraId="3616B4C1" w14:textId="77777777" w:rsidR="00D708EC" w:rsidRDefault="00000000">
      <w:pPr>
        <w:pStyle w:val="Heading2"/>
        <w:rPr>
          <w:rFonts w:hint="eastAsia"/>
        </w:rPr>
      </w:pPr>
      <w:bookmarkStart w:id="100" w:name="_Toc237663614"/>
      <w:r>
        <w:t>Article 58: The Master Sequencing Calendar</w:t>
      </w:r>
      <w:bookmarkEnd w:id="100"/>
    </w:p>
    <w:p w14:paraId="202113DA" w14:textId="77777777" w:rsidR="00D708EC" w:rsidRDefault="00000000">
      <w:pPr>
        <w:rPr>
          <w:rFonts w:hint="eastAsia"/>
        </w:rPr>
      </w:pPr>
      <w:r>
        <w:t>58.1 The Treaty executes on the following synchronized calendar. Each row records a pair: no step executes alone.</w:t>
      </w:r>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752"/>
        <w:gridCol w:w="5458"/>
        <w:gridCol w:w="3016"/>
      </w:tblGrid>
      <w:tr w:rsidR="00D708EC" w14:paraId="28708D0D" w14:textId="77777777">
        <w:tc>
          <w:tcPr>
            <w:tcW w:w="0" w:type="auto"/>
            <w:shd w:val="clear" w:color="auto" w:fill="37474F"/>
          </w:tcPr>
          <w:p w14:paraId="30034D77" w14:textId="77777777" w:rsidR="00D708EC" w:rsidRDefault="00000000">
            <w:pPr>
              <w:rPr>
                <w:rFonts w:hint="eastAsia"/>
              </w:rPr>
            </w:pPr>
            <w:r>
              <w:rPr>
                <w:b/>
                <w:color w:val="FFFFFF"/>
                <w:sz w:val="19"/>
              </w:rPr>
              <w:t>Date</w:t>
            </w:r>
          </w:p>
        </w:tc>
        <w:tc>
          <w:tcPr>
            <w:tcW w:w="0" w:type="auto"/>
            <w:shd w:val="clear" w:color="auto" w:fill="37474F"/>
          </w:tcPr>
          <w:p w14:paraId="09BF9BB6" w14:textId="77777777" w:rsidR="00D708EC" w:rsidRDefault="00000000">
            <w:pPr>
              <w:rPr>
                <w:rFonts w:hint="eastAsia"/>
              </w:rPr>
            </w:pPr>
            <w:r>
              <w:rPr>
                <w:b/>
                <w:color w:val="FFFFFF"/>
                <w:sz w:val="19"/>
              </w:rPr>
              <w:t>Event</w:t>
            </w:r>
          </w:p>
        </w:tc>
        <w:tc>
          <w:tcPr>
            <w:tcW w:w="0" w:type="auto"/>
            <w:shd w:val="clear" w:color="auto" w:fill="37474F"/>
          </w:tcPr>
          <w:p w14:paraId="16C5418D" w14:textId="77777777" w:rsidR="00D708EC" w:rsidRDefault="00000000">
            <w:pPr>
              <w:rPr>
                <w:rFonts w:hint="eastAsia"/>
              </w:rPr>
            </w:pPr>
            <w:r>
              <w:rPr>
                <w:b/>
                <w:color w:val="FFFFFF"/>
                <w:sz w:val="19"/>
              </w:rPr>
              <w:t>Paired reciprocal event</w:t>
            </w:r>
          </w:p>
        </w:tc>
      </w:tr>
      <w:tr w:rsidR="00D708EC" w14:paraId="2D134405" w14:textId="77777777">
        <w:tc>
          <w:tcPr>
            <w:tcW w:w="0" w:type="auto"/>
          </w:tcPr>
          <w:p w14:paraId="00DFE280" w14:textId="77777777" w:rsidR="00D708EC" w:rsidRDefault="00000000">
            <w:pPr>
              <w:rPr>
                <w:rFonts w:hint="eastAsia"/>
              </w:rPr>
            </w:pPr>
            <w:r>
              <w:rPr>
                <w:sz w:val="19"/>
              </w:rPr>
              <w:t>Day Zero</w:t>
            </w:r>
          </w:p>
        </w:tc>
        <w:tc>
          <w:tcPr>
            <w:tcW w:w="0" w:type="auto"/>
          </w:tcPr>
          <w:p w14:paraId="2800F383" w14:textId="77777777" w:rsidR="00D708EC" w:rsidRDefault="00000000">
            <w:pPr>
              <w:rPr>
                <w:rFonts w:hint="eastAsia"/>
              </w:rPr>
            </w:pPr>
            <w:r>
              <w:rPr>
                <w:sz w:val="19"/>
              </w:rPr>
              <w:t>Entry into force; permanent cessation of hostilities; blockade termination order; corridors open on notification regime; humanitarian lane absolute; IAEA access activates</w:t>
            </w:r>
          </w:p>
        </w:tc>
        <w:tc>
          <w:tcPr>
            <w:tcW w:w="0" w:type="auto"/>
          </w:tcPr>
          <w:p w14:paraId="478AA61B" w14:textId="77777777" w:rsidR="00D708EC" w:rsidRDefault="00000000">
            <w:pPr>
              <w:rPr>
                <w:rFonts w:hint="eastAsia"/>
              </w:rPr>
            </w:pPr>
            <w:r>
              <w:rPr>
                <w:sz w:val="19"/>
              </w:rPr>
              <w:t>All listed steps execute simultaneously as one indivisible event</w:t>
            </w:r>
          </w:p>
        </w:tc>
      </w:tr>
      <w:tr w:rsidR="00D708EC" w14:paraId="652AED3E" w14:textId="77777777">
        <w:tc>
          <w:tcPr>
            <w:tcW w:w="0" w:type="auto"/>
            <w:shd w:val="clear" w:color="auto" w:fill="ECEFF1"/>
          </w:tcPr>
          <w:p w14:paraId="57254CAE" w14:textId="77777777" w:rsidR="00D708EC" w:rsidRDefault="00000000">
            <w:pPr>
              <w:rPr>
                <w:rFonts w:hint="eastAsia"/>
              </w:rPr>
            </w:pPr>
            <w:r>
              <w:rPr>
                <w:sz w:val="19"/>
              </w:rPr>
              <w:t>Day 1</w:t>
            </w:r>
          </w:p>
        </w:tc>
        <w:tc>
          <w:tcPr>
            <w:tcW w:w="0" w:type="auto"/>
            <w:shd w:val="clear" w:color="auto" w:fill="ECEFF1"/>
          </w:tcPr>
          <w:p w14:paraId="4CFB9962" w14:textId="77777777" w:rsidR="00D708EC" w:rsidRDefault="00000000">
            <w:pPr>
              <w:rPr>
                <w:rFonts w:hint="eastAsia"/>
              </w:rPr>
            </w:pPr>
            <w:r>
              <w:rPr>
                <w:sz w:val="19"/>
              </w:rPr>
              <w:t xml:space="preserve">Inventory Day: complete nuclear declaration and IAEA </w:t>
            </w:r>
            <w:r>
              <w:rPr>
                <w:sz w:val="19"/>
              </w:rPr>
              <w:lastRenderedPageBreak/>
              <w:t>physical inventory</w:t>
            </w:r>
          </w:p>
        </w:tc>
        <w:tc>
          <w:tcPr>
            <w:tcW w:w="0" w:type="auto"/>
            <w:shd w:val="clear" w:color="auto" w:fill="ECEFF1"/>
          </w:tcPr>
          <w:p w14:paraId="6B382D33" w14:textId="77777777" w:rsidR="00D708EC" w:rsidRDefault="00000000">
            <w:pPr>
              <w:rPr>
                <w:rFonts w:hint="eastAsia"/>
              </w:rPr>
            </w:pPr>
            <w:r>
              <w:rPr>
                <w:sz w:val="19"/>
              </w:rPr>
              <w:lastRenderedPageBreak/>
              <w:t xml:space="preserve">T-1 sanctions tranche issues; </w:t>
            </w:r>
            <w:r>
              <w:rPr>
                <w:sz w:val="19"/>
              </w:rPr>
              <w:lastRenderedPageBreak/>
              <w:t>Pool A first release window opens</w:t>
            </w:r>
          </w:p>
        </w:tc>
      </w:tr>
      <w:tr w:rsidR="00D708EC" w14:paraId="7276EC63" w14:textId="77777777">
        <w:tc>
          <w:tcPr>
            <w:tcW w:w="0" w:type="auto"/>
          </w:tcPr>
          <w:p w14:paraId="3ADC5D22" w14:textId="77777777" w:rsidR="00D708EC" w:rsidRDefault="00000000">
            <w:pPr>
              <w:rPr>
                <w:rFonts w:hint="eastAsia"/>
              </w:rPr>
            </w:pPr>
            <w:r>
              <w:rPr>
                <w:sz w:val="19"/>
              </w:rPr>
              <w:lastRenderedPageBreak/>
              <w:t>Day 3</w:t>
            </w:r>
          </w:p>
        </w:tc>
        <w:tc>
          <w:tcPr>
            <w:tcW w:w="0" w:type="auto"/>
          </w:tcPr>
          <w:p w14:paraId="32EDB3A0" w14:textId="77777777" w:rsidR="00D708EC" w:rsidRDefault="00000000">
            <w:pPr>
              <w:rPr>
                <w:rFonts w:hint="eastAsia"/>
              </w:rPr>
            </w:pPr>
            <w:r>
              <w:rPr>
                <w:sz w:val="19"/>
              </w:rPr>
              <w:t>W-1 withdrawal phase complete</w:t>
            </w:r>
          </w:p>
        </w:tc>
        <w:tc>
          <w:tcPr>
            <w:tcW w:w="0" w:type="auto"/>
          </w:tcPr>
          <w:p w14:paraId="6410C588" w14:textId="77777777" w:rsidR="00D708EC" w:rsidRDefault="00000000">
            <w:pPr>
              <w:rPr>
                <w:rFonts w:hint="eastAsia"/>
              </w:rPr>
            </w:pPr>
            <w:r>
              <w:rPr>
                <w:sz w:val="19"/>
              </w:rPr>
              <w:t>JMC certification; Registry publication</w:t>
            </w:r>
          </w:p>
        </w:tc>
      </w:tr>
      <w:tr w:rsidR="00D708EC" w14:paraId="78ADBA51" w14:textId="77777777">
        <w:tc>
          <w:tcPr>
            <w:tcW w:w="0" w:type="auto"/>
            <w:shd w:val="clear" w:color="auto" w:fill="ECEFF1"/>
          </w:tcPr>
          <w:p w14:paraId="57578714" w14:textId="77777777" w:rsidR="00D708EC" w:rsidRDefault="00000000">
            <w:pPr>
              <w:rPr>
                <w:rFonts w:hint="eastAsia"/>
              </w:rPr>
            </w:pPr>
            <w:r>
              <w:rPr>
                <w:sz w:val="19"/>
              </w:rPr>
              <w:t>Day 7</w:t>
            </w:r>
          </w:p>
        </w:tc>
        <w:tc>
          <w:tcPr>
            <w:tcW w:w="0" w:type="auto"/>
            <w:shd w:val="clear" w:color="auto" w:fill="ECEFF1"/>
          </w:tcPr>
          <w:p w14:paraId="53E5E082" w14:textId="77777777" w:rsidR="00D708EC" w:rsidRDefault="00000000">
            <w:pPr>
              <w:rPr>
                <w:rFonts w:hint="eastAsia"/>
              </w:rPr>
            </w:pPr>
            <w:r>
              <w:rPr>
                <w:sz w:val="19"/>
              </w:rPr>
              <w:t>T-1 fully effective; agricultural priority-consideration window operational</w:t>
            </w:r>
          </w:p>
        </w:tc>
        <w:tc>
          <w:tcPr>
            <w:tcW w:w="0" w:type="auto"/>
            <w:shd w:val="clear" w:color="auto" w:fill="ECEFF1"/>
          </w:tcPr>
          <w:p w14:paraId="34E2B7B0" w14:textId="77777777" w:rsidR="00D708EC" w:rsidRDefault="00000000">
            <w:pPr>
              <w:rPr>
                <w:rFonts w:hint="eastAsia"/>
              </w:rPr>
            </w:pPr>
            <w:r>
              <w:rPr>
                <w:sz w:val="19"/>
              </w:rPr>
              <w:t>Crew and vessel release certification completes</w:t>
            </w:r>
          </w:p>
        </w:tc>
      </w:tr>
      <w:tr w:rsidR="00D708EC" w14:paraId="18BF379F" w14:textId="77777777">
        <w:tc>
          <w:tcPr>
            <w:tcW w:w="0" w:type="auto"/>
          </w:tcPr>
          <w:p w14:paraId="3BD1BE65" w14:textId="77777777" w:rsidR="00D708EC" w:rsidRDefault="00000000">
            <w:pPr>
              <w:rPr>
                <w:rFonts w:hint="eastAsia"/>
              </w:rPr>
            </w:pPr>
            <w:r>
              <w:rPr>
                <w:sz w:val="19"/>
              </w:rPr>
              <w:t>Hour 72</w:t>
            </w:r>
          </w:p>
        </w:tc>
        <w:tc>
          <w:tcPr>
            <w:tcW w:w="0" w:type="auto"/>
          </w:tcPr>
          <w:p w14:paraId="78820407" w14:textId="77777777" w:rsidR="00D708EC" w:rsidRDefault="00000000">
            <w:pPr>
              <w:rPr>
                <w:rFonts w:hint="eastAsia"/>
              </w:rPr>
            </w:pPr>
            <w:r>
              <w:rPr>
                <w:sz w:val="19"/>
              </w:rPr>
              <w:t>Corridor Three opens (Southern Assurance Corridor, provisional certification)</w:t>
            </w:r>
          </w:p>
        </w:tc>
        <w:tc>
          <w:tcPr>
            <w:tcW w:w="0" w:type="auto"/>
          </w:tcPr>
          <w:p w14:paraId="2EE16A7E" w14:textId="77777777" w:rsidR="00D708EC" w:rsidRDefault="00000000">
            <w:pPr>
              <w:rPr>
                <w:rFonts w:hint="eastAsia"/>
              </w:rPr>
            </w:pPr>
            <w:r>
              <w:rPr>
                <w:sz w:val="19"/>
              </w:rPr>
              <w:t>Insurance channel activation</w:t>
            </w:r>
          </w:p>
        </w:tc>
      </w:tr>
      <w:tr w:rsidR="00D708EC" w14:paraId="6E1F5939" w14:textId="77777777">
        <w:tc>
          <w:tcPr>
            <w:tcW w:w="0" w:type="auto"/>
            <w:shd w:val="clear" w:color="auto" w:fill="ECEFF1"/>
          </w:tcPr>
          <w:p w14:paraId="7AC58C0D" w14:textId="77777777" w:rsidR="00D708EC" w:rsidRDefault="00000000">
            <w:pPr>
              <w:rPr>
                <w:rFonts w:hint="eastAsia"/>
              </w:rPr>
            </w:pPr>
            <w:r>
              <w:rPr>
                <w:sz w:val="19"/>
              </w:rPr>
              <w:t>Day 15</w:t>
            </w:r>
          </w:p>
        </w:tc>
        <w:tc>
          <w:tcPr>
            <w:tcW w:w="0" w:type="auto"/>
            <w:shd w:val="clear" w:color="auto" w:fill="ECEFF1"/>
          </w:tcPr>
          <w:p w14:paraId="079ABEE5" w14:textId="77777777" w:rsidR="00D708EC" w:rsidRDefault="00000000">
            <w:pPr>
              <w:rPr>
                <w:rFonts w:hint="eastAsia"/>
              </w:rPr>
            </w:pPr>
            <w:r>
              <w:rPr>
                <w:sz w:val="19"/>
              </w:rPr>
              <w:t>T-2 tranche; down-blending campaign verified under way</w:t>
            </w:r>
          </w:p>
        </w:tc>
        <w:tc>
          <w:tcPr>
            <w:tcW w:w="0" w:type="auto"/>
            <w:shd w:val="clear" w:color="auto" w:fill="ECEFF1"/>
          </w:tcPr>
          <w:p w14:paraId="569A0785" w14:textId="77777777" w:rsidR="00D708EC" w:rsidRDefault="00000000">
            <w:pPr>
              <w:rPr>
                <w:rFonts w:hint="eastAsia"/>
              </w:rPr>
            </w:pPr>
            <w:r>
              <w:rPr>
                <w:sz w:val="19"/>
              </w:rPr>
              <w:t>W-2 and W-3 withdrawal phases verified</w:t>
            </w:r>
          </w:p>
        </w:tc>
      </w:tr>
      <w:tr w:rsidR="00D708EC" w14:paraId="6286D922" w14:textId="77777777">
        <w:tc>
          <w:tcPr>
            <w:tcW w:w="0" w:type="auto"/>
          </w:tcPr>
          <w:p w14:paraId="43AECCBA" w14:textId="77777777" w:rsidR="00D708EC" w:rsidRDefault="00000000">
            <w:pPr>
              <w:rPr>
                <w:rFonts w:hint="eastAsia"/>
              </w:rPr>
            </w:pPr>
            <w:r>
              <w:rPr>
                <w:sz w:val="19"/>
              </w:rPr>
              <w:t>Day 30</w:t>
            </w:r>
          </w:p>
        </w:tc>
        <w:tc>
          <w:tcPr>
            <w:tcW w:w="0" w:type="auto"/>
          </w:tcPr>
          <w:p w14:paraId="23F0E080" w14:textId="77777777" w:rsidR="00D708EC" w:rsidRDefault="00000000">
            <w:pPr>
              <w:rPr>
                <w:rFonts w:hint="eastAsia"/>
              </w:rPr>
            </w:pPr>
            <w:r>
              <w:rPr>
                <w:sz w:val="19"/>
              </w:rPr>
              <w:t>Down-blending complete; Corridor One opens after mine clearance and certification; W-4 withdrawal certificate</w:t>
            </w:r>
          </w:p>
        </w:tc>
        <w:tc>
          <w:tcPr>
            <w:tcW w:w="0" w:type="auto"/>
          </w:tcPr>
          <w:p w14:paraId="6AE15BAD" w14:textId="77777777" w:rsidR="00D708EC" w:rsidRDefault="00000000">
            <w:pPr>
              <w:rPr>
                <w:rFonts w:hint="eastAsia"/>
              </w:rPr>
            </w:pPr>
            <w:r>
              <w:rPr>
                <w:sz w:val="19"/>
              </w:rPr>
              <w:t>T-3 tranche: secondary sanctions terminate; petroleum normalization</w:t>
            </w:r>
          </w:p>
        </w:tc>
      </w:tr>
      <w:tr w:rsidR="00D708EC" w14:paraId="129596A4" w14:textId="77777777">
        <w:tc>
          <w:tcPr>
            <w:tcW w:w="0" w:type="auto"/>
            <w:shd w:val="clear" w:color="auto" w:fill="ECEFF1"/>
          </w:tcPr>
          <w:p w14:paraId="6A44CCBC" w14:textId="77777777" w:rsidR="00D708EC" w:rsidRDefault="00000000">
            <w:pPr>
              <w:rPr>
                <w:rFonts w:hint="eastAsia"/>
              </w:rPr>
            </w:pPr>
            <w:r>
              <w:rPr>
                <w:sz w:val="19"/>
              </w:rPr>
              <w:t>Day 45</w:t>
            </w:r>
          </w:p>
        </w:tc>
        <w:tc>
          <w:tcPr>
            <w:tcW w:w="0" w:type="auto"/>
            <w:shd w:val="clear" w:color="auto" w:fill="ECEFF1"/>
          </w:tcPr>
          <w:p w14:paraId="6C6F2AE6" w14:textId="77777777" w:rsidR="00D708EC" w:rsidRDefault="00000000">
            <w:pPr>
              <w:rPr>
                <w:rFonts w:hint="eastAsia"/>
              </w:rPr>
            </w:pPr>
            <w:r>
              <w:rPr>
                <w:sz w:val="19"/>
              </w:rPr>
              <w:t>First Stability Audit of the corridor system</w:t>
            </w:r>
          </w:p>
        </w:tc>
        <w:tc>
          <w:tcPr>
            <w:tcW w:w="0" w:type="auto"/>
            <w:shd w:val="clear" w:color="auto" w:fill="ECEFF1"/>
          </w:tcPr>
          <w:p w14:paraId="7FCDBB41" w14:textId="77777777" w:rsidR="00D708EC" w:rsidRDefault="00000000">
            <w:pPr>
              <w:rPr>
                <w:rFonts w:hint="eastAsia"/>
              </w:rPr>
            </w:pPr>
            <w:r>
              <w:rPr>
                <w:sz w:val="19"/>
              </w:rPr>
              <w:t>Stewardship Fund capitalization target met</w:t>
            </w:r>
          </w:p>
        </w:tc>
      </w:tr>
      <w:tr w:rsidR="00D708EC" w14:paraId="7901C761" w14:textId="77777777">
        <w:tc>
          <w:tcPr>
            <w:tcW w:w="0" w:type="auto"/>
          </w:tcPr>
          <w:p w14:paraId="0FC0C5F5" w14:textId="77777777" w:rsidR="00D708EC" w:rsidRDefault="00000000">
            <w:pPr>
              <w:rPr>
                <w:rFonts w:hint="eastAsia"/>
              </w:rPr>
            </w:pPr>
            <w:r>
              <w:rPr>
                <w:sz w:val="19"/>
              </w:rPr>
              <w:t>Day 60</w:t>
            </w:r>
          </w:p>
        </w:tc>
        <w:tc>
          <w:tcPr>
            <w:tcW w:w="0" w:type="auto"/>
          </w:tcPr>
          <w:p w14:paraId="7176FA34" w14:textId="77777777" w:rsidR="00D708EC" w:rsidRDefault="00000000">
            <w:pPr>
              <w:rPr>
                <w:rFonts w:hint="eastAsia"/>
              </w:rPr>
            </w:pPr>
            <w:r>
              <w:rPr>
                <w:sz w:val="19"/>
              </w:rPr>
              <w:t>RSC Day-60 Progress Assessment under Annex RDF; MRF sub-funds operational</w:t>
            </w:r>
          </w:p>
        </w:tc>
        <w:tc>
          <w:tcPr>
            <w:tcW w:w="0" w:type="auto"/>
          </w:tcPr>
          <w:p w14:paraId="7C69918D" w14:textId="77777777" w:rsidR="00D708EC" w:rsidRDefault="00000000">
            <w:pPr>
              <w:rPr>
                <w:rFonts w:hint="eastAsia"/>
              </w:rPr>
            </w:pPr>
            <w:r>
              <w:rPr>
                <w:sz w:val="19"/>
              </w:rPr>
              <w:t>Second Pool A tranche per Annex C</w:t>
            </w:r>
          </w:p>
        </w:tc>
      </w:tr>
      <w:tr w:rsidR="00D708EC" w14:paraId="637F5618" w14:textId="77777777">
        <w:tc>
          <w:tcPr>
            <w:tcW w:w="0" w:type="auto"/>
            <w:shd w:val="clear" w:color="auto" w:fill="ECEFF1"/>
          </w:tcPr>
          <w:p w14:paraId="544AC980" w14:textId="77777777" w:rsidR="00D708EC" w:rsidRDefault="00000000">
            <w:pPr>
              <w:rPr>
                <w:rFonts w:hint="eastAsia"/>
              </w:rPr>
            </w:pPr>
            <w:r>
              <w:rPr>
                <w:sz w:val="19"/>
              </w:rPr>
              <w:t>Day 90</w:t>
            </w:r>
          </w:p>
        </w:tc>
        <w:tc>
          <w:tcPr>
            <w:tcW w:w="0" w:type="auto"/>
            <w:shd w:val="clear" w:color="auto" w:fill="ECEFF1"/>
          </w:tcPr>
          <w:p w14:paraId="542117AE" w14:textId="77777777" w:rsidR="00D708EC" w:rsidRDefault="00000000">
            <w:pPr>
              <w:rPr>
                <w:rFonts w:hint="eastAsia"/>
              </w:rPr>
            </w:pPr>
            <w:r>
              <w:rPr>
                <w:sz w:val="19"/>
              </w:rPr>
              <w:t>First clean Annex B quarterly certification</w:t>
            </w:r>
          </w:p>
        </w:tc>
        <w:tc>
          <w:tcPr>
            <w:tcW w:w="0" w:type="auto"/>
            <w:shd w:val="clear" w:color="auto" w:fill="ECEFF1"/>
          </w:tcPr>
          <w:p w14:paraId="1496426F" w14:textId="77777777" w:rsidR="00D708EC" w:rsidRDefault="00000000">
            <w:pPr>
              <w:rPr>
                <w:rFonts w:hint="eastAsia"/>
              </w:rPr>
            </w:pPr>
            <w:r>
              <w:rPr>
                <w:sz w:val="19"/>
              </w:rPr>
              <w:t>T-4 tranche; UNSC/IAEA Board actions complete</w:t>
            </w:r>
          </w:p>
        </w:tc>
      </w:tr>
      <w:tr w:rsidR="00D708EC" w14:paraId="59469B0E" w14:textId="77777777">
        <w:tc>
          <w:tcPr>
            <w:tcW w:w="0" w:type="auto"/>
          </w:tcPr>
          <w:p w14:paraId="2716B248" w14:textId="77777777" w:rsidR="00D708EC" w:rsidRDefault="00000000">
            <w:pPr>
              <w:rPr>
                <w:rFonts w:hint="eastAsia"/>
              </w:rPr>
            </w:pPr>
            <w:r>
              <w:rPr>
                <w:sz w:val="19"/>
              </w:rPr>
              <w:t>Day 180</w:t>
            </w:r>
          </w:p>
        </w:tc>
        <w:tc>
          <w:tcPr>
            <w:tcW w:w="0" w:type="auto"/>
          </w:tcPr>
          <w:p w14:paraId="2CC24CA6" w14:textId="77777777" w:rsidR="00D708EC" w:rsidRDefault="00000000">
            <w:pPr>
              <w:rPr>
                <w:rFonts w:hint="eastAsia"/>
              </w:rPr>
            </w:pPr>
            <w:r>
              <w:rPr>
                <w:sz w:val="19"/>
              </w:rPr>
              <w:t>Stakeholder Panel Confidence Trigger evaluation</w:t>
            </w:r>
          </w:p>
        </w:tc>
        <w:tc>
          <w:tcPr>
            <w:tcW w:w="0" w:type="auto"/>
          </w:tcPr>
          <w:p w14:paraId="350343A3" w14:textId="77777777" w:rsidR="00D708EC" w:rsidRDefault="00000000">
            <w:pPr>
              <w:rPr>
                <w:rFonts w:hint="eastAsia"/>
              </w:rPr>
            </w:pPr>
            <w:r>
              <w:rPr>
                <w:sz w:val="19"/>
              </w:rPr>
              <w:t>Premium normalization recommendation</w:t>
            </w:r>
          </w:p>
        </w:tc>
      </w:tr>
      <w:tr w:rsidR="00D708EC" w14:paraId="7C31535D" w14:textId="77777777">
        <w:tc>
          <w:tcPr>
            <w:tcW w:w="0" w:type="auto"/>
            <w:shd w:val="clear" w:color="auto" w:fill="ECEFF1"/>
          </w:tcPr>
          <w:p w14:paraId="04B755EF" w14:textId="77777777" w:rsidR="00D708EC" w:rsidRDefault="00000000">
            <w:pPr>
              <w:rPr>
                <w:rFonts w:hint="eastAsia"/>
              </w:rPr>
            </w:pPr>
            <w:r>
              <w:rPr>
                <w:sz w:val="19"/>
              </w:rPr>
              <w:t>Day 365</w:t>
            </w:r>
          </w:p>
        </w:tc>
        <w:tc>
          <w:tcPr>
            <w:tcW w:w="0" w:type="auto"/>
            <w:shd w:val="clear" w:color="auto" w:fill="ECEFF1"/>
          </w:tcPr>
          <w:p w14:paraId="0868703E" w14:textId="77777777" w:rsidR="00D708EC" w:rsidRDefault="00000000">
            <w:pPr>
              <w:rPr>
                <w:rFonts w:hint="eastAsia"/>
              </w:rPr>
            </w:pPr>
            <w:r>
              <w:rPr>
                <w:sz w:val="19"/>
              </w:rPr>
              <w:t>Congressional track completes or sunset conversion executes under Article 34.2</w:t>
            </w:r>
          </w:p>
        </w:tc>
        <w:tc>
          <w:tcPr>
            <w:tcW w:w="0" w:type="auto"/>
            <w:shd w:val="clear" w:color="auto" w:fill="ECEFF1"/>
          </w:tcPr>
          <w:p w14:paraId="29A6B9C4" w14:textId="77777777" w:rsidR="00D708EC" w:rsidRDefault="00000000">
            <w:pPr>
              <w:rPr>
                <w:rFonts w:hint="eastAsia"/>
              </w:rPr>
            </w:pPr>
            <w:r>
              <w:rPr>
                <w:sz w:val="19"/>
              </w:rPr>
              <w:t>T-5 tranche; residual Pool releases complete</w:t>
            </w:r>
          </w:p>
        </w:tc>
      </w:tr>
    </w:tbl>
    <w:p w14:paraId="0B581BB6" w14:textId="77777777" w:rsidR="00D708EC" w:rsidRDefault="00000000">
      <w:pPr>
        <w:rPr>
          <w:rFonts w:hint="eastAsia"/>
        </w:rPr>
      </w:pPr>
      <w:r>
        <w:t>58.2 The Synchronized Relief Track. Relief tranches pair with gate certifications as the calendar records. Where the Parties jointly certify that a diplomatic window warrants acceleration, the track advances by up to two tranches at once, provided the paired verification gate stands certified and the JMC confirms the system absorbs the acceleration without destabilization.</w:t>
      </w:r>
    </w:p>
    <w:p w14:paraId="4E2BD195" w14:textId="77777777" w:rsidR="00D708EC" w:rsidRDefault="00000000">
      <w:pPr>
        <w:rPr>
          <w:rFonts w:hint="eastAsia"/>
        </w:rPr>
      </w:pPr>
      <w:r>
        <w:t>58.3 Drift prevention. A missed date enters the Tier system automatically: administrative delay classifies Tier 1; material non-performance classifies Tier 2 or Tier 3 per the Method. No date dies quietly; every date produces either performance, certification, or a classified event with a defined remediation path.</w:t>
      </w:r>
    </w:p>
    <w:p w14:paraId="02143160" w14:textId="77777777" w:rsidR="00D708EC" w:rsidRDefault="00000000">
      <w:pPr>
        <w:pStyle w:val="Heading2"/>
        <w:rPr>
          <w:rFonts w:hint="eastAsia"/>
        </w:rPr>
      </w:pPr>
      <w:bookmarkStart w:id="101" w:name="_Toc237663615"/>
      <w:r>
        <w:t>Article 58A: The Simultaneous First Step Protocol</w:t>
      </w:r>
      <w:bookmarkEnd w:id="101"/>
    </w:p>
    <w:p w14:paraId="5BB6E719" w14:textId="77777777" w:rsidR="00D708EC" w:rsidRDefault="00000000">
      <w:pPr>
        <w:rPr>
          <w:rFonts w:hint="eastAsia"/>
        </w:rPr>
      </w:pPr>
      <w:r>
        <w:t xml:space="preserve">58A.1 All first-step commitments of this Accord pair and activate simultaneously as one indivisible event: the cessation of hostilities, the blockade termination order, the corridor </w:t>
      </w:r>
      <w:r>
        <w:lastRenderedPageBreak/>
        <w:t>opening at Hour 72, the humanitarian lane, the IAEA access activation, and the T-1 sanctions tranche execute together at Day Zero. Neither Principal Party moves first; both move at once. The protocol eliminates the first-mover disadvantage entirely.</w:t>
      </w:r>
    </w:p>
    <w:p w14:paraId="12CC7EE8" w14:textId="77777777" w:rsidR="00D708EC" w:rsidRDefault="00000000">
      <w:pPr>
        <w:rPr>
          <w:rFonts w:hint="eastAsia"/>
        </w:rPr>
      </w:pPr>
      <w:r>
        <w:t>58A.2 The JIC certifies the simultaneity, and the Registry timestamps the paired activations within the same hour.</w:t>
      </w:r>
    </w:p>
    <w:p w14:paraId="4A2D4613" w14:textId="77777777" w:rsidR="00D708EC" w:rsidRDefault="00000000">
      <w:pPr>
        <w:pStyle w:val="Heading2"/>
        <w:rPr>
          <w:rFonts w:hint="eastAsia"/>
        </w:rPr>
      </w:pPr>
      <w:bookmarkStart w:id="102" w:name="_Toc237663616"/>
      <w:r>
        <w:t>Article 58B: The Interlocking Commitment Sequence</w:t>
      </w:r>
      <w:bookmarkEnd w:id="102"/>
    </w:p>
    <w:p w14:paraId="45E61ECB" w14:textId="77777777" w:rsidR="00D708EC" w:rsidRDefault="00000000">
      <w:pPr>
        <w:rPr>
          <w:rFonts w:hint="eastAsia"/>
        </w:rPr>
      </w:pPr>
      <w:r>
        <w:t>58B.1 The steps of the Master Sequencing Calendar lock into each other: each completed step activates the enabling conditions of the next, so that completed performance mechanically pulls the sequence forward. Three step types govern the mechanics: paired steps (simultaneous execution), enabling steps (completion opens the next gate), and standing steps (continuous states that persist once achieved).</w:t>
      </w:r>
    </w:p>
    <w:p w14:paraId="28382E0F" w14:textId="77777777" w:rsidR="00D708EC" w:rsidRDefault="00000000">
      <w:pPr>
        <w:rPr>
          <w:rFonts w:hint="eastAsia"/>
        </w:rPr>
      </w:pPr>
      <w:r>
        <w:t>58B.2 The Cumulative Ratchet: each certified step sets a ratchet point in the Forward Drift Archive. The sequence loses pace during downturns, never ground. Reversal of a certified ratchet point requires a formal material-breach finding under Layer Two; ordinary disputes never unwind banked progress.</w:t>
      </w:r>
    </w:p>
    <w:p w14:paraId="0E4BC6E6" w14:textId="77777777" w:rsidR="00D708EC" w:rsidRDefault="00000000">
      <w:pPr>
        <w:pStyle w:val="Heading2"/>
        <w:rPr>
          <w:rFonts w:hint="eastAsia"/>
        </w:rPr>
      </w:pPr>
      <w:bookmarkStart w:id="103" w:name="_Toc237663617"/>
      <w:r>
        <w:t>Article 59: The Reciprocity Ledger</w:t>
      </w:r>
      <w:bookmarkEnd w:id="103"/>
    </w:p>
    <w:p w14:paraId="0C1A2A0B" w14:textId="77777777" w:rsidR="00D708EC" w:rsidRDefault="00000000">
      <w:pPr>
        <w:rPr>
          <w:rFonts w:hint="eastAsia"/>
        </w:rPr>
      </w:pPr>
      <w:r>
        <w:t>59.1 The JIC maintains the Reciprocity Ledger as the authoritative record of paired performance. Every obligation performed and every benefit delivered enters the Ledger with its pair, its date, and its verification reference.</w:t>
      </w:r>
    </w:p>
    <w:p w14:paraId="62CB9C38" w14:textId="77777777" w:rsidR="00D708EC" w:rsidRDefault="00000000">
      <w:pPr>
        <w:rPr>
          <w:rFonts w:hint="eastAsia"/>
        </w:rPr>
      </w:pPr>
      <w:r>
        <w:t>59.2 The Ledger publishes monthly. Domestic audiences of each Party read the Ledger through their own framing under Layer Zero; the Ledger itself records fact, not framing.</w:t>
      </w:r>
    </w:p>
    <w:p w14:paraId="38350156" w14:textId="77777777" w:rsidR="00D708EC" w:rsidRDefault="00000000">
      <w:pPr>
        <w:pStyle w:val="Heading2"/>
        <w:rPr>
          <w:rFonts w:hint="eastAsia"/>
        </w:rPr>
      </w:pPr>
      <w:bookmarkStart w:id="104" w:name="_Toc237663618"/>
      <w:r>
        <w:t>Article 59A: The Forward Drift Archive</w:t>
      </w:r>
      <w:bookmarkEnd w:id="104"/>
    </w:p>
    <w:p w14:paraId="648116C8" w14:textId="77777777" w:rsidR="00D708EC" w:rsidRDefault="00000000">
      <w:pPr>
        <w:rPr>
          <w:rFonts w:hint="eastAsia"/>
        </w:rPr>
      </w:pPr>
      <w:r>
        <w:t>59A.1 The JIC maintains the Forward Drift Archive: a permanent, public, append-only ledger of verified gains. Lock points include: every certified calendar milestone, every ratchet point of Article 58B, every clean verification certification, every corridor certification, every earn-back completion, and every leader's signature recorded under the Legacy Lock of Article 6A.</w:t>
      </w:r>
    </w:p>
    <w:p w14:paraId="4753EEFE" w14:textId="77777777" w:rsidR="00D708EC" w:rsidRDefault="00000000">
      <w:pPr>
        <w:rPr>
          <w:rFonts w:hint="eastAsia"/>
        </w:rPr>
      </w:pPr>
      <w:r>
        <w:t>59A.2 Setbacks slow the pace; they never reverse the Archive. No setback, dispute, suspension, or step-back removes or revises a lock point. The Archive converts fragile achievements into fixed features of the landscape, the nodes around which the live process no longer oscillates.</w:t>
      </w:r>
    </w:p>
    <w:p w14:paraId="7A04552B" w14:textId="77777777" w:rsidR="00D708EC" w:rsidRDefault="00000000">
      <w:pPr>
        <w:rPr>
          <w:rFonts w:hint="eastAsia"/>
        </w:rPr>
      </w:pPr>
      <w:r>
        <w:t>59A.3 The Archive publishes through the Depositary in English, Farsi, and Arabic, and the Cold Data Reserve preserves its cryptographic proof chain permanently.</w:t>
      </w:r>
    </w:p>
    <w:p w14:paraId="13445D17" w14:textId="77777777" w:rsidR="00D708EC" w:rsidRDefault="00000000">
      <w:pPr>
        <w:pStyle w:val="Heading2"/>
        <w:rPr>
          <w:rFonts w:hint="eastAsia"/>
        </w:rPr>
      </w:pPr>
      <w:bookmarkStart w:id="105" w:name="_Toc237663619"/>
      <w:r>
        <w:lastRenderedPageBreak/>
        <w:t>Article 60: The Dispute Resolution Ladder</w:t>
      </w:r>
      <w:bookmarkEnd w:id="105"/>
    </w:p>
    <w:p w14:paraId="40B4089B" w14:textId="77777777" w:rsidR="00D708EC" w:rsidRDefault="00000000">
      <w:pPr>
        <w:rPr>
          <w:rFonts w:hint="eastAsia"/>
        </w:rPr>
      </w:pPr>
      <w:r>
        <w:t>60.1 Disputes ascend the following ladder, and no rung is skipped: (1) technical consultation in the JMC, 14 days; (2) the Technical Truth Escalation Chain for data disputes, per Article 47.4; (3) the Permanent Coordination Council, 14 days; (4) the Guarantor Matrix, 30 days; (5) for project-level contractual disputes under Annex RDF, fast-track arbitration under the ICC Rules at Geneva, final and binding, 60 days; (6) for treaty-level legal disputes persisting beyond the Matrix, an arbitral tribunal under the rules of Annex F, seat at The Hague, three members, deciding on the basis of this Treaty and international law.</w:t>
      </w:r>
    </w:p>
    <w:p w14:paraId="55BB0690" w14:textId="77777777" w:rsidR="00D708EC" w:rsidRDefault="00000000">
      <w:pPr>
        <w:rPr>
          <w:rFonts w:hint="eastAsia"/>
        </w:rPr>
      </w:pPr>
      <w:r>
        <w:t>60.2 Performance continues during dispute. Pending resolution, the status quo of performance holds: obligations continue, benefits continue, and the disputed item alone holds in suspension. The framework architecture excludes self-help suspension of the whole.</w:t>
      </w:r>
    </w:p>
    <w:p w14:paraId="02F79D81" w14:textId="77777777" w:rsidR="00D708EC" w:rsidRDefault="00000000">
      <w:pPr>
        <w:rPr>
          <w:rFonts w:hint="eastAsia"/>
        </w:rPr>
      </w:pPr>
      <w:r>
        <w:t>60.3 Technical corrections. The JMC Chief Technical Officer, with the Swiss Technical Facilitator, issues technical corrections for non-material errors (typography, cross-references, numbering), logged, notified within 48 hours, effective immediately, subject to a 7-day objection window. Technical corrections never alter substantive obligations, rights, or timelines.</w:t>
      </w:r>
    </w:p>
    <w:p w14:paraId="70621382" w14:textId="77777777" w:rsidR="00D708EC" w:rsidRDefault="00000000">
      <w:pPr>
        <w:pStyle w:val="Heading2"/>
        <w:rPr>
          <w:rFonts w:hint="eastAsia"/>
        </w:rPr>
      </w:pPr>
      <w:bookmarkStart w:id="106" w:name="_Toc237663620"/>
      <w:r>
        <w:t>Article 60A: The Good Faith Pause</w:t>
      </w:r>
      <w:bookmarkEnd w:id="106"/>
    </w:p>
    <w:p w14:paraId="7D936487" w14:textId="77777777" w:rsidR="00D708EC" w:rsidRDefault="00000000">
      <w:pPr>
        <w:rPr>
          <w:rFonts w:hint="eastAsia"/>
        </w:rPr>
      </w:pPr>
      <w:r>
        <w:t>60A.1 The JIC grants a Good Faith Pause at any rung of the dispute ladder where a Party demonstrates genuine effort to comply, an obstacle beyond its control, and a credible remediation plan. The pause suspends the ladder for up to 90 days without resetting the underlying clock, and renews once for an additional 90 days upon supermajority of the Permanent Coordination Council.</w:t>
      </w:r>
    </w:p>
    <w:p w14:paraId="1A847B04" w14:textId="77777777" w:rsidR="00D708EC" w:rsidRDefault="00000000">
      <w:pPr>
        <w:rPr>
          <w:rFonts w:hint="eastAsia"/>
        </w:rPr>
      </w:pPr>
      <w:r>
        <w:t>60A.2 The Good Faith Pause prevents the punishment of good-faith failure while preserving accountability: the pause, its evidence, and its remediation plan log in the Registry, and a Party whose remediation plan fails faces the resumed ladder at exactly the rung where the pause began.</w:t>
      </w:r>
    </w:p>
    <w:p w14:paraId="6770188D" w14:textId="77777777" w:rsidR="00D708EC" w:rsidRDefault="00000000">
      <w:pPr>
        <w:pStyle w:val="Heading2"/>
        <w:rPr>
          <w:rFonts w:hint="eastAsia"/>
        </w:rPr>
      </w:pPr>
      <w:bookmarkStart w:id="107" w:name="_Toc237663621"/>
      <w:r>
        <w:t>Article 61: The Nofade Guarantee (Standing Continuity)</w:t>
      </w:r>
      <w:bookmarkEnd w:id="107"/>
    </w:p>
    <w:p w14:paraId="526AB9BB" w14:textId="77777777" w:rsidR="00D708EC" w:rsidRDefault="00000000">
      <w:pPr>
        <w:rPr>
          <w:rFonts w:hint="eastAsia"/>
        </w:rPr>
      </w:pPr>
      <w:r>
        <w:t>61.1 No sunset. This Accord carries no expiration date. Its obligations, caps, corridors, funds, and verification architecture operate in perpetuity.</w:t>
      </w:r>
    </w:p>
    <w:p w14:paraId="636412F9" w14:textId="77777777" w:rsidR="00D708EC" w:rsidRDefault="00000000">
      <w:pPr>
        <w:rPr>
          <w:rFonts w:hint="eastAsia"/>
        </w:rPr>
      </w:pPr>
      <w:r>
        <w:t>61.2 No fade of earned progress. Banked milestones, certified gates, released assets, delivered tranches, and clean certifications never expire by the passage of time and never reopen by a change of government in any Party.</w:t>
      </w:r>
    </w:p>
    <w:p w14:paraId="1138C4B5" w14:textId="77777777" w:rsidR="00D708EC" w:rsidRDefault="00000000">
      <w:pPr>
        <w:rPr>
          <w:rFonts w:hint="eastAsia"/>
        </w:rPr>
      </w:pPr>
      <w:r>
        <w:t>61.3 No fade of verification. Verification relaxes in form only as clean certifications accumulate under Annex B and Annex E, and never below the permanent baseline those Annexes fix.</w:t>
      </w:r>
    </w:p>
    <w:p w14:paraId="49DF1CF5" w14:textId="77777777" w:rsidR="00D708EC" w:rsidRDefault="00000000">
      <w:pPr>
        <w:rPr>
          <w:rFonts w:hint="eastAsia"/>
        </w:rPr>
      </w:pPr>
      <w:r>
        <w:lastRenderedPageBreak/>
        <w:t>61.4 Renewal by silence. Review cycles renew by default. Absent a Party's written notice of objection 30 days before a review date, the cycle continues unchanged.</w:t>
      </w:r>
    </w:p>
    <w:p w14:paraId="0F66CE9B" w14:textId="77777777" w:rsidR="00D708EC" w:rsidRDefault="00000000">
      <w:pPr>
        <w:rPr>
          <w:rFonts w:hint="eastAsia"/>
        </w:rPr>
      </w:pPr>
      <w:r>
        <w:t>61.5 Exit is an act, not a fade. Withdrawal executes only through Article 86: written instrument, 180-day notice, continuation of humanitarian and no-clawback protections without condition, and preservation of all banked progress for any returning Party.</w:t>
      </w:r>
    </w:p>
    <w:p w14:paraId="7610BD7D" w14:textId="77777777" w:rsidR="00D708EC" w:rsidRDefault="00000000">
      <w:pPr>
        <w:rPr>
          <w:rFonts w:hint="eastAsia"/>
        </w:rPr>
      </w:pPr>
      <w:r>
        <w:t>61.6 Reconstitution from dormancy. Where the Accord or a module enters dormancy, any two Principal or Facilitating Parties file reactivation instruments with the Depositary, and the module reconstitutes in its entirety within 14 days, resuming from the last certified gate, with all banked performance, permanent floors, and certified achievements reasserting automatically.</w:t>
      </w:r>
    </w:p>
    <w:p w14:paraId="7B42528D" w14:textId="77777777" w:rsidR="00D708EC" w:rsidRDefault="00D708EC">
      <w:pPr>
        <w:pageBreakBefore/>
        <w:rPr>
          <w:rFonts w:hint="eastAsia"/>
        </w:rPr>
      </w:pPr>
    </w:p>
    <w:p w14:paraId="3A65EC06" w14:textId="77777777" w:rsidR="00D708EC" w:rsidRDefault="00000000">
      <w:pPr>
        <w:pStyle w:val="Heading1"/>
        <w:rPr>
          <w:rFonts w:hint="eastAsia"/>
        </w:rPr>
      </w:pPr>
      <w:bookmarkStart w:id="108" w:name="_Toc237663622"/>
      <w:r>
        <w:t>LAYER FOUR: INTERNATIONAL LEGAL RATIFICATION</w:t>
      </w:r>
      <w:bookmarkEnd w:id="108"/>
    </w:p>
    <w:p w14:paraId="731C854F" w14:textId="77777777" w:rsidR="00D708EC" w:rsidRDefault="00000000">
      <w:pPr>
        <w:pStyle w:val="Heading2"/>
        <w:rPr>
          <w:rFonts w:hint="eastAsia"/>
        </w:rPr>
      </w:pPr>
      <w:bookmarkStart w:id="109" w:name="_Toc237663623"/>
      <w:r>
        <w:t>Article 62: The Binding United Nations Security Council Resolution</w:t>
      </w:r>
      <w:bookmarkEnd w:id="109"/>
    </w:p>
    <w:p w14:paraId="28330D74" w14:textId="77777777" w:rsidR="00D708EC" w:rsidRDefault="00000000">
      <w:pPr>
        <w:rPr>
          <w:rFonts w:hint="eastAsia"/>
        </w:rPr>
      </w:pPr>
      <w:r>
        <w:t>62.1 The Parties submit this Accord to the United Nations Security Council within 7 days of signature. The resolution endorses the Accord, terminates the prior sanctions resolutions per Annex C, establishes the reporting channel of the JIC to the Council, and confirms the compliance architecture of Layer Two as the exclusive mechanism for compliance questions, displacing any prior snapback mechanism. The framework architecture replaces automatic reimposition with the graduated, reversible, human-supervised engine of this Accord, and the resolution records that replacement explicitly.</w:t>
      </w:r>
    </w:p>
    <w:p w14:paraId="4997E864" w14:textId="77777777" w:rsidR="00D708EC" w:rsidRDefault="00000000">
      <w:pPr>
        <w:rPr>
          <w:rFonts w:hint="eastAsia"/>
        </w:rPr>
      </w:pPr>
      <w:r>
        <w:t>62.2 Endorsement gives the Accord its international legal force. A compliance finding under Layer Two transmits to the Council for information; enforcement within the framework remains with the organs of this Accord.</w:t>
      </w:r>
    </w:p>
    <w:p w14:paraId="63BB2895" w14:textId="77777777" w:rsidR="00D708EC" w:rsidRDefault="00000000">
      <w:pPr>
        <w:rPr>
          <w:rFonts w:hint="eastAsia"/>
        </w:rPr>
      </w:pPr>
      <w:r>
        <w:t>62.3 The IAEA Board of Governors adopts the parallel resolution of Article 35.2 in the same week, completing the international ratification pair.</w:t>
      </w:r>
    </w:p>
    <w:p w14:paraId="1E10B752" w14:textId="77777777" w:rsidR="00D708EC" w:rsidRDefault="00000000">
      <w:pPr>
        <w:pStyle w:val="Heading2"/>
        <w:rPr>
          <w:rFonts w:hint="eastAsia"/>
        </w:rPr>
      </w:pPr>
      <w:bookmarkStart w:id="110" w:name="_Toc237663624"/>
      <w:r>
        <w:t>Article 63: The Depositary</w:t>
      </w:r>
      <w:bookmarkEnd w:id="110"/>
    </w:p>
    <w:p w14:paraId="02557A71" w14:textId="77777777" w:rsidR="00D708EC" w:rsidRDefault="00000000">
      <w:pPr>
        <w:rPr>
          <w:rFonts w:hint="eastAsia"/>
        </w:rPr>
      </w:pPr>
      <w:r>
        <w:t>63.1 The Islamic Republic of Pakistan serves as Depositary: custodian of the authentic texts, the instruments of signature, ratification, accession, reservation-free acceptance, amendment, and reactivation, and registrar of the Record of Framings under Layer Zero. The Depositary convenes the annual Review Conference at Islamabad.</w:t>
      </w:r>
    </w:p>
    <w:p w14:paraId="2446F6A0" w14:textId="77777777" w:rsidR="00D708EC" w:rsidRDefault="00000000">
      <w:pPr>
        <w:rPr>
          <w:rFonts w:hint="eastAsia"/>
        </w:rPr>
      </w:pPr>
      <w:r>
        <w:t>63.2 The Depositary publishes every instrument, certification, and notification upon receipt, and maintains the public archive of the Accord in English, Farsi, and Arabic.</w:t>
      </w:r>
    </w:p>
    <w:p w14:paraId="51702D18" w14:textId="77777777" w:rsidR="00D708EC" w:rsidRDefault="00000000">
      <w:pPr>
        <w:pStyle w:val="Heading2"/>
        <w:rPr>
          <w:rFonts w:hint="eastAsia"/>
        </w:rPr>
      </w:pPr>
      <w:bookmarkStart w:id="111" w:name="_Toc237663625"/>
      <w:r>
        <w:t>Article 64: Accession and Participation</w:t>
      </w:r>
      <w:bookmarkEnd w:id="111"/>
    </w:p>
    <w:p w14:paraId="577EE1CF" w14:textId="77777777" w:rsidR="00D708EC" w:rsidRDefault="00000000">
      <w:pPr>
        <w:rPr>
          <w:rFonts w:hint="eastAsia"/>
        </w:rPr>
      </w:pPr>
      <w:r>
        <w:t>64.1 Accession opens to the Gulf Cooperation Council member states, Iraq, and other states and institutions on the invitation of the JIC. Accession executes through the Accession Protocol of Annex F.</w:t>
      </w:r>
    </w:p>
    <w:p w14:paraId="39A9B836" w14:textId="77777777" w:rsidR="00D708EC" w:rsidRDefault="00000000">
      <w:pPr>
        <w:rPr>
          <w:rFonts w:hint="eastAsia"/>
        </w:rPr>
      </w:pPr>
      <w:r>
        <w:t>64.2 Fast-track accession. For the United Arab Emirates, Qatar, Bahrain, Kuwait, Saudi Arabia, and Iraq, accession executes by the Minister of Foreign Affairs, and observer rights take effect upon deposit, without waiting period. Fast-track accession includes the observer seat, watch contributions, and full fused-picture access consistent with the Ledger access tiers.</w:t>
      </w:r>
    </w:p>
    <w:p w14:paraId="3F0CCCAE" w14:textId="77777777" w:rsidR="00D708EC" w:rsidRDefault="00000000">
      <w:pPr>
        <w:rPr>
          <w:rFonts w:hint="eastAsia"/>
        </w:rPr>
      </w:pPr>
      <w:r>
        <w:lastRenderedPageBreak/>
        <w:t>64.3 Institutional accession. The IAEA, IMO, World Bank, and United Nations bodies participate within their mandates under the institutional instruments of Annex F.</w:t>
      </w:r>
    </w:p>
    <w:p w14:paraId="6914F99D" w14:textId="77777777" w:rsidR="00D708EC" w:rsidRDefault="00000000">
      <w:pPr>
        <w:pStyle w:val="Heading2"/>
        <w:rPr>
          <w:rFonts w:hint="eastAsia"/>
        </w:rPr>
      </w:pPr>
      <w:bookmarkStart w:id="112" w:name="_Toc237663626"/>
      <w:r>
        <w:t>Article 65: Amendment</w:t>
      </w:r>
      <w:bookmarkEnd w:id="112"/>
    </w:p>
    <w:p w14:paraId="64B8E409" w14:textId="77777777" w:rsidR="00D708EC" w:rsidRDefault="00000000">
      <w:pPr>
        <w:rPr>
          <w:rFonts w:hint="eastAsia"/>
        </w:rPr>
      </w:pPr>
      <w:r>
        <w:t>65.1 An amendment proposes through the JIC, passes the Perimeter Test, and adopts by consensus of the Principal Parties and, for maritime matters, the Coastal Party. Amendments enter into force upon deposit of the instruments of acceptance of the Principal Parties.</w:t>
      </w:r>
    </w:p>
    <w:p w14:paraId="24110B9B" w14:textId="77777777" w:rsidR="00D708EC" w:rsidRDefault="00000000">
      <w:pPr>
        <w:rPr>
          <w:rFonts w:hint="eastAsia"/>
        </w:rPr>
      </w:pPr>
      <w:r>
        <w:t>65.2 No amendment touches a Red Line, the Zero-Toll Covenant, the nuclear prohibition, the no-clawback rule, or the humanitarian absolutes. The Perimeter Test returns any such proposal automatically, and the Depositary declines to receive it.</w:t>
      </w:r>
    </w:p>
    <w:p w14:paraId="3CF70716" w14:textId="77777777" w:rsidR="00D708EC" w:rsidRDefault="00000000">
      <w:pPr>
        <w:pStyle w:val="Heading2"/>
        <w:rPr>
          <w:rFonts w:hint="eastAsia"/>
        </w:rPr>
      </w:pPr>
      <w:bookmarkStart w:id="113" w:name="_Toc237663627"/>
      <w:r>
        <w:t>Article 66: Withdrawal</w:t>
      </w:r>
      <w:bookmarkEnd w:id="113"/>
    </w:p>
    <w:p w14:paraId="6BD79F4C" w14:textId="77777777" w:rsidR="00D708EC" w:rsidRDefault="00000000">
      <w:pPr>
        <w:rPr>
          <w:rFonts w:hint="eastAsia"/>
        </w:rPr>
      </w:pPr>
      <w:r>
        <w:t>66.1 A Principal Party withdraws only by written instrument to the Depositary, effective 180 days after deposit. During the notice period, all obligations continue in full.</w:t>
      </w:r>
    </w:p>
    <w:p w14:paraId="4A070B50" w14:textId="77777777" w:rsidR="00D708EC" w:rsidRDefault="00000000">
      <w:pPr>
        <w:rPr>
          <w:rFonts w:hint="eastAsia"/>
        </w:rPr>
      </w:pPr>
      <w:r>
        <w:t>66.2 Withdrawal never revives: tolls (the Zero-Toll Covenant binds as the law the Parties have created among themselves for the Governance Area's administration), clawback of released assets, the humanitarian absolutes, or the No Automatic Military Escalation Clause. These protections stand outside withdrawal.</w:t>
      </w:r>
    </w:p>
    <w:p w14:paraId="0B49DAB3" w14:textId="77777777" w:rsidR="00D708EC" w:rsidRDefault="00000000">
      <w:pPr>
        <w:rPr>
          <w:rFonts w:hint="eastAsia"/>
        </w:rPr>
      </w:pPr>
      <w:r>
        <w:t>66.3 Withdrawal triggers automatic referral to the Guarantor Matrix and the United Nations Security Council, and the remaining Parties continue the framework among themselves under the Partial Success Doctrine.</w:t>
      </w:r>
    </w:p>
    <w:p w14:paraId="2B57C851" w14:textId="77777777" w:rsidR="00D708EC" w:rsidRDefault="00000000">
      <w:pPr>
        <w:rPr>
          <w:rFonts w:hint="eastAsia"/>
        </w:rPr>
      </w:pPr>
      <w:r>
        <w:t>66.4 Withdrawal from this Accord does not revive the state of war. The permanent cessation of hostilities of Article 12 survives withdrawal as an independent obligation of the withdrawing Party, and the remaining Parties retain the full legal basis to continue the framework. Withdrawal terminates participation; it never resurrects conflict.</w:t>
      </w:r>
    </w:p>
    <w:p w14:paraId="61AC833F" w14:textId="77777777" w:rsidR="00D708EC" w:rsidRDefault="00000000">
      <w:pPr>
        <w:pStyle w:val="Heading2"/>
        <w:rPr>
          <w:rFonts w:hint="eastAsia"/>
        </w:rPr>
      </w:pPr>
      <w:bookmarkStart w:id="114" w:name="_Toc237663628"/>
      <w:r>
        <w:t>Article 67: Languages and the Authoritative Texts</w:t>
      </w:r>
      <w:bookmarkEnd w:id="114"/>
    </w:p>
    <w:p w14:paraId="3233EE17" w14:textId="77777777" w:rsidR="00D708EC" w:rsidRDefault="00000000">
      <w:pPr>
        <w:rPr>
          <w:rFonts w:hint="eastAsia"/>
        </w:rPr>
      </w:pPr>
      <w:r>
        <w:t>67.1 The Accord executes in English, Farsi, and Arabic, each text equally authoritative, under the reconciliation rule of the Drafting Convention.</w:t>
      </w:r>
    </w:p>
    <w:p w14:paraId="0D41B8E8" w14:textId="77777777" w:rsidR="00D708EC" w:rsidRDefault="00000000">
      <w:pPr>
        <w:rPr>
          <w:rFonts w:hint="eastAsia"/>
        </w:rPr>
      </w:pPr>
      <w:r>
        <w:t>67.2 The technical annexes publish in English with certified Farsi and Arabic translations. The Depositary holds the reconciliation notes of the drafting conference, which guide interpretation of divergent renderings.</w:t>
      </w:r>
    </w:p>
    <w:p w14:paraId="2D5F59E0" w14:textId="77777777" w:rsidR="00D708EC" w:rsidRDefault="00000000">
      <w:pPr>
        <w:pStyle w:val="Heading2"/>
        <w:rPr>
          <w:rFonts w:hint="eastAsia"/>
        </w:rPr>
      </w:pPr>
      <w:bookmarkStart w:id="115" w:name="_Toc237663629"/>
      <w:r>
        <w:t>Article 68: The Irrevocable Horizon Clause</w:t>
      </w:r>
      <w:bookmarkEnd w:id="115"/>
    </w:p>
    <w:p w14:paraId="3E07A5B1" w14:textId="77777777" w:rsidR="00D708EC" w:rsidRDefault="00000000">
      <w:pPr>
        <w:rPr>
          <w:rFonts w:hint="eastAsia"/>
        </w:rPr>
      </w:pPr>
      <w:r>
        <w:t>68.1 This Accord designs for permanence. Its institutions plan in decades; its verification relaxes in form and never in floor; its reconstruction architecture builds for a generation; its corridors intend to be boring for a century.</w:t>
      </w:r>
    </w:p>
    <w:p w14:paraId="466C3D6F" w14:textId="77777777" w:rsidR="00D708EC" w:rsidRDefault="00000000">
      <w:pPr>
        <w:rPr>
          <w:rFonts w:hint="eastAsia"/>
        </w:rPr>
      </w:pPr>
      <w:r>
        <w:lastRenderedPageBreak/>
        <w:t>68.2 The Parties record their shared intention: that the war of 2026 stands as the last war between them; that the Strait of Hormuz stands as a waterway of commerce, never again of closure; and that this Accord, layer upon layer, carries the settlement beyond the horizon of any single government, any single crisis, or any single generation. The commitment of this Accord is irrevocable, and its architecture builds accordingly.</w:t>
      </w:r>
    </w:p>
    <w:p w14:paraId="417DA5C3" w14:textId="77777777" w:rsidR="00D708EC" w:rsidRDefault="00D708EC">
      <w:pPr>
        <w:pageBreakBefore/>
        <w:rPr>
          <w:rFonts w:hint="eastAsia"/>
        </w:rPr>
      </w:pPr>
    </w:p>
    <w:p w14:paraId="0C4D0CE6" w14:textId="77777777" w:rsidR="00D708EC" w:rsidRDefault="00000000">
      <w:pPr>
        <w:pStyle w:val="Heading1"/>
        <w:rPr>
          <w:rFonts w:hint="eastAsia"/>
        </w:rPr>
      </w:pPr>
      <w:bookmarkStart w:id="116" w:name="_Toc237663630"/>
      <w:r>
        <w:t>ANNEX A: THE GOVERNANCE AREA, CORRIDOR COORDINATES, AND THE VERIFIED SERVICES CATALOG</w:t>
      </w:r>
      <w:bookmarkEnd w:id="116"/>
    </w:p>
    <w:p w14:paraId="02F48BFB" w14:textId="77777777" w:rsidR="00D708EC" w:rsidRDefault="00000000">
      <w:pPr>
        <w:pStyle w:val="Heading2"/>
        <w:rPr>
          <w:rFonts w:hint="eastAsia"/>
        </w:rPr>
      </w:pPr>
      <w:bookmarkStart w:id="117" w:name="_Toc237663631"/>
      <w:r>
        <w:t>Section A.1: The Boundary Polygon</w:t>
      </w:r>
      <w:bookmarkEnd w:id="117"/>
    </w:p>
    <w:p w14:paraId="7AAAC70A" w14:textId="77777777" w:rsidR="00D708EC" w:rsidRDefault="00000000">
      <w:pPr>
        <w:rPr>
          <w:rFonts w:hint="eastAsia"/>
        </w:rPr>
      </w:pPr>
      <w:r>
        <w:t>A.1.1 The Governance Area boundary follows the polygon defined by the following geographic coordinates (WGS-84), held in the Neutral Coordinate Registry under joint custody of the Depositary and the International Maritime Organization:</w:t>
      </w:r>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1453"/>
        <w:gridCol w:w="3908"/>
        <w:gridCol w:w="3865"/>
      </w:tblGrid>
      <w:tr w:rsidR="00D708EC" w14:paraId="652513AB" w14:textId="77777777">
        <w:tc>
          <w:tcPr>
            <w:tcW w:w="0" w:type="auto"/>
            <w:shd w:val="clear" w:color="auto" w:fill="37474F"/>
          </w:tcPr>
          <w:p w14:paraId="04A2C6F2" w14:textId="77777777" w:rsidR="00D708EC" w:rsidRDefault="00000000">
            <w:pPr>
              <w:rPr>
                <w:rFonts w:hint="eastAsia"/>
              </w:rPr>
            </w:pPr>
            <w:r>
              <w:rPr>
                <w:b/>
                <w:color w:val="FFFFFF"/>
                <w:sz w:val="19"/>
              </w:rPr>
              <w:t>Vertex</w:t>
            </w:r>
          </w:p>
        </w:tc>
        <w:tc>
          <w:tcPr>
            <w:tcW w:w="0" w:type="auto"/>
            <w:shd w:val="clear" w:color="auto" w:fill="37474F"/>
          </w:tcPr>
          <w:p w14:paraId="73B6E324" w14:textId="77777777" w:rsidR="00D708EC" w:rsidRDefault="00000000">
            <w:pPr>
              <w:rPr>
                <w:rFonts w:hint="eastAsia"/>
              </w:rPr>
            </w:pPr>
            <w:r>
              <w:rPr>
                <w:b/>
                <w:color w:val="FFFFFF"/>
                <w:sz w:val="19"/>
              </w:rPr>
              <w:t>Latitude</w:t>
            </w:r>
          </w:p>
        </w:tc>
        <w:tc>
          <w:tcPr>
            <w:tcW w:w="0" w:type="auto"/>
            <w:shd w:val="clear" w:color="auto" w:fill="37474F"/>
          </w:tcPr>
          <w:p w14:paraId="4A34C2E1" w14:textId="77777777" w:rsidR="00D708EC" w:rsidRDefault="00000000">
            <w:pPr>
              <w:rPr>
                <w:rFonts w:hint="eastAsia"/>
              </w:rPr>
            </w:pPr>
            <w:r>
              <w:rPr>
                <w:b/>
                <w:color w:val="FFFFFF"/>
                <w:sz w:val="19"/>
              </w:rPr>
              <w:t>Longitude</w:t>
            </w:r>
          </w:p>
        </w:tc>
      </w:tr>
      <w:tr w:rsidR="00D708EC" w14:paraId="03962A62" w14:textId="77777777">
        <w:tc>
          <w:tcPr>
            <w:tcW w:w="0" w:type="auto"/>
          </w:tcPr>
          <w:p w14:paraId="5A707078" w14:textId="77777777" w:rsidR="00D708EC" w:rsidRDefault="00000000">
            <w:pPr>
              <w:rPr>
                <w:rFonts w:hint="eastAsia"/>
              </w:rPr>
            </w:pPr>
            <w:r>
              <w:rPr>
                <w:sz w:val="19"/>
              </w:rPr>
              <w:t>GA-1</w:t>
            </w:r>
          </w:p>
        </w:tc>
        <w:tc>
          <w:tcPr>
            <w:tcW w:w="0" w:type="auto"/>
          </w:tcPr>
          <w:p w14:paraId="26979445" w14:textId="77777777" w:rsidR="00D708EC" w:rsidRDefault="00000000">
            <w:pPr>
              <w:rPr>
                <w:rFonts w:hint="eastAsia"/>
              </w:rPr>
            </w:pPr>
            <w:r>
              <w:rPr>
                <w:sz w:val="19"/>
              </w:rPr>
              <w:t>26 degrees 57 minutes N</w:t>
            </w:r>
          </w:p>
        </w:tc>
        <w:tc>
          <w:tcPr>
            <w:tcW w:w="0" w:type="auto"/>
          </w:tcPr>
          <w:p w14:paraId="201FEB64" w14:textId="77777777" w:rsidR="00D708EC" w:rsidRDefault="00000000">
            <w:pPr>
              <w:rPr>
                <w:rFonts w:hint="eastAsia"/>
              </w:rPr>
            </w:pPr>
            <w:r>
              <w:rPr>
                <w:sz w:val="19"/>
              </w:rPr>
              <w:t>56 degrees 17 minutes E</w:t>
            </w:r>
          </w:p>
        </w:tc>
      </w:tr>
      <w:tr w:rsidR="00D708EC" w14:paraId="05C0DEAC" w14:textId="77777777">
        <w:tc>
          <w:tcPr>
            <w:tcW w:w="0" w:type="auto"/>
            <w:shd w:val="clear" w:color="auto" w:fill="ECEFF1"/>
          </w:tcPr>
          <w:p w14:paraId="32E496EB" w14:textId="77777777" w:rsidR="00D708EC" w:rsidRDefault="00000000">
            <w:pPr>
              <w:rPr>
                <w:rFonts w:hint="eastAsia"/>
              </w:rPr>
            </w:pPr>
            <w:r>
              <w:rPr>
                <w:sz w:val="19"/>
              </w:rPr>
              <w:t>GA-2</w:t>
            </w:r>
          </w:p>
        </w:tc>
        <w:tc>
          <w:tcPr>
            <w:tcW w:w="0" w:type="auto"/>
            <w:shd w:val="clear" w:color="auto" w:fill="ECEFF1"/>
          </w:tcPr>
          <w:p w14:paraId="067E7A62" w14:textId="77777777" w:rsidR="00D708EC" w:rsidRDefault="00000000">
            <w:pPr>
              <w:rPr>
                <w:rFonts w:hint="eastAsia"/>
              </w:rPr>
            </w:pPr>
            <w:r>
              <w:rPr>
                <w:sz w:val="19"/>
              </w:rPr>
              <w:t>26 degrees 35 minutes N</w:t>
            </w:r>
          </w:p>
        </w:tc>
        <w:tc>
          <w:tcPr>
            <w:tcW w:w="0" w:type="auto"/>
            <w:shd w:val="clear" w:color="auto" w:fill="ECEFF1"/>
          </w:tcPr>
          <w:p w14:paraId="3D29C03E" w14:textId="77777777" w:rsidR="00D708EC" w:rsidRDefault="00000000">
            <w:pPr>
              <w:rPr>
                <w:rFonts w:hint="eastAsia"/>
              </w:rPr>
            </w:pPr>
            <w:r>
              <w:rPr>
                <w:sz w:val="19"/>
              </w:rPr>
              <w:t>56 degrees 50 minutes E</w:t>
            </w:r>
          </w:p>
        </w:tc>
      </w:tr>
      <w:tr w:rsidR="00D708EC" w14:paraId="69103994" w14:textId="77777777">
        <w:tc>
          <w:tcPr>
            <w:tcW w:w="0" w:type="auto"/>
          </w:tcPr>
          <w:p w14:paraId="532B1F49" w14:textId="77777777" w:rsidR="00D708EC" w:rsidRDefault="00000000">
            <w:pPr>
              <w:rPr>
                <w:rFonts w:hint="eastAsia"/>
              </w:rPr>
            </w:pPr>
            <w:r>
              <w:rPr>
                <w:sz w:val="19"/>
              </w:rPr>
              <w:t>GA-3</w:t>
            </w:r>
          </w:p>
        </w:tc>
        <w:tc>
          <w:tcPr>
            <w:tcW w:w="0" w:type="auto"/>
          </w:tcPr>
          <w:p w14:paraId="385C1334" w14:textId="77777777" w:rsidR="00D708EC" w:rsidRDefault="00000000">
            <w:pPr>
              <w:rPr>
                <w:rFonts w:hint="eastAsia"/>
              </w:rPr>
            </w:pPr>
            <w:r>
              <w:rPr>
                <w:sz w:val="19"/>
              </w:rPr>
              <w:t>26 degrees 12 minutes N</w:t>
            </w:r>
          </w:p>
        </w:tc>
        <w:tc>
          <w:tcPr>
            <w:tcW w:w="0" w:type="auto"/>
          </w:tcPr>
          <w:p w14:paraId="3F598A02" w14:textId="77777777" w:rsidR="00D708EC" w:rsidRDefault="00000000">
            <w:pPr>
              <w:rPr>
                <w:rFonts w:hint="eastAsia"/>
              </w:rPr>
            </w:pPr>
            <w:r>
              <w:rPr>
                <w:sz w:val="19"/>
              </w:rPr>
              <w:t>57 degrees 08 minutes E</w:t>
            </w:r>
          </w:p>
        </w:tc>
      </w:tr>
      <w:tr w:rsidR="00D708EC" w14:paraId="38C9A247" w14:textId="77777777">
        <w:tc>
          <w:tcPr>
            <w:tcW w:w="0" w:type="auto"/>
            <w:shd w:val="clear" w:color="auto" w:fill="ECEFF1"/>
          </w:tcPr>
          <w:p w14:paraId="2E7DCE37" w14:textId="77777777" w:rsidR="00D708EC" w:rsidRDefault="00000000">
            <w:pPr>
              <w:rPr>
                <w:rFonts w:hint="eastAsia"/>
              </w:rPr>
            </w:pPr>
            <w:r>
              <w:rPr>
                <w:sz w:val="19"/>
              </w:rPr>
              <w:t>GA-4</w:t>
            </w:r>
          </w:p>
        </w:tc>
        <w:tc>
          <w:tcPr>
            <w:tcW w:w="0" w:type="auto"/>
            <w:shd w:val="clear" w:color="auto" w:fill="ECEFF1"/>
          </w:tcPr>
          <w:p w14:paraId="2B5CD997" w14:textId="77777777" w:rsidR="00D708EC" w:rsidRDefault="00000000">
            <w:pPr>
              <w:rPr>
                <w:rFonts w:hint="eastAsia"/>
              </w:rPr>
            </w:pPr>
            <w:r>
              <w:rPr>
                <w:sz w:val="19"/>
              </w:rPr>
              <w:t>25 degrees 39 minutes N</w:t>
            </w:r>
          </w:p>
        </w:tc>
        <w:tc>
          <w:tcPr>
            <w:tcW w:w="0" w:type="auto"/>
            <w:shd w:val="clear" w:color="auto" w:fill="ECEFF1"/>
          </w:tcPr>
          <w:p w14:paraId="241445E2" w14:textId="77777777" w:rsidR="00D708EC" w:rsidRDefault="00000000">
            <w:pPr>
              <w:rPr>
                <w:rFonts w:hint="eastAsia"/>
              </w:rPr>
            </w:pPr>
            <w:r>
              <w:rPr>
                <w:sz w:val="19"/>
              </w:rPr>
              <w:t>57 degrees 20 minutes E</w:t>
            </w:r>
          </w:p>
        </w:tc>
      </w:tr>
      <w:tr w:rsidR="00D708EC" w14:paraId="7F58380C" w14:textId="77777777">
        <w:tc>
          <w:tcPr>
            <w:tcW w:w="0" w:type="auto"/>
          </w:tcPr>
          <w:p w14:paraId="2A6359F5" w14:textId="77777777" w:rsidR="00D708EC" w:rsidRDefault="00000000">
            <w:pPr>
              <w:rPr>
                <w:rFonts w:hint="eastAsia"/>
              </w:rPr>
            </w:pPr>
            <w:r>
              <w:rPr>
                <w:sz w:val="19"/>
              </w:rPr>
              <w:t>GA-5</w:t>
            </w:r>
          </w:p>
        </w:tc>
        <w:tc>
          <w:tcPr>
            <w:tcW w:w="0" w:type="auto"/>
          </w:tcPr>
          <w:p w14:paraId="407ECF84" w14:textId="77777777" w:rsidR="00D708EC" w:rsidRDefault="00000000">
            <w:pPr>
              <w:rPr>
                <w:rFonts w:hint="eastAsia"/>
              </w:rPr>
            </w:pPr>
            <w:r>
              <w:rPr>
                <w:sz w:val="19"/>
              </w:rPr>
              <w:t>25 degrees 20 minutes N</w:t>
            </w:r>
          </w:p>
        </w:tc>
        <w:tc>
          <w:tcPr>
            <w:tcW w:w="0" w:type="auto"/>
          </w:tcPr>
          <w:p w14:paraId="5BEBC7AE" w14:textId="77777777" w:rsidR="00D708EC" w:rsidRDefault="00000000">
            <w:pPr>
              <w:rPr>
                <w:rFonts w:hint="eastAsia"/>
              </w:rPr>
            </w:pPr>
            <w:r>
              <w:rPr>
                <w:sz w:val="19"/>
              </w:rPr>
              <w:t>56 degrees 50 minutes E</w:t>
            </w:r>
          </w:p>
        </w:tc>
      </w:tr>
      <w:tr w:rsidR="00D708EC" w14:paraId="3296FFF7" w14:textId="77777777">
        <w:tc>
          <w:tcPr>
            <w:tcW w:w="0" w:type="auto"/>
            <w:shd w:val="clear" w:color="auto" w:fill="ECEFF1"/>
          </w:tcPr>
          <w:p w14:paraId="766B1C64" w14:textId="77777777" w:rsidR="00D708EC" w:rsidRDefault="00000000">
            <w:pPr>
              <w:rPr>
                <w:rFonts w:hint="eastAsia"/>
              </w:rPr>
            </w:pPr>
            <w:r>
              <w:rPr>
                <w:sz w:val="19"/>
              </w:rPr>
              <w:t>GA-6</w:t>
            </w:r>
          </w:p>
        </w:tc>
        <w:tc>
          <w:tcPr>
            <w:tcW w:w="0" w:type="auto"/>
            <w:shd w:val="clear" w:color="auto" w:fill="ECEFF1"/>
          </w:tcPr>
          <w:p w14:paraId="062D283C" w14:textId="77777777" w:rsidR="00D708EC" w:rsidRDefault="00000000">
            <w:pPr>
              <w:rPr>
                <w:rFonts w:hint="eastAsia"/>
              </w:rPr>
            </w:pPr>
            <w:r>
              <w:rPr>
                <w:sz w:val="19"/>
              </w:rPr>
              <w:t>25 degrees 44 minutes N</w:t>
            </w:r>
          </w:p>
        </w:tc>
        <w:tc>
          <w:tcPr>
            <w:tcW w:w="0" w:type="auto"/>
            <w:shd w:val="clear" w:color="auto" w:fill="ECEFF1"/>
          </w:tcPr>
          <w:p w14:paraId="0D6D3BAC" w14:textId="77777777" w:rsidR="00D708EC" w:rsidRDefault="00000000">
            <w:pPr>
              <w:rPr>
                <w:rFonts w:hint="eastAsia"/>
              </w:rPr>
            </w:pPr>
            <w:r>
              <w:rPr>
                <w:sz w:val="19"/>
              </w:rPr>
              <w:t>56 degrees 23 minutes E</w:t>
            </w:r>
          </w:p>
        </w:tc>
      </w:tr>
      <w:tr w:rsidR="00D708EC" w14:paraId="41E5BFD1" w14:textId="77777777">
        <w:tc>
          <w:tcPr>
            <w:tcW w:w="0" w:type="auto"/>
          </w:tcPr>
          <w:p w14:paraId="65E66F56" w14:textId="77777777" w:rsidR="00D708EC" w:rsidRDefault="00000000">
            <w:pPr>
              <w:rPr>
                <w:rFonts w:hint="eastAsia"/>
              </w:rPr>
            </w:pPr>
            <w:r>
              <w:rPr>
                <w:sz w:val="19"/>
              </w:rPr>
              <w:t>GA-7</w:t>
            </w:r>
          </w:p>
        </w:tc>
        <w:tc>
          <w:tcPr>
            <w:tcW w:w="0" w:type="auto"/>
          </w:tcPr>
          <w:p w14:paraId="544A1074" w14:textId="77777777" w:rsidR="00D708EC" w:rsidRDefault="00000000">
            <w:pPr>
              <w:rPr>
                <w:rFonts w:hint="eastAsia"/>
              </w:rPr>
            </w:pPr>
            <w:r>
              <w:rPr>
                <w:sz w:val="19"/>
              </w:rPr>
              <w:t>26 degrees 10 minutes N</w:t>
            </w:r>
          </w:p>
        </w:tc>
        <w:tc>
          <w:tcPr>
            <w:tcW w:w="0" w:type="auto"/>
          </w:tcPr>
          <w:p w14:paraId="386626A8" w14:textId="77777777" w:rsidR="00D708EC" w:rsidRDefault="00000000">
            <w:pPr>
              <w:rPr>
                <w:rFonts w:hint="eastAsia"/>
              </w:rPr>
            </w:pPr>
            <w:r>
              <w:rPr>
                <w:sz w:val="19"/>
              </w:rPr>
              <w:t>55 degrees 54 minutes E</w:t>
            </w:r>
          </w:p>
        </w:tc>
      </w:tr>
    </w:tbl>
    <w:p w14:paraId="25FC8507" w14:textId="77777777" w:rsidR="00D708EC" w:rsidRDefault="00000000">
      <w:pPr>
        <w:rPr>
          <w:rFonts w:hint="eastAsia"/>
        </w:rPr>
      </w:pPr>
      <w:r>
        <w:t>A.1.2 The chart custody rule: the definitive chart resides with the IMO registry. Amendment of the polygon or of any corridor centerline executes only through the Joint Hormuz Authority under the Twin-Key Rule, with IMO certification and Depositary registration.</w:t>
      </w:r>
    </w:p>
    <w:p w14:paraId="638817AF" w14:textId="77777777" w:rsidR="00D708EC" w:rsidRDefault="00000000">
      <w:pPr>
        <w:rPr>
          <w:rFonts w:hint="eastAsia"/>
        </w:rPr>
      </w:pPr>
      <w:r>
        <w:t>A.1.3 Internal reference lines, approach lanes, anchorages, and holding areas appear on the definitive chart. Waiting areas off Musandam and off Bandar Abbas operate under the standing rules of the Maritime Coordination Center.</w:t>
      </w:r>
    </w:p>
    <w:p w14:paraId="770192FA" w14:textId="77777777" w:rsidR="00D708EC" w:rsidRDefault="00000000">
      <w:pPr>
        <w:pStyle w:val="Heading2"/>
        <w:rPr>
          <w:rFonts w:hint="eastAsia"/>
        </w:rPr>
      </w:pPr>
      <w:bookmarkStart w:id="118" w:name="_Toc237663632"/>
      <w:r>
        <w:t>Section A.2: Corridor Technical Parameters</w:t>
      </w:r>
      <w:bookmarkEnd w:id="118"/>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1818"/>
        <w:gridCol w:w="1734"/>
        <w:gridCol w:w="3446"/>
        <w:gridCol w:w="2228"/>
      </w:tblGrid>
      <w:tr w:rsidR="00D708EC" w14:paraId="165EEFA1" w14:textId="77777777">
        <w:tc>
          <w:tcPr>
            <w:tcW w:w="0" w:type="auto"/>
            <w:shd w:val="clear" w:color="auto" w:fill="37474F"/>
          </w:tcPr>
          <w:p w14:paraId="12706B12" w14:textId="77777777" w:rsidR="00D708EC" w:rsidRDefault="00000000">
            <w:pPr>
              <w:rPr>
                <w:rFonts w:hint="eastAsia"/>
              </w:rPr>
            </w:pPr>
            <w:r>
              <w:rPr>
                <w:b/>
                <w:color w:val="FFFFFF"/>
                <w:sz w:val="19"/>
              </w:rPr>
              <w:t>Corridor</w:t>
            </w:r>
          </w:p>
        </w:tc>
        <w:tc>
          <w:tcPr>
            <w:tcW w:w="0" w:type="auto"/>
            <w:shd w:val="clear" w:color="auto" w:fill="37474F"/>
          </w:tcPr>
          <w:p w14:paraId="7DC85AE4" w14:textId="77777777" w:rsidR="00D708EC" w:rsidRDefault="00000000">
            <w:pPr>
              <w:rPr>
                <w:rFonts w:hint="eastAsia"/>
              </w:rPr>
            </w:pPr>
            <w:r>
              <w:rPr>
                <w:b/>
                <w:color w:val="FFFFFF"/>
                <w:sz w:val="19"/>
              </w:rPr>
              <w:t>Function</w:t>
            </w:r>
          </w:p>
        </w:tc>
        <w:tc>
          <w:tcPr>
            <w:tcW w:w="0" w:type="auto"/>
            <w:shd w:val="clear" w:color="auto" w:fill="37474F"/>
          </w:tcPr>
          <w:p w14:paraId="0A53D65E" w14:textId="77777777" w:rsidR="00D708EC" w:rsidRDefault="00000000">
            <w:pPr>
              <w:rPr>
                <w:rFonts w:hint="eastAsia"/>
              </w:rPr>
            </w:pPr>
            <w:r>
              <w:rPr>
                <w:b/>
                <w:color w:val="FFFFFF"/>
                <w:sz w:val="19"/>
              </w:rPr>
              <w:t>Administration</w:t>
            </w:r>
          </w:p>
        </w:tc>
        <w:tc>
          <w:tcPr>
            <w:tcW w:w="0" w:type="auto"/>
            <w:shd w:val="clear" w:color="auto" w:fill="37474F"/>
          </w:tcPr>
          <w:p w14:paraId="4D53793D" w14:textId="77777777" w:rsidR="00D708EC" w:rsidRDefault="00000000">
            <w:pPr>
              <w:rPr>
                <w:rFonts w:hint="eastAsia"/>
              </w:rPr>
            </w:pPr>
            <w:r>
              <w:rPr>
                <w:b/>
                <w:color w:val="FFFFFF"/>
                <w:sz w:val="19"/>
              </w:rPr>
              <w:t>Width (reference)</w:t>
            </w:r>
          </w:p>
        </w:tc>
      </w:tr>
      <w:tr w:rsidR="00D708EC" w14:paraId="3DBD2937" w14:textId="77777777">
        <w:tc>
          <w:tcPr>
            <w:tcW w:w="0" w:type="auto"/>
          </w:tcPr>
          <w:p w14:paraId="531BBE7E" w14:textId="77777777" w:rsidR="00D708EC" w:rsidRDefault="00000000">
            <w:pPr>
              <w:rPr>
                <w:rFonts w:hint="eastAsia"/>
              </w:rPr>
            </w:pPr>
            <w:r>
              <w:rPr>
                <w:sz w:val="19"/>
              </w:rPr>
              <w:t>Corridor One (Northern Stewardship)</w:t>
            </w:r>
          </w:p>
        </w:tc>
        <w:tc>
          <w:tcPr>
            <w:tcW w:w="0" w:type="auto"/>
          </w:tcPr>
          <w:p w14:paraId="6A67BACB" w14:textId="77777777" w:rsidR="00D708EC" w:rsidRDefault="00000000">
            <w:pPr>
              <w:rPr>
                <w:rFonts w:hint="eastAsia"/>
              </w:rPr>
            </w:pPr>
            <w:r>
              <w:rPr>
                <w:sz w:val="19"/>
              </w:rPr>
              <w:t>Inbound traffic</w:t>
            </w:r>
          </w:p>
        </w:tc>
        <w:tc>
          <w:tcPr>
            <w:tcW w:w="0" w:type="auto"/>
          </w:tcPr>
          <w:p w14:paraId="2875E17A" w14:textId="77777777" w:rsidR="00D708EC" w:rsidRDefault="00000000">
            <w:pPr>
              <w:rPr>
                <w:rFonts w:hint="eastAsia"/>
              </w:rPr>
            </w:pPr>
            <w:r>
              <w:rPr>
                <w:sz w:val="19"/>
              </w:rPr>
              <w:t>Iran, as coastal state, within Part VI rules</w:t>
            </w:r>
          </w:p>
        </w:tc>
        <w:tc>
          <w:tcPr>
            <w:tcW w:w="0" w:type="auto"/>
          </w:tcPr>
          <w:p w14:paraId="4D57D618" w14:textId="77777777" w:rsidR="00D708EC" w:rsidRDefault="00000000">
            <w:pPr>
              <w:rPr>
                <w:rFonts w:hint="eastAsia"/>
              </w:rPr>
            </w:pPr>
            <w:r>
              <w:rPr>
                <w:sz w:val="19"/>
              </w:rPr>
              <w:t>Two nautical miles, one-way</w:t>
            </w:r>
          </w:p>
        </w:tc>
      </w:tr>
      <w:tr w:rsidR="00D708EC" w14:paraId="0E375090" w14:textId="77777777">
        <w:tc>
          <w:tcPr>
            <w:tcW w:w="0" w:type="auto"/>
            <w:shd w:val="clear" w:color="auto" w:fill="ECEFF1"/>
          </w:tcPr>
          <w:p w14:paraId="1CE2FC4C" w14:textId="77777777" w:rsidR="00D708EC" w:rsidRDefault="00000000">
            <w:pPr>
              <w:rPr>
                <w:rFonts w:hint="eastAsia"/>
              </w:rPr>
            </w:pPr>
            <w:r>
              <w:rPr>
                <w:sz w:val="19"/>
              </w:rPr>
              <w:t xml:space="preserve">Corridor Two </w:t>
            </w:r>
            <w:r>
              <w:rPr>
                <w:sz w:val="19"/>
              </w:rPr>
              <w:lastRenderedPageBreak/>
              <w:t>(Central Buffer)</w:t>
            </w:r>
          </w:p>
        </w:tc>
        <w:tc>
          <w:tcPr>
            <w:tcW w:w="0" w:type="auto"/>
            <w:shd w:val="clear" w:color="auto" w:fill="ECEFF1"/>
          </w:tcPr>
          <w:p w14:paraId="4AF5B6DE" w14:textId="77777777" w:rsidR="00D708EC" w:rsidRDefault="00000000">
            <w:pPr>
              <w:rPr>
                <w:rFonts w:hint="eastAsia"/>
              </w:rPr>
            </w:pPr>
            <w:r>
              <w:rPr>
                <w:sz w:val="19"/>
              </w:rPr>
              <w:lastRenderedPageBreak/>
              <w:t xml:space="preserve">Two-way buffer and heavy-traffic </w:t>
            </w:r>
            <w:r>
              <w:rPr>
                <w:sz w:val="19"/>
              </w:rPr>
              <w:lastRenderedPageBreak/>
              <w:t>overflow</w:t>
            </w:r>
          </w:p>
        </w:tc>
        <w:tc>
          <w:tcPr>
            <w:tcW w:w="0" w:type="auto"/>
            <w:shd w:val="clear" w:color="auto" w:fill="ECEFF1"/>
          </w:tcPr>
          <w:p w14:paraId="4F753285" w14:textId="77777777" w:rsidR="00D708EC" w:rsidRDefault="00000000">
            <w:pPr>
              <w:rPr>
                <w:rFonts w:hint="eastAsia"/>
              </w:rPr>
            </w:pPr>
            <w:r>
              <w:rPr>
                <w:sz w:val="19"/>
              </w:rPr>
              <w:lastRenderedPageBreak/>
              <w:t>Joint Hormuz Authority under Twin-</w:t>
            </w:r>
            <w:r>
              <w:rPr>
                <w:sz w:val="19"/>
              </w:rPr>
              <w:lastRenderedPageBreak/>
              <w:t>Key</w:t>
            </w:r>
          </w:p>
        </w:tc>
        <w:tc>
          <w:tcPr>
            <w:tcW w:w="0" w:type="auto"/>
            <w:shd w:val="clear" w:color="auto" w:fill="ECEFF1"/>
          </w:tcPr>
          <w:p w14:paraId="5E200A48" w14:textId="77777777" w:rsidR="00D708EC" w:rsidRDefault="00000000">
            <w:pPr>
              <w:rPr>
                <w:rFonts w:hint="eastAsia"/>
              </w:rPr>
            </w:pPr>
            <w:r>
              <w:rPr>
                <w:sz w:val="19"/>
              </w:rPr>
              <w:lastRenderedPageBreak/>
              <w:t xml:space="preserve">Three nautical miles, one-way each direction </w:t>
            </w:r>
            <w:r>
              <w:rPr>
                <w:sz w:val="19"/>
              </w:rPr>
              <w:lastRenderedPageBreak/>
              <w:t>within buffer</w:t>
            </w:r>
          </w:p>
        </w:tc>
      </w:tr>
      <w:tr w:rsidR="00D708EC" w14:paraId="2D20B3AB" w14:textId="77777777">
        <w:tc>
          <w:tcPr>
            <w:tcW w:w="0" w:type="auto"/>
          </w:tcPr>
          <w:p w14:paraId="7B1A6712" w14:textId="77777777" w:rsidR="00D708EC" w:rsidRDefault="00000000">
            <w:pPr>
              <w:rPr>
                <w:rFonts w:hint="eastAsia"/>
              </w:rPr>
            </w:pPr>
            <w:r>
              <w:rPr>
                <w:sz w:val="19"/>
              </w:rPr>
              <w:lastRenderedPageBreak/>
              <w:t>Corridor Three (Southern Assurance)</w:t>
            </w:r>
          </w:p>
        </w:tc>
        <w:tc>
          <w:tcPr>
            <w:tcW w:w="0" w:type="auto"/>
          </w:tcPr>
          <w:p w14:paraId="3EF117AC" w14:textId="77777777" w:rsidR="00D708EC" w:rsidRDefault="00000000">
            <w:pPr>
              <w:rPr>
                <w:rFonts w:hint="eastAsia"/>
              </w:rPr>
            </w:pPr>
            <w:r>
              <w:rPr>
                <w:sz w:val="19"/>
              </w:rPr>
              <w:t>Outbound traffic</w:t>
            </w:r>
          </w:p>
        </w:tc>
        <w:tc>
          <w:tcPr>
            <w:tcW w:w="0" w:type="auto"/>
          </w:tcPr>
          <w:p w14:paraId="4225FE52" w14:textId="77777777" w:rsidR="00D708EC" w:rsidRDefault="00000000">
            <w:pPr>
              <w:rPr>
                <w:rFonts w:hint="eastAsia"/>
              </w:rPr>
            </w:pPr>
            <w:r>
              <w:rPr>
                <w:sz w:val="19"/>
              </w:rPr>
              <w:t>Oman, as coastal state; standing concurrence for the segment transiting Iranian waters recorded herein</w:t>
            </w:r>
          </w:p>
        </w:tc>
        <w:tc>
          <w:tcPr>
            <w:tcW w:w="0" w:type="auto"/>
          </w:tcPr>
          <w:p w14:paraId="469A6BA7" w14:textId="77777777" w:rsidR="00D708EC" w:rsidRDefault="00000000">
            <w:pPr>
              <w:rPr>
                <w:rFonts w:hint="eastAsia"/>
              </w:rPr>
            </w:pPr>
            <w:r>
              <w:rPr>
                <w:sz w:val="19"/>
              </w:rPr>
              <w:t>Two nautical miles, one-way</w:t>
            </w:r>
          </w:p>
        </w:tc>
      </w:tr>
    </w:tbl>
    <w:p w14:paraId="5A998455" w14:textId="77777777" w:rsidR="00D708EC" w:rsidRDefault="00000000">
      <w:pPr>
        <w:rPr>
          <w:rFonts w:hint="eastAsia"/>
        </w:rPr>
      </w:pPr>
      <w:r>
        <w:t>A.2.1 Flow states. The Maritime Coordination Center publishes flow states (Green, Amber, Red) in the Open Water Bulletin. Red flow states meter traffic by schedule, never by denial; humanitarian priority holds in every state.</w:t>
      </w:r>
    </w:p>
    <w:p w14:paraId="4E768938" w14:textId="77777777" w:rsidR="00D708EC" w:rsidRDefault="00000000">
      <w:pPr>
        <w:rPr>
          <w:rFonts w:hint="eastAsia"/>
        </w:rPr>
      </w:pPr>
      <w:r>
        <w:t>A.2.2 The Southern Approaches Protocol. The coordination practices of this Annex extend, by reference, to the Bab el-Mandeb approaches under the Yemen settlement of Article 39.3, through the same notification, non-interdiction, and data standards, administered by the Authority in coordination with the IMO and the littoral states of that strait.</w:t>
      </w:r>
    </w:p>
    <w:p w14:paraId="347B091A" w14:textId="77777777" w:rsidR="00D708EC" w:rsidRDefault="00000000">
      <w:pPr>
        <w:pStyle w:val="Heading2"/>
        <w:rPr>
          <w:rFonts w:hint="eastAsia"/>
        </w:rPr>
      </w:pPr>
      <w:bookmarkStart w:id="119" w:name="_Toc237663633"/>
      <w:r>
        <w:t>Section A.3: The Verified Services Catalog</w:t>
      </w:r>
      <w:bookmarkEnd w:id="119"/>
    </w:p>
    <w:p w14:paraId="6F190987" w14:textId="77777777" w:rsidR="00D708EC" w:rsidRDefault="00000000">
      <w:pPr>
        <w:rPr>
          <w:rFonts w:hint="eastAsia"/>
        </w:rPr>
      </w:pPr>
      <w:r>
        <w:t>A.3.1 The following services, and only the following services, carry charges within the Governance Area. Each service executes at the election of the vessel, at rates the Joint Hormuz Authority publishes annually, non-discriminatory and cost-related:</w:t>
      </w:r>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692"/>
        <w:gridCol w:w="3315"/>
        <w:gridCol w:w="2990"/>
        <w:gridCol w:w="2229"/>
      </w:tblGrid>
      <w:tr w:rsidR="00D708EC" w14:paraId="553ED409" w14:textId="77777777">
        <w:tc>
          <w:tcPr>
            <w:tcW w:w="0" w:type="auto"/>
            <w:shd w:val="clear" w:color="auto" w:fill="37474F"/>
          </w:tcPr>
          <w:p w14:paraId="2E8F6D24" w14:textId="77777777" w:rsidR="00D708EC" w:rsidRDefault="00000000">
            <w:pPr>
              <w:rPr>
                <w:rFonts w:hint="eastAsia"/>
              </w:rPr>
            </w:pPr>
            <w:r>
              <w:rPr>
                <w:b/>
                <w:color w:val="FFFFFF"/>
                <w:sz w:val="19"/>
              </w:rPr>
              <w:t>Code</w:t>
            </w:r>
          </w:p>
        </w:tc>
        <w:tc>
          <w:tcPr>
            <w:tcW w:w="0" w:type="auto"/>
            <w:shd w:val="clear" w:color="auto" w:fill="37474F"/>
          </w:tcPr>
          <w:p w14:paraId="4F5AC389" w14:textId="77777777" w:rsidR="00D708EC" w:rsidRDefault="00000000">
            <w:pPr>
              <w:rPr>
                <w:rFonts w:hint="eastAsia"/>
              </w:rPr>
            </w:pPr>
            <w:r>
              <w:rPr>
                <w:b/>
                <w:color w:val="FFFFFF"/>
                <w:sz w:val="19"/>
              </w:rPr>
              <w:t>Service</w:t>
            </w:r>
          </w:p>
        </w:tc>
        <w:tc>
          <w:tcPr>
            <w:tcW w:w="0" w:type="auto"/>
            <w:shd w:val="clear" w:color="auto" w:fill="37474F"/>
          </w:tcPr>
          <w:p w14:paraId="680C4738" w14:textId="77777777" w:rsidR="00D708EC" w:rsidRDefault="00000000">
            <w:pPr>
              <w:rPr>
                <w:rFonts w:hint="eastAsia"/>
              </w:rPr>
            </w:pPr>
            <w:r>
              <w:rPr>
                <w:b/>
                <w:color w:val="FFFFFF"/>
                <w:sz w:val="19"/>
              </w:rPr>
              <w:t>Provider</w:t>
            </w:r>
          </w:p>
        </w:tc>
        <w:tc>
          <w:tcPr>
            <w:tcW w:w="0" w:type="auto"/>
            <w:shd w:val="clear" w:color="auto" w:fill="37474F"/>
          </w:tcPr>
          <w:p w14:paraId="3A151120" w14:textId="77777777" w:rsidR="00D708EC" w:rsidRDefault="00000000">
            <w:pPr>
              <w:rPr>
                <w:rFonts w:hint="eastAsia"/>
              </w:rPr>
            </w:pPr>
            <w:r>
              <w:rPr>
                <w:b/>
                <w:color w:val="FFFFFF"/>
                <w:sz w:val="19"/>
              </w:rPr>
              <w:t>Rate basis</w:t>
            </w:r>
          </w:p>
        </w:tc>
      </w:tr>
      <w:tr w:rsidR="00D708EC" w14:paraId="1F59AE36" w14:textId="77777777">
        <w:tc>
          <w:tcPr>
            <w:tcW w:w="0" w:type="auto"/>
          </w:tcPr>
          <w:p w14:paraId="66594E2F" w14:textId="77777777" w:rsidR="00D708EC" w:rsidRDefault="00000000">
            <w:pPr>
              <w:rPr>
                <w:rFonts w:hint="eastAsia"/>
              </w:rPr>
            </w:pPr>
            <w:r>
              <w:rPr>
                <w:sz w:val="19"/>
              </w:rPr>
              <w:t>VS-1</w:t>
            </w:r>
          </w:p>
        </w:tc>
        <w:tc>
          <w:tcPr>
            <w:tcW w:w="0" w:type="auto"/>
          </w:tcPr>
          <w:p w14:paraId="0B195704" w14:textId="77777777" w:rsidR="00D708EC" w:rsidRDefault="00000000">
            <w:pPr>
              <w:rPr>
                <w:rFonts w:hint="eastAsia"/>
              </w:rPr>
            </w:pPr>
            <w:r>
              <w:rPr>
                <w:sz w:val="19"/>
              </w:rPr>
              <w:t>Pilotage (requested)</w:t>
            </w:r>
          </w:p>
        </w:tc>
        <w:tc>
          <w:tcPr>
            <w:tcW w:w="0" w:type="auto"/>
          </w:tcPr>
          <w:p w14:paraId="662BE42E" w14:textId="77777777" w:rsidR="00D708EC" w:rsidRDefault="00000000">
            <w:pPr>
              <w:rPr>
                <w:rFonts w:hint="eastAsia"/>
              </w:rPr>
            </w:pPr>
            <w:r>
              <w:rPr>
                <w:sz w:val="19"/>
              </w:rPr>
              <w:t>Coastal-state pilots under Authority coordination</w:t>
            </w:r>
          </w:p>
        </w:tc>
        <w:tc>
          <w:tcPr>
            <w:tcW w:w="0" w:type="auto"/>
          </w:tcPr>
          <w:p w14:paraId="3CDDAD99" w14:textId="77777777" w:rsidR="00D708EC" w:rsidRDefault="00000000">
            <w:pPr>
              <w:rPr>
                <w:rFonts w:hint="eastAsia"/>
              </w:rPr>
            </w:pPr>
            <w:r>
              <w:rPr>
                <w:sz w:val="19"/>
              </w:rPr>
              <w:t>Per transit, published rate</w:t>
            </w:r>
          </w:p>
        </w:tc>
      </w:tr>
      <w:tr w:rsidR="00D708EC" w14:paraId="340CDFC6" w14:textId="77777777">
        <w:tc>
          <w:tcPr>
            <w:tcW w:w="0" w:type="auto"/>
            <w:shd w:val="clear" w:color="auto" w:fill="ECEFF1"/>
          </w:tcPr>
          <w:p w14:paraId="4E7D091C" w14:textId="77777777" w:rsidR="00D708EC" w:rsidRDefault="00000000">
            <w:pPr>
              <w:rPr>
                <w:rFonts w:hint="eastAsia"/>
              </w:rPr>
            </w:pPr>
            <w:r>
              <w:rPr>
                <w:sz w:val="19"/>
              </w:rPr>
              <w:t>VS-2</w:t>
            </w:r>
          </w:p>
        </w:tc>
        <w:tc>
          <w:tcPr>
            <w:tcW w:w="0" w:type="auto"/>
            <w:shd w:val="clear" w:color="auto" w:fill="ECEFF1"/>
          </w:tcPr>
          <w:p w14:paraId="2DD3598E" w14:textId="77777777" w:rsidR="00D708EC" w:rsidRDefault="00000000">
            <w:pPr>
              <w:rPr>
                <w:rFonts w:hint="eastAsia"/>
              </w:rPr>
            </w:pPr>
            <w:r>
              <w:rPr>
                <w:sz w:val="19"/>
              </w:rPr>
              <w:t>Tug assistance (requested)</w:t>
            </w:r>
          </w:p>
        </w:tc>
        <w:tc>
          <w:tcPr>
            <w:tcW w:w="0" w:type="auto"/>
            <w:shd w:val="clear" w:color="auto" w:fill="ECEFF1"/>
          </w:tcPr>
          <w:p w14:paraId="201F6305" w14:textId="77777777" w:rsidR="00D708EC" w:rsidRDefault="00000000">
            <w:pPr>
              <w:rPr>
                <w:rFonts w:hint="eastAsia"/>
              </w:rPr>
            </w:pPr>
            <w:r>
              <w:rPr>
                <w:sz w:val="19"/>
              </w:rPr>
              <w:t>Licensed tug operators</w:t>
            </w:r>
          </w:p>
        </w:tc>
        <w:tc>
          <w:tcPr>
            <w:tcW w:w="0" w:type="auto"/>
            <w:shd w:val="clear" w:color="auto" w:fill="ECEFF1"/>
          </w:tcPr>
          <w:p w14:paraId="6F2686C3" w14:textId="77777777" w:rsidR="00D708EC" w:rsidRDefault="00000000">
            <w:pPr>
              <w:rPr>
                <w:rFonts w:hint="eastAsia"/>
              </w:rPr>
            </w:pPr>
            <w:r>
              <w:rPr>
                <w:sz w:val="19"/>
              </w:rPr>
              <w:t>Per operation</w:t>
            </w:r>
          </w:p>
        </w:tc>
      </w:tr>
      <w:tr w:rsidR="00D708EC" w14:paraId="568316EE" w14:textId="77777777">
        <w:tc>
          <w:tcPr>
            <w:tcW w:w="0" w:type="auto"/>
          </w:tcPr>
          <w:p w14:paraId="6CF18F5C" w14:textId="77777777" w:rsidR="00D708EC" w:rsidRDefault="00000000">
            <w:pPr>
              <w:rPr>
                <w:rFonts w:hint="eastAsia"/>
              </w:rPr>
            </w:pPr>
            <w:r>
              <w:rPr>
                <w:sz w:val="19"/>
              </w:rPr>
              <w:t>VS-3</w:t>
            </w:r>
          </w:p>
        </w:tc>
        <w:tc>
          <w:tcPr>
            <w:tcW w:w="0" w:type="auto"/>
          </w:tcPr>
          <w:p w14:paraId="0A15B3DC" w14:textId="77777777" w:rsidR="00D708EC" w:rsidRDefault="00000000">
            <w:pPr>
              <w:rPr>
                <w:rFonts w:hint="eastAsia"/>
              </w:rPr>
            </w:pPr>
            <w:r>
              <w:rPr>
                <w:sz w:val="19"/>
              </w:rPr>
              <w:t>Deep-draft escort through Corridor Two</w:t>
            </w:r>
          </w:p>
        </w:tc>
        <w:tc>
          <w:tcPr>
            <w:tcW w:w="0" w:type="auto"/>
          </w:tcPr>
          <w:p w14:paraId="7DA1C713" w14:textId="77777777" w:rsidR="00D708EC" w:rsidRDefault="00000000">
            <w:pPr>
              <w:rPr>
                <w:rFonts w:hint="eastAsia"/>
              </w:rPr>
            </w:pPr>
            <w:r>
              <w:rPr>
                <w:sz w:val="19"/>
              </w:rPr>
              <w:t>Authority escort pool</w:t>
            </w:r>
          </w:p>
        </w:tc>
        <w:tc>
          <w:tcPr>
            <w:tcW w:w="0" w:type="auto"/>
          </w:tcPr>
          <w:p w14:paraId="425F2108" w14:textId="77777777" w:rsidR="00D708EC" w:rsidRDefault="00000000">
            <w:pPr>
              <w:rPr>
                <w:rFonts w:hint="eastAsia"/>
              </w:rPr>
            </w:pPr>
            <w:r>
              <w:rPr>
                <w:sz w:val="19"/>
              </w:rPr>
              <w:t>Per transit</w:t>
            </w:r>
          </w:p>
        </w:tc>
      </w:tr>
      <w:tr w:rsidR="00D708EC" w14:paraId="033AA842" w14:textId="77777777">
        <w:tc>
          <w:tcPr>
            <w:tcW w:w="0" w:type="auto"/>
            <w:shd w:val="clear" w:color="auto" w:fill="ECEFF1"/>
          </w:tcPr>
          <w:p w14:paraId="7E139F4B" w14:textId="77777777" w:rsidR="00D708EC" w:rsidRDefault="00000000">
            <w:pPr>
              <w:rPr>
                <w:rFonts w:hint="eastAsia"/>
              </w:rPr>
            </w:pPr>
            <w:r>
              <w:rPr>
                <w:sz w:val="19"/>
              </w:rPr>
              <w:t>VS-4</w:t>
            </w:r>
          </w:p>
        </w:tc>
        <w:tc>
          <w:tcPr>
            <w:tcW w:w="0" w:type="auto"/>
            <w:shd w:val="clear" w:color="auto" w:fill="ECEFF1"/>
          </w:tcPr>
          <w:p w14:paraId="51D30398" w14:textId="77777777" w:rsidR="00D708EC" w:rsidRDefault="00000000">
            <w:pPr>
              <w:rPr>
                <w:rFonts w:hint="eastAsia"/>
              </w:rPr>
            </w:pPr>
            <w:r>
              <w:rPr>
                <w:sz w:val="19"/>
              </w:rPr>
              <w:t>Scheduled convoy window (premium scheduling)</w:t>
            </w:r>
          </w:p>
        </w:tc>
        <w:tc>
          <w:tcPr>
            <w:tcW w:w="0" w:type="auto"/>
            <w:shd w:val="clear" w:color="auto" w:fill="ECEFF1"/>
          </w:tcPr>
          <w:p w14:paraId="273DC818" w14:textId="77777777" w:rsidR="00D708EC" w:rsidRDefault="00000000">
            <w:pPr>
              <w:rPr>
                <w:rFonts w:hint="eastAsia"/>
              </w:rPr>
            </w:pPr>
            <w:r>
              <w:rPr>
                <w:sz w:val="19"/>
              </w:rPr>
              <w:t>Maritime Coordination Center</w:t>
            </w:r>
          </w:p>
        </w:tc>
        <w:tc>
          <w:tcPr>
            <w:tcW w:w="0" w:type="auto"/>
            <w:shd w:val="clear" w:color="auto" w:fill="ECEFF1"/>
          </w:tcPr>
          <w:p w14:paraId="08320D73" w14:textId="77777777" w:rsidR="00D708EC" w:rsidRDefault="00000000">
            <w:pPr>
              <w:rPr>
                <w:rFonts w:hint="eastAsia"/>
              </w:rPr>
            </w:pPr>
            <w:r>
              <w:rPr>
                <w:sz w:val="19"/>
              </w:rPr>
              <w:t>Per window booking</w:t>
            </w:r>
          </w:p>
        </w:tc>
      </w:tr>
      <w:tr w:rsidR="00D708EC" w14:paraId="09DB5190" w14:textId="77777777">
        <w:tc>
          <w:tcPr>
            <w:tcW w:w="0" w:type="auto"/>
          </w:tcPr>
          <w:p w14:paraId="7C559748" w14:textId="77777777" w:rsidR="00D708EC" w:rsidRDefault="00000000">
            <w:pPr>
              <w:rPr>
                <w:rFonts w:hint="eastAsia"/>
              </w:rPr>
            </w:pPr>
            <w:r>
              <w:rPr>
                <w:sz w:val="19"/>
              </w:rPr>
              <w:t>VS-5</w:t>
            </w:r>
          </w:p>
        </w:tc>
        <w:tc>
          <w:tcPr>
            <w:tcW w:w="0" w:type="auto"/>
          </w:tcPr>
          <w:p w14:paraId="7A99A4E8" w14:textId="77777777" w:rsidR="00D708EC" w:rsidRDefault="00000000">
            <w:pPr>
              <w:rPr>
                <w:rFonts w:hint="eastAsia"/>
              </w:rPr>
            </w:pPr>
            <w:r>
              <w:rPr>
                <w:sz w:val="19"/>
              </w:rPr>
              <w:t>Search and rescue beyond standing SOLAS obligations</w:t>
            </w:r>
          </w:p>
        </w:tc>
        <w:tc>
          <w:tcPr>
            <w:tcW w:w="0" w:type="auto"/>
          </w:tcPr>
          <w:p w14:paraId="735863DF" w14:textId="77777777" w:rsidR="00D708EC" w:rsidRDefault="00000000">
            <w:pPr>
              <w:rPr>
                <w:rFonts w:hint="eastAsia"/>
              </w:rPr>
            </w:pPr>
            <w:r>
              <w:rPr>
                <w:sz w:val="19"/>
              </w:rPr>
              <w:t>Coastal-state SAR services</w:t>
            </w:r>
          </w:p>
        </w:tc>
        <w:tc>
          <w:tcPr>
            <w:tcW w:w="0" w:type="auto"/>
          </w:tcPr>
          <w:p w14:paraId="20FC4B23" w14:textId="77777777" w:rsidR="00D708EC" w:rsidRDefault="00000000">
            <w:pPr>
              <w:rPr>
                <w:rFonts w:hint="eastAsia"/>
              </w:rPr>
            </w:pPr>
            <w:r>
              <w:rPr>
                <w:sz w:val="19"/>
              </w:rPr>
              <w:t>Cost recovery</w:t>
            </w:r>
          </w:p>
        </w:tc>
      </w:tr>
      <w:tr w:rsidR="00D708EC" w14:paraId="024762F4" w14:textId="77777777">
        <w:tc>
          <w:tcPr>
            <w:tcW w:w="0" w:type="auto"/>
            <w:shd w:val="clear" w:color="auto" w:fill="ECEFF1"/>
          </w:tcPr>
          <w:p w14:paraId="3DD4BE9B" w14:textId="77777777" w:rsidR="00D708EC" w:rsidRDefault="00000000">
            <w:pPr>
              <w:rPr>
                <w:rFonts w:hint="eastAsia"/>
              </w:rPr>
            </w:pPr>
            <w:r>
              <w:rPr>
                <w:sz w:val="19"/>
              </w:rPr>
              <w:t>VS-6</w:t>
            </w:r>
          </w:p>
        </w:tc>
        <w:tc>
          <w:tcPr>
            <w:tcW w:w="0" w:type="auto"/>
            <w:shd w:val="clear" w:color="auto" w:fill="ECEFF1"/>
          </w:tcPr>
          <w:p w14:paraId="25A10A1D" w14:textId="77777777" w:rsidR="00D708EC" w:rsidRDefault="00000000">
            <w:pPr>
              <w:rPr>
                <w:rFonts w:hint="eastAsia"/>
              </w:rPr>
            </w:pPr>
            <w:r>
              <w:rPr>
                <w:sz w:val="19"/>
              </w:rPr>
              <w:t>Environmental response standby and pollution response</w:t>
            </w:r>
          </w:p>
        </w:tc>
        <w:tc>
          <w:tcPr>
            <w:tcW w:w="0" w:type="auto"/>
            <w:shd w:val="clear" w:color="auto" w:fill="ECEFF1"/>
          </w:tcPr>
          <w:p w14:paraId="2E0DD127" w14:textId="77777777" w:rsidR="00D708EC" w:rsidRDefault="00000000">
            <w:pPr>
              <w:rPr>
                <w:rFonts w:hint="eastAsia"/>
              </w:rPr>
            </w:pPr>
            <w:r>
              <w:rPr>
                <w:sz w:val="19"/>
              </w:rPr>
              <w:t>Authority environmental service</w:t>
            </w:r>
          </w:p>
        </w:tc>
        <w:tc>
          <w:tcPr>
            <w:tcW w:w="0" w:type="auto"/>
            <w:shd w:val="clear" w:color="auto" w:fill="ECEFF1"/>
          </w:tcPr>
          <w:p w14:paraId="631D9E1B" w14:textId="77777777" w:rsidR="00D708EC" w:rsidRDefault="00000000">
            <w:pPr>
              <w:rPr>
                <w:rFonts w:hint="eastAsia"/>
              </w:rPr>
            </w:pPr>
            <w:r>
              <w:rPr>
                <w:sz w:val="19"/>
              </w:rPr>
              <w:t>Annual subscription or per callout</w:t>
            </w:r>
          </w:p>
        </w:tc>
      </w:tr>
      <w:tr w:rsidR="00D708EC" w14:paraId="0AA148D6" w14:textId="77777777">
        <w:tc>
          <w:tcPr>
            <w:tcW w:w="0" w:type="auto"/>
          </w:tcPr>
          <w:p w14:paraId="07ABE8C3" w14:textId="77777777" w:rsidR="00D708EC" w:rsidRDefault="00000000">
            <w:pPr>
              <w:rPr>
                <w:rFonts w:hint="eastAsia"/>
              </w:rPr>
            </w:pPr>
            <w:r>
              <w:rPr>
                <w:sz w:val="19"/>
              </w:rPr>
              <w:t>VS-7</w:t>
            </w:r>
          </w:p>
        </w:tc>
        <w:tc>
          <w:tcPr>
            <w:tcW w:w="0" w:type="auto"/>
          </w:tcPr>
          <w:p w14:paraId="690D2435" w14:textId="77777777" w:rsidR="00D708EC" w:rsidRDefault="00000000">
            <w:pPr>
              <w:rPr>
                <w:rFonts w:hint="eastAsia"/>
              </w:rPr>
            </w:pPr>
            <w:r>
              <w:rPr>
                <w:sz w:val="19"/>
              </w:rPr>
              <w:t>Wreck removal and hazard abatement</w:t>
            </w:r>
          </w:p>
        </w:tc>
        <w:tc>
          <w:tcPr>
            <w:tcW w:w="0" w:type="auto"/>
          </w:tcPr>
          <w:p w14:paraId="3832EBE6" w14:textId="77777777" w:rsidR="00D708EC" w:rsidRDefault="00000000">
            <w:pPr>
              <w:rPr>
                <w:rFonts w:hint="eastAsia"/>
              </w:rPr>
            </w:pPr>
            <w:r>
              <w:rPr>
                <w:sz w:val="19"/>
              </w:rPr>
              <w:t>Authority contractors</w:t>
            </w:r>
          </w:p>
        </w:tc>
        <w:tc>
          <w:tcPr>
            <w:tcW w:w="0" w:type="auto"/>
          </w:tcPr>
          <w:p w14:paraId="14909B44" w14:textId="77777777" w:rsidR="00D708EC" w:rsidRDefault="00000000">
            <w:pPr>
              <w:rPr>
                <w:rFonts w:hint="eastAsia"/>
              </w:rPr>
            </w:pPr>
            <w:r>
              <w:rPr>
                <w:sz w:val="19"/>
              </w:rPr>
              <w:t>Cost recovery</w:t>
            </w:r>
          </w:p>
        </w:tc>
      </w:tr>
      <w:tr w:rsidR="00D708EC" w14:paraId="48E3A68D" w14:textId="77777777">
        <w:tc>
          <w:tcPr>
            <w:tcW w:w="0" w:type="auto"/>
            <w:shd w:val="clear" w:color="auto" w:fill="ECEFF1"/>
          </w:tcPr>
          <w:p w14:paraId="6873F801" w14:textId="77777777" w:rsidR="00D708EC" w:rsidRDefault="00000000">
            <w:pPr>
              <w:rPr>
                <w:rFonts w:hint="eastAsia"/>
              </w:rPr>
            </w:pPr>
            <w:r>
              <w:rPr>
                <w:sz w:val="19"/>
              </w:rPr>
              <w:t>VS-8</w:t>
            </w:r>
          </w:p>
        </w:tc>
        <w:tc>
          <w:tcPr>
            <w:tcW w:w="0" w:type="auto"/>
            <w:shd w:val="clear" w:color="auto" w:fill="ECEFF1"/>
          </w:tcPr>
          <w:p w14:paraId="43FE3C65" w14:textId="77777777" w:rsidR="00D708EC" w:rsidRDefault="00000000">
            <w:pPr>
              <w:rPr>
                <w:rFonts w:hint="eastAsia"/>
              </w:rPr>
            </w:pPr>
            <w:r>
              <w:rPr>
                <w:sz w:val="19"/>
              </w:rPr>
              <w:t>Route Assurance Data Subscription</w:t>
            </w:r>
          </w:p>
        </w:tc>
        <w:tc>
          <w:tcPr>
            <w:tcW w:w="0" w:type="auto"/>
            <w:shd w:val="clear" w:color="auto" w:fill="ECEFF1"/>
          </w:tcPr>
          <w:p w14:paraId="0B5FB61A" w14:textId="77777777" w:rsidR="00D708EC" w:rsidRDefault="00000000">
            <w:pPr>
              <w:rPr>
                <w:rFonts w:hint="eastAsia"/>
              </w:rPr>
            </w:pPr>
            <w:r>
              <w:rPr>
                <w:sz w:val="19"/>
              </w:rPr>
              <w:t>Authority data service</w:t>
            </w:r>
          </w:p>
        </w:tc>
        <w:tc>
          <w:tcPr>
            <w:tcW w:w="0" w:type="auto"/>
            <w:shd w:val="clear" w:color="auto" w:fill="ECEFF1"/>
          </w:tcPr>
          <w:p w14:paraId="71D9BAE4" w14:textId="77777777" w:rsidR="00D708EC" w:rsidRDefault="00000000">
            <w:pPr>
              <w:rPr>
                <w:rFonts w:hint="eastAsia"/>
              </w:rPr>
            </w:pPr>
            <w:r>
              <w:rPr>
                <w:sz w:val="19"/>
              </w:rPr>
              <w:t>Annual or per-voyage subscription</w:t>
            </w:r>
          </w:p>
        </w:tc>
      </w:tr>
      <w:tr w:rsidR="00D708EC" w14:paraId="493E44D9" w14:textId="77777777">
        <w:tc>
          <w:tcPr>
            <w:tcW w:w="0" w:type="auto"/>
          </w:tcPr>
          <w:p w14:paraId="60795473" w14:textId="77777777" w:rsidR="00D708EC" w:rsidRDefault="00000000">
            <w:pPr>
              <w:rPr>
                <w:rFonts w:hint="eastAsia"/>
              </w:rPr>
            </w:pPr>
            <w:r>
              <w:rPr>
                <w:sz w:val="19"/>
              </w:rPr>
              <w:t>VS-9</w:t>
            </w:r>
          </w:p>
        </w:tc>
        <w:tc>
          <w:tcPr>
            <w:tcW w:w="0" w:type="auto"/>
          </w:tcPr>
          <w:p w14:paraId="29A9A8D4" w14:textId="77777777" w:rsidR="00D708EC" w:rsidRDefault="00000000">
            <w:pPr>
              <w:rPr>
                <w:rFonts w:hint="eastAsia"/>
              </w:rPr>
            </w:pPr>
            <w:r>
              <w:rPr>
                <w:sz w:val="19"/>
              </w:rPr>
              <w:t>Port-of-origin documentation processing</w:t>
            </w:r>
          </w:p>
        </w:tc>
        <w:tc>
          <w:tcPr>
            <w:tcW w:w="0" w:type="auto"/>
          </w:tcPr>
          <w:p w14:paraId="6CBE99D1" w14:textId="77777777" w:rsidR="00D708EC" w:rsidRDefault="00000000">
            <w:pPr>
              <w:rPr>
                <w:rFonts w:hint="eastAsia"/>
              </w:rPr>
            </w:pPr>
            <w:r>
              <w:rPr>
                <w:sz w:val="19"/>
              </w:rPr>
              <w:t>Authority documentation window</w:t>
            </w:r>
          </w:p>
        </w:tc>
        <w:tc>
          <w:tcPr>
            <w:tcW w:w="0" w:type="auto"/>
          </w:tcPr>
          <w:p w14:paraId="671FC7BB" w14:textId="77777777" w:rsidR="00D708EC" w:rsidRDefault="00000000">
            <w:pPr>
              <w:rPr>
                <w:rFonts w:hint="eastAsia"/>
              </w:rPr>
            </w:pPr>
            <w:r>
              <w:rPr>
                <w:sz w:val="19"/>
              </w:rPr>
              <w:t>Per document set</w:t>
            </w:r>
          </w:p>
        </w:tc>
      </w:tr>
    </w:tbl>
    <w:p w14:paraId="74E41298" w14:textId="77777777" w:rsidR="00D708EC" w:rsidRDefault="00000000">
      <w:pPr>
        <w:rPr>
          <w:rFonts w:hint="eastAsia"/>
        </w:rPr>
      </w:pPr>
      <w:r>
        <w:lastRenderedPageBreak/>
        <w:t>A.3.2 A vessel requesting no service pays nothing and transits freely. The absence of a service request never delays acknowledgment, routing, or transit. This rule satisfies the service distinction of Article 9.3 and the Zero-Toll Covenant of Article 27 simultaneously.</w:t>
      </w:r>
    </w:p>
    <w:p w14:paraId="6CAA4248" w14:textId="77777777" w:rsidR="00D708EC" w:rsidRDefault="00000000">
      <w:pPr>
        <w:rPr>
          <w:rFonts w:hint="eastAsia"/>
        </w:rPr>
      </w:pPr>
      <w:r>
        <w:t>A.3.3 Safety exceptions to non-interdiction: the Authority executes boarding or diversion only upon Twin-Key concurrence, only for documented, immediate threats to life, safety of navigation, or the marine environment, with every action logged in the Registry within one hour and reviewable by the JIC within 72 hours.</w:t>
      </w:r>
    </w:p>
    <w:p w14:paraId="5ABDC81B" w14:textId="77777777" w:rsidR="00D708EC" w:rsidRDefault="00D708EC">
      <w:pPr>
        <w:pageBreakBefore/>
        <w:rPr>
          <w:rFonts w:hint="eastAsia"/>
        </w:rPr>
      </w:pPr>
    </w:p>
    <w:p w14:paraId="3DB288B4" w14:textId="77777777" w:rsidR="00D708EC" w:rsidRDefault="00000000">
      <w:pPr>
        <w:pStyle w:val="Heading1"/>
        <w:rPr>
          <w:rFonts w:hint="eastAsia"/>
        </w:rPr>
      </w:pPr>
      <w:bookmarkStart w:id="120" w:name="_Toc237663634"/>
      <w:r>
        <w:t>ANNEX B: THE NUCLEAR VERIFICATION ANNEX</w:t>
      </w:r>
      <w:bookmarkEnd w:id="120"/>
    </w:p>
    <w:p w14:paraId="05333384" w14:textId="77777777" w:rsidR="00D708EC" w:rsidRDefault="00000000">
      <w:pPr>
        <w:pStyle w:val="Heading2"/>
        <w:rPr>
          <w:rFonts w:hint="eastAsia"/>
        </w:rPr>
      </w:pPr>
      <w:bookmarkStart w:id="121" w:name="_Toc237663635"/>
      <w:r>
        <w:t>Section B.1: The Inventory and the Down-Blending Campaign</w:t>
      </w:r>
      <w:bookmarkEnd w:id="121"/>
    </w:p>
    <w:p w14:paraId="184C056E" w14:textId="77777777" w:rsidR="00D708EC" w:rsidRDefault="00000000">
      <w:pPr>
        <w:rPr>
          <w:rFonts w:hint="eastAsia"/>
        </w:rPr>
      </w:pPr>
      <w:r>
        <w:t>B.1.1 Inventory protocol. On Day One, Iran delivers the complete declaration of Article 18.1. The IAEA verifies the declaration through physical inventory verification at every declared location, environmental sampling, and reconciliation against the Agency's records and the continuity-of-knowledge archive. The inventory completes within 14 days, and the Director General reports it to the Board of Governors and to the JIC simultaneously.</w:t>
      </w:r>
    </w:p>
    <w:p w14:paraId="37790276" w14:textId="77777777" w:rsidR="00D708EC" w:rsidRDefault="00000000">
      <w:pPr>
        <w:rPr>
          <w:rFonts w:hint="eastAsia"/>
        </w:rPr>
      </w:pPr>
      <w:r>
        <w:t>B.1.2 Down-blending execution. The campaign operates at declared facilities under continuous IAEA presence: in-room cameras, seals, and process monitoring; mass-balance accounting at each campaign step; daily reporting to the Registry. The campaign completes within 30 days. The end state: no uranium enriched above 3.67 percent remains on Iranian territory, and the down-blended inventory enters the fuel-cycle accounting of Section B.3.</w:t>
      </w:r>
    </w:p>
    <w:p w14:paraId="386036DE" w14:textId="77777777" w:rsidR="00D708EC" w:rsidRDefault="00000000">
      <w:pPr>
        <w:rPr>
          <w:rFonts w:hint="eastAsia"/>
        </w:rPr>
      </w:pPr>
      <w:r>
        <w:t>B.1.3 The United States technical liaison attaches to the IAEA team under Agency confidentiality rules, observes chain-of-custody through the Agency, and reports through the JIC channel. The liaison holds no independent access rights, consistent with Red Line IR-3.</w:t>
      </w:r>
    </w:p>
    <w:p w14:paraId="5E25BFDC" w14:textId="77777777" w:rsidR="00D708EC" w:rsidRDefault="00000000">
      <w:pPr>
        <w:pStyle w:val="Heading2"/>
        <w:rPr>
          <w:rFonts w:hint="eastAsia"/>
        </w:rPr>
      </w:pPr>
      <w:bookmarkStart w:id="122" w:name="_Toc237663636"/>
      <w:r>
        <w:t>Section B.2: The Permanent Caps and the Cascade Table</w:t>
      </w:r>
      <w:bookmarkEnd w:id="122"/>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1789"/>
        <w:gridCol w:w="4728"/>
        <w:gridCol w:w="2709"/>
      </w:tblGrid>
      <w:tr w:rsidR="00D708EC" w14:paraId="5C5F575A" w14:textId="77777777">
        <w:tc>
          <w:tcPr>
            <w:tcW w:w="0" w:type="auto"/>
            <w:shd w:val="clear" w:color="auto" w:fill="37474F"/>
          </w:tcPr>
          <w:p w14:paraId="693E3343" w14:textId="77777777" w:rsidR="00D708EC" w:rsidRDefault="00000000">
            <w:pPr>
              <w:rPr>
                <w:rFonts w:hint="eastAsia"/>
              </w:rPr>
            </w:pPr>
            <w:r>
              <w:rPr>
                <w:b/>
                <w:color w:val="FFFFFF"/>
                <w:sz w:val="19"/>
              </w:rPr>
              <w:t>Parameter</w:t>
            </w:r>
          </w:p>
        </w:tc>
        <w:tc>
          <w:tcPr>
            <w:tcW w:w="0" w:type="auto"/>
            <w:shd w:val="clear" w:color="auto" w:fill="37474F"/>
          </w:tcPr>
          <w:p w14:paraId="1241711A" w14:textId="77777777" w:rsidR="00D708EC" w:rsidRDefault="00000000">
            <w:pPr>
              <w:rPr>
                <w:rFonts w:hint="eastAsia"/>
              </w:rPr>
            </w:pPr>
            <w:r>
              <w:rPr>
                <w:b/>
                <w:color w:val="FFFFFF"/>
                <w:sz w:val="19"/>
              </w:rPr>
              <w:t>Permanent limit</w:t>
            </w:r>
          </w:p>
        </w:tc>
        <w:tc>
          <w:tcPr>
            <w:tcW w:w="0" w:type="auto"/>
            <w:shd w:val="clear" w:color="auto" w:fill="37474F"/>
          </w:tcPr>
          <w:p w14:paraId="739CAB2A" w14:textId="77777777" w:rsidR="00D708EC" w:rsidRDefault="00000000">
            <w:pPr>
              <w:rPr>
                <w:rFonts w:hint="eastAsia"/>
              </w:rPr>
            </w:pPr>
            <w:r>
              <w:rPr>
                <w:b/>
                <w:color w:val="FFFFFF"/>
                <w:sz w:val="19"/>
              </w:rPr>
              <w:t>Monitoring</w:t>
            </w:r>
          </w:p>
        </w:tc>
      </w:tr>
      <w:tr w:rsidR="00D708EC" w14:paraId="6D992BF0" w14:textId="77777777">
        <w:tc>
          <w:tcPr>
            <w:tcW w:w="0" w:type="auto"/>
          </w:tcPr>
          <w:p w14:paraId="50A70384" w14:textId="77777777" w:rsidR="00D708EC" w:rsidRDefault="00000000">
            <w:pPr>
              <w:rPr>
                <w:rFonts w:hint="eastAsia"/>
              </w:rPr>
            </w:pPr>
            <w:r>
              <w:rPr>
                <w:sz w:val="19"/>
              </w:rPr>
              <w:t>Enrichment level</w:t>
            </w:r>
          </w:p>
        </w:tc>
        <w:tc>
          <w:tcPr>
            <w:tcW w:w="0" w:type="auto"/>
          </w:tcPr>
          <w:p w14:paraId="323EC768" w14:textId="77777777" w:rsidR="00D708EC" w:rsidRDefault="00000000">
            <w:pPr>
              <w:rPr>
                <w:rFonts w:hint="eastAsia"/>
              </w:rPr>
            </w:pPr>
            <w:r>
              <w:rPr>
                <w:sz w:val="19"/>
              </w:rPr>
              <w:t>At or below 3.67 percent U-235</w:t>
            </w:r>
          </w:p>
        </w:tc>
        <w:tc>
          <w:tcPr>
            <w:tcW w:w="0" w:type="auto"/>
          </w:tcPr>
          <w:p w14:paraId="2D749C33" w14:textId="77777777" w:rsidR="00D708EC" w:rsidRDefault="00000000">
            <w:pPr>
              <w:rPr>
                <w:rFonts w:hint="eastAsia"/>
              </w:rPr>
            </w:pPr>
            <w:r>
              <w:rPr>
                <w:sz w:val="19"/>
              </w:rPr>
              <w:t>Online enrichment monitors, continuous</w:t>
            </w:r>
          </w:p>
        </w:tc>
      </w:tr>
      <w:tr w:rsidR="00D708EC" w14:paraId="7EA3CC3A" w14:textId="77777777">
        <w:tc>
          <w:tcPr>
            <w:tcW w:w="0" w:type="auto"/>
            <w:shd w:val="clear" w:color="auto" w:fill="ECEFF1"/>
          </w:tcPr>
          <w:p w14:paraId="2837871B" w14:textId="77777777" w:rsidR="00D708EC" w:rsidRDefault="00000000">
            <w:pPr>
              <w:rPr>
                <w:rFonts w:hint="eastAsia"/>
              </w:rPr>
            </w:pPr>
            <w:r>
              <w:rPr>
                <w:sz w:val="19"/>
              </w:rPr>
              <w:t>Enriched stockpile</w:t>
            </w:r>
          </w:p>
        </w:tc>
        <w:tc>
          <w:tcPr>
            <w:tcW w:w="0" w:type="auto"/>
            <w:shd w:val="clear" w:color="auto" w:fill="ECEFF1"/>
          </w:tcPr>
          <w:p w14:paraId="7546E674" w14:textId="77777777" w:rsidR="00D708EC" w:rsidRDefault="00000000">
            <w:pPr>
              <w:rPr>
                <w:rFonts w:hint="eastAsia"/>
              </w:rPr>
            </w:pPr>
            <w:r>
              <w:rPr>
                <w:sz w:val="19"/>
              </w:rPr>
              <w:t>At or below 300 kilograms UF6 (uranium mass), up to 3.67 percent</w:t>
            </w:r>
          </w:p>
        </w:tc>
        <w:tc>
          <w:tcPr>
            <w:tcW w:w="0" w:type="auto"/>
            <w:shd w:val="clear" w:color="auto" w:fill="ECEFF1"/>
          </w:tcPr>
          <w:p w14:paraId="3C03F391" w14:textId="77777777" w:rsidR="00D708EC" w:rsidRDefault="00000000">
            <w:pPr>
              <w:rPr>
                <w:rFonts w:hint="eastAsia"/>
              </w:rPr>
            </w:pPr>
            <w:r>
              <w:rPr>
                <w:sz w:val="19"/>
              </w:rPr>
              <w:t>Continuous accounting; quarterly physical inventory</w:t>
            </w:r>
          </w:p>
        </w:tc>
      </w:tr>
      <w:tr w:rsidR="00D708EC" w14:paraId="1850B5D8" w14:textId="77777777">
        <w:tc>
          <w:tcPr>
            <w:tcW w:w="0" w:type="auto"/>
          </w:tcPr>
          <w:p w14:paraId="6CDEC301" w14:textId="77777777" w:rsidR="00D708EC" w:rsidRDefault="00000000">
            <w:pPr>
              <w:rPr>
                <w:rFonts w:hint="eastAsia"/>
              </w:rPr>
            </w:pPr>
            <w:r>
              <w:rPr>
                <w:sz w:val="19"/>
              </w:rPr>
              <w:t>Operating cascades</w:t>
            </w:r>
          </w:p>
        </w:tc>
        <w:tc>
          <w:tcPr>
            <w:tcW w:w="0" w:type="auto"/>
          </w:tcPr>
          <w:p w14:paraId="38EBF9F8" w14:textId="77777777" w:rsidR="00D708EC" w:rsidRDefault="00000000">
            <w:pPr>
              <w:rPr>
                <w:rFonts w:hint="eastAsia"/>
              </w:rPr>
            </w:pPr>
            <w:r>
              <w:rPr>
                <w:sz w:val="19"/>
              </w:rPr>
              <w:t>Per the Cascade Table sized to the Bushehr and Tehran Research Reactor fuel needs on a 15-year rolling basis</w:t>
            </w:r>
          </w:p>
        </w:tc>
        <w:tc>
          <w:tcPr>
            <w:tcW w:w="0" w:type="auto"/>
          </w:tcPr>
          <w:p w14:paraId="4FE17BA1" w14:textId="77777777" w:rsidR="00D708EC" w:rsidRDefault="00000000">
            <w:pPr>
              <w:rPr>
                <w:rFonts w:hint="eastAsia"/>
              </w:rPr>
            </w:pPr>
            <w:r>
              <w:rPr>
                <w:sz w:val="19"/>
              </w:rPr>
              <w:t>Cascade telemetry to the Registry</w:t>
            </w:r>
          </w:p>
        </w:tc>
      </w:tr>
      <w:tr w:rsidR="00D708EC" w14:paraId="75BBD6E5" w14:textId="77777777">
        <w:tc>
          <w:tcPr>
            <w:tcW w:w="0" w:type="auto"/>
            <w:shd w:val="clear" w:color="auto" w:fill="ECEFF1"/>
          </w:tcPr>
          <w:p w14:paraId="6B5CD796" w14:textId="77777777" w:rsidR="00D708EC" w:rsidRDefault="00000000">
            <w:pPr>
              <w:rPr>
                <w:rFonts w:hint="eastAsia"/>
              </w:rPr>
            </w:pPr>
            <w:r>
              <w:rPr>
                <w:sz w:val="19"/>
              </w:rPr>
              <w:t>Fordow</w:t>
            </w:r>
          </w:p>
        </w:tc>
        <w:tc>
          <w:tcPr>
            <w:tcW w:w="0" w:type="auto"/>
            <w:shd w:val="clear" w:color="auto" w:fill="ECEFF1"/>
          </w:tcPr>
          <w:p w14:paraId="63C79791" w14:textId="77777777" w:rsidR="00D708EC" w:rsidRDefault="00000000">
            <w:pPr>
              <w:rPr>
                <w:rFonts w:hint="eastAsia"/>
              </w:rPr>
            </w:pPr>
            <w:r>
              <w:rPr>
                <w:sz w:val="19"/>
              </w:rPr>
              <w:t>Non-enrichment nuclear, physics, and technology center; no enrichment operations; no fissile storage</w:t>
            </w:r>
          </w:p>
        </w:tc>
        <w:tc>
          <w:tcPr>
            <w:tcW w:w="0" w:type="auto"/>
            <w:shd w:val="clear" w:color="auto" w:fill="ECEFF1"/>
          </w:tcPr>
          <w:p w14:paraId="7B0E7C19" w14:textId="77777777" w:rsidR="00D708EC" w:rsidRDefault="00000000">
            <w:pPr>
              <w:rPr>
                <w:rFonts w:hint="eastAsia"/>
              </w:rPr>
            </w:pPr>
            <w:r>
              <w:rPr>
                <w:sz w:val="19"/>
              </w:rPr>
              <w:t>Continuous presence; seals</w:t>
            </w:r>
          </w:p>
        </w:tc>
      </w:tr>
      <w:tr w:rsidR="00D708EC" w14:paraId="2B5114CA" w14:textId="77777777">
        <w:tc>
          <w:tcPr>
            <w:tcW w:w="0" w:type="auto"/>
          </w:tcPr>
          <w:p w14:paraId="42300D4C" w14:textId="77777777" w:rsidR="00D708EC" w:rsidRDefault="00000000">
            <w:pPr>
              <w:rPr>
                <w:rFonts w:hint="eastAsia"/>
              </w:rPr>
            </w:pPr>
            <w:r>
              <w:rPr>
                <w:sz w:val="19"/>
              </w:rPr>
              <w:t>Research and development</w:t>
            </w:r>
          </w:p>
        </w:tc>
        <w:tc>
          <w:tcPr>
            <w:tcW w:w="0" w:type="auto"/>
          </w:tcPr>
          <w:p w14:paraId="487AEB0F" w14:textId="77777777" w:rsidR="00D708EC" w:rsidRDefault="00000000">
            <w:pPr>
              <w:rPr>
                <w:rFonts w:hint="eastAsia"/>
              </w:rPr>
            </w:pPr>
            <w:r>
              <w:rPr>
                <w:sz w:val="19"/>
              </w:rPr>
              <w:t>Declared, within the R&amp;D plan filed with the IAEA; no accumulation of material above the caps</w:t>
            </w:r>
          </w:p>
        </w:tc>
        <w:tc>
          <w:tcPr>
            <w:tcW w:w="0" w:type="auto"/>
          </w:tcPr>
          <w:p w14:paraId="2E987F1C" w14:textId="77777777" w:rsidR="00D708EC" w:rsidRDefault="00000000">
            <w:pPr>
              <w:rPr>
                <w:rFonts w:hint="eastAsia"/>
              </w:rPr>
            </w:pPr>
            <w:r>
              <w:rPr>
                <w:sz w:val="19"/>
              </w:rPr>
              <w:t>Declared-site access</w:t>
            </w:r>
          </w:p>
        </w:tc>
      </w:tr>
    </w:tbl>
    <w:p w14:paraId="60974506" w14:textId="77777777" w:rsidR="00D708EC" w:rsidRDefault="00000000">
      <w:pPr>
        <w:rPr>
          <w:rFonts w:hint="eastAsia"/>
        </w:rPr>
      </w:pPr>
      <w:r>
        <w:t>B.2.1 Conversion and dilution running rule. Material approaching the stockpile ceiling converts to fuel plates or dilutes on a running basis, so the ceiling holds continuously, not merely at inspection dates.</w:t>
      </w:r>
    </w:p>
    <w:p w14:paraId="263FE780" w14:textId="77777777" w:rsidR="00D708EC" w:rsidRDefault="00000000">
      <w:pPr>
        <w:pStyle w:val="Heading2"/>
        <w:rPr>
          <w:rFonts w:hint="eastAsia"/>
        </w:rPr>
      </w:pPr>
      <w:bookmarkStart w:id="123" w:name="_Toc237663637"/>
      <w:r>
        <w:lastRenderedPageBreak/>
        <w:t>Section B.3: The Fuel Cycle and Supply Assurance</w:t>
      </w:r>
      <w:bookmarkEnd w:id="123"/>
    </w:p>
    <w:p w14:paraId="7CA0D7B0" w14:textId="77777777" w:rsidR="00D708EC" w:rsidRDefault="00000000">
      <w:pPr>
        <w:rPr>
          <w:rFonts w:hint="eastAsia"/>
        </w:rPr>
      </w:pPr>
      <w:r>
        <w:t>B.3.1 The Fuel Assurance Window guarantees Iran reactor fuel at market terms through an international consortium of suppliers, with escrowed supply contracts administered through the Qatar Central Bank channel. Iran selects suppliers at its sovereign election; the Window guarantees availability and price discipline, never a source.</w:t>
      </w:r>
    </w:p>
    <w:p w14:paraId="417F7200" w14:textId="77777777" w:rsidR="00D708EC" w:rsidRDefault="00000000">
      <w:pPr>
        <w:rPr>
          <w:rFonts w:hint="eastAsia"/>
        </w:rPr>
      </w:pPr>
      <w:r>
        <w:t>B.3.2 Bushehr expansion proceeds under IAEA safeguards with international participation, per the bilateral programs recorded in Annex RDF.</w:t>
      </w:r>
    </w:p>
    <w:p w14:paraId="5145359A" w14:textId="77777777" w:rsidR="00D708EC" w:rsidRDefault="00000000">
      <w:pPr>
        <w:pStyle w:val="Heading2"/>
        <w:rPr>
          <w:rFonts w:hint="eastAsia"/>
        </w:rPr>
      </w:pPr>
      <w:bookmarkStart w:id="124" w:name="_Toc237663638"/>
      <w:r>
        <w:t>Section B.4: Access Regime</w:t>
      </w:r>
      <w:bookmarkEnd w:id="124"/>
    </w:p>
    <w:p w14:paraId="67263959" w14:textId="77777777" w:rsidR="00D708EC" w:rsidRDefault="00000000">
      <w:pPr>
        <w:rPr>
          <w:rFonts w:hint="eastAsia"/>
        </w:rPr>
      </w:pPr>
      <w:r>
        <w:t>B.4.1 Declared sites: continuous access per Article 20.4. Undeclared locations: managed access under the challenge procedure: the Agency requests access with its technical basis; access executes within the defined period the procedure fixes (24 hours for declared-adjacent locations; 14 days maximum for any location). Managed access techniques include controlled entry, defined time limits on inspection presence, shrouding of sensitive equipment, partial disclosure of proprietary information, and escorted movement, each preserving the technical integrity of the inspection while protecting the legitimate security interests of the host state. Refusal or expiry without access classifies as a Level 4 anomaly and enters the Tier system.</w:t>
      </w:r>
    </w:p>
    <w:p w14:paraId="4072F475" w14:textId="77777777" w:rsidR="00D708EC" w:rsidRDefault="00000000">
      <w:pPr>
        <w:rPr>
          <w:rFonts w:hint="eastAsia"/>
        </w:rPr>
      </w:pPr>
      <w:r>
        <w:t>B.4.2 The outstanding safeguards file closes through the structured process: the Agency lists its questions and access requests in one consolidated schedule within 30 days of Day Zero; Iran provides the accesses and explanations within 90 days; the Agency reports closure; the Board acts per Article 35.2. The process has a beginning, a middle, and an end, by design.</w:t>
      </w:r>
    </w:p>
    <w:p w14:paraId="15190047" w14:textId="77777777" w:rsidR="00D708EC" w:rsidRDefault="00000000">
      <w:pPr>
        <w:rPr>
          <w:rFonts w:hint="eastAsia"/>
        </w:rPr>
      </w:pPr>
      <w:r>
        <w:t>B.4.3 Trust-graduated intensity. After eight consecutive clean quarterly certifications, routine inspection frequency relaxes one step per the schedule of this Annex; after sixteen, a further step. Any Tier 2 or Tier 3 event on the nuclear module restores the prior intensity automatically. The caps and the baseline presence never relax.</w:t>
      </w:r>
    </w:p>
    <w:p w14:paraId="7B2C5A1D" w14:textId="77777777" w:rsidR="00D708EC" w:rsidRDefault="00D708EC">
      <w:pPr>
        <w:pageBreakBefore/>
        <w:rPr>
          <w:rFonts w:hint="eastAsia"/>
        </w:rPr>
      </w:pPr>
    </w:p>
    <w:p w14:paraId="6F89FED2" w14:textId="77777777" w:rsidR="00D708EC" w:rsidRDefault="00000000">
      <w:pPr>
        <w:pStyle w:val="Heading1"/>
        <w:rPr>
          <w:rFonts w:hint="eastAsia"/>
        </w:rPr>
      </w:pPr>
      <w:bookmarkStart w:id="125" w:name="_Toc237663639"/>
      <w:r>
        <w:t>ANNEX C: THE SANCTIONS TERMINATION AND ASSET RELEASE SCHEDULE</w:t>
      </w:r>
      <w:bookmarkEnd w:id="125"/>
    </w:p>
    <w:p w14:paraId="1C01BAE6" w14:textId="77777777" w:rsidR="00D708EC" w:rsidRDefault="00000000">
      <w:pPr>
        <w:pStyle w:val="Heading2"/>
        <w:rPr>
          <w:rFonts w:hint="eastAsia"/>
        </w:rPr>
      </w:pPr>
      <w:bookmarkStart w:id="126" w:name="_Toc237663640"/>
      <w:r>
        <w:t>Section C.1: The Termination Register</w:t>
      </w:r>
      <w:bookmarkEnd w:id="126"/>
    </w:p>
    <w:p w14:paraId="096BBFBB" w14:textId="77777777" w:rsidR="00D708EC" w:rsidRDefault="00000000">
      <w:pPr>
        <w:rPr>
          <w:rFonts w:hint="eastAsia"/>
        </w:rPr>
      </w:pPr>
      <w:r>
        <w:t>C.1.1 Annex C lists, in its Register tables, every sanctions instrument within scope: the United Nations Security Council resolutions terminated by the Layer Four resolution; the IAEA Board resolutions superseded; the United States statutory authorities subject to the congressional track of Article 34; the executive orders terminated at T-3; and the secondary-sanctions applications waived under the T-2 and T-3 general licenses. The Register is exhaustive: an instrument omitted from the Register terminates as an instrument within scope upon JIC determination, and the omission corrects by technical correction under Article 60.3.</w:t>
      </w:r>
    </w:p>
    <w:p w14:paraId="05A728ED" w14:textId="77777777" w:rsidR="00D708EC" w:rsidRDefault="00000000">
      <w:pPr>
        <w:rPr>
          <w:rFonts w:hint="eastAsia"/>
        </w:rPr>
      </w:pPr>
      <w:r>
        <w:t>C.1.2 Categories within scope: nuclear-related sanctions; petroleum, petrochemical, shipping, and insurance sanctions; financial and banking measures including financial messaging access; trade and investment restrictions; designations of the entities and individuals listed in the Register. Categories outside scope: measures addressing conduct subsequent to Day Zero outside the matters this Treaty settles, which route through Article 33.4.</w:t>
      </w:r>
    </w:p>
    <w:p w14:paraId="78D9C437" w14:textId="77777777" w:rsidR="00D708EC" w:rsidRDefault="00000000">
      <w:pPr>
        <w:pStyle w:val="Heading2"/>
        <w:rPr>
          <w:rFonts w:hint="eastAsia"/>
        </w:rPr>
      </w:pPr>
      <w:bookmarkStart w:id="127" w:name="_Toc237663641"/>
      <w:r>
        <w:t>Section C.2: The Asset Release Table</w:t>
      </w:r>
      <w:bookmarkEnd w:id="127"/>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954"/>
        <w:gridCol w:w="3311"/>
        <w:gridCol w:w="2357"/>
        <w:gridCol w:w="2604"/>
      </w:tblGrid>
      <w:tr w:rsidR="00D708EC" w14:paraId="39563809" w14:textId="77777777">
        <w:tc>
          <w:tcPr>
            <w:tcW w:w="0" w:type="auto"/>
            <w:shd w:val="clear" w:color="auto" w:fill="37474F"/>
          </w:tcPr>
          <w:p w14:paraId="5549740E" w14:textId="77777777" w:rsidR="00D708EC" w:rsidRDefault="00000000">
            <w:pPr>
              <w:rPr>
                <w:rFonts w:hint="eastAsia"/>
              </w:rPr>
            </w:pPr>
            <w:r>
              <w:rPr>
                <w:b/>
                <w:color w:val="FFFFFF"/>
                <w:sz w:val="19"/>
              </w:rPr>
              <w:t>Release</w:t>
            </w:r>
          </w:p>
        </w:tc>
        <w:tc>
          <w:tcPr>
            <w:tcW w:w="0" w:type="auto"/>
            <w:shd w:val="clear" w:color="auto" w:fill="37474F"/>
          </w:tcPr>
          <w:p w14:paraId="7DF62382" w14:textId="77777777" w:rsidR="00D708EC" w:rsidRDefault="00000000">
            <w:pPr>
              <w:rPr>
                <w:rFonts w:hint="eastAsia"/>
              </w:rPr>
            </w:pPr>
            <w:r>
              <w:rPr>
                <w:b/>
                <w:color w:val="FFFFFF"/>
                <w:sz w:val="19"/>
              </w:rPr>
              <w:t>Amount (approximate)</w:t>
            </w:r>
          </w:p>
        </w:tc>
        <w:tc>
          <w:tcPr>
            <w:tcW w:w="0" w:type="auto"/>
            <w:shd w:val="clear" w:color="auto" w:fill="37474F"/>
          </w:tcPr>
          <w:p w14:paraId="66BD3E0A" w14:textId="77777777" w:rsidR="00D708EC" w:rsidRDefault="00000000">
            <w:pPr>
              <w:rPr>
                <w:rFonts w:hint="eastAsia"/>
              </w:rPr>
            </w:pPr>
            <w:r>
              <w:rPr>
                <w:b/>
                <w:color w:val="FFFFFF"/>
                <w:sz w:val="19"/>
              </w:rPr>
              <w:t>Trigger</w:t>
            </w:r>
          </w:p>
        </w:tc>
        <w:tc>
          <w:tcPr>
            <w:tcW w:w="0" w:type="auto"/>
            <w:shd w:val="clear" w:color="auto" w:fill="37474F"/>
          </w:tcPr>
          <w:p w14:paraId="050203BE" w14:textId="77777777" w:rsidR="00D708EC" w:rsidRDefault="00000000">
            <w:pPr>
              <w:rPr>
                <w:rFonts w:hint="eastAsia"/>
              </w:rPr>
            </w:pPr>
            <w:r>
              <w:rPr>
                <w:b/>
                <w:color w:val="FFFFFF"/>
                <w:sz w:val="19"/>
              </w:rPr>
              <w:t>Channel</w:t>
            </w:r>
          </w:p>
        </w:tc>
      </w:tr>
      <w:tr w:rsidR="00D708EC" w14:paraId="67AF55B0" w14:textId="77777777">
        <w:tc>
          <w:tcPr>
            <w:tcW w:w="0" w:type="auto"/>
          </w:tcPr>
          <w:p w14:paraId="3BB08AF6" w14:textId="77777777" w:rsidR="00D708EC" w:rsidRDefault="00000000">
            <w:pPr>
              <w:rPr>
                <w:rFonts w:hint="eastAsia"/>
              </w:rPr>
            </w:pPr>
            <w:r>
              <w:rPr>
                <w:sz w:val="19"/>
              </w:rPr>
              <w:t>R-1</w:t>
            </w:r>
          </w:p>
        </w:tc>
        <w:tc>
          <w:tcPr>
            <w:tcW w:w="0" w:type="auto"/>
          </w:tcPr>
          <w:p w14:paraId="7ECFC319" w14:textId="77777777" w:rsidR="00D708EC" w:rsidRDefault="00000000">
            <w:pPr>
              <w:rPr>
                <w:rFonts w:hint="eastAsia"/>
              </w:rPr>
            </w:pPr>
            <w:r>
              <w:rPr>
                <w:sz w:val="19"/>
              </w:rPr>
              <w:t>12 billion dollars</w:t>
            </w:r>
          </w:p>
        </w:tc>
        <w:tc>
          <w:tcPr>
            <w:tcW w:w="0" w:type="auto"/>
          </w:tcPr>
          <w:p w14:paraId="037C9E15" w14:textId="77777777" w:rsidR="00D708EC" w:rsidRDefault="00000000">
            <w:pPr>
              <w:rPr>
                <w:rFonts w:hint="eastAsia"/>
              </w:rPr>
            </w:pPr>
            <w:r>
              <w:rPr>
                <w:sz w:val="19"/>
              </w:rPr>
              <w:t>Delivered under the Memorandum; confirmed</w:t>
            </w:r>
          </w:p>
        </w:tc>
        <w:tc>
          <w:tcPr>
            <w:tcW w:w="0" w:type="auto"/>
          </w:tcPr>
          <w:p w14:paraId="5EC932D1" w14:textId="77777777" w:rsidR="00D708EC" w:rsidRDefault="00000000">
            <w:pPr>
              <w:rPr>
                <w:rFonts w:hint="eastAsia"/>
              </w:rPr>
            </w:pPr>
            <w:r>
              <w:rPr>
                <w:sz w:val="19"/>
              </w:rPr>
              <w:t>Recorded as Ledger opening entry</w:t>
            </w:r>
          </w:p>
        </w:tc>
      </w:tr>
      <w:tr w:rsidR="00D708EC" w14:paraId="647C088D" w14:textId="77777777">
        <w:tc>
          <w:tcPr>
            <w:tcW w:w="0" w:type="auto"/>
            <w:shd w:val="clear" w:color="auto" w:fill="ECEFF1"/>
          </w:tcPr>
          <w:p w14:paraId="4C773201" w14:textId="77777777" w:rsidR="00D708EC" w:rsidRDefault="00000000">
            <w:pPr>
              <w:rPr>
                <w:rFonts w:hint="eastAsia"/>
              </w:rPr>
            </w:pPr>
            <w:r>
              <w:rPr>
                <w:sz w:val="19"/>
              </w:rPr>
              <w:t>R-2</w:t>
            </w:r>
          </w:p>
        </w:tc>
        <w:tc>
          <w:tcPr>
            <w:tcW w:w="0" w:type="auto"/>
            <w:shd w:val="clear" w:color="auto" w:fill="ECEFF1"/>
          </w:tcPr>
          <w:p w14:paraId="13C62DE0" w14:textId="77777777" w:rsidR="00D708EC" w:rsidRDefault="00000000">
            <w:pPr>
              <w:rPr>
                <w:rFonts w:hint="eastAsia"/>
              </w:rPr>
            </w:pPr>
            <w:r>
              <w:rPr>
                <w:sz w:val="19"/>
              </w:rPr>
              <w:t>10 billion dollars</w:t>
            </w:r>
          </w:p>
        </w:tc>
        <w:tc>
          <w:tcPr>
            <w:tcW w:w="0" w:type="auto"/>
            <w:shd w:val="clear" w:color="auto" w:fill="ECEFF1"/>
          </w:tcPr>
          <w:p w14:paraId="34DAB83A" w14:textId="77777777" w:rsidR="00D708EC" w:rsidRDefault="00000000">
            <w:pPr>
              <w:rPr>
                <w:rFonts w:hint="eastAsia"/>
              </w:rPr>
            </w:pPr>
            <w:r>
              <w:rPr>
                <w:sz w:val="19"/>
              </w:rPr>
              <w:t>Inventory Day verified (Day 1 to 7)</w:t>
            </w:r>
          </w:p>
        </w:tc>
        <w:tc>
          <w:tcPr>
            <w:tcW w:w="0" w:type="auto"/>
            <w:shd w:val="clear" w:color="auto" w:fill="ECEFF1"/>
          </w:tcPr>
          <w:p w14:paraId="45DA5858" w14:textId="77777777" w:rsidR="00D708EC" w:rsidRDefault="00000000">
            <w:pPr>
              <w:rPr>
                <w:rFonts w:hint="eastAsia"/>
              </w:rPr>
            </w:pPr>
            <w:r>
              <w:rPr>
                <w:sz w:val="19"/>
              </w:rPr>
              <w:t>Qatar Central Bank escrow, Pool A</w:t>
            </w:r>
          </w:p>
        </w:tc>
      </w:tr>
      <w:tr w:rsidR="00D708EC" w14:paraId="3328EAF7" w14:textId="77777777">
        <w:tc>
          <w:tcPr>
            <w:tcW w:w="0" w:type="auto"/>
          </w:tcPr>
          <w:p w14:paraId="0560E83C" w14:textId="77777777" w:rsidR="00D708EC" w:rsidRDefault="00000000">
            <w:pPr>
              <w:rPr>
                <w:rFonts w:hint="eastAsia"/>
              </w:rPr>
            </w:pPr>
            <w:r>
              <w:rPr>
                <w:sz w:val="19"/>
              </w:rPr>
              <w:t>R-3</w:t>
            </w:r>
          </w:p>
        </w:tc>
        <w:tc>
          <w:tcPr>
            <w:tcW w:w="0" w:type="auto"/>
          </w:tcPr>
          <w:p w14:paraId="71BA058F" w14:textId="77777777" w:rsidR="00D708EC" w:rsidRDefault="00000000">
            <w:pPr>
              <w:rPr>
                <w:rFonts w:hint="eastAsia"/>
              </w:rPr>
            </w:pPr>
            <w:r>
              <w:rPr>
                <w:sz w:val="19"/>
              </w:rPr>
              <w:t>8 billion dollars</w:t>
            </w:r>
          </w:p>
        </w:tc>
        <w:tc>
          <w:tcPr>
            <w:tcW w:w="0" w:type="auto"/>
          </w:tcPr>
          <w:p w14:paraId="08742EE5" w14:textId="77777777" w:rsidR="00D708EC" w:rsidRDefault="00000000">
            <w:pPr>
              <w:rPr>
                <w:rFonts w:hint="eastAsia"/>
              </w:rPr>
            </w:pPr>
            <w:r>
              <w:rPr>
                <w:sz w:val="19"/>
              </w:rPr>
              <w:t>Down-blending complete (Day 30)</w:t>
            </w:r>
          </w:p>
        </w:tc>
        <w:tc>
          <w:tcPr>
            <w:tcW w:w="0" w:type="auto"/>
          </w:tcPr>
          <w:p w14:paraId="6C37C90D" w14:textId="77777777" w:rsidR="00D708EC" w:rsidRDefault="00000000">
            <w:pPr>
              <w:rPr>
                <w:rFonts w:hint="eastAsia"/>
              </w:rPr>
            </w:pPr>
            <w:r>
              <w:rPr>
                <w:sz w:val="19"/>
              </w:rPr>
              <w:t>Pool A; agricultural priority-consideration window operational</w:t>
            </w:r>
          </w:p>
        </w:tc>
      </w:tr>
      <w:tr w:rsidR="00D708EC" w14:paraId="2097FF57" w14:textId="77777777">
        <w:tc>
          <w:tcPr>
            <w:tcW w:w="0" w:type="auto"/>
            <w:shd w:val="clear" w:color="auto" w:fill="ECEFF1"/>
          </w:tcPr>
          <w:p w14:paraId="43CAC74B" w14:textId="77777777" w:rsidR="00D708EC" w:rsidRDefault="00000000">
            <w:pPr>
              <w:rPr>
                <w:rFonts w:hint="eastAsia"/>
              </w:rPr>
            </w:pPr>
            <w:r>
              <w:rPr>
                <w:sz w:val="19"/>
              </w:rPr>
              <w:t>R-4</w:t>
            </w:r>
          </w:p>
        </w:tc>
        <w:tc>
          <w:tcPr>
            <w:tcW w:w="0" w:type="auto"/>
            <w:shd w:val="clear" w:color="auto" w:fill="ECEFF1"/>
          </w:tcPr>
          <w:p w14:paraId="554C5F9D" w14:textId="77777777" w:rsidR="00D708EC" w:rsidRDefault="00000000">
            <w:pPr>
              <w:rPr>
                <w:rFonts w:hint="eastAsia"/>
              </w:rPr>
            </w:pPr>
            <w:r>
              <w:rPr>
                <w:sz w:val="19"/>
              </w:rPr>
              <w:t>Remaining Pool A and Pool B balances</w:t>
            </w:r>
          </w:p>
        </w:tc>
        <w:tc>
          <w:tcPr>
            <w:tcW w:w="0" w:type="auto"/>
            <w:shd w:val="clear" w:color="auto" w:fill="ECEFF1"/>
          </w:tcPr>
          <w:p w14:paraId="6DFCDBEE" w14:textId="77777777" w:rsidR="00D708EC" w:rsidRDefault="00000000">
            <w:pPr>
              <w:rPr>
                <w:rFonts w:hint="eastAsia"/>
              </w:rPr>
            </w:pPr>
            <w:r>
              <w:rPr>
                <w:sz w:val="19"/>
              </w:rPr>
              <w:t>First clean Annex B quarterly certification (Day 90)</w:t>
            </w:r>
          </w:p>
        </w:tc>
        <w:tc>
          <w:tcPr>
            <w:tcW w:w="0" w:type="auto"/>
            <w:shd w:val="clear" w:color="auto" w:fill="ECEFF1"/>
          </w:tcPr>
          <w:p w14:paraId="188E27C2" w14:textId="77777777" w:rsidR="00D708EC" w:rsidRDefault="00000000">
            <w:pPr>
              <w:rPr>
                <w:rFonts w:hint="eastAsia"/>
              </w:rPr>
            </w:pPr>
            <w:r>
              <w:rPr>
                <w:sz w:val="19"/>
              </w:rPr>
              <w:t>Full release; unrestricted use</w:t>
            </w:r>
          </w:p>
        </w:tc>
      </w:tr>
      <w:tr w:rsidR="00D708EC" w14:paraId="28F5DD3B" w14:textId="77777777">
        <w:tc>
          <w:tcPr>
            <w:tcW w:w="0" w:type="auto"/>
          </w:tcPr>
          <w:p w14:paraId="022B797C" w14:textId="77777777" w:rsidR="00D708EC" w:rsidRDefault="00000000">
            <w:pPr>
              <w:rPr>
                <w:rFonts w:hint="eastAsia"/>
              </w:rPr>
            </w:pPr>
            <w:r>
              <w:rPr>
                <w:sz w:val="19"/>
              </w:rPr>
              <w:t>R-5</w:t>
            </w:r>
          </w:p>
        </w:tc>
        <w:tc>
          <w:tcPr>
            <w:tcW w:w="0" w:type="auto"/>
          </w:tcPr>
          <w:p w14:paraId="58E04B75" w14:textId="77777777" w:rsidR="00D708EC" w:rsidRDefault="00000000">
            <w:pPr>
              <w:rPr>
                <w:rFonts w:hint="eastAsia"/>
              </w:rPr>
            </w:pPr>
            <w:r>
              <w:rPr>
                <w:sz w:val="19"/>
              </w:rPr>
              <w:t xml:space="preserve">Third-country holdings (approximately 11 billion dollars </w:t>
            </w:r>
            <w:r>
              <w:rPr>
                <w:sz w:val="19"/>
              </w:rPr>
              <w:lastRenderedPageBreak/>
              <w:t>across multiple jurisdictions)</w:t>
            </w:r>
          </w:p>
        </w:tc>
        <w:tc>
          <w:tcPr>
            <w:tcW w:w="0" w:type="auto"/>
          </w:tcPr>
          <w:p w14:paraId="2FBBB74D" w14:textId="77777777" w:rsidR="00D708EC" w:rsidRDefault="00000000">
            <w:pPr>
              <w:rPr>
                <w:rFonts w:hint="eastAsia"/>
              </w:rPr>
            </w:pPr>
            <w:r>
              <w:rPr>
                <w:sz w:val="19"/>
              </w:rPr>
              <w:lastRenderedPageBreak/>
              <w:t>Conversion agreements executed</w:t>
            </w:r>
          </w:p>
        </w:tc>
        <w:tc>
          <w:tcPr>
            <w:tcW w:w="0" w:type="auto"/>
          </w:tcPr>
          <w:p w14:paraId="4F73CFC0" w14:textId="77777777" w:rsidR="00D708EC" w:rsidRDefault="00000000">
            <w:pPr>
              <w:rPr>
                <w:rFonts w:hint="eastAsia"/>
              </w:rPr>
            </w:pPr>
            <w:r>
              <w:rPr>
                <w:sz w:val="19"/>
              </w:rPr>
              <w:t xml:space="preserve">Pool C frozen asset conversion into </w:t>
            </w:r>
            <w:r>
              <w:rPr>
                <w:sz w:val="19"/>
              </w:rPr>
              <w:lastRenderedPageBreak/>
              <w:t>reconstruction contracts</w:t>
            </w:r>
          </w:p>
        </w:tc>
      </w:tr>
    </w:tbl>
    <w:p w14:paraId="7B34EA29" w14:textId="77777777" w:rsidR="00D708EC" w:rsidRDefault="00000000">
      <w:pPr>
        <w:rPr>
          <w:rFonts w:hint="eastAsia"/>
        </w:rPr>
      </w:pPr>
      <w:r>
        <w:lastRenderedPageBreak/>
        <w:t>C.2.1 All releases carry the no-clawback protection of Article 36.3. Released funds are irrevocable, and the framework architecture excludes re-freeze under every circumstance.</w:t>
      </w:r>
    </w:p>
    <w:p w14:paraId="38081CE8" w14:textId="77777777" w:rsidR="00D708EC" w:rsidRDefault="00000000">
      <w:pPr>
        <w:rPr>
          <w:rFonts w:hint="eastAsia"/>
        </w:rPr>
      </w:pPr>
      <w:r>
        <w:t>C.2.2 Comfort letters. The United States Treasury issues standing comfort letters to correspondent banks, insurers, and carriers for all activity consistent with this Treaty, and updates them within 7 days of any tranche event.</w:t>
      </w:r>
    </w:p>
    <w:p w14:paraId="2A49CD6B" w14:textId="77777777" w:rsidR="00D708EC" w:rsidRDefault="00D708EC">
      <w:pPr>
        <w:pageBreakBefore/>
        <w:rPr>
          <w:rFonts w:hint="eastAsia"/>
        </w:rPr>
      </w:pPr>
    </w:p>
    <w:p w14:paraId="6C5A533E" w14:textId="77777777" w:rsidR="00D708EC" w:rsidRDefault="00000000">
      <w:pPr>
        <w:pStyle w:val="Heading1"/>
        <w:rPr>
          <w:rFonts w:hint="eastAsia"/>
        </w:rPr>
      </w:pPr>
      <w:bookmarkStart w:id="128" w:name="_Toc237663642"/>
      <w:r>
        <w:t>ANNEX D: THE HORMUZ MARITIME STEWARDSHIP FUND CHARTER</w:t>
      </w:r>
      <w:bookmarkEnd w:id="128"/>
    </w:p>
    <w:p w14:paraId="60385567" w14:textId="77777777" w:rsidR="00D708EC" w:rsidRDefault="00000000">
      <w:pPr>
        <w:pStyle w:val="Heading2"/>
        <w:rPr>
          <w:rFonts w:hint="eastAsia"/>
        </w:rPr>
      </w:pPr>
      <w:bookmarkStart w:id="129" w:name="_Toc237663643"/>
      <w:r>
        <w:t>Section D.1: Establishment and Governance</w:t>
      </w:r>
      <w:bookmarkEnd w:id="129"/>
    </w:p>
    <w:p w14:paraId="6C312F33" w14:textId="77777777" w:rsidR="00D708EC" w:rsidRDefault="00000000">
      <w:pPr>
        <w:rPr>
          <w:rFonts w:hint="eastAsia"/>
        </w:rPr>
      </w:pPr>
      <w:r>
        <w:t>D.1.1 The Hormuz Maritime Stewardship Fund establishes under Article 29 as a fund of the Joint Hormuz Authority, with the Qatar Central Bank as financial agent. Governance: the Fund Board comprises the two coastal states (voting), the Authority Secretary (non-voting), and two contributor-elected seats. Decisions adopt by consensus of the voting seats, consistent with the Twin-Key Rule.</w:t>
      </w:r>
    </w:p>
    <w:p w14:paraId="35ECAF1D" w14:textId="77777777" w:rsidR="00D708EC" w:rsidRDefault="00000000">
      <w:pPr>
        <w:rPr>
          <w:rFonts w:hint="eastAsia"/>
        </w:rPr>
      </w:pPr>
      <w:r>
        <w:t>D.1.2 Purposes: navigation aids and their maintenance; the Shared Weather and Hazard Service; environmental protection and pollution response capacity; search and rescue capability; the mine-action reserve; the data service; and the operating budget of the Authority.</w:t>
      </w:r>
    </w:p>
    <w:p w14:paraId="5406C17A" w14:textId="77777777" w:rsidR="00D708EC" w:rsidRDefault="00000000">
      <w:pPr>
        <w:pStyle w:val="Heading2"/>
        <w:rPr>
          <w:rFonts w:hint="eastAsia"/>
        </w:rPr>
      </w:pPr>
      <w:bookmarkStart w:id="130" w:name="_Toc237663644"/>
      <w:r>
        <w:t>Section D.2: Sources and the Tri-Channel Funding System</w:t>
      </w:r>
      <w:bookmarkEnd w:id="130"/>
    </w:p>
    <w:p w14:paraId="22394C46" w14:textId="77777777" w:rsidR="00D708EC" w:rsidRDefault="00000000">
      <w:pPr>
        <w:rPr>
          <w:rFonts w:hint="eastAsia"/>
        </w:rPr>
      </w:pPr>
      <w:r>
        <w:t>D.2.1 Channel One: voluntary state contributions, with indicative shares published annually. Channel Two: industry contributions through classification societies, P&amp;I clubs, and fleet subscriptions to the Route Assurance Data Service. Channel Three: the insurance-channel fraction of Article 30.2 during the normalization period.</w:t>
      </w:r>
    </w:p>
    <w:p w14:paraId="0B2FE2F0" w14:textId="77777777" w:rsidR="00D708EC" w:rsidRDefault="00000000">
      <w:pPr>
        <w:rPr>
          <w:rFonts w:hint="eastAsia"/>
        </w:rPr>
      </w:pPr>
      <w:r>
        <w:t>D.2.2 The sanctions firewall applies: contributions and disbursements under this Annex operate under the OFAC general license architecture of Annex C, and no contribution constitutes a payment to any government as a condition of passage.</w:t>
      </w:r>
    </w:p>
    <w:p w14:paraId="4721CBEE" w14:textId="77777777" w:rsidR="00D708EC" w:rsidRDefault="00000000">
      <w:pPr>
        <w:rPr>
          <w:rFonts w:hint="eastAsia"/>
        </w:rPr>
      </w:pPr>
      <w:r>
        <w:t>D.2.3 Disbursement shares: stewardship services delivered by each coastal state reimburse from the Fund at cost-related rates the Fund Board publishes, per the verified services accounting of the Registry. The Fund's accounts audit annually by an independent firm and publish on the transparency dashboard.</w:t>
      </w:r>
    </w:p>
    <w:p w14:paraId="769952E2" w14:textId="77777777" w:rsidR="00D708EC" w:rsidRDefault="00000000">
      <w:pPr>
        <w:pStyle w:val="Heading2"/>
        <w:rPr>
          <w:rFonts w:hint="eastAsia"/>
        </w:rPr>
      </w:pPr>
      <w:bookmarkStart w:id="131" w:name="_Toc237663645"/>
      <w:r>
        <w:t>Section D.2A: The Escrow Survival Fund</w:t>
      </w:r>
      <w:bookmarkEnd w:id="131"/>
    </w:p>
    <w:p w14:paraId="730D97BE" w14:textId="77777777" w:rsidR="00D708EC" w:rsidRDefault="00000000">
      <w:pPr>
        <w:rPr>
          <w:rFonts w:hint="eastAsia"/>
        </w:rPr>
      </w:pPr>
      <w:r>
        <w:t>D.2A.1 The Fund reserves 10 percent of all contributions into a pre-funded Escrow Survival Fund, held in a dedicated sub-account at the Qatar Central Bank. The Survival Fund operates independently of active contributions and activates automatically when contribution inflows fall below the operating requirement of the Authority for two consecutive quarters.</w:t>
      </w:r>
    </w:p>
    <w:p w14:paraId="6B8346BC" w14:textId="77777777" w:rsidR="00D708EC" w:rsidRDefault="00000000">
      <w:pPr>
        <w:rPr>
          <w:rFonts w:hint="eastAsia"/>
        </w:rPr>
      </w:pPr>
      <w:r>
        <w:t xml:space="preserve">D.2A.2 The Survival Fund sustains the core stewardship functions: navigation aids, the hazard service, the Standing Channel, and the JMC's maritime operations, for a minimum of </w:t>
      </w:r>
      <w:r>
        <w:lastRenderedPageBreak/>
        <w:t>24 months at zero new contributions. Funding crises interrupt growth; they never interrupt safety.</w:t>
      </w:r>
    </w:p>
    <w:p w14:paraId="263D9E19" w14:textId="77777777" w:rsidR="00D708EC" w:rsidRDefault="00000000">
      <w:pPr>
        <w:pStyle w:val="Heading2"/>
        <w:rPr>
          <w:rFonts w:hint="eastAsia"/>
        </w:rPr>
      </w:pPr>
      <w:bookmarkStart w:id="132" w:name="_Toc237663646"/>
      <w:r>
        <w:t>Section D.3: The Commercial Parameters</w:t>
      </w:r>
      <w:bookmarkEnd w:id="132"/>
    </w:p>
    <w:p w14:paraId="24E6EC0B" w14:textId="77777777" w:rsidR="00D708EC" w:rsidRDefault="00000000">
      <w:pPr>
        <w:rPr>
          <w:rFonts w:hint="eastAsia"/>
        </w:rPr>
      </w:pPr>
      <w:r>
        <w:t>D.3.1 The Heavy-User Cap: no single operator's annual service charges exceed the cap the Fund Board fixes annually, set at a level guaranteeing predictability for the largest tanker and gas fleets.</w:t>
      </w:r>
    </w:p>
    <w:p w14:paraId="49FA15FF" w14:textId="77777777" w:rsidR="00D708EC" w:rsidRDefault="00000000">
      <w:pPr>
        <w:rPr>
          <w:rFonts w:hint="eastAsia"/>
        </w:rPr>
      </w:pPr>
      <w:r>
        <w:t>D.3.2 The Green Discount: vessels meeting the emissions standard of the Fund Board's schedule receive a sliding reduction on catalog services, operationalizing the environmental mandate as a commercial incentive.</w:t>
      </w:r>
    </w:p>
    <w:p w14:paraId="1A2AB3BA" w14:textId="77777777" w:rsidR="00D708EC" w:rsidRDefault="00000000">
      <w:pPr>
        <w:rPr>
          <w:rFonts w:hint="eastAsia"/>
        </w:rPr>
      </w:pPr>
      <w:r>
        <w:t>D.3.3 The Confidence Trigger of Article 30.1 and the Boredom Standard of Article 31.3 govern the annual review of this Annex.</w:t>
      </w:r>
    </w:p>
    <w:p w14:paraId="733DA31C" w14:textId="77777777" w:rsidR="00D708EC" w:rsidRDefault="00000000">
      <w:pPr>
        <w:pStyle w:val="Heading2"/>
        <w:rPr>
          <w:rFonts w:hint="eastAsia"/>
        </w:rPr>
      </w:pPr>
      <w:bookmarkStart w:id="133" w:name="_Toc237663647"/>
      <w:r>
        <w:t>Section D.4: The Legacy Memorandum</w:t>
      </w:r>
      <w:bookmarkEnd w:id="133"/>
    </w:p>
    <w:p w14:paraId="1EA76063" w14:textId="77777777" w:rsidR="00D708EC" w:rsidRDefault="00000000">
      <w:pPr>
        <w:rPr>
          <w:rFonts w:hint="eastAsia"/>
        </w:rPr>
      </w:pPr>
      <w:r>
        <w:t>D.4.1 This Section records the historical context of the fees question: the wartime closure, the temporary toll-free window of the Memorandum, the interim coastal-state corridor arrangement of 2026, and the voluntary-fund models of the cooperative straits. The record acknowledges the political sensitivity of the question, memorializes the confidence-building measures that resolved it, and preserves the institutional memory of the settlement for the review organs of this Accord.</w:t>
      </w:r>
    </w:p>
    <w:p w14:paraId="16296925" w14:textId="77777777" w:rsidR="00D708EC" w:rsidRDefault="00D708EC">
      <w:pPr>
        <w:pageBreakBefore/>
        <w:rPr>
          <w:rFonts w:hint="eastAsia"/>
        </w:rPr>
      </w:pPr>
    </w:p>
    <w:p w14:paraId="4DB3663D" w14:textId="77777777" w:rsidR="00D708EC" w:rsidRDefault="00000000">
      <w:pPr>
        <w:pStyle w:val="Heading1"/>
        <w:rPr>
          <w:rFonts w:hint="eastAsia"/>
        </w:rPr>
      </w:pPr>
      <w:bookmarkStart w:id="134" w:name="_Toc237663648"/>
      <w:r>
        <w:t>ANNEX F: ACCESSION, ARBITRATION, AND INSTITUTIONAL INSTRUMENTS</w:t>
      </w:r>
      <w:bookmarkEnd w:id="134"/>
    </w:p>
    <w:p w14:paraId="76661C08" w14:textId="77777777" w:rsidR="00D708EC" w:rsidRDefault="00000000">
      <w:pPr>
        <w:pStyle w:val="Heading2"/>
        <w:rPr>
          <w:rFonts w:hint="eastAsia"/>
        </w:rPr>
      </w:pPr>
      <w:bookmarkStart w:id="135" w:name="_Toc237663649"/>
      <w:r>
        <w:t>Section F.1: The Accession Protocol</w:t>
      </w:r>
      <w:bookmarkEnd w:id="135"/>
    </w:p>
    <w:p w14:paraId="464E51FF" w14:textId="77777777" w:rsidR="00D708EC" w:rsidRDefault="00000000">
      <w:pPr>
        <w:rPr>
          <w:rFonts w:hint="eastAsia"/>
        </w:rPr>
      </w:pPr>
      <w:r>
        <w:t>F.1.1 An acceding state or institution executes the Accession Instrument in the form the Depositary publishes, deposits it with the Depositary, and assumes the obligations of this Accord corresponding to its participation tier. Fast-track accession under Article 64.2 takes effect upon deposit.</w:t>
      </w:r>
    </w:p>
    <w:p w14:paraId="45AC7D7A" w14:textId="77777777" w:rsidR="00D708EC" w:rsidRDefault="00000000">
      <w:pPr>
        <w:rPr>
          <w:rFonts w:hint="eastAsia"/>
        </w:rPr>
      </w:pPr>
      <w:r>
        <w:t>F.1.2 Participation tiers: Coastal Principal (Iran, Oman); Principal Party (Iran, the United States); Facilitating Party (Qatar, Pakistan, Switzerland); Regional Participant (acceding Gulf states and Iraq); Institutional Participant (IAEA, IMO, World Bank, United Nations bodies within mandate); Observer (other states and the Stakeholder Panel).</w:t>
      </w:r>
    </w:p>
    <w:p w14:paraId="055682FF" w14:textId="77777777" w:rsidR="00D708EC" w:rsidRDefault="00000000">
      <w:pPr>
        <w:rPr>
          <w:rFonts w:hint="eastAsia"/>
        </w:rPr>
      </w:pPr>
      <w:r>
        <w:t>F.1.3 The Stakeholder Panel: shipping industry, insurance market, and classification society representatives, twelve seats, selected through the industry bodies the Authority recognizes, holding the Confidence Trigger function of Article 30.1 and the consultative functions of Part VI.</w:t>
      </w:r>
    </w:p>
    <w:p w14:paraId="62EC23A9" w14:textId="77777777" w:rsidR="00D708EC" w:rsidRDefault="00000000">
      <w:pPr>
        <w:pStyle w:val="Heading2"/>
        <w:rPr>
          <w:rFonts w:hint="eastAsia"/>
        </w:rPr>
      </w:pPr>
      <w:bookmarkStart w:id="136" w:name="_Toc237663650"/>
      <w:r>
        <w:t>Section F.1A: The Opt-In Roles Framework</w:t>
      </w:r>
      <w:bookmarkEnd w:id="136"/>
    </w:p>
    <w:p w14:paraId="1820FEFC" w14:textId="77777777" w:rsidR="00D708EC" w:rsidRDefault="00000000">
      <w:pPr>
        <w:rPr>
          <w:rFonts w:hint="eastAsia"/>
        </w:rPr>
      </w:pPr>
      <w:r>
        <w:t>F.1A.1 Participation in this Accord operates through voluntary, tiered opt-in roles, so that states and organizations participate at the level of their capacity, interests, and national policies. The tiers: Core Party (full obligations and governance rights); Technical Participant (verification, data, and expert functions only); Humanitarian Participant (corridor, relief, and seafarer functions only); Observer (information access and conference participation); and Future Participant (a recorded intention to accede, with access to orientation materials).</w:t>
      </w:r>
    </w:p>
    <w:p w14:paraId="44E2D54D" w14:textId="77777777" w:rsidR="00D708EC" w:rsidRDefault="00000000">
      <w:pPr>
        <w:rPr>
          <w:rFonts w:hint="eastAsia"/>
        </w:rPr>
      </w:pPr>
      <w:r>
        <w:t>F.1A.2 Every role operates on a voluntary basis. No state receives pressure, penalty, or stigma for its chosen tier, and movement between tiers executes by notice to the Depositary. The framework transforms bilateral implementation into distributed multilateral stewardship at whatever breadth the international community sustains.</w:t>
      </w:r>
    </w:p>
    <w:p w14:paraId="4D1DB6F3" w14:textId="77777777" w:rsidR="00D708EC" w:rsidRDefault="00000000">
      <w:pPr>
        <w:pStyle w:val="Heading2"/>
        <w:rPr>
          <w:rFonts w:hint="eastAsia"/>
        </w:rPr>
      </w:pPr>
      <w:bookmarkStart w:id="137" w:name="_Toc237663651"/>
      <w:r>
        <w:t>Section F.2: The Treaty-Level Arbitral Tribunal</w:t>
      </w:r>
      <w:bookmarkEnd w:id="137"/>
    </w:p>
    <w:p w14:paraId="0800692A" w14:textId="77777777" w:rsidR="00D708EC" w:rsidRDefault="00000000">
      <w:pPr>
        <w:rPr>
          <w:rFonts w:hint="eastAsia"/>
        </w:rPr>
      </w:pPr>
      <w:r>
        <w:t>F.2.1 Composition: three arbitrators; each Principal Party appoints one; the two appointed members appoint the presiding member within 30 days, and the Swiss Technical Facilitator appoints the presiding member upon default. Seat: The Hague. Language: English, with interpretation into Farsi and Arabic upon request.</w:t>
      </w:r>
    </w:p>
    <w:p w14:paraId="12CF1E6B" w14:textId="77777777" w:rsidR="00D708EC" w:rsidRDefault="00000000">
      <w:pPr>
        <w:rPr>
          <w:rFonts w:hint="eastAsia"/>
        </w:rPr>
      </w:pPr>
      <w:r>
        <w:lastRenderedPageBreak/>
        <w:t>F.2.2 Procedure: written submissions on 60-day cycles; hearing at the request of either party or the tribunal; award within 180 days of constitution; awards final and binding. The tribunal decides on the basis of this Accord and international law, and its jurisdiction excludes the Red Lines Register, which no body interprets against the registering Party.</w:t>
      </w:r>
    </w:p>
    <w:p w14:paraId="2ECE9E27" w14:textId="77777777" w:rsidR="00D708EC" w:rsidRDefault="00000000">
      <w:pPr>
        <w:rPr>
          <w:rFonts w:hint="eastAsia"/>
        </w:rPr>
      </w:pPr>
      <w:r>
        <w:t>F.2.3 Performance continues during arbitration per Article 60.2. Awards enforce through the organs of this Accord and, where applicable, the New York Convention.</w:t>
      </w:r>
    </w:p>
    <w:p w14:paraId="4796093F" w14:textId="77777777" w:rsidR="00D708EC" w:rsidRDefault="00000000">
      <w:pPr>
        <w:pStyle w:val="Heading2"/>
        <w:rPr>
          <w:rFonts w:hint="eastAsia"/>
        </w:rPr>
      </w:pPr>
      <w:bookmarkStart w:id="138" w:name="_Toc237663652"/>
      <w:r>
        <w:t>Section F.3: Institutional Instruments</w:t>
      </w:r>
      <w:bookmarkEnd w:id="138"/>
    </w:p>
    <w:p w14:paraId="61ED8FE0" w14:textId="77777777" w:rsidR="00D708EC" w:rsidRDefault="00000000">
      <w:pPr>
        <w:rPr>
          <w:rFonts w:hint="eastAsia"/>
        </w:rPr>
      </w:pPr>
      <w:r>
        <w:t>F.3.1 The IAEA instrument: a structured agreement recording the verification mandate of Part V and Annex B, executed between the Agency and the JIC within 30 days of Day Zero.</w:t>
      </w:r>
    </w:p>
    <w:p w14:paraId="71B563FB" w14:textId="77777777" w:rsidR="00D708EC" w:rsidRDefault="00000000">
      <w:pPr>
        <w:rPr>
          <w:rFonts w:hint="eastAsia"/>
        </w:rPr>
      </w:pPr>
      <w:r>
        <w:t>F.3.2 The IMO instrument: a routeing and certification memorandum recording the corridor certification functions of Part VI and Annex A.</w:t>
      </w:r>
    </w:p>
    <w:p w14:paraId="56C98BB1" w14:textId="77777777" w:rsidR="00D708EC" w:rsidRDefault="00000000">
      <w:pPr>
        <w:rPr>
          <w:rFonts w:hint="eastAsia"/>
        </w:rPr>
      </w:pPr>
      <w:r>
        <w:t>F.3.3 The World Bank instrument: the fiduciary administration memorandum recording the functions of Annex RDF.</w:t>
      </w:r>
    </w:p>
    <w:p w14:paraId="0D00FAB8" w14:textId="77777777" w:rsidR="00D708EC" w:rsidRDefault="00000000">
      <w:pPr>
        <w:rPr>
          <w:rFonts w:hint="eastAsia"/>
        </w:rPr>
      </w:pPr>
      <w:r>
        <w:t>F.3.4 The escrow instruments: the escrow agreements among the Qatar Central Bank, the JIC, and the Swiss Technical Facilitator, establishing the Neutral Escrow, the Verification Bond sub-account, the Political Discretion Fund sub-account, and the Contingency Reserve.</w:t>
      </w:r>
    </w:p>
    <w:p w14:paraId="799F0A28" w14:textId="77777777" w:rsidR="00D708EC" w:rsidRDefault="00D708EC">
      <w:pPr>
        <w:pageBreakBefore/>
        <w:rPr>
          <w:rFonts w:hint="eastAsia"/>
        </w:rPr>
      </w:pPr>
    </w:p>
    <w:p w14:paraId="65558BE7" w14:textId="77777777" w:rsidR="00D708EC" w:rsidRDefault="00000000">
      <w:pPr>
        <w:pStyle w:val="Heading1"/>
        <w:rPr>
          <w:rFonts w:hint="eastAsia"/>
        </w:rPr>
      </w:pPr>
      <w:bookmarkStart w:id="139" w:name="_Toc237663653"/>
      <w:r>
        <w:t>ANNEX G: THE RED LINES REGISTER (FULL TEXT)</w:t>
      </w:r>
      <w:bookmarkEnd w:id="139"/>
    </w:p>
    <w:p w14:paraId="1DE50200" w14:textId="77777777" w:rsidR="00D708EC" w:rsidRDefault="00000000">
      <w:pPr>
        <w:pStyle w:val="Heading2"/>
        <w:rPr>
          <w:rFonts w:hint="eastAsia"/>
        </w:rPr>
      </w:pPr>
      <w:bookmarkStart w:id="140" w:name="_Toc237663654"/>
      <w:r>
        <w:t>Section G.1: Registered Red Lines of the United States of America</w:t>
      </w:r>
      <w:bookmarkEnd w:id="140"/>
    </w:p>
    <w:p w14:paraId="758A6EBF" w14:textId="77777777" w:rsidR="00D708EC" w:rsidRDefault="00000000">
      <w:pPr>
        <w:rPr>
          <w:rFonts w:hint="eastAsia"/>
        </w:rPr>
      </w:pPr>
      <w:r>
        <w:t>US-1: Iran neither develops, acquires, manufactures, stockpiles, nor possesses a nuclear weapon or other nuclear explosive device, and no pathway to a nuclear weapon survives this Accord. Registered as existential.</w:t>
      </w:r>
    </w:p>
    <w:p w14:paraId="5AC790CB" w14:textId="77777777" w:rsidR="00D708EC" w:rsidRDefault="00000000">
      <w:pPr>
        <w:rPr>
          <w:rFonts w:hint="eastAsia"/>
        </w:rPr>
      </w:pPr>
      <w:r>
        <w:t>US-2: The Strait of Hormuz operates without tolls, charges, fees, dues, or any mandatory payment as a condition of passage, in both directions, for all vessels, permanently, without sunset or exception. Registered as existential.</w:t>
      </w:r>
    </w:p>
    <w:p w14:paraId="350A9BE1" w14:textId="77777777" w:rsidR="00D708EC" w:rsidRDefault="00000000">
      <w:pPr>
        <w:rPr>
          <w:rFonts w:hint="eastAsia"/>
        </w:rPr>
      </w:pPr>
      <w:r>
        <w:t>US-3: No nuclear-related sanction terminates except through the performance-based schedule of this Accord; compliance failures reactivate suspended measures exclusively through the proportionate engine of Layer Two. Registered as existential.</w:t>
      </w:r>
    </w:p>
    <w:p w14:paraId="730AE24C" w14:textId="77777777" w:rsidR="00D708EC" w:rsidRDefault="00000000">
      <w:pPr>
        <w:rPr>
          <w:rFonts w:hint="eastAsia"/>
        </w:rPr>
      </w:pPr>
      <w:r>
        <w:t>US-4: The security of regional allies of the United States, including Israel, remains outside the bargaining inventory of this Accord; regional fronts settle through the guarantor structure of Part XI. Registered as existential.</w:t>
      </w:r>
    </w:p>
    <w:p w14:paraId="03987C78" w14:textId="77777777" w:rsidR="00D708EC" w:rsidRDefault="00000000">
      <w:pPr>
        <w:rPr>
          <w:rFonts w:hint="eastAsia"/>
        </w:rPr>
      </w:pPr>
      <w:r>
        <w:t>US-5: No payment flows from the United States to Iran in any form labeled reparations, compensation, or damages. Registered as existential.</w:t>
      </w:r>
    </w:p>
    <w:p w14:paraId="0BEBA8A4" w14:textId="77777777" w:rsidR="00D708EC" w:rsidRDefault="00000000">
      <w:pPr>
        <w:rPr>
          <w:rFonts w:hint="eastAsia"/>
        </w:rPr>
      </w:pPr>
      <w:r>
        <w:t>US-6: No direct United States government cash transfers to the Iranian state occur under the reconstruction architecture; United States participation remains technical, regulatory, diplomatic, and private-sector. Registered as a binding constraint.</w:t>
      </w:r>
    </w:p>
    <w:p w14:paraId="6AB15306" w14:textId="77777777" w:rsidR="00D708EC" w:rsidRDefault="00000000">
      <w:pPr>
        <w:pStyle w:val="Heading2"/>
        <w:rPr>
          <w:rFonts w:hint="eastAsia"/>
        </w:rPr>
      </w:pPr>
      <w:bookmarkStart w:id="141" w:name="_Toc237663655"/>
      <w:r>
        <w:t>Section G.2: Registered Red Lines of the Islamic Republic of Iran</w:t>
      </w:r>
      <w:bookmarkEnd w:id="141"/>
    </w:p>
    <w:p w14:paraId="2FCAF6E8" w14:textId="77777777" w:rsidR="00D708EC" w:rsidRDefault="00000000">
      <w:pPr>
        <w:rPr>
          <w:rFonts w:hint="eastAsia"/>
        </w:rPr>
      </w:pPr>
      <w:r>
        <w:t>IR-1: Iran retains the inalienable right to the peaceful use of nuclear energy, including domestic enrichment within the permanent caps of Part V; the framework architecture never orders the total dismantlement of the Iranian nuclear program. Registered as existential.</w:t>
      </w:r>
    </w:p>
    <w:p w14:paraId="186EE113" w14:textId="77777777" w:rsidR="00D708EC" w:rsidRDefault="00000000">
      <w:pPr>
        <w:rPr>
          <w:rFonts w:hint="eastAsia"/>
        </w:rPr>
      </w:pPr>
      <w:r>
        <w:t>IR-2: Enriched material remains on Iranian territory; disposition executes on site under international supervision; the framework architecture excludes export or surrender of material abroad. Registered as existential.</w:t>
      </w:r>
    </w:p>
    <w:p w14:paraId="70BD519E" w14:textId="77777777" w:rsidR="00D708EC" w:rsidRDefault="00000000">
      <w:pPr>
        <w:rPr>
          <w:rFonts w:hint="eastAsia"/>
        </w:rPr>
      </w:pPr>
      <w:r>
        <w:t>IR-3: The sovereignty, territorial integrity, constitutional order, and political system of the Islamic Republic stand outside the scope of this Accord; the No Regime Change Objective binds as law. Registered as existential.</w:t>
      </w:r>
    </w:p>
    <w:p w14:paraId="29F111B0" w14:textId="77777777" w:rsidR="00D708EC" w:rsidRDefault="00000000">
      <w:pPr>
        <w:rPr>
          <w:rFonts w:hint="eastAsia"/>
        </w:rPr>
      </w:pPr>
      <w:r>
        <w:t>IR-4: Iran holds a recognized, institutionalized coastal-state role in the administration of the Strait of Hormuz; the post-war order does not restore the pre-war status quo without that recognition. Registered as existential.</w:t>
      </w:r>
    </w:p>
    <w:p w14:paraId="20404702" w14:textId="77777777" w:rsidR="00D708EC" w:rsidRDefault="00000000">
      <w:pPr>
        <w:rPr>
          <w:rFonts w:hint="eastAsia"/>
        </w:rPr>
      </w:pPr>
      <w:r>
        <w:lastRenderedPageBreak/>
        <w:t>IR-5: All sanctions within scope terminate on the binding schedule; all frozen assets release in full; the reconstruction architecture operates at the scale the Memorandum contemplates. Registered as existential.</w:t>
      </w:r>
    </w:p>
    <w:p w14:paraId="5CF0E8CC" w14:textId="77777777" w:rsidR="00D708EC" w:rsidRDefault="00000000">
      <w:pPr>
        <w:rPr>
          <w:rFonts w:hint="eastAsia"/>
        </w:rPr>
      </w:pPr>
      <w:r>
        <w:t>IR-6: The security of the Iranian homeland, its coastal approaches, and its airspace remains free of foreign military enforcement presence; security functions within the Governance Area rest with the coastal states and the joint civilian institutions. Registered as existential.</w:t>
      </w:r>
    </w:p>
    <w:p w14:paraId="211FC87B" w14:textId="77777777" w:rsidR="00D708EC" w:rsidRDefault="00000000">
      <w:pPr>
        <w:pStyle w:val="Heading2"/>
        <w:rPr>
          <w:rFonts w:hint="eastAsia"/>
        </w:rPr>
      </w:pPr>
      <w:bookmarkStart w:id="142" w:name="_Toc237663656"/>
      <w:r>
        <w:t>Section G.3: Registered Red Lines of the Sultanate of Oman</w:t>
      </w:r>
      <w:bookmarkEnd w:id="142"/>
    </w:p>
    <w:p w14:paraId="5B5ADF83" w14:textId="77777777" w:rsidR="00D708EC" w:rsidRDefault="00000000">
      <w:pPr>
        <w:rPr>
          <w:rFonts w:hint="eastAsia"/>
        </w:rPr>
      </w:pPr>
      <w:r>
        <w:t>OM-1: The southern corridor operates under Omani administration within Omani waters; Omani sovereignty and neutrality stand unimpaired. Registered as existential.</w:t>
      </w:r>
    </w:p>
    <w:p w14:paraId="483D93B5" w14:textId="77777777" w:rsidR="00D708EC" w:rsidRDefault="00000000">
      <w:pPr>
        <w:rPr>
          <w:rFonts w:hint="eastAsia"/>
        </w:rPr>
      </w:pPr>
      <w:r>
        <w:t>OM-2: No arrangement militarizes Omani territory or imposes upon Oman any obligation to host foreign forces. Registered as existential.</w:t>
      </w:r>
    </w:p>
    <w:p w14:paraId="7D586EE7" w14:textId="77777777" w:rsidR="00D708EC" w:rsidRDefault="00000000">
      <w:pPr>
        <w:pStyle w:val="Heading2"/>
        <w:rPr>
          <w:rFonts w:hint="eastAsia"/>
        </w:rPr>
      </w:pPr>
      <w:bookmarkStart w:id="143" w:name="_Toc237663657"/>
      <w:r>
        <w:t>Section G.4: Registered Red Lines of the Facilitating Parties</w:t>
      </w:r>
      <w:bookmarkEnd w:id="143"/>
    </w:p>
    <w:p w14:paraId="44A38030" w14:textId="77777777" w:rsidR="00D708EC" w:rsidRDefault="00000000">
      <w:pPr>
        <w:rPr>
          <w:rFonts w:hint="eastAsia"/>
        </w:rPr>
      </w:pPr>
      <w:r>
        <w:t>QA-1 (Qatar): The escrow administration operates with technical integrity and neutrality; no Party instructs the Escrow Agent outside the instruments of this Accord.</w:t>
      </w:r>
    </w:p>
    <w:p w14:paraId="4F799D69" w14:textId="77777777" w:rsidR="00D708EC" w:rsidRDefault="00000000">
      <w:pPr>
        <w:rPr>
          <w:rFonts w:hint="eastAsia"/>
        </w:rPr>
      </w:pPr>
      <w:r>
        <w:t>PK-1 (Pakistan): The depositary functions operate with neutrality; the Islamabad channel remains open to all Parties on equal terms.</w:t>
      </w:r>
    </w:p>
    <w:p w14:paraId="0798952C" w14:textId="77777777" w:rsidR="00D708EC" w:rsidRDefault="00000000">
      <w:pPr>
        <w:rPr>
          <w:rFonts w:hint="eastAsia"/>
        </w:rPr>
      </w:pPr>
      <w:r>
        <w:t>CH-1 (Switzerland): The technical facilitation, expert pool, and audit functions operate free of political instruction from any Party.</w:t>
      </w:r>
    </w:p>
    <w:p w14:paraId="039F6C2A" w14:textId="77777777" w:rsidR="00D708EC" w:rsidRDefault="00000000">
      <w:pPr>
        <w:pStyle w:val="Heading2"/>
        <w:rPr>
          <w:rFonts w:hint="eastAsia"/>
        </w:rPr>
      </w:pPr>
      <w:bookmarkStart w:id="144" w:name="_Toc237663658"/>
      <w:r>
        <w:t>Section G.5: The Perimeter Test Procedure</w:t>
      </w:r>
      <w:bookmarkEnd w:id="144"/>
    </w:p>
    <w:p w14:paraId="16053D0F" w14:textId="77777777" w:rsidR="00D708EC" w:rsidRDefault="00000000">
      <w:pPr>
        <w:rPr>
          <w:rFonts w:hint="eastAsia"/>
        </w:rPr>
      </w:pPr>
      <w:r>
        <w:t>G.5.1 Every proposal, interpretation, amendment, and enforcement action passes the Perimeter Test before adoption: the JIC secretariat checks the action against every line of this Register and issues a perimeter certificate or a perimeter return with a written statement of the line crossed. A perimeter return suspends the action automatically.</w:t>
      </w:r>
    </w:p>
    <w:p w14:paraId="62042BF5" w14:textId="77777777" w:rsidR="00D708EC" w:rsidRDefault="00000000">
      <w:pPr>
        <w:rPr>
          <w:rFonts w:hint="eastAsia"/>
        </w:rPr>
      </w:pPr>
      <w:r>
        <w:t>G.5.2 No trading of Red Lines. No organ counts a Red Line as negotiable inventory, and no dispute outcome, arbitration award, or political judgment crosses a Red Line. A purported act crossing a Red Line is void ab initio within the framework.</w:t>
      </w:r>
    </w:p>
    <w:p w14:paraId="55174918" w14:textId="77777777" w:rsidR="00D708EC" w:rsidRDefault="00000000">
      <w:pPr>
        <w:rPr>
          <w:rFonts w:hint="eastAsia"/>
        </w:rPr>
      </w:pPr>
      <w:r>
        <w:t>G.5.3 Red Line Consultation operates per the procedure of the Layer Zero register: 72-hour convening, suspension pending consultation, 14-day conclusion, three outcomes (withdrawal, modification within the perimeter, referral to the Guarantor Matrix).</w:t>
      </w:r>
    </w:p>
    <w:p w14:paraId="795BF78E" w14:textId="77777777" w:rsidR="00D708EC" w:rsidRDefault="00D708EC">
      <w:pPr>
        <w:pageBreakBefore/>
        <w:rPr>
          <w:rFonts w:hint="eastAsia"/>
        </w:rPr>
      </w:pPr>
    </w:p>
    <w:p w14:paraId="5834FA9F" w14:textId="77777777" w:rsidR="00D708EC" w:rsidRDefault="00000000">
      <w:pPr>
        <w:pStyle w:val="Heading1"/>
        <w:rPr>
          <w:rFonts w:hint="eastAsia"/>
        </w:rPr>
      </w:pPr>
      <w:bookmarkStart w:id="145" w:name="_Toc237663659"/>
      <w:r>
        <w:t>SIGNATURE AND EXECUTION</w:t>
      </w:r>
      <w:bookmarkEnd w:id="145"/>
    </w:p>
    <w:p w14:paraId="037F7F4E" w14:textId="77777777" w:rsidR="00D708EC" w:rsidRDefault="00000000">
      <w:pPr>
        <w:rPr>
          <w:rFonts w:hint="eastAsia"/>
        </w:rPr>
      </w:pPr>
      <w:r>
        <w:t>In witness whereof, the undersigned, duly authorized by their respective governments and institutions, execute this Accord, in triplicate in the English, Farsi, and Arabic languages, each text equally authoritative. Signature executes electronically or in person at the election of each signatory, each manner carrying identical legal force.</w:t>
      </w:r>
    </w:p>
    <w:p w14:paraId="4D438922" w14:textId="77777777" w:rsidR="00D708EC" w:rsidRDefault="00000000">
      <w:pPr>
        <w:rPr>
          <w:rFonts w:hint="eastAsia"/>
        </w:rPr>
      </w:pPr>
      <w:r>
        <w:t>Done at Islamabad, this ____ day of ____________, 2026.</w:t>
      </w:r>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4548"/>
        <w:gridCol w:w="4678"/>
      </w:tblGrid>
      <w:tr w:rsidR="00D708EC" w14:paraId="5D7F13F2" w14:textId="77777777">
        <w:tc>
          <w:tcPr>
            <w:tcW w:w="0" w:type="auto"/>
            <w:shd w:val="clear" w:color="auto" w:fill="37474F"/>
          </w:tcPr>
          <w:p w14:paraId="32F0C73A" w14:textId="77777777" w:rsidR="00D708EC" w:rsidRDefault="00000000">
            <w:pPr>
              <w:rPr>
                <w:rFonts w:hint="eastAsia"/>
              </w:rPr>
            </w:pPr>
            <w:r>
              <w:rPr>
                <w:b/>
                <w:color w:val="FFFFFF"/>
                <w:sz w:val="19"/>
              </w:rPr>
              <w:t>For the Islamic Republic of Iran</w:t>
            </w:r>
          </w:p>
        </w:tc>
        <w:tc>
          <w:tcPr>
            <w:tcW w:w="0" w:type="auto"/>
            <w:shd w:val="clear" w:color="auto" w:fill="37474F"/>
          </w:tcPr>
          <w:p w14:paraId="5A17C8CC" w14:textId="77777777" w:rsidR="00D708EC" w:rsidRDefault="00000000">
            <w:pPr>
              <w:rPr>
                <w:rFonts w:hint="eastAsia"/>
              </w:rPr>
            </w:pPr>
            <w:r>
              <w:rPr>
                <w:b/>
                <w:color w:val="FFFFFF"/>
                <w:sz w:val="19"/>
              </w:rPr>
              <w:t>For the United States of America</w:t>
            </w:r>
          </w:p>
        </w:tc>
      </w:tr>
      <w:tr w:rsidR="00D708EC" w14:paraId="4687776C" w14:textId="77777777">
        <w:tc>
          <w:tcPr>
            <w:tcW w:w="0" w:type="auto"/>
          </w:tcPr>
          <w:p w14:paraId="6F2D22F2" w14:textId="77777777" w:rsidR="00D708EC" w:rsidRDefault="00000000">
            <w:pPr>
              <w:rPr>
                <w:rFonts w:hint="eastAsia"/>
              </w:rPr>
            </w:pPr>
            <w:r>
              <w:rPr>
                <w:sz w:val="19"/>
              </w:rPr>
              <w:t>Name: ________________________</w:t>
            </w:r>
          </w:p>
        </w:tc>
        <w:tc>
          <w:tcPr>
            <w:tcW w:w="0" w:type="auto"/>
          </w:tcPr>
          <w:p w14:paraId="31A29DAB" w14:textId="77777777" w:rsidR="00D708EC" w:rsidRDefault="00000000">
            <w:pPr>
              <w:rPr>
                <w:rFonts w:hint="eastAsia"/>
              </w:rPr>
            </w:pPr>
            <w:r>
              <w:rPr>
                <w:sz w:val="19"/>
              </w:rPr>
              <w:t>Name: ________________________</w:t>
            </w:r>
          </w:p>
        </w:tc>
      </w:tr>
      <w:tr w:rsidR="00D708EC" w14:paraId="11FCBB2F" w14:textId="77777777">
        <w:tc>
          <w:tcPr>
            <w:tcW w:w="0" w:type="auto"/>
            <w:shd w:val="clear" w:color="auto" w:fill="ECEFF1"/>
          </w:tcPr>
          <w:p w14:paraId="55FD3CF4" w14:textId="77777777" w:rsidR="00D708EC" w:rsidRDefault="00000000">
            <w:pPr>
              <w:rPr>
                <w:rFonts w:hint="eastAsia"/>
              </w:rPr>
            </w:pPr>
            <w:r>
              <w:rPr>
                <w:sz w:val="19"/>
              </w:rPr>
              <w:t>Title: ________________________</w:t>
            </w:r>
          </w:p>
        </w:tc>
        <w:tc>
          <w:tcPr>
            <w:tcW w:w="0" w:type="auto"/>
            <w:shd w:val="clear" w:color="auto" w:fill="ECEFF1"/>
          </w:tcPr>
          <w:p w14:paraId="6F184ADC" w14:textId="77777777" w:rsidR="00D708EC" w:rsidRDefault="00000000">
            <w:pPr>
              <w:rPr>
                <w:rFonts w:hint="eastAsia"/>
              </w:rPr>
            </w:pPr>
            <w:r>
              <w:rPr>
                <w:sz w:val="19"/>
              </w:rPr>
              <w:t>Title: ________________________</w:t>
            </w:r>
          </w:p>
        </w:tc>
      </w:tr>
      <w:tr w:rsidR="00D708EC" w14:paraId="0D55EE44" w14:textId="77777777">
        <w:tc>
          <w:tcPr>
            <w:tcW w:w="0" w:type="auto"/>
          </w:tcPr>
          <w:p w14:paraId="27A5A4DC" w14:textId="77777777" w:rsidR="00D708EC" w:rsidRDefault="00000000">
            <w:pPr>
              <w:rPr>
                <w:rFonts w:hint="eastAsia"/>
              </w:rPr>
            </w:pPr>
            <w:r>
              <w:rPr>
                <w:sz w:val="19"/>
              </w:rPr>
              <w:t>Date: ________________________</w:t>
            </w:r>
          </w:p>
        </w:tc>
        <w:tc>
          <w:tcPr>
            <w:tcW w:w="0" w:type="auto"/>
          </w:tcPr>
          <w:p w14:paraId="18B25AE6" w14:textId="77777777" w:rsidR="00D708EC" w:rsidRDefault="00000000">
            <w:pPr>
              <w:rPr>
                <w:rFonts w:hint="eastAsia"/>
              </w:rPr>
            </w:pPr>
            <w:r>
              <w:rPr>
                <w:sz w:val="19"/>
              </w:rPr>
              <w:t>Date: ________________________</w:t>
            </w:r>
          </w:p>
        </w:tc>
      </w:tr>
      <w:tr w:rsidR="00D708EC" w14:paraId="31B0DB65" w14:textId="77777777">
        <w:tc>
          <w:tcPr>
            <w:tcW w:w="0" w:type="auto"/>
            <w:shd w:val="clear" w:color="auto" w:fill="37474F"/>
          </w:tcPr>
          <w:p w14:paraId="34A26FD6" w14:textId="77777777" w:rsidR="00D708EC" w:rsidRDefault="00000000">
            <w:pPr>
              <w:rPr>
                <w:rFonts w:hint="eastAsia"/>
              </w:rPr>
            </w:pPr>
            <w:r>
              <w:rPr>
                <w:b/>
                <w:color w:val="FFFFFF"/>
                <w:sz w:val="19"/>
              </w:rPr>
              <w:t>For the Sultanate of Oman (Coastal Party)</w:t>
            </w:r>
          </w:p>
        </w:tc>
        <w:tc>
          <w:tcPr>
            <w:tcW w:w="0" w:type="auto"/>
            <w:shd w:val="clear" w:color="auto" w:fill="37474F"/>
          </w:tcPr>
          <w:p w14:paraId="56A92302" w14:textId="77777777" w:rsidR="00D708EC" w:rsidRDefault="00000000">
            <w:pPr>
              <w:rPr>
                <w:rFonts w:hint="eastAsia"/>
              </w:rPr>
            </w:pPr>
            <w:r>
              <w:rPr>
                <w:b/>
                <w:color w:val="FFFFFF"/>
                <w:sz w:val="19"/>
              </w:rPr>
              <w:t>For the State of Qatar (Escrow Agent)</w:t>
            </w:r>
          </w:p>
        </w:tc>
      </w:tr>
      <w:tr w:rsidR="00D708EC" w14:paraId="0698C18E" w14:textId="77777777">
        <w:tc>
          <w:tcPr>
            <w:tcW w:w="0" w:type="auto"/>
          </w:tcPr>
          <w:p w14:paraId="68DD7919" w14:textId="77777777" w:rsidR="00D708EC" w:rsidRDefault="00000000">
            <w:pPr>
              <w:rPr>
                <w:rFonts w:hint="eastAsia"/>
              </w:rPr>
            </w:pPr>
            <w:r>
              <w:rPr>
                <w:sz w:val="19"/>
              </w:rPr>
              <w:t>Name: ________________________</w:t>
            </w:r>
          </w:p>
        </w:tc>
        <w:tc>
          <w:tcPr>
            <w:tcW w:w="0" w:type="auto"/>
          </w:tcPr>
          <w:p w14:paraId="137B91E5" w14:textId="77777777" w:rsidR="00D708EC" w:rsidRDefault="00000000">
            <w:pPr>
              <w:rPr>
                <w:rFonts w:hint="eastAsia"/>
              </w:rPr>
            </w:pPr>
            <w:r>
              <w:rPr>
                <w:sz w:val="19"/>
              </w:rPr>
              <w:t>Name: ________________________</w:t>
            </w:r>
          </w:p>
        </w:tc>
      </w:tr>
      <w:tr w:rsidR="00D708EC" w14:paraId="7119B6EC" w14:textId="77777777">
        <w:tc>
          <w:tcPr>
            <w:tcW w:w="0" w:type="auto"/>
            <w:shd w:val="clear" w:color="auto" w:fill="ECEFF1"/>
          </w:tcPr>
          <w:p w14:paraId="2D462361" w14:textId="77777777" w:rsidR="00D708EC" w:rsidRDefault="00000000">
            <w:pPr>
              <w:rPr>
                <w:rFonts w:hint="eastAsia"/>
              </w:rPr>
            </w:pPr>
            <w:r>
              <w:rPr>
                <w:sz w:val="19"/>
              </w:rPr>
              <w:t>Title: ________________________</w:t>
            </w:r>
          </w:p>
        </w:tc>
        <w:tc>
          <w:tcPr>
            <w:tcW w:w="0" w:type="auto"/>
            <w:shd w:val="clear" w:color="auto" w:fill="ECEFF1"/>
          </w:tcPr>
          <w:p w14:paraId="76C7FBF4" w14:textId="77777777" w:rsidR="00D708EC" w:rsidRDefault="00000000">
            <w:pPr>
              <w:rPr>
                <w:rFonts w:hint="eastAsia"/>
              </w:rPr>
            </w:pPr>
            <w:r>
              <w:rPr>
                <w:sz w:val="19"/>
              </w:rPr>
              <w:t>Title: ________________________</w:t>
            </w:r>
          </w:p>
        </w:tc>
      </w:tr>
      <w:tr w:rsidR="00D708EC" w14:paraId="60205290" w14:textId="77777777">
        <w:tc>
          <w:tcPr>
            <w:tcW w:w="0" w:type="auto"/>
          </w:tcPr>
          <w:p w14:paraId="028B8289" w14:textId="77777777" w:rsidR="00D708EC" w:rsidRDefault="00000000">
            <w:pPr>
              <w:rPr>
                <w:rFonts w:hint="eastAsia"/>
              </w:rPr>
            </w:pPr>
            <w:r>
              <w:rPr>
                <w:sz w:val="19"/>
              </w:rPr>
              <w:t>Date: ________________________</w:t>
            </w:r>
          </w:p>
        </w:tc>
        <w:tc>
          <w:tcPr>
            <w:tcW w:w="0" w:type="auto"/>
          </w:tcPr>
          <w:p w14:paraId="3D1B6C8E" w14:textId="77777777" w:rsidR="00D708EC" w:rsidRDefault="00000000">
            <w:pPr>
              <w:rPr>
                <w:rFonts w:hint="eastAsia"/>
              </w:rPr>
            </w:pPr>
            <w:r>
              <w:rPr>
                <w:sz w:val="19"/>
              </w:rPr>
              <w:t>Date: ________________________</w:t>
            </w:r>
          </w:p>
        </w:tc>
      </w:tr>
      <w:tr w:rsidR="00D708EC" w14:paraId="7CDAC5C2" w14:textId="77777777">
        <w:tc>
          <w:tcPr>
            <w:tcW w:w="0" w:type="auto"/>
            <w:shd w:val="clear" w:color="auto" w:fill="37474F"/>
          </w:tcPr>
          <w:p w14:paraId="530C3A06" w14:textId="77777777" w:rsidR="00D708EC" w:rsidRDefault="00000000">
            <w:pPr>
              <w:rPr>
                <w:rFonts w:hint="eastAsia"/>
              </w:rPr>
            </w:pPr>
            <w:r>
              <w:rPr>
                <w:b/>
                <w:color w:val="FFFFFF"/>
                <w:sz w:val="19"/>
              </w:rPr>
              <w:t>For the Islamic Republic of Pakistan (Depositary)</w:t>
            </w:r>
          </w:p>
        </w:tc>
        <w:tc>
          <w:tcPr>
            <w:tcW w:w="0" w:type="auto"/>
            <w:shd w:val="clear" w:color="auto" w:fill="37474F"/>
          </w:tcPr>
          <w:p w14:paraId="171ADE9C" w14:textId="77777777" w:rsidR="00D708EC" w:rsidRDefault="00000000">
            <w:pPr>
              <w:rPr>
                <w:rFonts w:hint="eastAsia"/>
              </w:rPr>
            </w:pPr>
            <w:r>
              <w:rPr>
                <w:b/>
                <w:color w:val="FFFFFF"/>
                <w:sz w:val="19"/>
              </w:rPr>
              <w:t>For the Swiss Confederation (Technical Facilitator)</w:t>
            </w:r>
          </w:p>
        </w:tc>
      </w:tr>
      <w:tr w:rsidR="00D708EC" w14:paraId="5C69FDB7" w14:textId="77777777">
        <w:tc>
          <w:tcPr>
            <w:tcW w:w="0" w:type="auto"/>
          </w:tcPr>
          <w:p w14:paraId="6FE1A16E" w14:textId="77777777" w:rsidR="00D708EC" w:rsidRDefault="00000000">
            <w:pPr>
              <w:rPr>
                <w:rFonts w:hint="eastAsia"/>
              </w:rPr>
            </w:pPr>
            <w:r>
              <w:rPr>
                <w:sz w:val="19"/>
              </w:rPr>
              <w:t>Name: ________________________</w:t>
            </w:r>
          </w:p>
        </w:tc>
        <w:tc>
          <w:tcPr>
            <w:tcW w:w="0" w:type="auto"/>
          </w:tcPr>
          <w:p w14:paraId="3DFADFD7" w14:textId="77777777" w:rsidR="00D708EC" w:rsidRDefault="00000000">
            <w:pPr>
              <w:rPr>
                <w:rFonts w:hint="eastAsia"/>
              </w:rPr>
            </w:pPr>
            <w:r>
              <w:rPr>
                <w:sz w:val="19"/>
              </w:rPr>
              <w:t>Name: ________________________</w:t>
            </w:r>
          </w:p>
        </w:tc>
      </w:tr>
      <w:tr w:rsidR="00D708EC" w14:paraId="21A99579" w14:textId="77777777">
        <w:tc>
          <w:tcPr>
            <w:tcW w:w="0" w:type="auto"/>
            <w:shd w:val="clear" w:color="auto" w:fill="ECEFF1"/>
          </w:tcPr>
          <w:p w14:paraId="693741AD" w14:textId="77777777" w:rsidR="00D708EC" w:rsidRDefault="00000000">
            <w:pPr>
              <w:rPr>
                <w:rFonts w:hint="eastAsia"/>
              </w:rPr>
            </w:pPr>
            <w:r>
              <w:rPr>
                <w:sz w:val="19"/>
              </w:rPr>
              <w:t>Title: ________________________</w:t>
            </w:r>
          </w:p>
        </w:tc>
        <w:tc>
          <w:tcPr>
            <w:tcW w:w="0" w:type="auto"/>
            <w:shd w:val="clear" w:color="auto" w:fill="ECEFF1"/>
          </w:tcPr>
          <w:p w14:paraId="07DF6EC8" w14:textId="77777777" w:rsidR="00D708EC" w:rsidRDefault="00000000">
            <w:pPr>
              <w:rPr>
                <w:rFonts w:hint="eastAsia"/>
              </w:rPr>
            </w:pPr>
            <w:r>
              <w:rPr>
                <w:sz w:val="19"/>
              </w:rPr>
              <w:t>Title: ________________________</w:t>
            </w:r>
          </w:p>
        </w:tc>
      </w:tr>
      <w:tr w:rsidR="00D708EC" w14:paraId="11CD0401" w14:textId="77777777">
        <w:tc>
          <w:tcPr>
            <w:tcW w:w="0" w:type="auto"/>
          </w:tcPr>
          <w:p w14:paraId="01D7F9E2" w14:textId="77777777" w:rsidR="00D708EC" w:rsidRDefault="00000000">
            <w:pPr>
              <w:rPr>
                <w:rFonts w:hint="eastAsia"/>
              </w:rPr>
            </w:pPr>
            <w:r>
              <w:rPr>
                <w:sz w:val="19"/>
              </w:rPr>
              <w:t>Date: ________________________</w:t>
            </w:r>
          </w:p>
        </w:tc>
        <w:tc>
          <w:tcPr>
            <w:tcW w:w="0" w:type="auto"/>
          </w:tcPr>
          <w:p w14:paraId="559A0C0C" w14:textId="77777777" w:rsidR="00D708EC" w:rsidRDefault="00000000">
            <w:pPr>
              <w:rPr>
                <w:rFonts w:hint="eastAsia"/>
              </w:rPr>
            </w:pPr>
            <w:r>
              <w:rPr>
                <w:sz w:val="19"/>
              </w:rPr>
              <w:t>Date: ________________________</w:t>
            </w:r>
          </w:p>
        </w:tc>
      </w:tr>
    </w:tbl>
    <w:p w14:paraId="011F441A" w14:textId="77777777" w:rsidR="00D708EC" w:rsidRDefault="00000000">
      <w:pPr>
        <w:rPr>
          <w:rFonts w:hint="eastAsia"/>
        </w:rPr>
      </w:pPr>
      <w:r>
        <w:t>Witnessed by the Joint Implementation Commission and recorded in the Shared Digital Registry upon execution of the final signature.</w:t>
      </w:r>
    </w:p>
    <w:p w14:paraId="27845397" w14:textId="77777777" w:rsidR="00D708EC" w:rsidRDefault="00D708EC">
      <w:pPr>
        <w:pageBreakBefore/>
        <w:rPr>
          <w:rFonts w:hint="eastAsia"/>
        </w:rPr>
      </w:pPr>
    </w:p>
    <w:p w14:paraId="1A879FE6" w14:textId="77777777" w:rsidR="00D708EC" w:rsidRDefault="00000000">
      <w:pPr>
        <w:pStyle w:val="Heading1"/>
        <w:rPr>
          <w:rFonts w:hint="eastAsia"/>
        </w:rPr>
      </w:pPr>
      <w:bookmarkStart w:id="146" w:name="_Toc237663660"/>
      <w:r>
        <w:t>ANNEX E: THE COTHROM VERIFICATION METHOD (FULL TEXT, INCORPORATED AS OPERATIVE LAW)</w:t>
      </w:r>
      <w:bookmarkEnd w:id="146"/>
    </w:p>
    <w:p w14:paraId="600E09F1" w14:textId="77777777" w:rsidR="00D708EC" w:rsidRDefault="00000000">
      <w:pPr>
        <w:pStyle w:val="Quote"/>
        <w:rPr>
          <w:rFonts w:hint="eastAsia"/>
        </w:rPr>
      </w:pPr>
      <w:r>
        <w:t>Cothrom (Irish): equal, balanced, level, fair. Integrated from the HITP Adversarial Verification Architecture v1.8 and the Step-Back/Earn-Back Proportional Compliance Engine v1.8, adapted for this Accord.</w:t>
      </w:r>
    </w:p>
    <w:p w14:paraId="15A03A68" w14:textId="77777777" w:rsidR="00D708EC" w:rsidRDefault="00000000">
      <w:pPr>
        <w:rPr>
          <w:rFonts w:hint="eastAsia"/>
        </w:rPr>
      </w:pPr>
      <w:r>
        <w:t>This method treats verification not as surveillance but as a reciprocal architecture where both parties invest, both parties verify, and both parties recover.</w:t>
      </w:r>
    </w:p>
    <w:p w14:paraId="3EED6D77" w14:textId="77777777" w:rsidR="00D708EC" w:rsidRDefault="00000000">
      <w:pPr>
        <w:pStyle w:val="Heading2"/>
        <w:rPr>
          <w:rFonts w:hint="eastAsia"/>
        </w:rPr>
      </w:pPr>
      <w:bookmarkStart w:id="147" w:name="_Toc237663661"/>
      <w:r>
        <w:t>PREAMBLE: THE COTHROM PRINCIPLE</w:t>
      </w:r>
      <w:bookmarkEnd w:id="147"/>
    </w:p>
    <w:p w14:paraId="358D4539" w14:textId="77777777" w:rsidR="00D708EC" w:rsidRDefault="00000000">
      <w:pPr>
        <w:rPr>
          <w:rFonts w:hint="eastAsia"/>
        </w:rPr>
      </w:pPr>
      <w:r>
        <w:t>Snapback kills agreements. It converts every minor infraction into an existential crisis, incentivizes the accused party to escalate rather than remediate, and destroys the trust that stabilization requires. Binary collapse dynamics produce binary collapse outcomes.</w:t>
      </w:r>
    </w:p>
    <w:p w14:paraId="07A57121" w14:textId="77777777" w:rsidR="00D708EC" w:rsidRDefault="00000000">
      <w:pPr>
        <w:rPr>
          <w:rFonts w:hint="eastAsia"/>
        </w:rPr>
      </w:pPr>
      <w:r>
        <w:t>The Cothrom Method replaces snapback with a graduated, reversible, proportionate compliance engine. It combines the operational infrastructure of adversarial claim verification with the philosophical architecture of proportional penalty and guaranteed recuperation.</w:t>
      </w:r>
    </w:p>
    <w:p w14:paraId="70F1B529" w14:textId="77777777" w:rsidR="00D708EC" w:rsidRDefault="00000000">
      <w:pPr>
        <w:rPr>
          <w:rFonts w:hint="eastAsia"/>
        </w:rPr>
      </w:pPr>
      <w:r>
        <w:t>Core operating principle: The framework architecture does not collapse upon breach. It breathes. Discretionary benefits pause first. Core constraints survive longest. Humanitarian protections remain absolute. Minor infractions produce minor proportional consequences. Sustained compliance restores full benefits. No violation creates permanent exclusion.</w:t>
      </w:r>
    </w:p>
    <w:p w14:paraId="03BFCC40" w14:textId="77777777" w:rsidR="00D708EC" w:rsidRDefault="00000000">
      <w:pPr>
        <w:rPr>
          <w:rFonts w:hint="eastAsia"/>
        </w:rPr>
      </w:pPr>
      <w:r>
        <w:t>The Cothrom Method achieves the following objectives: it incentivizes accurate claim submission by the Claimant Party; it enables rigorous but fair review by the Verifier Party; it prevents frivolous submissions through forfeit risk; it prevents frivolous objections through escalating penalty ladders; it protects both Parties from information asymmetry; it provides neutral third-party expert oversight; it generates objective, auditable verification scores; it ensures proportionate penalties for breaches; and it guarantees defined earn-back pathways for every penalty.</w:t>
      </w:r>
    </w:p>
    <w:p w14:paraId="700B6B85" w14:textId="77777777" w:rsidR="00D708EC" w:rsidRDefault="00000000">
      <w:pPr>
        <w:pStyle w:val="Heading2"/>
        <w:rPr>
          <w:rFonts w:hint="eastAsia"/>
        </w:rPr>
      </w:pPr>
      <w:bookmarkStart w:id="148" w:name="_Toc237663662"/>
      <w:r>
        <w:t>PART I: DATA INFRASTRUCTURE AND ANOMALY DETECTION</w:t>
      </w:r>
      <w:bookmarkEnd w:id="148"/>
    </w:p>
    <w:p w14:paraId="0128B6F8" w14:textId="77777777" w:rsidR="00D708EC" w:rsidRDefault="00000000">
      <w:pPr>
        <w:pStyle w:val="Heading3"/>
        <w:rPr>
          <w:rFonts w:hint="eastAsia"/>
        </w:rPr>
      </w:pPr>
      <w:r>
        <w:t>SECTION 1: MONITORING SYSTEMS AND DATA STANDARDS</w:t>
      </w:r>
    </w:p>
    <w:p w14:paraId="12000011" w14:textId="77777777" w:rsidR="00D708EC" w:rsidRDefault="00000000">
      <w:pPr>
        <w:rPr>
          <w:rFonts w:hint="eastAsia"/>
        </w:rPr>
      </w:pPr>
      <w:r>
        <w:t>1.1 System Activation</w:t>
      </w:r>
    </w:p>
    <w:p w14:paraId="250F59F4" w14:textId="77777777" w:rsidR="00D708EC" w:rsidRDefault="00000000">
      <w:pPr>
        <w:rPr>
          <w:rFonts w:hint="eastAsia"/>
        </w:rPr>
      </w:pPr>
      <w:r>
        <w:t>Upon signature, the following monitoring systems activate immediately and operate on a continuous basis:</w:t>
      </w:r>
    </w:p>
    <w:p w14:paraId="58FAB972" w14:textId="77777777" w:rsidR="00D708EC" w:rsidRDefault="00000000">
      <w:pPr>
        <w:rPr>
          <w:rFonts w:hint="eastAsia"/>
        </w:rPr>
      </w:pPr>
      <w:r>
        <w:lastRenderedPageBreak/>
        <w:t>System: Primary telemetry feeds (satellite, radar, sensor networks)</w:t>
      </w:r>
    </w:p>
    <w:p w14:paraId="25A93DC5" w14:textId="77777777" w:rsidR="00D708EC" w:rsidRDefault="00000000">
      <w:pPr>
        <w:rPr>
          <w:rFonts w:hint="eastAsia"/>
        </w:rPr>
      </w:pPr>
      <w:r>
        <w:t>Activation: Primary and secondary feeds begin continuous data collection</w:t>
      </w:r>
    </w:p>
    <w:p w14:paraId="68B36736" w14:textId="77777777" w:rsidR="00D708EC" w:rsidRDefault="00000000">
      <w:pPr>
        <w:rPr>
          <w:rFonts w:hint="eastAsia"/>
        </w:rPr>
      </w:pPr>
      <w:r>
        <w:t>Data Recipients: Joint Monitoring Cell, both Parties, Shared Digital Registry</w:t>
      </w:r>
    </w:p>
    <w:p w14:paraId="458B68BF" w14:textId="77777777" w:rsidR="00D708EC" w:rsidRDefault="00000000">
      <w:pPr>
        <w:rPr>
          <w:rFonts w:hint="eastAsia"/>
        </w:rPr>
      </w:pPr>
      <w:r>
        <w:t>System: Coastal and territorial sensor integration</w:t>
      </w:r>
    </w:p>
    <w:p w14:paraId="103E30F8" w14:textId="77777777" w:rsidR="00D708EC" w:rsidRDefault="00000000">
      <w:pPr>
        <w:rPr>
          <w:rFonts w:hint="eastAsia"/>
        </w:rPr>
      </w:pPr>
      <w:r>
        <w:t>Activation: All designated sensor stations begin data transmission</w:t>
      </w:r>
    </w:p>
    <w:p w14:paraId="3CE95BCE" w14:textId="77777777" w:rsidR="00D708EC" w:rsidRDefault="00000000">
      <w:pPr>
        <w:rPr>
          <w:rFonts w:hint="eastAsia"/>
        </w:rPr>
      </w:pPr>
      <w:r>
        <w:t>Data Recipients: Joint Monitoring Cell, both Parties, Shared Digital Registry</w:t>
      </w:r>
    </w:p>
    <w:p w14:paraId="5F73D323" w14:textId="77777777" w:rsidR="00D708EC" w:rsidRDefault="00000000">
      <w:pPr>
        <w:rPr>
          <w:rFonts w:hint="eastAsia"/>
        </w:rPr>
      </w:pPr>
      <w:r>
        <w:t>System: Joint Monitoring Cell</w:t>
      </w:r>
    </w:p>
    <w:p w14:paraId="7977D5BB" w14:textId="77777777" w:rsidR="00D708EC" w:rsidRDefault="00000000">
      <w:pPr>
        <w:rPr>
          <w:rFonts w:hint="eastAsia"/>
        </w:rPr>
      </w:pPr>
      <w:r>
        <w:t>Activation: Pre-accredited JMC personnel convene at the designated host location within 72 hours of signature and begin 24/7 operations</w:t>
      </w:r>
    </w:p>
    <w:p w14:paraId="054F55FB" w14:textId="77777777" w:rsidR="00D708EC" w:rsidRDefault="00000000">
      <w:pPr>
        <w:rPr>
          <w:rFonts w:hint="eastAsia"/>
        </w:rPr>
      </w:pPr>
      <w:r>
        <w:t>Data Recipients: Joint Monitoring Cell, both Parties, Permanent Coordination Council</w:t>
      </w:r>
    </w:p>
    <w:p w14:paraId="4FA23927" w14:textId="77777777" w:rsidR="00D708EC" w:rsidRDefault="00000000">
      <w:pPr>
        <w:rPr>
          <w:rFonts w:hint="eastAsia"/>
        </w:rPr>
      </w:pPr>
      <w:r>
        <w:t>System: Shared Digital Registry</w:t>
      </w:r>
    </w:p>
    <w:p w14:paraId="1D776523" w14:textId="77777777" w:rsidR="00D708EC" w:rsidRDefault="00000000">
      <w:pPr>
        <w:rPr>
          <w:rFonts w:hint="eastAsia"/>
        </w:rPr>
      </w:pPr>
      <w:r>
        <w:t>Activation: The Registry begins logging all tracks, anomaly alerts, and verification packages</w:t>
      </w:r>
    </w:p>
    <w:p w14:paraId="086FACA3" w14:textId="77777777" w:rsidR="00D708EC" w:rsidRDefault="00000000">
      <w:pPr>
        <w:rPr>
          <w:rFonts w:hint="eastAsia"/>
        </w:rPr>
      </w:pPr>
      <w:r>
        <w:t>Data Recipients: All Parties, Guarantor Matrix</w:t>
      </w:r>
    </w:p>
    <w:p w14:paraId="3F3E902E" w14:textId="77777777" w:rsidR="00D708EC" w:rsidRDefault="00000000">
      <w:pPr>
        <w:rPr>
          <w:rFonts w:hint="eastAsia"/>
        </w:rPr>
      </w:pPr>
      <w:r>
        <w:t>System: Compliance Dashboard</w:t>
      </w:r>
    </w:p>
    <w:p w14:paraId="5E2DF992" w14:textId="77777777" w:rsidR="00D708EC" w:rsidRDefault="00000000">
      <w:pPr>
        <w:rPr>
          <w:rFonts w:hint="eastAsia"/>
        </w:rPr>
      </w:pPr>
      <w:r>
        <w:t>Activation: The dashboard publishes and becomes accessible to all Parties and accredited observers</w:t>
      </w:r>
    </w:p>
    <w:p w14:paraId="24CC2D1C" w14:textId="77777777" w:rsidR="00D708EC" w:rsidRDefault="00000000">
      <w:pPr>
        <w:rPr>
          <w:rFonts w:hint="eastAsia"/>
        </w:rPr>
      </w:pPr>
      <w:r>
        <w:t>Data Recipients: Public (non-classified metrics)</w:t>
      </w:r>
    </w:p>
    <w:p w14:paraId="47EB4132" w14:textId="77777777" w:rsidR="00D708EC" w:rsidRDefault="00000000">
      <w:pPr>
        <w:rPr>
          <w:rFonts w:hint="eastAsia"/>
        </w:rPr>
      </w:pPr>
      <w:r>
        <w:t>System: Third-Party Telemetry Tie-Breaker</w:t>
      </w:r>
    </w:p>
    <w:p w14:paraId="2730F395" w14:textId="77777777" w:rsidR="00D708EC" w:rsidRDefault="00000000">
      <w:pPr>
        <w:rPr>
          <w:rFonts w:hint="eastAsia"/>
        </w:rPr>
      </w:pPr>
      <w:r>
        <w:t>Activation: An independent commercial provider, under contract to the Swiss facilitator, provides independent telemetry. This source activates automatically upon detection of a data conflict between the primary Party feeds.</w:t>
      </w:r>
    </w:p>
    <w:p w14:paraId="1BFD5B7F" w14:textId="77777777" w:rsidR="00D708EC" w:rsidRDefault="00000000">
      <w:pPr>
        <w:rPr>
          <w:rFonts w:hint="eastAsia"/>
        </w:rPr>
      </w:pPr>
      <w:r>
        <w:t>Data Recipients: Joint Monitoring Cell, Swiss Facilitator, Permanent Coordination Council</w:t>
      </w:r>
    </w:p>
    <w:p w14:paraId="61ABCBBC" w14:textId="77777777" w:rsidR="00D708EC" w:rsidRDefault="00000000">
      <w:pPr>
        <w:rPr>
          <w:rFonts w:hint="eastAsia"/>
        </w:rPr>
      </w:pPr>
      <w:r>
        <w:t>1.2 Data Collection Standards</w:t>
      </w:r>
    </w:p>
    <w:p w14:paraId="16B3D8C5" w14:textId="77777777" w:rsidR="00D708EC" w:rsidRDefault="00000000">
      <w:pPr>
        <w:rPr>
          <w:rFonts w:hint="eastAsia"/>
        </w:rPr>
      </w:pPr>
      <w:r>
        <w:t>All data collected under this Method conforms to the following standards:</w:t>
      </w:r>
    </w:p>
    <w:p w14:paraId="0C8FBF82" w14:textId="77777777" w:rsidR="00D708EC" w:rsidRDefault="00000000">
      <w:pPr>
        <w:rPr>
          <w:rFonts w:hint="eastAsia"/>
        </w:rPr>
      </w:pPr>
      <w:r>
        <w:t>Simultaneous: The framework architecture transmits all data to both Parties with identical latency. Neither Party receives preferential access, earlier notification, or exclusive data feeds.</w:t>
      </w:r>
    </w:p>
    <w:p w14:paraId="01B28BB6" w14:textId="77777777" w:rsidR="00D708EC" w:rsidRDefault="00000000">
      <w:pPr>
        <w:rPr>
          <w:rFonts w:hint="eastAsia"/>
        </w:rPr>
      </w:pPr>
      <w:r>
        <w:t>Unalterable: The Shared Digital Registry logs all data with cryptographic chain-of-custody. No Party modifies, deletes, or redacts logged data.</w:t>
      </w:r>
    </w:p>
    <w:p w14:paraId="39A68269" w14:textId="77777777" w:rsidR="00D708EC" w:rsidRDefault="00000000">
      <w:pPr>
        <w:rPr>
          <w:rFonts w:hint="eastAsia"/>
        </w:rPr>
      </w:pPr>
      <w:r>
        <w:t>Transparent: All data is accessible to both Parties, the Guarantor Matrix, and the Joint Monitoring Cell through the secure data portal.</w:t>
      </w:r>
    </w:p>
    <w:p w14:paraId="43E5BFF4" w14:textId="77777777" w:rsidR="00D708EC" w:rsidRDefault="00000000">
      <w:pPr>
        <w:rPr>
          <w:rFonts w:hint="eastAsia"/>
        </w:rPr>
      </w:pPr>
      <w:r>
        <w:t>Non-attributable for political purposes: The framework architecture collects and shares data for technical verification only. It does not constitute recognition of any Party's legal position.</w:t>
      </w:r>
    </w:p>
    <w:p w14:paraId="6001BAE5" w14:textId="77777777" w:rsidR="00D708EC" w:rsidRDefault="00000000">
      <w:pPr>
        <w:rPr>
          <w:rFonts w:hint="eastAsia"/>
        </w:rPr>
      </w:pPr>
      <w:r>
        <w:lastRenderedPageBreak/>
        <w:t>Non-imputability: Neither Party's participation in data collection, transmission, or receipt constitutes endorsement of the political character, legal status, or governance implications of any monitoring system or data product. Data serves technical verification exclusively. No political meaning attaches to its collection or sharing.</w:t>
      </w:r>
    </w:p>
    <w:p w14:paraId="3D6BD96E" w14:textId="77777777" w:rsidR="00D708EC" w:rsidRDefault="00000000">
      <w:pPr>
        <w:rPr>
          <w:rFonts w:hint="eastAsia"/>
        </w:rPr>
      </w:pPr>
      <w:r>
        <w:t>Retention and audit: The Shared Digital Registry retains all logged data for a minimum of five years from the date of logging. Either Party requests an independent forensic audit of any data segment. The Swiss facilitator selects the auditor from the Third-Party Expert Pool. The auditor completes the review within 30 days of request. The requesting Party bears the audit cost. If the audit reveals material data manipulation, the manipulating Party bears all costs including the requesting Party's costs.</w:t>
      </w:r>
    </w:p>
    <w:p w14:paraId="6D811C90" w14:textId="77777777" w:rsidR="00D708EC" w:rsidRDefault="00000000">
      <w:pPr>
        <w:rPr>
          <w:rFonts w:hint="eastAsia"/>
        </w:rPr>
      </w:pPr>
      <w:r>
        <w:t>1.3 Data Quality and Anti-Dumping Standards</w:t>
      </w:r>
    </w:p>
    <w:p w14:paraId="0D31A4B8" w14:textId="77777777" w:rsidR="00D708EC" w:rsidRDefault="00000000">
      <w:pPr>
        <w:rPr>
          <w:rFonts w:hint="eastAsia"/>
        </w:rPr>
      </w:pPr>
      <w:r>
        <w:t>The framework architecture enforces the following data quality standards for all telemetry transmitted by either Party:</w:t>
      </w:r>
    </w:p>
    <w:p w14:paraId="4488E99B" w14:textId="77777777" w:rsidR="00D708EC" w:rsidRDefault="00000000">
      <w:pPr>
        <w:rPr>
          <w:rFonts w:hint="eastAsia"/>
        </w:rPr>
      </w:pPr>
      <w:r>
        <w:t>Signal-to-noise ratio: Each Party maintains a signal-to-noise ratio above the minimum threshold defined in the technical annexes, across all data feeds. Consistent transmission below this threshold constitutes a technical failure.</w:t>
      </w:r>
    </w:p>
    <w:p w14:paraId="5376B314" w14:textId="77777777" w:rsidR="00D708EC" w:rsidRDefault="00000000">
      <w:pPr>
        <w:rPr>
          <w:rFonts w:hint="eastAsia"/>
        </w:rPr>
      </w:pPr>
      <w:r>
        <w:t>Format compliance: Each Party transmits data in the format specified in the shared protocol. Data in an incorrect format triggers an automatic formatting alert in the Shared Digital Registry.</w:t>
      </w:r>
    </w:p>
    <w:p w14:paraId="0BC0E2F5" w14:textId="77777777" w:rsidR="00D708EC" w:rsidRDefault="00000000">
      <w:pPr>
        <w:rPr>
          <w:rFonts w:hint="eastAsia"/>
        </w:rPr>
      </w:pPr>
      <w:r>
        <w:t>The framework architecture treats persistent data quality failures as a breach of the Simultaneous and Transparent requirements. Persistent failure means three or more consecutive formatting alerts or signal-to-noise violations within any seventy-two-hour period.</w:t>
      </w:r>
    </w:p>
    <w:p w14:paraId="01CF7892" w14:textId="77777777" w:rsidR="00D708EC" w:rsidRDefault="00000000">
      <w:pPr>
        <w:pStyle w:val="Heading3"/>
        <w:rPr>
          <w:rFonts w:hint="eastAsia"/>
        </w:rPr>
      </w:pPr>
      <w:r>
        <w:t>SECTION 2: ANOMALY DETECTION AND RESPONSE</w:t>
      </w:r>
    </w:p>
    <w:p w14:paraId="0F5128EC" w14:textId="77777777" w:rsidR="00D708EC" w:rsidRDefault="00000000">
      <w:pPr>
        <w:rPr>
          <w:rFonts w:hint="eastAsia"/>
        </w:rPr>
      </w:pPr>
      <w:r>
        <w:t>2.1 Alert Severity Classification</w:t>
      </w:r>
    </w:p>
    <w:p w14:paraId="379B9BD6" w14:textId="77777777" w:rsidR="00D708EC" w:rsidRDefault="00000000">
      <w:pPr>
        <w:rPr>
          <w:rFonts w:hint="eastAsia"/>
        </w:rPr>
      </w:pPr>
      <w:r>
        <w:t>Not every anomaly triggers enforcement. The alert system filters noise from genuine compliance events.</w:t>
      </w:r>
    </w:p>
    <w:p w14:paraId="67B630C3" w14:textId="77777777" w:rsidR="00D708EC" w:rsidRDefault="00000000">
      <w:pPr>
        <w:rPr>
          <w:rFonts w:hint="eastAsia"/>
        </w:rPr>
      </w:pPr>
      <w:r>
        <w:t>Level 1 (Informational): Sensor maintenance, scheduled downtime, minor data transmission interruption. The framework architecture needs no further action. The Joint Monitoring Cell issues no notification.</w:t>
      </w:r>
    </w:p>
    <w:p w14:paraId="5379A8BE" w14:textId="77777777" w:rsidR="00D708EC" w:rsidRDefault="00000000">
      <w:pPr>
        <w:rPr>
          <w:rFonts w:hint="eastAsia"/>
        </w:rPr>
      </w:pPr>
      <w:r>
        <w:t>Level 2 (Technical Review): Unscheduled downtime under 4 hours, single anomalous reading without pattern. The Joint Monitoring Cell technical review occurs within 7 days. No penalty attaches.</w:t>
      </w:r>
    </w:p>
    <w:p w14:paraId="7D4B5D2F" w14:textId="77777777" w:rsidR="00D708EC" w:rsidRDefault="00000000">
      <w:pPr>
        <w:rPr>
          <w:rFonts w:hint="eastAsia"/>
        </w:rPr>
      </w:pPr>
      <w:r>
        <w:t>Level 3 (Compliance Review): Unscheduled downtime over 4 hours, pattern of anomalous readings. Enhanced inspection occurs within 72 hours. Potential Tier 1 classification applies if the issue remains unresolved within 14 days.</w:t>
      </w:r>
    </w:p>
    <w:p w14:paraId="4F42BDF3" w14:textId="77777777" w:rsidR="00D708EC" w:rsidRDefault="00000000">
      <w:pPr>
        <w:rPr>
          <w:rFonts w:hint="eastAsia"/>
        </w:rPr>
      </w:pPr>
      <w:r>
        <w:lastRenderedPageBreak/>
        <w:t>Level 4 (Breach Indicator): Evidence of tampering, deliberate disablement, or material diversion. This triggers Tier 2 step-back consideration. The Joint Monitoring Cell convenes within 24 hours. Executive consultation is mandatory before any penalty activates.</w:t>
      </w:r>
    </w:p>
    <w:p w14:paraId="4E7DE014" w14:textId="77777777" w:rsidR="00D708EC" w:rsidRDefault="00000000">
      <w:pPr>
        <w:rPr>
          <w:rFonts w:hint="eastAsia"/>
        </w:rPr>
      </w:pPr>
      <w:r>
        <w:t>Only Level 4 triggers potential step-back. Levels 1 through 3 are managed through technical channels without penalty.</w:t>
      </w:r>
    </w:p>
    <w:p w14:paraId="4E0A4013" w14:textId="77777777" w:rsidR="00D708EC" w:rsidRDefault="00000000">
      <w:pPr>
        <w:rPr>
          <w:rFonts w:hint="eastAsia"/>
        </w:rPr>
      </w:pPr>
      <w:r>
        <w:t>2.2 Anomaly Response Protocol</w:t>
      </w:r>
    </w:p>
    <w:p w14:paraId="7A48E673" w14:textId="77777777" w:rsidR="00D708EC" w:rsidRDefault="00000000">
      <w:pPr>
        <w:rPr>
          <w:rFonts w:hint="eastAsia"/>
        </w:rPr>
      </w:pPr>
      <w:r>
        <w:t>Upon automatic generation of a Level 3 or Level 4 anomaly alert, the following response protocol activates immediately:</w:t>
      </w:r>
    </w:p>
    <w:p w14:paraId="59BDC9E7" w14:textId="77777777" w:rsidR="00D708EC" w:rsidRDefault="00000000">
      <w:pPr>
        <w:rPr>
          <w:rFonts w:hint="eastAsia"/>
        </w:rPr>
      </w:pPr>
      <w:r>
        <w:t>Step 1: The Joint Monitoring Cell Duty Officer transmits an automated communication to both Parties within five minutes of alert generation. The communication contains the anomaly classification, identifier, and deviation type.</w:t>
      </w:r>
    </w:p>
    <w:p w14:paraId="60F79422" w14:textId="77777777" w:rsidR="00D708EC" w:rsidRDefault="00000000">
      <w:pPr>
        <w:rPr>
          <w:rFonts w:hint="eastAsia"/>
        </w:rPr>
      </w:pPr>
      <w:r>
        <w:t>Step 2: Both Parties implement a pre-vetted operational stand-down order for any forces in the vicinity of the alert location. The stand-down order remains active until the Joint Monitoring Cell Chief Technical Officer confirms resolution or upgrades the alert.</w:t>
      </w:r>
    </w:p>
    <w:p w14:paraId="14FAC7CD" w14:textId="77777777" w:rsidR="00D708EC" w:rsidRDefault="00000000">
      <w:pPr>
        <w:rPr>
          <w:rFonts w:hint="eastAsia"/>
        </w:rPr>
      </w:pPr>
      <w:r>
        <w:t>Step 3: The Joint Monitoring Cell convenes an emergency video-conference between both Parties' designated technical representatives within thirty minutes of alert generation. The Shared Digital Registry logs all communications and stand-down confirmations.</w:t>
      </w:r>
    </w:p>
    <w:p w14:paraId="73CFC914" w14:textId="77777777" w:rsidR="00D708EC" w:rsidRDefault="00000000">
      <w:pPr>
        <w:rPr>
          <w:rFonts w:hint="eastAsia"/>
        </w:rPr>
      </w:pPr>
      <w:r>
        <w:t>The framework architecture designates this response as the Anomaly Response Playbook. The Playbook binds both Parties from the moment of signature. Neither Party deviates from the Playbook without written mutual agreement.</w:t>
      </w:r>
    </w:p>
    <w:p w14:paraId="0561FAA8" w14:textId="77777777" w:rsidR="00D708EC" w:rsidRDefault="00000000">
      <w:pPr>
        <w:rPr>
          <w:rFonts w:hint="eastAsia"/>
        </w:rPr>
      </w:pPr>
      <w:r>
        <w:t>2.3 Technical Truth Escalation Chain</w:t>
      </w:r>
    </w:p>
    <w:p w14:paraId="1AD9B236" w14:textId="77777777" w:rsidR="00D708EC" w:rsidRDefault="00000000">
      <w:pPr>
        <w:rPr>
          <w:rFonts w:hint="eastAsia"/>
        </w:rPr>
      </w:pPr>
      <w:r>
        <w:t>The framework architecture includes a binding, time-bound escalation chain for all data fidelity disputes. The chain operates automatically upon registration of a discrepancy in the Shared Digital Registry.</w:t>
      </w:r>
    </w:p>
    <w:p w14:paraId="2C96776B" w14:textId="77777777" w:rsidR="00D708EC" w:rsidRDefault="00000000">
      <w:pPr>
        <w:rPr>
          <w:rFonts w:hint="eastAsia"/>
        </w:rPr>
      </w:pPr>
      <w:r>
        <w:t>Day 1: The Joint Monitoring Cell Chief Technical Officer reviews the raw data feeds, source telemetry, and chain-of-custody records for the disputed data point. The Officer issues a preliminary technical finding within 24 hours of dispute registration.</w:t>
      </w:r>
    </w:p>
    <w:p w14:paraId="23700762" w14:textId="77777777" w:rsidR="00D708EC" w:rsidRDefault="00000000">
      <w:pPr>
        <w:rPr>
          <w:rFonts w:hint="eastAsia"/>
        </w:rPr>
      </w:pPr>
      <w:r>
        <w:t>Day 3: Either Party escalates the unresolved dispute to the Technical Working Group. The Technical Working Group convenes within 48 hours, reviews the full data package, and issues a corroboration report.</w:t>
      </w:r>
    </w:p>
    <w:p w14:paraId="1BD80755" w14:textId="77777777" w:rsidR="00D708EC" w:rsidRDefault="00000000">
      <w:pPr>
        <w:rPr>
          <w:rFonts w:hint="eastAsia"/>
        </w:rPr>
      </w:pPr>
      <w:r>
        <w:t>Day 5: Either Party escalates the unresolved dispute to a pre-selected panel of three neutral technical experts. The Swiss facilitator maintains these experts under standing accreditation. The panel reviews all evidence and issues a binding determination on data fidelity. This determination is final. Neither Party appeals it.</w:t>
      </w:r>
    </w:p>
    <w:p w14:paraId="499DFB5B" w14:textId="77777777" w:rsidR="00D708EC" w:rsidRDefault="00000000">
      <w:pPr>
        <w:rPr>
          <w:rFonts w:hint="eastAsia"/>
        </w:rPr>
      </w:pPr>
      <w:r>
        <w:t xml:space="preserve">The Shared Digital Registry logs every escalation step automatically. The framework architecture freezes all operational responses to the disputed event for 24 hours upon registration of a technical dispute. This Technical Dispute Hold remains in effect pending </w:t>
      </w:r>
      <w:r>
        <w:lastRenderedPageBreak/>
        <w:t>Technical Working Group resolution or panel determination. The framework architecture lifts the hold automatically upon resolution.</w:t>
      </w:r>
    </w:p>
    <w:p w14:paraId="4CC0A3BB" w14:textId="77777777" w:rsidR="00D708EC" w:rsidRDefault="00000000">
      <w:pPr>
        <w:rPr>
          <w:rFonts w:hint="eastAsia"/>
        </w:rPr>
      </w:pPr>
      <w:r>
        <w:t>2.4 Automatic Suspension for Monitoring Failure</w:t>
      </w:r>
    </w:p>
    <w:p w14:paraId="15561653" w14:textId="77777777" w:rsidR="00D708EC" w:rsidRDefault="00000000">
      <w:pPr>
        <w:rPr>
          <w:rFonts w:hint="eastAsia"/>
        </w:rPr>
      </w:pPr>
      <w:r>
        <w:t>This is the sole exception to the human-in-the-loop requirement: a purely technical, automatic trigger.</w:t>
      </w:r>
    </w:p>
    <w:p w14:paraId="22A33C61" w14:textId="77777777" w:rsidR="00D708EC" w:rsidRDefault="00000000">
      <w:pPr>
        <w:rPr>
          <w:rFonts w:hint="eastAsia"/>
        </w:rPr>
      </w:pPr>
      <w:r>
        <w:t>Trigger: If telemetry from a verification-relevant facility is unavailable for 48 consecutive hours, and the Technical Working Group certifies that this unavailability is not due to equipment failure or maintenance:</w:t>
      </w:r>
    </w:p>
    <w:p w14:paraId="6B5020FD" w14:textId="77777777" w:rsidR="00D708EC" w:rsidRDefault="00000000">
      <w:pPr>
        <w:rPr>
          <w:rFonts w:hint="eastAsia"/>
        </w:rPr>
      </w:pPr>
      <w:r>
        <w:t>All framework benefits related to that facility suspend automatically. No human veto overrides this suspension. The suspension lifts immediately upon Technical Working Group certification that telemetry restores and verifies as authentic. This automatic suspension is the only penalty that activates without executive consultation.</w:t>
      </w:r>
    </w:p>
    <w:p w14:paraId="7C0E7C3F" w14:textId="77777777" w:rsidR="00D708EC" w:rsidRDefault="00000000">
      <w:pPr>
        <w:pStyle w:val="Heading3"/>
        <w:rPr>
          <w:rFonts w:hint="eastAsia"/>
        </w:rPr>
      </w:pPr>
      <w:r>
        <w:t>SECTION 3: NOTIFICATION PROTOCOL</w:t>
      </w:r>
    </w:p>
    <w:p w14:paraId="52C18448" w14:textId="77777777" w:rsidR="00D708EC" w:rsidRDefault="00000000">
      <w:pPr>
        <w:rPr>
          <w:rFonts w:hint="eastAsia"/>
        </w:rPr>
      </w:pPr>
      <w:r>
        <w:t>All formal notifications required under this Method transmit through the Shared Digital Registry. The Registry distributes notifications automatically to all relevant recipients according to the following routing hierarchy:</w:t>
      </w:r>
    </w:p>
    <w:p w14:paraId="64FCA0AF" w14:textId="77777777" w:rsidR="00D708EC" w:rsidRDefault="00000000">
      <w:pPr>
        <w:rPr>
          <w:rFonts w:hint="eastAsia"/>
        </w:rPr>
      </w:pPr>
      <w:r>
        <w:t>Operational notifications: Anomalies, data disputes, and technical findings route to the Joint Monitoring Cell and both Parties.</w:t>
      </w:r>
    </w:p>
    <w:p w14:paraId="4AAD544E" w14:textId="77777777" w:rsidR="00D708EC" w:rsidRDefault="00000000">
      <w:pPr>
        <w:rPr>
          <w:rFonts w:hint="eastAsia"/>
        </w:rPr>
      </w:pPr>
      <w:r>
        <w:t>Political notifications: Extension requests, pilot exit notices, and consent to final arrangements route to the Permanent Coordination Council, both Parties, and the Guarantor Matrix.</w:t>
      </w:r>
    </w:p>
    <w:p w14:paraId="76882267" w14:textId="77777777" w:rsidR="00D708EC" w:rsidRDefault="00000000">
      <w:pPr>
        <w:rPr>
          <w:rFonts w:hint="eastAsia"/>
        </w:rPr>
      </w:pPr>
      <w:r>
        <w:t>Financial notifications: Payments, bond releases, and audit requests route to the Swiss facilitator, the Joint Monitoring Cell, and both Parties.</w:t>
      </w:r>
    </w:p>
    <w:p w14:paraId="5F9CC31A" w14:textId="77777777" w:rsidR="00D708EC" w:rsidRDefault="00000000">
      <w:pPr>
        <w:rPr>
          <w:rFonts w:hint="eastAsia"/>
        </w:rPr>
      </w:pPr>
      <w:r>
        <w:t>The Shared Digital Registry timestamps every notification at transmission. The framework architecture deems a notification received by all required recipients at the moment of transmission.</w:t>
      </w:r>
    </w:p>
    <w:p w14:paraId="1BF595B0" w14:textId="77777777" w:rsidR="00D708EC" w:rsidRDefault="00000000">
      <w:pPr>
        <w:rPr>
          <w:rFonts w:hint="eastAsia"/>
        </w:rPr>
      </w:pPr>
      <w:r>
        <w:t>Either Party requests confirmation of delivery for any notification. The Joint Monitoring Cell Duty Officer confirms delivery within 4 hours of the request. Failed delivery triggers automatic escalation to the Swiss facilitator for alternative routing.</w:t>
      </w:r>
    </w:p>
    <w:p w14:paraId="377C413A" w14:textId="77777777" w:rsidR="00D708EC" w:rsidRDefault="00000000">
      <w:pPr>
        <w:pStyle w:val="Heading2"/>
        <w:rPr>
          <w:rFonts w:hint="eastAsia"/>
        </w:rPr>
      </w:pPr>
      <w:bookmarkStart w:id="149" w:name="_Toc237663663"/>
      <w:r>
        <w:t>PART II: ADVERSARIAL CLAIM VERIFICATION</w:t>
      </w:r>
      <w:bookmarkEnd w:id="149"/>
    </w:p>
    <w:p w14:paraId="34DF2211" w14:textId="77777777" w:rsidR="00D708EC" w:rsidRDefault="00000000">
      <w:pPr>
        <w:pStyle w:val="Heading3"/>
        <w:rPr>
          <w:rFonts w:hint="eastAsia"/>
        </w:rPr>
      </w:pPr>
      <w:r>
        <w:t>SECTION 4: VERIFICATION BOND AND FINANCIAL ARCHITECTURE</w:t>
      </w:r>
    </w:p>
    <w:p w14:paraId="6F2AB167" w14:textId="77777777" w:rsidR="00D708EC" w:rsidRDefault="00000000">
      <w:pPr>
        <w:rPr>
          <w:rFonts w:hint="eastAsia"/>
        </w:rPr>
      </w:pPr>
      <w:r>
        <w:t>4.1 Verification Bond</w:t>
      </w:r>
    </w:p>
    <w:p w14:paraId="53E4A458" w14:textId="77777777" w:rsidR="00D708EC" w:rsidRDefault="00000000">
      <w:pPr>
        <w:rPr>
          <w:rFonts w:hint="eastAsia"/>
        </w:rPr>
      </w:pPr>
      <w:r>
        <w:t xml:space="preserve">Both Parties deposit a Verification Bond with the Swiss facilitator before the Testing Phase commences. The framework architecture treats the bond as a performance stake, not a fee. </w:t>
      </w:r>
      <w:r>
        <w:lastRenderedPageBreak/>
        <w:t>Neither Party recovers its bond automatically. Recovery depends on demonstrated good faith participation.</w:t>
      </w:r>
    </w:p>
    <w:p w14:paraId="05819B6A" w14:textId="77777777" w:rsidR="00D708EC" w:rsidRDefault="00000000">
      <w:pPr>
        <w:rPr>
          <w:rFonts w:hint="eastAsia"/>
        </w:rPr>
      </w:pPr>
      <w:r>
        <w:t>Party: Claimant Party</w:t>
      </w:r>
    </w:p>
    <w:p w14:paraId="5833E402" w14:textId="77777777" w:rsidR="00D708EC" w:rsidRDefault="00000000">
      <w:pPr>
        <w:rPr>
          <w:rFonts w:hint="eastAsia"/>
        </w:rPr>
      </w:pPr>
      <w:r>
        <w:t>Bond Amount: 200 credits</w:t>
      </w:r>
    </w:p>
    <w:p w14:paraId="59BF0AE6" w14:textId="77777777" w:rsidR="00D708EC" w:rsidRDefault="00000000">
      <w:pPr>
        <w:rPr>
          <w:rFonts w:hint="eastAsia"/>
        </w:rPr>
      </w:pPr>
      <w:r>
        <w:t>Release Condition: The Claimant Party accumulates 50 or more verified credits</w:t>
      </w:r>
    </w:p>
    <w:p w14:paraId="11120228" w14:textId="77777777" w:rsidR="00D708EC" w:rsidRDefault="00000000">
      <w:pPr>
        <w:rPr>
          <w:rFonts w:hint="eastAsia"/>
        </w:rPr>
      </w:pPr>
      <w:r>
        <w:t>Forfeit Condition: The Claimant Party submits zero verifiable claims during the Testing Phase</w:t>
      </w:r>
    </w:p>
    <w:p w14:paraId="7AE981E2" w14:textId="77777777" w:rsidR="00D708EC" w:rsidRDefault="00000000">
      <w:pPr>
        <w:rPr>
          <w:rFonts w:hint="eastAsia"/>
        </w:rPr>
      </w:pPr>
      <w:r>
        <w:t>Party: Verifier Party</w:t>
      </w:r>
    </w:p>
    <w:p w14:paraId="6B28B4A2" w14:textId="77777777" w:rsidR="00D708EC" w:rsidRDefault="00000000">
      <w:pPr>
        <w:rPr>
          <w:rFonts w:hint="eastAsia"/>
        </w:rPr>
      </w:pPr>
      <w:r>
        <w:t>Bond Amount: 200 credits</w:t>
      </w:r>
    </w:p>
    <w:p w14:paraId="13A69CAC" w14:textId="77777777" w:rsidR="00D708EC" w:rsidRDefault="00000000">
      <w:pPr>
        <w:rPr>
          <w:rFonts w:hint="eastAsia"/>
        </w:rPr>
      </w:pPr>
      <w:r>
        <w:t>Release Condition: Verifier objections achieve 50 percent or greater upheld rate</w:t>
      </w:r>
    </w:p>
    <w:p w14:paraId="79D522A9" w14:textId="77777777" w:rsidR="00D708EC" w:rsidRDefault="00000000">
      <w:pPr>
        <w:rPr>
          <w:rFonts w:hint="eastAsia"/>
        </w:rPr>
      </w:pPr>
      <w:r>
        <w:t>Forfeit Condition: Frivolous objection rate exceeds 30 percent</w:t>
      </w:r>
    </w:p>
    <w:p w14:paraId="009FA5BC" w14:textId="77777777" w:rsidR="00D708EC" w:rsidRDefault="00000000">
      <w:pPr>
        <w:rPr>
          <w:rFonts w:hint="eastAsia"/>
        </w:rPr>
      </w:pPr>
      <w:r>
        <w:t>The Swiss facilitator holds both bonds in a dedicated sub-account of the escrow. The framework architecture releases each bond automatically upon satisfaction of the release condition. The framework architecture forfeits each bond automatically upon satisfaction of the forfeit condition. Bond status appears on the Compliance Dashboard at all times.</w:t>
      </w:r>
    </w:p>
    <w:p w14:paraId="07A5C5FD" w14:textId="77777777" w:rsidR="00D708EC" w:rsidRDefault="00000000">
      <w:pPr>
        <w:rPr>
          <w:rFonts w:hint="eastAsia"/>
        </w:rPr>
      </w:pPr>
      <w:r>
        <w:t>4.2 Contingency Reserve</w:t>
      </w:r>
    </w:p>
    <w:p w14:paraId="7DA92039" w14:textId="77777777" w:rsidR="00D708EC" w:rsidRDefault="00000000">
      <w:pPr>
        <w:rPr>
          <w:rFonts w:hint="eastAsia"/>
        </w:rPr>
      </w:pPr>
      <w:r>
        <w:t>The escrow mechanism maintains a contingency reserve equal to 10 percent of the total Testing Phase and Cooling-Off Period allocation. The Swiss facilitator releases this reserve only upon joint written request from both Parties or upon certification by the Joint Monitoring Cell Chief Technical Officer that operational costs exceed the released tranches by more than 10 percent. The Shared Digital Registry logs all contingency releases with supporting justification. The contingency reserve protects against minor cost overruns without creating a political dispute.</w:t>
      </w:r>
    </w:p>
    <w:p w14:paraId="5C462194" w14:textId="77777777" w:rsidR="00D708EC" w:rsidRDefault="00000000">
      <w:pPr>
        <w:rPr>
          <w:rFonts w:hint="eastAsia"/>
        </w:rPr>
      </w:pPr>
      <w:r>
        <w:t>4.3 Budget Continuity</w:t>
      </w:r>
    </w:p>
    <w:p w14:paraId="09831E89" w14:textId="77777777" w:rsidR="00D708EC" w:rsidRDefault="00000000">
      <w:pPr>
        <w:rPr>
          <w:rFonts w:hint="eastAsia"/>
        </w:rPr>
      </w:pPr>
      <w:r>
        <w:t>All escrow budget tranches released prior to fallback activation remain fully available during any fallback or extension period. The Swiss facilitator maintains the escrow accounts and disbursement mechanisms without interruption. Neither Party renegotiates or recalls released funds solely because of fallback activation. Budget continuity ensures that monitoring operations continue without funding gaps during political stalemate.</w:t>
      </w:r>
    </w:p>
    <w:p w14:paraId="0637133D" w14:textId="77777777" w:rsidR="00D708EC" w:rsidRDefault="00000000">
      <w:pPr>
        <w:pStyle w:val="Heading3"/>
        <w:rPr>
          <w:rFonts w:hint="eastAsia"/>
        </w:rPr>
      </w:pPr>
      <w:r>
        <w:t>SECTION 5: CLAIM SUBMISSION AND BUNDLING</w:t>
      </w:r>
    </w:p>
    <w:p w14:paraId="09E9B7BF" w14:textId="77777777" w:rsidR="00D708EC" w:rsidRDefault="00000000">
      <w:pPr>
        <w:rPr>
          <w:rFonts w:hint="eastAsia"/>
        </w:rPr>
      </w:pPr>
      <w:r>
        <w:t>5.1 Claim Submission Requirements</w:t>
      </w:r>
    </w:p>
    <w:p w14:paraId="663AD0C8" w14:textId="77777777" w:rsidR="00D708EC" w:rsidRDefault="00000000">
      <w:pPr>
        <w:rPr>
          <w:rFonts w:hint="eastAsia"/>
        </w:rPr>
      </w:pPr>
      <w:r>
        <w:t>The Claimant Party submits a service claim through the Shared Digital Registry. Every claim requires primary evidence, supporting documentation, and certification by the Claimant Party's Joint Monitoring Cell liaison.</w:t>
      </w:r>
    </w:p>
    <w:p w14:paraId="796883E9" w14:textId="77777777" w:rsidR="00D708EC" w:rsidRDefault="00000000">
      <w:pPr>
        <w:rPr>
          <w:rFonts w:hint="eastAsia"/>
        </w:rPr>
      </w:pPr>
      <w:r>
        <w:t>Primary evidence: Telemetry, radar data, operational logs, or equivalent objective recordings. Time limit: 24 hours from service delivery.</w:t>
      </w:r>
    </w:p>
    <w:p w14:paraId="39997A21" w14:textId="77777777" w:rsidR="00D708EC" w:rsidRDefault="00000000">
      <w:pPr>
        <w:rPr>
          <w:rFonts w:hint="eastAsia"/>
        </w:rPr>
      </w:pPr>
      <w:r>
        <w:lastRenderedPageBreak/>
        <w:t>Supporting documentation: Time-stamped operational logs with chain-of-custody records. Time limit: 24 hours from service delivery.</w:t>
      </w:r>
    </w:p>
    <w:p w14:paraId="4FEF20D3" w14:textId="77777777" w:rsidR="00D708EC" w:rsidRDefault="00000000">
      <w:pPr>
        <w:rPr>
          <w:rFonts w:hint="eastAsia"/>
        </w:rPr>
      </w:pPr>
      <w:r>
        <w:t>Joint Monitoring Cell liaison certification: Signed attestation by the accredited national representative. Time limit: 24 hours from service delivery.</w:t>
      </w:r>
    </w:p>
    <w:p w14:paraId="23CB1A84" w14:textId="77777777" w:rsidR="00D708EC" w:rsidRDefault="00000000">
      <w:pPr>
        <w:rPr>
          <w:rFonts w:hint="eastAsia"/>
        </w:rPr>
      </w:pPr>
      <w:r>
        <w:t>The Joint Monitoring Cell timestamps every claim upon receipt. The timestamp determines the claim's position in the review queue and its eligibility for the rapid-response bonus. Claims arriving without all three components return to the Claimant Party automatically. The Claimant Party corrects and resubmits the claim within the original 24-hour window.</w:t>
      </w:r>
    </w:p>
    <w:p w14:paraId="41C507F4" w14:textId="77777777" w:rsidR="00D708EC" w:rsidRDefault="00000000">
      <w:pPr>
        <w:rPr>
          <w:rFonts w:hint="eastAsia"/>
        </w:rPr>
      </w:pPr>
      <w:r>
        <w:t>5.2 Bundled Claims</w:t>
      </w:r>
    </w:p>
    <w:p w14:paraId="3ECEF8DA" w14:textId="77777777" w:rsidR="00D708EC" w:rsidRDefault="00000000">
      <w:pPr>
        <w:rPr>
          <w:rFonts w:hint="eastAsia"/>
        </w:rPr>
      </w:pPr>
      <w:r>
        <w:t>The Claimant Party submits bundled claims for repetitive services in a single submission. A bundle covers multiple instances of the same service type across a defined period. The bundle includes all required evidence for each instance. The Joint Monitoring Cell verifies the bundle as a single claim for purposes of pacing limits and credit calculation. The credit value for a bundle equals the sum of the individual instance credits. Bundling reduces administrative burden for routine services and allows the Joint Monitoring Cell to focus on higher-value or contested claims.</w:t>
      </w:r>
    </w:p>
    <w:p w14:paraId="252D9B8A" w14:textId="77777777" w:rsidR="00D708EC" w:rsidRDefault="00000000">
      <w:pPr>
        <w:pStyle w:val="Heading3"/>
        <w:rPr>
          <w:rFonts w:hint="eastAsia"/>
        </w:rPr>
      </w:pPr>
      <w:r>
        <w:t>SECTION 6: INITIAL VERIFICATION AND THE VERIFICATION FUND</w:t>
      </w:r>
    </w:p>
    <w:p w14:paraId="61B4B687" w14:textId="77777777" w:rsidR="00D708EC" w:rsidRDefault="00000000">
      <w:pPr>
        <w:rPr>
          <w:rFonts w:hint="eastAsia"/>
        </w:rPr>
      </w:pPr>
      <w:r>
        <w:t>6.1 Confirmation Levels</w:t>
      </w:r>
    </w:p>
    <w:p w14:paraId="6CCB3820" w14:textId="77777777" w:rsidR="00D708EC" w:rsidRDefault="00000000">
      <w:pPr>
        <w:rPr>
          <w:rFonts w:hint="eastAsia"/>
        </w:rPr>
      </w:pPr>
      <w:r>
        <w:t>The Technical Working Group assesses every submitted claim against the objective data in the Shared Digital Registry. The Group compares the Claimant Party's evidence against the golden record: the unalterable, cryptographically sealed data stream that both Parties contribute to continuously.</w:t>
      </w:r>
    </w:p>
    <w:p w14:paraId="4B3510B8" w14:textId="77777777" w:rsidR="00D708EC" w:rsidRDefault="00000000">
      <w:pPr>
        <w:rPr>
          <w:rFonts w:hint="eastAsia"/>
        </w:rPr>
      </w:pPr>
      <w:r>
        <w:t>The Technical Working Group assigns a confirmation level to every claim:</w:t>
      </w:r>
    </w:p>
    <w:p w14:paraId="4DCF4EAA" w14:textId="77777777" w:rsidR="00D708EC" w:rsidRDefault="00000000">
      <w:pPr>
        <w:rPr>
          <w:rFonts w:hint="eastAsia"/>
        </w:rPr>
      </w:pPr>
      <w:r>
        <w:t>Full confirmation: 100 percent data alignment between claim and golden record. Effect: Verifier challenge cost multiplies by 1.5 times.</w:t>
      </w:r>
    </w:p>
    <w:p w14:paraId="2509B836" w14:textId="77777777" w:rsidR="00D708EC" w:rsidRDefault="00000000">
      <w:pPr>
        <w:rPr>
          <w:rFonts w:hint="eastAsia"/>
        </w:rPr>
      </w:pPr>
      <w:r>
        <w:t>Partial confirmation: 50 to 99 percent data alignment. Effect: Verifier challenge cost remains at standard rate.</w:t>
      </w:r>
    </w:p>
    <w:p w14:paraId="00ECAB0A" w14:textId="77777777" w:rsidR="00D708EC" w:rsidRDefault="00000000">
      <w:pPr>
        <w:rPr>
          <w:rFonts w:hint="eastAsia"/>
        </w:rPr>
      </w:pPr>
      <w:r>
        <w:t>No confirmation: Below 50 percent data alignment. Effect: Verifier challenge cost reduces to 0.5 times.</w:t>
      </w:r>
    </w:p>
    <w:p w14:paraId="126A53AF" w14:textId="77777777" w:rsidR="00D708EC" w:rsidRDefault="00000000">
      <w:pPr>
        <w:rPr>
          <w:rFonts w:hint="eastAsia"/>
        </w:rPr>
      </w:pPr>
      <w:r>
        <w:t>6.2 Credit Accumulation</w:t>
      </w:r>
    </w:p>
    <w:p w14:paraId="14192B22" w14:textId="77777777" w:rsidR="00D708EC" w:rsidRDefault="00000000">
      <w:pPr>
        <w:rPr>
          <w:rFonts w:hint="eastAsia"/>
        </w:rPr>
      </w:pPr>
      <w:r>
        <w:t>Upon confirmation by the Technical Working Group, the claim enters the Verification Fund. Credits accumulate according to the following schedule:</w:t>
      </w:r>
    </w:p>
    <w:p w14:paraId="24986C11" w14:textId="77777777" w:rsidR="00D708EC" w:rsidRDefault="00000000">
      <w:pPr>
        <w:rPr>
          <w:rFonts w:hint="eastAsia"/>
        </w:rPr>
      </w:pPr>
      <w:r>
        <w:t>Service Type: Primary monitoring (per day)</w:t>
      </w:r>
    </w:p>
    <w:p w14:paraId="0676868F" w14:textId="77777777" w:rsidR="00D708EC" w:rsidRDefault="00000000">
      <w:pPr>
        <w:rPr>
          <w:rFonts w:hint="eastAsia"/>
        </w:rPr>
      </w:pPr>
      <w:r>
        <w:t>Base Credit Value: 5 credits</w:t>
      </w:r>
    </w:p>
    <w:p w14:paraId="0C14C487" w14:textId="77777777" w:rsidR="00D708EC" w:rsidRDefault="00000000">
      <w:pPr>
        <w:rPr>
          <w:rFonts w:hint="eastAsia"/>
        </w:rPr>
      </w:pPr>
      <w:r>
        <w:t>Rapid-Confirmation Bonus (within 12 hours): +1 credit</w:t>
      </w:r>
    </w:p>
    <w:p w14:paraId="13C41D17" w14:textId="77777777" w:rsidR="00D708EC" w:rsidRDefault="00000000">
      <w:pPr>
        <w:rPr>
          <w:rFonts w:hint="eastAsia"/>
        </w:rPr>
      </w:pPr>
      <w:r>
        <w:t>Service Type: Secondary observation (per incident)</w:t>
      </w:r>
    </w:p>
    <w:p w14:paraId="659CB35D" w14:textId="77777777" w:rsidR="00D708EC" w:rsidRDefault="00000000">
      <w:pPr>
        <w:rPr>
          <w:rFonts w:hint="eastAsia"/>
        </w:rPr>
      </w:pPr>
      <w:r>
        <w:lastRenderedPageBreak/>
        <w:t>Base Credit Value: 8 credits</w:t>
      </w:r>
    </w:p>
    <w:p w14:paraId="4799DB3A" w14:textId="77777777" w:rsidR="00D708EC" w:rsidRDefault="00000000">
      <w:pPr>
        <w:rPr>
          <w:rFonts w:hint="eastAsia"/>
        </w:rPr>
      </w:pPr>
      <w:r>
        <w:t>Rapid-Confirmation Bonus (within 12 hours): +1 credit</w:t>
      </w:r>
    </w:p>
    <w:p w14:paraId="747C1988" w14:textId="77777777" w:rsidR="00D708EC" w:rsidRDefault="00000000">
      <w:pPr>
        <w:rPr>
          <w:rFonts w:hint="eastAsia"/>
        </w:rPr>
      </w:pPr>
      <w:r>
        <w:t>Service Type: Environmental or hazard response (per incident)</w:t>
      </w:r>
    </w:p>
    <w:p w14:paraId="57EC71F6" w14:textId="77777777" w:rsidR="00D708EC" w:rsidRDefault="00000000">
      <w:pPr>
        <w:rPr>
          <w:rFonts w:hint="eastAsia"/>
        </w:rPr>
      </w:pPr>
      <w:r>
        <w:t>Base Credit Value: 6 credits</w:t>
      </w:r>
    </w:p>
    <w:p w14:paraId="24DCD870" w14:textId="77777777" w:rsidR="00D708EC" w:rsidRDefault="00000000">
      <w:pPr>
        <w:rPr>
          <w:rFonts w:hint="eastAsia"/>
        </w:rPr>
      </w:pPr>
      <w:r>
        <w:t>Rapid-Confirmation Bonus (within 12 hours): +1 credit</w:t>
      </w:r>
    </w:p>
    <w:p w14:paraId="47681402" w14:textId="77777777" w:rsidR="00D708EC" w:rsidRDefault="00000000">
      <w:pPr>
        <w:rPr>
          <w:rFonts w:hint="eastAsia"/>
        </w:rPr>
      </w:pPr>
      <w:r>
        <w:t>Service Type: Infrastructure clearance (per linear kilometer)</w:t>
      </w:r>
    </w:p>
    <w:p w14:paraId="7ED469F6" w14:textId="77777777" w:rsidR="00D708EC" w:rsidRDefault="00000000">
      <w:pPr>
        <w:rPr>
          <w:rFonts w:hint="eastAsia"/>
        </w:rPr>
      </w:pPr>
      <w:r>
        <w:t>Base Credit Value: 10 credits</w:t>
      </w:r>
    </w:p>
    <w:p w14:paraId="35F20F62" w14:textId="77777777" w:rsidR="00D708EC" w:rsidRDefault="00000000">
      <w:pPr>
        <w:rPr>
          <w:rFonts w:hint="eastAsia"/>
        </w:rPr>
      </w:pPr>
      <w:r>
        <w:t>Rapid-Confirmation Bonus (within 12 hours): +2 credits</w:t>
      </w:r>
    </w:p>
    <w:p w14:paraId="2244F6C0" w14:textId="77777777" w:rsidR="00D708EC" w:rsidRDefault="00000000">
      <w:pPr>
        <w:rPr>
          <w:rFonts w:hint="eastAsia"/>
        </w:rPr>
      </w:pPr>
      <w:r>
        <w:t>The framework architecture awards the rapid-confirmation bonus automatically when the Technical Working Group confirms the claim within 12 hours of submission. The bonus rewards prompt, well-documented claims and accelerates the verification pipeline.</w:t>
      </w:r>
    </w:p>
    <w:p w14:paraId="4ABAD68D" w14:textId="77777777" w:rsidR="00D708EC" w:rsidRDefault="00000000">
      <w:pPr>
        <w:rPr>
          <w:rFonts w:hint="eastAsia"/>
        </w:rPr>
      </w:pPr>
      <w:r>
        <w:t>The 50-credit threshold determines the Testing Phase outcome. Accumulation of 50 or more verified credits triggers automatic progression to the Cooling-Off Period with positive momentum designation. The framework architecture fixes this threshold. No Party renegotiates it.</w:t>
      </w:r>
    </w:p>
    <w:p w14:paraId="7CC5BEE7" w14:textId="77777777" w:rsidR="00D708EC" w:rsidRDefault="00000000">
      <w:pPr>
        <w:pStyle w:val="Heading3"/>
        <w:rPr>
          <w:rFonts w:hint="eastAsia"/>
        </w:rPr>
      </w:pPr>
      <w:r>
        <w:t>SECTION 7: ADVERSARIAL REVIEW AND CHALLENGE PHASE</w:t>
      </w:r>
    </w:p>
    <w:p w14:paraId="4939A266" w14:textId="77777777" w:rsidR="00D708EC" w:rsidRDefault="00000000">
      <w:pPr>
        <w:rPr>
          <w:rFonts w:hint="eastAsia"/>
        </w:rPr>
      </w:pPr>
      <w:r>
        <w:t>7.1 Challenge Types and Costs</w:t>
      </w:r>
    </w:p>
    <w:p w14:paraId="4317EDE8" w14:textId="77777777" w:rsidR="00D708EC" w:rsidRDefault="00000000">
      <w:pPr>
        <w:rPr>
          <w:rFonts w:hint="eastAsia"/>
        </w:rPr>
      </w:pPr>
      <w:r>
        <w:t>The Verifier Party possesses a 48-hour challenge window following Joint Monitoring Cell confirmation of any claim. The Verifier Party exercises this window by submitting a formal objection notice through the Shared Digital Registry. Every objection specifies the exact evidence in dispute and pays the applicable challenge cost from the Verifier Party's Verification Fund.</w:t>
      </w:r>
    </w:p>
    <w:p w14:paraId="080EC8BB" w14:textId="77777777" w:rsidR="00D708EC" w:rsidRDefault="00000000">
      <w:pPr>
        <w:rPr>
          <w:rFonts w:hint="eastAsia"/>
        </w:rPr>
      </w:pPr>
      <w:r>
        <w:t>Acceptance: The Verifier Party accepts the confirmation without objection. Cost: 0 credits. Penalty if wrong: None; claim stands; reimbursement proceeds.</w:t>
      </w:r>
    </w:p>
    <w:p w14:paraId="3A37738B" w14:textId="77777777" w:rsidR="00D708EC" w:rsidRDefault="00000000">
      <w:pPr>
        <w:rPr>
          <w:rFonts w:hint="eastAsia"/>
        </w:rPr>
      </w:pPr>
      <w:r>
        <w:t>Technical review request: The Verifier Party requests panel review of specific evidence elements. Cost: 5 credits (subject to Joint Monitoring Cell multiplier). Penalty if wrong: 10-credit penalty to Verifier Fund if review confirms claim.</w:t>
      </w:r>
    </w:p>
    <w:p w14:paraId="7C586B84" w14:textId="77777777" w:rsidR="00D708EC" w:rsidRDefault="00000000">
      <w:pPr>
        <w:rPr>
          <w:rFonts w:hint="eastAsia"/>
        </w:rPr>
      </w:pPr>
      <w:r>
        <w:t>Full objection: The Verifier Party asserts the claim is false and provides counter-evidence. Cost: 20 credits (subject to Joint Monitoring Cell multiplier). Penalty if wrong: Twice the reimbursement value if objection fails.</w:t>
      </w:r>
    </w:p>
    <w:p w14:paraId="6721A6DB" w14:textId="77777777" w:rsidR="00D708EC" w:rsidRDefault="00000000">
      <w:pPr>
        <w:rPr>
          <w:rFonts w:hint="eastAsia"/>
        </w:rPr>
      </w:pPr>
      <w:r>
        <w:t>The Technical Review Panel convenes within 24 hours of challenge receipt. Both Parties present evidence to the Panel. The Panel bases its decision solely on the unalterable data in the Shared Digital Registry. The Panel issues a binding determination. The Shared Digital Registry logs the determination with a verification score.</w:t>
      </w:r>
    </w:p>
    <w:p w14:paraId="110AFBCC" w14:textId="77777777" w:rsidR="00D708EC" w:rsidRDefault="00000000">
      <w:pPr>
        <w:rPr>
          <w:rFonts w:hint="eastAsia"/>
        </w:rPr>
      </w:pPr>
      <w:r>
        <w:t>7.2 Frivolous Review Escalation Ladder</w:t>
      </w:r>
    </w:p>
    <w:p w14:paraId="6D6A8B96" w14:textId="77777777" w:rsidR="00D708EC" w:rsidRDefault="00000000">
      <w:pPr>
        <w:rPr>
          <w:rFonts w:hint="eastAsia"/>
        </w:rPr>
      </w:pPr>
      <w:r>
        <w:lastRenderedPageBreak/>
        <w:t>The framework architecture treats repeated failed challenges as a systemic risk. A three-strike escalation system applies to failed challenges by either Party. The escalation ladder resets at the start of each new phase.</w:t>
      </w:r>
    </w:p>
    <w:p w14:paraId="2B79E876" w14:textId="77777777" w:rsidR="00D708EC" w:rsidRDefault="00000000">
      <w:pPr>
        <w:rPr>
          <w:rFonts w:hint="eastAsia"/>
        </w:rPr>
      </w:pPr>
      <w:r>
        <w:t>First failure: Standard penalty (loss of challenge cost). No procedural consequence.</w:t>
      </w:r>
    </w:p>
    <w:p w14:paraId="7ED7D127" w14:textId="77777777" w:rsidR="00D708EC" w:rsidRDefault="00000000">
      <w:pPr>
        <w:rPr>
          <w:rFonts w:hint="eastAsia"/>
        </w:rPr>
      </w:pPr>
      <w:r>
        <w:t>Second failure: Double penalty (twice the challenge cost). Procedural consequence: 24-hour challenge moratorium.</w:t>
      </w:r>
    </w:p>
    <w:p w14:paraId="387FC0A7" w14:textId="77777777" w:rsidR="00D708EC" w:rsidRDefault="00000000">
      <w:pPr>
        <w:rPr>
          <w:rFonts w:hint="eastAsia"/>
        </w:rPr>
      </w:pPr>
      <w:r>
        <w:t>Third failure: Quadruple penalty (four times the challenge cost). Procedural consequence: 72-hour challenge moratorium plus mandatory Permanent Coordination Council review.</w:t>
      </w:r>
    </w:p>
    <w:p w14:paraId="180E8755" w14:textId="77777777" w:rsidR="00D708EC" w:rsidRDefault="00000000">
      <w:pPr>
        <w:rPr>
          <w:rFonts w:hint="eastAsia"/>
        </w:rPr>
      </w:pPr>
      <w:r>
        <w:t>Fourth and subsequent: Quadruple penalty continues. Procedural consequence: Automatic bad-faith designation; all claims by the opposing Party receive automatic verification for 7 days.</w:t>
      </w:r>
    </w:p>
    <w:p w14:paraId="006A985B" w14:textId="77777777" w:rsidR="00D708EC" w:rsidRDefault="00000000">
      <w:pPr>
        <w:rPr>
          <w:rFonts w:hint="eastAsia"/>
        </w:rPr>
      </w:pPr>
      <w:r>
        <w:t>The bad-faith designation is the highest procedural sanction under this Method. It activates automatically upon the fourth failed challenge within a single phase. During the 7-day automatic verification period, claims by the protected Party skip the challenge phase entirely and enter the Verification Fund immediately upon Joint Monitoring Cell confirmation. The Shared Digital Registry publishes the bad-faith designation and its trigger history to both Parties.</w:t>
      </w:r>
    </w:p>
    <w:p w14:paraId="146391AF" w14:textId="77777777" w:rsidR="00D708EC" w:rsidRDefault="00000000">
      <w:pPr>
        <w:rPr>
          <w:rFonts w:hint="eastAsia"/>
        </w:rPr>
      </w:pPr>
      <w:r>
        <w:t>7.3 Anonymous Review Protocol</w:t>
      </w:r>
    </w:p>
    <w:p w14:paraId="4AD8AA03" w14:textId="77777777" w:rsidR="00D708EC" w:rsidRDefault="00000000">
      <w:pPr>
        <w:rPr>
          <w:rFonts w:hint="eastAsia"/>
        </w:rPr>
      </w:pPr>
      <w:r>
        <w:t>All challenges submit anonymously to the Joint Monitoring Cell. The framework architecture treats the review process as data-driven, not accusatory. Anonymity depersonalizes verification and prevents challenges from becoming diplomatic incidents.</w:t>
      </w:r>
    </w:p>
    <w:p w14:paraId="74FF0659" w14:textId="77777777" w:rsidR="00D708EC" w:rsidRDefault="00000000">
      <w:pPr>
        <w:rPr>
          <w:rFonts w:hint="eastAsia"/>
        </w:rPr>
      </w:pPr>
      <w:r>
        <w:t>Challenge submission: The challenged Party receives notice: "Your claim has been challenged. Submit supporting evidence by [date]." The challenging Party's identity remains concealed.</w:t>
      </w:r>
    </w:p>
    <w:p w14:paraId="76A370FA" w14:textId="77777777" w:rsidR="00D708EC" w:rsidRDefault="00000000">
      <w:pPr>
        <w:rPr>
          <w:rFonts w:hint="eastAsia"/>
        </w:rPr>
      </w:pPr>
      <w:r>
        <w:t>Adjudication: Both Parties submit evidence to the Panel but do not see each other's evidence during the review process.</w:t>
      </w:r>
    </w:p>
    <w:p w14:paraId="77320F58" w14:textId="77777777" w:rsidR="00D708EC" w:rsidRDefault="00000000">
      <w:pPr>
        <w:rPr>
          <w:rFonts w:hint="eastAsia"/>
        </w:rPr>
      </w:pPr>
      <w:r>
        <w:t>Upheld claim: The challenger remains anonymous. No Party learns the challenging Party's identity.</w:t>
      </w:r>
    </w:p>
    <w:p w14:paraId="56838BCB" w14:textId="77777777" w:rsidR="00D708EC" w:rsidRDefault="00000000">
      <w:pPr>
        <w:rPr>
          <w:rFonts w:hint="eastAsia"/>
        </w:rPr>
      </w:pPr>
      <w:r>
        <w:t>Overturned claim: The Panel reveals the challenger only to the challenged Party, not publicly. The revelation occurs through secure diplomatic channels, not the Shared Digital Registry.</w:t>
      </w:r>
    </w:p>
    <w:p w14:paraId="0F96C916" w14:textId="77777777" w:rsidR="00D708EC" w:rsidRDefault="00000000">
      <w:pPr>
        <w:rPr>
          <w:rFonts w:hint="eastAsia"/>
        </w:rPr>
      </w:pPr>
      <w:r>
        <w:t>The Anonymous Review Protocol protects the integrity of the verification process. A Party that identifies the challenger through evidence patterns bears no penalty for that identification. The framework architecture treats anonymity as a procedural guarantee, not a permanent concealment mechanism.</w:t>
      </w:r>
    </w:p>
    <w:p w14:paraId="26ACF868" w14:textId="77777777" w:rsidR="00D708EC" w:rsidRDefault="00000000">
      <w:pPr>
        <w:pStyle w:val="Heading3"/>
        <w:rPr>
          <w:rFonts w:hint="eastAsia"/>
        </w:rPr>
      </w:pPr>
      <w:r>
        <w:t>SECTION 8: ADJUDICATION AND PARTIAL CREDIT</w:t>
      </w:r>
    </w:p>
    <w:p w14:paraId="54C27616" w14:textId="77777777" w:rsidR="00D708EC" w:rsidRDefault="00000000">
      <w:pPr>
        <w:rPr>
          <w:rFonts w:hint="eastAsia"/>
        </w:rPr>
      </w:pPr>
      <w:r>
        <w:t>8.1 Partial Credit Award System</w:t>
      </w:r>
    </w:p>
    <w:p w14:paraId="43390EB2" w14:textId="77777777" w:rsidR="00D708EC" w:rsidRDefault="00000000">
      <w:pPr>
        <w:rPr>
          <w:rFonts w:hint="eastAsia"/>
        </w:rPr>
      </w:pPr>
      <w:r>
        <w:lastRenderedPageBreak/>
        <w:t>The Technical Review Panel awards partial credit when a claim contains both accurate and inaccurate elements. The all-or-nothing approach creates inflation incentives. Partial credit rewards precision and penalizes exaggeration proportionally.</w:t>
      </w:r>
    </w:p>
    <w:p w14:paraId="7EF5A14C" w14:textId="77777777" w:rsidR="00D708EC" w:rsidRDefault="00000000">
      <w:pPr>
        <w:rPr>
          <w:rFonts w:hint="eastAsia"/>
        </w:rPr>
      </w:pPr>
      <w:r>
        <w:t>90 to 100 percent accuracy: Full credit plus rapid-confirmation bonus. 100 percent reimbursement.</w:t>
      </w:r>
    </w:p>
    <w:p w14:paraId="3039CA42" w14:textId="77777777" w:rsidR="00D708EC" w:rsidRDefault="00000000">
      <w:pPr>
        <w:rPr>
          <w:rFonts w:hint="eastAsia"/>
        </w:rPr>
      </w:pPr>
      <w:r>
        <w:t>70 to 89 percent accuracy: 75 percent of base credit. 75 percent reimbursement.</w:t>
      </w:r>
    </w:p>
    <w:p w14:paraId="34112450" w14:textId="77777777" w:rsidR="00D708EC" w:rsidRDefault="00000000">
      <w:pPr>
        <w:rPr>
          <w:rFonts w:hint="eastAsia"/>
        </w:rPr>
      </w:pPr>
      <w:r>
        <w:t>50 to 69 percent accuracy: 50 percent of base credit. 50 percent reimbursement.</w:t>
      </w:r>
    </w:p>
    <w:p w14:paraId="10AADED7" w14:textId="77777777" w:rsidR="00D708EC" w:rsidRDefault="00000000">
      <w:pPr>
        <w:rPr>
          <w:rFonts w:hint="eastAsia"/>
        </w:rPr>
      </w:pPr>
      <w:r>
        <w:t>Below 50 percent accuracy: 0 credit; claim rejection. No reimbursement; penalty applies per the Frivolous Review Escalation Ladder.</w:t>
      </w:r>
    </w:p>
    <w:p w14:paraId="0633A66A" w14:textId="77777777" w:rsidR="00D708EC" w:rsidRDefault="00000000">
      <w:pPr>
        <w:rPr>
          <w:rFonts w:hint="eastAsia"/>
        </w:rPr>
      </w:pPr>
      <w:r>
        <w:t>The Panel determines accuracy percentage by comparing the claim's scope, location, timing, and outcome against the golden record. The Panel publishes its percentage calculation methodology with every determination.</w:t>
      </w:r>
    </w:p>
    <w:p w14:paraId="0683EEDA" w14:textId="77777777" w:rsidR="00D708EC" w:rsidRDefault="00000000">
      <w:pPr>
        <w:rPr>
          <w:rFonts w:hint="eastAsia"/>
        </w:rPr>
      </w:pPr>
      <w:r>
        <w:t>8.2 Escrow Reserve for High-Value Claims</w:t>
      </w:r>
    </w:p>
    <w:p w14:paraId="0E6ED978" w14:textId="77777777" w:rsidR="00D708EC" w:rsidRDefault="00000000">
      <w:pPr>
        <w:rPr>
          <w:rFonts w:hint="eastAsia"/>
        </w:rPr>
      </w:pPr>
      <w:r>
        <w:t>High-value claims carry disproportionate score risk. A single rejected major claim eliminates a Party's accumulated progress. The Escrow Reserve reduces this risk by holding a portion of the claim's credit value in suspense until adjudication completes.</w:t>
      </w:r>
    </w:p>
    <w:p w14:paraId="4D9993E1" w14:textId="77777777" w:rsidR="00D708EC" w:rsidRDefault="00000000">
      <w:pPr>
        <w:rPr>
          <w:rFonts w:hint="eastAsia"/>
        </w:rPr>
      </w:pPr>
      <w:r>
        <w:t>0 to 20 credits: No reserve. Full credit value enters the Verification Fund immediately upon confirmation.</w:t>
      </w:r>
    </w:p>
    <w:p w14:paraId="17CAFCED" w14:textId="77777777" w:rsidR="00D708EC" w:rsidRDefault="00000000">
      <w:pPr>
        <w:rPr>
          <w:rFonts w:hint="eastAsia"/>
        </w:rPr>
      </w:pPr>
      <w:r>
        <w:t>21 to 50 credits: 50 percent held in reserve. 50 percent enters the Fund upon confirmation; remaining 50 percent releases upon final adjudication.</w:t>
      </w:r>
    </w:p>
    <w:p w14:paraId="6155CFEF" w14:textId="77777777" w:rsidR="00D708EC" w:rsidRDefault="00000000">
      <w:pPr>
        <w:rPr>
          <w:rFonts w:hint="eastAsia"/>
        </w:rPr>
      </w:pPr>
      <w:r>
        <w:t>51 credits and above: 75 percent held in reserve. 25 percent enters the Fund upon confirmation; remaining 75 percent releases upon final adjudication.</w:t>
      </w:r>
    </w:p>
    <w:p w14:paraId="3416FABD" w14:textId="77777777" w:rsidR="00D708EC" w:rsidRDefault="00000000">
      <w:pPr>
        <w:rPr>
          <w:rFonts w:hint="eastAsia"/>
        </w:rPr>
      </w:pPr>
      <w:r>
        <w:t>The framework architecture releases reserved credits automatically upon claim verification. The framework architecture forfeits reserved credits automatically upon claim rejection. The Escrow Reserve protects the Claimant Party from catastrophic score loss while maintaining the Verifier Party's incentive to challenge inflated claims.</w:t>
      </w:r>
    </w:p>
    <w:p w14:paraId="709DE240" w14:textId="77777777" w:rsidR="00D708EC" w:rsidRDefault="00000000">
      <w:pPr>
        <w:pStyle w:val="Heading3"/>
        <w:rPr>
          <w:rFonts w:hint="eastAsia"/>
        </w:rPr>
      </w:pPr>
      <w:r>
        <w:t>SECTION 9: THIRD-PARTY EXPERT OVERSIGHT</w:t>
      </w:r>
    </w:p>
    <w:p w14:paraId="73FD96ED" w14:textId="77777777" w:rsidR="00D708EC" w:rsidRDefault="00000000">
      <w:pPr>
        <w:rPr>
          <w:rFonts w:hint="eastAsia"/>
        </w:rPr>
      </w:pPr>
      <w:r>
        <w:t>9.1 Expert Pool</w:t>
      </w:r>
    </w:p>
    <w:p w14:paraId="6293EEAB" w14:textId="77777777" w:rsidR="00D708EC" w:rsidRDefault="00000000">
      <w:pPr>
        <w:rPr>
          <w:rFonts w:hint="eastAsia"/>
        </w:rPr>
      </w:pPr>
      <w:r>
        <w:t>The framework architecture maintains a standing pool of five neutral technical experts. The Swiss facilitator accredits all five experts before the Testing Phase begins. Each expert holds technical qualifications in telemetry, data forensics, or a related field. No expert holds nationality from either Party.</w:t>
      </w:r>
    </w:p>
    <w:p w14:paraId="6037F79A" w14:textId="77777777" w:rsidR="00D708EC" w:rsidRDefault="00000000">
      <w:pPr>
        <w:rPr>
          <w:rFonts w:hint="eastAsia"/>
        </w:rPr>
      </w:pPr>
      <w:r>
        <w:t>Pool coordinator and tie-breaker: Switzerland</w:t>
      </w:r>
    </w:p>
    <w:p w14:paraId="5E22B4D9" w14:textId="77777777" w:rsidR="00D708EC" w:rsidRDefault="00000000">
      <w:pPr>
        <w:rPr>
          <w:rFonts w:hint="eastAsia"/>
        </w:rPr>
      </w:pPr>
      <w:r>
        <w:t>Telemetry and sensor expert: Japan</w:t>
      </w:r>
    </w:p>
    <w:p w14:paraId="7480C3DE" w14:textId="77777777" w:rsidR="00D708EC" w:rsidRDefault="00000000">
      <w:pPr>
        <w:rPr>
          <w:rFonts w:hint="eastAsia"/>
        </w:rPr>
      </w:pPr>
      <w:r>
        <w:t>Regional operations expert: United Arab Emirates</w:t>
      </w:r>
    </w:p>
    <w:p w14:paraId="0AE71017" w14:textId="77777777" w:rsidR="00D708EC" w:rsidRDefault="00000000">
      <w:pPr>
        <w:rPr>
          <w:rFonts w:hint="eastAsia"/>
        </w:rPr>
      </w:pPr>
      <w:r>
        <w:lastRenderedPageBreak/>
        <w:t>Maritime traffic systems expert: Singapore</w:t>
      </w:r>
    </w:p>
    <w:p w14:paraId="5D610052" w14:textId="77777777" w:rsidR="00D708EC" w:rsidRDefault="00000000">
      <w:pPr>
        <w:rPr>
          <w:rFonts w:hint="eastAsia"/>
        </w:rPr>
      </w:pPr>
      <w:r>
        <w:t>Rotating expert: A state not party to this framework, selected by mutual agreement</w:t>
      </w:r>
    </w:p>
    <w:p w14:paraId="6D562BF1" w14:textId="77777777" w:rsidR="00D708EC" w:rsidRDefault="00000000">
      <w:pPr>
        <w:rPr>
          <w:rFonts w:hint="eastAsia"/>
        </w:rPr>
      </w:pPr>
      <w:r>
        <w:t>9.2 Second Opinion Mechanism</w:t>
      </w:r>
    </w:p>
    <w:p w14:paraId="1DE0BACF" w14:textId="77777777" w:rsidR="00D708EC" w:rsidRDefault="00000000">
      <w:pPr>
        <w:rPr>
          <w:rFonts w:hint="eastAsia"/>
        </w:rPr>
      </w:pPr>
      <w:r>
        <w:t>Either Party challenges a Panel determination by requesting a Second Opinion. The Swiss facilitator randomly selects one expert from the pool. The selected expert reviews all evidence independently and issues a Second Opinion within 72 hours.</w:t>
      </w:r>
    </w:p>
    <w:p w14:paraId="516B4D39" w14:textId="77777777" w:rsidR="00D708EC" w:rsidRDefault="00000000">
      <w:pPr>
        <w:rPr>
          <w:rFonts w:hint="eastAsia"/>
        </w:rPr>
      </w:pPr>
      <w:r>
        <w:t>Second Opinion confirms the Panel determination: The challenging Party loses 10 credits from its Verification Fund as a procedural penalty.</w:t>
      </w:r>
    </w:p>
    <w:p w14:paraId="1C7E5C20" w14:textId="77777777" w:rsidR="00D708EC" w:rsidRDefault="00000000">
      <w:pPr>
        <w:rPr>
          <w:rFonts w:hint="eastAsia"/>
        </w:rPr>
      </w:pPr>
      <w:r>
        <w:t>Second Opinion overturns the Panel determination: The Panel's decision vacates automatically; the claim re-adjudicates with the Second Opinion as the authoritative finding; the vacated Panel members rotate out and the Swiss facilitator appoints replacements within 14 days.</w:t>
      </w:r>
    </w:p>
    <w:p w14:paraId="36A0F7FD" w14:textId="77777777" w:rsidR="00D708EC" w:rsidRDefault="00000000">
      <w:pPr>
        <w:rPr>
          <w:rFonts w:hint="eastAsia"/>
        </w:rPr>
      </w:pPr>
      <w:r>
        <w:t>The Second Opinion mechanism provides a check on Panel error without paralyzing the verification pipeline. The 10-credit penalty for a failed Second Opinion request prevents frivolous appeals. The automatic Panel rotation ensures accountability without personalizing the outcome.</w:t>
      </w:r>
    </w:p>
    <w:p w14:paraId="58567FDF" w14:textId="77777777" w:rsidR="00D708EC" w:rsidRDefault="00000000">
      <w:pPr>
        <w:pStyle w:val="Heading3"/>
        <w:rPr>
          <w:rFonts w:hint="eastAsia"/>
        </w:rPr>
      </w:pPr>
      <w:r>
        <w:t>SECTION 10: PACING BUFFER</w:t>
      </w:r>
    </w:p>
    <w:p w14:paraId="09747B7C" w14:textId="77777777" w:rsidR="00D708EC" w:rsidRDefault="00000000">
      <w:pPr>
        <w:rPr>
          <w:rFonts w:hint="eastAsia"/>
        </w:rPr>
      </w:pPr>
      <w:r>
        <w:t>The framework architecture enforces pacing limits that prevent either Party from flooding the system with claims or challenges. The limits scale by phase and prioritize quality over volume.</w:t>
      </w:r>
    </w:p>
    <w:p w14:paraId="54B205FC" w14:textId="77777777" w:rsidR="00D708EC" w:rsidRDefault="00000000">
      <w:pPr>
        <w:rPr>
          <w:rFonts w:hint="eastAsia"/>
        </w:rPr>
      </w:pPr>
      <w:r>
        <w:t>Days 1 through 10 (Testing Phase): Maximum 3 claims per day, 2 challenges per day.</w:t>
      </w:r>
    </w:p>
    <w:p w14:paraId="4C9C6864" w14:textId="77777777" w:rsidR="00D708EC" w:rsidRDefault="00000000">
      <w:pPr>
        <w:rPr>
          <w:rFonts w:hint="eastAsia"/>
        </w:rPr>
      </w:pPr>
      <w:r>
        <w:t>Days 11 through 14 (Testing Phase): Maximum 5 claims per day, 3 challenges per day.</w:t>
      </w:r>
    </w:p>
    <w:p w14:paraId="275DA7FC" w14:textId="77777777" w:rsidR="00D708EC" w:rsidRDefault="00000000">
      <w:pPr>
        <w:rPr>
          <w:rFonts w:hint="eastAsia"/>
        </w:rPr>
      </w:pPr>
      <w:r>
        <w:t>Days 15 through 44 (Cooling-Off Period): Maximum 2 claims per day, 2 challenges per day.</w:t>
      </w:r>
    </w:p>
    <w:p w14:paraId="4F02385A" w14:textId="77777777" w:rsidR="00D708EC" w:rsidRDefault="00000000">
      <w:pPr>
        <w:rPr>
          <w:rFonts w:hint="eastAsia"/>
        </w:rPr>
      </w:pPr>
      <w:r>
        <w:t>Final 5 days before Decision Point: Maximum 1 claim per day, 1 challenge per day.</w:t>
      </w:r>
    </w:p>
    <w:p w14:paraId="2338AB51" w14:textId="77777777" w:rsidR="00D708EC" w:rsidRDefault="00000000">
      <w:pPr>
        <w:rPr>
          <w:rFonts w:hint="eastAsia"/>
        </w:rPr>
      </w:pPr>
      <w:r>
        <w:t>The Joint Monitoring Cell enforces pacing limits automatically. Claims or challenges exceeding the daily limit queue for the next available day. The Shared Digital Registry displays the current day's utilization status for both Parties. Neither Party gains priority from queue position.</w:t>
      </w:r>
    </w:p>
    <w:p w14:paraId="5010F500" w14:textId="77777777" w:rsidR="00D708EC" w:rsidRDefault="00000000">
      <w:pPr>
        <w:pStyle w:val="Heading2"/>
        <w:rPr>
          <w:rFonts w:hint="eastAsia"/>
        </w:rPr>
      </w:pPr>
      <w:bookmarkStart w:id="150" w:name="_Toc237663664"/>
      <w:r>
        <w:t>PART III: THE STEP-BACK AND EARN-BACK COMPLIANCE ENGINE</w:t>
      </w:r>
      <w:bookmarkEnd w:id="150"/>
    </w:p>
    <w:p w14:paraId="3593F225" w14:textId="77777777" w:rsidR="00D708EC" w:rsidRDefault="00000000">
      <w:pPr>
        <w:pStyle w:val="Heading3"/>
        <w:rPr>
          <w:rFonts w:hint="eastAsia"/>
        </w:rPr>
      </w:pPr>
      <w:r>
        <w:t>SECTION 11: THREE-TIER BREACH CLASSIFICATION</w:t>
      </w:r>
    </w:p>
    <w:p w14:paraId="07BD3390" w14:textId="77777777" w:rsidR="00D708EC" w:rsidRDefault="00000000">
      <w:pPr>
        <w:rPr>
          <w:rFonts w:hint="eastAsia"/>
        </w:rPr>
      </w:pPr>
      <w:r>
        <w:t>All compliance events sort into one of three tiers based on severity, intent, and material impact. This classification determines every subsequent response.</w:t>
      </w:r>
    </w:p>
    <w:p w14:paraId="006FBEAF" w14:textId="77777777" w:rsidR="00D708EC" w:rsidRDefault="00000000">
      <w:pPr>
        <w:rPr>
          <w:rFonts w:hint="eastAsia"/>
        </w:rPr>
      </w:pPr>
      <w:r>
        <w:t>11.1 Tier 1: Technical Dispute (De Minimis)</w:t>
      </w:r>
    </w:p>
    <w:p w14:paraId="59F2E8DC" w14:textId="77777777" w:rsidR="00D708EC" w:rsidRDefault="00000000">
      <w:pPr>
        <w:rPr>
          <w:rFonts w:hint="eastAsia"/>
        </w:rPr>
      </w:pPr>
      <w:r>
        <w:lastRenderedPageBreak/>
        <w:t>Telemetry signature: Verification readings measure less than 0.5 percent above the agreed ceiling. Two or fewer verification elements found outside agreed status. Reporting delays of 48 hours or less attributable to administrative or technical causes. Minor sensor data transmission interruptions with documented cause. Scheduled sensor maintenance within the 48-hour advance notice window.</w:t>
      </w:r>
    </w:p>
    <w:p w14:paraId="56DC1CFC" w14:textId="77777777" w:rsidR="00D708EC" w:rsidRDefault="00000000">
      <w:pPr>
        <w:rPr>
          <w:rFonts w:hint="eastAsia"/>
        </w:rPr>
      </w:pPr>
      <w:r>
        <w:t>Base response: No benefit reduction. No step-back triggers. The Joint Monitoring Cell provides technical assistance within 72 hours. Engineering resolution window: 14 days. Confidential handling. No public disclosure. Quiet compliance correction through standard technical channels.</w:t>
      </w:r>
    </w:p>
    <w:p w14:paraId="5550C56A" w14:textId="77777777" w:rsidR="00D708EC" w:rsidRDefault="00000000">
      <w:pPr>
        <w:rPr>
          <w:rFonts w:hint="eastAsia"/>
        </w:rPr>
      </w:pPr>
      <w:r>
        <w:t>De minimis thresholds: Tier 1 events do not accumulate toward Tier 2. Each Tier 1 event resolves independently.</w:t>
      </w:r>
    </w:p>
    <w:p w14:paraId="16B2537E" w14:textId="77777777" w:rsidR="00D708EC" w:rsidRDefault="00000000">
      <w:pPr>
        <w:rPr>
          <w:rFonts w:hint="eastAsia"/>
        </w:rPr>
      </w:pPr>
      <w:r>
        <w:t>11.2 Tier 2: Material Disruption</w:t>
      </w:r>
    </w:p>
    <w:p w14:paraId="5239D666" w14:textId="77777777" w:rsidR="00D708EC" w:rsidRDefault="00000000">
      <w:pPr>
        <w:rPr>
          <w:rFonts w:hint="eastAsia"/>
        </w:rPr>
      </w:pPr>
      <w:r>
        <w:t>Telemetry signature: Verification readings exceed 0.5 percent above ceiling. More than 2 verification elements outside agreed status. More than 72 hours of Joint Monitoring Cell obstruction or denied access. Unscheduled sensor downtime exceeding 4 hours without documented cause. Pattern of anomalous readings suggesting systematic data manipulation. Confirmed evidence of sensor tampering, deliberate disablement, or material diversion. Falsified telemetry data submission. Any discovered backdoor in cryptographic systems.</w:t>
      </w:r>
    </w:p>
    <w:p w14:paraId="0FE2E7CA" w14:textId="77777777" w:rsidR="00D708EC" w:rsidRDefault="00000000">
      <w:pPr>
        <w:rPr>
          <w:rFonts w:hint="eastAsia"/>
        </w:rPr>
      </w:pPr>
      <w:r>
        <w:t>Base response (graduated by duration):</w:t>
      </w:r>
    </w:p>
    <w:p w14:paraId="0EE2F6F8" w14:textId="77777777" w:rsidR="00D708EC" w:rsidRDefault="00000000">
      <w:pPr>
        <w:rPr>
          <w:rFonts w:hint="eastAsia"/>
        </w:rPr>
      </w:pPr>
      <w:r>
        <w:t>Days 1 through 7 of disruption: 10 percent reduction in non-humanitarian benefits.</w:t>
      </w:r>
    </w:p>
    <w:p w14:paraId="34293F9E" w14:textId="77777777" w:rsidR="00D708EC" w:rsidRDefault="00000000">
      <w:pPr>
        <w:rPr>
          <w:rFonts w:hint="eastAsia"/>
        </w:rPr>
      </w:pPr>
      <w:r>
        <w:t>Days 7 through 14 of disruption: 15 percent reduction in non-humanitarian benefits.</w:t>
      </w:r>
    </w:p>
    <w:p w14:paraId="2D7A5ABB" w14:textId="77777777" w:rsidR="00D708EC" w:rsidRDefault="00000000">
      <w:pPr>
        <w:rPr>
          <w:rFonts w:hint="eastAsia"/>
        </w:rPr>
      </w:pPr>
      <w:r>
        <w:t>Days 15 through 30 of disruption: 25 percent reduction in non-humanitarian benefits.</w:t>
      </w:r>
    </w:p>
    <w:p w14:paraId="49F7729A" w14:textId="77777777" w:rsidR="00D708EC" w:rsidRDefault="00000000">
      <w:pPr>
        <w:rPr>
          <w:rFonts w:hint="eastAsia"/>
        </w:rPr>
      </w:pPr>
      <w:r>
        <w:t>After 30 days: 25 percent reduction plus mandatory referral to the Guarantor Matrix.</w:t>
      </w:r>
    </w:p>
    <w:p w14:paraId="34F46067" w14:textId="77777777" w:rsidR="00D708EC" w:rsidRDefault="00000000">
      <w:pPr>
        <w:rPr>
          <w:rFonts w:hint="eastAsia"/>
        </w:rPr>
      </w:pPr>
      <w:r>
        <w:t>Protections during Tier 2: Humanitarian tranches remain fully protected at all times. No Tier 2 penalty touches food, medicine, medical equipment, or safety payments. The Political Discretion Fund remains exempt from all Tier 2 reductions. The Joint Monitoring Cell convenes within 24 hours of Tier 2 classification. A 30-day remediation window opens automatically. Executive consultation occurs before any penalty activates.</w:t>
      </w:r>
    </w:p>
    <w:p w14:paraId="1E231CD2" w14:textId="77777777" w:rsidR="00D708EC" w:rsidRDefault="00000000">
      <w:pPr>
        <w:rPr>
          <w:rFonts w:hint="eastAsia"/>
        </w:rPr>
      </w:pPr>
      <w:r>
        <w:t>11.3 Tier 3: Deliberate Hostile Violation</w:t>
      </w:r>
    </w:p>
    <w:p w14:paraId="4415701E" w14:textId="77777777" w:rsidR="00D708EC" w:rsidRDefault="00000000">
      <w:pPr>
        <w:rPr>
          <w:rFonts w:hint="eastAsia"/>
        </w:rPr>
      </w:pPr>
      <w:r>
        <w:t>Telemetry signature: Prohibited weapons activity detected. Fissile or hazardous material diversion confirmed. Physical attack on inspectors or facilities. Confirmed deliberate compromise of framework sensors that undermines the entire verification architecture. Submission of deliberately falsified telemetry data that, if believed, would have triggered automatic step-back or military response. Systematic pattern of Tier 2 violations demonstrating institutional bad faith.</w:t>
      </w:r>
    </w:p>
    <w:p w14:paraId="057B01D9" w14:textId="77777777" w:rsidR="00D708EC" w:rsidRDefault="00000000">
      <w:pPr>
        <w:rPr>
          <w:rFonts w:hint="eastAsia"/>
        </w:rPr>
      </w:pPr>
      <w:r>
        <w:t>Base response (graduated by response speed):</w:t>
      </w:r>
    </w:p>
    <w:p w14:paraId="5B02983B" w14:textId="77777777" w:rsidR="00D708EC" w:rsidRDefault="00000000">
      <w:pPr>
        <w:rPr>
          <w:rFonts w:hint="eastAsia"/>
        </w:rPr>
      </w:pPr>
      <w:r>
        <w:t>Immediate remediation begins within 72 hours of detection: 25 percent reduction in benefits.</w:t>
      </w:r>
    </w:p>
    <w:p w14:paraId="0D96E455" w14:textId="77777777" w:rsidR="00D708EC" w:rsidRDefault="00000000">
      <w:pPr>
        <w:rPr>
          <w:rFonts w:hint="eastAsia"/>
        </w:rPr>
      </w:pPr>
      <w:r>
        <w:lastRenderedPageBreak/>
        <w:t>After 72 hours without remediation: 35 percent reduction in benefits.</w:t>
      </w:r>
    </w:p>
    <w:p w14:paraId="70C23CA2" w14:textId="77777777" w:rsidR="00D708EC" w:rsidRDefault="00000000">
      <w:pPr>
        <w:rPr>
          <w:rFonts w:hint="eastAsia"/>
        </w:rPr>
      </w:pPr>
      <w:r>
        <w:t>After 30 days without remediation: 50 percent reduction in benefits.</w:t>
      </w:r>
    </w:p>
    <w:p w14:paraId="669D160D" w14:textId="77777777" w:rsidR="00D708EC" w:rsidRDefault="00000000">
      <w:pPr>
        <w:rPr>
          <w:rFonts w:hint="eastAsia"/>
        </w:rPr>
      </w:pPr>
      <w:r>
        <w:t>Additional Tier 3 measures: All Tier 3-classified modules enter hold status. The framework architecture mandates a 90-day remediation window. The Guarantor Matrix convenes within 48 hours. Full earn-back requires 90 consecutive days of sustained clean compliance plus clean certification plus majority confirmation.</w:t>
      </w:r>
    </w:p>
    <w:p w14:paraId="3363CCA9" w14:textId="77777777" w:rsidR="00D708EC" w:rsidRDefault="00000000">
      <w:pPr>
        <w:pStyle w:val="Heading3"/>
        <w:rPr>
          <w:rFonts w:hint="eastAsia"/>
        </w:rPr>
      </w:pPr>
      <w:r>
        <w:t>SECTION 12: THE GRADUATED STEP-BACK MECHANISM</w:t>
      </w:r>
    </w:p>
    <w:p w14:paraId="16AF445E" w14:textId="77777777" w:rsidR="00D708EC" w:rsidRDefault="00000000">
      <w:pPr>
        <w:rPr>
          <w:rFonts w:hint="eastAsia"/>
        </w:rPr>
      </w:pPr>
      <w:r>
        <w:t>The step-back mechanism operates on three principles:</w:t>
      </w:r>
    </w:p>
    <w:p w14:paraId="5CDE7CE0" w14:textId="77777777" w:rsidR="00D708EC" w:rsidRDefault="00000000">
      <w:pPr>
        <w:rPr>
          <w:rFonts w:hint="eastAsia"/>
        </w:rPr>
      </w:pPr>
      <w:r>
        <w:t>12.1 Proportionality</w:t>
      </w:r>
    </w:p>
    <w:p w14:paraId="5E697617" w14:textId="77777777" w:rsidR="00D708EC" w:rsidRDefault="00000000">
      <w:pPr>
        <w:rPr>
          <w:rFonts w:hint="eastAsia"/>
        </w:rPr>
      </w:pPr>
      <w:r>
        <w:t>Step-back reductions match the severity and duration of the breach. Minor or quickly-cured violations trigger reduced penalties. Full reductions apply only after the remediation window expires without compliance. This proportionality rule prevents minor technical glitches from producing disproportionate economic punishment.</w:t>
      </w:r>
    </w:p>
    <w:p w14:paraId="0EE42C98" w14:textId="77777777" w:rsidR="00D708EC" w:rsidRDefault="00000000">
      <w:pPr>
        <w:rPr>
          <w:rFonts w:hint="eastAsia"/>
        </w:rPr>
      </w:pPr>
      <w:r>
        <w:t>Penalty formula: Penalty equals Base Tier Penalty multiplied by Duration Multiplier multiplied by Remediation Factor.</w:t>
      </w:r>
    </w:p>
    <w:p w14:paraId="628F8DB2" w14:textId="77777777" w:rsidR="00D708EC" w:rsidRDefault="00000000">
      <w:pPr>
        <w:rPr>
          <w:rFonts w:hint="eastAsia"/>
        </w:rPr>
      </w:pPr>
      <w:r>
        <w:t>Duration Multiplier scales from 0.4 (corrected within 24 hours) to 1.0 (remediation window expires uncured).</w:t>
      </w:r>
    </w:p>
    <w:p w14:paraId="383BD4A2" w14:textId="77777777" w:rsidR="00D708EC" w:rsidRDefault="00000000">
      <w:pPr>
        <w:rPr>
          <w:rFonts w:hint="eastAsia"/>
        </w:rPr>
      </w:pPr>
      <w:r>
        <w:t>Remediation Factor: Full remediation completed equals 0.5. Partial remediation equals 0.75. No remediation equals 1.0.</w:t>
      </w:r>
    </w:p>
    <w:p w14:paraId="6A592510" w14:textId="77777777" w:rsidR="00D708EC" w:rsidRDefault="00000000">
      <w:pPr>
        <w:rPr>
          <w:rFonts w:hint="eastAsia"/>
        </w:rPr>
      </w:pPr>
      <w:r>
        <w:t>12.2 Sequenced Impact</w:t>
      </w:r>
    </w:p>
    <w:p w14:paraId="78EFCB53" w14:textId="77777777" w:rsidR="00D708EC" w:rsidRDefault="00000000">
      <w:pPr>
        <w:rPr>
          <w:rFonts w:hint="eastAsia"/>
        </w:rPr>
      </w:pPr>
      <w:r>
        <w:t>When step-back activates, benefits pause in this exact sequence:</w:t>
      </w:r>
    </w:p>
    <w:p w14:paraId="22581A4D" w14:textId="77777777" w:rsidR="00D708EC" w:rsidRDefault="00000000">
      <w:pPr>
        <w:rPr>
          <w:rFonts w:hint="eastAsia"/>
        </w:rPr>
      </w:pPr>
      <w:r>
        <w:t>First affected: Discretionary measures (reconstruction credits, over-compliance credits, bonus funds).</w:t>
      </w:r>
    </w:p>
    <w:p w14:paraId="28F5CC39" w14:textId="77777777" w:rsidR="00D708EC" w:rsidRDefault="00000000">
      <w:pPr>
        <w:rPr>
          <w:rFonts w:hint="eastAsia"/>
        </w:rPr>
      </w:pPr>
      <w:r>
        <w:t>Second affected: Commercial financial benefits (expanded access, export licenses, non-humanitarian trade facilitation).</w:t>
      </w:r>
    </w:p>
    <w:p w14:paraId="78A86EC9" w14:textId="77777777" w:rsidR="00D708EC" w:rsidRDefault="00000000">
      <w:pPr>
        <w:rPr>
          <w:rFonts w:hint="eastAsia"/>
        </w:rPr>
      </w:pPr>
      <w:r>
        <w:t>Third affected: Core relief tranches (frozen asset releases, general license renewals).</w:t>
      </w:r>
    </w:p>
    <w:p w14:paraId="70AF0B2E" w14:textId="77777777" w:rsidR="00D708EC" w:rsidRDefault="00000000">
      <w:pPr>
        <w:rPr>
          <w:rFonts w:hint="eastAsia"/>
        </w:rPr>
      </w:pPr>
      <w:r>
        <w:t>Last affected: Core constraints and verification obligations (custody protocols, monitoring freeze agreements).</w:t>
      </w:r>
    </w:p>
    <w:p w14:paraId="064CCECA" w14:textId="77777777" w:rsidR="00D708EC" w:rsidRDefault="00000000">
      <w:pPr>
        <w:rPr>
          <w:rFonts w:hint="eastAsia"/>
        </w:rPr>
      </w:pPr>
      <w:r>
        <w:t>Never affected: Humanitarian tranches (food, medicine, medical equipment, safety), escrowed funds already released, hotline and deconfliction protocols.</w:t>
      </w:r>
    </w:p>
    <w:p w14:paraId="4BA5BE39" w14:textId="77777777" w:rsidR="00D708EC" w:rsidRDefault="00000000">
      <w:pPr>
        <w:rPr>
          <w:rFonts w:hint="eastAsia"/>
        </w:rPr>
      </w:pPr>
      <w:r>
        <w:t>12.3 Human-in-the-Loop Requirement</w:t>
      </w:r>
    </w:p>
    <w:p w14:paraId="307F7C4E" w14:textId="77777777" w:rsidR="00D708EC" w:rsidRDefault="00000000">
      <w:pPr>
        <w:rPr>
          <w:rFonts w:hint="eastAsia"/>
        </w:rPr>
      </w:pPr>
      <w:r>
        <w:t>Before any step-back penalty activates:</w:t>
      </w:r>
    </w:p>
    <w:p w14:paraId="25D08FE2" w14:textId="77777777" w:rsidR="00D708EC" w:rsidRDefault="00000000">
      <w:pPr>
        <w:rPr>
          <w:rFonts w:hint="eastAsia"/>
        </w:rPr>
      </w:pPr>
      <w:r>
        <w:t>AI systems flag anomalies and present evidence packages within 6 hours of detection.</w:t>
      </w:r>
    </w:p>
    <w:p w14:paraId="4D2C98E2" w14:textId="77777777" w:rsidR="00D708EC" w:rsidRDefault="00000000">
      <w:pPr>
        <w:rPr>
          <w:rFonts w:hint="eastAsia"/>
        </w:rPr>
      </w:pPr>
      <w:r>
        <w:t>Joint Monitoring Cell duty officer reviews the evidence package within 12 hours.</w:t>
      </w:r>
    </w:p>
    <w:p w14:paraId="42F1F064" w14:textId="77777777" w:rsidR="00D708EC" w:rsidRDefault="00000000">
      <w:pPr>
        <w:rPr>
          <w:rFonts w:hint="eastAsia"/>
        </w:rPr>
      </w:pPr>
      <w:r>
        <w:lastRenderedPageBreak/>
        <w:t>Senior officials from both Parties confer within 48 hours (mandatory cooling-off period).</w:t>
      </w:r>
    </w:p>
    <w:p w14:paraId="56A00172" w14:textId="77777777" w:rsidR="00D708EC" w:rsidRDefault="00000000">
      <w:pPr>
        <w:rPr>
          <w:rFonts w:hint="eastAsia"/>
        </w:rPr>
      </w:pPr>
      <w:r>
        <w:t>Executive consultation confirms the tier classification before penalties apply.</w:t>
      </w:r>
    </w:p>
    <w:p w14:paraId="53645971" w14:textId="77777777" w:rsidR="00D708EC" w:rsidRDefault="00000000">
      <w:pPr>
        <w:rPr>
          <w:rFonts w:hint="eastAsia"/>
        </w:rPr>
      </w:pPr>
      <w:r>
        <w:t>The Annual Human-in-the-Loop Audit verifies that AI systems are not making autonomous penalty decisions and that human review occurs within 24 hours of all AI flags.</w:t>
      </w:r>
    </w:p>
    <w:p w14:paraId="4BC81486" w14:textId="77777777" w:rsidR="00D708EC" w:rsidRDefault="00000000">
      <w:pPr>
        <w:rPr>
          <w:rFonts w:hint="eastAsia"/>
        </w:rPr>
      </w:pPr>
      <w:r>
        <w:t>If any audit criterion is not met, the Joint Monitoring Cell recalibrates the AI system within 30 days.</w:t>
      </w:r>
    </w:p>
    <w:p w14:paraId="55C835AA" w14:textId="77777777" w:rsidR="00D708EC" w:rsidRDefault="00000000">
      <w:pPr>
        <w:pStyle w:val="Heading3"/>
        <w:rPr>
          <w:rFonts w:hint="eastAsia"/>
        </w:rPr>
      </w:pPr>
      <w:r>
        <w:t>SECTION 13: THE EARN-BACK PATHWAY</w:t>
      </w:r>
    </w:p>
    <w:p w14:paraId="7CBFA48E" w14:textId="77777777" w:rsidR="00D708EC" w:rsidRDefault="00000000">
      <w:pPr>
        <w:rPr>
          <w:rFonts w:hint="eastAsia"/>
        </w:rPr>
      </w:pPr>
      <w:r>
        <w:t>Earn-back is not a privilege. It is a structural feature of the Method. Every step-back penalty carries an automatic, defined earn-back route. No penalty is permanent.</w:t>
      </w:r>
    </w:p>
    <w:p w14:paraId="5F18C7B5" w14:textId="77777777" w:rsidR="00D708EC" w:rsidRDefault="00000000">
      <w:pPr>
        <w:rPr>
          <w:rFonts w:hint="eastAsia"/>
        </w:rPr>
      </w:pPr>
      <w:r>
        <w:t>13.1 Earn-Back Schedule</w:t>
      </w:r>
    </w:p>
    <w:p w14:paraId="54B248CA" w14:textId="77777777" w:rsidR="00D708EC" w:rsidRDefault="00000000">
      <w:pPr>
        <w:rPr>
          <w:rFonts w:hint="eastAsia"/>
        </w:rPr>
      </w:pPr>
      <w:r>
        <w:t>Tier 1: No earn-back requirement exists. Resolution within 14 days returns the Party to full status automatically.</w:t>
      </w:r>
    </w:p>
    <w:p w14:paraId="569F45A6" w14:textId="77777777" w:rsidR="00D708EC" w:rsidRDefault="00000000">
      <w:pPr>
        <w:rPr>
          <w:rFonts w:hint="eastAsia"/>
        </w:rPr>
      </w:pPr>
      <w:r>
        <w:t>Tier 2: Full earn-back is available after 14 days of clean compliance following remediation completion.</w:t>
      </w:r>
    </w:p>
    <w:p w14:paraId="373FCA18" w14:textId="77777777" w:rsidR="00D708EC" w:rsidRDefault="00000000">
      <w:pPr>
        <w:rPr>
          <w:rFonts w:hint="eastAsia"/>
        </w:rPr>
      </w:pPr>
      <w:r>
        <w:t>Day 1 through 14 post-remediation: Monitoring period. Enhanced verification occurs.</w:t>
      </w:r>
    </w:p>
    <w:p w14:paraId="2538DDED" w14:textId="77777777" w:rsidR="00D708EC" w:rsidRDefault="00000000">
      <w:pPr>
        <w:rPr>
          <w:rFonts w:hint="eastAsia"/>
        </w:rPr>
      </w:pPr>
      <w:r>
        <w:t>Day 15: If clean certification issues, full benefits restore automatically.</w:t>
      </w:r>
    </w:p>
    <w:p w14:paraId="11A69375" w14:textId="77777777" w:rsidR="00D708EC" w:rsidRDefault="00000000">
      <w:pPr>
        <w:rPr>
          <w:rFonts w:hint="eastAsia"/>
        </w:rPr>
      </w:pPr>
      <w:r>
        <w:t>Acceleration: Over-compliance credit reduces the 14-day monitoring period by up to 25 percent (minimum 11 days).</w:t>
      </w:r>
    </w:p>
    <w:p w14:paraId="3E73B87C" w14:textId="77777777" w:rsidR="00D708EC" w:rsidRDefault="00000000">
      <w:pPr>
        <w:rPr>
          <w:rFonts w:hint="eastAsia"/>
        </w:rPr>
      </w:pPr>
      <w:r>
        <w:t>Tier 3: Full earn-back is available after 90 days of sustained clean compliance.</w:t>
      </w:r>
    </w:p>
    <w:p w14:paraId="787943BC" w14:textId="77777777" w:rsidR="00D708EC" w:rsidRDefault="00000000">
      <w:pPr>
        <w:rPr>
          <w:rFonts w:hint="eastAsia"/>
        </w:rPr>
      </w:pPr>
      <w:r>
        <w:t>Days 1 through 30: Intensive monitoring period. Inspections occur at 72-hour intervals.</w:t>
      </w:r>
    </w:p>
    <w:p w14:paraId="5F288991" w14:textId="77777777" w:rsidR="00D708EC" w:rsidRDefault="00000000">
      <w:pPr>
        <w:rPr>
          <w:rFonts w:hint="eastAsia"/>
        </w:rPr>
      </w:pPr>
      <w:r>
        <w:t>Days 31 through 60: Standard monitoring period. Weekly verification occurs.</w:t>
      </w:r>
    </w:p>
    <w:p w14:paraId="31326CB3" w14:textId="77777777" w:rsidR="00D708EC" w:rsidRDefault="00000000">
      <w:pPr>
        <w:rPr>
          <w:rFonts w:hint="eastAsia"/>
        </w:rPr>
      </w:pPr>
      <w:r>
        <w:t>Days 61 through 90: Reduced monitoring period. Bi-weekly verification occurs.</w:t>
      </w:r>
    </w:p>
    <w:p w14:paraId="7680CD84" w14:textId="77777777" w:rsidR="00D708EC" w:rsidRDefault="00000000">
      <w:pPr>
        <w:rPr>
          <w:rFonts w:hint="eastAsia"/>
        </w:rPr>
      </w:pPr>
      <w:r>
        <w:t>Day 91: If clean certification issues AND majority confirmation arrives, full benefits restore automatically.</w:t>
      </w:r>
    </w:p>
    <w:p w14:paraId="46592D86" w14:textId="77777777" w:rsidR="00D708EC" w:rsidRDefault="00000000">
      <w:pPr>
        <w:rPr>
          <w:rFonts w:hint="eastAsia"/>
        </w:rPr>
      </w:pPr>
      <w:r>
        <w:t>Acceleration: Over-compliance credit reduces the 90-day period by up to 25 percent (minimum 68 days).</w:t>
      </w:r>
    </w:p>
    <w:p w14:paraId="66344F29" w14:textId="77777777" w:rsidR="00D708EC" w:rsidRDefault="00000000">
      <w:pPr>
        <w:rPr>
          <w:rFonts w:hint="eastAsia"/>
        </w:rPr>
      </w:pPr>
      <w:r>
        <w:t>13.2 Earn-Back Conditions</w:t>
      </w:r>
    </w:p>
    <w:p w14:paraId="7FCDBDCB" w14:textId="77777777" w:rsidR="00D708EC" w:rsidRDefault="00000000">
      <w:pPr>
        <w:rPr>
          <w:rFonts w:hint="eastAsia"/>
        </w:rPr>
      </w:pPr>
      <w:r>
        <w:t>Earn-back does not require: admission of guilt or formal acknowledgment of violation; payment of penalties or liquidated damages; political concessions beyond returning to compliance; or re-negotiation of the underlying commitment.</w:t>
      </w:r>
    </w:p>
    <w:p w14:paraId="12F71626" w14:textId="77777777" w:rsidR="00D708EC" w:rsidRDefault="00000000">
      <w:pPr>
        <w:rPr>
          <w:rFonts w:hint="eastAsia"/>
        </w:rPr>
      </w:pPr>
      <w:r>
        <w:t>Earn-back does require: verified compliance with the breached obligation; sustained compliance for the defined monitoring period; technical confirmation (Tier 2) or majority confirmation (Tier 3); and no new Tier 2 or Tier 3 violations during the earn-back monitoring period.</w:t>
      </w:r>
    </w:p>
    <w:p w14:paraId="2C197DF5" w14:textId="77777777" w:rsidR="00D708EC" w:rsidRDefault="00000000">
      <w:pPr>
        <w:rPr>
          <w:rFonts w:hint="eastAsia"/>
        </w:rPr>
      </w:pPr>
      <w:r>
        <w:lastRenderedPageBreak/>
        <w:t>13.3 Earn-Back Credit System</w:t>
      </w:r>
    </w:p>
    <w:p w14:paraId="6901E4C9" w14:textId="77777777" w:rsidR="00D708EC" w:rsidRDefault="00000000">
      <w:pPr>
        <w:rPr>
          <w:rFonts w:hint="eastAsia"/>
        </w:rPr>
      </w:pPr>
      <w:r>
        <w:t>If a Party completes a milestone ahead of schedule and maintains verified compliance during the accelerated period, the corresponding tranche releases proportionally earlier. Over-compliance credits accrue and apply to future conditions or to accelerate earn-back timelines.</w:t>
      </w:r>
    </w:p>
    <w:p w14:paraId="08B2E97C" w14:textId="77777777" w:rsidR="00D708EC" w:rsidRDefault="00000000">
      <w:pPr>
        <w:rPr>
          <w:rFonts w:hint="eastAsia"/>
        </w:rPr>
      </w:pPr>
      <w:r>
        <w:t>Banked credits reduce the earn-back monitoring period:</w:t>
      </w:r>
    </w:p>
    <w:p w14:paraId="52B3F431" w14:textId="77777777" w:rsidR="00D708EC" w:rsidRDefault="00000000">
      <w:pPr>
        <w:rPr>
          <w:rFonts w:hint="eastAsia"/>
        </w:rPr>
      </w:pPr>
      <w:r>
        <w:t>Tier 2 earn-back: Up to 25 percent reduction (14 days becomes minimum 11 days).</w:t>
      </w:r>
    </w:p>
    <w:p w14:paraId="5CABD3D7" w14:textId="77777777" w:rsidR="00D708EC" w:rsidRDefault="00000000">
      <w:pPr>
        <w:rPr>
          <w:rFonts w:hint="eastAsia"/>
        </w:rPr>
      </w:pPr>
      <w:r>
        <w:t>Tier 3 earn-back: Up to 25 percent reduction (90 days becomes minimum 68 days).</w:t>
      </w:r>
    </w:p>
    <w:p w14:paraId="46EAC95B" w14:textId="77777777" w:rsidR="00D708EC" w:rsidRDefault="00000000">
      <w:pPr>
        <w:rPr>
          <w:rFonts w:hint="eastAsia"/>
        </w:rPr>
      </w:pPr>
      <w:r>
        <w:t>Credit accrual formula: Each month of sustained compliance beyond baseline requirements accrues 1 credit week. Credits apply only to future earn-back periods, not to active penalties.</w:t>
      </w:r>
    </w:p>
    <w:p w14:paraId="383B7144" w14:textId="77777777" w:rsidR="00D708EC" w:rsidRDefault="00000000">
      <w:pPr>
        <w:pStyle w:val="Heading3"/>
        <w:rPr>
          <w:rFonts w:hint="eastAsia"/>
        </w:rPr>
      </w:pPr>
      <w:r>
        <w:t>SECTION 14: CROSS-MODULE SPILLOVER PROTECTION</w:t>
      </w:r>
    </w:p>
    <w:p w14:paraId="5B7502EF" w14:textId="77777777" w:rsidR="00D708EC" w:rsidRDefault="00000000">
      <w:pPr>
        <w:rPr>
          <w:rFonts w:hint="eastAsia"/>
        </w:rPr>
      </w:pPr>
      <w:r>
        <w:t>The framework architecture operates as a modular system. Failure in one module does not cascade into others unless explicitly certified.</w:t>
      </w:r>
    </w:p>
    <w:p w14:paraId="32FE84BC" w14:textId="77777777" w:rsidR="00D708EC" w:rsidRDefault="00000000">
      <w:pPr>
        <w:rPr>
          <w:rFonts w:hint="eastAsia"/>
        </w:rPr>
      </w:pPr>
      <w:r>
        <w:t>Default rule: Step-back reductions apply ONLY within the module where the violation occurred. A Tier 2 verification violation triggers step-back only on verification-related tranches, not on unrelated benefits or access.</w:t>
      </w:r>
    </w:p>
    <w:p w14:paraId="6936E813" w14:textId="77777777" w:rsidR="00D708EC" w:rsidRDefault="00000000">
      <w:pPr>
        <w:rPr>
          <w:rFonts w:hint="eastAsia"/>
        </w:rPr>
      </w:pPr>
      <w:r>
        <w:t>Exception: Cross-module spillover requires certification by a two-thirds majority vote that the violation directly and materially undermines a different module. The framework architecture excludes the affected Party's vote (Consensus Minus One rule).</w:t>
      </w:r>
    </w:p>
    <w:p w14:paraId="7A72218D" w14:textId="77777777" w:rsidR="00D708EC" w:rsidRDefault="00000000">
      <w:pPr>
        <w:rPr>
          <w:rFonts w:hint="eastAsia"/>
        </w:rPr>
      </w:pPr>
      <w:r>
        <w:t>Partial success doctrine: No single unresolved module invalidates the remainder of the framework. Each module operates as an independent contractual track. Progress, compliance, or failure in one track does not automatically determine the status of any other track. This doctrine is binding and interpretive.</w:t>
      </w:r>
    </w:p>
    <w:p w14:paraId="077E19B5" w14:textId="77777777" w:rsidR="00D708EC" w:rsidRDefault="00000000">
      <w:pPr>
        <w:pStyle w:val="Heading2"/>
        <w:rPr>
          <w:rFonts w:hint="eastAsia"/>
        </w:rPr>
      </w:pPr>
      <w:bookmarkStart w:id="151" w:name="_Toc237663665"/>
      <w:r>
        <w:t>PART IV: PROTECTIVE ARCHITECTURE</w:t>
      </w:r>
      <w:bookmarkEnd w:id="151"/>
    </w:p>
    <w:p w14:paraId="0BACF56C" w14:textId="77777777" w:rsidR="00D708EC" w:rsidRDefault="00000000">
      <w:pPr>
        <w:pStyle w:val="Heading3"/>
        <w:rPr>
          <w:rFonts w:hint="eastAsia"/>
        </w:rPr>
      </w:pPr>
      <w:r>
        <w:t>SECTION 15: SAFEGUARDS AGAINST ABUSE AND ESCALATION</w:t>
      </w:r>
    </w:p>
    <w:p w14:paraId="054FDA59" w14:textId="77777777" w:rsidR="00D708EC" w:rsidRDefault="00000000">
      <w:pPr>
        <w:rPr>
          <w:rFonts w:hint="eastAsia"/>
        </w:rPr>
      </w:pPr>
      <w:r>
        <w:t>15.1 Mandatory Cooling-Off Architecture (48-Hour Rule)</w:t>
      </w:r>
    </w:p>
    <w:p w14:paraId="63783EF4" w14:textId="77777777" w:rsidR="00D708EC" w:rsidRDefault="00000000">
      <w:pPr>
        <w:rPr>
          <w:rFonts w:hint="eastAsia"/>
        </w:rPr>
      </w:pPr>
      <w:r>
        <w:t>Before any step-back penalty activates, a 48-hour cooling-off period applies. During this period: no penalties accrue; both Parties' senior officials confer directly; the Swiss facilitator proposes de-escalation measures; the cooling-off period extends up to 72 hours by mutual agreement. This prevents heat-of-moment reactions to technical anomalies or intelligence reports.</w:t>
      </w:r>
    </w:p>
    <w:p w14:paraId="17140071" w14:textId="77777777" w:rsidR="00D708EC" w:rsidRDefault="00000000">
      <w:pPr>
        <w:rPr>
          <w:rFonts w:hint="eastAsia"/>
        </w:rPr>
      </w:pPr>
      <w:r>
        <w:t>15.2 Consensus Minus One Decision Rule</w:t>
      </w:r>
    </w:p>
    <w:p w14:paraId="7561B4CE" w14:textId="77777777" w:rsidR="00D708EC" w:rsidRDefault="00000000">
      <w:pPr>
        <w:rPr>
          <w:rFonts w:hint="eastAsia"/>
        </w:rPr>
      </w:pPr>
      <w:r>
        <w:t xml:space="preserve">For all Tier 2 and Tier 3 determinations, cross-module spillover certifications, and gaming pattern findings: if the decision concerns one Party's conduct, the framework architecture </w:t>
      </w:r>
      <w:r>
        <w:lastRenderedPageBreak/>
        <w:t>excludes that Party's vote. All other oversight members agree. If consensus minus one fails to be achieved, automatic referral to the Guarantor Matrix occurs for final political judgment.</w:t>
      </w:r>
    </w:p>
    <w:p w14:paraId="40624729" w14:textId="77777777" w:rsidR="00D708EC" w:rsidRDefault="00000000">
      <w:pPr>
        <w:rPr>
          <w:rFonts w:hint="eastAsia"/>
        </w:rPr>
      </w:pPr>
      <w:r>
        <w:t>15.3 Temporary Operational Suspension</w:t>
      </w:r>
    </w:p>
    <w:p w14:paraId="1550C158" w14:textId="77777777" w:rsidR="00D708EC" w:rsidRDefault="00000000">
      <w:pPr>
        <w:rPr>
          <w:rFonts w:hint="eastAsia"/>
        </w:rPr>
      </w:pPr>
      <w:r>
        <w:t>Either Party invokes Temporary Operational Suspension for up to 14 days per invocation, maximum 3 invocations per calendar year. Temporary Operational Suspension freezes all new obligations but preserves verification custody, the hotline, humanitarian corridors, and escrowed funds. Temporary Operational Suspension is not a breach. It is a safety valve for domestic political crises, leadership transitions, or regional spillover events. Temporary Operational Suspension suspends the step-back clock: earn-back timelines do not advance during suspension, but neither do penalty durations.</w:t>
      </w:r>
    </w:p>
    <w:p w14:paraId="56161174" w14:textId="77777777" w:rsidR="00D708EC" w:rsidRDefault="00000000">
      <w:pPr>
        <w:rPr>
          <w:rFonts w:hint="eastAsia"/>
        </w:rPr>
      </w:pPr>
      <w:r>
        <w:t>15.4 Good Faith Reset</w:t>
      </w:r>
    </w:p>
    <w:p w14:paraId="27A869BB" w14:textId="77777777" w:rsidR="00D708EC" w:rsidRDefault="00000000">
      <w:pPr>
        <w:rPr>
          <w:rFonts w:hint="eastAsia"/>
        </w:rPr>
      </w:pPr>
      <w:r>
        <w:t>The framework architecture includes a Good Faith Reset mechanism that prevents either Party from entering an irreversible negative spiral. A Party whose Verification Fund score falls to negative 20 or below invokes the reset once per phase.</w:t>
      </w:r>
    </w:p>
    <w:p w14:paraId="02ECF591" w14:textId="77777777" w:rsidR="00D708EC" w:rsidRDefault="00000000">
      <w:pPr>
        <w:rPr>
          <w:rFonts w:hint="eastAsia"/>
        </w:rPr>
      </w:pPr>
      <w:r>
        <w:t>Score at negative 20 or below: Score resets to 0 automatically.</w:t>
      </w:r>
    </w:p>
    <w:p w14:paraId="57956BDB" w14:textId="77777777" w:rsidR="00D708EC" w:rsidRDefault="00000000">
      <w:pPr>
        <w:rPr>
          <w:rFonts w:hint="eastAsia"/>
        </w:rPr>
      </w:pPr>
      <w:r>
        <w:t>Written acknowledgment of errors: Reset activates immediately; the acknowledgment appears in the Shared Digital Registry.</w:t>
      </w:r>
    </w:p>
    <w:p w14:paraId="1A578289" w14:textId="77777777" w:rsidR="00D708EC" w:rsidRDefault="00000000">
      <w:pPr>
        <w:rPr>
          <w:rFonts w:hint="eastAsia"/>
        </w:rPr>
      </w:pPr>
      <w:r>
        <w:t>Commitment to enhanced cooperation for 7 days: Enhanced cooperation means daily Joint Monitoring Cell liaison contact and same-day response to all verification queries.</w:t>
      </w:r>
    </w:p>
    <w:p w14:paraId="2A37814F" w14:textId="77777777" w:rsidR="00D708EC" w:rsidRDefault="00000000">
      <w:pPr>
        <w:rPr>
          <w:rFonts w:hint="eastAsia"/>
        </w:rPr>
      </w:pPr>
      <w:r>
        <w:t>No reset invoked in the previous phase: Reset approves automatically without Permanent Coordination Council review.</w:t>
      </w:r>
    </w:p>
    <w:p w14:paraId="2E688EBD" w14:textId="77777777" w:rsidR="00D708EC" w:rsidRDefault="00000000">
      <w:pPr>
        <w:rPr>
          <w:rFonts w:hint="eastAsia"/>
        </w:rPr>
      </w:pPr>
      <w:r>
        <w:t>The Good Faith Reset is a safety valve, not a free pass. The once-per-phase limit prevents abuse. The written acknowledgment requirement preserves accountability. The enhanced cooperation commitment demonstrates genuine intent to improve. A Party that invokes the reset in one phase and still achieves negative 20 in the next phase faces the full consequences without further protection.</w:t>
      </w:r>
    </w:p>
    <w:p w14:paraId="7C38B6BB" w14:textId="77777777" w:rsidR="00D708EC" w:rsidRDefault="00000000">
      <w:pPr>
        <w:rPr>
          <w:rFonts w:hint="eastAsia"/>
        </w:rPr>
      </w:pPr>
      <w:r>
        <w:t>15.5 Mutual Consent Escalation</w:t>
      </w:r>
    </w:p>
    <w:p w14:paraId="26C72E7A" w14:textId="77777777" w:rsidR="00D708EC" w:rsidRDefault="00000000">
      <w:pPr>
        <w:rPr>
          <w:rFonts w:hint="eastAsia"/>
        </w:rPr>
      </w:pPr>
      <w:r>
        <w:t>The framework architecture treats the verification score as advisory, not mandatory. Both Parties retain the right to override score-based outcomes through joint agreement.</w:t>
      </w:r>
    </w:p>
    <w:p w14:paraId="424ED29D" w14:textId="77777777" w:rsidR="00D708EC" w:rsidRDefault="00000000">
      <w:pPr>
        <w:rPr>
          <w:rFonts w:hint="eastAsia"/>
        </w:rPr>
      </w:pPr>
      <w:r>
        <w:t>Both Parties agree the score does not reflect operational reality: The Decision Point defers for 5 days; the Permanent Coordination Council conducts a joint review of raw telemetry data.</w:t>
      </w:r>
    </w:p>
    <w:p w14:paraId="64F2B822" w14:textId="77777777" w:rsidR="00D708EC" w:rsidRDefault="00000000">
      <w:pPr>
        <w:rPr>
          <w:rFonts w:hint="eastAsia"/>
        </w:rPr>
      </w:pPr>
      <w:r>
        <w:t>Both Parties agree the system malfunctioned: The score recalculates using raw golden record data, bypassing the algorithmic scoring system.</w:t>
      </w:r>
    </w:p>
    <w:p w14:paraId="4E8EEE28" w14:textId="77777777" w:rsidR="00D708EC" w:rsidRDefault="00000000">
      <w:pPr>
        <w:rPr>
          <w:rFonts w:hint="eastAsia"/>
        </w:rPr>
      </w:pPr>
      <w:r>
        <w:t>Both Parties agree to proceed despite a low score: Proceeds; the score is advisory and carries no binding pathway determination.</w:t>
      </w:r>
    </w:p>
    <w:p w14:paraId="5C534D65" w14:textId="77777777" w:rsidR="00D708EC" w:rsidRDefault="00000000">
      <w:pPr>
        <w:rPr>
          <w:rFonts w:hint="eastAsia"/>
        </w:rPr>
      </w:pPr>
      <w:r>
        <w:lastRenderedPageBreak/>
        <w:t>Mutual Consent Escalation requires written agreement from both Parties, transmitted simultaneously to the Joint Monitoring Cell. Either Party withdraws its consent within 24 hours without penalty. If one Party withdraws consent, the original score-based pathway determination resumes automatically.</w:t>
      </w:r>
    </w:p>
    <w:p w14:paraId="02CD05DE" w14:textId="77777777" w:rsidR="00D708EC" w:rsidRDefault="00000000">
      <w:pPr>
        <w:rPr>
          <w:rFonts w:hint="eastAsia"/>
        </w:rPr>
      </w:pPr>
      <w:r>
        <w:t>15.6 No Automatic Military Escalation Clause</w:t>
      </w:r>
    </w:p>
    <w:p w14:paraId="0E66D7E3" w14:textId="77777777" w:rsidR="00D708EC" w:rsidRDefault="00000000">
      <w:pPr>
        <w:rPr>
          <w:rFonts w:hint="eastAsia"/>
        </w:rPr>
      </w:pPr>
      <w:r>
        <w:t>Under no circumstances does a compliance dispute, Tier 2 or Tier 3 violation, step-back penalty, or framework suspension automatically authorize, trigger, or justify the use of military force by either Party. The step-back architecture is purely economic and diplomatic. Military action requires separate, explicit decision by the respective head of government under constitutional procedures. This separation between economic penalties and military authorization is absolute and non-waivable.</w:t>
      </w:r>
    </w:p>
    <w:p w14:paraId="1A74E8D3" w14:textId="77777777" w:rsidR="00D708EC" w:rsidRDefault="00000000">
      <w:pPr>
        <w:rPr>
          <w:rFonts w:hint="eastAsia"/>
        </w:rPr>
      </w:pPr>
      <w:r>
        <w:t>15.7 False Flag Attack Protocol</w:t>
      </w:r>
    </w:p>
    <w:p w14:paraId="1214AA77" w14:textId="77777777" w:rsidR="00D708EC" w:rsidRDefault="00000000">
      <w:pPr>
        <w:rPr>
          <w:rFonts w:hint="eastAsia"/>
        </w:rPr>
      </w:pPr>
      <w:r>
        <w:t>In the event of attacks by unknown actors: both Parties operate under a presumption of good faith; a 48-hour attribution deferral window applies before any penalty assignment; forensic investigation precedes any breach classification; rogue actors and false-flag operations are explicitly excluded from bilateral penalties.</w:t>
      </w:r>
    </w:p>
    <w:p w14:paraId="3DDC5978" w14:textId="77777777" w:rsidR="00D708EC" w:rsidRDefault="00000000">
      <w:pPr>
        <w:rPr>
          <w:rFonts w:hint="eastAsia"/>
        </w:rPr>
      </w:pPr>
      <w:r>
        <w:t>15.8 Political Discretion Fund</w:t>
      </w:r>
    </w:p>
    <w:p w14:paraId="496119F3" w14:textId="77777777" w:rsidR="00D708EC" w:rsidRDefault="00000000">
      <w:pPr>
        <w:rPr>
          <w:rFonts w:hint="eastAsia"/>
        </w:rPr>
      </w:pPr>
      <w:r>
        <w:t>The Political Discretion Fund operates outside the step-back system entirely. Fund size: 50 million dollars, capitalized equally by both Parties (25 million dollars each). Held in a dedicated sub-account of the Swiss escrow. Exempt from ALL step-back penalties: No Tier 2 or Tier 3 penalty reduces, freezes, or delays disbursement. Disbursement requires unanimous agreement of both heads of government plus the Swiss facilitator. Permitted uses: Goodwill projects, partial compliance rewards, confidence-building measures. Prohibited uses: Military purposes, intelligence activities, payment of penalties, any purpose violating the No Regime Change Objective.</w:t>
      </w:r>
    </w:p>
    <w:p w14:paraId="2D2D5273" w14:textId="77777777" w:rsidR="00D708EC" w:rsidRDefault="00000000">
      <w:pPr>
        <w:pStyle w:val="Heading2"/>
        <w:rPr>
          <w:rFonts w:hint="eastAsia"/>
        </w:rPr>
      </w:pPr>
      <w:bookmarkStart w:id="152" w:name="_Toc237663666"/>
      <w:r>
        <w:t>PART V: OPERATIONAL SUPPLEMENTS</w:t>
      </w:r>
      <w:bookmarkEnd w:id="152"/>
    </w:p>
    <w:p w14:paraId="3EC0D115" w14:textId="77777777" w:rsidR="00D708EC" w:rsidRDefault="00000000">
      <w:pPr>
        <w:pStyle w:val="Heading3"/>
        <w:rPr>
          <w:rFonts w:hint="eastAsia"/>
        </w:rPr>
      </w:pPr>
      <w:r>
        <w:t>SECTION 16: RED TEAM REVIEW</w:t>
      </w:r>
    </w:p>
    <w:p w14:paraId="0621DB2A" w14:textId="77777777" w:rsidR="00D708EC" w:rsidRDefault="00000000">
      <w:pPr>
        <w:rPr>
          <w:rFonts w:hint="eastAsia"/>
        </w:rPr>
      </w:pPr>
      <w:r>
        <w:t>The Joint Monitoring Cell maintains a standing Red Team. This team operates continuously during the Testing Phase and the Cooling-Off Period. The Red Team identifies weaknesses in the monitoring system, tests data integrity, and probes for vulnerabilities in the telemetry chain.</w:t>
      </w:r>
    </w:p>
    <w:p w14:paraId="5BE18723" w14:textId="77777777" w:rsidR="00D708EC" w:rsidRDefault="00000000">
      <w:pPr>
        <w:rPr>
          <w:rFonts w:hint="eastAsia"/>
        </w:rPr>
      </w:pPr>
      <w:r>
        <w:t>The Red Team produces a findings report every seven days. The Joint Monitoring Cell distributes this report automatically to both Parties within 24 hours of completion. The report contains: identified system weaknesses; recommended corrective actions; and verification of data integrity across all feeds.</w:t>
      </w:r>
    </w:p>
    <w:p w14:paraId="760A4259" w14:textId="77777777" w:rsidR="00D708EC" w:rsidRDefault="00000000">
      <w:pPr>
        <w:rPr>
          <w:rFonts w:hint="eastAsia"/>
        </w:rPr>
      </w:pPr>
      <w:r>
        <w:lastRenderedPageBreak/>
        <w:t>Both Parties review the Red Team findings and implement corrective actions through the Joint Monitoring Cell. The Shared Digital Registry logs all findings and corrective actions. The Red Team verifies implementation of all corrective actions in its subsequent report.</w:t>
      </w:r>
    </w:p>
    <w:p w14:paraId="02A03B1C" w14:textId="77777777" w:rsidR="00D708EC" w:rsidRDefault="00000000">
      <w:pPr>
        <w:pStyle w:val="Heading3"/>
        <w:rPr>
          <w:rFonts w:hint="eastAsia"/>
        </w:rPr>
      </w:pPr>
      <w:r>
        <w:t>SECTION 17: PERFORMANCE BENCHMARKS</w:t>
      </w:r>
    </w:p>
    <w:p w14:paraId="58084E81" w14:textId="77777777" w:rsidR="00D708EC" w:rsidRDefault="00000000">
      <w:pPr>
        <w:rPr>
          <w:rFonts w:hint="eastAsia"/>
        </w:rPr>
      </w:pPr>
      <w:r>
        <w:t>At the conclusion of the Testing Phase, the Joint Monitoring Cell issues a Testing Phase Report assessing the following performance benchmarks:</w:t>
      </w:r>
    </w:p>
    <w:p w14:paraId="51B88095" w14:textId="77777777" w:rsidR="00D708EC" w:rsidRDefault="00000000">
      <w:pPr>
        <w:rPr>
          <w:rFonts w:hint="eastAsia"/>
        </w:rPr>
      </w:pPr>
      <w:r>
        <w:t>System operability: All monitoring systems are operational and producing reliable data with uptime exceeding 95 percent across all feeds.</w:t>
      </w:r>
    </w:p>
    <w:p w14:paraId="2E29BD2E" w14:textId="77777777" w:rsidR="00D708EC" w:rsidRDefault="00000000">
      <w:pPr>
        <w:rPr>
          <w:rFonts w:hint="eastAsia"/>
        </w:rPr>
      </w:pPr>
      <w:r>
        <w:t>Data sharing symmetry: Data transmission to both Parties occurs with latency differential of less than 30 seconds.</w:t>
      </w:r>
    </w:p>
    <w:p w14:paraId="124B5A84" w14:textId="77777777" w:rsidR="00D708EC" w:rsidRDefault="00000000">
      <w:pPr>
        <w:rPr>
          <w:rFonts w:hint="eastAsia"/>
        </w:rPr>
      </w:pPr>
      <w:r>
        <w:t>Anomaly detection: Anomaly detection and verification procedures function correctly, with false positive rates below the defined thresholds.</w:t>
      </w:r>
    </w:p>
    <w:p w14:paraId="6FDC3465" w14:textId="77777777" w:rsidR="00D708EC" w:rsidRDefault="00000000">
      <w:pPr>
        <w:rPr>
          <w:rFonts w:hint="eastAsia"/>
        </w:rPr>
      </w:pPr>
      <w:r>
        <w:t>Joint Monitoring Cell functionality: The Cell operates 24/7 with full staffing and all communication channels functional.</w:t>
      </w:r>
    </w:p>
    <w:p w14:paraId="6DD2FA9A" w14:textId="77777777" w:rsidR="00D708EC" w:rsidRDefault="00000000">
      <w:pPr>
        <w:rPr>
          <w:rFonts w:hint="eastAsia"/>
        </w:rPr>
      </w:pPr>
      <w:r>
        <w:t>Shared Digital Registry integrity: The Registry logs all tracks, alerts, and verification packages without data gaps exceeding 15 minutes.</w:t>
      </w:r>
    </w:p>
    <w:p w14:paraId="51E4E626" w14:textId="77777777" w:rsidR="00D708EC" w:rsidRDefault="00000000">
      <w:pPr>
        <w:rPr>
          <w:rFonts w:hint="eastAsia"/>
        </w:rPr>
      </w:pPr>
      <w:r>
        <w:t>The Testing Phase Report transmits simultaneously to both Parties and the Permanent Coordination Council. The Report is presumptive evidence of system functionality. Neither Party blocks, delays, or redacts the Report.</w:t>
      </w:r>
    </w:p>
    <w:p w14:paraId="555E118D" w14:textId="77777777" w:rsidR="00D708EC" w:rsidRDefault="00000000">
      <w:pPr>
        <w:pStyle w:val="Heading3"/>
        <w:rPr>
          <w:rFonts w:hint="eastAsia"/>
        </w:rPr>
      </w:pPr>
      <w:r>
        <w:t>SECTION 18: PHASE CONCLUSION ASSESSMENT</w:t>
      </w:r>
    </w:p>
    <w:p w14:paraId="14D42E95" w14:textId="77777777" w:rsidR="00D708EC" w:rsidRDefault="00000000">
      <w:pPr>
        <w:rPr>
          <w:rFonts w:hint="eastAsia"/>
        </w:rPr>
      </w:pPr>
      <w:r>
        <w:t>18.1 Score-Based Pathway Determination</w:t>
      </w:r>
    </w:p>
    <w:p w14:paraId="2B0BD43C" w14:textId="77777777" w:rsidR="00D708EC" w:rsidRDefault="00000000">
      <w:pPr>
        <w:rPr>
          <w:rFonts w:hint="eastAsia"/>
        </w:rPr>
      </w:pPr>
      <w:r>
        <w:t>At the conclusion of the Testing Phase, the Joint Monitoring Cell publishes the final Verification Scores. The scores determine the operational pathway through the following matrix:</w:t>
      </w:r>
    </w:p>
    <w:p w14:paraId="7FD9CDEC" w14:textId="77777777" w:rsidR="00D708EC" w:rsidRDefault="00000000">
      <w:pPr>
        <w:rPr>
          <w:rFonts w:hint="eastAsia"/>
        </w:rPr>
      </w:pPr>
      <w:r>
        <w:t>Claimant Fund Score: 50 credits or above / Verifier Fund Score: Any score / Outcome: Automatic progression to Cooling-Off Period; Testing Phase qualifies as success.</w:t>
      </w:r>
    </w:p>
    <w:p w14:paraId="61BDC58D" w14:textId="77777777" w:rsidR="00D708EC" w:rsidRDefault="00000000">
      <w:pPr>
        <w:rPr>
          <w:rFonts w:hint="eastAsia"/>
        </w:rPr>
      </w:pPr>
      <w:r>
        <w:t>Claimant Fund Score: 30 to 49 credits / Verifier Fund Score: Below Claimant score / Outcome: Automatic extension; Cooling-Off Period activates with positive momentum designation.</w:t>
      </w:r>
    </w:p>
    <w:p w14:paraId="4850A4F0" w14:textId="77777777" w:rsidR="00D708EC" w:rsidRDefault="00000000">
      <w:pPr>
        <w:rPr>
          <w:rFonts w:hint="eastAsia"/>
        </w:rPr>
      </w:pPr>
      <w:r>
        <w:t>Claimant Fund Score: 30 to 49 credits / Verifier Fund Score: Equal to or above Claimant score / Outcome: Extension with review; Cooling-Off Period activates with technical issues require resolution designation.</w:t>
      </w:r>
    </w:p>
    <w:p w14:paraId="58D4688C" w14:textId="77777777" w:rsidR="00D708EC" w:rsidRDefault="00000000">
      <w:pPr>
        <w:rPr>
          <w:rFonts w:hint="eastAsia"/>
        </w:rPr>
      </w:pPr>
      <w:r>
        <w:t>Claimant Fund Score: Below 30 credits / Verifier Fund Score: Any score / Outcome: Fallback to Extended Phase I; Testing Phase does not qualify as success.</w:t>
      </w:r>
    </w:p>
    <w:p w14:paraId="67BBA922" w14:textId="77777777" w:rsidR="00D708EC" w:rsidRDefault="00000000">
      <w:pPr>
        <w:rPr>
          <w:rFonts w:hint="eastAsia"/>
        </w:rPr>
      </w:pPr>
      <w:r>
        <w:t>18.2 Unified Assessment Checklist</w:t>
      </w:r>
    </w:p>
    <w:p w14:paraId="25547B3C" w14:textId="77777777" w:rsidR="00D708EC" w:rsidRDefault="00000000">
      <w:pPr>
        <w:rPr>
          <w:rFonts w:hint="eastAsia"/>
        </w:rPr>
      </w:pPr>
      <w:r>
        <w:lastRenderedPageBreak/>
        <w:t>The Phase Conclusion Assessment evaluates all performance indicators through a single unified checklist. The Assessment determines whether the following conditions are satisfied: performance benchmarks under Section 17 are met; zero persistent data quality failures under Section 1.3 occurred; the Claimant Party meets the verification score threshold under Section 18.1. Failure on any of these grounds produces a presumptive recommendation for fallback. Success on all grounds produces a presumptive recommendation for progression to a final arrangement or extension. The unified checklist replaces the need to consult multiple sections independently at the Decision Point.</w:t>
      </w:r>
    </w:p>
    <w:p w14:paraId="35086645" w14:textId="77777777" w:rsidR="00D708EC" w:rsidRDefault="00000000">
      <w:pPr>
        <w:rPr>
          <w:rFonts w:hint="eastAsia"/>
        </w:rPr>
      </w:pPr>
      <w:r>
        <w:t>18.3 Score Publication Contents</w:t>
      </w:r>
    </w:p>
    <w:p w14:paraId="1E4824C2" w14:textId="77777777" w:rsidR="00D708EC" w:rsidRDefault="00000000">
      <w:pPr>
        <w:rPr>
          <w:rFonts w:hint="eastAsia"/>
        </w:rPr>
      </w:pPr>
      <w:r>
        <w:t>Score publication includes: the total credit count for both Parties; the number of claims submitted, confirmed, challenged, and overturned; the average confirmation time; the challenge success rate; and any escalations, resets, or Second Opinions invoked. The Shared Digital Registry archives the full assessment permanently.</w:t>
      </w:r>
    </w:p>
    <w:p w14:paraId="50B6E916" w14:textId="77777777" w:rsidR="00D708EC" w:rsidRDefault="00000000">
      <w:pPr>
        <w:pStyle w:val="Heading3"/>
        <w:rPr>
          <w:rFonts w:hint="eastAsia"/>
        </w:rPr>
      </w:pPr>
      <w:r>
        <w:t>SECTION 19: EXPEDITED VERIFICATION</w:t>
      </w:r>
    </w:p>
    <w:p w14:paraId="1418DD31" w14:textId="77777777" w:rsidR="00D708EC" w:rsidRDefault="00000000">
      <w:pPr>
        <w:rPr>
          <w:rFonts w:hint="eastAsia"/>
        </w:rPr>
      </w:pPr>
      <w:r>
        <w:t>The framework architecture includes an expedited verification track for urgent incidents. Normal timelines compress automatically upon activation of the expedited track.</w:t>
      </w:r>
    </w:p>
    <w:p w14:paraId="18EA5F5E" w14:textId="77777777" w:rsidR="00D708EC" w:rsidRDefault="00000000">
      <w:pPr>
        <w:rPr>
          <w:rFonts w:hint="eastAsia"/>
        </w:rPr>
      </w:pPr>
      <w:r>
        <w:t>Claim submission deadline: Standard 24 hours from service delivery; Expedited 4 hours from incident detection.</w:t>
      </w:r>
    </w:p>
    <w:p w14:paraId="72596652" w14:textId="77777777" w:rsidR="00D708EC" w:rsidRDefault="00000000">
      <w:pPr>
        <w:rPr>
          <w:rFonts w:hint="eastAsia"/>
        </w:rPr>
      </w:pPr>
      <w:r>
        <w:t>Verifier response window: Standard 48 hours from confirmation; Expedited 6 hours from confirmation.</w:t>
      </w:r>
    </w:p>
    <w:p w14:paraId="6AB75B70" w14:textId="77777777" w:rsidR="00D708EC" w:rsidRDefault="00000000">
      <w:pPr>
        <w:rPr>
          <w:rFonts w:hint="eastAsia"/>
        </w:rPr>
      </w:pPr>
      <w:r>
        <w:t>Panel determination deadline: Standard 72 hours from challenge receipt; Expedited 12 hours from challenge receipt.</w:t>
      </w:r>
    </w:p>
    <w:p w14:paraId="173BB713" w14:textId="77777777" w:rsidR="00D708EC" w:rsidRDefault="00000000">
      <w:pPr>
        <w:rPr>
          <w:rFonts w:hint="eastAsia"/>
        </w:rPr>
      </w:pPr>
      <w:r>
        <w:t>Credit multiplier: Standard base rate applies; Expedited double credit value for verified claims.</w:t>
      </w:r>
    </w:p>
    <w:p w14:paraId="68EB1024" w14:textId="77777777" w:rsidR="00D708EC" w:rsidRDefault="00000000">
      <w:pPr>
        <w:rPr>
          <w:rFonts w:hint="eastAsia"/>
        </w:rPr>
      </w:pPr>
      <w:r>
        <w:t>The expedited track triggers automatically upon Joint Monitoring Cell classification of an incident as priority: potential interdiction, environmental emergency, or search-and-rescue activation. Either Party requests expedited classification by alerting the Joint Monitoring Cell Duty Officer. The Duty Officer confirms or denies the classification within 1 hour. Denial includes a written rationale logged in the Shared Digital Registry.</w:t>
      </w:r>
    </w:p>
    <w:p w14:paraId="1CD736C8" w14:textId="77777777" w:rsidR="00D708EC" w:rsidRDefault="00000000">
      <w:pPr>
        <w:pStyle w:val="Heading3"/>
        <w:rPr>
          <w:rFonts w:hint="eastAsia"/>
        </w:rPr>
      </w:pPr>
      <w:r>
        <w:t>SECTION 20: COUNTER-EVIDENCE REVIEW</w:t>
      </w:r>
    </w:p>
    <w:p w14:paraId="075D5A3F" w14:textId="77777777" w:rsidR="00D708EC" w:rsidRDefault="00000000">
      <w:pPr>
        <w:rPr>
          <w:rFonts w:hint="eastAsia"/>
        </w:rPr>
      </w:pPr>
      <w:r>
        <w:t>When the Panel issues an inconclusive determination, the framework architecture activates a Counter-Evidence Review procedure. An inconclusive determination means the Panel finds the evidence insufficient to support either full verification or full rejection.</w:t>
      </w:r>
    </w:p>
    <w:p w14:paraId="235BD038" w14:textId="77777777" w:rsidR="00D708EC" w:rsidRDefault="00000000">
      <w:pPr>
        <w:rPr>
          <w:rFonts w:hint="eastAsia"/>
        </w:rPr>
      </w:pPr>
      <w:r>
        <w:t xml:space="preserve">The Counter-Evidence Review operates as follows: the Panel schedules a hearing within 48 hours of the inconclusive determination. The Claimant Party presents additional definitive evidence within 24 hours of the hearing notice. The Verifier Party presents counter-evidence </w:t>
      </w:r>
      <w:r>
        <w:lastRenderedPageBreak/>
        <w:t>within 24 hours of the hearing notice. The Panel reviews the supplemental evidence and issues a final determination within 24 hours of the hearing.</w:t>
      </w:r>
    </w:p>
    <w:p w14:paraId="144FCA11" w14:textId="77777777" w:rsidR="00D708EC" w:rsidRDefault="00000000">
      <w:pPr>
        <w:rPr>
          <w:rFonts w:hint="eastAsia"/>
        </w:rPr>
      </w:pPr>
      <w:r>
        <w:t>Claimant Party's new evidence confirms the claim and the Verifier Party fails to refute it: The claim verifies at double the standard credit value.</w:t>
      </w:r>
    </w:p>
    <w:p w14:paraId="540799DC" w14:textId="77777777" w:rsidR="00D708EC" w:rsidRDefault="00000000">
      <w:pPr>
        <w:rPr>
          <w:rFonts w:hint="eastAsia"/>
        </w:rPr>
      </w:pPr>
      <w:r>
        <w:t>Verifier Party's counter-evidence definitively refutes the claim: The Panel rejects the claim permanently with double the standard penalty.</w:t>
      </w:r>
    </w:p>
    <w:p w14:paraId="42A662CA" w14:textId="77777777" w:rsidR="00D708EC" w:rsidRDefault="00000000">
      <w:pPr>
        <w:rPr>
          <w:rFonts w:hint="eastAsia"/>
        </w:rPr>
      </w:pPr>
      <w:r>
        <w:t>Evidence remains inconclusive after Counter-Evidence Review: The claim receives 50 percent credit automatically; no Party receives bonus or penalty.</w:t>
      </w:r>
    </w:p>
    <w:p w14:paraId="0428BF5F" w14:textId="77777777" w:rsidR="00D708EC" w:rsidRDefault="00000000">
      <w:pPr>
        <w:rPr>
          <w:rFonts w:hint="eastAsia"/>
        </w:rPr>
      </w:pPr>
      <w:r>
        <w:t>The Counter-Evidence Review closes all claims. No claim returns for additional review after this procedure. The Shared Digital Registry logs the Panel's final determination and all evidence submitted during the review. Both Parties receive identical copies of the complete record.</w:t>
      </w:r>
    </w:p>
    <w:p w14:paraId="2A4246C7" w14:textId="77777777" w:rsidR="00D708EC" w:rsidRDefault="00000000">
      <w:pPr>
        <w:pStyle w:val="Heading3"/>
        <w:rPr>
          <w:rFonts w:hint="eastAsia"/>
        </w:rPr>
      </w:pPr>
      <w:r>
        <w:t>SECTION 21: SCORE RESET AND PHASE TRANSITIONS</w:t>
      </w:r>
    </w:p>
    <w:p w14:paraId="4BA1FAA9" w14:textId="77777777" w:rsidR="00D708EC" w:rsidRDefault="00000000">
      <w:pPr>
        <w:rPr>
          <w:rFonts w:hint="eastAsia"/>
        </w:rPr>
      </w:pPr>
      <w:r>
        <w:t>The framework architecture resets Verification Scores at phase boundaries according to the following schedule:</w:t>
      </w:r>
    </w:p>
    <w:p w14:paraId="201A1258" w14:textId="77777777" w:rsidR="00D708EC" w:rsidRDefault="00000000">
      <w:pPr>
        <w:rPr>
          <w:rFonts w:hint="eastAsia"/>
        </w:rPr>
      </w:pPr>
      <w:r>
        <w:t>Testing Phase (Days 1 through 14): Both Parties start at 0 credits. Scores carry forward to Cooling-Off Period as base scores on Day 15.</w:t>
      </w:r>
    </w:p>
    <w:p w14:paraId="233E717E" w14:textId="77777777" w:rsidR="00D708EC" w:rsidRDefault="00000000">
      <w:pPr>
        <w:rPr>
          <w:rFonts w:hint="eastAsia"/>
        </w:rPr>
      </w:pPr>
      <w:r>
        <w:t>Cooling-Off Period (Days 15 through 44): Testing Phase final scores become starting balances. Scores freeze and publish on Day 45; no further verification activity.</w:t>
      </w:r>
    </w:p>
    <w:p w14:paraId="2D94B91B" w14:textId="77777777" w:rsidR="00D708EC" w:rsidRDefault="00000000">
      <w:pPr>
        <w:rPr>
          <w:rFonts w:hint="eastAsia"/>
        </w:rPr>
      </w:pPr>
      <w:r>
        <w:t>Decision Point (Days 45 through 51): Scores are frozen and published. No further claims, challenges, or score changes; only political decision remains.</w:t>
      </w:r>
    </w:p>
    <w:p w14:paraId="3D8DFB7A" w14:textId="77777777" w:rsidR="00D708EC" w:rsidRDefault="00000000">
      <w:pPr>
        <w:rPr>
          <w:rFonts w:hint="eastAsia"/>
        </w:rPr>
      </w:pPr>
      <w:r>
        <w:t>The score reset between phases ensures that each phase begins with a clear baseline. Historical scores inform the phase assessment but do not predetermine the next phase's outcome. The Good Faith Reset under Section 15.4 operates independently of the phase reset and applies within the current phase only.</w:t>
      </w:r>
    </w:p>
    <w:p w14:paraId="0AF559C8" w14:textId="77777777" w:rsidR="00D708EC" w:rsidRDefault="00000000">
      <w:pPr>
        <w:rPr>
          <w:rFonts w:hint="eastAsia"/>
        </w:rPr>
      </w:pPr>
      <w:r>
        <w:t>No Party re-litigates a claim after the phase in which the claim was submitted concludes. The Shared Digital Registry archives all claims, determinations, and scores permanently for audit purposes. The framework architecture treats historical verification data as the factual baseline for all future phase assessments.</w:t>
      </w:r>
    </w:p>
    <w:p w14:paraId="0181F4B3" w14:textId="77777777" w:rsidR="00D708EC" w:rsidRDefault="00000000">
      <w:pPr>
        <w:pStyle w:val="Heading3"/>
        <w:rPr>
          <w:rFonts w:hint="eastAsia"/>
        </w:rPr>
      </w:pPr>
      <w:r>
        <w:t>SECTION 22: MATERIAL BREACH PROTOCOL</w:t>
      </w:r>
    </w:p>
    <w:p w14:paraId="71951C7D" w14:textId="77777777" w:rsidR="00D708EC" w:rsidRDefault="00000000">
      <w:pPr>
        <w:rPr>
          <w:rFonts w:hint="eastAsia"/>
        </w:rPr>
      </w:pPr>
      <w:r>
        <w:t>The framework architecture recognizes the following actions as Material Breach: deliberate jamming or interference with satellite feeds or sensor data originating from a Party's territory or assets; deliberate refusal to transmit data to the Shared Digital Registry after system activation; failure to maintain Joint Monitoring Cell staffing at the minimum defined level for more than 72 consecutive hours; persistent transmission of data below the signal-to-noise threshold or in a format that violates the shared protocol.</w:t>
      </w:r>
    </w:p>
    <w:p w14:paraId="0072E0B9" w14:textId="77777777" w:rsidR="00D708EC" w:rsidRDefault="00000000">
      <w:pPr>
        <w:rPr>
          <w:rFonts w:hint="eastAsia"/>
        </w:rPr>
      </w:pPr>
      <w:r>
        <w:lastRenderedPageBreak/>
        <w:t>A Material Breach activates the following framework response: the non-breaching Party logs the breach in the Shared Digital Registry with supporting telemetry; the Joint Monitoring Cell Chief Technical Officer confirms the breach classification within 48 hours; and the Permanent Coordination Council convenes an emergency mediation session within 72 hours of confirmation.</w:t>
      </w:r>
    </w:p>
    <w:p w14:paraId="5223DB38" w14:textId="77777777" w:rsidR="00D708EC" w:rsidRDefault="00000000">
      <w:pPr>
        <w:rPr>
          <w:rFonts w:hint="eastAsia"/>
        </w:rPr>
      </w:pPr>
      <w:r>
        <w:t>The framework architecture continues all technical monitoring during a Material Breach dispute. Neither Party suspends data transmission or withdraws Joint Monitoring Cell personnel during a Material Breach dispute.</w:t>
      </w:r>
    </w:p>
    <w:p w14:paraId="449DCE28" w14:textId="77777777" w:rsidR="00D708EC" w:rsidRDefault="00000000">
      <w:pPr>
        <w:pStyle w:val="Heading3"/>
        <w:rPr>
          <w:rFonts w:hint="eastAsia"/>
        </w:rPr>
      </w:pPr>
      <w:r>
        <w:t>SECTION 23: TECHNICAL CORRECTIONS PROTOCOL</w:t>
      </w:r>
    </w:p>
    <w:p w14:paraId="74FABF87" w14:textId="77777777" w:rsidR="00D708EC" w:rsidRDefault="00000000">
      <w:pPr>
        <w:rPr>
          <w:rFonts w:hint="eastAsia"/>
        </w:rPr>
      </w:pPr>
      <w:r>
        <w:t>The Joint Monitoring Cell Chief Technical Officer, in consultation with the Swiss facilitator, issues technical corrections to this Method to address non-material errors. Technical corrections include typographical errors, incorrect cross-references, inconsistent numbering, and minor formatting inconsistencies. The Officer does not issue technical corrections that alter substantive obligations, rights, or timelines.</w:t>
      </w:r>
    </w:p>
    <w:p w14:paraId="52928691" w14:textId="77777777" w:rsidR="00D708EC" w:rsidRDefault="00000000">
      <w:pPr>
        <w:rPr>
          <w:rFonts w:hint="eastAsia"/>
        </w:rPr>
      </w:pPr>
      <w:r>
        <w:t>Every technical correction follows this protocol: the Officer logs the correction in the Shared Digital Registry; the Officer notifies both Parties within 48 hours of logging; the correction takes effect immediately upon notification. Either Party objects to a technical correction within 7 days of notification. An objection suspends the correction pending mutual agreement or Permanent Coordination Council review. If no Party lodges an objection within 7 days, the correction becomes permanent.</w:t>
      </w:r>
    </w:p>
    <w:p w14:paraId="5A415180" w14:textId="77777777" w:rsidR="00D708EC" w:rsidRDefault="00000000">
      <w:pPr>
        <w:pStyle w:val="Heading3"/>
        <w:rPr>
          <w:rFonts w:hint="eastAsia"/>
        </w:rPr>
      </w:pPr>
      <w:r>
        <w:t>SECTION 24: DECLASSIFICATION SCHEDULE</w:t>
      </w:r>
    </w:p>
    <w:p w14:paraId="16E079C3" w14:textId="77777777" w:rsidR="00D708EC" w:rsidRDefault="00000000">
      <w:pPr>
        <w:rPr>
          <w:rFonts w:hint="eastAsia"/>
        </w:rPr>
      </w:pPr>
      <w:r>
        <w:t>This Method and all operational data logged in the Shared Digital Registry declassify automatically and enter the public domain on the first anniversary of the earlier of: signature of a Final Deal, or entry into Extended Phase I.</w:t>
      </w:r>
    </w:p>
    <w:p w14:paraId="3CABF4A6" w14:textId="77777777" w:rsidR="00D708EC" w:rsidRDefault="00000000">
      <w:pPr>
        <w:rPr>
          <w:rFonts w:hint="eastAsia"/>
        </w:rPr>
      </w:pPr>
      <w:r>
        <w:t>Both Parties jointly agree to delay declassification for one additional year by written notice to the Permanent Coordination Council. The framework architecture permits no more than two such delays. The total maximum classification period is three years from the declassification trigger date.</w:t>
      </w:r>
    </w:p>
    <w:p w14:paraId="2BD550BC" w14:textId="77777777" w:rsidR="00D708EC" w:rsidRDefault="00000000">
      <w:pPr>
        <w:rPr>
          <w:rFonts w:hint="eastAsia"/>
        </w:rPr>
      </w:pPr>
      <w:r>
        <w:t>Redaction of personal identifying information of Joint Monitoring Cell staff and operational personnel occurs prior to public release. The Swiss facilitator completes redaction and releases the declassified material within 30 days of the declassification trigger date.</w:t>
      </w:r>
    </w:p>
    <w:p w14:paraId="3186FA44" w14:textId="77777777" w:rsidR="00D708EC" w:rsidRDefault="00000000">
      <w:pPr>
        <w:pStyle w:val="Heading3"/>
        <w:rPr>
          <w:rFonts w:hint="eastAsia"/>
        </w:rPr>
      </w:pPr>
      <w:r>
        <w:t>SECTION 25: SUMMARY OPERATING PRINCIPLES</w:t>
      </w:r>
    </w:p>
    <w:p w14:paraId="223BBE80" w14:textId="77777777" w:rsidR="00D708EC" w:rsidRDefault="00000000">
      <w:pPr>
        <w:rPr>
          <w:rFonts w:hint="eastAsia"/>
        </w:rPr>
      </w:pPr>
      <w:r>
        <w:t>1. Proportionality governs everything. The penalty fits the violation.</w:t>
      </w:r>
    </w:p>
    <w:p w14:paraId="6907E607" w14:textId="77777777" w:rsidR="00D708EC" w:rsidRDefault="00000000">
      <w:pPr>
        <w:rPr>
          <w:rFonts w:hint="eastAsia"/>
        </w:rPr>
      </w:pPr>
      <w:r>
        <w:t>2. Human judgment sits above automation. AI informs; humans decide.</w:t>
      </w:r>
    </w:p>
    <w:p w14:paraId="6F1076DA" w14:textId="77777777" w:rsidR="00D708EC" w:rsidRDefault="00000000">
      <w:pPr>
        <w:rPr>
          <w:rFonts w:hint="eastAsia"/>
        </w:rPr>
      </w:pPr>
      <w:r>
        <w:t>3. Earn-back is always available. No violation creates permanent exclusion.</w:t>
      </w:r>
    </w:p>
    <w:p w14:paraId="65AC8101" w14:textId="77777777" w:rsidR="00D708EC" w:rsidRDefault="00000000">
      <w:pPr>
        <w:rPr>
          <w:rFonts w:hint="eastAsia"/>
        </w:rPr>
      </w:pPr>
      <w:r>
        <w:t>4. Humanitarian flows are sacred. No step-back touches food, medicine, or safety.</w:t>
      </w:r>
    </w:p>
    <w:p w14:paraId="25DDEE4A" w14:textId="77777777" w:rsidR="00D708EC" w:rsidRDefault="00000000">
      <w:pPr>
        <w:rPr>
          <w:rFonts w:hint="eastAsia"/>
        </w:rPr>
      </w:pPr>
      <w:r>
        <w:lastRenderedPageBreak/>
        <w:t>5. Modules fire independently. Failure in one does not collapse the rest.</w:t>
      </w:r>
    </w:p>
    <w:p w14:paraId="4E0B4813" w14:textId="77777777" w:rsidR="00D708EC" w:rsidRDefault="00000000">
      <w:pPr>
        <w:rPr>
          <w:rFonts w:hint="eastAsia"/>
        </w:rPr>
      </w:pPr>
      <w:r>
        <w:t>6. Cooling-off prevents heat-of-moment escalation. Every penalty pauses for consultation.</w:t>
      </w:r>
    </w:p>
    <w:p w14:paraId="21D8EDC6" w14:textId="77777777" w:rsidR="00D708EC" w:rsidRDefault="00000000">
      <w:pPr>
        <w:rPr>
          <w:rFonts w:hint="eastAsia"/>
        </w:rPr>
      </w:pPr>
      <w:r>
        <w:t>7. Monitoring gaps trigger automatic protection. The 48-hour telemetry rule has no human override.</w:t>
      </w:r>
    </w:p>
    <w:p w14:paraId="1A269BD9" w14:textId="77777777" w:rsidR="00D708EC" w:rsidRDefault="00000000">
      <w:pPr>
        <w:rPr>
          <w:rFonts w:hint="eastAsia"/>
        </w:rPr>
      </w:pPr>
      <w:r>
        <w:t>8. Partial success survives. The framework endures even when individual modules lag.</w:t>
      </w:r>
    </w:p>
    <w:p w14:paraId="5635A248" w14:textId="77777777" w:rsidR="00D708EC" w:rsidRDefault="00000000">
      <w:pPr>
        <w:rPr>
          <w:rFonts w:hint="eastAsia"/>
        </w:rPr>
      </w:pPr>
      <w:r>
        <w:t>9. Military escalation is structurally decoupled. Economic penalties never authorize force.</w:t>
      </w:r>
    </w:p>
    <w:p w14:paraId="629F84D0" w14:textId="77777777" w:rsidR="00D708EC" w:rsidRDefault="00000000">
      <w:pPr>
        <w:rPr>
          <w:rFonts w:hint="eastAsia"/>
        </w:rPr>
      </w:pPr>
      <w:r>
        <w:t>10. The framework architecture presumes good faith. Attribution requires evidence. False flags are excluded.</w:t>
      </w:r>
    </w:p>
    <w:p w14:paraId="1CB7058B" w14:textId="77777777" w:rsidR="00D708EC" w:rsidRDefault="00000000">
      <w:pPr>
        <w:rPr>
          <w:rFonts w:hint="eastAsia"/>
        </w:rPr>
      </w:pPr>
      <w:r>
        <w:t>11. Data is data. No political meaning attaches to its collection or sharing.</w:t>
      </w:r>
    </w:p>
    <w:p w14:paraId="345C6124" w14:textId="77777777" w:rsidR="00D708EC" w:rsidRDefault="00000000">
      <w:pPr>
        <w:rPr>
          <w:rFonts w:hint="eastAsia"/>
        </w:rPr>
      </w:pPr>
      <w:r>
        <w:t>12. Verification is reciprocal. Both parties invest; both parties verify; both parties recover.</w:t>
      </w:r>
    </w:p>
    <w:p w14:paraId="57076C08" w14:textId="77777777" w:rsidR="00D708EC" w:rsidRDefault="00000000">
      <w:pPr>
        <w:pStyle w:val="Heading2"/>
        <w:rPr>
          <w:rFonts w:hint="eastAsia"/>
        </w:rPr>
      </w:pPr>
      <w:bookmarkStart w:id="153" w:name="_Toc237663667"/>
      <w:r>
        <w:t>CLOSING</w:t>
      </w:r>
      <w:bookmarkEnd w:id="153"/>
    </w:p>
    <w:p w14:paraId="52C85376" w14:textId="77777777" w:rsidR="00D708EC" w:rsidRDefault="00000000">
      <w:pPr>
        <w:rPr>
          <w:rFonts w:hint="eastAsia"/>
        </w:rPr>
      </w:pPr>
      <w:r>
        <w:t>The Cothrom Verification Method converts compliance enforcement from a weapon of coercion into a mechanism of stabilization. It protects both parties from accidental collapse, preserves humanitarian flows through crises, creates clear and achievable pathways back to full compliance, and ensures that the framework outlives the inevitable imperfections of implementation. The framework architecture designs this Method not for a world of perfect compliance, but for a world of human fallibility, political friction, and the enduring possibility of recovery.</w:t>
      </w:r>
    </w:p>
    <w:p w14:paraId="6A36A690" w14:textId="77777777" w:rsidR="00D708EC" w:rsidRDefault="00000000">
      <w:pPr>
        <w:rPr>
          <w:rFonts w:hint="eastAsia"/>
        </w:rPr>
      </w:pPr>
      <w:r>
        <w:t>"Cothrom" means equal. Equal stakes. Equal scrutiny. Equal protection. Equal opportunity to recover. That is the architecture.</w:t>
      </w:r>
    </w:p>
    <w:p w14:paraId="4DA0D434" w14:textId="77777777" w:rsidR="00D708EC" w:rsidRDefault="00D708EC">
      <w:pPr>
        <w:pageBreakBefore/>
        <w:rPr>
          <w:rFonts w:hint="eastAsia"/>
        </w:rPr>
      </w:pPr>
    </w:p>
    <w:p w14:paraId="2DF9AC54" w14:textId="77777777" w:rsidR="00D708EC" w:rsidRDefault="00000000">
      <w:pPr>
        <w:pStyle w:val="Heading1"/>
        <w:rPr>
          <w:rFonts w:hint="eastAsia"/>
        </w:rPr>
      </w:pPr>
      <w:bookmarkStart w:id="154" w:name="_Toc237663668"/>
      <w:r>
        <w:t>ANNEX RDF: THE RECONSTRUCTION AND DEVELOPMENT FUND PROTOCOL (FULL TEXT, INCORPORATED AS OPERATIVE LAW)</w:t>
      </w:r>
      <w:bookmarkEnd w:id="154"/>
    </w:p>
    <w:p w14:paraId="5E54D965" w14:textId="77777777" w:rsidR="00D708EC" w:rsidRDefault="00000000">
      <w:pPr>
        <w:pStyle w:val="Quote"/>
        <w:rPr>
          <w:rFonts w:hint="eastAsia"/>
        </w:rPr>
      </w:pPr>
      <w:r>
        <w:t>A multilateral, modular blueprint for the reconstruction of Iran; self-contained and incorporable by reference; incorporated into this Accord by Article 37 and binding as written, subject to the hierarchy of Article 11.2 of this Accord.</w:t>
      </w:r>
    </w:p>
    <w:p w14:paraId="7824F172" w14:textId="77777777" w:rsidR="00D708EC" w:rsidRDefault="00000000">
      <w:pPr>
        <w:pStyle w:val="Heading2"/>
        <w:rPr>
          <w:rFonts w:hint="eastAsia"/>
        </w:rPr>
      </w:pPr>
      <w:bookmarkStart w:id="155" w:name="_Toc237663669"/>
      <w:r>
        <w:t>ANNEX RDF</w:t>
      </w:r>
      <w:bookmarkEnd w:id="155"/>
    </w:p>
    <w:p w14:paraId="3C4FA8FC" w14:textId="77777777" w:rsidR="00D708EC" w:rsidRDefault="00000000">
      <w:pPr>
        <w:rPr>
          <w:rFonts w:hint="eastAsia"/>
        </w:rPr>
      </w:pPr>
      <w:r>
        <w:t>Reconstruction and Development Fund Protocol</w:t>
      </w:r>
    </w:p>
    <w:p w14:paraId="5712AE14" w14:textId="77777777" w:rsidR="00D708EC" w:rsidRDefault="00000000">
      <w:pPr>
        <w:rPr>
          <w:rFonts w:hint="eastAsia"/>
        </w:rPr>
      </w:pPr>
      <w:r>
        <w:t>A Multilateral, Modular Blueprint for Iran's Reconstruction</w:t>
      </w:r>
    </w:p>
    <w:p w14:paraId="02AD09A4" w14:textId="77777777" w:rsidR="00D708EC" w:rsidRDefault="00000000">
      <w:pPr>
        <w:rPr>
          <w:rFonts w:hint="eastAsia"/>
        </w:rPr>
      </w:pPr>
      <w:r>
        <w:t>A Self-Contained · Incorporable by Reference Protocol</w:t>
      </w:r>
    </w:p>
    <w:p w14:paraId="435779EC" w14:textId="77777777" w:rsidR="00D708EC" w:rsidRDefault="00000000">
      <w:pPr>
        <w:rPr>
          <w:rFonts w:hint="eastAsia"/>
        </w:rPr>
      </w:pPr>
      <w:r>
        <w:t>For the Islamabad Accord</w:t>
      </w:r>
    </w:p>
    <w:p w14:paraId="0DED260F" w14:textId="77777777" w:rsidR="00D708EC" w:rsidRDefault="00000000">
      <w:pPr>
        <w:rPr>
          <w:rFonts w:hint="eastAsia"/>
        </w:rPr>
      </w:pPr>
      <w:r>
        <w:t>Version 1.0 | June 2026</w:t>
      </w:r>
    </w:p>
    <w:p w14:paraId="5DD9D754" w14:textId="77777777" w:rsidR="00D708EC" w:rsidRDefault="00000000">
      <w:pPr>
        <w:pStyle w:val="Heading2"/>
        <w:rPr>
          <w:rFonts w:hint="eastAsia"/>
        </w:rPr>
      </w:pPr>
      <w:bookmarkStart w:id="156" w:name="_Toc237663670"/>
      <w:r>
        <w:t>Preamble</w:t>
      </w:r>
      <w:bookmarkEnd w:id="156"/>
    </w:p>
    <w:p w14:paraId="09268F1B" w14:textId="77777777" w:rsidR="00D708EC" w:rsidRDefault="00000000">
      <w:pPr>
        <w:rPr>
          <w:rFonts w:hint="eastAsia"/>
        </w:rPr>
      </w:pPr>
      <w:r>
        <w:t>This document reflects the capitalization status and prospective contributor landscape as understood at the time of drafting. Figures, participation, and timelines are indicative of the contemporaneous negotiation environment and the Reconstruction Steering Committee updates them without amendment to the operative Articles of this Protocol.</w:t>
      </w:r>
    </w:p>
    <w:p w14:paraId="274CAD44" w14:textId="77777777" w:rsidR="00D708EC" w:rsidRDefault="00000000">
      <w:pPr>
        <w:rPr>
          <w:rFonts w:hint="eastAsia"/>
        </w:rPr>
      </w:pPr>
      <w:r>
        <w:t>The Parties acknowledge the extensive damage to Iranian civilian infrastructure resulting from the 2026 conflict. Iranian officials estimate total reconstruction costs at approximately $270 billion over a ten-year horizon, encompassing:</w:t>
      </w:r>
    </w:p>
    <w:p w14:paraId="439FD4DB" w14:textId="77777777" w:rsidR="00D708EC" w:rsidRDefault="00000000">
      <w:pPr>
        <w:ind w:left="360"/>
        <w:rPr>
          <w:rFonts w:hint="eastAsia"/>
        </w:rPr>
      </w:pPr>
      <w:r>
        <w:rPr>
          <w:color w:val="37474F"/>
        </w:rPr>
        <w:t>•</w:t>
      </w:r>
      <w:r>
        <w:t>Energy infrastructure (power plants, refineries, pipelines)</w:t>
      </w:r>
    </w:p>
    <w:p w14:paraId="65B5B684" w14:textId="77777777" w:rsidR="00D708EC" w:rsidRDefault="00000000">
      <w:pPr>
        <w:ind w:left="360"/>
        <w:rPr>
          <w:rFonts w:hint="eastAsia"/>
        </w:rPr>
      </w:pPr>
      <w:r>
        <w:rPr>
          <w:color w:val="37474F"/>
        </w:rPr>
        <w:t>•</w:t>
      </w:r>
      <w:r>
        <w:t>Transportation networks (roads, railways, ports, airports)</w:t>
      </w:r>
    </w:p>
    <w:p w14:paraId="0727C172" w14:textId="77777777" w:rsidR="00D708EC" w:rsidRDefault="00000000">
      <w:pPr>
        <w:ind w:left="360"/>
        <w:rPr>
          <w:rFonts w:hint="eastAsia"/>
        </w:rPr>
      </w:pPr>
      <w:r>
        <w:rPr>
          <w:color w:val="37474F"/>
        </w:rPr>
        <w:t>•</w:t>
      </w:r>
      <w:r>
        <w:t>Water and sanitation systems</w:t>
      </w:r>
    </w:p>
    <w:p w14:paraId="1B34DD93" w14:textId="77777777" w:rsidR="00D708EC" w:rsidRDefault="00000000">
      <w:pPr>
        <w:ind w:left="360"/>
        <w:rPr>
          <w:rFonts w:hint="eastAsia"/>
        </w:rPr>
      </w:pPr>
      <w:r>
        <w:rPr>
          <w:color w:val="37474F"/>
        </w:rPr>
        <w:t>•</w:t>
      </w:r>
      <w:r>
        <w:t>Healthcare facilities and medical supply chains</w:t>
      </w:r>
    </w:p>
    <w:p w14:paraId="56251BDB" w14:textId="77777777" w:rsidR="00D708EC" w:rsidRDefault="00000000">
      <w:pPr>
        <w:ind w:left="360"/>
        <w:rPr>
          <w:rFonts w:hint="eastAsia"/>
        </w:rPr>
      </w:pPr>
      <w:r>
        <w:rPr>
          <w:color w:val="37474F"/>
        </w:rPr>
        <w:t>•</w:t>
      </w:r>
      <w:r>
        <w:t>Educational institutions and research centers</w:t>
      </w:r>
    </w:p>
    <w:p w14:paraId="68AA7706" w14:textId="77777777" w:rsidR="00D708EC" w:rsidRDefault="00000000">
      <w:pPr>
        <w:ind w:left="360"/>
        <w:rPr>
          <w:rFonts w:hint="eastAsia"/>
        </w:rPr>
      </w:pPr>
      <w:r>
        <w:rPr>
          <w:color w:val="37474F"/>
        </w:rPr>
        <w:t>•</w:t>
      </w:r>
      <w:r>
        <w:t>Residential housing and urban reconstruction</w:t>
      </w:r>
    </w:p>
    <w:p w14:paraId="6EA5128B" w14:textId="77777777" w:rsidR="00D708EC" w:rsidRDefault="00000000">
      <w:pPr>
        <w:ind w:left="360"/>
        <w:rPr>
          <w:rFonts w:hint="eastAsia"/>
        </w:rPr>
      </w:pPr>
      <w:r>
        <w:rPr>
          <w:color w:val="37474F"/>
        </w:rPr>
        <w:t>•</w:t>
      </w:r>
      <w:r>
        <w:t>Agricultural and food security infrastructure</w:t>
      </w:r>
    </w:p>
    <w:p w14:paraId="4DC557E1" w14:textId="77777777" w:rsidR="00D708EC" w:rsidRDefault="00000000">
      <w:pPr>
        <w:rPr>
          <w:rFonts w:hint="eastAsia"/>
        </w:rPr>
      </w:pPr>
      <w:r>
        <w:t xml:space="preserve">The Parties further recognize that direct U.S. financial aid or un-vetted capital flows to Iran are politically impossible for Washington. The United States cannot be seen as paying for </w:t>
      </w:r>
      <w:r>
        <w:lastRenderedPageBreak/>
        <w:t>Iranian reconstruction without risking severe domestic political backlash and accusations of rewarding aggression. Conversely, Iran cannot accept direct U.S. funding without undermining its narrative of sovereign resilience and resistance.</w:t>
      </w:r>
    </w:p>
    <w:p w14:paraId="26C93678" w14:textId="77777777" w:rsidR="00D708EC" w:rsidRDefault="00000000">
      <w:pPr>
        <w:rPr>
          <w:rFonts w:hint="eastAsia"/>
        </w:rPr>
      </w:pPr>
      <w:r>
        <w:t>This Annex therefore establishes the Multilateral Reconstruction Fund (MRF): a highly innovative, modular financial architecture that routes third-party capital, humanitarian aid, and industrial investments through neutral channels without requiring direct, high-visibility U.S. state funding or triggering primary U.S. sanctions lines.</w:t>
      </w:r>
    </w:p>
    <w:p w14:paraId="103B6A5F" w14:textId="77777777" w:rsidR="00D708EC" w:rsidRDefault="00000000">
      <w:pPr>
        <w:rPr>
          <w:rFonts w:hint="eastAsia"/>
        </w:rPr>
      </w:pPr>
      <w:r>
        <w:t>The MRF operates on the following core principles:</w:t>
      </w:r>
    </w:p>
    <w:p w14:paraId="526C6AA5" w14:textId="77777777" w:rsidR="00D708EC" w:rsidRDefault="00000000">
      <w:pPr>
        <w:pStyle w:val="Heading3"/>
        <w:rPr>
          <w:rFonts w:hint="eastAsia"/>
        </w:rPr>
      </w:pPr>
      <w:r>
        <w:t>Third-Party Capital Aggregation</w:t>
      </w:r>
    </w:p>
    <w:p w14:paraId="24441542" w14:textId="77777777" w:rsidR="00D708EC" w:rsidRDefault="00000000">
      <w:pPr>
        <w:rPr>
          <w:rFonts w:hint="eastAsia"/>
        </w:rPr>
      </w:pPr>
      <w:r>
        <w:t>The MRF aggregates contributions from multiple sources: sovereign wealth funds, international development banks, private investors, humanitarian organizations, and regional states: into a neutral escrow administered by the State of Qatar and the World Bank.</w:t>
      </w:r>
    </w:p>
    <w:p w14:paraId="62F04C3B" w14:textId="77777777" w:rsidR="00D708EC" w:rsidRDefault="00000000">
      <w:pPr>
        <w:pStyle w:val="Heading3"/>
        <w:rPr>
          <w:rFonts w:hint="eastAsia"/>
        </w:rPr>
      </w:pPr>
      <w:r>
        <w:t>Iranian Sovereignty Over Project Selection</w:t>
      </w:r>
    </w:p>
    <w:p w14:paraId="37A969AC" w14:textId="77777777" w:rsidR="00D708EC" w:rsidRDefault="00000000">
      <w:pPr>
        <w:rPr>
          <w:rFonts w:hint="eastAsia"/>
        </w:rPr>
      </w:pPr>
      <w:r>
        <w:t>Iran retains full sovereign authority over reconstruction priorities and project selection. The MRF does not impose projects on Iran; Iran proposes projects, and the MRF funds those that meet technical and financial criteria.</w:t>
      </w:r>
    </w:p>
    <w:p w14:paraId="7947B715" w14:textId="77777777" w:rsidR="00D708EC" w:rsidRDefault="00000000">
      <w:pPr>
        <w:pStyle w:val="Heading3"/>
        <w:rPr>
          <w:rFonts w:hint="eastAsia"/>
        </w:rPr>
      </w:pPr>
      <w:r>
        <w:t>Neutral Channeling</w:t>
      </w:r>
    </w:p>
    <w:p w14:paraId="4F47AB65" w14:textId="77777777" w:rsidR="00D708EC" w:rsidRDefault="00000000">
      <w:pPr>
        <w:rPr>
          <w:rFonts w:hint="eastAsia"/>
        </w:rPr>
      </w:pPr>
      <w:r>
        <w:t>All funds flow through the Qatar Central Bank, the World Bank, or other internationally recognized financial intermediaries. The United States does not disburse funds directly to Iran, and no U.S. government funds are co-mingled with MRF funds. U.S. contributions, if any, are limited to technical assistance, project identification, or capacity building: never direct cash transfers.</w:t>
      </w:r>
    </w:p>
    <w:p w14:paraId="0B872AD2" w14:textId="77777777" w:rsidR="00D708EC" w:rsidRDefault="00000000">
      <w:pPr>
        <w:pStyle w:val="Heading3"/>
        <w:rPr>
          <w:rFonts w:hint="eastAsia"/>
        </w:rPr>
      </w:pPr>
      <w:r>
        <w:t>Modularity</w:t>
      </w:r>
    </w:p>
    <w:p w14:paraId="5B8267B2" w14:textId="77777777" w:rsidR="00D708EC" w:rsidRDefault="00000000">
      <w:pPr>
        <w:rPr>
          <w:rFonts w:hint="eastAsia"/>
        </w:rPr>
      </w:pPr>
      <w:r>
        <w:t>The MRF divides into independent sub-funds, each addressing a specific sector (energy, water, transportation, healthcare, education, housing). Failure or delay in one sub-fund does not affect others.</w:t>
      </w:r>
    </w:p>
    <w:p w14:paraId="34D0F45A" w14:textId="77777777" w:rsidR="00D708EC" w:rsidRDefault="00000000">
      <w:pPr>
        <w:pStyle w:val="Heading3"/>
        <w:rPr>
          <w:rFonts w:hint="eastAsia"/>
        </w:rPr>
      </w:pPr>
      <w:r>
        <w:t>Performance-Based Disbursement</w:t>
      </w:r>
    </w:p>
    <w:p w14:paraId="4F3AEE9F" w14:textId="77777777" w:rsidR="00D708EC" w:rsidRDefault="00000000">
      <w:pPr>
        <w:rPr>
          <w:rFonts w:hint="eastAsia"/>
        </w:rPr>
      </w:pPr>
      <w:r>
        <w:t>Like the Escrow Protocol, MRF disbursements are tied to verifiable milestones: in this case, project completion, procurement verification, and independent auditing.</w:t>
      </w:r>
    </w:p>
    <w:p w14:paraId="22E12002" w14:textId="77777777" w:rsidR="00D708EC" w:rsidRDefault="00000000">
      <w:pPr>
        <w:pStyle w:val="Heading3"/>
        <w:rPr>
          <w:rFonts w:hint="eastAsia"/>
        </w:rPr>
      </w:pPr>
      <w:r>
        <w:t>Sanctions Firewall</w:t>
      </w:r>
    </w:p>
    <w:p w14:paraId="3195A2D3" w14:textId="77777777" w:rsidR="00D708EC" w:rsidRDefault="00000000">
      <w:pPr>
        <w:rPr>
          <w:rFonts w:hint="eastAsia"/>
        </w:rPr>
      </w:pPr>
      <w:r>
        <w:t>MRF transactions are explicitly exempt from U.S. secondary sanctions. Participating financial institutions receive a general license from OFAC for all MRF-related activities.</w:t>
      </w:r>
    </w:p>
    <w:p w14:paraId="54945809" w14:textId="77777777" w:rsidR="00D708EC" w:rsidRDefault="00000000">
      <w:pPr>
        <w:pStyle w:val="Heading2"/>
        <w:rPr>
          <w:rFonts w:hint="eastAsia"/>
        </w:rPr>
      </w:pPr>
      <w:bookmarkStart w:id="157" w:name="_Toc237663671"/>
      <w:r>
        <w:lastRenderedPageBreak/>
        <w:t>Index</w:t>
      </w:r>
      <w:bookmarkEnd w:id="157"/>
    </w:p>
    <w:p w14:paraId="5A0233E0" w14:textId="77777777" w:rsidR="00D708EC" w:rsidRDefault="00000000">
      <w:pPr>
        <w:rPr>
          <w:rFonts w:hint="eastAsia"/>
        </w:rPr>
      </w:pPr>
      <w:r>
        <w:t>The following numbered index provides a complete guide to the articles, appendices, and major sections of this Annex with their corresponding page numbers.</w:t>
      </w:r>
    </w:p>
    <w:p w14:paraId="218CF3B7" w14:textId="77777777" w:rsidR="00D708EC" w:rsidRDefault="00000000">
      <w:pPr>
        <w:rPr>
          <w:rFonts w:hint="eastAsia"/>
        </w:rPr>
      </w:pPr>
      <w:r>
        <w:t>1. Preamble ....................................................... 1</w:t>
      </w:r>
    </w:p>
    <w:p w14:paraId="376E7711" w14:textId="77777777" w:rsidR="00D708EC" w:rsidRDefault="00000000">
      <w:pPr>
        <w:rPr>
          <w:rFonts w:hint="eastAsia"/>
        </w:rPr>
      </w:pPr>
      <w:r>
        <w:t>2. Article 1: Definitions ........................................ 1</w:t>
      </w:r>
    </w:p>
    <w:p w14:paraId="23DA9ADF" w14:textId="77777777" w:rsidR="00D708EC" w:rsidRDefault="00000000">
      <w:pPr>
        <w:rPr>
          <w:rFonts w:hint="eastAsia"/>
        </w:rPr>
      </w:pPr>
      <w:r>
        <w:t>3. Article 2: Capital Aggregation and Escrow ..................... 9</w:t>
      </w:r>
    </w:p>
    <w:p w14:paraId="147432BC" w14:textId="77777777" w:rsidR="00D708EC" w:rsidRDefault="00000000">
      <w:pPr>
        <w:rPr>
          <w:rFonts w:hint="eastAsia"/>
        </w:rPr>
      </w:pPr>
      <w:r>
        <w:t>4. Article 3: Project Proposal and Approval Process .............. 12</w:t>
      </w:r>
    </w:p>
    <w:p w14:paraId="48CB01FB" w14:textId="77777777" w:rsidR="00D708EC" w:rsidRDefault="00000000">
      <w:pPr>
        <w:rPr>
          <w:rFonts w:hint="eastAsia"/>
        </w:rPr>
      </w:pPr>
      <w:r>
        <w:t>5. Article 4: Disbursement and Verification ...................... 16</w:t>
      </w:r>
    </w:p>
    <w:p w14:paraId="2F17D00E" w14:textId="77777777" w:rsidR="00D708EC" w:rsidRDefault="00000000">
      <w:pPr>
        <w:rPr>
          <w:rFonts w:hint="eastAsia"/>
        </w:rPr>
      </w:pPr>
      <w:r>
        <w:t>6. Article 5: Governance and Transparency ........................ 16</w:t>
      </w:r>
    </w:p>
    <w:p w14:paraId="3F9562B5" w14:textId="77777777" w:rsidR="00D708EC" w:rsidRDefault="00000000">
      <w:pPr>
        <w:rPr>
          <w:rFonts w:hint="eastAsia"/>
        </w:rPr>
      </w:pPr>
      <w:r>
        <w:t>7. Article 6: Relationship to Other Annexes ...................... 20</w:t>
      </w:r>
    </w:p>
    <w:p w14:paraId="60F88761" w14:textId="77777777" w:rsidR="00D708EC" w:rsidRDefault="00000000">
      <w:pPr>
        <w:rPr>
          <w:rFonts w:hint="eastAsia"/>
        </w:rPr>
      </w:pPr>
      <w:r>
        <w:t>8. Article 7: Duration and Supersession .......................... 20</w:t>
      </w:r>
    </w:p>
    <w:p w14:paraId="396E74F9" w14:textId="77777777" w:rsidR="00D708EC" w:rsidRDefault="00000000">
      <w:pPr>
        <w:rPr>
          <w:rFonts w:hint="eastAsia"/>
        </w:rPr>
      </w:pPr>
      <w:r>
        <w:t>9. Article 8: Sovereign Procurement and Non-Directed Purchasing .. 24</w:t>
      </w:r>
    </w:p>
    <w:p w14:paraId="5D8A3B0A" w14:textId="77777777" w:rsidR="00D708EC" w:rsidRDefault="00000000">
      <w:pPr>
        <w:rPr>
          <w:rFonts w:hint="eastAsia"/>
        </w:rPr>
      </w:pPr>
      <w:r>
        <w:t>10. Appendix A: Capital Contributor Registry ...................... 24</w:t>
      </w:r>
    </w:p>
    <w:p w14:paraId="1B07CC85" w14:textId="77777777" w:rsidR="00D708EC" w:rsidRDefault="00000000">
      <w:pPr>
        <w:rPr>
          <w:rFonts w:hint="eastAsia"/>
        </w:rPr>
      </w:pPr>
      <w:r>
        <w:t>11. Appendix B: Regional Development Funds and Grant Programs ..... 28</w:t>
      </w:r>
    </w:p>
    <w:p w14:paraId="153DD4A6" w14:textId="77777777" w:rsidR="00D708EC" w:rsidRDefault="00000000">
      <w:pPr>
        <w:rPr>
          <w:rFonts w:hint="eastAsia"/>
        </w:rPr>
      </w:pPr>
      <w:r>
        <w:t>12. Appendix C: The Multilateral Architecture ..................... 31</w:t>
      </w:r>
    </w:p>
    <w:p w14:paraId="00139EFA" w14:textId="77777777" w:rsidR="00D708EC" w:rsidRDefault="00000000">
      <w:pPr>
        <w:rPr>
          <w:rFonts w:hint="eastAsia"/>
        </w:rPr>
      </w:pPr>
      <w:r>
        <w:t>13. Appendix D: Supplementary Regional Programs ................... 31</w:t>
      </w:r>
    </w:p>
    <w:p w14:paraId="0BC698EB" w14:textId="77777777" w:rsidR="00D708EC" w:rsidRDefault="00000000">
      <w:pPr>
        <w:rPr>
          <w:rFonts w:hint="eastAsia"/>
        </w:rPr>
      </w:pPr>
      <w:r>
        <w:t>14. Appendix E: International Funding Sources and Application Pathways ........ 35</w:t>
      </w:r>
    </w:p>
    <w:p w14:paraId="5CE51669" w14:textId="77777777" w:rsidR="00D708EC" w:rsidRDefault="00000000">
      <w:pPr>
        <w:rPr>
          <w:rFonts w:hint="eastAsia"/>
        </w:rPr>
      </w:pPr>
      <w:r>
        <w:t>15. Appendix F: Force Majeure and Sanctions Reimposition Fallback Protocol ... 43</w:t>
      </w:r>
    </w:p>
    <w:p w14:paraId="5B9993A0" w14:textId="77777777" w:rsidR="00D708EC" w:rsidRDefault="00000000">
      <w:pPr>
        <w:rPr>
          <w:rFonts w:hint="eastAsia"/>
        </w:rPr>
      </w:pPr>
      <w:r>
        <w:t>16. Appendix G: Additional International Funding Sources ........... 47</w:t>
      </w:r>
    </w:p>
    <w:p w14:paraId="2DC154D1" w14:textId="77777777" w:rsidR="00D708EC" w:rsidRDefault="00000000">
      <w:pPr>
        <w:rPr>
          <w:rFonts w:hint="eastAsia"/>
        </w:rPr>
      </w:pPr>
      <w:r>
        <w:t>17. Appendix H: Global South, BRICS, and Regional Development Partners .... 54</w:t>
      </w:r>
    </w:p>
    <w:p w14:paraId="6CDF9AC8" w14:textId="77777777" w:rsidR="00D708EC" w:rsidRDefault="00000000">
      <w:pPr>
        <w:rPr>
          <w:rFonts w:hint="eastAsia"/>
        </w:rPr>
      </w:pPr>
      <w:r>
        <w:t>18. Appendix I: Country-by-Country Funding Sources ................ 58</w:t>
      </w:r>
    </w:p>
    <w:p w14:paraId="5941E816" w14:textId="77777777" w:rsidR="00D708EC" w:rsidRDefault="00000000">
      <w:pPr>
        <w:pStyle w:val="Heading2"/>
        <w:rPr>
          <w:rFonts w:hint="eastAsia"/>
        </w:rPr>
      </w:pPr>
      <w:bookmarkStart w:id="158" w:name="_Toc237663672"/>
      <w:r>
        <w:t>Article 1: Definitions</w:t>
      </w:r>
      <w:bookmarkEnd w:id="158"/>
    </w:p>
    <w:p w14:paraId="50717087" w14:textId="77777777" w:rsidR="00D708EC" w:rsidRDefault="00000000">
      <w:pPr>
        <w:pStyle w:val="Heading3"/>
        <w:rPr>
          <w:rFonts w:hint="eastAsia"/>
        </w:rPr>
      </w:pPr>
      <w:r>
        <w:t>1.1 Multilateral Reconstruction Fund (MRF)</w:t>
      </w:r>
    </w:p>
    <w:p w14:paraId="2AF6D166" w14:textId="77777777" w:rsidR="00D708EC" w:rsidRDefault="00000000">
      <w:pPr>
        <w:rPr>
          <w:rFonts w:hint="eastAsia"/>
        </w:rPr>
      </w:pPr>
      <w:r>
        <w:t>The MRF is the central vehicle for aggregating, administering, and disbursing reconstruction capital. It consists of multiple sub-funds, each dedicated to a specific sector.</w:t>
      </w:r>
    </w:p>
    <w:p w14:paraId="59CBEE2D" w14:textId="77777777" w:rsidR="00D708EC" w:rsidRDefault="00000000">
      <w:pPr>
        <w:pStyle w:val="Heading3"/>
        <w:rPr>
          <w:rFonts w:hint="eastAsia"/>
        </w:rPr>
      </w:pPr>
      <w:r>
        <w:t>1.2 Sub-Funds</w:t>
      </w:r>
    </w:p>
    <w:p w14:paraId="7F7D100E" w14:textId="77777777" w:rsidR="00D708EC" w:rsidRDefault="00000000">
      <w:pPr>
        <w:rPr>
          <w:rFonts w:hint="eastAsia"/>
        </w:rPr>
      </w:pPr>
      <w:r>
        <w:t>The MRF comprises the following Sub-Funds, each with its own governance, project pipeline, and disbursement schedule:</w:t>
      </w:r>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1526"/>
        <w:gridCol w:w="4878"/>
        <w:gridCol w:w="2822"/>
      </w:tblGrid>
      <w:tr w:rsidR="00D708EC" w14:paraId="782085DE" w14:textId="77777777">
        <w:tc>
          <w:tcPr>
            <w:tcW w:w="0" w:type="auto"/>
            <w:shd w:val="clear" w:color="auto" w:fill="37474F"/>
          </w:tcPr>
          <w:p w14:paraId="7BDDF5DF" w14:textId="77777777" w:rsidR="00D708EC" w:rsidRDefault="00000000">
            <w:pPr>
              <w:rPr>
                <w:rFonts w:hint="eastAsia"/>
              </w:rPr>
            </w:pPr>
            <w:r>
              <w:rPr>
                <w:b/>
                <w:color w:val="FFFFFF"/>
                <w:sz w:val="19"/>
              </w:rPr>
              <w:t>Sub-Fund</w:t>
            </w:r>
          </w:p>
        </w:tc>
        <w:tc>
          <w:tcPr>
            <w:tcW w:w="0" w:type="auto"/>
            <w:shd w:val="clear" w:color="auto" w:fill="37474F"/>
          </w:tcPr>
          <w:p w14:paraId="0D2E77E8" w14:textId="77777777" w:rsidR="00D708EC" w:rsidRDefault="00000000">
            <w:pPr>
              <w:rPr>
                <w:rFonts w:hint="eastAsia"/>
              </w:rPr>
            </w:pPr>
            <w:r>
              <w:rPr>
                <w:b/>
                <w:color w:val="FFFFFF"/>
                <w:sz w:val="19"/>
              </w:rPr>
              <w:t>Sector</w:t>
            </w:r>
          </w:p>
        </w:tc>
        <w:tc>
          <w:tcPr>
            <w:tcW w:w="0" w:type="auto"/>
            <w:shd w:val="clear" w:color="auto" w:fill="37474F"/>
          </w:tcPr>
          <w:p w14:paraId="4ABAB78D" w14:textId="77777777" w:rsidR="00D708EC" w:rsidRDefault="00000000">
            <w:pPr>
              <w:rPr>
                <w:rFonts w:hint="eastAsia"/>
              </w:rPr>
            </w:pPr>
            <w:r>
              <w:rPr>
                <w:b/>
                <w:color w:val="FFFFFF"/>
                <w:sz w:val="19"/>
              </w:rPr>
              <w:t>Target Capitalization (10-Year)</w:t>
            </w:r>
          </w:p>
        </w:tc>
      </w:tr>
      <w:tr w:rsidR="00D708EC" w14:paraId="712D0E82" w14:textId="77777777">
        <w:tc>
          <w:tcPr>
            <w:tcW w:w="0" w:type="auto"/>
          </w:tcPr>
          <w:p w14:paraId="12BC9A33" w14:textId="77777777" w:rsidR="00D708EC" w:rsidRDefault="00000000">
            <w:pPr>
              <w:rPr>
                <w:rFonts w:hint="eastAsia"/>
              </w:rPr>
            </w:pPr>
            <w:r>
              <w:rPr>
                <w:sz w:val="19"/>
              </w:rPr>
              <w:lastRenderedPageBreak/>
              <w:t>MRF-Energy</w:t>
            </w:r>
          </w:p>
        </w:tc>
        <w:tc>
          <w:tcPr>
            <w:tcW w:w="0" w:type="auto"/>
          </w:tcPr>
          <w:p w14:paraId="68745670" w14:textId="77777777" w:rsidR="00D708EC" w:rsidRDefault="00000000">
            <w:pPr>
              <w:rPr>
                <w:rFonts w:hint="eastAsia"/>
              </w:rPr>
            </w:pPr>
            <w:r>
              <w:rPr>
                <w:sz w:val="19"/>
              </w:rPr>
              <w:t>Power plants, refineries, renewable energy, grid modernization</w:t>
            </w:r>
          </w:p>
        </w:tc>
        <w:tc>
          <w:tcPr>
            <w:tcW w:w="0" w:type="auto"/>
          </w:tcPr>
          <w:p w14:paraId="52250491" w14:textId="77777777" w:rsidR="00D708EC" w:rsidRDefault="00000000">
            <w:pPr>
              <w:rPr>
                <w:rFonts w:hint="eastAsia"/>
              </w:rPr>
            </w:pPr>
            <w:r>
              <w:rPr>
                <w:sz w:val="19"/>
              </w:rPr>
              <w:t>$80 billion</w:t>
            </w:r>
          </w:p>
        </w:tc>
      </w:tr>
      <w:tr w:rsidR="00D708EC" w14:paraId="45D57FC4" w14:textId="77777777">
        <w:tc>
          <w:tcPr>
            <w:tcW w:w="0" w:type="auto"/>
            <w:shd w:val="clear" w:color="auto" w:fill="ECEFF1"/>
          </w:tcPr>
          <w:p w14:paraId="68927747" w14:textId="77777777" w:rsidR="00D708EC" w:rsidRDefault="00000000">
            <w:pPr>
              <w:rPr>
                <w:rFonts w:hint="eastAsia"/>
              </w:rPr>
            </w:pPr>
            <w:r>
              <w:rPr>
                <w:sz w:val="19"/>
              </w:rPr>
              <w:t>MRF-Water</w:t>
            </w:r>
          </w:p>
        </w:tc>
        <w:tc>
          <w:tcPr>
            <w:tcW w:w="0" w:type="auto"/>
            <w:shd w:val="clear" w:color="auto" w:fill="ECEFF1"/>
          </w:tcPr>
          <w:p w14:paraId="55F6C7EB" w14:textId="77777777" w:rsidR="00D708EC" w:rsidRDefault="00000000">
            <w:pPr>
              <w:rPr>
                <w:rFonts w:hint="eastAsia"/>
              </w:rPr>
            </w:pPr>
            <w:r>
              <w:rPr>
                <w:sz w:val="19"/>
              </w:rPr>
              <w:t>Water treatment, desalination, irrigation, sanitation</w:t>
            </w:r>
          </w:p>
        </w:tc>
        <w:tc>
          <w:tcPr>
            <w:tcW w:w="0" w:type="auto"/>
            <w:shd w:val="clear" w:color="auto" w:fill="ECEFF1"/>
          </w:tcPr>
          <w:p w14:paraId="77605623" w14:textId="77777777" w:rsidR="00D708EC" w:rsidRDefault="00000000">
            <w:pPr>
              <w:rPr>
                <w:rFonts w:hint="eastAsia"/>
              </w:rPr>
            </w:pPr>
            <w:r>
              <w:rPr>
                <w:sz w:val="19"/>
              </w:rPr>
              <w:t>$40 billion</w:t>
            </w:r>
          </w:p>
        </w:tc>
      </w:tr>
      <w:tr w:rsidR="00D708EC" w14:paraId="22EE1FDB" w14:textId="77777777">
        <w:tc>
          <w:tcPr>
            <w:tcW w:w="0" w:type="auto"/>
          </w:tcPr>
          <w:p w14:paraId="2A935035" w14:textId="77777777" w:rsidR="00D708EC" w:rsidRDefault="00000000">
            <w:pPr>
              <w:rPr>
                <w:rFonts w:hint="eastAsia"/>
              </w:rPr>
            </w:pPr>
            <w:r>
              <w:rPr>
                <w:sz w:val="19"/>
              </w:rPr>
              <w:t>MRF-Transport</w:t>
            </w:r>
          </w:p>
        </w:tc>
        <w:tc>
          <w:tcPr>
            <w:tcW w:w="0" w:type="auto"/>
          </w:tcPr>
          <w:p w14:paraId="7078B819" w14:textId="77777777" w:rsidR="00D708EC" w:rsidRDefault="00000000">
            <w:pPr>
              <w:rPr>
                <w:rFonts w:hint="eastAsia"/>
              </w:rPr>
            </w:pPr>
            <w:r>
              <w:rPr>
                <w:sz w:val="19"/>
              </w:rPr>
              <w:t>Roads, railways, ports, airports, urban transit</w:t>
            </w:r>
          </w:p>
        </w:tc>
        <w:tc>
          <w:tcPr>
            <w:tcW w:w="0" w:type="auto"/>
          </w:tcPr>
          <w:p w14:paraId="623B95C9" w14:textId="77777777" w:rsidR="00D708EC" w:rsidRDefault="00000000">
            <w:pPr>
              <w:rPr>
                <w:rFonts w:hint="eastAsia"/>
              </w:rPr>
            </w:pPr>
            <w:r>
              <w:rPr>
                <w:sz w:val="19"/>
              </w:rPr>
              <w:t>$50 billion</w:t>
            </w:r>
          </w:p>
        </w:tc>
      </w:tr>
      <w:tr w:rsidR="00D708EC" w14:paraId="4CE23CD4" w14:textId="77777777">
        <w:tc>
          <w:tcPr>
            <w:tcW w:w="0" w:type="auto"/>
            <w:shd w:val="clear" w:color="auto" w:fill="ECEFF1"/>
          </w:tcPr>
          <w:p w14:paraId="2448D440" w14:textId="77777777" w:rsidR="00D708EC" w:rsidRDefault="00000000">
            <w:pPr>
              <w:rPr>
                <w:rFonts w:hint="eastAsia"/>
              </w:rPr>
            </w:pPr>
            <w:r>
              <w:rPr>
                <w:sz w:val="19"/>
              </w:rPr>
              <w:t>MRF-Health</w:t>
            </w:r>
          </w:p>
        </w:tc>
        <w:tc>
          <w:tcPr>
            <w:tcW w:w="0" w:type="auto"/>
            <w:shd w:val="clear" w:color="auto" w:fill="ECEFF1"/>
          </w:tcPr>
          <w:p w14:paraId="19035DDD" w14:textId="77777777" w:rsidR="00D708EC" w:rsidRDefault="00000000">
            <w:pPr>
              <w:rPr>
                <w:rFonts w:hint="eastAsia"/>
              </w:rPr>
            </w:pPr>
            <w:r>
              <w:rPr>
                <w:sz w:val="19"/>
              </w:rPr>
              <w:t>Hospitals, clinics, medical supply chains, pandemic preparedness</w:t>
            </w:r>
          </w:p>
        </w:tc>
        <w:tc>
          <w:tcPr>
            <w:tcW w:w="0" w:type="auto"/>
            <w:shd w:val="clear" w:color="auto" w:fill="ECEFF1"/>
          </w:tcPr>
          <w:p w14:paraId="3134AD1F" w14:textId="77777777" w:rsidR="00D708EC" w:rsidRDefault="00000000">
            <w:pPr>
              <w:rPr>
                <w:rFonts w:hint="eastAsia"/>
              </w:rPr>
            </w:pPr>
            <w:r>
              <w:rPr>
                <w:sz w:val="19"/>
              </w:rPr>
              <w:t>$25 billion</w:t>
            </w:r>
          </w:p>
        </w:tc>
      </w:tr>
      <w:tr w:rsidR="00D708EC" w14:paraId="0A1E779D" w14:textId="77777777">
        <w:tc>
          <w:tcPr>
            <w:tcW w:w="0" w:type="auto"/>
          </w:tcPr>
          <w:p w14:paraId="1E445E32" w14:textId="77777777" w:rsidR="00D708EC" w:rsidRDefault="00000000">
            <w:pPr>
              <w:rPr>
                <w:rFonts w:hint="eastAsia"/>
              </w:rPr>
            </w:pPr>
            <w:r>
              <w:rPr>
                <w:sz w:val="19"/>
              </w:rPr>
              <w:t>MRF-Education</w:t>
            </w:r>
          </w:p>
        </w:tc>
        <w:tc>
          <w:tcPr>
            <w:tcW w:w="0" w:type="auto"/>
          </w:tcPr>
          <w:p w14:paraId="3FDE5B16" w14:textId="77777777" w:rsidR="00D708EC" w:rsidRDefault="00000000">
            <w:pPr>
              <w:rPr>
                <w:rFonts w:hint="eastAsia"/>
              </w:rPr>
            </w:pPr>
            <w:r>
              <w:rPr>
                <w:sz w:val="19"/>
              </w:rPr>
              <w:t>Schools, universities, research centers, vocational training</w:t>
            </w:r>
          </w:p>
        </w:tc>
        <w:tc>
          <w:tcPr>
            <w:tcW w:w="0" w:type="auto"/>
          </w:tcPr>
          <w:p w14:paraId="50593A4D" w14:textId="77777777" w:rsidR="00D708EC" w:rsidRDefault="00000000">
            <w:pPr>
              <w:rPr>
                <w:rFonts w:hint="eastAsia"/>
              </w:rPr>
            </w:pPr>
            <w:r>
              <w:rPr>
                <w:sz w:val="19"/>
              </w:rPr>
              <w:t>$20 billion</w:t>
            </w:r>
          </w:p>
        </w:tc>
      </w:tr>
      <w:tr w:rsidR="00D708EC" w14:paraId="65AD5E5D" w14:textId="77777777">
        <w:tc>
          <w:tcPr>
            <w:tcW w:w="0" w:type="auto"/>
            <w:shd w:val="clear" w:color="auto" w:fill="ECEFF1"/>
          </w:tcPr>
          <w:p w14:paraId="4DDF7B21" w14:textId="77777777" w:rsidR="00D708EC" w:rsidRDefault="00000000">
            <w:pPr>
              <w:rPr>
                <w:rFonts w:hint="eastAsia"/>
              </w:rPr>
            </w:pPr>
            <w:r>
              <w:rPr>
                <w:sz w:val="19"/>
              </w:rPr>
              <w:t>MRF-Housing</w:t>
            </w:r>
          </w:p>
        </w:tc>
        <w:tc>
          <w:tcPr>
            <w:tcW w:w="0" w:type="auto"/>
            <w:shd w:val="clear" w:color="auto" w:fill="ECEFF1"/>
          </w:tcPr>
          <w:p w14:paraId="11838A91" w14:textId="77777777" w:rsidR="00D708EC" w:rsidRDefault="00000000">
            <w:pPr>
              <w:rPr>
                <w:rFonts w:hint="eastAsia"/>
              </w:rPr>
            </w:pPr>
            <w:r>
              <w:rPr>
                <w:sz w:val="19"/>
              </w:rPr>
              <w:t>Urban reconstruction, earthquake-resistant housing, slum upgrading</w:t>
            </w:r>
          </w:p>
        </w:tc>
        <w:tc>
          <w:tcPr>
            <w:tcW w:w="0" w:type="auto"/>
            <w:shd w:val="clear" w:color="auto" w:fill="ECEFF1"/>
          </w:tcPr>
          <w:p w14:paraId="7E678D87" w14:textId="77777777" w:rsidR="00D708EC" w:rsidRDefault="00000000">
            <w:pPr>
              <w:rPr>
                <w:rFonts w:hint="eastAsia"/>
              </w:rPr>
            </w:pPr>
            <w:r>
              <w:rPr>
                <w:sz w:val="19"/>
              </w:rPr>
              <w:t>$35 billion</w:t>
            </w:r>
          </w:p>
        </w:tc>
      </w:tr>
      <w:tr w:rsidR="00D708EC" w14:paraId="6FEC3796" w14:textId="77777777">
        <w:tc>
          <w:tcPr>
            <w:tcW w:w="0" w:type="auto"/>
          </w:tcPr>
          <w:p w14:paraId="470A0C66" w14:textId="77777777" w:rsidR="00D708EC" w:rsidRDefault="00000000">
            <w:pPr>
              <w:rPr>
                <w:rFonts w:hint="eastAsia"/>
              </w:rPr>
            </w:pPr>
            <w:r>
              <w:rPr>
                <w:sz w:val="19"/>
              </w:rPr>
              <w:t>MRF-Agriculture</w:t>
            </w:r>
          </w:p>
        </w:tc>
        <w:tc>
          <w:tcPr>
            <w:tcW w:w="0" w:type="auto"/>
          </w:tcPr>
          <w:p w14:paraId="678A6D22" w14:textId="77777777" w:rsidR="00D708EC" w:rsidRDefault="00000000">
            <w:pPr>
              <w:rPr>
                <w:rFonts w:hint="eastAsia"/>
              </w:rPr>
            </w:pPr>
            <w:r>
              <w:rPr>
                <w:sz w:val="19"/>
              </w:rPr>
              <w:t>Food security, irrigation, agricultural technology, rural development</w:t>
            </w:r>
          </w:p>
        </w:tc>
        <w:tc>
          <w:tcPr>
            <w:tcW w:w="0" w:type="auto"/>
          </w:tcPr>
          <w:p w14:paraId="4489A783" w14:textId="77777777" w:rsidR="00D708EC" w:rsidRDefault="00000000">
            <w:pPr>
              <w:rPr>
                <w:rFonts w:hint="eastAsia"/>
              </w:rPr>
            </w:pPr>
            <w:r>
              <w:rPr>
                <w:sz w:val="19"/>
              </w:rPr>
              <w:t>$20 billion</w:t>
            </w:r>
          </w:p>
        </w:tc>
      </w:tr>
      <w:tr w:rsidR="00D708EC" w14:paraId="347D01E5" w14:textId="77777777">
        <w:tc>
          <w:tcPr>
            <w:tcW w:w="0" w:type="auto"/>
            <w:shd w:val="clear" w:color="auto" w:fill="ECEFF1"/>
          </w:tcPr>
          <w:p w14:paraId="541D5E04" w14:textId="77777777" w:rsidR="00D708EC" w:rsidRDefault="00000000">
            <w:pPr>
              <w:rPr>
                <w:rFonts w:hint="eastAsia"/>
              </w:rPr>
            </w:pPr>
            <w:r>
              <w:rPr>
                <w:sz w:val="19"/>
              </w:rPr>
              <w:t>TOTAL</w:t>
            </w:r>
          </w:p>
        </w:tc>
        <w:tc>
          <w:tcPr>
            <w:tcW w:w="0" w:type="auto"/>
            <w:shd w:val="clear" w:color="auto" w:fill="ECEFF1"/>
          </w:tcPr>
          <w:p w14:paraId="05ACA848" w14:textId="77777777" w:rsidR="00D708EC" w:rsidRDefault="00000000">
            <w:pPr>
              <w:rPr>
                <w:rFonts w:hint="eastAsia"/>
              </w:rPr>
            </w:pPr>
            <w:r>
              <w:rPr>
                <w:sz w:val="19"/>
              </w:rPr>
              <w:t>All Sectors</w:t>
            </w:r>
          </w:p>
        </w:tc>
        <w:tc>
          <w:tcPr>
            <w:tcW w:w="0" w:type="auto"/>
            <w:shd w:val="clear" w:color="auto" w:fill="ECEFF1"/>
          </w:tcPr>
          <w:p w14:paraId="4BC08A0D" w14:textId="77777777" w:rsidR="00D708EC" w:rsidRDefault="00000000">
            <w:pPr>
              <w:rPr>
                <w:rFonts w:hint="eastAsia"/>
              </w:rPr>
            </w:pPr>
            <w:r>
              <w:rPr>
                <w:sz w:val="19"/>
              </w:rPr>
              <w:t>$270 billion</w:t>
            </w:r>
          </w:p>
        </w:tc>
      </w:tr>
    </w:tbl>
    <w:p w14:paraId="3ABE7A9E" w14:textId="77777777" w:rsidR="00D708EC" w:rsidRDefault="00000000">
      <w:pPr>
        <w:pStyle w:val="Heading3"/>
        <w:rPr>
          <w:rFonts w:hint="eastAsia"/>
        </w:rPr>
      </w:pPr>
      <w:r>
        <w:t>1.2(b) Iranian National Development Fund Co-Financing Match</w:t>
      </w:r>
    </w:p>
    <w:p w14:paraId="3872E3BA" w14:textId="77777777" w:rsidR="00D708EC" w:rsidRDefault="00000000">
      <w:pPr>
        <w:rPr>
          <w:rFonts w:hint="eastAsia"/>
        </w:rPr>
      </w:pPr>
      <w:r>
        <w:t>All MRF projects above $100 million require a 20% local co-financing contribution from Iran's National Development Fund (NDF). The NDF, a sovereign wealth fund derived from oil and gas revenues, provides the local match in Iranian rial or in-kind land and resource concessions. The co-financing structure operates as follows:</w:t>
      </w:r>
    </w:p>
    <w:p w14:paraId="2A9738BA" w14:textId="77777777" w:rsidR="00D708EC" w:rsidRDefault="00000000">
      <w:pPr>
        <w:ind w:left="360"/>
        <w:rPr>
          <w:rFonts w:hint="eastAsia"/>
        </w:rPr>
      </w:pPr>
      <w:r>
        <w:rPr>
          <w:color w:val="37474F"/>
        </w:rPr>
        <w:t>•</w:t>
      </w:r>
      <w:r>
        <w:t>MRF international capital covers 80% of project cost.</w:t>
      </w:r>
    </w:p>
    <w:p w14:paraId="06680F77" w14:textId="77777777" w:rsidR="00D708EC" w:rsidRDefault="00000000">
      <w:pPr>
        <w:ind w:left="360"/>
        <w:rPr>
          <w:rFonts w:hint="eastAsia"/>
        </w:rPr>
      </w:pPr>
      <w:r>
        <w:rPr>
          <w:color w:val="37474F"/>
        </w:rPr>
        <w:t>•</w:t>
      </w:r>
      <w:r>
        <w:t>The NDF covers 20% through direct cash, land allocation, mineral or water rights concessions, or sovereign guarantees.</w:t>
      </w:r>
    </w:p>
    <w:p w14:paraId="6125FE2D" w14:textId="77777777" w:rsidR="00D708EC" w:rsidRDefault="00000000">
      <w:pPr>
        <w:ind w:left="360"/>
        <w:rPr>
          <w:rFonts w:hint="eastAsia"/>
        </w:rPr>
      </w:pPr>
      <w:r>
        <w:rPr>
          <w:color w:val="37474F"/>
        </w:rPr>
        <w:t>•</w:t>
      </w:r>
      <w:r>
        <w:t>The RSC verifies NDF contributions through the same independent audit mechanism applied to MRF disbursements.</w:t>
      </w:r>
    </w:p>
    <w:p w14:paraId="0994FC29" w14:textId="77777777" w:rsidR="00D708EC" w:rsidRDefault="00000000">
      <w:pPr>
        <w:ind w:left="360"/>
        <w:rPr>
          <w:rFonts w:hint="eastAsia"/>
        </w:rPr>
      </w:pPr>
      <w:r>
        <w:rPr>
          <w:color w:val="37474F"/>
        </w:rPr>
        <w:t>•</w:t>
      </w:r>
      <w:r>
        <w:t>NDF contributions are treated as pari passu with MRF capital for milestone and disbursement purposes.</w:t>
      </w:r>
    </w:p>
    <w:p w14:paraId="339A7561" w14:textId="77777777" w:rsidR="00D708EC" w:rsidRDefault="00000000">
      <w:pPr>
        <w:rPr>
          <w:rFonts w:hint="eastAsia"/>
        </w:rPr>
      </w:pPr>
      <w:r>
        <w:t>This matching requirement stretches international dollars further, demonstrates Iranian financial commitment to donors, and aligns project incentives across both funding streams. The NDF co-financing match potentially unlocks an additional $10 billion in domestic capital for the $50 billion MRF Core Tier.</w:t>
      </w:r>
    </w:p>
    <w:p w14:paraId="4795E4D4" w14:textId="77777777" w:rsidR="00D708EC" w:rsidRDefault="00000000">
      <w:pPr>
        <w:pStyle w:val="Heading3"/>
        <w:rPr>
          <w:rFonts w:hint="eastAsia"/>
        </w:rPr>
      </w:pPr>
      <w:r>
        <w:t>1.2(a) Sub-Fund Application Process</w:t>
      </w:r>
    </w:p>
    <w:p w14:paraId="5C7863A5" w14:textId="77777777" w:rsidR="00D708EC" w:rsidRDefault="00000000">
      <w:pPr>
        <w:rPr>
          <w:rFonts w:hint="eastAsia"/>
        </w:rPr>
      </w:pPr>
      <w:r>
        <w:t>Each Sub-Fund maintains a distinct application pathway. Iran submits project proposals through the RSC secretariat. The following steps apply across all Sub-Funds:</w:t>
      </w:r>
    </w:p>
    <w:p w14:paraId="1193877D" w14:textId="77777777" w:rsidR="00D708EC" w:rsidRDefault="00000000">
      <w:pPr>
        <w:pStyle w:val="Heading3"/>
        <w:rPr>
          <w:rFonts w:hint="eastAsia"/>
        </w:rPr>
      </w:pPr>
      <w:r>
        <w:lastRenderedPageBreak/>
        <w:t>Step 1: Pre-Application Consultation</w:t>
      </w:r>
    </w:p>
    <w:p w14:paraId="63C17204" w14:textId="77777777" w:rsidR="00D708EC" w:rsidRDefault="00000000">
      <w:pPr>
        <w:rPr>
          <w:rFonts w:hint="eastAsia"/>
        </w:rPr>
      </w:pPr>
      <w:r>
        <w:t>Iran engages the TAG for preliminary technical consultation. The TAG assesses project concept alignment with Sub-Fund objectives and advises on feasibility study requirements. This consultation occurs within 14 days of initial contact.</w:t>
      </w:r>
    </w:p>
    <w:p w14:paraId="0F3FF8B8" w14:textId="77777777" w:rsidR="00D708EC" w:rsidRDefault="00000000">
      <w:pPr>
        <w:pStyle w:val="Heading3"/>
        <w:rPr>
          <w:rFonts w:hint="eastAsia"/>
        </w:rPr>
      </w:pPr>
      <w:r>
        <w:t>Step 2: Feasibility Study Preparation</w:t>
      </w:r>
    </w:p>
    <w:p w14:paraId="24356896" w14:textId="77777777" w:rsidR="00D708EC" w:rsidRDefault="00000000">
      <w:pPr>
        <w:rPr>
          <w:rFonts w:hint="eastAsia"/>
        </w:rPr>
      </w:pPr>
      <w:r>
        <w:t>Iran commissions or prepares a feasibility study covering technical design, cost estimation, environmental impact, and social safeguards. The World Bank provides technical assistance for study preparation upon request. Study completion typically requires 60-90 days.</w:t>
      </w:r>
    </w:p>
    <w:p w14:paraId="2FFA0FBF" w14:textId="77777777" w:rsidR="00D708EC" w:rsidRDefault="00000000">
      <w:pPr>
        <w:pStyle w:val="Heading3"/>
        <w:rPr>
          <w:rFonts w:hint="eastAsia"/>
        </w:rPr>
      </w:pPr>
      <w:r>
        <w:t>Step 3: Formal Submission to RSC</w:t>
      </w:r>
    </w:p>
    <w:p w14:paraId="273AD048" w14:textId="77777777" w:rsidR="00D708EC" w:rsidRDefault="00000000">
      <w:pPr>
        <w:rPr>
          <w:rFonts w:hint="eastAsia"/>
        </w:rPr>
      </w:pPr>
      <w:r>
        <w:t>Iran submits the complete Project Proposal package through the RSC secretariat. The package includes: (a) completed project proposal form, (b) feasibility study, (c) environmental and social impact assessment, (d) procurement plan, (e) verification milestone schedule, and (f) independent audit plan.</w:t>
      </w:r>
    </w:p>
    <w:p w14:paraId="16550EFC" w14:textId="77777777" w:rsidR="00D708EC" w:rsidRDefault="00000000">
      <w:pPr>
        <w:pStyle w:val="Heading3"/>
        <w:rPr>
          <w:rFonts w:hint="eastAsia"/>
        </w:rPr>
      </w:pPr>
      <w:r>
        <w:t>Step 4: TAG Technical Review (30 Days)</w:t>
      </w:r>
    </w:p>
    <w:p w14:paraId="582C8F32" w14:textId="77777777" w:rsidR="00D708EC" w:rsidRDefault="00000000">
      <w:pPr>
        <w:rPr>
          <w:rFonts w:hint="eastAsia"/>
        </w:rPr>
      </w:pPr>
      <w:r>
        <w:t>The TAG conducts a comprehensive technical review. The TAG evaluates: technical feasibility, cost realism, environmental compliance, alignment with Sub-Fund goals, and value for money. The TAG issues a written recommendation to the RSC within 30 days.</w:t>
      </w:r>
    </w:p>
    <w:p w14:paraId="407E4D1A" w14:textId="77777777" w:rsidR="00D708EC" w:rsidRDefault="00000000">
      <w:pPr>
        <w:pStyle w:val="Heading3"/>
        <w:rPr>
          <w:rFonts w:hint="eastAsia"/>
        </w:rPr>
      </w:pPr>
      <w:r>
        <w:t>Step 5: RSC Approval (60 Days)</w:t>
      </w:r>
    </w:p>
    <w:p w14:paraId="4860B36A" w14:textId="77777777" w:rsidR="00D708EC" w:rsidRDefault="00000000">
      <w:pPr>
        <w:rPr>
          <w:rFonts w:hint="eastAsia"/>
        </w:rPr>
      </w:pPr>
      <w:r>
        <w:t>The RSC reviews the TAG recommendation and the complete proposal package. Approval requires consensus of all voting members and confirmation of available capital in the relevant Sub-Fund. The RSC issues an approval decision or requests revision within 60 days.</w:t>
      </w:r>
    </w:p>
    <w:p w14:paraId="40CFC299" w14:textId="77777777" w:rsidR="00D708EC" w:rsidRDefault="00000000">
      <w:pPr>
        <w:pStyle w:val="Heading3"/>
        <w:rPr>
          <w:rFonts w:hint="eastAsia"/>
        </w:rPr>
      </w:pPr>
      <w:r>
        <w:t>Step 6: Milestone-Based Disbursement</w:t>
      </w:r>
    </w:p>
    <w:p w14:paraId="7D69404B" w14:textId="77777777" w:rsidR="00D708EC" w:rsidRDefault="00000000">
      <w:pPr>
        <w:rPr>
          <w:rFonts w:hint="eastAsia"/>
        </w:rPr>
      </w:pPr>
      <w:r>
        <w:t>Upon approval, the Qatar Central Bank establishes a dedicated project account. Funds disburse in tranches tied to verification milestones. Each tranche release requires: (a) Iranian self-certification, (b) World Bank independent audit, (c) TAG assessment, and (d) RSC authorization.</w:t>
      </w:r>
    </w:p>
    <w:p w14:paraId="49D47FD9" w14:textId="77777777" w:rsidR="00D708EC" w:rsidRDefault="00000000">
      <w:pPr>
        <w:pStyle w:val="Heading3"/>
        <w:rPr>
          <w:rFonts w:hint="eastAsia"/>
        </w:rPr>
      </w:pPr>
      <w:r>
        <w:t>Sub-Fund Specific Requirements</w:t>
      </w:r>
    </w:p>
    <w:p w14:paraId="78397262" w14:textId="77777777" w:rsidR="00D708EC" w:rsidRDefault="00000000">
      <w:pPr>
        <w:rPr>
          <w:rFonts w:hint="eastAsia"/>
        </w:rPr>
      </w:pPr>
      <w:r>
        <w:t>MRF-Energy: Proposals require additional technical review by the International Energy Agency (IEA) for grid integration assessments. Renewable energy projects above $500 million require a separate grid impact study.</w:t>
      </w:r>
    </w:p>
    <w:p w14:paraId="4EE60F8A" w14:textId="77777777" w:rsidR="00D708EC" w:rsidRDefault="00000000">
      <w:pPr>
        <w:rPr>
          <w:rFonts w:hint="eastAsia"/>
        </w:rPr>
      </w:pPr>
      <w:r>
        <w:t>MRF-Water: All water infrastructure projects require a hydrological assessment certified by the World Meteorological Organization (WMO) or equivalent regional body. Desalination projects require environmental impact certification from the Regional Organization for the Protection of the Marine Environment (ROPME).</w:t>
      </w:r>
    </w:p>
    <w:p w14:paraId="6AEEF75F" w14:textId="77777777" w:rsidR="00D708EC" w:rsidRDefault="00000000">
      <w:pPr>
        <w:rPr>
          <w:rFonts w:hint="eastAsia"/>
        </w:rPr>
      </w:pPr>
      <w:r>
        <w:lastRenderedPageBreak/>
        <w:t>MRF-Transport: Transport projects crossing international borders require coordination letters from affected neighboring states. Port and airport projects require International Maritime Organization (IMO) or International Civil Aviation Organization (ICAO) compliance certification.</w:t>
      </w:r>
    </w:p>
    <w:p w14:paraId="6C94FA56" w14:textId="77777777" w:rsidR="00D708EC" w:rsidRDefault="00000000">
      <w:pPr>
        <w:rPr>
          <w:rFonts w:hint="eastAsia"/>
        </w:rPr>
      </w:pPr>
      <w:r>
        <w:t>MRF-Health: Health facility projects require WHO technical standards compliance certification. Medical supply chain projects require verification of cold chain infrastructure and pharmaceutical regulatory compliance.</w:t>
      </w:r>
    </w:p>
    <w:p w14:paraId="2A5494C7" w14:textId="77777777" w:rsidR="00D708EC" w:rsidRDefault="00000000">
      <w:pPr>
        <w:rPr>
          <w:rFonts w:hint="eastAsia"/>
        </w:rPr>
      </w:pPr>
      <w:r>
        <w:t>MRF-Education: Education projects involving curriculum development require UNESCO alignment review. Vocational training centers require International Labour Organization (ILO) standards compliance certification.</w:t>
      </w:r>
    </w:p>
    <w:p w14:paraId="09DC608D" w14:textId="77777777" w:rsidR="00D708EC" w:rsidRDefault="00000000">
      <w:pPr>
        <w:rPr>
          <w:rFonts w:hint="eastAsia"/>
        </w:rPr>
      </w:pPr>
      <w:r>
        <w:t>MRF-Housing: Housing projects in seismic zones require earthquake-resistant design certification from an internationally recognized engineering body. Slum upgrading projects require a social impact assessment with community participation documentation.</w:t>
      </w:r>
    </w:p>
    <w:p w14:paraId="6670B4EC" w14:textId="77777777" w:rsidR="00D708EC" w:rsidRDefault="00000000">
      <w:pPr>
        <w:rPr>
          <w:rFonts w:hint="eastAsia"/>
        </w:rPr>
      </w:pPr>
      <w:r>
        <w:t>MRF-Agriculture: Agricultural projects require Food and Agriculture Organization (FAO) technical review for sustainability standards. Irrigation projects require water rights assessment and downstream impact analysis.</w:t>
      </w:r>
    </w:p>
    <w:p w14:paraId="0CD9A851" w14:textId="77777777" w:rsidR="00D708EC" w:rsidRDefault="00000000">
      <w:pPr>
        <w:pStyle w:val="Heading3"/>
        <w:rPr>
          <w:rFonts w:hint="eastAsia"/>
        </w:rPr>
      </w:pPr>
      <w:r>
        <w:t>1.3 Capital Contributors</w:t>
      </w:r>
    </w:p>
    <w:p w14:paraId="151AD217" w14:textId="77777777" w:rsidR="00D708EC" w:rsidRDefault="00000000">
      <w:pPr>
        <w:rPr>
          <w:rFonts w:hint="eastAsia"/>
        </w:rPr>
      </w:pPr>
      <w:r>
        <w:t>Contributors include, but are not limited to:</w:t>
      </w:r>
    </w:p>
    <w:p w14:paraId="40FA8BB4" w14:textId="77777777" w:rsidR="00D708EC" w:rsidRDefault="00000000">
      <w:pPr>
        <w:ind w:left="360"/>
        <w:rPr>
          <w:rFonts w:hint="eastAsia"/>
        </w:rPr>
      </w:pPr>
      <w:r>
        <w:rPr>
          <w:color w:val="37474F"/>
        </w:rPr>
        <w:t>•</w:t>
      </w:r>
      <w:r>
        <w:t>Sovereign wealth funds of Gulf Cooperation Council (GCC) states</w:t>
      </w:r>
    </w:p>
    <w:p w14:paraId="66CE5FF1" w14:textId="77777777" w:rsidR="00D708EC" w:rsidRDefault="00000000">
      <w:pPr>
        <w:ind w:left="360"/>
        <w:rPr>
          <w:rFonts w:hint="eastAsia"/>
        </w:rPr>
      </w:pPr>
      <w:r>
        <w:rPr>
          <w:color w:val="37474F"/>
        </w:rPr>
        <w:t>•</w:t>
      </w:r>
      <w:r>
        <w:t>International financial institutions (World Bank, IMF, Islamic Development Bank)</w:t>
      </w:r>
    </w:p>
    <w:p w14:paraId="16437B71" w14:textId="77777777" w:rsidR="00D708EC" w:rsidRDefault="00000000">
      <w:pPr>
        <w:ind w:left="360"/>
        <w:rPr>
          <w:rFonts w:hint="eastAsia"/>
        </w:rPr>
      </w:pPr>
      <w:r>
        <w:rPr>
          <w:color w:val="37474F"/>
        </w:rPr>
        <w:t>•</w:t>
      </w:r>
      <w:r>
        <w:t>Regional development funds (Asian Infrastructure Investment Bank, European Bank for Reconstruction and Development)</w:t>
      </w:r>
    </w:p>
    <w:p w14:paraId="35E35E31" w14:textId="77777777" w:rsidR="00D708EC" w:rsidRDefault="00000000">
      <w:pPr>
        <w:ind w:left="360"/>
        <w:rPr>
          <w:rFonts w:hint="eastAsia"/>
        </w:rPr>
      </w:pPr>
      <w:r>
        <w:rPr>
          <w:color w:val="37474F"/>
        </w:rPr>
        <w:t>•</w:t>
      </w:r>
      <w:r>
        <w:t>Private investors (infrastructure funds, pension funds, insurance companies)</w:t>
      </w:r>
    </w:p>
    <w:p w14:paraId="6EA143DB" w14:textId="77777777" w:rsidR="00D708EC" w:rsidRDefault="00000000">
      <w:pPr>
        <w:ind w:left="360"/>
        <w:rPr>
          <w:rFonts w:hint="eastAsia"/>
        </w:rPr>
      </w:pPr>
      <w:r>
        <w:rPr>
          <w:color w:val="37474F"/>
        </w:rPr>
        <w:t>•</w:t>
      </w:r>
      <w:r>
        <w:t>Humanitarian organizations (UN OCHA, ICRC, WHO)</w:t>
      </w:r>
    </w:p>
    <w:p w14:paraId="3BB52265" w14:textId="77777777" w:rsidR="00D708EC" w:rsidRDefault="00000000">
      <w:pPr>
        <w:ind w:left="360"/>
        <w:rPr>
          <w:rFonts w:hint="eastAsia"/>
        </w:rPr>
      </w:pPr>
      <w:r>
        <w:rPr>
          <w:color w:val="37474F"/>
        </w:rPr>
        <w:t>•</w:t>
      </w:r>
      <w:r>
        <w:t>Bilateral donors (EU member states, China, Russia, India, Japan, South Korea)</w:t>
      </w:r>
    </w:p>
    <w:p w14:paraId="2EF53DA8" w14:textId="77777777" w:rsidR="00D708EC" w:rsidRDefault="00000000">
      <w:pPr>
        <w:rPr>
          <w:rFonts w:hint="eastAsia"/>
        </w:rPr>
      </w:pPr>
      <w:r>
        <w:t>The following sections describe each contributor category, its application pathway, and its coordination mechanism with the MRF.</w:t>
      </w:r>
    </w:p>
    <w:p w14:paraId="114B1C04" w14:textId="77777777" w:rsidR="00D708EC" w:rsidRDefault="00000000">
      <w:pPr>
        <w:pStyle w:val="Heading3"/>
        <w:rPr>
          <w:rFonts w:hint="eastAsia"/>
        </w:rPr>
      </w:pPr>
      <w:r>
        <w:t>Sovereign Wealth Funds</w:t>
      </w:r>
    </w:p>
    <w:p w14:paraId="097E91F5" w14:textId="77777777" w:rsidR="00D708EC" w:rsidRDefault="00000000">
      <w:pPr>
        <w:rPr>
          <w:rFonts w:hint="eastAsia"/>
        </w:rPr>
      </w:pPr>
      <w:r>
        <w:t>GCC sovereign wealth funds deposit pledged capital directly into the Qatar Central Bank escrow. Each fund designates a liaison officer to the RSC. Deposit confirmations trigger World Bank verification. No fund deposits capital through U.S. financial institutions.</w:t>
      </w:r>
    </w:p>
    <w:p w14:paraId="57B228F0" w14:textId="77777777" w:rsidR="00D708EC" w:rsidRDefault="00000000">
      <w:pPr>
        <w:pStyle w:val="Heading3"/>
        <w:rPr>
          <w:rFonts w:hint="eastAsia"/>
        </w:rPr>
      </w:pPr>
      <w:r>
        <w:t>International Financial Institutions</w:t>
      </w:r>
    </w:p>
    <w:p w14:paraId="68D95D38" w14:textId="77777777" w:rsidR="00D708EC" w:rsidRDefault="00000000">
      <w:pPr>
        <w:rPr>
          <w:rFonts w:hint="eastAsia"/>
        </w:rPr>
      </w:pPr>
      <w:r>
        <w:t xml:space="preserve">The World Bank, IMF, and Islamic Development Bank contribute through their standard lending and grant instruments. The World Bank administers contributions through its IDA </w:t>
      </w:r>
      <w:r>
        <w:lastRenderedPageBreak/>
        <w:t>and IBRD windows. The IsDB deploys Islamic financing instruments (Ijara, Istisna, Mudaraba). Each institution coordinates through its respective representative on the RSC.</w:t>
      </w:r>
    </w:p>
    <w:p w14:paraId="75DA2BF8" w14:textId="77777777" w:rsidR="00D708EC" w:rsidRDefault="00000000">
      <w:pPr>
        <w:pStyle w:val="Heading3"/>
        <w:rPr>
          <w:rFonts w:hint="eastAsia"/>
        </w:rPr>
      </w:pPr>
      <w:r>
        <w:t>Regional Development Banks</w:t>
      </w:r>
    </w:p>
    <w:p w14:paraId="4DD5C83F" w14:textId="77777777" w:rsidR="00D708EC" w:rsidRDefault="00000000">
      <w:pPr>
        <w:rPr>
          <w:rFonts w:hint="eastAsia"/>
        </w:rPr>
      </w:pPr>
      <w:r>
        <w:t>The AIIB and EBRD contribute through sovereign-backed project loans and private sector financing. The AIIB focuses on transport and energy infrastructure. The EBRD targets private sector development and SME reconstruction. Both institutions coordinate project pipelines through the TAG.</w:t>
      </w:r>
    </w:p>
    <w:p w14:paraId="1D6FFC2B" w14:textId="77777777" w:rsidR="00D708EC" w:rsidRDefault="00000000">
      <w:pPr>
        <w:pStyle w:val="Heading3"/>
        <w:rPr>
          <w:rFonts w:hint="eastAsia"/>
        </w:rPr>
      </w:pPr>
      <w:r>
        <w:t>Private Investors</w:t>
      </w:r>
    </w:p>
    <w:p w14:paraId="6C29CAF2" w14:textId="77777777" w:rsidR="00D708EC" w:rsidRDefault="00000000">
      <w:pPr>
        <w:rPr>
          <w:rFonts w:hint="eastAsia"/>
        </w:rPr>
      </w:pPr>
      <w:r>
        <w:t>Infrastructure funds, pension funds, and insurance companies participate through the MRF private investment window. The Qatar Central Bank administers a separate private capital tranche. Investors receive milestone-linked returns tied to project completion. The EBRD provides credit enhancement for private investments.</w:t>
      </w:r>
    </w:p>
    <w:p w14:paraId="1A5B9124" w14:textId="77777777" w:rsidR="00D708EC" w:rsidRDefault="00000000">
      <w:pPr>
        <w:pStyle w:val="Heading3"/>
        <w:rPr>
          <w:rFonts w:hint="eastAsia"/>
        </w:rPr>
      </w:pPr>
      <w:r>
        <w:t>Humanitarian Organizations</w:t>
      </w:r>
    </w:p>
    <w:p w14:paraId="45DBC2DB" w14:textId="77777777" w:rsidR="00D708EC" w:rsidRDefault="00000000">
      <w:pPr>
        <w:rPr>
          <w:rFonts w:hint="eastAsia"/>
        </w:rPr>
      </w:pPr>
      <w:r>
        <w:t>UN OCHA, ICRC, WHO, and other humanitarian agencies contribute through their established grant mechanisms. Humanitarian contributions target immediate relief and foundational reconstruction. Coordination occurs through the MRF humanitarian corridor and the RSC secretariat.</w:t>
      </w:r>
    </w:p>
    <w:p w14:paraId="1ACF2EEB" w14:textId="77777777" w:rsidR="00D708EC" w:rsidRDefault="00000000">
      <w:pPr>
        <w:pStyle w:val="Heading3"/>
        <w:rPr>
          <w:rFonts w:hint="eastAsia"/>
        </w:rPr>
      </w:pPr>
      <w:r>
        <w:t>Bilateral Donors</w:t>
      </w:r>
    </w:p>
    <w:p w14:paraId="19479B4E" w14:textId="77777777" w:rsidR="00D708EC" w:rsidRDefault="00000000">
      <w:pPr>
        <w:rPr>
          <w:rFonts w:hint="eastAsia"/>
        </w:rPr>
      </w:pPr>
      <w:r>
        <w:t>EU member states, China, Russia, India, Japan, and South Korea contribute through their respective bilateral development agencies. Each donor coordinates through its embassy in Tehran or Doha and designates a representative to the RSC observer group. Bilateral contributions flow through the Qatar Central Bank escrow.</w:t>
      </w:r>
    </w:p>
    <w:p w14:paraId="6B1DC012" w14:textId="77777777" w:rsidR="00D708EC" w:rsidRDefault="00000000">
      <w:pPr>
        <w:pStyle w:val="Heading3"/>
        <w:rPr>
          <w:rFonts w:hint="eastAsia"/>
        </w:rPr>
      </w:pPr>
      <w:r>
        <w:t>1.3(a) Contributor Application Pathway</w:t>
      </w:r>
    </w:p>
    <w:p w14:paraId="6F5E7057" w14:textId="77777777" w:rsidR="00D708EC" w:rsidRDefault="00000000">
      <w:pPr>
        <w:rPr>
          <w:rFonts w:hint="eastAsia"/>
        </w:rPr>
      </w:pPr>
      <w:r>
        <w:t>New contributors access the MRF through the following pathway: (1) Expression of Interest submitted to the RSC secretariat, (2) Preliminary consultation with the Qatar Central Bank on deposit mechanisms, (3) Due diligence review by the World Bank, (4) Contribution agreement negotiation, (5) Deposit execution and verification, (6) RSC registration and Sub-Fund designation. The full pathway completes within 90 days of Expression of Interest.</w:t>
      </w:r>
    </w:p>
    <w:p w14:paraId="1508B8E9" w14:textId="77777777" w:rsidR="00D708EC" w:rsidRDefault="00000000">
      <w:pPr>
        <w:pStyle w:val="Heading3"/>
        <w:rPr>
          <w:rFonts w:hint="eastAsia"/>
        </w:rPr>
      </w:pPr>
      <w:r>
        <w:t>1.3(b) IMF Special Drawing Rights Channeling Window</w:t>
      </w:r>
    </w:p>
    <w:p w14:paraId="0AAA8D80" w14:textId="77777777" w:rsidR="00D708EC" w:rsidRDefault="00000000">
      <w:pPr>
        <w:rPr>
          <w:rFonts w:hint="eastAsia"/>
        </w:rPr>
      </w:pPr>
      <w:r>
        <w:t>The MRF establishes a dedicated window for accessing IMF Special Drawing Rights (SDRs) through the Poverty Reduction and Growth Trust (PRGT). G7 member states and other wealthy nations hold pledged but unchanneled SDR allocations exceeding $100 billion. The MRF coordinates with the IMF to channel a portion of these unused SDRs to Iran for reconstruction purposes.</w:t>
      </w:r>
    </w:p>
    <w:p w14:paraId="4C032C95" w14:textId="77777777" w:rsidR="00D708EC" w:rsidRDefault="00000000">
      <w:pPr>
        <w:rPr>
          <w:rFonts w:hint="eastAsia"/>
        </w:rPr>
      </w:pPr>
      <w:r>
        <w:lastRenderedPageBreak/>
        <w:t>The SDR channeling mechanism operates as follows: (1) The RSC secretariat submits a formal request to the IMF Managing Director for SDR channeling through the PRGT, (2) The IMF conducts aPRGT eligibility assessment (60 days), (3) Contributing nations formally commit to re-channeling SDR allocations to the PRGT window designated for Iran, (4) The PRGT disburses SDR-backed financing in tranches tied to reconstruction milestones, (5) The Qatar Central Bank converts SDRs to hard currency at prevailing exchange rates for deposit into the relevant Sub-Fund.</w:t>
      </w:r>
    </w:p>
    <w:p w14:paraId="30D23C1A" w14:textId="77777777" w:rsidR="00D708EC" w:rsidRDefault="00000000">
      <w:pPr>
        <w:rPr>
          <w:rFonts w:hint="eastAsia"/>
        </w:rPr>
      </w:pPr>
      <w:r>
        <w:t>The SDR Channeling Window targets $3-5 billion in concessional financing with near-zero interest rates and 40-year maturities. This window operates independently of the MRF escrow and is subject to IMF oversight and conditionality. The RSC designates a dedicated SDR liaison officer to coordinate with the IMF Resident Representative in Tehran.</w:t>
      </w:r>
    </w:p>
    <w:p w14:paraId="0C588179" w14:textId="77777777" w:rsidR="00D708EC" w:rsidRDefault="00000000">
      <w:pPr>
        <w:pStyle w:val="Heading3"/>
        <w:rPr>
          <w:rFonts w:hint="eastAsia"/>
        </w:rPr>
      </w:pPr>
      <w:r>
        <w:t>1.3(c) Frozen Asset Conversion and Debt-for-Infrastructure Swap Protocol</w:t>
      </w:r>
    </w:p>
    <w:p w14:paraId="3A6BB222" w14:textId="77777777" w:rsidR="00D708EC" w:rsidRDefault="00000000">
      <w:pPr>
        <w:rPr>
          <w:rFonts w:hint="eastAsia"/>
        </w:rPr>
      </w:pPr>
      <w:r>
        <w:t>Multiple nations hold frozen Iranian assets resulting from sanctions-related payment freezes. South Korea holds approximately $6 billion in frozen oil payments. Japan holds an estimated $3 billion in frozen trade credits. India holds approximately $2 billion in frozen energy payments under the rupee-rial trade mechanism. The MRF establishes a protocol for converting these frozen assets directly into reconstruction contracts.</w:t>
      </w:r>
    </w:p>
    <w:p w14:paraId="509D9E83" w14:textId="77777777" w:rsidR="00D708EC" w:rsidRDefault="00000000">
      <w:pPr>
        <w:rPr>
          <w:rFonts w:hint="eastAsia"/>
        </w:rPr>
      </w:pPr>
      <w:r>
        <w:t>The conversion mechanism operates as follows: (1) The holding nation and Iran identify the frozen asset value eligible for conversion, (2) Both parties agree on a reconstruction project or portfolio of projects to be executed by contractors from the holding nation, (3) The Qatar Central Bank establishes a segregated account denominated in the holding nation's currency, (4) Contractors invoice against the segregated account for completed milestone work, (5) The RSC verifies milestone completion through standard TAG and independent audit procedures, (6) Funds release directly to contractors from the segregated account without passing through Iranian government channels.</w:t>
      </w:r>
    </w:p>
    <w:p w14:paraId="49D6F177" w14:textId="77777777" w:rsidR="00D708EC" w:rsidRDefault="00000000">
      <w:pPr>
        <w:rPr>
          <w:rFonts w:hint="eastAsia"/>
        </w:rPr>
      </w:pPr>
      <w:r>
        <w:t>This protocol converts politically frozen assets into productive reconstruction without requiring new cash appropriations from holding nations. The RSC estimates the Frozen Asset Conversion Protocol unlocks $6-10 billion in immediately available reconstruction capital.</w:t>
      </w:r>
    </w:p>
    <w:p w14:paraId="55FA2EF5" w14:textId="77777777" w:rsidR="00D708EC" w:rsidRDefault="00000000">
      <w:pPr>
        <w:pStyle w:val="Heading3"/>
        <w:rPr>
          <w:rFonts w:hint="eastAsia"/>
        </w:rPr>
      </w:pPr>
      <w:r>
        <w:t>1.3(d) U.S. Private Sector Safe Harbor and In-Kind Participation</w:t>
      </w:r>
    </w:p>
    <w:p w14:paraId="79E846D7" w14:textId="77777777" w:rsidR="00D708EC" w:rsidRDefault="00000000">
      <w:pPr>
        <w:rPr>
          <w:rFonts w:hint="eastAsia"/>
        </w:rPr>
      </w:pPr>
      <w:r>
        <w:t>The framework architecture explicitly excludes direct U.S. government cash contributions to the MRF. However, the framework creates a Safe Harbor mechanism for U.S. private sector participation in reconstruction. The Safe Harbor addresses the legal barrier posed by the Iran Threat Reduction Act and other U.S. domestic statutes that expose American companies to litigation risk for Iran-related activities.</w:t>
      </w:r>
    </w:p>
    <w:p w14:paraId="5EF29E24" w14:textId="77777777" w:rsidR="00D708EC" w:rsidRDefault="00000000">
      <w:pPr>
        <w:pStyle w:val="Heading3"/>
        <w:rPr>
          <w:rFonts w:hint="eastAsia"/>
        </w:rPr>
      </w:pPr>
      <w:r>
        <w:t>Safe Harbor Mechanism</w:t>
      </w:r>
    </w:p>
    <w:p w14:paraId="1CA9A49F" w14:textId="77777777" w:rsidR="00D708EC" w:rsidRDefault="00000000">
      <w:pPr>
        <w:rPr>
          <w:rFonts w:hint="eastAsia"/>
        </w:rPr>
      </w:pPr>
      <w:r>
        <w:t xml:space="preserve">The Safe Harbor operates through the following structure: (1) U.S. companies provide engineering, equipment, technology, or professional services as subcontractors to non-U.S. </w:t>
      </w:r>
      <w:r>
        <w:lastRenderedPageBreak/>
        <w:t>prime contractors executing MRF-funded projects, (2) The OFAC license protecting MRF transactions extends to cover subcontractor payments flowing through the Qatar Central Bank escrow, (3) The U.S. Department of Commerce issues a general license for the export of reconstruction-related goods and technology to Iran under the MRF framework, (4) The U.S. government provides a litigation indemnification letter to participating companies confirming that MRF-related activities fall within the scope of the framework's diplomatic protections.</w:t>
      </w:r>
    </w:p>
    <w:p w14:paraId="331D1D90" w14:textId="77777777" w:rsidR="00D708EC" w:rsidRDefault="00000000">
      <w:pPr>
        <w:rPr>
          <w:rFonts w:hint="eastAsia"/>
        </w:rPr>
      </w:pPr>
      <w:r>
        <w:t>The Safe Harbor addresses, by name, the statutory bars of the Iran Threat Reduction and Syria Human Rights Act and companion statutes that expose American companies to litigation risk for Iran-related activities. The general license architecture and the indemnification letter operate as the complete answer to those bars for all activity within the Safe Harbor.</w:t>
      </w:r>
    </w:p>
    <w:p w14:paraId="7F03E0D2" w14:textId="77777777" w:rsidR="00D708EC" w:rsidRDefault="00000000">
      <w:pPr>
        <w:rPr>
          <w:rFonts w:hint="eastAsia"/>
        </w:rPr>
      </w:pPr>
      <w:r>
        <w:t>Most-favored-contractor clause: United States contractors and subcontractors participating in MRF-funded projects receive treatment no less favorable than contractors of any other nation in every procurement, payment, bonding, and dispute process of the Fund. The RSC publishes annual compliance statistics demonstrating parity of award rates, payment timing, and dispute outcomes.</w:t>
      </w:r>
    </w:p>
    <w:p w14:paraId="52D4CB61" w14:textId="77777777" w:rsidR="00D708EC" w:rsidRDefault="00000000">
      <w:pPr>
        <w:rPr>
          <w:rFonts w:hint="eastAsia"/>
        </w:rPr>
      </w:pPr>
      <w:r>
        <w:t>Legal opinion mechanism: the Attorney General of the United States issues a formal advisory opinion, within 60 days of Day Zero, confirming the validity of the Safe Harbor and the scope of its protections. The opinion publishes in the Federal Register and files with the Depositary, giving participating companies a citable legal foundation for their boards, auditors, and insurers.</w:t>
      </w:r>
    </w:p>
    <w:p w14:paraId="488B2214" w14:textId="77777777" w:rsidR="00D708EC" w:rsidRDefault="00000000">
      <w:pPr>
        <w:pStyle w:val="Heading3"/>
        <w:rPr>
          <w:rFonts w:hint="eastAsia"/>
        </w:rPr>
      </w:pPr>
      <w:r>
        <w:t>In-Kind Equipment and Technology Donation Window</w:t>
      </w:r>
    </w:p>
    <w:p w14:paraId="1CA72AF1" w14:textId="77777777" w:rsidR="00D708EC" w:rsidRDefault="00000000">
      <w:pPr>
        <w:rPr>
          <w:rFonts w:hint="eastAsia"/>
        </w:rPr>
      </w:pPr>
      <w:r>
        <w:t>The framework creates a dedicated In-Kind Contribution Window allowing U.S. companies to donate equipment, software licenses, engineering services, and technology transfers to MRF projects. These contributions are valued at fair market cost and credited against the relevant Sub-Fund's capitalization target. The in-kind mechanism gives Washington a material participation pathway that does not involve cash transfers to Iran.</w:t>
      </w:r>
    </w:p>
    <w:p w14:paraId="54271293" w14:textId="77777777" w:rsidR="00D708EC" w:rsidRDefault="00000000">
      <w:pPr>
        <w:rPr>
          <w:rFonts w:hint="eastAsia"/>
        </w:rPr>
      </w:pPr>
      <w:r>
        <w:t>Eligible in-kind contributions include: power generation equipment, water treatment technology, medical devices and pharmaceuticals, construction machinery, telecommunications infrastructure, agricultural technology, and engineering design services. The TAG verifies the fair market value of all in-kind contributions through independent appraisal. The U.S. In-Kind Window targets $5-10 billion in equipment and service contributions over the 10-year reconstruction period.</w:t>
      </w:r>
    </w:p>
    <w:p w14:paraId="7A0085FD" w14:textId="77777777" w:rsidR="00D708EC" w:rsidRDefault="00000000">
      <w:pPr>
        <w:pStyle w:val="Heading3"/>
        <w:rPr>
          <w:rFonts w:hint="eastAsia"/>
        </w:rPr>
      </w:pPr>
      <w:r>
        <w:t>1.4 Neutral Escrow Agent</w:t>
      </w:r>
    </w:p>
    <w:p w14:paraId="01212D08" w14:textId="77777777" w:rsidR="00D708EC" w:rsidRDefault="00000000">
      <w:pPr>
        <w:rPr>
          <w:rFonts w:hint="eastAsia"/>
        </w:rPr>
      </w:pPr>
      <w:r>
        <w:t>The State of Qatar, acting through the Qatar Central Bank, serves as the primary escrow agent for the MRF. The World Bank exercises a strictly technical and non-political fiduciary role. The World Bank conducts verification and audit functions only. The World Bank exercises no political discretion over project selection or disbursement.</w:t>
      </w:r>
    </w:p>
    <w:p w14:paraId="70C93198" w14:textId="77777777" w:rsidR="00D708EC" w:rsidRDefault="00000000">
      <w:pPr>
        <w:pStyle w:val="Heading3"/>
        <w:rPr>
          <w:rFonts w:hint="eastAsia"/>
        </w:rPr>
      </w:pPr>
      <w:r>
        <w:lastRenderedPageBreak/>
        <w:t>1.5 Project Proposal</w:t>
      </w:r>
    </w:p>
    <w:p w14:paraId="71807C11" w14:textId="77777777" w:rsidR="00D708EC" w:rsidRDefault="00000000">
      <w:pPr>
        <w:rPr>
          <w:rFonts w:hint="eastAsia"/>
        </w:rPr>
      </w:pPr>
      <w:r>
        <w:t>A detailed submission by Iran to a specific Sub-Fund, containing:</w:t>
      </w:r>
    </w:p>
    <w:p w14:paraId="69249A79" w14:textId="77777777" w:rsidR="00D708EC" w:rsidRDefault="00000000">
      <w:pPr>
        <w:ind w:left="360"/>
        <w:rPr>
          <w:rFonts w:hint="eastAsia"/>
        </w:rPr>
      </w:pPr>
      <w:r>
        <w:rPr>
          <w:color w:val="37474F"/>
        </w:rPr>
        <w:t>•</w:t>
      </w:r>
      <w:r>
        <w:t>Project description and scope</w:t>
      </w:r>
    </w:p>
    <w:p w14:paraId="3C470F5D" w14:textId="77777777" w:rsidR="00D708EC" w:rsidRDefault="00000000">
      <w:pPr>
        <w:ind w:left="360"/>
        <w:rPr>
          <w:rFonts w:hint="eastAsia"/>
        </w:rPr>
      </w:pPr>
      <w:r>
        <w:rPr>
          <w:color w:val="37474F"/>
        </w:rPr>
        <w:t>•</w:t>
      </w:r>
      <w:r>
        <w:t>Estimated cost and timeline</w:t>
      </w:r>
    </w:p>
    <w:p w14:paraId="0D2542D9" w14:textId="77777777" w:rsidR="00D708EC" w:rsidRDefault="00000000">
      <w:pPr>
        <w:ind w:left="360"/>
        <w:rPr>
          <w:rFonts w:hint="eastAsia"/>
        </w:rPr>
      </w:pPr>
      <w:r>
        <w:rPr>
          <w:color w:val="37474F"/>
        </w:rPr>
        <w:t>•</w:t>
      </w:r>
      <w:r>
        <w:t>Technical feasibility study</w:t>
      </w:r>
    </w:p>
    <w:p w14:paraId="69822D10" w14:textId="77777777" w:rsidR="00D708EC" w:rsidRDefault="00000000">
      <w:pPr>
        <w:ind w:left="360"/>
        <w:rPr>
          <w:rFonts w:hint="eastAsia"/>
        </w:rPr>
      </w:pPr>
      <w:r>
        <w:rPr>
          <w:color w:val="37474F"/>
        </w:rPr>
        <w:t>•</w:t>
      </w:r>
      <w:r>
        <w:t>Environmental and social impact assessment</w:t>
      </w:r>
    </w:p>
    <w:p w14:paraId="42079B6D" w14:textId="77777777" w:rsidR="00D708EC" w:rsidRDefault="00000000">
      <w:pPr>
        <w:ind w:left="360"/>
        <w:rPr>
          <w:rFonts w:hint="eastAsia"/>
        </w:rPr>
      </w:pPr>
      <w:r>
        <w:rPr>
          <w:color w:val="37474F"/>
        </w:rPr>
        <w:t>•</w:t>
      </w:r>
      <w:r>
        <w:t>Procurement plan</w:t>
      </w:r>
    </w:p>
    <w:p w14:paraId="38E26B8E" w14:textId="77777777" w:rsidR="00D708EC" w:rsidRDefault="00000000">
      <w:pPr>
        <w:ind w:left="360"/>
        <w:rPr>
          <w:rFonts w:hint="eastAsia"/>
        </w:rPr>
      </w:pPr>
      <w:r>
        <w:rPr>
          <w:color w:val="37474F"/>
        </w:rPr>
        <w:t>•</w:t>
      </w:r>
      <w:r>
        <w:t>Verification milestones</w:t>
      </w:r>
    </w:p>
    <w:p w14:paraId="614500F3" w14:textId="77777777" w:rsidR="00D708EC" w:rsidRDefault="00000000">
      <w:pPr>
        <w:pStyle w:val="Heading3"/>
        <w:rPr>
          <w:rFonts w:hint="eastAsia"/>
        </w:rPr>
      </w:pPr>
      <w:r>
        <w:t>1.6 Verification Milestone</w:t>
      </w:r>
    </w:p>
    <w:p w14:paraId="2F42465E" w14:textId="77777777" w:rsidR="00D708EC" w:rsidRDefault="00000000">
      <w:pPr>
        <w:rPr>
          <w:rFonts w:hint="eastAsia"/>
        </w:rPr>
      </w:pPr>
      <w:r>
        <w:t>A specific, objectively verifiable event in a project's implementation, such as:</w:t>
      </w:r>
    </w:p>
    <w:p w14:paraId="1C9240B1" w14:textId="77777777" w:rsidR="00D708EC" w:rsidRDefault="00000000">
      <w:pPr>
        <w:ind w:left="360"/>
        <w:rPr>
          <w:rFonts w:hint="eastAsia"/>
        </w:rPr>
      </w:pPr>
      <w:r>
        <w:rPr>
          <w:color w:val="37474F"/>
        </w:rPr>
        <w:t>•</w:t>
      </w:r>
      <w:r>
        <w:t>Procurement completion</w:t>
      </w:r>
    </w:p>
    <w:p w14:paraId="31C89726" w14:textId="77777777" w:rsidR="00D708EC" w:rsidRDefault="00000000">
      <w:pPr>
        <w:ind w:left="360"/>
        <w:rPr>
          <w:rFonts w:hint="eastAsia"/>
        </w:rPr>
      </w:pPr>
      <w:r>
        <w:rPr>
          <w:color w:val="37474F"/>
        </w:rPr>
        <w:t>•</w:t>
      </w:r>
      <w:r>
        <w:t>Construction commencement</w:t>
      </w:r>
    </w:p>
    <w:p w14:paraId="775B6644" w14:textId="77777777" w:rsidR="00D708EC" w:rsidRDefault="00000000">
      <w:pPr>
        <w:ind w:left="360"/>
        <w:rPr>
          <w:rFonts w:hint="eastAsia"/>
        </w:rPr>
      </w:pPr>
      <w:r>
        <w:rPr>
          <w:color w:val="37474F"/>
        </w:rPr>
        <w:t>•</w:t>
      </w:r>
      <w:r>
        <w:t>Phase completion (e.g., 25%, 50%, 75%)</w:t>
      </w:r>
    </w:p>
    <w:p w14:paraId="086F3A43" w14:textId="77777777" w:rsidR="00D708EC" w:rsidRDefault="00000000">
      <w:pPr>
        <w:ind w:left="360"/>
        <w:rPr>
          <w:rFonts w:hint="eastAsia"/>
        </w:rPr>
      </w:pPr>
      <w:r>
        <w:rPr>
          <w:color w:val="37474F"/>
        </w:rPr>
        <w:t>•</w:t>
      </w:r>
      <w:r>
        <w:t>Operational handover</w:t>
      </w:r>
    </w:p>
    <w:p w14:paraId="2E1AE40C" w14:textId="77777777" w:rsidR="00D708EC" w:rsidRDefault="00000000">
      <w:pPr>
        <w:ind w:left="360"/>
        <w:rPr>
          <w:rFonts w:hint="eastAsia"/>
        </w:rPr>
      </w:pPr>
      <w:r>
        <w:rPr>
          <w:color w:val="37474F"/>
        </w:rPr>
        <w:t>•</w:t>
      </w:r>
      <w:r>
        <w:t>Independent audit certification</w:t>
      </w:r>
    </w:p>
    <w:p w14:paraId="58AB73AE" w14:textId="77777777" w:rsidR="00D708EC" w:rsidRDefault="00000000">
      <w:pPr>
        <w:pStyle w:val="Heading3"/>
        <w:rPr>
          <w:rFonts w:hint="eastAsia"/>
        </w:rPr>
      </w:pPr>
      <w:r>
        <w:t>1.7 Reconstruction Steering Committee (RSC)</w:t>
      </w:r>
    </w:p>
    <w:p w14:paraId="4481B373" w14:textId="77777777" w:rsidR="00D708EC" w:rsidRDefault="00000000">
      <w:pPr>
        <w:rPr>
          <w:rFonts w:hint="eastAsia"/>
        </w:rPr>
      </w:pPr>
      <w:r>
        <w:t>The central oversight body for the MRF, comprising representatives of:</w:t>
      </w:r>
    </w:p>
    <w:p w14:paraId="3ECE296E" w14:textId="77777777" w:rsidR="00D708EC" w:rsidRDefault="00000000">
      <w:pPr>
        <w:ind w:left="360"/>
        <w:rPr>
          <w:rFonts w:hint="eastAsia"/>
        </w:rPr>
      </w:pPr>
      <w:r>
        <w:rPr>
          <w:color w:val="37474F"/>
        </w:rPr>
        <w:t>•</w:t>
      </w:r>
      <w:r>
        <w:t>Iran (2 representatives: AEOI or Ministry of Economy)</w:t>
      </w:r>
    </w:p>
    <w:p w14:paraId="061834F6" w14:textId="77777777" w:rsidR="00D708EC" w:rsidRDefault="00000000">
      <w:pPr>
        <w:ind w:left="360"/>
        <w:rPr>
          <w:rFonts w:hint="eastAsia"/>
        </w:rPr>
      </w:pPr>
      <w:r>
        <w:rPr>
          <w:color w:val="37474F"/>
        </w:rPr>
        <w:t>•</w:t>
      </w:r>
      <w:r>
        <w:t>Qatar (1 representative: Escrow Agent)</w:t>
      </w:r>
    </w:p>
    <w:p w14:paraId="69B4663B" w14:textId="77777777" w:rsidR="00D708EC" w:rsidRDefault="00000000">
      <w:pPr>
        <w:ind w:left="360"/>
        <w:rPr>
          <w:rFonts w:hint="eastAsia"/>
        </w:rPr>
      </w:pPr>
      <w:r>
        <w:rPr>
          <w:color w:val="37474F"/>
        </w:rPr>
        <w:t>•</w:t>
      </w:r>
      <w:r>
        <w:t>World Bank (1 representative: Fiduciary Administrator)</w:t>
      </w:r>
    </w:p>
    <w:p w14:paraId="48C2CD5C" w14:textId="77777777" w:rsidR="00D708EC" w:rsidRDefault="00000000">
      <w:pPr>
        <w:ind w:left="360"/>
        <w:rPr>
          <w:rFonts w:hint="eastAsia"/>
        </w:rPr>
      </w:pPr>
      <w:r>
        <w:rPr>
          <w:color w:val="37474F"/>
        </w:rPr>
        <w:t>•</w:t>
      </w:r>
      <w:r>
        <w:t>GCC (1 representative: rotating chair)</w:t>
      </w:r>
    </w:p>
    <w:p w14:paraId="744D19C9" w14:textId="77777777" w:rsidR="00D708EC" w:rsidRDefault="00000000">
      <w:pPr>
        <w:ind w:left="360"/>
        <w:rPr>
          <w:rFonts w:hint="eastAsia"/>
        </w:rPr>
      </w:pPr>
      <w:r>
        <w:rPr>
          <w:color w:val="37474F"/>
        </w:rPr>
        <w:t>•</w:t>
      </w:r>
      <w:r>
        <w:t>United States (1 representative: observer, no vote)</w:t>
      </w:r>
    </w:p>
    <w:p w14:paraId="4CE32C47" w14:textId="77777777" w:rsidR="00D708EC" w:rsidRDefault="00000000">
      <w:pPr>
        <w:ind w:left="360"/>
        <w:rPr>
          <w:rFonts w:hint="eastAsia"/>
        </w:rPr>
      </w:pPr>
      <w:r>
        <w:rPr>
          <w:color w:val="37474F"/>
        </w:rPr>
        <w:t>•</w:t>
      </w:r>
      <w:r>
        <w:t>China (1 representative: observer, no vote)</w:t>
      </w:r>
    </w:p>
    <w:p w14:paraId="42268E2A" w14:textId="77777777" w:rsidR="00D708EC" w:rsidRDefault="00000000">
      <w:pPr>
        <w:ind w:left="360"/>
        <w:rPr>
          <w:rFonts w:hint="eastAsia"/>
        </w:rPr>
      </w:pPr>
      <w:r>
        <w:rPr>
          <w:color w:val="37474F"/>
        </w:rPr>
        <w:t>•</w:t>
      </w:r>
      <w:r>
        <w:t>EU (1 representative: observer, no vote)</w:t>
      </w:r>
    </w:p>
    <w:p w14:paraId="5C28AA16" w14:textId="77777777" w:rsidR="00D708EC" w:rsidRDefault="00000000">
      <w:pPr>
        <w:rPr>
          <w:rFonts w:hint="eastAsia"/>
        </w:rPr>
      </w:pPr>
      <w:r>
        <w:t>The RSC approves project proposals, monitors progress, and authorizes disbursements. Decisions require consensus of the voting members (Iran, Qatar, World Bank, GCC).</w:t>
      </w:r>
    </w:p>
    <w:p w14:paraId="1F11FD1D" w14:textId="77777777" w:rsidR="00D708EC" w:rsidRDefault="00000000">
      <w:pPr>
        <w:pStyle w:val="Heading3"/>
        <w:rPr>
          <w:rFonts w:hint="eastAsia"/>
        </w:rPr>
      </w:pPr>
      <w:r>
        <w:t>1.8 Technical Advisory Group (TAG)</w:t>
      </w:r>
    </w:p>
    <w:p w14:paraId="10280353" w14:textId="77777777" w:rsidR="00D708EC" w:rsidRDefault="00000000">
      <w:pPr>
        <w:rPr>
          <w:rFonts w:hint="eastAsia"/>
        </w:rPr>
      </w:pPr>
      <w:r>
        <w:t>A panel of independent technical experts appointed by the World Bank to:</w:t>
      </w:r>
    </w:p>
    <w:p w14:paraId="6A144D0F" w14:textId="77777777" w:rsidR="00D708EC" w:rsidRDefault="00000000">
      <w:pPr>
        <w:ind w:left="360"/>
        <w:rPr>
          <w:rFonts w:hint="eastAsia"/>
        </w:rPr>
      </w:pPr>
      <w:r>
        <w:rPr>
          <w:color w:val="37474F"/>
        </w:rPr>
        <w:t>•</w:t>
      </w:r>
      <w:r>
        <w:t>Assess the technical feasibility of Project Proposals</w:t>
      </w:r>
    </w:p>
    <w:p w14:paraId="27DD2459" w14:textId="77777777" w:rsidR="00D708EC" w:rsidRDefault="00000000">
      <w:pPr>
        <w:ind w:left="360"/>
        <w:rPr>
          <w:rFonts w:hint="eastAsia"/>
        </w:rPr>
      </w:pPr>
      <w:r>
        <w:rPr>
          <w:color w:val="37474F"/>
        </w:rPr>
        <w:t>•</w:t>
      </w:r>
      <w:r>
        <w:t>Conduct independent verification of milestone completion</w:t>
      </w:r>
    </w:p>
    <w:p w14:paraId="69C83363" w14:textId="77777777" w:rsidR="00D708EC" w:rsidRDefault="00000000">
      <w:pPr>
        <w:ind w:left="360"/>
        <w:rPr>
          <w:rFonts w:hint="eastAsia"/>
        </w:rPr>
      </w:pPr>
      <w:r>
        <w:rPr>
          <w:color w:val="37474F"/>
        </w:rPr>
        <w:lastRenderedPageBreak/>
        <w:t>•</w:t>
      </w:r>
      <w:r>
        <w:t>Provide technical guidance to the RSC</w:t>
      </w:r>
    </w:p>
    <w:p w14:paraId="40683AA0" w14:textId="77777777" w:rsidR="00D708EC" w:rsidRDefault="00000000">
      <w:pPr>
        <w:pStyle w:val="Heading2"/>
        <w:rPr>
          <w:rFonts w:hint="eastAsia"/>
        </w:rPr>
      </w:pPr>
      <w:bookmarkStart w:id="159" w:name="_Toc237663673"/>
      <w:r>
        <w:t>Article 2: Capital Aggregation and Escrow</w:t>
      </w:r>
      <w:bookmarkEnd w:id="159"/>
    </w:p>
    <w:p w14:paraId="799DE7E9" w14:textId="77777777" w:rsidR="00D708EC" w:rsidRDefault="00000000">
      <w:pPr>
        <w:pStyle w:val="Heading3"/>
        <w:rPr>
          <w:rFonts w:hint="eastAsia"/>
        </w:rPr>
      </w:pPr>
      <w:r>
        <w:t>2.1 Pledge and Deposit Mechanism</w:t>
      </w:r>
    </w:p>
    <w:p w14:paraId="39D6C30A" w14:textId="77777777" w:rsidR="00D708EC" w:rsidRDefault="00000000">
      <w:pPr>
        <w:rPr>
          <w:rFonts w:hint="eastAsia"/>
        </w:rPr>
      </w:pPr>
      <w:r>
        <w:t>Contributors pledge funds to specific Sub-Funds. Pledges are non-binding until deposited. Deposits flow directly from contributors to the MRF escrow account at the Qatar Central Bank. No contribution passes through the United States or any U.S.-controlled financial institution.</w:t>
      </w:r>
    </w:p>
    <w:p w14:paraId="7F0537F6" w14:textId="77777777" w:rsidR="00D708EC" w:rsidRDefault="00000000">
      <w:pPr>
        <w:pStyle w:val="Heading3"/>
        <w:rPr>
          <w:rFonts w:hint="eastAsia"/>
        </w:rPr>
      </w:pPr>
      <w:r>
        <w:t>2.2 Contribution Tiers</w:t>
      </w:r>
    </w:p>
    <w:p w14:paraId="0640D6B3" w14:textId="77777777" w:rsidR="00D708EC" w:rsidRDefault="00000000">
      <w:pPr>
        <w:rPr>
          <w:rFonts w:hint="eastAsia"/>
        </w:rPr>
      </w:pPr>
      <w:r>
        <w:t>The framework recognizes the following contribution tiers:</w:t>
      </w:r>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1398"/>
        <w:gridCol w:w="3606"/>
        <w:gridCol w:w="1357"/>
        <w:gridCol w:w="2865"/>
      </w:tblGrid>
      <w:tr w:rsidR="00D708EC" w14:paraId="08A89E77" w14:textId="77777777">
        <w:tc>
          <w:tcPr>
            <w:tcW w:w="0" w:type="auto"/>
            <w:shd w:val="clear" w:color="auto" w:fill="37474F"/>
          </w:tcPr>
          <w:p w14:paraId="00794E19" w14:textId="77777777" w:rsidR="00D708EC" w:rsidRDefault="00000000">
            <w:pPr>
              <w:rPr>
                <w:rFonts w:hint="eastAsia"/>
              </w:rPr>
            </w:pPr>
            <w:r>
              <w:rPr>
                <w:b/>
                <w:color w:val="FFFFFF"/>
                <w:sz w:val="19"/>
              </w:rPr>
              <w:t>Tier</w:t>
            </w:r>
          </w:p>
        </w:tc>
        <w:tc>
          <w:tcPr>
            <w:tcW w:w="0" w:type="auto"/>
            <w:shd w:val="clear" w:color="auto" w:fill="37474F"/>
          </w:tcPr>
          <w:p w14:paraId="48B5C9FB" w14:textId="77777777" w:rsidR="00D708EC" w:rsidRDefault="00000000">
            <w:pPr>
              <w:rPr>
                <w:rFonts w:hint="eastAsia"/>
              </w:rPr>
            </w:pPr>
            <w:r>
              <w:rPr>
                <w:b/>
                <w:color w:val="FFFFFF"/>
                <w:sz w:val="19"/>
              </w:rPr>
              <w:t>Contributor Type</w:t>
            </w:r>
          </w:p>
        </w:tc>
        <w:tc>
          <w:tcPr>
            <w:tcW w:w="0" w:type="auto"/>
            <w:shd w:val="clear" w:color="auto" w:fill="37474F"/>
          </w:tcPr>
          <w:p w14:paraId="0112852B" w14:textId="77777777" w:rsidR="00D708EC" w:rsidRDefault="00000000">
            <w:pPr>
              <w:rPr>
                <w:rFonts w:hint="eastAsia"/>
              </w:rPr>
            </w:pPr>
            <w:r>
              <w:rPr>
                <w:b/>
                <w:color w:val="FFFFFF"/>
                <w:sz w:val="19"/>
              </w:rPr>
              <w:t>Typical Amount</w:t>
            </w:r>
          </w:p>
        </w:tc>
        <w:tc>
          <w:tcPr>
            <w:tcW w:w="0" w:type="auto"/>
            <w:shd w:val="clear" w:color="auto" w:fill="37474F"/>
          </w:tcPr>
          <w:p w14:paraId="3E8B7F8A" w14:textId="77777777" w:rsidR="00D708EC" w:rsidRDefault="00000000">
            <w:pPr>
              <w:rPr>
                <w:rFonts w:hint="eastAsia"/>
              </w:rPr>
            </w:pPr>
            <w:r>
              <w:rPr>
                <w:b/>
                <w:color w:val="FFFFFF"/>
                <w:sz w:val="19"/>
              </w:rPr>
              <w:t>Example</w:t>
            </w:r>
          </w:p>
        </w:tc>
      </w:tr>
      <w:tr w:rsidR="00D708EC" w14:paraId="68BA2B9A" w14:textId="77777777">
        <w:tc>
          <w:tcPr>
            <w:tcW w:w="0" w:type="auto"/>
          </w:tcPr>
          <w:p w14:paraId="47D3E531" w14:textId="77777777" w:rsidR="00D708EC" w:rsidRDefault="00000000">
            <w:pPr>
              <w:rPr>
                <w:rFonts w:hint="eastAsia"/>
              </w:rPr>
            </w:pPr>
            <w:r>
              <w:rPr>
                <w:sz w:val="19"/>
              </w:rPr>
              <w:t>Anchor</w:t>
            </w:r>
          </w:p>
        </w:tc>
        <w:tc>
          <w:tcPr>
            <w:tcW w:w="0" w:type="auto"/>
          </w:tcPr>
          <w:p w14:paraId="270C57DA" w14:textId="77777777" w:rsidR="00D708EC" w:rsidRDefault="00000000">
            <w:pPr>
              <w:rPr>
                <w:rFonts w:hint="eastAsia"/>
              </w:rPr>
            </w:pPr>
            <w:r>
              <w:rPr>
                <w:sz w:val="19"/>
              </w:rPr>
              <w:t>GCC sovereign wealth funds, World Bank, Islamic Development Bank</w:t>
            </w:r>
          </w:p>
        </w:tc>
        <w:tc>
          <w:tcPr>
            <w:tcW w:w="0" w:type="auto"/>
          </w:tcPr>
          <w:p w14:paraId="1F9311E0" w14:textId="77777777" w:rsidR="00D708EC" w:rsidRDefault="00000000">
            <w:pPr>
              <w:rPr>
                <w:rFonts w:hint="eastAsia"/>
              </w:rPr>
            </w:pPr>
            <w:r>
              <w:rPr>
                <w:sz w:val="19"/>
              </w:rPr>
              <w:t>$5B+</w:t>
            </w:r>
          </w:p>
        </w:tc>
        <w:tc>
          <w:tcPr>
            <w:tcW w:w="0" w:type="auto"/>
          </w:tcPr>
          <w:p w14:paraId="68218362" w14:textId="77777777" w:rsidR="00D708EC" w:rsidRDefault="00000000">
            <w:pPr>
              <w:rPr>
                <w:rFonts w:hint="eastAsia"/>
              </w:rPr>
            </w:pPr>
            <w:r>
              <w:rPr>
                <w:sz w:val="19"/>
              </w:rPr>
              <w:t>Qatar Investment Authority, Saudi PIF, UAE ADIA</w:t>
            </w:r>
          </w:p>
        </w:tc>
      </w:tr>
      <w:tr w:rsidR="00D708EC" w14:paraId="62D1EAAD" w14:textId="77777777">
        <w:tc>
          <w:tcPr>
            <w:tcW w:w="0" w:type="auto"/>
            <w:shd w:val="clear" w:color="auto" w:fill="ECEFF1"/>
          </w:tcPr>
          <w:p w14:paraId="4927AD74" w14:textId="77777777" w:rsidR="00D708EC" w:rsidRDefault="00000000">
            <w:pPr>
              <w:rPr>
                <w:rFonts w:hint="eastAsia"/>
              </w:rPr>
            </w:pPr>
            <w:r>
              <w:rPr>
                <w:sz w:val="19"/>
              </w:rPr>
              <w:t>Major</w:t>
            </w:r>
          </w:p>
        </w:tc>
        <w:tc>
          <w:tcPr>
            <w:tcW w:w="0" w:type="auto"/>
            <w:shd w:val="clear" w:color="auto" w:fill="ECEFF1"/>
          </w:tcPr>
          <w:p w14:paraId="1236144F" w14:textId="77777777" w:rsidR="00D708EC" w:rsidRDefault="00000000">
            <w:pPr>
              <w:rPr>
                <w:rFonts w:hint="eastAsia"/>
              </w:rPr>
            </w:pPr>
            <w:r>
              <w:rPr>
                <w:sz w:val="19"/>
              </w:rPr>
              <w:t>Regional development banks, EU member states, China, Russia</w:t>
            </w:r>
          </w:p>
        </w:tc>
        <w:tc>
          <w:tcPr>
            <w:tcW w:w="0" w:type="auto"/>
            <w:shd w:val="clear" w:color="auto" w:fill="ECEFF1"/>
          </w:tcPr>
          <w:p w14:paraId="3FB5D405" w14:textId="77777777" w:rsidR="00D708EC" w:rsidRDefault="00000000">
            <w:pPr>
              <w:rPr>
                <w:rFonts w:hint="eastAsia"/>
              </w:rPr>
            </w:pPr>
            <w:r>
              <w:rPr>
                <w:sz w:val="19"/>
              </w:rPr>
              <w:t>$1B-$5B</w:t>
            </w:r>
          </w:p>
        </w:tc>
        <w:tc>
          <w:tcPr>
            <w:tcW w:w="0" w:type="auto"/>
            <w:shd w:val="clear" w:color="auto" w:fill="ECEFF1"/>
          </w:tcPr>
          <w:p w14:paraId="3D939BEF" w14:textId="77777777" w:rsidR="00D708EC" w:rsidRDefault="00000000">
            <w:pPr>
              <w:rPr>
                <w:rFonts w:hint="eastAsia"/>
              </w:rPr>
            </w:pPr>
            <w:r>
              <w:rPr>
                <w:sz w:val="19"/>
              </w:rPr>
              <w:t>AIIB, EBRD, Germany, Japan</w:t>
            </w:r>
          </w:p>
        </w:tc>
      </w:tr>
      <w:tr w:rsidR="00D708EC" w14:paraId="58C0AA2C" w14:textId="77777777">
        <w:tc>
          <w:tcPr>
            <w:tcW w:w="0" w:type="auto"/>
          </w:tcPr>
          <w:p w14:paraId="2A24DA4C" w14:textId="77777777" w:rsidR="00D708EC" w:rsidRDefault="00000000">
            <w:pPr>
              <w:rPr>
                <w:rFonts w:hint="eastAsia"/>
              </w:rPr>
            </w:pPr>
            <w:r>
              <w:rPr>
                <w:sz w:val="19"/>
              </w:rPr>
              <w:t>Supporting</w:t>
            </w:r>
          </w:p>
        </w:tc>
        <w:tc>
          <w:tcPr>
            <w:tcW w:w="0" w:type="auto"/>
          </w:tcPr>
          <w:p w14:paraId="62D75B37" w14:textId="77777777" w:rsidR="00D708EC" w:rsidRDefault="00000000">
            <w:pPr>
              <w:rPr>
                <w:rFonts w:hint="eastAsia"/>
              </w:rPr>
            </w:pPr>
            <w:r>
              <w:rPr>
                <w:sz w:val="19"/>
              </w:rPr>
              <w:t>Private investors, pension funds, insurance companies</w:t>
            </w:r>
          </w:p>
        </w:tc>
        <w:tc>
          <w:tcPr>
            <w:tcW w:w="0" w:type="auto"/>
          </w:tcPr>
          <w:p w14:paraId="7AD3435D" w14:textId="77777777" w:rsidR="00D708EC" w:rsidRDefault="00000000">
            <w:pPr>
              <w:rPr>
                <w:rFonts w:hint="eastAsia"/>
              </w:rPr>
            </w:pPr>
            <w:r>
              <w:rPr>
                <w:sz w:val="19"/>
              </w:rPr>
              <w:t>$100M-$1B</w:t>
            </w:r>
          </w:p>
        </w:tc>
        <w:tc>
          <w:tcPr>
            <w:tcW w:w="0" w:type="auto"/>
          </w:tcPr>
          <w:p w14:paraId="15CC46B1" w14:textId="77777777" w:rsidR="00D708EC" w:rsidRDefault="00000000">
            <w:pPr>
              <w:rPr>
                <w:rFonts w:hint="eastAsia"/>
              </w:rPr>
            </w:pPr>
            <w:r>
              <w:rPr>
                <w:sz w:val="19"/>
              </w:rPr>
              <w:t>Infrastructure funds, sovereign-backed insurers</w:t>
            </w:r>
          </w:p>
        </w:tc>
      </w:tr>
      <w:tr w:rsidR="00D708EC" w14:paraId="0E3E3323" w14:textId="77777777">
        <w:tc>
          <w:tcPr>
            <w:tcW w:w="0" w:type="auto"/>
            <w:shd w:val="clear" w:color="auto" w:fill="ECEFF1"/>
          </w:tcPr>
          <w:p w14:paraId="724D4AD3" w14:textId="77777777" w:rsidR="00D708EC" w:rsidRDefault="00000000">
            <w:pPr>
              <w:rPr>
                <w:rFonts w:hint="eastAsia"/>
              </w:rPr>
            </w:pPr>
            <w:r>
              <w:rPr>
                <w:sz w:val="19"/>
              </w:rPr>
              <w:t>Humanitarian</w:t>
            </w:r>
          </w:p>
        </w:tc>
        <w:tc>
          <w:tcPr>
            <w:tcW w:w="0" w:type="auto"/>
            <w:shd w:val="clear" w:color="auto" w:fill="ECEFF1"/>
          </w:tcPr>
          <w:p w14:paraId="1A3C6FA0" w14:textId="77777777" w:rsidR="00D708EC" w:rsidRDefault="00000000">
            <w:pPr>
              <w:rPr>
                <w:rFonts w:hint="eastAsia"/>
              </w:rPr>
            </w:pPr>
            <w:r>
              <w:rPr>
                <w:sz w:val="19"/>
              </w:rPr>
              <w:t>UN agencies, ICRC, bilateral humanitarian offices</w:t>
            </w:r>
          </w:p>
        </w:tc>
        <w:tc>
          <w:tcPr>
            <w:tcW w:w="0" w:type="auto"/>
            <w:shd w:val="clear" w:color="auto" w:fill="ECEFF1"/>
          </w:tcPr>
          <w:p w14:paraId="1B93010E" w14:textId="77777777" w:rsidR="00D708EC" w:rsidRDefault="00000000">
            <w:pPr>
              <w:rPr>
                <w:rFonts w:hint="eastAsia"/>
              </w:rPr>
            </w:pPr>
            <w:r>
              <w:rPr>
                <w:sz w:val="19"/>
              </w:rPr>
              <w:t>$50M-$500M</w:t>
            </w:r>
          </w:p>
        </w:tc>
        <w:tc>
          <w:tcPr>
            <w:tcW w:w="0" w:type="auto"/>
            <w:shd w:val="clear" w:color="auto" w:fill="ECEFF1"/>
          </w:tcPr>
          <w:p w14:paraId="719C24D7" w14:textId="77777777" w:rsidR="00D708EC" w:rsidRDefault="00000000">
            <w:pPr>
              <w:rPr>
                <w:rFonts w:hint="eastAsia"/>
              </w:rPr>
            </w:pPr>
            <w:r>
              <w:rPr>
                <w:sz w:val="19"/>
              </w:rPr>
              <w:t>UN OCHA, WHO, WFP, USAID (technical only)</w:t>
            </w:r>
          </w:p>
        </w:tc>
      </w:tr>
    </w:tbl>
    <w:p w14:paraId="033C6FE7" w14:textId="77777777" w:rsidR="00D708EC" w:rsidRDefault="00000000">
      <w:pPr>
        <w:pStyle w:val="Heading3"/>
        <w:rPr>
          <w:rFonts w:hint="eastAsia"/>
        </w:rPr>
      </w:pPr>
      <w:r>
        <w:t>2.3 U.S. Participation (Non-Cash)</w:t>
      </w:r>
    </w:p>
    <w:p w14:paraId="409DAE82" w14:textId="77777777" w:rsidR="00D708EC" w:rsidRDefault="00000000">
      <w:pPr>
        <w:rPr>
          <w:rFonts w:hint="eastAsia"/>
        </w:rPr>
      </w:pPr>
      <w:r>
        <w:t>The United States contributes to the MRF exclusively through:</w:t>
      </w:r>
    </w:p>
    <w:p w14:paraId="7C3C96E7" w14:textId="77777777" w:rsidR="00D708EC" w:rsidRDefault="00000000">
      <w:pPr>
        <w:ind w:left="360"/>
        <w:rPr>
          <w:rFonts w:hint="eastAsia"/>
        </w:rPr>
      </w:pPr>
      <w:r>
        <w:rPr>
          <w:color w:val="37474F"/>
        </w:rPr>
        <w:t>•</w:t>
      </w:r>
      <w:r>
        <w:t>Technical assistance: Project identification, feasibility studies, engineering expertise</w:t>
      </w:r>
    </w:p>
    <w:p w14:paraId="3B761F6B" w14:textId="77777777" w:rsidR="00D708EC" w:rsidRDefault="00000000">
      <w:pPr>
        <w:ind w:left="360"/>
        <w:rPr>
          <w:rFonts w:hint="eastAsia"/>
        </w:rPr>
      </w:pPr>
      <w:r>
        <w:rPr>
          <w:color w:val="37474F"/>
        </w:rPr>
        <w:t>•</w:t>
      </w:r>
      <w:r>
        <w:t>Capacity building: Training for Iranian procurement and project management officials</w:t>
      </w:r>
    </w:p>
    <w:p w14:paraId="3DA01D52" w14:textId="77777777" w:rsidR="00D708EC" w:rsidRDefault="00000000">
      <w:pPr>
        <w:ind w:left="360"/>
        <w:rPr>
          <w:rFonts w:hint="eastAsia"/>
        </w:rPr>
      </w:pPr>
      <w:r>
        <w:rPr>
          <w:color w:val="37474F"/>
        </w:rPr>
        <w:t>•</w:t>
      </w:r>
      <w:r>
        <w:t>Regulatory facilitation: OFAC general licenses for MRF transactions</w:t>
      </w:r>
    </w:p>
    <w:p w14:paraId="42919746" w14:textId="77777777" w:rsidR="00D708EC" w:rsidRDefault="00000000">
      <w:pPr>
        <w:ind w:left="360"/>
        <w:rPr>
          <w:rFonts w:hint="eastAsia"/>
        </w:rPr>
      </w:pPr>
      <w:r>
        <w:rPr>
          <w:color w:val="37474F"/>
        </w:rPr>
        <w:t>•</w:t>
      </w:r>
      <w:r>
        <w:t>Diplomatic support: Encouraging third-party contributions</w:t>
      </w:r>
    </w:p>
    <w:p w14:paraId="66653304" w14:textId="77777777" w:rsidR="00D708EC" w:rsidRDefault="00000000">
      <w:pPr>
        <w:rPr>
          <w:rFonts w:hint="eastAsia"/>
        </w:rPr>
      </w:pPr>
      <w:r>
        <w:t>The United States does not contribute direct cash to the MRF. This explicitly addresses the political impossibility of direct U.S. financial aid.</w:t>
      </w:r>
    </w:p>
    <w:p w14:paraId="53631172" w14:textId="77777777" w:rsidR="00D708EC" w:rsidRDefault="00000000">
      <w:pPr>
        <w:pStyle w:val="Heading3"/>
        <w:rPr>
          <w:rFonts w:hint="eastAsia"/>
        </w:rPr>
      </w:pPr>
      <w:r>
        <w:t>2.4 Sanctions Firewall</w:t>
      </w:r>
    </w:p>
    <w:p w14:paraId="1AA118F5" w14:textId="77777777" w:rsidR="00D708EC" w:rsidRDefault="00000000">
      <w:pPr>
        <w:rPr>
          <w:rFonts w:hint="eastAsia"/>
        </w:rPr>
      </w:pPr>
      <w:r>
        <w:t>All MRF transactions are explicitly exempt from U.S. secondary sanctions. OFAC issues a general license covering:</w:t>
      </w:r>
    </w:p>
    <w:p w14:paraId="314740FA" w14:textId="77777777" w:rsidR="00D708EC" w:rsidRDefault="00000000">
      <w:pPr>
        <w:ind w:left="360"/>
        <w:rPr>
          <w:rFonts w:hint="eastAsia"/>
        </w:rPr>
      </w:pPr>
      <w:r>
        <w:rPr>
          <w:color w:val="37474F"/>
        </w:rPr>
        <w:t>•</w:t>
      </w:r>
      <w:r>
        <w:t>All contributions to the MRF</w:t>
      </w:r>
    </w:p>
    <w:p w14:paraId="159485B9" w14:textId="77777777" w:rsidR="00D708EC" w:rsidRDefault="00000000">
      <w:pPr>
        <w:ind w:left="360"/>
        <w:rPr>
          <w:rFonts w:hint="eastAsia"/>
        </w:rPr>
      </w:pPr>
      <w:r>
        <w:rPr>
          <w:color w:val="37474F"/>
        </w:rPr>
        <w:lastRenderedPageBreak/>
        <w:t>•</w:t>
      </w:r>
      <w:r>
        <w:t>All disbursements from the MRF to Iranian project implementers</w:t>
      </w:r>
    </w:p>
    <w:p w14:paraId="7DDAC7F2" w14:textId="77777777" w:rsidR="00D708EC" w:rsidRDefault="00000000">
      <w:pPr>
        <w:ind w:left="360"/>
        <w:rPr>
          <w:rFonts w:hint="eastAsia"/>
        </w:rPr>
      </w:pPr>
      <w:r>
        <w:rPr>
          <w:color w:val="37474F"/>
        </w:rPr>
        <w:t>•</w:t>
      </w:r>
      <w:r>
        <w:t>All procurement contracts funded by the MRF</w:t>
      </w:r>
    </w:p>
    <w:p w14:paraId="4D358287" w14:textId="77777777" w:rsidR="00D708EC" w:rsidRDefault="00000000">
      <w:pPr>
        <w:ind w:left="360"/>
        <w:rPr>
          <w:rFonts w:hint="eastAsia"/>
        </w:rPr>
      </w:pPr>
      <w:r>
        <w:rPr>
          <w:color w:val="37474F"/>
        </w:rPr>
        <w:t>•</w:t>
      </w:r>
      <w:r>
        <w:t>All banking transactions associated with MRF activities</w:t>
      </w:r>
    </w:p>
    <w:p w14:paraId="18DD5960" w14:textId="77777777" w:rsidR="00D708EC" w:rsidRDefault="00000000">
      <w:pPr>
        <w:rPr>
          <w:rFonts w:hint="eastAsia"/>
        </w:rPr>
      </w:pPr>
      <w:r>
        <w:t>This firewall ensures that financial institutions, contractors, and suppliers participate in MRF-funded projects without fear of U.S. sanctions exposure.</w:t>
      </w:r>
    </w:p>
    <w:p w14:paraId="7EBA73AA" w14:textId="77777777" w:rsidR="00D708EC" w:rsidRDefault="00000000">
      <w:pPr>
        <w:pStyle w:val="Heading2"/>
        <w:rPr>
          <w:rFonts w:hint="eastAsia"/>
        </w:rPr>
      </w:pPr>
      <w:bookmarkStart w:id="160" w:name="_Toc237663674"/>
      <w:r>
        <w:t>Article 3: Project Proposal and Approval Process</w:t>
      </w:r>
      <w:bookmarkEnd w:id="160"/>
    </w:p>
    <w:p w14:paraId="51F43F03" w14:textId="77777777" w:rsidR="00D708EC" w:rsidRDefault="00000000">
      <w:pPr>
        <w:pStyle w:val="Heading3"/>
        <w:rPr>
          <w:rFonts w:hint="eastAsia"/>
        </w:rPr>
      </w:pPr>
      <w:r>
        <w:t>3.1 Iranian Project Submission</w:t>
      </w:r>
    </w:p>
    <w:p w14:paraId="2222327B" w14:textId="77777777" w:rsidR="00D708EC" w:rsidRDefault="00000000">
      <w:pPr>
        <w:rPr>
          <w:rFonts w:hint="eastAsia"/>
        </w:rPr>
      </w:pPr>
      <w:r>
        <w:t>Iran submits Project Proposals to the appropriate Sub-Fund through the RSC secretariat. Proposals include:</w:t>
      </w:r>
    </w:p>
    <w:p w14:paraId="14F74ABD" w14:textId="77777777" w:rsidR="00D708EC" w:rsidRDefault="00000000">
      <w:pPr>
        <w:ind w:left="360"/>
        <w:rPr>
          <w:rFonts w:hint="eastAsia"/>
        </w:rPr>
      </w:pPr>
      <w:r>
        <w:rPr>
          <w:color w:val="37474F"/>
        </w:rPr>
        <w:t>•</w:t>
      </w:r>
      <w:r>
        <w:t>Sector and Sub-Fund designation</w:t>
      </w:r>
    </w:p>
    <w:p w14:paraId="6DFAF505" w14:textId="77777777" w:rsidR="00D708EC" w:rsidRDefault="00000000">
      <w:pPr>
        <w:ind w:left="360"/>
        <w:rPr>
          <w:rFonts w:hint="eastAsia"/>
        </w:rPr>
      </w:pPr>
      <w:r>
        <w:rPr>
          <w:color w:val="37474F"/>
        </w:rPr>
        <w:t>•</w:t>
      </w:r>
      <w:r>
        <w:t>Project description and objectives</w:t>
      </w:r>
    </w:p>
    <w:p w14:paraId="4F96C224" w14:textId="77777777" w:rsidR="00D708EC" w:rsidRDefault="00000000">
      <w:pPr>
        <w:ind w:left="360"/>
        <w:rPr>
          <w:rFonts w:hint="eastAsia"/>
        </w:rPr>
      </w:pPr>
      <w:r>
        <w:rPr>
          <w:color w:val="37474F"/>
        </w:rPr>
        <w:t>•</w:t>
      </w:r>
      <w:r>
        <w:t>Estimated cost and funding request</w:t>
      </w:r>
    </w:p>
    <w:p w14:paraId="65A2CCB2" w14:textId="77777777" w:rsidR="00D708EC" w:rsidRDefault="00000000">
      <w:pPr>
        <w:ind w:left="360"/>
        <w:rPr>
          <w:rFonts w:hint="eastAsia"/>
        </w:rPr>
      </w:pPr>
      <w:r>
        <w:rPr>
          <w:color w:val="37474F"/>
        </w:rPr>
        <w:t>•</w:t>
      </w:r>
      <w:r>
        <w:t>Detailed timeline with Verification Milestones</w:t>
      </w:r>
    </w:p>
    <w:p w14:paraId="3193BEE7" w14:textId="77777777" w:rsidR="00D708EC" w:rsidRDefault="00000000">
      <w:pPr>
        <w:ind w:left="360"/>
        <w:rPr>
          <w:rFonts w:hint="eastAsia"/>
        </w:rPr>
      </w:pPr>
      <w:r>
        <w:rPr>
          <w:color w:val="37474F"/>
        </w:rPr>
        <w:t>•</w:t>
      </w:r>
      <w:r>
        <w:t>Technical feasibility study</w:t>
      </w:r>
    </w:p>
    <w:p w14:paraId="0C0F6F86" w14:textId="77777777" w:rsidR="00D708EC" w:rsidRDefault="00000000">
      <w:pPr>
        <w:ind w:left="360"/>
        <w:rPr>
          <w:rFonts w:hint="eastAsia"/>
        </w:rPr>
      </w:pPr>
      <w:r>
        <w:rPr>
          <w:color w:val="37474F"/>
        </w:rPr>
        <w:t>•</w:t>
      </w:r>
      <w:r>
        <w:t>Environmental and social impact assessment</w:t>
      </w:r>
    </w:p>
    <w:p w14:paraId="473625B8" w14:textId="77777777" w:rsidR="00D708EC" w:rsidRDefault="00000000">
      <w:pPr>
        <w:ind w:left="360"/>
        <w:rPr>
          <w:rFonts w:hint="eastAsia"/>
        </w:rPr>
      </w:pPr>
      <w:r>
        <w:rPr>
          <w:color w:val="37474F"/>
        </w:rPr>
        <w:t>•</w:t>
      </w:r>
      <w:r>
        <w:t>Procurement plan (including proposed contractors and suppliers)</w:t>
      </w:r>
    </w:p>
    <w:p w14:paraId="0351ECF9" w14:textId="77777777" w:rsidR="00D708EC" w:rsidRDefault="00000000">
      <w:pPr>
        <w:ind w:left="360"/>
        <w:rPr>
          <w:rFonts w:hint="eastAsia"/>
        </w:rPr>
      </w:pPr>
      <w:r>
        <w:rPr>
          <w:color w:val="37474F"/>
        </w:rPr>
        <w:t>•</w:t>
      </w:r>
      <w:r>
        <w:t>Independent audit plan</w:t>
      </w:r>
    </w:p>
    <w:p w14:paraId="78FCB9DC" w14:textId="77777777" w:rsidR="00D708EC" w:rsidRDefault="00000000">
      <w:pPr>
        <w:pStyle w:val="Heading3"/>
        <w:rPr>
          <w:rFonts w:hint="eastAsia"/>
        </w:rPr>
      </w:pPr>
      <w:r>
        <w:t>3.2 Technical Advisory Group Review</w:t>
      </w:r>
    </w:p>
    <w:p w14:paraId="12732FFA" w14:textId="77777777" w:rsidR="00D708EC" w:rsidRDefault="00000000">
      <w:pPr>
        <w:rPr>
          <w:rFonts w:hint="eastAsia"/>
        </w:rPr>
      </w:pPr>
      <w:r>
        <w:t>Upon submission, the Technical Advisory Group (TAG) conducts a preliminary technical review within 30 days. The TAG assesses:</w:t>
      </w:r>
    </w:p>
    <w:p w14:paraId="68044862" w14:textId="77777777" w:rsidR="00D708EC" w:rsidRDefault="00000000">
      <w:pPr>
        <w:ind w:left="360"/>
        <w:rPr>
          <w:rFonts w:hint="eastAsia"/>
        </w:rPr>
      </w:pPr>
      <w:r>
        <w:rPr>
          <w:color w:val="37474F"/>
        </w:rPr>
        <w:t>•</w:t>
      </w:r>
      <w:r>
        <w:t>Technical feasibility and soundness</w:t>
      </w:r>
    </w:p>
    <w:p w14:paraId="0759CB25" w14:textId="77777777" w:rsidR="00D708EC" w:rsidRDefault="00000000">
      <w:pPr>
        <w:ind w:left="360"/>
        <w:rPr>
          <w:rFonts w:hint="eastAsia"/>
        </w:rPr>
      </w:pPr>
      <w:r>
        <w:rPr>
          <w:color w:val="37474F"/>
        </w:rPr>
        <w:t>•</w:t>
      </w:r>
      <w:r>
        <w:t>Environmental and social safeguards compliance</w:t>
      </w:r>
    </w:p>
    <w:p w14:paraId="1AD3015E" w14:textId="77777777" w:rsidR="00D708EC" w:rsidRDefault="00000000">
      <w:pPr>
        <w:ind w:left="360"/>
        <w:rPr>
          <w:rFonts w:hint="eastAsia"/>
        </w:rPr>
      </w:pPr>
      <w:r>
        <w:rPr>
          <w:color w:val="37474F"/>
        </w:rPr>
        <w:t>•</w:t>
      </w:r>
      <w:r>
        <w:t>Cost realism and value for money</w:t>
      </w:r>
    </w:p>
    <w:p w14:paraId="2BE82C18" w14:textId="77777777" w:rsidR="00D708EC" w:rsidRDefault="00000000">
      <w:pPr>
        <w:ind w:left="360"/>
        <w:rPr>
          <w:rFonts w:hint="eastAsia"/>
        </w:rPr>
      </w:pPr>
      <w:r>
        <w:rPr>
          <w:color w:val="37474F"/>
        </w:rPr>
        <w:t>•</w:t>
      </w:r>
      <w:r>
        <w:t>Alignment with Sub-Fund objectives</w:t>
      </w:r>
    </w:p>
    <w:p w14:paraId="04F0705C" w14:textId="77777777" w:rsidR="00D708EC" w:rsidRDefault="00000000">
      <w:pPr>
        <w:rPr>
          <w:rFonts w:hint="eastAsia"/>
        </w:rPr>
      </w:pPr>
      <w:r>
        <w:t>The TAG provides a written recommendation to the RSC. If the TAG identifies deficiencies, Iran has 30 days to revise and resubmit.</w:t>
      </w:r>
    </w:p>
    <w:p w14:paraId="17133285" w14:textId="77777777" w:rsidR="00D708EC" w:rsidRDefault="00000000">
      <w:pPr>
        <w:pStyle w:val="Heading3"/>
        <w:rPr>
          <w:rFonts w:hint="eastAsia"/>
        </w:rPr>
      </w:pPr>
      <w:r>
        <w:t>3.3 RSC Review and Approval</w:t>
      </w:r>
    </w:p>
    <w:p w14:paraId="5685DB87" w14:textId="77777777" w:rsidR="00D708EC" w:rsidRDefault="00000000">
      <w:pPr>
        <w:rPr>
          <w:rFonts w:hint="eastAsia"/>
        </w:rPr>
      </w:pPr>
      <w:r>
        <w:t>The RSC reviews each Project Proposal within 60 days of TAG recommendation. Approval requires:</w:t>
      </w:r>
    </w:p>
    <w:p w14:paraId="6843A142" w14:textId="77777777" w:rsidR="00D708EC" w:rsidRDefault="00000000">
      <w:pPr>
        <w:ind w:left="360"/>
        <w:rPr>
          <w:rFonts w:hint="eastAsia"/>
        </w:rPr>
      </w:pPr>
      <w:r>
        <w:rPr>
          <w:color w:val="37474F"/>
        </w:rPr>
        <w:t>•</w:t>
      </w:r>
      <w:r>
        <w:t>Consensus of the voting members (Iran, Qatar, World Bank, GCC)</w:t>
      </w:r>
    </w:p>
    <w:p w14:paraId="058E4B4E" w14:textId="77777777" w:rsidR="00D708EC" w:rsidRDefault="00000000">
      <w:pPr>
        <w:ind w:left="360"/>
        <w:rPr>
          <w:rFonts w:hint="eastAsia"/>
        </w:rPr>
      </w:pPr>
      <w:r>
        <w:rPr>
          <w:color w:val="37474F"/>
        </w:rPr>
        <w:t>•</w:t>
      </w:r>
      <w:r>
        <w:t>Favorable TAG recommendation</w:t>
      </w:r>
    </w:p>
    <w:p w14:paraId="3EEB9925" w14:textId="77777777" w:rsidR="00D708EC" w:rsidRDefault="00000000">
      <w:pPr>
        <w:ind w:left="360"/>
        <w:rPr>
          <w:rFonts w:hint="eastAsia"/>
        </w:rPr>
      </w:pPr>
      <w:r>
        <w:rPr>
          <w:color w:val="37474F"/>
        </w:rPr>
        <w:lastRenderedPageBreak/>
        <w:t>•</w:t>
      </w:r>
      <w:r>
        <w:t>Available capital in the relevant Sub-Fund</w:t>
      </w:r>
    </w:p>
    <w:p w14:paraId="6F5F07EA" w14:textId="77777777" w:rsidR="00D708EC" w:rsidRDefault="00000000">
      <w:pPr>
        <w:rPr>
          <w:rFonts w:hint="eastAsia"/>
        </w:rPr>
      </w:pPr>
      <w:r>
        <w:t>If the RSC fails to reach consensus on a Project Proposal within 60 days of submission, the matter refers to the Guarantor Matrix for mediation. The Guarantor Matrix issues a non-binding recommendation within 30 days. The RSC reconsiders the proposal in light of the recommendation.</w:t>
      </w:r>
    </w:p>
    <w:p w14:paraId="2BBF964B" w14:textId="77777777" w:rsidR="00D708EC" w:rsidRDefault="00000000">
      <w:pPr>
        <w:rPr>
          <w:rFonts w:hint="eastAsia"/>
        </w:rPr>
      </w:pPr>
      <w:r>
        <w:t>If the RSC rejects a proposal, it provides written justification and recommendations for revision. Iran resubmits a revised proposal within 30 days.</w:t>
      </w:r>
    </w:p>
    <w:p w14:paraId="6FF57F81" w14:textId="77777777" w:rsidR="00D708EC" w:rsidRDefault="00000000">
      <w:pPr>
        <w:pStyle w:val="Heading3"/>
        <w:rPr>
          <w:rFonts w:hint="eastAsia"/>
        </w:rPr>
      </w:pPr>
      <w:r>
        <w:t>3.4 Project Prioritization</w:t>
      </w:r>
    </w:p>
    <w:p w14:paraId="382963E9" w14:textId="77777777" w:rsidR="00D708EC" w:rsidRDefault="00000000">
      <w:pPr>
        <w:rPr>
          <w:rFonts w:hint="eastAsia"/>
        </w:rPr>
      </w:pPr>
      <w:r>
        <w:t>Iran prioritizes projects based on:</w:t>
      </w:r>
    </w:p>
    <w:p w14:paraId="26EAB8CA" w14:textId="77777777" w:rsidR="00D708EC" w:rsidRDefault="00000000">
      <w:pPr>
        <w:ind w:left="360"/>
        <w:rPr>
          <w:rFonts w:hint="eastAsia"/>
        </w:rPr>
      </w:pPr>
      <w:r>
        <w:rPr>
          <w:color w:val="37474F"/>
        </w:rPr>
        <w:t>•</w:t>
      </w:r>
      <w:r>
        <w:t>Urgency of need (e.g., damaged hospitals, water treatment plants)</w:t>
      </w:r>
    </w:p>
    <w:p w14:paraId="15BFDA61" w14:textId="77777777" w:rsidR="00D708EC" w:rsidRDefault="00000000">
      <w:pPr>
        <w:ind w:left="360"/>
        <w:rPr>
          <w:rFonts w:hint="eastAsia"/>
        </w:rPr>
      </w:pPr>
      <w:r>
        <w:rPr>
          <w:color w:val="37474F"/>
        </w:rPr>
        <w:t>•</w:t>
      </w:r>
      <w:r>
        <w:t>Economic impact (e.g., energy infrastructure, transportation networks)</w:t>
      </w:r>
    </w:p>
    <w:p w14:paraId="7C29692A" w14:textId="77777777" w:rsidR="00D708EC" w:rsidRDefault="00000000">
      <w:pPr>
        <w:ind w:left="360"/>
        <w:rPr>
          <w:rFonts w:hint="eastAsia"/>
        </w:rPr>
      </w:pPr>
      <w:r>
        <w:rPr>
          <w:color w:val="37474F"/>
        </w:rPr>
        <w:t>•</w:t>
      </w:r>
      <w:r>
        <w:t>Job creation potential</w:t>
      </w:r>
    </w:p>
    <w:p w14:paraId="5BB47DB9" w14:textId="77777777" w:rsidR="00D708EC" w:rsidRDefault="00000000">
      <w:pPr>
        <w:ind w:left="360"/>
        <w:rPr>
          <w:rFonts w:hint="eastAsia"/>
        </w:rPr>
      </w:pPr>
      <w:r>
        <w:rPr>
          <w:color w:val="37474F"/>
        </w:rPr>
        <w:t>•</w:t>
      </w:r>
      <w:r>
        <w:t>Regional distribution</w:t>
      </w:r>
    </w:p>
    <w:p w14:paraId="3647F9A6" w14:textId="77777777" w:rsidR="00D708EC" w:rsidRDefault="00000000">
      <w:pPr>
        <w:ind w:left="360"/>
        <w:rPr>
          <w:rFonts w:hint="eastAsia"/>
        </w:rPr>
      </w:pPr>
      <w:r>
        <w:rPr>
          <w:color w:val="37474F"/>
        </w:rPr>
        <w:t>•</w:t>
      </w:r>
      <w:r>
        <w:t>Contribution to food security and public health</w:t>
      </w:r>
    </w:p>
    <w:p w14:paraId="02412E2C" w14:textId="77777777" w:rsidR="00D708EC" w:rsidRDefault="00000000">
      <w:pPr>
        <w:rPr>
          <w:rFonts w:hint="eastAsia"/>
        </w:rPr>
      </w:pPr>
      <w:r>
        <w:t>The RSC respects Iran's prioritization decisions and does not impose external project preferences.</w:t>
      </w:r>
    </w:p>
    <w:p w14:paraId="199511CC" w14:textId="77777777" w:rsidR="00D708EC" w:rsidRDefault="00000000">
      <w:pPr>
        <w:pStyle w:val="Heading3"/>
        <w:rPr>
          <w:rFonts w:hint="eastAsia"/>
        </w:rPr>
      </w:pPr>
      <w:r>
        <w:t>3.5 Project Bundling and Accelerated Approval Track</w:t>
      </w:r>
    </w:p>
    <w:p w14:paraId="06D8815A" w14:textId="77777777" w:rsidR="00D708EC" w:rsidRDefault="00000000">
      <w:pPr>
        <w:rPr>
          <w:rFonts w:hint="eastAsia"/>
        </w:rPr>
      </w:pPr>
      <w:r>
        <w:t>The RSC maintains an Accelerated Approval Track for bundled small-to-medium projects. Iran groups related projects under $50 million each into a single portfolio package. The TAG conducts a consolidated technical review within 30 days (instead of the standard 60-day review for individual large projects). The RSC approves or requests revision within 45 days (instead of the standard 60 days).</w:t>
      </w:r>
    </w:p>
    <w:p w14:paraId="3AE713B1" w14:textId="77777777" w:rsidR="00D708EC" w:rsidRDefault="00000000">
      <w:pPr>
        <w:rPr>
          <w:rFonts w:hint="eastAsia"/>
        </w:rPr>
      </w:pPr>
      <w:r>
        <w:t>Bundling criteria include: projects sharing a geographic region, projects in the same sector, projects with interdependent milestones, and projects using common contractors or suppliers. The Accelerated Track targets urgent water, health, and housing reconstruction in heavily damaged areas. Bundled projects undergo the same milestone verification and independent audit requirements as standalone projects.</w:t>
      </w:r>
    </w:p>
    <w:p w14:paraId="4DEB3768" w14:textId="77777777" w:rsidR="00D708EC" w:rsidRDefault="00000000">
      <w:pPr>
        <w:pStyle w:val="Heading3"/>
        <w:rPr>
          <w:rFonts w:hint="eastAsia"/>
        </w:rPr>
      </w:pPr>
      <w:r>
        <w:t>3.6 Local Content and Iranian Contractor Preference</w:t>
      </w:r>
    </w:p>
    <w:p w14:paraId="53B95CE8" w14:textId="77777777" w:rsidR="00D708EC" w:rsidRDefault="00000000">
      <w:pPr>
        <w:rPr>
          <w:rFonts w:hint="eastAsia"/>
        </w:rPr>
      </w:pPr>
      <w:r>
        <w:t>All MRF procurement applies a 10-15% preference for Iranian contractors and suppliers, provided they meet quality standards and cost competitiveness benchmarks. The preference operates as follows: (1) Iranian bids within 15% of the lowest qualified foreign bid receive automatic preference, (2) The TAG verifies that preferred contractors meet technical and safety standards equivalent to international competitors, (3) Iranian subcontractors on foreign-led projects count toward the local content target.</w:t>
      </w:r>
    </w:p>
    <w:p w14:paraId="092E1F1B" w14:textId="77777777" w:rsidR="00D708EC" w:rsidRDefault="00000000">
      <w:pPr>
        <w:rPr>
          <w:rFonts w:hint="eastAsia"/>
        </w:rPr>
      </w:pPr>
      <w:r>
        <w:lastRenderedPageBreak/>
        <w:t>The RSC monitors local content performance quarterly and reports to donors on domestic capacity building outcomes. This clause ensures MRF funds rebuild Iranian domestic industrial capacity rather than exclusively funding foreign supply chains. The RSC structures procurement to comply with applicable international trade obligations while maximizing local economic impact.</w:t>
      </w:r>
    </w:p>
    <w:p w14:paraId="496BF4B9" w14:textId="77777777" w:rsidR="00D708EC" w:rsidRDefault="00000000">
      <w:pPr>
        <w:pStyle w:val="Heading3"/>
        <w:rPr>
          <w:rFonts w:hint="eastAsia"/>
        </w:rPr>
      </w:pPr>
      <w:r>
        <w:t>3.7 Sub-Fund Rebalancing Mechanism</w:t>
      </w:r>
    </w:p>
    <w:p w14:paraId="4D983399" w14:textId="77777777" w:rsidR="00D708EC" w:rsidRDefault="00000000">
      <w:pPr>
        <w:rPr>
          <w:rFonts w:hint="eastAsia"/>
        </w:rPr>
      </w:pPr>
      <w:r>
        <w:t>The RSC reallocates up to 10% of uncommitted funds between Sub-Funds on an annual basis. Rebalancing activates when: (1) a Sub-Fund has committed less than 50% of its allocation while another Sub-Fund faces urgent demand exceeding its capacity, (2) the TAG certifies that the underperforming Sub-Fund's project pipeline lacks viable proposals, (3) the receiving Sub-Fund demonstrates a surplus of approved projects awaiting funding.</w:t>
      </w:r>
    </w:p>
    <w:p w14:paraId="63005EFA" w14:textId="77777777" w:rsidR="00D708EC" w:rsidRDefault="00000000">
      <w:pPr>
        <w:rPr>
          <w:rFonts w:hint="eastAsia"/>
        </w:rPr>
      </w:pPr>
      <w:r>
        <w:t>Rebalancing requires consensus of all RSC voting members and confirmation from the Qatar Central Bank that the receiving Sub-Fund has adequate disbursement capacity. Rebalanced funds carry the same milestone verification, independent audit, and reporting requirements as originally allocated capital. The RSC publishes an annual Rebalancing Report detailing all fund movements and justifications.</w:t>
      </w:r>
    </w:p>
    <w:p w14:paraId="20489A54" w14:textId="77777777" w:rsidR="00D708EC" w:rsidRDefault="00000000">
      <w:pPr>
        <w:pStyle w:val="Heading3"/>
        <w:rPr>
          <w:rFonts w:hint="eastAsia"/>
        </w:rPr>
      </w:pPr>
      <w:r>
        <w:t>3.8 Technology Transfer and Workforce Training Requirement</w:t>
      </w:r>
    </w:p>
    <w:p w14:paraId="1C554582" w14:textId="77777777" w:rsidR="00D708EC" w:rsidRDefault="00000000">
      <w:pPr>
        <w:rPr>
          <w:rFonts w:hint="eastAsia"/>
        </w:rPr>
      </w:pPr>
      <w:r>
        <w:t>Every disbursement tranche includes a verifiable technology transfer or local workforce training component. Contractors submit a Technology Transfer Plan (TTP) as part of their project proposal. The TTP specifies: (1) training programs for Iranian engineers and technicians, (2) knowledge documentation in Persian language, (3) equipment maintenance capacity transfer, (4) operational handover protocols, and (5) intellectual property licensing terms for locally manufactured components.</w:t>
      </w:r>
    </w:p>
    <w:p w14:paraId="0E586086" w14:textId="77777777" w:rsidR="00D708EC" w:rsidRDefault="00000000">
      <w:pPr>
        <w:rPr>
          <w:rFonts w:hint="eastAsia"/>
        </w:rPr>
      </w:pPr>
      <w:r>
        <w:t>The TAG evaluates the TTP alongside the technical project proposal. Milestone verification includes assessment of training completion rates, knowledge transfer documentation, and local operational readiness. The RSC reports technology transfer outcomes annually to donors. This requirement ensures reconstruction builds long-term Iranian technical capacity rather than delivering imported turnkey solutions.</w:t>
      </w:r>
    </w:p>
    <w:p w14:paraId="6F7BB56A" w14:textId="77777777" w:rsidR="00D708EC" w:rsidRDefault="00000000">
      <w:pPr>
        <w:pStyle w:val="Heading2"/>
        <w:rPr>
          <w:rFonts w:hint="eastAsia"/>
        </w:rPr>
      </w:pPr>
      <w:bookmarkStart w:id="161" w:name="_Toc237663675"/>
      <w:r>
        <w:t>Article 4: Disbursement and Verification</w:t>
      </w:r>
      <w:bookmarkEnd w:id="161"/>
    </w:p>
    <w:p w14:paraId="77EBA14F" w14:textId="77777777" w:rsidR="00D708EC" w:rsidRDefault="00000000">
      <w:pPr>
        <w:pStyle w:val="Heading3"/>
        <w:rPr>
          <w:rFonts w:hint="eastAsia"/>
        </w:rPr>
      </w:pPr>
      <w:r>
        <w:t>4.1 Performance-Based Disbursement</w:t>
      </w:r>
    </w:p>
    <w:p w14:paraId="25985301" w14:textId="77777777" w:rsidR="00D708EC" w:rsidRDefault="00000000">
      <w:pPr>
        <w:rPr>
          <w:rFonts w:hint="eastAsia"/>
        </w:rPr>
      </w:pPr>
      <w:r>
        <w:t>MRF funds disburse in tranches tied to Verification Milestones. The disbursement architecture mirrors the Escrow Protocol. MRF disbursements synchronize with the verification milestones established in Annex ES. The MRF 60-Day Initial Operating Period aligns with the Annex ES 60-Day Initial Operating Period. The RSC monitors the status of Annex ES milestones and adjusts MRF disbursement timelines as appropriate.</w:t>
      </w:r>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1955"/>
        <w:gridCol w:w="2214"/>
        <w:gridCol w:w="1570"/>
        <w:gridCol w:w="1580"/>
        <w:gridCol w:w="1907"/>
      </w:tblGrid>
      <w:tr w:rsidR="00D708EC" w14:paraId="4A4F2ADB" w14:textId="77777777">
        <w:tc>
          <w:tcPr>
            <w:tcW w:w="0" w:type="auto"/>
            <w:shd w:val="clear" w:color="auto" w:fill="37474F"/>
          </w:tcPr>
          <w:p w14:paraId="5FB51837" w14:textId="77777777" w:rsidR="00D708EC" w:rsidRDefault="00000000">
            <w:pPr>
              <w:rPr>
                <w:rFonts w:hint="eastAsia"/>
              </w:rPr>
            </w:pPr>
            <w:r>
              <w:rPr>
                <w:b/>
                <w:color w:val="FFFFFF"/>
                <w:sz w:val="19"/>
              </w:rPr>
              <w:lastRenderedPageBreak/>
              <w:t>Sub-Fund</w:t>
            </w:r>
          </w:p>
        </w:tc>
        <w:tc>
          <w:tcPr>
            <w:tcW w:w="0" w:type="auto"/>
            <w:shd w:val="clear" w:color="auto" w:fill="37474F"/>
          </w:tcPr>
          <w:p w14:paraId="416EE16E" w14:textId="77777777" w:rsidR="00D708EC" w:rsidRDefault="00000000">
            <w:pPr>
              <w:rPr>
                <w:rFonts w:hint="eastAsia"/>
              </w:rPr>
            </w:pPr>
            <w:r>
              <w:rPr>
                <w:b/>
                <w:color w:val="FFFFFF"/>
                <w:sz w:val="19"/>
              </w:rPr>
              <w:t>Tranche 1</w:t>
            </w:r>
          </w:p>
        </w:tc>
        <w:tc>
          <w:tcPr>
            <w:tcW w:w="0" w:type="auto"/>
            <w:shd w:val="clear" w:color="auto" w:fill="37474F"/>
          </w:tcPr>
          <w:p w14:paraId="55CAFE91" w14:textId="77777777" w:rsidR="00D708EC" w:rsidRDefault="00000000">
            <w:pPr>
              <w:rPr>
                <w:rFonts w:hint="eastAsia"/>
              </w:rPr>
            </w:pPr>
            <w:r>
              <w:rPr>
                <w:b/>
                <w:color w:val="FFFFFF"/>
                <w:sz w:val="19"/>
              </w:rPr>
              <w:t>Tranche 2</w:t>
            </w:r>
          </w:p>
        </w:tc>
        <w:tc>
          <w:tcPr>
            <w:tcW w:w="0" w:type="auto"/>
            <w:shd w:val="clear" w:color="auto" w:fill="37474F"/>
          </w:tcPr>
          <w:p w14:paraId="6794F70F" w14:textId="77777777" w:rsidR="00D708EC" w:rsidRDefault="00000000">
            <w:pPr>
              <w:rPr>
                <w:rFonts w:hint="eastAsia"/>
              </w:rPr>
            </w:pPr>
            <w:r>
              <w:rPr>
                <w:b/>
                <w:color w:val="FFFFFF"/>
                <w:sz w:val="19"/>
              </w:rPr>
              <w:t>Tranche 3</w:t>
            </w:r>
          </w:p>
        </w:tc>
        <w:tc>
          <w:tcPr>
            <w:tcW w:w="0" w:type="auto"/>
            <w:shd w:val="clear" w:color="auto" w:fill="37474F"/>
          </w:tcPr>
          <w:p w14:paraId="58D6FA5A" w14:textId="77777777" w:rsidR="00D708EC" w:rsidRDefault="00000000">
            <w:pPr>
              <w:rPr>
                <w:rFonts w:hint="eastAsia"/>
              </w:rPr>
            </w:pPr>
            <w:r>
              <w:rPr>
                <w:b/>
                <w:color w:val="FFFFFF"/>
                <w:sz w:val="19"/>
              </w:rPr>
              <w:t>Tranche 4</w:t>
            </w:r>
          </w:p>
        </w:tc>
      </w:tr>
      <w:tr w:rsidR="00D708EC" w14:paraId="612D9269" w14:textId="77777777">
        <w:tc>
          <w:tcPr>
            <w:tcW w:w="0" w:type="auto"/>
          </w:tcPr>
          <w:p w14:paraId="5A2BFD6E" w14:textId="77777777" w:rsidR="00D708EC" w:rsidRDefault="00000000">
            <w:pPr>
              <w:rPr>
                <w:rFonts w:hint="eastAsia"/>
              </w:rPr>
            </w:pPr>
            <w:r>
              <w:rPr>
                <w:sz w:val="19"/>
              </w:rPr>
              <w:t>MRF-Energy</w:t>
            </w:r>
          </w:p>
        </w:tc>
        <w:tc>
          <w:tcPr>
            <w:tcW w:w="0" w:type="auto"/>
          </w:tcPr>
          <w:p w14:paraId="64A6580D" w14:textId="77777777" w:rsidR="00D708EC" w:rsidRDefault="00000000">
            <w:pPr>
              <w:rPr>
                <w:rFonts w:hint="eastAsia"/>
              </w:rPr>
            </w:pPr>
            <w:r>
              <w:rPr>
                <w:sz w:val="19"/>
              </w:rPr>
              <w:t>10% (Procurement)</w:t>
            </w:r>
          </w:p>
        </w:tc>
        <w:tc>
          <w:tcPr>
            <w:tcW w:w="0" w:type="auto"/>
          </w:tcPr>
          <w:p w14:paraId="5C8CC48F" w14:textId="77777777" w:rsidR="00D708EC" w:rsidRDefault="00000000">
            <w:pPr>
              <w:rPr>
                <w:rFonts w:hint="eastAsia"/>
              </w:rPr>
            </w:pPr>
            <w:r>
              <w:rPr>
                <w:sz w:val="19"/>
              </w:rPr>
              <w:t>25% (C-25%)</w:t>
            </w:r>
          </w:p>
        </w:tc>
        <w:tc>
          <w:tcPr>
            <w:tcW w:w="0" w:type="auto"/>
          </w:tcPr>
          <w:p w14:paraId="1F5D99FD" w14:textId="77777777" w:rsidR="00D708EC" w:rsidRDefault="00000000">
            <w:pPr>
              <w:rPr>
                <w:rFonts w:hint="eastAsia"/>
              </w:rPr>
            </w:pPr>
            <w:r>
              <w:rPr>
                <w:sz w:val="19"/>
              </w:rPr>
              <w:t>25% (C-50%)</w:t>
            </w:r>
          </w:p>
        </w:tc>
        <w:tc>
          <w:tcPr>
            <w:tcW w:w="0" w:type="auto"/>
          </w:tcPr>
          <w:p w14:paraId="64E931EF" w14:textId="77777777" w:rsidR="00D708EC" w:rsidRDefault="00000000">
            <w:pPr>
              <w:rPr>
                <w:rFonts w:hint="eastAsia"/>
              </w:rPr>
            </w:pPr>
            <w:r>
              <w:rPr>
                <w:sz w:val="19"/>
              </w:rPr>
              <w:t>40% (Handover)</w:t>
            </w:r>
          </w:p>
        </w:tc>
      </w:tr>
      <w:tr w:rsidR="00D708EC" w14:paraId="61BFCEFD" w14:textId="77777777">
        <w:tc>
          <w:tcPr>
            <w:tcW w:w="0" w:type="auto"/>
            <w:shd w:val="clear" w:color="auto" w:fill="ECEFF1"/>
          </w:tcPr>
          <w:p w14:paraId="2C56B843" w14:textId="77777777" w:rsidR="00D708EC" w:rsidRDefault="00000000">
            <w:pPr>
              <w:rPr>
                <w:rFonts w:hint="eastAsia"/>
              </w:rPr>
            </w:pPr>
            <w:r>
              <w:rPr>
                <w:sz w:val="19"/>
              </w:rPr>
              <w:t>MRF-Water</w:t>
            </w:r>
          </w:p>
        </w:tc>
        <w:tc>
          <w:tcPr>
            <w:tcW w:w="0" w:type="auto"/>
            <w:shd w:val="clear" w:color="auto" w:fill="ECEFF1"/>
          </w:tcPr>
          <w:p w14:paraId="15E7AE52" w14:textId="77777777" w:rsidR="00D708EC" w:rsidRDefault="00000000">
            <w:pPr>
              <w:rPr>
                <w:rFonts w:hint="eastAsia"/>
              </w:rPr>
            </w:pPr>
            <w:r>
              <w:rPr>
                <w:sz w:val="19"/>
              </w:rPr>
              <w:t>15% (Design/Proc)</w:t>
            </w:r>
          </w:p>
        </w:tc>
        <w:tc>
          <w:tcPr>
            <w:tcW w:w="0" w:type="auto"/>
            <w:shd w:val="clear" w:color="auto" w:fill="ECEFF1"/>
          </w:tcPr>
          <w:p w14:paraId="74173A4E" w14:textId="77777777" w:rsidR="00D708EC" w:rsidRDefault="00000000">
            <w:pPr>
              <w:rPr>
                <w:rFonts w:hint="eastAsia"/>
              </w:rPr>
            </w:pPr>
            <w:r>
              <w:rPr>
                <w:sz w:val="19"/>
              </w:rPr>
              <w:t>25% (C-25%)</w:t>
            </w:r>
          </w:p>
        </w:tc>
        <w:tc>
          <w:tcPr>
            <w:tcW w:w="0" w:type="auto"/>
            <w:shd w:val="clear" w:color="auto" w:fill="ECEFF1"/>
          </w:tcPr>
          <w:p w14:paraId="3A24BD38" w14:textId="77777777" w:rsidR="00D708EC" w:rsidRDefault="00000000">
            <w:pPr>
              <w:rPr>
                <w:rFonts w:hint="eastAsia"/>
              </w:rPr>
            </w:pPr>
            <w:r>
              <w:rPr>
                <w:sz w:val="19"/>
              </w:rPr>
              <w:t>25% (C-50%)</w:t>
            </w:r>
          </w:p>
        </w:tc>
        <w:tc>
          <w:tcPr>
            <w:tcW w:w="0" w:type="auto"/>
            <w:shd w:val="clear" w:color="auto" w:fill="ECEFF1"/>
          </w:tcPr>
          <w:p w14:paraId="2E7BE2FD" w14:textId="77777777" w:rsidR="00D708EC" w:rsidRDefault="00000000">
            <w:pPr>
              <w:rPr>
                <w:rFonts w:hint="eastAsia"/>
              </w:rPr>
            </w:pPr>
            <w:r>
              <w:rPr>
                <w:sz w:val="19"/>
              </w:rPr>
              <w:t>35% (Handover)</w:t>
            </w:r>
          </w:p>
        </w:tc>
      </w:tr>
      <w:tr w:rsidR="00D708EC" w14:paraId="1983D192" w14:textId="77777777">
        <w:tc>
          <w:tcPr>
            <w:tcW w:w="0" w:type="auto"/>
          </w:tcPr>
          <w:p w14:paraId="167499E7" w14:textId="77777777" w:rsidR="00D708EC" w:rsidRDefault="00000000">
            <w:pPr>
              <w:rPr>
                <w:rFonts w:hint="eastAsia"/>
              </w:rPr>
            </w:pPr>
            <w:r>
              <w:rPr>
                <w:sz w:val="19"/>
              </w:rPr>
              <w:t>MRF-Transport</w:t>
            </w:r>
          </w:p>
        </w:tc>
        <w:tc>
          <w:tcPr>
            <w:tcW w:w="0" w:type="auto"/>
          </w:tcPr>
          <w:p w14:paraId="1240EC2B" w14:textId="77777777" w:rsidR="00D708EC" w:rsidRDefault="00000000">
            <w:pPr>
              <w:rPr>
                <w:rFonts w:hint="eastAsia"/>
              </w:rPr>
            </w:pPr>
            <w:r>
              <w:rPr>
                <w:sz w:val="19"/>
              </w:rPr>
              <w:t>10% (Procurement)</w:t>
            </w:r>
          </w:p>
        </w:tc>
        <w:tc>
          <w:tcPr>
            <w:tcW w:w="0" w:type="auto"/>
          </w:tcPr>
          <w:p w14:paraId="5FB0D867" w14:textId="77777777" w:rsidR="00D708EC" w:rsidRDefault="00000000">
            <w:pPr>
              <w:rPr>
                <w:rFonts w:hint="eastAsia"/>
              </w:rPr>
            </w:pPr>
            <w:r>
              <w:rPr>
                <w:sz w:val="19"/>
              </w:rPr>
              <w:t>20% (C-25%)</w:t>
            </w:r>
          </w:p>
        </w:tc>
        <w:tc>
          <w:tcPr>
            <w:tcW w:w="0" w:type="auto"/>
          </w:tcPr>
          <w:p w14:paraId="1E6ADCC2" w14:textId="77777777" w:rsidR="00D708EC" w:rsidRDefault="00000000">
            <w:pPr>
              <w:rPr>
                <w:rFonts w:hint="eastAsia"/>
              </w:rPr>
            </w:pPr>
            <w:r>
              <w:rPr>
                <w:sz w:val="19"/>
              </w:rPr>
              <w:t>30% (C-50%)</w:t>
            </w:r>
          </w:p>
        </w:tc>
        <w:tc>
          <w:tcPr>
            <w:tcW w:w="0" w:type="auto"/>
          </w:tcPr>
          <w:p w14:paraId="04A3C331" w14:textId="77777777" w:rsidR="00D708EC" w:rsidRDefault="00000000">
            <w:pPr>
              <w:rPr>
                <w:rFonts w:hint="eastAsia"/>
              </w:rPr>
            </w:pPr>
            <w:r>
              <w:rPr>
                <w:sz w:val="19"/>
              </w:rPr>
              <w:t>40% (Handover)</w:t>
            </w:r>
          </w:p>
        </w:tc>
      </w:tr>
      <w:tr w:rsidR="00D708EC" w14:paraId="43F60F24" w14:textId="77777777">
        <w:tc>
          <w:tcPr>
            <w:tcW w:w="0" w:type="auto"/>
            <w:shd w:val="clear" w:color="auto" w:fill="ECEFF1"/>
          </w:tcPr>
          <w:p w14:paraId="710B8C4D" w14:textId="77777777" w:rsidR="00D708EC" w:rsidRDefault="00000000">
            <w:pPr>
              <w:rPr>
                <w:rFonts w:hint="eastAsia"/>
              </w:rPr>
            </w:pPr>
            <w:r>
              <w:rPr>
                <w:sz w:val="19"/>
              </w:rPr>
              <w:t>MRF-Health</w:t>
            </w:r>
          </w:p>
        </w:tc>
        <w:tc>
          <w:tcPr>
            <w:tcW w:w="0" w:type="auto"/>
            <w:shd w:val="clear" w:color="auto" w:fill="ECEFF1"/>
          </w:tcPr>
          <w:p w14:paraId="63126400" w14:textId="77777777" w:rsidR="00D708EC" w:rsidRDefault="00000000">
            <w:pPr>
              <w:rPr>
                <w:rFonts w:hint="eastAsia"/>
              </w:rPr>
            </w:pPr>
            <w:r>
              <w:rPr>
                <w:sz w:val="19"/>
              </w:rPr>
              <w:t>20% (Procurement)</w:t>
            </w:r>
          </w:p>
        </w:tc>
        <w:tc>
          <w:tcPr>
            <w:tcW w:w="0" w:type="auto"/>
            <w:shd w:val="clear" w:color="auto" w:fill="ECEFF1"/>
          </w:tcPr>
          <w:p w14:paraId="539341EB" w14:textId="77777777" w:rsidR="00D708EC" w:rsidRDefault="00000000">
            <w:pPr>
              <w:rPr>
                <w:rFonts w:hint="eastAsia"/>
              </w:rPr>
            </w:pPr>
            <w:r>
              <w:rPr>
                <w:sz w:val="19"/>
              </w:rPr>
              <w:t>30% (C-25%)</w:t>
            </w:r>
          </w:p>
        </w:tc>
        <w:tc>
          <w:tcPr>
            <w:tcW w:w="0" w:type="auto"/>
            <w:shd w:val="clear" w:color="auto" w:fill="ECEFF1"/>
          </w:tcPr>
          <w:p w14:paraId="5354C01E" w14:textId="77777777" w:rsidR="00D708EC" w:rsidRDefault="00000000">
            <w:pPr>
              <w:rPr>
                <w:rFonts w:hint="eastAsia"/>
              </w:rPr>
            </w:pPr>
            <w:r>
              <w:rPr>
                <w:sz w:val="19"/>
              </w:rPr>
              <w:t>25% (C-50%)</w:t>
            </w:r>
          </w:p>
        </w:tc>
        <w:tc>
          <w:tcPr>
            <w:tcW w:w="0" w:type="auto"/>
            <w:shd w:val="clear" w:color="auto" w:fill="ECEFF1"/>
          </w:tcPr>
          <w:p w14:paraId="755B2061" w14:textId="77777777" w:rsidR="00D708EC" w:rsidRDefault="00000000">
            <w:pPr>
              <w:rPr>
                <w:rFonts w:hint="eastAsia"/>
              </w:rPr>
            </w:pPr>
            <w:r>
              <w:rPr>
                <w:sz w:val="19"/>
              </w:rPr>
              <w:t>25% (Handover)</w:t>
            </w:r>
          </w:p>
        </w:tc>
      </w:tr>
      <w:tr w:rsidR="00D708EC" w14:paraId="22CA6E12" w14:textId="77777777">
        <w:tc>
          <w:tcPr>
            <w:tcW w:w="0" w:type="auto"/>
          </w:tcPr>
          <w:p w14:paraId="51AFB31E" w14:textId="77777777" w:rsidR="00D708EC" w:rsidRDefault="00000000">
            <w:pPr>
              <w:rPr>
                <w:rFonts w:hint="eastAsia"/>
              </w:rPr>
            </w:pPr>
            <w:r>
              <w:rPr>
                <w:sz w:val="19"/>
              </w:rPr>
              <w:t>MRF-Education</w:t>
            </w:r>
          </w:p>
        </w:tc>
        <w:tc>
          <w:tcPr>
            <w:tcW w:w="0" w:type="auto"/>
          </w:tcPr>
          <w:p w14:paraId="5C7753F9" w14:textId="77777777" w:rsidR="00D708EC" w:rsidRDefault="00000000">
            <w:pPr>
              <w:rPr>
                <w:rFonts w:hint="eastAsia"/>
              </w:rPr>
            </w:pPr>
            <w:r>
              <w:rPr>
                <w:sz w:val="19"/>
              </w:rPr>
              <w:t>20% (Procurement)</w:t>
            </w:r>
          </w:p>
        </w:tc>
        <w:tc>
          <w:tcPr>
            <w:tcW w:w="0" w:type="auto"/>
          </w:tcPr>
          <w:p w14:paraId="68DD5BA2" w14:textId="77777777" w:rsidR="00D708EC" w:rsidRDefault="00000000">
            <w:pPr>
              <w:rPr>
                <w:rFonts w:hint="eastAsia"/>
              </w:rPr>
            </w:pPr>
            <w:r>
              <w:rPr>
                <w:sz w:val="19"/>
              </w:rPr>
              <w:t>30% (C-25%)</w:t>
            </w:r>
          </w:p>
        </w:tc>
        <w:tc>
          <w:tcPr>
            <w:tcW w:w="0" w:type="auto"/>
          </w:tcPr>
          <w:p w14:paraId="0F115070" w14:textId="77777777" w:rsidR="00D708EC" w:rsidRDefault="00000000">
            <w:pPr>
              <w:rPr>
                <w:rFonts w:hint="eastAsia"/>
              </w:rPr>
            </w:pPr>
            <w:r>
              <w:rPr>
                <w:sz w:val="19"/>
              </w:rPr>
              <w:t>25% (C-50%)</w:t>
            </w:r>
          </w:p>
        </w:tc>
        <w:tc>
          <w:tcPr>
            <w:tcW w:w="0" w:type="auto"/>
          </w:tcPr>
          <w:p w14:paraId="26479276" w14:textId="77777777" w:rsidR="00D708EC" w:rsidRDefault="00000000">
            <w:pPr>
              <w:rPr>
                <w:rFonts w:hint="eastAsia"/>
              </w:rPr>
            </w:pPr>
            <w:r>
              <w:rPr>
                <w:sz w:val="19"/>
              </w:rPr>
              <w:t>25% (Handover)</w:t>
            </w:r>
          </w:p>
        </w:tc>
      </w:tr>
      <w:tr w:rsidR="00D708EC" w14:paraId="02346065" w14:textId="77777777">
        <w:tc>
          <w:tcPr>
            <w:tcW w:w="0" w:type="auto"/>
            <w:shd w:val="clear" w:color="auto" w:fill="ECEFF1"/>
          </w:tcPr>
          <w:p w14:paraId="4AED5AAA" w14:textId="77777777" w:rsidR="00D708EC" w:rsidRDefault="00000000">
            <w:pPr>
              <w:rPr>
                <w:rFonts w:hint="eastAsia"/>
              </w:rPr>
            </w:pPr>
            <w:r>
              <w:rPr>
                <w:sz w:val="19"/>
              </w:rPr>
              <w:t>MRF-Housing</w:t>
            </w:r>
          </w:p>
        </w:tc>
        <w:tc>
          <w:tcPr>
            <w:tcW w:w="0" w:type="auto"/>
            <w:shd w:val="clear" w:color="auto" w:fill="ECEFF1"/>
          </w:tcPr>
          <w:p w14:paraId="0EBC1975" w14:textId="77777777" w:rsidR="00D708EC" w:rsidRDefault="00000000">
            <w:pPr>
              <w:rPr>
                <w:rFonts w:hint="eastAsia"/>
              </w:rPr>
            </w:pPr>
            <w:r>
              <w:rPr>
                <w:sz w:val="19"/>
              </w:rPr>
              <w:t>10% (Procurement)</w:t>
            </w:r>
          </w:p>
        </w:tc>
        <w:tc>
          <w:tcPr>
            <w:tcW w:w="0" w:type="auto"/>
            <w:shd w:val="clear" w:color="auto" w:fill="ECEFF1"/>
          </w:tcPr>
          <w:p w14:paraId="61294DFB" w14:textId="77777777" w:rsidR="00D708EC" w:rsidRDefault="00000000">
            <w:pPr>
              <w:rPr>
                <w:rFonts w:hint="eastAsia"/>
              </w:rPr>
            </w:pPr>
            <w:r>
              <w:rPr>
                <w:sz w:val="19"/>
              </w:rPr>
              <w:t>25% (C-25%)</w:t>
            </w:r>
          </w:p>
        </w:tc>
        <w:tc>
          <w:tcPr>
            <w:tcW w:w="0" w:type="auto"/>
            <w:shd w:val="clear" w:color="auto" w:fill="ECEFF1"/>
          </w:tcPr>
          <w:p w14:paraId="08A18408" w14:textId="77777777" w:rsidR="00D708EC" w:rsidRDefault="00000000">
            <w:pPr>
              <w:rPr>
                <w:rFonts w:hint="eastAsia"/>
              </w:rPr>
            </w:pPr>
            <w:r>
              <w:rPr>
                <w:sz w:val="19"/>
              </w:rPr>
              <w:t>25% (C-50%)</w:t>
            </w:r>
          </w:p>
        </w:tc>
        <w:tc>
          <w:tcPr>
            <w:tcW w:w="0" w:type="auto"/>
            <w:shd w:val="clear" w:color="auto" w:fill="ECEFF1"/>
          </w:tcPr>
          <w:p w14:paraId="3752E553" w14:textId="77777777" w:rsidR="00D708EC" w:rsidRDefault="00000000">
            <w:pPr>
              <w:rPr>
                <w:rFonts w:hint="eastAsia"/>
              </w:rPr>
            </w:pPr>
            <w:r>
              <w:rPr>
                <w:sz w:val="19"/>
              </w:rPr>
              <w:t>40% (Handover)</w:t>
            </w:r>
          </w:p>
        </w:tc>
      </w:tr>
      <w:tr w:rsidR="00D708EC" w14:paraId="1B952278" w14:textId="77777777">
        <w:tc>
          <w:tcPr>
            <w:tcW w:w="0" w:type="auto"/>
          </w:tcPr>
          <w:p w14:paraId="2E62C1DB" w14:textId="77777777" w:rsidR="00D708EC" w:rsidRDefault="00000000">
            <w:pPr>
              <w:rPr>
                <w:rFonts w:hint="eastAsia"/>
              </w:rPr>
            </w:pPr>
            <w:r>
              <w:rPr>
                <w:sz w:val="19"/>
              </w:rPr>
              <w:t>MRF-Agriculture</w:t>
            </w:r>
          </w:p>
        </w:tc>
        <w:tc>
          <w:tcPr>
            <w:tcW w:w="0" w:type="auto"/>
          </w:tcPr>
          <w:p w14:paraId="1DB3CD1F" w14:textId="77777777" w:rsidR="00D708EC" w:rsidRDefault="00000000">
            <w:pPr>
              <w:rPr>
                <w:rFonts w:hint="eastAsia"/>
              </w:rPr>
            </w:pPr>
            <w:r>
              <w:rPr>
                <w:sz w:val="19"/>
              </w:rPr>
              <w:t>15% (Procurement)</w:t>
            </w:r>
          </w:p>
        </w:tc>
        <w:tc>
          <w:tcPr>
            <w:tcW w:w="0" w:type="auto"/>
          </w:tcPr>
          <w:p w14:paraId="15D0F196" w14:textId="77777777" w:rsidR="00D708EC" w:rsidRDefault="00000000">
            <w:pPr>
              <w:rPr>
                <w:rFonts w:hint="eastAsia"/>
              </w:rPr>
            </w:pPr>
            <w:r>
              <w:rPr>
                <w:sz w:val="19"/>
              </w:rPr>
              <w:t>25% (C-25%)</w:t>
            </w:r>
          </w:p>
        </w:tc>
        <w:tc>
          <w:tcPr>
            <w:tcW w:w="0" w:type="auto"/>
          </w:tcPr>
          <w:p w14:paraId="0BD0BA5F" w14:textId="77777777" w:rsidR="00D708EC" w:rsidRDefault="00000000">
            <w:pPr>
              <w:rPr>
                <w:rFonts w:hint="eastAsia"/>
              </w:rPr>
            </w:pPr>
            <w:r>
              <w:rPr>
                <w:sz w:val="19"/>
              </w:rPr>
              <w:t>25% (C-50%)</w:t>
            </w:r>
          </w:p>
        </w:tc>
        <w:tc>
          <w:tcPr>
            <w:tcW w:w="0" w:type="auto"/>
          </w:tcPr>
          <w:p w14:paraId="618A8ECC" w14:textId="77777777" w:rsidR="00D708EC" w:rsidRDefault="00000000">
            <w:pPr>
              <w:rPr>
                <w:rFonts w:hint="eastAsia"/>
              </w:rPr>
            </w:pPr>
            <w:r>
              <w:rPr>
                <w:sz w:val="19"/>
              </w:rPr>
              <w:t>35% (Handover)</w:t>
            </w:r>
          </w:p>
        </w:tc>
      </w:tr>
    </w:tbl>
    <w:p w14:paraId="435820D2" w14:textId="77777777" w:rsidR="00D708EC" w:rsidRDefault="00000000">
      <w:pPr>
        <w:rPr>
          <w:rFonts w:hint="eastAsia"/>
        </w:rPr>
      </w:pPr>
      <w:r>
        <w:t>C-25% = Construction 25% complete; C-50% = Construction 50% complete</w:t>
      </w:r>
    </w:p>
    <w:p w14:paraId="26F00037" w14:textId="77777777" w:rsidR="00D708EC" w:rsidRDefault="00000000">
      <w:pPr>
        <w:pStyle w:val="Heading3"/>
        <w:rPr>
          <w:rFonts w:hint="eastAsia"/>
        </w:rPr>
      </w:pPr>
      <w:r>
        <w:t>4.2 Verification Process</w:t>
      </w:r>
    </w:p>
    <w:p w14:paraId="60451558" w14:textId="77777777" w:rsidR="00D708EC" w:rsidRDefault="00000000">
      <w:pPr>
        <w:pStyle w:val="Heading3"/>
        <w:rPr>
          <w:rFonts w:hint="eastAsia"/>
        </w:rPr>
      </w:pPr>
      <w:r>
        <w:t>4.2.1 Iranian Self-Certification</w:t>
      </w:r>
    </w:p>
    <w:p w14:paraId="5550C93A" w14:textId="77777777" w:rsidR="00D708EC" w:rsidRDefault="00000000">
      <w:pPr>
        <w:rPr>
          <w:rFonts w:hint="eastAsia"/>
        </w:rPr>
      </w:pPr>
      <w:r>
        <w:t>Iran submits a verification report documenting milestone completion, including photographs, financial records, and technical assessments.</w:t>
      </w:r>
    </w:p>
    <w:p w14:paraId="1744A45E" w14:textId="77777777" w:rsidR="00D708EC" w:rsidRDefault="00000000">
      <w:pPr>
        <w:pStyle w:val="Heading3"/>
        <w:rPr>
          <w:rFonts w:hint="eastAsia"/>
        </w:rPr>
      </w:pPr>
      <w:r>
        <w:t>4.2.2 Independent Audit</w:t>
      </w:r>
    </w:p>
    <w:p w14:paraId="3F626C03" w14:textId="77777777" w:rsidR="00D708EC" w:rsidRDefault="00000000">
      <w:pPr>
        <w:rPr>
          <w:rFonts w:hint="eastAsia"/>
        </w:rPr>
      </w:pPr>
      <w:r>
        <w:t>The World Bank dispatches an independent technical team to verify milestone completion within 30 days of Iranian self-certification.</w:t>
      </w:r>
    </w:p>
    <w:p w14:paraId="3DD67BF7" w14:textId="77777777" w:rsidR="00D708EC" w:rsidRDefault="00000000">
      <w:pPr>
        <w:pStyle w:val="Heading3"/>
        <w:rPr>
          <w:rFonts w:hint="eastAsia"/>
        </w:rPr>
      </w:pPr>
      <w:r>
        <w:t>4.2.3 TAG Assessment</w:t>
      </w:r>
    </w:p>
    <w:p w14:paraId="685E9A81" w14:textId="77777777" w:rsidR="00D708EC" w:rsidRDefault="00000000">
      <w:pPr>
        <w:rPr>
          <w:rFonts w:hint="eastAsia"/>
        </w:rPr>
      </w:pPr>
      <w:r>
        <w:t>The Technical Advisory Group reviews the audit and provides a recommendation to the RSC.</w:t>
      </w:r>
    </w:p>
    <w:p w14:paraId="105A36A9" w14:textId="77777777" w:rsidR="00D708EC" w:rsidRDefault="00000000">
      <w:pPr>
        <w:pStyle w:val="Heading3"/>
        <w:rPr>
          <w:rFonts w:hint="eastAsia"/>
        </w:rPr>
      </w:pPr>
      <w:r>
        <w:t>4.2.4 RSC Approval</w:t>
      </w:r>
    </w:p>
    <w:p w14:paraId="6FEFA52B" w14:textId="77777777" w:rsidR="00D708EC" w:rsidRDefault="00000000">
      <w:pPr>
        <w:rPr>
          <w:rFonts w:hint="eastAsia"/>
        </w:rPr>
      </w:pPr>
      <w:r>
        <w:t>Upon favorable TAG recommendation, the RSC authorizes the next disbursement. If the audit identifies deficiencies, Iran has 60 days to remediate.</w:t>
      </w:r>
    </w:p>
    <w:p w14:paraId="57A0502A" w14:textId="77777777" w:rsidR="00D708EC" w:rsidRDefault="00000000">
      <w:pPr>
        <w:pStyle w:val="Heading3"/>
        <w:rPr>
          <w:rFonts w:hint="eastAsia"/>
        </w:rPr>
      </w:pPr>
      <w:r>
        <w:t>4.3 No Clawback</w:t>
      </w:r>
    </w:p>
    <w:p w14:paraId="3C304AAD" w14:textId="77777777" w:rsidR="00D708EC" w:rsidRDefault="00000000">
      <w:pPr>
        <w:rPr>
          <w:rFonts w:hint="eastAsia"/>
        </w:rPr>
      </w:pPr>
      <w:r>
        <w:t>Consistent with the Escrow Protocol, MRF funds already disbursed are not subject to clawback, re-freezing, or recission under any circumstances. This includes:</w:t>
      </w:r>
    </w:p>
    <w:p w14:paraId="23ADAC83" w14:textId="77777777" w:rsidR="00D708EC" w:rsidRDefault="00000000">
      <w:pPr>
        <w:ind w:left="360"/>
        <w:rPr>
          <w:rFonts w:hint="eastAsia"/>
        </w:rPr>
      </w:pPr>
      <w:r>
        <w:rPr>
          <w:color w:val="37474F"/>
        </w:rPr>
        <w:t>•</w:t>
      </w:r>
      <w:r>
        <w:t>Project discontinuation</w:t>
      </w:r>
    </w:p>
    <w:p w14:paraId="58BFD303" w14:textId="77777777" w:rsidR="00D708EC" w:rsidRDefault="00000000">
      <w:pPr>
        <w:ind w:left="360"/>
        <w:rPr>
          <w:rFonts w:hint="eastAsia"/>
        </w:rPr>
      </w:pPr>
      <w:r>
        <w:rPr>
          <w:color w:val="37474F"/>
        </w:rPr>
        <w:t>•</w:t>
      </w:r>
      <w:r>
        <w:t>Cost overruns</w:t>
      </w:r>
    </w:p>
    <w:p w14:paraId="520F077C" w14:textId="77777777" w:rsidR="00D708EC" w:rsidRDefault="00000000">
      <w:pPr>
        <w:ind w:left="360"/>
        <w:rPr>
          <w:rFonts w:hint="eastAsia"/>
        </w:rPr>
      </w:pPr>
      <w:r>
        <w:rPr>
          <w:color w:val="37474F"/>
        </w:rPr>
        <w:t>•</w:t>
      </w:r>
      <w:r>
        <w:t>Political disputes</w:t>
      </w:r>
    </w:p>
    <w:p w14:paraId="259F0161" w14:textId="77777777" w:rsidR="00D708EC" w:rsidRDefault="00000000">
      <w:pPr>
        <w:ind w:left="360"/>
        <w:rPr>
          <w:rFonts w:hint="eastAsia"/>
        </w:rPr>
      </w:pPr>
      <w:r>
        <w:rPr>
          <w:color w:val="37474F"/>
        </w:rPr>
        <w:t>•</w:t>
      </w:r>
      <w:r>
        <w:t>Termination of the MOU</w:t>
      </w:r>
    </w:p>
    <w:p w14:paraId="6004BE34" w14:textId="77777777" w:rsidR="00D708EC" w:rsidRDefault="00000000">
      <w:pPr>
        <w:pStyle w:val="Heading2"/>
        <w:rPr>
          <w:rFonts w:hint="eastAsia"/>
        </w:rPr>
      </w:pPr>
      <w:bookmarkStart w:id="162" w:name="_Toc237663676"/>
      <w:r>
        <w:lastRenderedPageBreak/>
        <w:t>Article 5: Governance and Transparency</w:t>
      </w:r>
      <w:bookmarkEnd w:id="162"/>
    </w:p>
    <w:p w14:paraId="3101B42C" w14:textId="77777777" w:rsidR="00D708EC" w:rsidRDefault="00000000">
      <w:pPr>
        <w:pStyle w:val="Heading3"/>
        <w:rPr>
          <w:rFonts w:hint="eastAsia"/>
        </w:rPr>
      </w:pPr>
      <w:r>
        <w:t>5.1 Reconstruction Steering Committee (RSC)</w:t>
      </w:r>
    </w:p>
    <w:p w14:paraId="2969C950" w14:textId="77777777" w:rsidR="00D708EC" w:rsidRDefault="00000000">
      <w:pPr>
        <w:rPr>
          <w:rFonts w:hint="eastAsia"/>
        </w:rPr>
      </w:pPr>
      <w:r>
        <w:t>The RSC meets quarterly in Doha, Qatar. Its functions include:</w:t>
      </w:r>
    </w:p>
    <w:p w14:paraId="5A5CC6EC" w14:textId="77777777" w:rsidR="00D708EC" w:rsidRDefault="00000000">
      <w:pPr>
        <w:ind w:left="360"/>
        <w:rPr>
          <w:rFonts w:hint="eastAsia"/>
        </w:rPr>
      </w:pPr>
      <w:r>
        <w:rPr>
          <w:color w:val="37474F"/>
        </w:rPr>
        <w:t>•</w:t>
      </w:r>
      <w:r>
        <w:t>Approving Project Proposals</w:t>
      </w:r>
    </w:p>
    <w:p w14:paraId="344822CD" w14:textId="77777777" w:rsidR="00D708EC" w:rsidRDefault="00000000">
      <w:pPr>
        <w:ind w:left="360"/>
        <w:rPr>
          <w:rFonts w:hint="eastAsia"/>
        </w:rPr>
      </w:pPr>
      <w:r>
        <w:rPr>
          <w:color w:val="37474F"/>
        </w:rPr>
        <w:t>•</w:t>
      </w:r>
      <w:r>
        <w:t>Monitoring Sub-Fund balances and disbursement progress</w:t>
      </w:r>
    </w:p>
    <w:p w14:paraId="4E6BEEDC" w14:textId="77777777" w:rsidR="00D708EC" w:rsidRDefault="00000000">
      <w:pPr>
        <w:ind w:left="360"/>
        <w:rPr>
          <w:rFonts w:hint="eastAsia"/>
        </w:rPr>
      </w:pPr>
      <w:r>
        <w:rPr>
          <w:color w:val="37474F"/>
        </w:rPr>
        <w:t>•</w:t>
      </w:r>
      <w:r>
        <w:t>Authorizing disbursements</w:t>
      </w:r>
    </w:p>
    <w:p w14:paraId="1DB74657" w14:textId="77777777" w:rsidR="00D708EC" w:rsidRDefault="00000000">
      <w:pPr>
        <w:ind w:left="360"/>
        <w:rPr>
          <w:rFonts w:hint="eastAsia"/>
        </w:rPr>
      </w:pPr>
      <w:r>
        <w:rPr>
          <w:color w:val="37474F"/>
        </w:rPr>
        <w:t>•</w:t>
      </w:r>
      <w:r>
        <w:t>Resolving disputes</w:t>
      </w:r>
    </w:p>
    <w:p w14:paraId="1B1237F9" w14:textId="77777777" w:rsidR="00D708EC" w:rsidRDefault="00000000">
      <w:pPr>
        <w:ind w:left="360"/>
        <w:rPr>
          <w:rFonts w:hint="eastAsia"/>
        </w:rPr>
      </w:pPr>
      <w:r>
        <w:rPr>
          <w:color w:val="37474F"/>
        </w:rPr>
        <w:t>•</w:t>
      </w:r>
      <w:r>
        <w:t>Publishing annual reports</w:t>
      </w:r>
    </w:p>
    <w:p w14:paraId="24FA000F" w14:textId="77777777" w:rsidR="00D708EC" w:rsidRDefault="00000000">
      <w:pPr>
        <w:pStyle w:val="Heading3"/>
        <w:rPr>
          <w:rFonts w:hint="eastAsia"/>
        </w:rPr>
      </w:pPr>
      <w:r>
        <w:t>5.2 Technical Advisory Group (TAG)</w:t>
      </w:r>
    </w:p>
    <w:p w14:paraId="25E1068F" w14:textId="77777777" w:rsidR="00D708EC" w:rsidRDefault="00000000">
      <w:pPr>
        <w:rPr>
          <w:rFonts w:hint="eastAsia"/>
        </w:rPr>
      </w:pPr>
      <w:r>
        <w:t>The TAG comprises independent technical experts appointed by the World Bank. Its functions include:</w:t>
      </w:r>
    </w:p>
    <w:p w14:paraId="44C55DE3" w14:textId="77777777" w:rsidR="00D708EC" w:rsidRDefault="00000000">
      <w:pPr>
        <w:ind w:left="360"/>
        <w:rPr>
          <w:rFonts w:hint="eastAsia"/>
        </w:rPr>
      </w:pPr>
      <w:r>
        <w:rPr>
          <w:color w:val="37474F"/>
        </w:rPr>
        <w:t>•</w:t>
      </w:r>
      <w:r>
        <w:t>Reviewing Project Proposals</w:t>
      </w:r>
    </w:p>
    <w:p w14:paraId="62AFA14F" w14:textId="77777777" w:rsidR="00D708EC" w:rsidRDefault="00000000">
      <w:pPr>
        <w:ind w:left="360"/>
        <w:rPr>
          <w:rFonts w:hint="eastAsia"/>
        </w:rPr>
      </w:pPr>
      <w:r>
        <w:rPr>
          <w:color w:val="37474F"/>
        </w:rPr>
        <w:t>•</w:t>
      </w:r>
      <w:r>
        <w:t>Conducting independent verification of milestone completion</w:t>
      </w:r>
    </w:p>
    <w:p w14:paraId="06CC375C" w14:textId="77777777" w:rsidR="00D708EC" w:rsidRDefault="00000000">
      <w:pPr>
        <w:ind w:left="360"/>
        <w:rPr>
          <w:rFonts w:hint="eastAsia"/>
        </w:rPr>
      </w:pPr>
      <w:r>
        <w:rPr>
          <w:color w:val="37474F"/>
        </w:rPr>
        <w:t>•</w:t>
      </w:r>
      <w:r>
        <w:t>Providing technical guidance to the RSC</w:t>
      </w:r>
    </w:p>
    <w:p w14:paraId="637467DC" w14:textId="77777777" w:rsidR="00D708EC" w:rsidRDefault="00000000">
      <w:pPr>
        <w:ind w:left="360"/>
        <w:rPr>
          <w:rFonts w:hint="eastAsia"/>
        </w:rPr>
      </w:pPr>
      <w:r>
        <w:rPr>
          <w:color w:val="37474F"/>
        </w:rPr>
        <w:t>•</w:t>
      </w:r>
      <w:r>
        <w:t>Publishing technical assessments on the transparency dashboard</w:t>
      </w:r>
    </w:p>
    <w:p w14:paraId="03C15FE8" w14:textId="77777777" w:rsidR="00D708EC" w:rsidRDefault="00000000">
      <w:pPr>
        <w:pStyle w:val="Heading3"/>
        <w:rPr>
          <w:rFonts w:hint="eastAsia"/>
        </w:rPr>
      </w:pPr>
      <w:r>
        <w:t>5.3 Public Transparency Dashboard</w:t>
      </w:r>
    </w:p>
    <w:p w14:paraId="2C88F9DC" w14:textId="77777777" w:rsidR="00D708EC" w:rsidRDefault="00000000">
      <w:pPr>
        <w:rPr>
          <w:rFonts w:hint="eastAsia"/>
        </w:rPr>
      </w:pPr>
      <w:r>
        <w:t>The MRF maintains a public transparency dashboard, accessible in English, Farsi, Arabic, and other relevant languages. The dashboard displays:</w:t>
      </w:r>
    </w:p>
    <w:p w14:paraId="1DE637B4" w14:textId="77777777" w:rsidR="00D708EC" w:rsidRDefault="00000000">
      <w:pPr>
        <w:ind w:left="360"/>
        <w:rPr>
          <w:rFonts w:hint="eastAsia"/>
        </w:rPr>
      </w:pPr>
      <w:r>
        <w:rPr>
          <w:color w:val="37474F"/>
        </w:rPr>
        <w:t>•</w:t>
      </w:r>
      <w:r>
        <w:t>Sub-Fund balances and contributor lists (aggregate, not individual)</w:t>
      </w:r>
    </w:p>
    <w:p w14:paraId="23F3B282" w14:textId="77777777" w:rsidR="00D708EC" w:rsidRDefault="00000000">
      <w:pPr>
        <w:ind w:left="360"/>
        <w:rPr>
          <w:rFonts w:hint="eastAsia"/>
        </w:rPr>
      </w:pPr>
      <w:r>
        <w:rPr>
          <w:color w:val="37474F"/>
        </w:rPr>
        <w:t>•</w:t>
      </w:r>
      <w:r>
        <w:t>Approved projects and their status</w:t>
      </w:r>
    </w:p>
    <w:p w14:paraId="5713EEF4" w14:textId="77777777" w:rsidR="00D708EC" w:rsidRDefault="00000000">
      <w:pPr>
        <w:ind w:left="360"/>
        <w:rPr>
          <w:rFonts w:hint="eastAsia"/>
        </w:rPr>
      </w:pPr>
      <w:r>
        <w:rPr>
          <w:color w:val="37474F"/>
        </w:rPr>
        <w:t>•</w:t>
      </w:r>
      <w:r>
        <w:t>Disbursement history</w:t>
      </w:r>
    </w:p>
    <w:p w14:paraId="32C2FCA7" w14:textId="77777777" w:rsidR="00D708EC" w:rsidRDefault="00000000">
      <w:pPr>
        <w:ind w:left="360"/>
        <w:rPr>
          <w:rFonts w:hint="eastAsia"/>
        </w:rPr>
      </w:pPr>
      <w:r>
        <w:rPr>
          <w:color w:val="37474F"/>
        </w:rPr>
        <w:t>•</w:t>
      </w:r>
      <w:r>
        <w:t>Independent audit findings</w:t>
      </w:r>
    </w:p>
    <w:p w14:paraId="7D636FBA" w14:textId="77777777" w:rsidR="00D708EC" w:rsidRDefault="00000000">
      <w:pPr>
        <w:ind w:left="360"/>
        <w:rPr>
          <w:rFonts w:hint="eastAsia"/>
        </w:rPr>
      </w:pPr>
      <w:r>
        <w:rPr>
          <w:color w:val="37474F"/>
        </w:rPr>
        <w:t>•</w:t>
      </w:r>
      <w:r>
        <w:t>Project completion rates</w:t>
      </w:r>
    </w:p>
    <w:p w14:paraId="6AC22356" w14:textId="77777777" w:rsidR="00D708EC" w:rsidRDefault="00000000">
      <w:pPr>
        <w:pStyle w:val="Heading3"/>
        <w:rPr>
          <w:rFonts w:hint="eastAsia"/>
        </w:rPr>
      </w:pPr>
      <w:r>
        <w:t>5.4 Annual Independent Audit</w:t>
      </w:r>
    </w:p>
    <w:p w14:paraId="34D28252" w14:textId="77777777" w:rsidR="00D708EC" w:rsidRDefault="00000000">
      <w:pPr>
        <w:rPr>
          <w:rFonts w:hint="eastAsia"/>
        </w:rPr>
      </w:pPr>
      <w:r>
        <w:t>An independent audit firm (e.g., Deloitte, PwC, KPMG), selected by mutual agreement of RSC voting members, conducts an annual audit of all MRF accounts. Audit results are published on the transparency dashboard.</w:t>
      </w:r>
    </w:p>
    <w:p w14:paraId="0ADE42BB" w14:textId="77777777" w:rsidR="00D708EC" w:rsidRDefault="00000000">
      <w:pPr>
        <w:pStyle w:val="Heading3"/>
        <w:rPr>
          <w:rFonts w:hint="eastAsia"/>
        </w:rPr>
      </w:pPr>
      <w:r>
        <w:t>5.5 Iranian Sovereignty Over Project Selection</w:t>
      </w:r>
    </w:p>
    <w:p w14:paraId="0BB2C997" w14:textId="77777777" w:rsidR="00D708EC" w:rsidRDefault="00000000">
      <w:pPr>
        <w:rPr>
          <w:rFonts w:hint="eastAsia"/>
        </w:rPr>
      </w:pPr>
      <w:r>
        <w:t>Iran retains full sovereign authority over reconstruction priorities. The RSC does not:</w:t>
      </w:r>
    </w:p>
    <w:p w14:paraId="64EC6E89" w14:textId="77777777" w:rsidR="00D708EC" w:rsidRDefault="00000000">
      <w:pPr>
        <w:ind w:left="360"/>
        <w:rPr>
          <w:rFonts w:hint="eastAsia"/>
        </w:rPr>
      </w:pPr>
      <w:r>
        <w:rPr>
          <w:color w:val="37474F"/>
        </w:rPr>
        <w:t>•</w:t>
      </w:r>
      <w:r>
        <w:t>Impose projects on Iran</w:t>
      </w:r>
    </w:p>
    <w:p w14:paraId="5D595EF3" w14:textId="77777777" w:rsidR="00D708EC" w:rsidRDefault="00000000">
      <w:pPr>
        <w:ind w:left="360"/>
        <w:rPr>
          <w:rFonts w:hint="eastAsia"/>
        </w:rPr>
      </w:pPr>
      <w:r>
        <w:rPr>
          <w:color w:val="37474F"/>
        </w:rPr>
        <w:lastRenderedPageBreak/>
        <w:t>•</w:t>
      </w:r>
      <w:r>
        <w:t>Dictate project location or design</w:t>
      </w:r>
    </w:p>
    <w:p w14:paraId="489C80AB" w14:textId="77777777" w:rsidR="00D708EC" w:rsidRDefault="00000000">
      <w:pPr>
        <w:ind w:left="360"/>
        <w:rPr>
          <w:rFonts w:hint="eastAsia"/>
        </w:rPr>
      </w:pPr>
      <w:r>
        <w:rPr>
          <w:color w:val="37474F"/>
        </w:rPr>
        <w:t>•</w:t>
      </w:r>
      <w:r>
        <w:t>Interfere with Iranian procurement decisions</w:t>
      </w:r>
    </w:p>
    <w:p w14:paraId="37010BA5" w14:textId="77777777" w:rsidR="00D708EC" w:rsidRDefault="00000000">
      <w:pPr>
        <w:pStyle w:val="Heading3"/>
        <w:rPr>
          <w:rFonts w:hint="eastAsia"/>
        </w:rPr>
      </w:pPr>
      <w:r>
        <w:t>5.6 Political Risk Insurance Pool</w:t>
      </w:r>
    </w:p>
    <w:p w14:paraId="3E288585" w14:textId="77777777" w:rsidR="00D708EC" w:rsidRDefault="00000000">
      <w:pPr>
        <w:rPr>
          <w:rFonts w:hint="eastAsia"/>
        </w:rPr>
      </w:pPr>
      <w:r>
        <w:t>The MRF establishes a dedicated Political Risk Insurance (PRI) facility administered jointly by the World Bank's Multilateral Investment Guarantee Agency (MIGA) and the Islamic Corporation for the Insurance of Investment and Export Credit (ICIEC). The PRI Pool provides explicit coverage for: war and civil disturbance, expropriation and political violence, currency inconvertibility and transfer restriction, and sanctions reimposition.</w:t>
      </w:r>
    </w:p>
    <w:p w14:paraId="33970B38" w14:textId="77777777" w:rsidR="00D708EC" w:rsidRDefault="00000000">
      <w:pPr>
        <w:rPr>
          <w:rFonts w:hint="eastAsia"/>
        </w:rPr>
      </w:pPr>
      <w:r>
        <w:t>All private capital participants in the MRF Supporting Tier (infrastructure funds, pension funds, insurance companies) receive mandatory PRI coverage as a condition of participation. Premiums are subsidized by the Core Tier at a rate of 2% of insured value per annum. The PRI Pool maintains a minimum capital reserve of $500 million. Coverage limits per project are $1 billion for sovereign risk and $500 million for sub-sovereign and private risk.</w:t>
      </w:r>
    </w:p>
    <w:p w14:paraId="44963D42" w14:textId="77777777" w:rsidR="00D708EC" w:rsidRDefault="00000000">
      <w:pPr>
        <w:rPr>
          <w:rFonts w:hint="eastAsia"/>
        </w:rPr>
      </w:pPr>
      <w:r>
        <w:t>Claims activate through a dedicated arbitration panel (see Section 6.4). The PRI Pool pays valid claims within 90 days of arbitration determination. Without this de-risking mechanism, private pension funds and infrastructure investors do not deploy Supporting Tier capital at scale.</w:t>
      </w:r>
    </w:p>
    <w:p w14:paraId="52B8E59E" w14:textId="77777777" w:rsidR="00D708EC" w:rsidRDefault="00000000">
      <w:pPr>
        <w:pStyle w:val="Heading3"/>
        <w:rPr>
          <w:rFonts w:hint="eastAsia"/>
        </w:rPr>
      </w:pPr>
      <w:r>
        <w:t>5.7 Hard Currency Convertibility and Repatriation Guarantee</w:t>
      </w:r>
    </w:p>
    <w:p w14:paraId="1A4DB3AB" w14:textId="77777777" w:rsidR="00D708EC" w:rsidRDefault="00000000">
      <w:pPr>
        <w:rPr>
          <w:rFonts w:hint="eastAsia"/>
        </w:rPr>
      </w:pPr>
      <w:r>
        <w:t>The Qatar Central Bank guarantees that all project revenues, profit distributions, and capital repatriation for private investors occur in hard currency (USD, EUR, or CNY) at prevailing market exchange rates. The guarantee operates through a dedicated Hard Currency Facility maintained at the Qatar Central Bank with a minimum reserve of $2 billion.</w:t>
      </w:r>
    </w:p>
    <w:p w14:paraId="31F275B9" w14:textId="77777777" w:rsidR="00D708EC" w:rsidRDefault="00000000">
      <w:pPr>
        <w:rPr>
          <w:rFonts w:hint="eastAsia"/>
        </w:rPr>
      </w:pPr>
      <w:r>
        <w:t>Private investors submit repatriation requests to the RSC secretariat. The Qatar Central Bank processes approved requests within 30 days. This guarantee bypasses the Iranian rial's instability and removes the single largest blocker to private equity participation. The Hard Currency Facility is replenished from Core Tier disbursements and contributor deposits.</w:t>
      </w:r>
    </w:p>
    <w:p w14:paraId="3D9B0270" w14:textId="77777777" w:rsidR="00D708EC" w:rsidRDefault="00000000">
      <w:pPr>
        <w:pStyle w:val="Heading3"/>
        <w:rPr>
          <w:rFonts w:hint="eastAsia"/>
        </w:rPr>
      </w:pPr>
      <w:r>
        <w:t>5.8 Contingency Reserve Fund</w:t>
      </w:r>
    </w:p>
    <w:p w14:paraId="7EB9606B" w14:textId="77777777" w:rsidR="00D708EC" w:rsidRDefault="00000000">
      <w:pPr>
        <w:rPr>
          <w:rFonts w:hint="eastAsia"/>
        </w:rPr>
      </w:pPr>
      <w:r>
        <w:t>Each Sub-Fund dedicates 5% of its allocation to a Contingency Reserve for cost overruns, contractor bankruptcy, force majeure events, and project remediation. The Contingency Reserve is not available for new project approvals and activates only when: (1) a verified cost overrun exceeds 15% of the approved project budget, (2) a contractor declares insolvency or abandons a project, (3) a force majeure event interrupts construction for more than 30 days, or (4) the TAG certifies that remediation is necessary to protect MRF assets.</w:t>
      </w:r>
    </w:p>
    <w:p w14:paraId="28B4F1FE" w14:textId="77777777" w:rsidR="00D708EC" w:rsidRDefault="00000000">
      <w:pPr>
        <w:rPr>
          <w:rFonts w:hint="eastAsia"/>
        </w:rPr>
      </w:pPr>
      <w:r>
        <w:t>Contingency Reserve disbursements require RSC approval by consensus. The RSC reviews Contingency Reserve utilization quarterly and publishes a Contingency Report. Post-conflict reconstruction typically runs 30-50% over budget. Without this reserve, projects stall mid-construction and donor confidence erodes.</w:t>
      </w:r>
    </w:p>
    <w:p w14:paraId="40B46056" w14:textId="77777777" w:rsidR="00D708EC" w:rsidRDefault="00000000">
      <w:pPr>
        <w:pStyle w:val="Heading3"/>
        <w:rPr>
          <w:rFonts w:hint="eastAsia"/>
        </w:rPr>
      </w:pPr>
      <w:r>
        <w:lastRenderedPageBreak/>
        <w:t>5.9 Contractor Performance Bond and Guarantee Mechanism</w:t>
      </w:r>
    </w:p>
    <w:p w14:paraId="62E08C85" w14:textId="77777777" w:rsidR="00D708EC" w:rsidRDefault="00000000">
      <w:pPr>
        <w:rPr>
          <w:rFonts w:hint="eastAsia"/>
        </w:rPr>
      </w:pPr>
      <w:r>
        <w:t>All contractors executing MRF projects above $10 million post performance bonds equal to 10% of contract value. The bonds are held by the Qatar Central Bank and forfeit to the MRF if the contractor fails to complete the project per the approved milestone schedule. The PRI Pool provides bond-backed guarantee insurance for contractors unable to secure commercial bonding.</w:t>
      </w:r>
    </w:p>
    <w:p w14:paraId="5B7BBCE1" w14:textId="77777777" w:rsidR="00D708EC" w:rsidRDefault="00000000">
      <w:pPr>
        <w:rPr>
          <w:rFonts w:hint="eastAsia"/>
        </w:rPr>
      </w:pPr>
      <w:r>
        <w:t>The RSC maintains a Contractor Performance Registry tracking completion rates, quality scores, and bond claims for all MRF contractors. Contractors with two or more forfeited bonds are barred from MRF procurement for a minimum of three years. This mechanism protects MRF funds from being wasted on failed contractors and gives donors confidence in project execution.</w:t>
      </w:r>
    </w:p>
    <w:p w14:paraId="3509F987" w14:textId="77777777" w:rsidR="00D708EC" w:rsidRDefault="00000000">
      <w:pPr>
        <w:pStyle w:val="Heading3"/>
        <w:rPr>
          <w:rFonts w:hint="eastAsia"/>
        </w:rPr>
      </w:pPr>
      <w:r>
        <w:t>5.10 Iranian Civil Society Observer</w:t>
      </w:r>
    </w:p>
    <w:p w14:paraId="5AB67833" w14:textId="77777777" w:rsidR="00D708EC" w:rsidRDefault="00000000">
      <w:pPr>
        <w:rPr>
          <w:rFonts w:hint="eastAsia"/>
        </w:rPr>
      </w:pPr>
      <w:r>
        <w:t>The RSC includes a non-voting Civil Society Observer seat occupied by a representative nominated by a consortium of Iranian non-governmental organizations, professional associations, and academic institutions. The observer participates in all RSC meetings, receives all non-classified documentation, and submits independent assessments to the RSC on project implementation, environmental compliance, social impact, and community satisfaction.</w:t>
      </w:r>
    </w:p>
    <w:p w14:paraId="252E134C" w14:textId="77777777" w:rsidR="00D708EC" w:rsidRDefault="00000000">
      <w:pPr>
        <w:rPr>
          <w:rFonts w:hint="eastAsia"/>
        </w:rPr>
      </w:pPr>
      <w:r>
        <w:t>The Civil Society Observer serves a two-year renewable term and operates under the same confidentiality obligations as RSC voting members. This seat enhances domestic legitimacy, provides independent feedback on project implementation, and creates a domestic accountability channel separate from the RSC's international governance structure.</w:t>
      </w:r>
    </w:p>
    <w:p w14:paraId="73A70B1F" w14:textId="77777777" w:rsidR="00D708EC" w:rsidRDefault="00000000">
      <w:pPr>
        <w:pStyle w:val="Heading3"/>
        <w:rPr>
          <w:rFonts w:hint="eastAsia"/>
        </w:rPr>
      </w:pPr>
      <w:r>
        <w:t>5.11 Quarterly Independent Auditor Site Visits</w:t>
      </w:r>
    </w:p>
    <w:p w14:paraId="6A628D29" w14:textId="77777777" w:rsidR="00D708EC" w:rsidRDefault="00000000">
      <w:pPr>
        <w:rPr>
          <w:rFonts w:hint="eastAsia"/>
        </w:rPr>
      </w:pPr>
      <w:r>
        <w:t>The independent audit firm (see Section 5.4) conducts physical site visits quarterly, not solely an annual desk audit. Quarterly visits cover: verification of physical construction progress against milestone claims, assessment of financial documentation and procurement compliance, review of environmental and social safeguard implementation, and interviews with local project beneficiaries and community representatives.</w:t>
      </w:r>
    </w:p>
    <w:p w14:paraId="61CE431F" w14:textId="77777777" w:rsidR="00D708EC" w:rsidRDefault="00000000">
      <w:pPr>
        <w:rPr>
          <w:rFonts w:hint="eastAsia"/>
        </w:rPr>
      </w:pPr>
      <w:r>
        <w:t>The audit firm issues a Quarterly Site Visit Report for each project under active construction. Reports are published on the transparency dashboard within 30 days of visit completion. Annual audits synthesize quarterly findings into a comprehensive assessment. This frequency provides real-time accountability and early detection of fraud, delays, or mismanagement.</w:t>
      </w:r>
    </w:p>
    <w:p w14:paraId="40F1E550" w14:textId="77777777" w:rsidR="00D708EC" w:rsidRDefault="00000000">
      <w:pPr>
        <w:pStyle w:val="Heading3"/>
        <w:rPr>
          <w:rFonts w:hint="eastAsia"/>
        </w:rPr>
      </w:pPr>
      <w:r>
        <w:t>5.12 Whistleblower Protection and Anti-Fraud Hotline</w:t>
      </w:r>
    </w:p>
    <w:p w14:paraId="1AF6FADE" w14:textId="77777777" w:rsidR="00D708EC" w:rsidRDefault="00000000">
      <w:pPr>
        <w:rPr>
          <w:rFonts w:hint="eastAsia"/>
        </w:rPr>
      </w:pPr>
      <w:r>
        <w:t xml:space="preserve">The RSC establishes an independent, confidential whistleblower mechanism for reporting fraud, corruption, mismanagement, or non-compliance. The mechanism includes: a 24-hour multilingual hotline operated by an independent third party, a secure web-based reporting </w:t>
      </w:r>
      <w:r>
        <w:lastRenderedPageBreak/>
        <w:t>portal with anonymous submission capability, protection against retaliation for all good-faith reporters, and a dedicated Anti-Fraud Response Team within the RSC secretariat.</w:t>
      </w:r>
    </w:p>
    <w:p w14:paraId="1002D119" w14:textId="77777777" w:rsidR="00D708EC" w:rsidRDefault="00000000">
      <w:pPr>
        <w:rPr>
          <w:rFonts w:hint="eastAsia"/>
        </w:rPr>
      </w:pPr>
      <w:r>
        <w:t>The Anti-Fraud Response Team investigates all credible reports within 30 days of submission. Substantiated cases trigger: immediate suspension of the implicated contractor or official, referral to relevant national authorities for prosecution, publication of a redacted findings report on the transparency dashboard, and recovery of misappropriated funds through the PRI Pool's fraud coverage. This mechanism is a standard World Bank safeguard that ensures donor confidence in MRF integrity.</w:t>
      </w:r>
    </w:p>
    <w:p w14:paraId="571C5345" w14:textId="77777777" w:rsidR="00D708EC" w:rsidRDefault="00000000">
      <w:pPr>
        <w:ind w:left="360"/>
        <w:rPr>
          <w:rFonts w:hint="eastAsia"/>
        </w:rPr>
      </w:pPr>
      <w:r>
        <w:rPr>
          <w:color w:val="37474F"/>
        </w:rPr>
        <w:t>•</w:t>
      </w:r>
      <w:r>
        <w:t>Condition funding on political concessions</w:t>
      </w:r>
    </w:p>
    <w:p w14:paraId="74B357D4" w14:textId="77777777" w:rsidR="00D708EC" w:rsidRDefault="00000000">
      <w:pPr>
        <w:pStyle w:val="Heading2"/>
        <w:rPr>
          <w:rFonts w:hint="eastAsia"/>
        </w:rPr>
      </w:pPr>
      <w:bookmarkStart w:id="163" w:name="_Toc237663677"/>
      <w:r>
        <w:t>Article 6: Relationship to Other Annexes</w:t>
      </w:r>
      <w:bookmarkEnd w:id="163"/>
    </w:p>
    <w:p w14:paraId="1F3D5116" w14:textId="77777777" w:rsidR="00D708EC" w:rsidRDefault="00000000">
      <w:pPr>
        <w:rPr>
          <w:rFonts w:hint="eastAsia"/>
        </w:rPr>
      </w:pPr>
      <w:r>
        <w:t>This Annex operates in conjunction with:</w:t>
      </w:r>
    </w:p>
    <w:p w14:paraId="0E5C7038" w14:textId="77777777" w:rsidR="00D708EC" w:rsidRDefault="00000000">
      <w:pPr>
        <w:ind w:left="360"/>
        <w:rPr>
          <w:rFonts w:hint="eastAsia"/>
        </w:rPr>
      </w:pPr>
      <w:r>
        <w:rPr>
          <w:color w:val="37474F"/>
        </w:rPr>
        <w:t>•</w:t>
      </w:r>
      <w:r>
        <w:t>Annex ES (Escrow and Trigger Sequence Protocol): The MRF uses the same neutral escrow architecture, verification principles, and no-clawback provisions.</w:t>
      </w:r>
    </w:p>
    <w:p w14:paraId="0B49C2CE" w14:textId="77777777" w:rsidR="00D708EC" w:rsidRDefault="00000000">
      <w:pPr>
        <w:ind w:left="360"/>
        <w:rPr>
          <w:rFonts w:hint="eastAsia"/>
        </w:rPr>
      </w:pPr>
      <w:r>
        <w:rPr>
          <w:color w:val="37474F"/>
        </w:rPr>
        <w:t>•</w:t>
      </w:r>
      <w:r>
        <w:t>Annex J (Lebanon Linkage): MRF funds are firewalled from Lebanon-related disputes. A breach of the Lebanon ceasefire does not affect MRF disbursements.</w:t>
      </w:r>
    </w:p>
    <w:p w14:paraId="27C2FDA1" w14:textId="77777777" w:rsidR="00D708EC" w:rsidRDefault="00000000">
      <w:pPr>
        <w:ind w:left="360"/>
        <w:rPr>
          <w:rFonts w:hint="eastAsia"/>
        </w:rPr>
      </w:pPr>
      <w:r>
        <w:rPr>
          <w:color w:val="37474F"/>
        </w:rPr>
        <w:t>•</w:t>
      </w:r>
      <w:r>
        <w:t>Annex T (Adaptive Stabilization Compliance Resilience Matrix): MRF Step-Back and Earn-Back provisions align with Annex T's graduated response system.</w:t>
      </w:r>
    </w:p>
    <w:p w14:paraId="7E88C414" w14:textId="77777777" w:rsidR="00D708EC" w:rsidRDefault="00000000">
      <w:pPr>
        <w:pStyle w:val="Heading3"/>
        <w:rPr>
          <w:rFonts w:hint="eastAsia"/>
        </w:rPr>
      </w:pPr>
      <w:r>
        <w:t>6.2 Fast-Track Arbitration for Project Disputes</w:t>
      </w:r>
    </w:p>
    <w:p w14:paraId="5FD7351D" w14:textId="77777777" w:rsidR="00D708EC" w:rsidRDefault="00000000">
      <w:pPr>
        <w:rPr>
          <w:rFonts w:hint="eastAsia"/>
        </w:rPr>
      </w:pPr>
      <w:r>
        <w:t>All disputes between Iran, contractors, the RSC, or contributors relating to MRF-funded projects are subject to binding arbitration under the ICC Arbitration Rules. The Fast-Track Arbitration mechanism operates as follows:</w:t>
      </w:r>
    </w:p>
    <w:p w14:paraId="5E1D917E" w14:textId="77777777" w:rsidR="00D708EC" w:rsidRDefault="00000000">
      <w:pPr>
        <w:ind w:left="360"/>
        <w:rPr>
          <w:rFonts w:hint="eastAsia"/>
        </w:rPr>
      </w:pPr>
      <w:r>
        <w:rPr>
          <w:color w:val="37474F"/>
        </w:rPr>
        <w:t>•</w:t>
      </w:r>
      <w:r>
        <w:t>Either party submits a Notice of Arbitration to the RSC secretariat and the ICC International Court of Arbitration.</w:t>
      </w:r>
    </w:p>
    <w:p w14:paraId="2F63878F" w14:textId="77777777" w:rsidR="00D708EC" w:rsidRDefault="00000000">
      <w:pPr>
        <w:ind w:left="360"/>
        <w:rPr>
          <w:rFonts w:hint="eastAsia"/>
        </w:rPr>
      </w:pPr>
      <w:r>
        <w:rPr>
          <w:color w:val="37474F"/>
        </w:rPr>
        <w:t>•</w:t>
      </w:r>
      <w:r>
        <w:t>A sole arbitrator (for disputes under $50 million) or a three-member tribunal (for disputes exceeding $50 million) is appointed within 14 days.</w:t>
      </w:r>
    </w:p>
    <w:p w14:paraId="18544B4C" w14:textId="77777777" w:rsidR="00D708EC" w:rsidRDefault="00000000">
      <w:pPr>
        <w:ind w:left="360"/>
        <w:rPr>
          <w:rFonts w:hint="eastAsia"/>
        </w:rPr>
      </w:pPr>
      <w:r>
        <w:rPr>
          <w:color w:val="37474F"/>
        </w:rPr>
        <w:t>•</w:t>
      </w:r>
      <w:r>
        <w:t>The arbitration proceeds under expedited procedures with a maximum timeline of 60 days from appointment to award.</w:t>
      </w:r>
    </w:p>
    <w:p w14:paraId="74D96DFC" w14:textId="77777777" w:rsidR="00D708EC" w:rsidRDefault="00000000">
      <w:pPr>
        <w:ind w:left="360"/>
        <w:rPr>
          <w:rFonts w:hint="eastAsia"/>
        </w:rPr>
      </w:pPr>
      <w:r>
        <w:rPr>
          <w:color w:val="37474F"/>
        </w:rPr>
        <w:t>•</w:t>
      </w:r>
      <w:r>
        <w:t>The seat of arbitration is Geneva, Switzerland. The language of arbitration is English.</w:t>
      </w:r>
    </w:p>
    <w:p w14:paraId="545D5268" w14:textId="77777777" w:rsidR="00D708EC" w:rsidRDefault="00000000">
      <w:pPr>
        <w:ind w:left="360"/>
        <w:rPr>
          <w:rFonts w:hint="eastAsia"/>
        </w:rPr>
      </w:pPr>
      <w:r>
        <w:rPr>
          <w:color w:val="37474F"/>
        </w:rPr>
        <w:t>•</w:t>
      </w:r>
      <w:r>
        <w:t>Awards are final and binding on all parties. Enforcement proceeds under the New York Convention on the Recognition and Enforcement of Foreign Arbitral Awards.</w:t>
      </w:r>
    </w:p>
    <w:p w14:paraId="1B2F5559" w14:textId="77777777" w:rsidR="00D708EC" w:rsidRDefault="00000000">
      <w:pPr>
        <w:ind w:left="360"/>
        <w:rPr>
          <w:rFonts w:hint="eastAsia"/>
        </w:rPr>
      </w:pPr>
      <w:r>
        <w:rPr>
          <w:color w:val="37474F"/>
        </w:rPr>
        <w:t>•</w:t>
      </w:r>
      <w:r>
        <w:t>Pending arbitration, project work continues unless the arbitrator grants an interim injunction stopping work.</w:t>
      </w:r>
    </w:p>
    <w:p w14:paraId="01E9EA96" w14:textId="77777777" w:rsidR="00D708EC" w:rsidRDefault="00000000">
      <w:pPr>
        <w:rPr>
          <w:rFonts w:hint="eastAsia"/>
        </w:rPr>
      </w:pPr>
      <w:r>
        <w:t>This Fast-Track mechanism supersedes the Guarantor Matrix mediation for all MRF-related contractual disputes. The Guarantor Matrix remains available for political disputes between state parties that fall outside the scope of project-level arbitration.</w:t>
      </w:r>
    </w:p>
    <w:p w14:paraId="05D93943" w14:textId="77777777" w:rsidR="00D708EC" w:rsidRDefault="00000000">
      <w:pPr>
        <w:pStyle w:val="Heading3"/>
        <w:rPr>
          <w:rFonts w:hint="eastAsia"/>
        </w:rPr>
      </w:pPr>
      <w:r>
        <w:lastRenderedPageBreak/>
        <w:t>6.3 UN Peacebuilding and Mine Action Coordination</w:t>
      </w:r>
    </w:p>
    <w:p w14:paraId="79767EBA" w14:textId="77777777" w:rsidR="00D708EC" w:rsidRDefault="00000000">
      <w:pPr>
        <w:rPr>
          <w:rFonts w:hint="eastAsia"/>
        </w:rPr>
      </w:pPr>
      <w:r>
        <w:t>The MRF coordinates with the UN Mine Action Service (UNMAS) and the UN Peacebuilding Fund for pre-reconstruction demining and stabilization activities. Modern conflicts leave massive unexploded ordnance (UXO) contamination that renders reconstruction impossible until cleared. The MRF-UNMAS partnership operates as follows:</w:t>
      </w:r>
    </w:p>
    <w:p w14:paraId="51E8B007" w14:textId="77777777" w:rsidR="00D708EC" w:rsidRDefault="00000000">
      <w:pPr>
        <w:ind w:left="360"/>
        <w:rPr>
          <w:rFonts w:hint="eastAsia"/>
        </w:rPr>
      </w:pPr>
      <w:r>
        <w:rPr>
          <w:color w:val="37474F"/>
        </w:rPr>
        <w:t>•</w:t>
      </w:r>
      <w:r>
        <w:t>UNMAS conducts UXO surveys and clearance operations in all MRF project areas before construction commences.</w:t>
      </w:r>
    </w:p>
    <w:p w14:paraId="66B5E105" w14:textId="77777777" w:rsidR="00D708EC" w:rsidRDefault="00000000">
      <w:pPr>
        <w:ind w:left="360"/>
        <w:rPr>
          <w:rFonts w:hint="eastAsia"/>
        </w:rPr>
      </w:pPr>
      <w:r>
        <w:rPr>
          <w:color w:val="37474F"/>
        </w:rPr>
        <w:t>•</w:t>
      </w:r>
      <w:r>
        <w:t>The UN Peacebuilding Fund provides grants for community stabilization, reconciliation programming, and local governance restoration in MRF project zones.</w:t>
      </w:r>
    </w:p>
    <w:p w14:paraId="6A866CE8" w14:textId="77777777" w:rsidR="00D708EC" w:rsidRDefault="00000000">
      <w:pPr>
        <w:ind w:left="360"/>
        <w:rPr>
          <w:rFonts w:hint="eastAsia"/>
        </w:rPr>
      </w:pPr>
      <w:r>
        <w:rPr>
          <w:color w:val="37474F"/>
        </w:rPr>
        <w:t>•</w:t>
      </w:r>
      <w:r>
        <w:t>MRF Sub-Funds (particularly MRF-Health and MRF-Housing) allocate priority funding to areas certified as UXO-cleared by UNMAS.</w:t>
      </w:r>
    </w:p>
    <w:p w14:paraId="420CF64B" w14:textId="77777777" w:rsidR="00D708EC" w:rsidRDefault="00000000">
      <w:pPr>
        <w:ind w:left="360"/>
        <w:rPr>
          <w:rFonts w:hint="eastAsia"/>
        </w:rPr>
      </w:pPr>
      <w:r>
        <w:rPr>
          <w:color w:val="37474F"/>
        </w:rPr>
        <w:t>•</w:t>
      </w:r>
      <w:r>
        <w:t>The RSC coordinates programming with the UN Resident Coordinator in Tehran to ensure MRF reconstruction aligns with UN stabilization priorities.</w:t>
      </w:r>
    </w:p>
    <w:p w14:paraId="06517850" w14:textId="77777777" w:rsidR="00D708EC" w:rsidRDefault="00000000">
      <w:pPr>
        <w:rPr>
          <w:rFonts w:hint="eastAsia"/>
        </w:rPr>
      </w:pPr>
      <w:r>
        <w:t>The RSC estimates UN Peacebuilding and Mine Action funding at approximately $1 billion over the reconstruction period. This funding is distinct from MRF capital and flows through established UN grant mechanisms.</w:t>
      </w:r>
    </w:p>
    <w:p w14:paraId="7E813919" w14:textId="77777777" w:rsidR="00D708EC" w:rsidRDefault="00000000">
      <w:pPr>
        <w:pStyle w:val="Heading3"/>
        <w:rPr>
          <w:rFonts w:hint="eastAsia"/>
        </w:rPr>
      </w:pPr>
      <w:r>
        <w:t>6.4 Carbon Credit Pre-Financing Facility</w:t>
      </w:r>
    </w:p>
    <w:p w14:paraId="3E788272" w14:textId="77777777" w:rsidR="00D708EC" w:rsidRDefault="00000000">
      <w:pPr>
        <w:rPr>
          <w:rFonts w:hint="eastAsia"/>
        </w:rPr>
      </w:pPr>
      <w:r>
        <w:t>The MRF establishes a Carbon Credit Pre-Financing Facility (CCPF) under Article 6 of the Paris Agreement. Iran possesses immense potential for solar, wind, and hydroelectric energy generation. Under the CCPF, Iran sells internationally transferable mitigation outcomes (ITMOs) to GCC states, European buyers, and other nations seeking to meet their Nationally Determined Contributions (NDCs).</w:t>
      </w:r>
    </w:p>
    <w:p w14:paraId="30312DC0" w14:textId="77777777" w:rsidR="00D708EC" w:rsidRDefault="00000000">
      <w:pPr>
        <w:rPr>
          <w:rFonts w:hint="eastAsia"/>
        </w:rPr>
      </w:pPr>
      <w:r>
        <w:t>The CCPF operates as follows: (1) The RSC registers MRF renewable energy projects with the UN Framework Convention on Climate Change (UNFCCC) Secretariat, (2) An independent verification body (e.g., Verra, Gold Standard) certifies the carbon mitigation output of each project, (3) The RSC sells forward carbon credits to pre-approved buyers at a contracted price, (4) Proceeds from carbon credit sales flow directly into the MRF-Energy Sub-Fund, (5) Buyers receive verified carbon credits upon project commissioning.</w:t>
      </w:r>
    </w:p>
    <w:p w14:paraId="69B4EC86" w14:textId="77777777" w:rsidR="00D708EC" w:rsidRDefault="00000000">
      <w:pPr>
        <w:rPr>
          <w:rFonts w:hint="eastAsia"/>
        </w:rPr>
      </w:pPr>
      <w:r>
        <w:t>The CCPF targets $2-5 billion in pre-financing over the 10-year reconstruction period. GCC states with high per-capita emissions and ambitious net-zero targets are the primary buyers. The CCPF is administered by a dedicated Carbon Finance Desk within the RSC secretariat.</w:t>
      </w:r>
    </w:p>
    <w:p w14:paraId="5CE2BF59" w14:textId="77777777" w:rsidR="00D708EC" w:rsidRDefault="00000000">
      <w:pPr>
        <w:pStyle w:val="Heading2"/>
        <w:rPr>
          <w:rFonts w:hint="eastAsia"/>
        </w:rPr>
      </w:pPr>
      <w:bookmarkStart w:id="164" w:name="_Toc237663678"/>
      <w:r>
        <w:t>Article 7: Duration and Supersession</w:t>
      </w:r>
      <w:bookmarkEnd w:id="164"/>
    </w:p>
    <w:p w14:paraId="01D39E0A" w14:textId="77777777" w:rsidR="00D708EC" w:rsidRDefault="00000000">
      <w:pPr>
        <w:pStyle w:val="Heading3"/>
        <w:rPr>
          <w:rFonts w:hint="eastAsia"/>
        </w:rPr>
      </w:pPr>
      <w:r>
        <w:t>7.1 Initial 60-Day Period</w:t>
      </w:r>
    </w:p>
    <w:p w14:paraId="2E629DE8" w14:textId="77777777" w:rsidR="00D708EC" w:rsidRDefault="00000000">
      <w:pPr>
        <w:rPr>
          <w:rFonts w:hint="eastAsia"/>
        </w:rPr>
      </w:pPr>
      <w:r>
        <w:t>The MRF operates initially as a 60-day stabilization mechanism, during which:</w:t>
      </w:r>
    </w:p>
    <w:p w14:paraId="18509092" w14:textId="77777777" w:rsidR="00D708EC" w:rsidRDefault="00000000">
      <w:pPr>
        <w:ind w:left="360"/>
        <w:rPr>
          <w:rFonts w:hint="eastAsia"/>
        </w:rPr>
      </w:pPr>
      <w:r>
        <w:rPr>
          <w:color w:val="37474F"/>
        </w:rPr>
        <w:t>•</w:t>
      </w:r>
      <w:r>
        <w:t>Sub-Funds are established and capitalized</w:t>
      </w:r>
    </w:p>
    <w:p w14:paraId="65C6FFDD" w14:textId="77777777" w:rsidR="00D708EC" w:rsidRDefault="00000000">
      <w:pPr>
        <w:ind w:left="360"/>
        <w:rPr>
          <w:rFonts w:hint="eastAsia"/>
        </w:rPr>
      </w:pPr>
      <w:r>
        <w:rPr>
          <w:color w:val="37474F"/>
        </w:rPr>
        <w:lastRenderedPageBreak/>
        <w:t>•</w:t>
      </w:r>
      <w:r>
        <w:t>Iran submits initial Project Proposals</w:t>
      </w:r>
    </w:p>
    <w:p w14:paraId="1E529E6C" w14:textId="77777777" w:rsidR="00D708EC" w:rsidRDefault="00000000">
      <w:pPr>
        <w:ind w:left="360"/>
        <w:rPr>
          <w:rFonts w:hint="eastAsia"/>
        </w:rPr>
      </w:pPr>
      <w:r>
        <w:rPr>
          <w:color w:val="37474F"/>
        </w:rPr>
        <w:t>•</w:t>
      </w:r>
      <w:r>
        <w:t>The RSC conducts its first meetings</w:t>
      </w:r>
    </w:p>
    <w:p w14:paraId="6294669B" w14:textId="77777777" w:rsidR="00D708EC" w:rsidRDefault="00000000">
      <w:pPr>
        <w:ind w:left="360"/>
        <w:rPr>
          <w:rFonts w:hint="eastAsia"/>
        </w:rPr>
      </w:pPr>
      <w:r>
        <w:rPr>
          <w:color w:val="37474F"/>
        </w:rPr>
        <w:t>•</w:t>
      </w:r>
      <w:r>
        <w:t>Technical teams deploy to assess priority projects</w:t>
      </w:r>
    </w:p>
    <w:p w14:paraId="72312C2F" w14:textId="77777777" w:rsidR="00D708EC" w:rsidRDefault="00000000">
      <w:pPr>
        <w:pStyle w:val="Heading3"/>
        <w:rPr>
          <w:rFonts w:hint="eastAsia"/>
        </w:rPr>
      </w:pPr>
      <w:r>
        <w:t>7.1.1 Automatic Review at Day 60</w:t>
      </w:r>
    </w:p>
    <w:p w14:paraId="63790C25" w14:textId="77777777" w:rsidR="00D708EC" w:rsidRDefault="00000000">
      <w:pPr>
        <w:rPr>
          <w:rFonts w:hint="eastAsia"/>
        </w:rPr>
      </w:pPr>
      <w:r>
        <w:t>On the sixtieth day following entry into force of this Annex, the RSC convenes automatically for a formal Progress Assessment Session. This session is mandatory; failure to convene constitutes a procedural Tier-1 matter under Annex T. The RSC:</w:t>
      </w:r>
    </w:p>
    <w:p w14:paraId="35D3D80F" w14:textId="77777777" w:rsidR="00D708EC" w:rsidRDefault="00000000">
      <w:pPr>
        <w:ind w:left="360"/>
        <w:rPr>
          <w:rFonts w:hint="eastAsia"/>
        </w:rPr>
      </w:pPr>
      <w:r>
        <w:rPr>
          <w:color w:val="37474F"/>
        </w:rPr>
        <w:t>•</w:t>
      </w:r>
      <w:r>
        <w:t>Reviews Sub-Fund capitalization status and deposit confirmations</w:t>
      </w:r>
    </w:p>
    <w:p w14:paraId="1B149184" w14:textId="77777777" w:rsidR="00D708EC" w:rsidRDefault="00000000">
      <w:pPr>
        <w:ind w:left="360"/>
        <w:rPr>
          <w:rFonts w:hint="eastAsia"/>
        </w:rPr>
      </w:pPr>
      <w:r>
        <w:rPr>
          <w:color w:val="37474F"/>
        </w:rPr>
        <w:t>•</w:t>
      </w:r>
      <w:r>
        <w:t>Evaluates the status of all submitted Project Proposals</w:t>
      </w:r>
    </w:p>
    <w:p w14:paraId="7F1F352A" w14:textId="77777777" w:rsidR="00D708EC" w:rsidRDefault="00000000">
      <w:pPr>
        <w:ind w:left="360"/>
        <w:rPr>
          <w:rFonts w:hint="eastAsia"/>
        </w:rPr>
      </w:pPr>
      <w:r>
        <w:rPr>
          <w:color w:val="37474F"/>
        </w:rPr>
        <w:t>•</w:t>
      </w:r>
      <w:r>
        <w:t>Assesses milestone completion rates against the Article 4 disbursement schedule</w:t>
      </w:r>
    </w:p>
    <w:p w14:paraId="6B477FA5" w14:textId="77777777" w:rsidR="00D708EC" w:rsidRDefault="00000000">
      <w:pPr>
        <w:ind w:left="360"/>
        <w:rPr>
          <w:rFonts w:hint="eastAsia"/>
        </w:rPr>
      </w:pPr>
      <w:r>
        <w:rPr>
          <w:color w:val="37474F"/>
        </w:rPr>
        <w:t>•</w:t>
      </w:r>
      <w:r>
        <w:t>Issues a written Progress Assessment Report with one of the following recommendations: (a) extension to Phase II by consensus; (b) activation of Deficit Recovery Protocol under Annex T; or (c) technical consultation to address specific impediments</w:t>
      </w:r>
    </w:p>
    <w:p w14:paraId="30F8D2A8" w14:textId="77777777" w:rsidR="00D708EC" w:rsidRDefault="00000000">
      <w:pPr>
        <w:rPr>
          <w:rFonts w:hint="eastAsia"/>
        </w:rPr>
      </w:pPr>
      <w:r>
        <w:t>The RSC transmits the Progress Assessment Report to all Parties within 72 hours of the Day 60 session. Either Party requests an emergency RSC consultation within 14 days of report issuance if it disagrees with the recommendation. Absent such request, the recommendation takes effect automatically.</w:t>
      </w:r>
    </w:p>
    <w:p w14:paraId="54B6384B" w14:textId="77777777" w:rsidR="00D708EC" w:rsidRDefault="00000000">
      <w:pPr>
        <w:pStyle w:val="Heading3"/>
        <w:rPr>
          <w:rFonts w:hint="eastAsia"/>
        </w:rPr>
      </w:pPr>
      <w:r>
        <w:t>7.1.2 Drift Prevention</w:t>
      </w:r>
    </w:p>
    <w:p w14:paraId="6D9A771A" w14:textId="77777777" w:rsidR="00D708EC" w:rsidRDefault="00000000">
      <w:pPr>
        <w:rPr>
          <w:rFonts w:hint="eastAsia"/>
        </w:rPr>
      </w:pPr>
      <w:r>
        <w:t>The framework architecture excludes procedural drift. If the Day 60 review identifies a material impediment to Sub-Fund capitalization or project deployment, the RSC activates the following sequence:</w:t>
      </w:r>
    </w:p>
    <w:p w14:paraId="59D802D3" w14:textId="77777777" w:rsidR="00D708EC" w:rsidRDefault="00000000">
      <w:pPr>
        <w:ind w:left="360"/>
        <w:rPr>
          <w:rFonts w:hint="eastAsia"/>
        </w:rPr>
      </w:pPr>
      <w:r>
        <w:rPr>
          <w:color w:val="37474F"/>
        </w:rPr>
        <w:t>•</w:t>
      </w:r>
      <w:r>
        <w:t>The impediment is classified by severity under the Annex T tier system</w:t>
      </w:r>
    </w:p>
    <w:p w14:paraId="4EF14586" w14:textId="77777777" w:rsidR="00D708EC" w:rsidRDefault="00000000">
      <w:pPr>
        <w:ind w:left="360"/>
        <w:rPr>
          <w:rFonts w:hint="eastAsia"/>
        </w:rPr>
      </w:pPr>
      <w:r>
        <w:rPr>
          <w:color w:val="37474F"/>
        </w:rPr>
        <w:t>•</w:t>
      </w:r>
      <w:r>
        <w:t>The RSC assigns a remediation timeline not exceeding 30 days</w:t>
      </w:r>
    </w:p>
    <w:p w14:paraId="1904FC99" w14:textId="77777777" w:rsidR="00D708EC" w:rsidRDefault="00000000">
      <w:pPr>
        <w:ind w:left="360"/>
        <w:rPr>
          <w:rFonts w:hint="eastAsia"/>
        </w:rPr>
      </w:pPr>
      <w:r>
        <w:rPr>
          <w:color w:val="37474F"/>
        </w:rPr>
        <w:t>•</w:t>
      </w:r>
      <w:r>
        <w:t>If remediation fails, the affected Sub-Fund enters a hold status; all other Sub-Funds continue operating without interruption</w:t>
      </w:r>
    </w:p>
    <w:p w14:paraId="6F5B4808" w14:textId="77777777" w:rsidR="00D708EC" w:rsidRDefault="00000000">
      <w:pPr>
        <w:ind w:left="360"/>
        <w:rPr>
          <w:rFonts w:hint="eastAsia"/>
        </w:rPr>
      </w:pPr>
      <w:r>
        <w:rPr>
          <w:color w:val="37474F"/>
        </w:rPr>
        <w:t>•</w:t>
      </w:r>
      <w:r>
        <w:t>The RSC convenes a second review within 15 days of the remediation deadline</w:t>
      </w:r>
    </w:p>
    <w:p w14:paraId="1BE73B91" w14:textId="77777777" w:rsidR="00D708EC" w:rsidRDefault="00000000">
      <w:pPr>
        <w:pStyle w:val="Heading3"/>
        <w:rPr>
          <w:rFonts w:hint="eastAsia"/>
        </w:rPr>
      </w:pPr>
      <w:r>
        <w:t>7.2 Transition to Phase II</w:t>
      </w:r>
    </w:p>
    <w:p w14:paraId="10E4E971" w14:textId="77777777" w:rsidR="00D708EC" w:rsidRDefault="00000000">
      <w:pPr>
        <w:rPr>
          <w:rFonts w:hint="eastAsia"/>
        </w:rPr>
      </w:pPr>
      <w:r>
        <w:t>Upon expiration of the 60-day period, the Parties transition to Phase II (full execution) by mutual consent. Phase II operates on the 180-day verification schedule outlined in Article 4.</w:t>
      </w:r>
    </w:p>
    <w:p w14:paraId="38DC5DA2" w14:textId="77777777" w:rsidR="00D708EC" w:rsidRDefault="00000000">
      <w:pPr>
        <w:pStyle w:val="Heading3"/>
        <w:rPr>
          <w:rFonts w:hint="eastAsia"/>
        </w:rPr>
      </w:pPr>
      <w:r>
        <w:t>7.3 Supersession</w:t>
      </w:r>
    </w:p>
    <w:p w14:paraId="7900D18F" w14:textId="77777777" w:rsidR="00D708EC" w:rsidRDefault="00000000">
      <w:pPr>
        <w:rPr>
          <w:rFonts w:hint="eastAsia"/>
        </w:rPr>
      </w:pPr>
      <w:r>
        <w:t>The MRF is automatically superseded upon entry into force of any subsequent comprehensive agreement that addresses reconstruction financing with equivalent or greater protections for Iran.</w:t>
      </w:r>
    </w:p>
    <w:p w14:paraId="2F74669E" w14:textId="77777777" w:rsidR="00D708EC" w:rsidRDefault="00000000">
      <w:pPr>
        <w:pStyle w:val="Heading2"/>
        <w:rPr>
          <w:rFonts w:hint="eastAsia"/>
        </w:rPr>
      </w:pPr>
      <w:bookmarkStart w:id="165" w:name="_Toc237663679"/>
      <w:r>
        <w:lastRenderedPageBreak/>
        <w:t>Article 8: Sovereign Procurement and Non-Directed Purchasing</w:t>
      </w:r>
      <w:bookmarkEnd w:id="165"/>
    </w:p>
    <w:p w14:paraId="1F91850E" w14:textId="77777777" w:rsidR="00D708EC" w:rsidRDefault="00000000">
      <w:pPr>
        <w:pStyle w:val="Heading3"/>
        <w:rPr>
          <w:rFonts w:hint="eastAsia"/>
        </w:rPr>
      </w:pPr>
      <w:r>
        <w:t>8.1 No Obligation to Purchase from Any Particular Country</w:t>
      </w:r>
    </w:p>
    <w:p w14:paraId="2CAA32C5" w14:textId="77777777" w:rsidR="00D708EC" w:rsidRDefault="00000000">
      <w:pPr>
        <w:rPr>
          <w:rFonts w:hint="eastAsia"/>
        </w:rPr>
      </w:pPr>
      <w:r>
        <w:t>The Islamic Republic of Iran is under no obligation, express or implied, to purchase agricultural products, food commodities, medical supplies, industrial equipment, or any other goods or services from the United States, its farmers, its corporations, its nationals, or from any other country, entity, or commercial channel. This Annex establishes no condition, restriction, or preference requiring MRF funds to be spent in any particular country, currency, or commercial channel.</w:t>
      </w:r>
    </w:p>
    <w:p w14:paraId="186A6A63" w14:textId="77777777" w:rsidR="00D708EC" w:rsidRDefault="00000000">
      <w:pPr>
        <w:rPr>
          <w:rFonts w:hint="eastAsia"/>
        </w:rPr>
      </w:pPr>
      <w:r>
        <w:t>For the avoidance of doubt:</w:t>
      </w:r>
    </w:p>
    <w:p w14:paraId="458021FE" w14:textId="77777777" w:rsidR="00D708EC" w:rsidRDefault="00000000">
      <w:pPr>
        <w:ind w:left="360"/>
        <w:rPr>
          <w:rFonts w:hint="eastAsia"/>
        </w:rPr>
      </w:pPr>
      <w:r>
        <w:rPr>
          <w:color w:val="37474F"/>
        </w:rPr>
        <w:t>•</w:t>
      </w:r>
      <w:r>
        <w:t>Iran retains the full sovereign right to procure goods and services from any country of its choosing, including but not limited to China, Russia, the European Union, Turkey, India, Brazil, Argentina, or any other nation with which Iran maintains commercial relations</w:t>
      </w:r>
    </w:p>
    <w:p w14:paraId="5FA4F8CB" w14:textId="77777777" w:rsidR="00D708EC" w:rsidRDefault="00000000">
      <w:pPr>
        <w:ind w:left="360"/>
        <w:rPr>
          <w:rFonts w:hint="eastAsia"/>
        </w:rPr>
      </w:pPr>
      <w:r>
        <w:rPr>
          <w:color w:val="37474F"/>
        </w:rPr>
        <w:t>•</w:t>
      </w:r>
      <w:r>
        <w:t>Iran retains the full sovereign right to use MRF funds for any purpose consistent with its national interests and applicable international law</w:t>
      </w:r>
    </w:p>
    <w:p w14:paraId="56E976AF" w14:textId="77777777" w:rsidR="00D708EC" w:rsidRDefault="00000000">
      <w:pPr>
        <w:ind w:left="360"/>
        <w:rPr>
          <w:rFonts w:hint="eastAsia"/>
        </w:rPr>
      </w:pPr>
      <w:r>
        <w:rPr>
          <w:color w:val="37474F"/>
        </w:rPr>
        <w:t>•</w:t>
      </w:r>
      <w:r>
        <w:t>The United States holds no approval authority over Iranian procurement decisions</w:t>
      </w:r>
    </w:p>
    <w:p w14:paraId="557B09D7" w14:textId="77777777" w:rsidR="00D708EC" w:rsidRDefault="00000000">
      <w:pPr>
        <w:ind w:left="360"/>
        <w:rPr>
          <w:rFonts w:hint="eastAsia"/>
        </w:rPr>
      </w:pPr>
      <w:r>
        <w:rPr>
          <w:color w:val="37474F"/>
        </w:rPr>
        <w:t>•</w:t>
      </w:r>
      <w:r>
        <w:t>The RSC holds no approval authority over Iranian procurement decisions</w:t>
      </w:r>
    </w:p>
    <w:p w14:paraId="6C355704" w14:textId="77777777" w:rsidR="00D708EC" w:rsidRDefault="00000000">
      <w:pPr>
        <w:ind w:left="360"/>
        <w:rPr>
          <w:rFonts w:hint="eastAsia"/>
        </w:rPr>
      </w:pPr>
      <w:r>
        <w:rPr>
          <w:color w:val="37474F"/>
        </w:rPr>
        <w:t>•</w:t>
      </w:r>
      <w:r>
        <w:t>The Escrow Agent holds no approval authority over Iranian procurement decisions</w:t>
      </w:r>
    </w:p>
    <w:p w14:paraId="55583375" w14:textId="77777777" w:rsidR="00D708EC" w:rsidRDefault="00000000">
      <w:pPr>
        <w:pStyle w:val="Heading3"/>
        <w:rPr>
          <w:rFonts w:hint="eastAsia"/>
        </w:rPr>
      </w:pPr>
      <w:r>
        <w:t>8.2 Central Bank Statement Affirmation</w:t>
      </w:r>
    </w:p>
    <w:p w14:paraId="33BAE4D9" w14:textId="77777777" w:rsidR="00D708EC" w:rsidRDefault="00000000">
      <w:pPr>
        <w:rPr>
          <w:rFonts w:hint="eastAsia"/>
        </w:rPr>
      </w:pPr>
      <w:r>
        <w:t>The Parties affirm and acknowledge the public statement of the Governor of the Central Bank of Iran that the memorandums signed between the Parties create no obligation to purchase agricultural inputs or any other goods from the United States. This Annex incorporates that clarification as a binding interpretive understanding.</w:t>
      </w:r>
    </w:p>
    <w:p w14:paraId="23EA2E67" w14:textId="77777777" w:rsidR="00D708EC" w:rsidRDefault="00000000">
      <w:pPr>
        <w:pStyle w:val="Heading3"/>
        <w:rPr>
          <w:rFonts w:hint="eastAsia"/>
        </w:rPr>
      </w:pPr>
      <w:r>
        <w:t>8.3 No Unilateral Oversight</w:t>
      </w:r>
    </w:p>
    <w:p w14:paraId="6A02E987" w14:textId="77777777" w:rsidR="00D708EC" w:rsidRDefault="00000000">
      <w:pPr>
        <w:rPr>
          <w:rFonts w:hint="eastAsia"/>
        </w:rPr>
      </w:pPr>
      <w:r>
        <w:t>No Party or third party exercises approval authority, veto power, oversight jurisdiction, or any other form of control over Iran's use of MRF funds, except as expressly provided in this Annex for verification and audit purposes (Article 4). All audit and verification functions are limited to confirming milestone completion; they do not extend to approving or disapproving procurement decisions.</w:t>
      </w:r>
    </w:p>
    <w:p w14:paraId="0CC5BE28" w14:textId="77777777" w:rsidR="00D708EC" w:rsidRDefault="00000000">
      <w:pPr>
        <w:pStyle w:val="Heading3"/>
        <w:rPr>
          <w:rFonts w:hint="eastAsia"/>
        </w:rPr>
      </w:pPr>
      <w:r>
        <w:t>8.4 Non-Derogation</w:t>
      </w:r>
    </w:p>
    <w:p w14:paraId="191CBD68" w14:textId="77777777" w:rsidR="00D708EC" w:rsidRDefault="00000000">
      <w:pPr>
        <w:rPr>
          <w:rFonts w:hint="eastAsia"/>
        </w:rPr>
      </w:pPr>
      <w:r>
        <w:t>Nothing in this Article is construed to:</w:t>
      </w:r>
    </w:p>
    <w:p w14:paraId="7E9AED15" w14:textId="77777777" w:rsidR="00D708EC" w:rsidRDefault="00000000">
      <w:pPr>
        <w:ind w:left="360"/>
        <w:rPr>
          <w:rFonts w:hint="eastAsia"/>
        </w:rPr>
      </w:pPr>
      <w:r>
        <w:rPr>
          <w:color w:val="37474F"/>
        </w:rPr>
        <w:t>•</w:t>
      </w:r>
      <w:r>
        <w:t>Impair Iran's sovereign right to manage its economy and fiscal policy</w:t>
      </w:r>
    </w:p>
    <w:p w14:paraId="18864893" w14:textId="77777777" w:rsidR="00D708EC" w:rsidRDefault="00000000">
      <w:pPr>
        <w:ind w:left="360"/>
        <w:rPr>
          <w:rFonts w:hint="eastAsia"/>
        </w:rPr>
      </w:pPr>
      <w:r>
        <w:rPr>
          <w:color w:val="37474F"/>
        </w:rPr>
        <w:t>•</w:t>
      </w:r>
      <w:r>
        <w:t>Grant the United States or any other country preferential commercial access to the Iranian market</w:t>
      </w:r>
    </w:p>
    <w:p w14:paraId="729AF250" w14:textId="77777777" w:rsidR="00D708EC" w:rsidRDefault="00000000">
      <w:pPr>
        <w:ind w:left="360"/>
        <w:rPr>
          <w:rFonts w:hint="eastAsia"/>
        </w:rPr>
      </w:pPr>
      <w:r>
        <w:rPr>
          <w:color w:val="37474F"/>
        </w:rPr>
        <w:t>•</w:t>
      </w:r>
      <w:r>
        <w:t>Establish any precedent for future trade or investment agreements</w:t>
      </w:r>
    </w:p>
    <w:p w14:paraId="3D4EC8C5" w14:textId="77777777" w:rsidR="00D708EC" w:rsidRDefault="00000000">
      <w:pPr>
        <w:ind w:left="360"/>
        <w:rPr>
          <w:rFonts w:hint="eastAsia"/>
        </w:rPr>
      </w:pPr>
      <w:r>
        <w:rPr>
          <w:color w:val="37474F"/>
        </w:rPr>
        <w:lastRenderedPageBreak/>
        <w:t>•</w:t>
      </w:r>
      <w:r>
        <w:t>Affect Iran's rights under the World Trade Organization or other international trade instruments</w:t>
      </w:r>
    </w:p>
    <w:p w14:paraId="12790204" w14:textId="77777777" w:rsidR="00D708EC" w:rsidRDefault="00000000">
      <w:pPr>
        <w:ind w:left="360"/>
        <w:rPr>
          <w:rFonts w:hint="eastAsia"/>
        </w:rPr>
      </w:pPr>
      <w:r>
        <w:rPr>
          <w:color w:val="37474F"/>
        </w:rPr>
        <w:t>•</w:t>
      </w:r>
      <w:r>
        <w:t>Require Iran to accept any bilateral trade conditions not explicitly agreed in writing</w:t>
      </w:r>
    </w:p>
    <w:p w14:paraId="474EFBC4" w14:textId="77777777" w:rsidR="00D708EC" w:rsidRDefault="00000000">
      <w:pPr>
        <w:pStyle w:val="Heading3"/>
        <w:rPr>
          <w:rFonts w:hint="eastAsia"/>
        </w:rPr>
      </w:pPr>
      <w:r>
        <w:t>8.5 Clarification Regarding Annex ES Pool A Priority Consideration</w:t>
      </w:r>
    </w:p>
    <w:p w14:paraId="3C1D5D67" w14:textId="77777777" w:rsidR="00D708EC" w:rsidRDefault="00000000">
      <w:pPr>
        <w:rPr>
          <w:rFonts w:hint="eastAsia"/>
        </w:rPr>
      </w:pPr>
      <w:r>
        <w:t>Nothing in this Article affects or supersedes the Priority Consideration provisions applicable to Pool A of Annex ES. The provisions of this Article apply to MRF funds only and do not extend to funds released under Annex ES.</w:t>
      </w:r>
    </w:p>
    <w:p w14:paraId="4D951208" w14:textId="77777777" w:rsidR="00D708EC" w:rsidRDefault="00000000">
      <w:pPr>
        <w:pStyle w:val="Heading3"/>
        <w:rPr>
          <w:rFonts w:hint="eastAsia"/>
        </w:rPr>
      </w:pPr>
      <w:r>
        <w:t>8.6 Severability and Supremacy</w:t>
      </w:r>
    </w:p>
    <w:p w14:paraId="6AE1A009" w14:textId="77777777" w:rsidR="00D708EC" w:rsidRDefault="00000000">
      <w:pPr>
        <w:rPr>
          <w:rFonts w:hint="eastAsia"/>
        </w:rPr>
      </w:pPr>
      <w:r>
        <w:t>In the event of any conflict between this Article and any public statement, diplomatic assurance, press release, or political declaration by either Party or their representatives, the operative text of this Annex governs. No unilateral statement by any official creates a legally binding obligation on Iran.</w:t>
      </w:r>
    </w:p>
    <w:p w14:paraId="6CC55F05" w14:textId="77777777" w:rsidR="00D708EC" w:rsidRDefault="00000000">
      <w:pPr>
        <w:rPr>
          <w:rFonts w:hint="eastAsia"/>
        </w:rPr>
      </w:pPr>
      <w:r>
        <w:t>Status of Appendices: Unless expressly incorporated into an operative Article, the appendices are explanatory and administrative in nature. They support implementation, and the organs of this Protocol update them to reflect changes in contributors, institutions, financing mechanisms, or implementation arrangements without altering the legal obligations established by the Articles of this Protocol.</w:t>
      </w:r>
    </w:p>
    <w:p w14:paraId="6ADB366E" w14:textId="77777777" w:rsidR="00D708EC" w:rsidRDefault="00000000">
      <w:pPr>
        <w:pStyle w:val="Heading2"/>
        <w:rPr>
          <w:rFonts w:hint="eastAsia"/>
        </w:rPr>
      </w:pPr>
      <w:bookmarkStart w:id="166" w:name="_Toc237663680"/>
      <w:r>
        <w:t>Appendix A: Capital Contributor Registry</w:t>
      </w:r>
      <w:bookmarkEnd w:id="166"/>
    </w:p>
    <w:p w14:paraId="76C3FE49" w14:textId="77777777" w:rsidR="00D708EC" w:rsidRDefault="00000000">
      <w:pPr>
        <w:rPr>
          <w:rFonts w:hint="eastAsia"/>
        </w:rPr>
      </w:pPr>
      <w:r>
        <w:t>This Appendix catalogs confirmed and prospective contributors to the MRF, organized by tier and sector focus.</w:t>
      </w:r>
    </w:p>
    <w:p w14:paraId="57FF3F1D" w14:textId="77777777" w:rsidR="00D708EC" w:rsidRDefault="00000000">
      <w:pPr>
        <w:pStyle w:val="Heading3"/>
        <w:rPr>
          <w:rFonts w:hint="eastAsia"/>
        </w:rPr>
      </w:pPr>
      <w:r>
        <w:t>A.1 Anchor Contributors</w:t>
      </w:r>
    </w:p>
    <w:p w14:paraId="76251A77" w14:textId="77777777" w:rsidR="00D708EC" w:rsidRDefault="00000000">
      <w:pPr>
        <w:pStyle w:val="Heading3"/>
        <w:rPr>
          <w:rFonts w:hint="eastAsia"/>
        </w:rPr>
      </w:pPr>
      <w:r>
        <w:t>A.1.1 Qatar Investment Authority (QIA)</w:t>
      </w:r>
    </w:p>
    <w:p w14:paraId="08754CC2" w14:textId="77777777" w:rsidR="00D708EC" w:rsidRDefault="00000000">
      <w:pPr>
        <w:rPr>
          <w:rFonts w:hint="eastAsia"/>
        </w:rPr>
      </w:pPr>
      <w:r>
        <w:t>Commitment: $15 billion across all Sub-Funds. Focus: Energy, Water, Healthcare. Mechanism: Direct deposit to Qatar Central Bank escrow. Timeline: $5B within 60 days; remainder over 24 months.</w:t>
      </w:r>
    </w:p>
    <w:p w14:paraId="170E55F7" w14:textId="77777777" w:rsidR="00D708EC" w:rsidRDefault="00000000">
      <w:pPr>
        <w:pStyle w:val="Heading3"/>
        <w:rPr>
          <w:rFonts w:hint="eastAsia"/>
        </w:rPr>
      </w:pPr>
      <w:r>
        <w:t>A.1.2 Saudi Public Investment Fund (PIF)</w:t>
      </w:r>
    </w:p>
    <w:p w14:paraId="1C04B402" w14:textId="77777777" w:rsidR="00D708EC" w:rsidRDefault="00000000">
      <w:pPr>
        <w:rPr>
          <w:rFonts w:hint="eastAsia"/>
        </w:rPr>
      </w:pPr>
      <w:r>
        <w:t>Commitment: $10 billion. Focus: Energy, Transport, Housing. Mechanism: Structured through Saudi-Iranian bilateral reconstruction committee. Timeline: $3B within 90 days.</w:t>
      </w:r>
    </w:p>
    <w:p w14:paraId="7B7A6AF1" w14:textId="77777777" w:rsidR="00D708EC" w:rsidRDefault="00000000">
      <w:pPr>
        <w:pStyle w:val="Heading3"/>
        <w:rPr>
          <w:rFonts w:hint="eastAsia"/>
        </w:rPr>
      </w:pPr>
      <w:r>
        <w:t>A.1.3 UAE Abu Dhabi Investment Authority (ADIA)</w:t>
      </w:r>
    </w:p>
    <w:p w14:paraId="2265A4ED" w14:textId="77777777" w:rsidR="00D708EC" w:rsidRDefault="00000000">
      <w:pPr>
        <w:rPr>
          <w:rFonts w:hint="eastAsia"/>
        </w:rPr>
      </w:pPr>
      <w:r>
        <w:t>Commitment: $8 billion. Focus: Transport, Energy. Mechanism: Direct deposit through UAE Central Bank coordination. Timeline: $2B within 60 days.</w:t>
      </w:r>
    </w:p>
    <w:p w14:paraId="3074D7DD" w14:textId="77777777" w:rsidR="00D708EC" w:rsidRDefault="00000000">
      <w:pPr>
        <w:pStyle w:val="Heading3"/>
        <w:rPr>
          <w:rFonts w:hint="eastAsia"/>
        </w:rPr>
      </w:pPr>
      <w:r>
        <w:lastRenderedPageBreak/>
        <w:t>A.1.4 World Bank</w:t>
      </w:r>
    </w:p>
    <w:p w14:paraId="0D8A02DE" w14:textId="77777777" w:rsidR="00D708EC" w:rsidRDefault="00000000">
      <w:pPr>
        <w:rPr>
          <w:rFonts w:hint="eastAsia"/>
        </w:rPr>
      </w:pPr>
      <w:r>
        <w:t>Commitment: $5 billion in concessional financing. Focus: Water, Education, Agriculture. Mechanism: IDA credits and IBRD loans. Timeline: $1B within 120 days.</w:t>
      </w:r>
    </w:p>
    <w:p w14:paraId="029CC05D" w14:textId="77777777" w:rsidR="00D708EC" w:rsidRDefault="00000000">
      <w:pPr>
        <w:pStyle w:val="Heading3"/>
        <w:rPr>
          <w:rFonts w:hint="eastAsia"/>
        </w:rPr>
      </w:pPr>
      <w:r>
        <w:t>A.1.5 Islamic Development Bank (IsDB)</w:t>
      </w:r>
    </w:p>
    <w:p w14:paraId="528C6EB9" w14:textId="77777777" w:rsidR="00D708EC" w:rsidRDefault="00000000">
      <w:pPr>
        <w:rPr>
          <w:rFonts w:hint="eastAsia"/>
        </w:rPr>
      </w:pPr>
      <w:r>
        <w:t>Commitment: $4 billion. Focus: Healthcare, Education, Housing. Mechanism: Islamic financing instruments (Ijara, Istisna, Mudaraba). Timeline: $1B within 90 days.</w:t>
      </w:r>
    </w:p>
    <w:p w14:paraId="70809F39" w14:textId="77777777" w:rsidR="00D708EC" w:rsidRDefault="00000000">
      <w:pPr>
        <w:pStyle w:val="Heading3"/>
        <w:rPr>
          <w:rFonts w:hint="eastAsia"/>
        </w:rPr>
      </w:pPr>
      <w:r>
        <w:t>A.2 Major Contributors</w:t>
      </w:r>
    </w:p>
    <w:p w14:paraId="116953C2" w14:textId="77777777" w:rsidR="00D708EC" w:rsidRDefault="00000000">
      <w:pPr>
        <w:pStyle w:val="Heading3"/>
        <w:rPr>
          <w:rFonts w:hint="eastAsia"/>
        </w:rPr>
      </w:pPr>
      <w:r>
        <w:t>A.2.1 Asian Infrastructure Investment Bank (AIIB)</w:t>
      </w:r>
    </w:p>
    <w:p w14:paraId="10BEEB4F" w14:textId="77777777" w:rsidR="00D708EC" w:rsidRDefault="00000000">
      <w:pPr>
        <w:rPr>
          <w:rFonts w:hint="eastAsia"/>
        </w:rPr>
      </w:pPr>
      <w:r>
        <w:t>Commitment: $3 billion. Focus: Transport, Energy infrastructure. Mechanism: Sovereign-backed project loans. Timeline: $1B within 180 days.</w:t>
      </w:r>
    </w:p>
    <w:p w14:paraId="0755E129" w14:textId="77777777" w:rsidR="00D708EC" w:rsidRDefault="00000000">
      <w:pPr>
        <w:pStyle w:val="Heading3"/>
        <w:rPr>
          <w:rFonts w:hint="eastAsia"/>
        </w:rPr>
      </w:pPr>
      <w:r>
        <w:t>A.2.2 European Bank for Reconstruction and Development (EBRD)</w:t>
      </w:r>
    </w:p>
    <w:p w14:paraId="04ABA2DC" w14:textId="77777777" w:rsidR="00D708EC" w:rsidRDefault="00000000">
      <w:pPr>
        <w:rPr>
          <w:rFonts w:hint="eastAsia"/>
        </w:rPr>
      </w:pPr>
      <w:r>
        <w:t>Commitment: $2 billion. Focus: Private sector development, SME reconstruction. Mechanism: Direct lending and equity participation. Timeline: $500M within 120 days.</w:t>
      </w:r>
    </w:p>
    <w:p w14:paraId="479397E8" w14:textId="77777777" w:rsidR="00D708EC" w:rsidRDefault="00000000">
      <w:pPr>
        <w:pStyle w:val="Heading3"/>
        <w:rPr>
          <w:rFonts w:hint="eastAsia"/>
        </w:rPr>
      </w:pPr>
      <w:r>
        <w:t>A.2.3 People's Republic of China (via AIIB and bilateral)</w:t>
      </w:r>
    </w:p>
    <w:p w14:paraId="04376BC9" w14:textId="77777777" w:rsidR="00D708EC" w:rsidRDefault="00000000">
      <w:pPr>
        <w:rPr>
          <w:rFonts w:hint="eastAsia"/>
        </w:rPr>
      </w:pPr>
      <w:r>
        <w:t>Commitment: $5 billion. Focus: Transport, Energy, Technology. Mechanism: Belt and Road Initiative coordination plus AIIB lending. Timeline: $2B within 180 days.</w:t>
      </w:r>
    </w:p>
    <w:p w14:paraId="5D2EC2F4" w14:textId="77777777" w:rsidR="00D708EC" w:rsidRDefault="00000000">
      <w:pPr>
        <w:pStyle w:val="Heading3"/>
        <w:rPr>
          <w:rFonts w:hint="eastAsia"/>
        </w:rPr>
      </w:pPr>
      <w:r>
        <w:t>A.2.4 European Union (through EFSD and bilateral)</w:t>
      </w:r>
    </w:p>
    <w:p w14:paraId="65F9E8AC" w14:textId="77777777" w:rsidR="00D708EC" w:rsidRDefault="00000000">
      <w:pPr>
        <w:rPr>
          <w:rFonts w:hint="eastAsia"/>
        </w:rPr>
      </w:pPr>
      <w:r>
        <w:t>Commitment: $2 billion. Focus: Water, Environment, Governance. Mechanism: European Fund for Sustainable Development plus member state bilateral contributions. Timeline: $500M within 180 days.</w:t>
      </w:r>
    </w:p>
    <w:p w14:paraId="3F600D1D" w14:textId="77777777" w:rsidR="00D708EC" w:rsidRDefault="00000000">
      <w:pPr>
        <w:pStyle w:val="Heading3"/>
        <w:rPr>
          <w:rFonts w:hint="eastAsia"/>
        </w:rPr>
      </w:pPr>
      <w:r>
        <w:t>A.2.5 Government of Japan (JICA)</w:t>
      </w:r>
    </w:p>
    <w:p w14:paraId="62E3EA53" w14:textId="77777777" w:rsidR="00D708EC" w:rsidRDefault="00000000">
      <w:pPr>
        <w:rPr>
          <w:rFonts w:hint="eastAsia"/>
        </w:rPr>
      </w:pPr>
      <w:r>
        <w:t>Commitment: $1.5 billion. Focus: Water, Energy efficiency, Disaster resilience. Mechanism: JICA concessional loans and grants. Timeline: $400M within 180 days.</w:t>
      </w:r>
    </w:p>
    <w:p w14:paraId="5CA1555B" w14:textId="77777777" w:rsidR="00D708EC" w:rsidRDefault="00000000">
      <w:pPr>
        <w:pStyle w:val="Heading3"/>
        <w:rPr>
          <w:rFonts w:hint="eastAsia"/>
        </w:rPr>
      </w:pPr>
      <w:r>
        <w:t>A.3 Supporting Contributors</w:t>
      </w:r>
    </w:p>
    <w:p w14:paraId="345470C8" w14:textId="77777777" w:rsidR="00D708EC" w:rsidRDefault="00000000">
      <w:pPr>
        <w:rPr>
          <w:rFonts w:hint="eastAsia"/>
        </w:rPr>
      </w:pPr>
      <w:r>
        <w:t>Supporting contributors include regional pension funds, sovereign-backed insurance entities, and international infrastructure investment funds. Representative participants:</w:t>
      </w:r>
    </w:p>
    <w:p w14:paraId="267771A3" w14:textId="77777777" w:rsidR="00D708EC" w:rsidRDefault="00000000">
      <w:pPr>
        <w:ind w:left="360"/>
        <w:rPr>
          <w:rFonts w:hint="eastAsia"/>
        </w:rPr>
      </w:pPr>
      <w:r>
        <w:rPr>
          <w:color w:val="37474F"/>
        </w:rPr>
        <w:t>•</w:t>
      </w:r>
      <w:r>
        <w:t>GCC Sovereign Pension Funds: Collective commitment of $3 billion across energy and housing sectors</w:t>
      </w:r>
    </w:p>
    <w:p w14:paraId="4F4F50E8" w14:textId="77777777" w:rsidR="00D708EC" w:rsidRDefault="00000000">
      <w:pPr>
        <w:ind w:left="360"/>
        <w:rPr>
          <w:rFonts w:hint="eastAsia"/>
        </w:rPr>
      </w:pPr>
      <w:r>
        <w:rPr>
          <w:color w:val="37474F"/>
        </w:rPr>
        <w:t>•</w:t>
      </w:r>
      <w:r>
        <w:t>Regional Infrastructure Funds: $1.5 billion focused on transport and logistics</w:t>
      </w:r>
    </w:p>
    <w:p w14:paraId="30DFB431" w14:textId="77777777" w:rsidR="00D708EC" w:rsidRDefault="00000000">
      <w:pPr>
        <w:ind w:left="360"/>
        <w:rPr>
          <w:rFonts w:hint="eastAsia"/>
        </w:rPr>
      </w:pPr>
      <w:r>
        <w:rPr>
          <w:color w:val="37474F"/>
        </w:rPr>
        <w:t>•</w:t>
      </w:r>
      <w:r>
        <w:t>International Pension Funds (Norway GPFG, Canadian CPP): $2 billion in green energy and water infrastructure</w:t>
      </w:r>
    </w:p>
    <w:p w14:paraId="11108276" w14:textId="77777777" w:rsidR="00D708EC" w:rsidRDefault="00000000">
      <w:pPr>
        <w:pStyle w:val="Heading3"/>
        <w:rPr>
          <w:rFonts w:hint="eastAsia"/>
        </w:rPr>
      </w:pPr>
      <w:r>
        <w:lastRenderedPageBreak/>
        <w:t>A.4 Humanitarian Contributors</w:t>
      </w:r>
    </w:p>
    <w:p w14:paraId="4169A75C" w14:textId="77777777" w:rsidR="00D708EC" w:rsidRDefault="00000000">
      <w:pPr>
        <w:rPr>
          <w:rFonts w:hint="eastAsia"/>
        </w:rPr>
      </w:pPr>
      <w:r>
        <w:t>Humanitarian contributions target immediate relief and foundational reconstruction:</w:t>
      </w:r>
    </w:p>
    <w:p w14:paraId="0D463AA2" w14:textId="77777777" w:rsidR="00D708EC" w:rsidRDefault="00000000">
      <w:pPr>
        <w:ind w:left="360"/>
        <w:rPr>
          <w:rFonts w:hint="eastAsia"/>
        </w:rPr>
      </w:pPr>
      <w:r>
        <w:rPr>
          <w:color w:val="37474F"/>
        </w:rPr>
        <w:t>•</w:t>
      </w:r>
      <w:r>
        <w:t>UN OCHA: $200 million for emergency infrastructure repair</w:t>
      </w:r>
    </w:p>
    <w:p w14:paraId="5A4413E5" w14:textId="77777777" w:rsidR="00D708EC" w:rsidRDefault="00000000">
      <w:pPr>
        <w:ind w:left="360"/>
        <w:rPr>
          <w:rFonts w:hint="eastAsia"/>
        </w:rPr>
      </w:pPr>
      <w:r>
        <w:rPr>
          <w:color w:val="37474F"/>
        </w:rPr>
        <w:t>•</w:t>
      </w:r>
      <w:r>
        <w:t>WHO: $150 million for healthcare facility rehabilitation</w:t>
      </w:r>
    </w:p>
    <w:p w14:paraId="00BC1721" w14:textId="77777777" w:rsidR="00D708EC" w:rsidRDefault="00000000">
      <w:pPr>
        <w:ind w:left="360"/>
        <w:rPr>
          <w:rFonts w:hint="eastAsia"/>
        </w:rPr>
      </w:pPr>
      <w:r>
        <w:rPr>
          <w:color w:val="37474F"/>
        </w:rPr>
        <w:t>•</w:t>
      </w:r>
      <w:r>
        <w:t>UNICEF: $100 million for education infrastructure and child-protection facilities</w:t>
      </w:r>
    </w:p>
    <w:p w14:paraId="4AD005C9" w14:textId="77777777" w:rsidR="00D708EC" w:rsidRDefault="00000000">
      <w:pPr>
        <w:ind w:left="360"/>
        <w:rPr>
          <w:rFonts w:hint="eastAsia"/>
        </w:rPr>
      </w:pPr>
      <w:r>
        <w:rPr>
          <w:color w:val="37474F"/>
        </w:rPr>
        <w:t>•</w:t>
      </w:r>
      <w:r>
        <w:t>International Committee of the Red Cross: $80 million for medical and water infrastructure</w:t>
      </w:r>
    </w:p>
    <w:p w14:paraId="297ABDB9" w14:textId="77777777" w:rsidR="00D708EC" w:rsidRDefault="00000000">
      <w:pPr>
        <w:ind w:left="360"/>
        <w:rPr>
          <w:rFonts w:hint="eastAsia"/>
        </w:rPr>
      </w:pPr>
      <w:r>
        <w:rPr>
          <w:color w:val="37474F"/>
        </w:rPr>
        <w:t>•</w:t>
      </w:r>
      <w:r>
        <w:t>World Food Programme: $120 million for agricultural restoration and food security</w:t>
      </w:r>
    </w:p>
    <w:p w14:paraId="64CD2F02" w14:textId="77777777" w:rsidR="00D708EC" w:rsidRDefault="00000000">
      <w:pPr>
        <w:pStyle w:val="Heading2"/>
        <w:rPr>
          <w:rFonts w:hint="eastAsia"/>
        </w:rPr>
      </w:pPr>
      <w:bookmarkStart w:id="167" w:name="_Toc237663681"/>
      <w:r>
        <w:t>Appendix B: Regional Development Funds and Grant Programs</w:t>
      </w:r>
      <w:bookmarkEnd w:id="167"/>
    </w:p>
    <w:p w14:paraId="2E914089" w14:textId="77777777" w:rsidR="00D708EC" w:rsidRDefault="00000000">
      <w:pPr>
        <w:rPr>
          <w:rFonts w:hint="eastAsia"/>
        </w:rPr>
      </w:pPr>
      <w:r>
        <w:t>This Appendix identifies regional funds, grant programs, and charitable foundations available for Iranian reconstruction coordination. The MRF secretariat maintains active engagement with each listed entity.</w:t>
      </w:r>
    </w:p>
    <w:p w14:paraId="15659553" w14:textId="77777777" w:rsidR="00D708EC" w:rsidRDefault="00000000">
      <w:pPr>
        <w:pStyle w:val="Heading3"/>
        <w:rPr>
          <w:rFonts w:hint="eastAsia"/>
        </w:rPr>
      </w:pPr>
      <w:r>
        <w:t>B.1 Middle East and North Africa Regional Funds</w:t>
      </w:r>
    </w:p>
    <w:p w14:paraId="751E448D" w14:textId="77777777" w:rsidR="00D708EC" w:rsidRDefault="00000000">
      <w:pPr>
        <w:pStyle w:val="Heading3"/>
        <w:rPr>
          <w:rFonts w:hint="eastAsia"/>
        </w:rPr>
      </w:pPr>
      <w:r>
        <w:t>B.1.1 Arab Fund for Economic and Social Development (AFESD)</w:t>
      </w:r>
    </w:p>
    <w:p w14:paraId="2538C64B" w14:textId="77777777" w:rsidR="00D708EC" w:rsidRDefault="00000000">
      <w:pPr>
        <w:rPr>
          <w:rFonts w:hint="eastAsia"/>
        </w:rPr>
      </w:pPr>
      <w:r>
        <w:t>The AFESD maintains a mandate for reconstruction financing across Arab states. Iran qualifies through regional cooperation frameworks. Potential allocation: $500 million for transport and water infrastructure. Application process: Joint submission through the MRF-RSC with Arab League coordination.</w:t>
      </w:r>
    </w:p>
    <w:p w14:paraId="0E1BE279" w14:textId="77777777" w:rsidR="00D708EC" w:rsidRDefault="00000000">
      <w:pPr>
        <w:pStyle w:val="Heading3"/>
        <w:rPr>
          <w:rFonts w:hint="eastAsia"/>
        </w:rPr>
      </w:pPr>
      <w:r>
        <w:t>B.1.2 OPEC Fund for International Development (OFID)</w:t>
      </w:r>
    </w:p>
    <w:p w14:paraId="5ECBEA69" w14:textId="77777777" w:rsidR="00D708EC" w:rsidRDefault="00000000">
      <w:pPr>
        <w:rPr>
          <w:rFonts w:hint="eastAsia"/>
        </w:rPr>
      </w:pPr>
      <w:r>
        <w:t>OFID provides concessional financing for energy infrastructure and poverty reduction. Iran, as a founding OPEC member, retains full access. Potential allocation: $400 million for energy grid modernization.</w:t>
      </w:r>
    </w:p>
    <w:p w14:paraId="4FECAFA9" w14:textId="77777777" w:rsidR="00D708EC" w:rsidRDefault="00000000">
      <w:pPr>
        <w:pStyle w:val="Heading3"/>
        <w:rPr>
          <w:rFonts w:hint="eastAsia"/>
        </w:rPr>
      </w:pPr>
      <w:r>
        <w:t>B.1.3 Arab Monetary Fund (AMF)</w:t>
      </w:r>
    </w:p>
    <w:p w14:paraId="461BC75A" w14:textId="77777777" w:rsidR="00D708EC" w:rsidRDefault="00000000">
      <w:pPr>
        <w:rPr>
          <w:rFonts w:hint="eastAsia"/>
        </w:rPr>
      </w:pPr>
      <w:r>
        <w:t>The AMF offers balance-of-payments support and structural adjustment financing. Coordination with MRF macroeconomic stabilization: $300 million in complementary financing.</w:t>
      </w:r>
    </w:p>
    <w:p w14:paraId="32BBA32F" w14:textId="77777777" w:rsidR="00D708EC" w:rsidRDefault="00000000">
      <w:pPr>
        <w:pStyle w:val="Heading3"/>
        <w:rPr>
          <w:rFonts w:hint="eastAsia"/>
        </w:rPr>
      </w:pPr>
      <w:r>
        <w:t>B.2 International Grant Programs</w:t>
      </w:r>
    </w:p>
    <w:p w14:paraId="63701398" w14:textId="77777777" w:rsidR="00D708EC" w:rsidRDefault="00000000">
      <w:pPr>
        <w:pStyle w:val="Heading3"/>
        <w:rPr>
          <w:rFonts w:hint="eastAsia"/>
        </w:rPr>
      </w:pPr>
      <w:r>
        <w:t>B.2.1 UN Development Programme (UNDP): Iran Recovery Facility</w:t>
      </w:r>
    </w:p>
    <w:p w14:paraId="5DACA009" w14:textId="77777777" w:rsidR="00D708EC" w:rsidRDefault="00000000">
      <w:pPr>
        <w:rPr>
          <w:rFonts w:hint="eastAsia"/>
        </w:rPr>
      </w:pPr>
      <w:r>
        <w:t>UNDP establishes a dedicated Iran Recovery Facility with $250 million in committed grant financing. Focus: Governance restoration, institutional capacity, rule-of-law infrastructure. Eligibility: Automatic for MRF-approved projects with governance components.</w:t>
      </w:r>
    </w:p>
    <w:p w14:paraId="42844FBD" w14:textId="77777777" w:rsidR="00D708EC" w:rsidRDefault="00000000">
      <w:pPr>
        <w:pStyle w:val="Heading3"/>
        <w:rPr>
          <w:rFonts w:hint="eastAsia"/>
        </w:rPr>
      </w:pPr>
      <w:r>
        <w:lastRenderedPageBreak/>
        <w:t>B.2.2 Global Fund for Disaster Reduction (GFDRR)</w:t>
      </w:r>
    </w:p>
    <w:p w14:paraId="68F3D0A9" w14:textId="77777777" w:rsidR="00D708EC" w:rsidRDefault="00000000">
      <w:pPr>
        <w:rPr>
          <w:rFonts w:hint="eastAsia"/>
        </w:rPr>
      </w:pPr>
      <w:r>
        <w:t>GFDRR provides technical assistance and grant financing for disaster-resilient reconstruction. Iran qualifies under post-conflict reconstruction protocols. Allocation: $50 million in technical grants for earthquake-resistant construction standards.</w:t>
      </w:r>
    </w:p>
    <w:p w14:paraId="6C98DCC7" w14:textId="77777777" w:rsidR="00D708EC" w:rsidRDefault="00000000">
      <w:pPr>
        <w:pStyle w:val="Heading3"/>
        <w:rPr>
          <w:rFonts w:hint="eastAsia"/>
        </w:rPr>
      </w:pPr>
      <w:r>
        <w:t>B.2.3 Green Climate Fund (GCF)</w:t>
      </w:r>
    </w:p>
    <w:p w14:paraId="3F5AA206" w14:textId="77777777" w:rsidR="00D708EC" w:rsidRDefault="00000000">
      <w:pPr>
        <w:rPr>
          <w:rFonts w:hint="eastAsia"/>
        </w:rPr>
      </w:pPr>
      <w:r>
        <w:t>The GCF supports climate-resilient infrastructure in developing countries. Iran qualifies for $200 million in grant and concessional financing for green energy and water efficiency projects.</w:t>
      </w:r>
    </w:p>
    <w:p w14:paraId="13069108" w14:textId="77777777" w:rsidR="00D708EC" w:rsidRDefault="00000000">
      <w:pPr>
        <w:pStyle w:val="Heading3"/>
        <w:rPr>
          <w:rFonts w:hint="eastAsia"/>
        </w:rPr>
      </w:pPr>
      <w:r>
        <w:t>B.3 Charitable and Foundation Sources</w:t>
      </w:r>
    </w:p>
    <w:p w14:paraId="7DF69301" w14:textId="77777777" w:rsidR="00D708EC" w:rsidRDefault="00000000">
      <w:pPr>
        <w:pStyle w:val="Heading3"/>
        <w:rPr>
          <w:rFonts w:hint="eastAsia"/>
        </w:rPr>
      </w:pPr>
      <w:r>
        <w:t>B.3.1 Alwaleed Philanthropies</w:t>
      </w:r>
    </w:p>
    <w:p w14:paraId="777288EB" w14:textId="77777777" w:rsidR="00D708EC" w:rsidRDefault="00000000">
      <w:pPr>
        <w:rPr>
          <w:rFonts w:hint="eastAsia"/>
        </w:rPr>
      </w:pPr>
      <w:r>
        <w:t>Prince Alwaleed's foundation commits $100 million for healthcare and education reconstruction in Iran. Focus: Hospital construction, medical equipment, university rehabilitation.</w:t>
      </w:r>
    </w:p>
    <w:p w14:paraId="7FFB8D70" w14:textId="77777777" w:rsidR="00D708EC" w:rsidRDefault="00000000">
      <w:pPr>
        <w:pStyle w:val="Heading3"/>
        <w:rPr>
          <w:rFonts w:hint="eastAsia"/>
        </w:rPr>
      </w:pPr>
      <w:r>
        <w:t>B.3.2 Mohammed bin Rashid Al Maktoum Foundation</w:t>
      </w:r>
    </w:p>
    <w:p w14:paraId="706DFB71" w14:textId="77777777" w:rsidR="00D708EC" w:rsidRDefault="00000000">
      <w:pPr>
        <w:rPr>
          <w:rFonts w:hint="eastAsia"/>
        </w:rPr>
      </w:pPr>
      <w:r>
        <w:t>The Foundation provides $75 million for education and knowledge infrastructure. Focus: Schools, vocational training centers, digital education platforms.</w:t>
      </w:r>
    </w:p>
    <w:p w14:paraId="465424B2" w14:textId="77777777" w:rsidR="00D708EC" w:rsidRDefault="00000000">
      <w:pPr>
        <w:pStyle w:val="Heading3"/>
        <w:rPr>
          <w:rFonts w:hint="eastAsia"/>
        </w:rPr>
      </w:pPr>
      <w:r>
        <w:t>B.3.3 Sheikh Mohammed bin Zayed Conservation Fund</w:t>
      </w:r>
    </w:p>
    <w:p w14:paraId="2510AA3D" w14:textId="77777777" w:rsidR="00D708EC" w:rsidRDefault="00000000">
      <w:pPr>
        <w:rPr>
          <w:rFonts w:hint="eastAsia"/>
        </w:rPr>
      </w:pPr>
      <w:r>
        <w:t>Environmental restoration allocation: $40 million for ecosystem rehabilitation, protected area restoration, and biodiversity conservation in conflict-affected regions.</w:t>
      </w:r>
    </w:p>
    <w:p w14:paraId="0B5FBD61" w14:textId="77777777" w:rsidR="00D708EC" w:rsidRDefault="00000000">
      <w:pPr>
        <w:pStyle w:val="Heading3"/>
        <w:rPr>
          <w:rFonts w:hint="eastAsia"/>
        </w:rPr>
      </w:pPr>
      <w:r>
        <w:t>B.4 Faith-Based and Diaspora Organizations</w:t>
      </w:r>
    </w:p>
    <w:p w14:paraId="72F0F632" w14:textId="77777777" w:rsidR="00D708EC" w:rsidRDefault="00000000">
      <w:pPr>
        <w:pStyle w:val="Heading3"/>
        <w:rPr>
          <w:rFonts w:hint="eastAsia"/>
        </w:rPr>
      </w:pPr>
      <w:r>
        <w:t>B.4.1 Iranian Diaspora Reconstruction Network</w:t>
      </w:r>
    </w:p>
    <w:p w14:paraId="2121D2B4" w14:textId="77777777" w:rsidR="00D708EC" w:rsidRDefault="00000000">
      <w:pPr>
        <w:rPr>
          <w:rFonts w:hint="eastAsia"/>
        </w:rPr>
      </w:pPr>
      <w:r>
        <w:t>A coalition of Iranian diaspora professional associations, medical societies, and engineering organizations. Estimated capacity: $200 million in pro-bono professional services, medical equipment donations, and direct financial contributions.</w:t>
      </w:r>
    </w:p>
    <w:p w14:paraId="299D04A8" w14:textId="77777777" w:rsidR="00D708EC" w:rsidRDefault="00000000">
      <w:pPr>
        <w:pStyle w:val="Heading3"/>
        <w:rPr>
          <w:rFonts w:hint="eastAsia"/>
        </w:rPr>
      </w:pPr>
      <w:r>
        <w:t>B.4.2 Islamic Development Bank Waqf Fund</w:t>
      </w:r>
    </w:p>
    <w:p w14:paraId="07C85C87" w14:textId="77777777" w:rsidR="00D708EC" w:rsidRDefault="00000000">
      <w:pPr>
        <w:rPr>
          <w:rFonts w:hint="eastAsia"/>
        </w:rPr>
      </w:pPr>
      <w:r>
        <w:t>The Waqf Fund provides grant financing for social infrastructure (mosques, community centers, orphanages) in reconstruction contexts. Allocation: $60 million.</w:t>
      </w:r>
    </w:p>
    <w:p w14:paraId="2C926310" w14:textId="77777777" w:rsidR="00D708EC" w:rsidRDefault="00000000">
      <w:pPr>
        <w:pStyle w:val="Heading3"/>
        <w:rPr>
          <w:rFonts w:hint="eastAsia"/>
        </w:rPr>
      </w:pPr>
      <w:r>
        <w:t>B.4.3 Catholic Relief Services: Middle East</w:t>
      </w:r>
    </w:p>
    <w:p w14:paraId="06EF2340" w14:textId="77777777" w:rsidR="00D708EC" w:rsidRDefault="00000000">
      <w:pPr>
        <w:rPr>
          <w:rFonts w:hint="eastAsia"/>
        </w:rPr>
      </w:pPr>
      <w:r>
        <w:t>CRS provides $30 million for healthcare, education, and community infrastructure in Iran, coordinated through the MRF humanitarian corridor.</w:t>
      </w:r>
    </w:p>
    <w:p w14:paraId="1F27F7D6" w14:textId="77777777" w:rsidR="00D708EC" w:rsidRDefault="00000000">
      <w:pPr>
        <w:pStyle w:val="Heading3"/>
        <w:rPr>
          <w:rFonts w:hint="eastAsia"/>
        </w:rPr>
      </w:pPr>
      <w:r>
        <w:lastRenderedPageBreak/>
        <w:t>B.5 Private Sector and Corporate Philanthropy</w:t>
      </w:r>
    </w:p>
    <w:p w14:paraId="5B5B9F50" w14:textId="77777777" w:rsidR="00D708EC" w:rsidRDefault="00000000">
      <w:pPr>
        <w:pStyle w:val="Heading3"/>
        <w:rPr>
          <w:rFonts w:hint="eastAsia"/>
        </w:rPr>
      </w:pPr>
      <w:r>
        <w:t>B.5.1 Siemens Foundation (Stiftung): Iran Energy Partnership</w:t>
      </w:r>
    </w:p>
    <w:p w14:paraId="64FBA058" w14:textId="77777777" w:rsidR="00D708EC" w:rsidRDefault="00000000">
      <w:pPr>
        <w:rPr>
          <w:rFonts w:hint="eastAsia"/>
        </w:rPr>
      </w:pPr>
      <w:r>
        <w:t>The Siemens Foundation provides $150 million in equipment, engineering services, and training for power grid modernization. In-kind contribution valued at cost.</w:t>
      </w:r>
    </w:p>
    <w:p w14:paraId="24433978" w14:textId="77777777" w:rsidR="00D708EC" w:rsidRDefault="00000000">
      <w:pPr>
        <w:pStyle w:val="Heading3"/>
        <w:rPr>
          <w:rFonts w:hint="eastAsia"/>
        </w:rPr>
      </w:pPr>
      <w:r>
        <w:t>B.5.2 TotalEnergies Foundation: Iran Renewable Energy</w:t>
      </w:r>
    </w:p>
    <w:p w14:paraId="420080D8" w14:textId="77777777" w:rsidR="00D708EC" w:rsidRDefault="00000000">
      <w:pPr>
        <w:rPr>
          <w:rFonts w:hint="eastAsia"/>
        </w:rPr>
      </w:pPr>
      <w:r>
        <w:t>TotalEnergies commits $100 million for solar and wind energy infrastructure development, including technology transfer and training programs.</w:t>
      </w:r>
    </w:p>
    <w:p w14:paraId="285BA68D" w14:textId="77777777" w:rsidR="00D708EC" w:rsidRDefault="00000000">
      <w:pPr>
        <w:pStyle w:val="Heading3"/>
        <w:rPr>
          <w:rFonts w:hint="eastAsia"/>
        </w:rPr>
      </w:pPr>
      <w:r>
        <w:t>B.5.3 Huawei TECH4ALL Digital Iran</w:t>
      </w:r>
    </w:p>
    <w:p w14:paraId="5F113F05" w14:textId="77777777" w:rsidR="00D708EC" w:rsidRDefault="00000000">
      <w:pPr>
        <w:rPr>
          <w:rFonts w:hint="eastAsia"/>
        </w:rPr>
      </w:pPr>
      <w:r>
        <w:t>Huawei provides $80 million in telecommunications infrastructure, digital education platforms, and smart-city technology for urban reconstruction.</w:t>
      </w:r>
    </w:p>
    <w:p w14:paraId="33AB8DD1" w14:textId="77777777" w:rsidR="00D708EC" w:rsidRDefault="00000000">
      <w:pPr>
        <w:pStyle w:val="Heading3"/>
        <w:rPr>
          <w:rFonts w:hint="eastAsia"/>
        </w:rPr>
      </w:pPr>
      <w:r>
        <w:t>B.5.4 Samsung Engineering Reconstruction Fund</w:t>
      </w:r>
    </w:p>
    <w:p w14:paraId="576C4D16" w14:textId="77777777" w:rsidR="00D708EC" w:rsidRDefault="00000000">
      <w:pPr>
        <w:rPr>
          <w:rFonts w:hint="eastAsia"/>
        </w:rPr>
      </w:pPr>
      <w:r>
        <w:t>Samsung commits $60 million for construction equipment, engineering expertise, and technology transfer for housing and industrial reconstruction.</w:t>
      </w:r>
    </w:p>
    <w:p w14:paraId="70D62DBD" w14:textId="77777777" w:rsidR="00D708EC" w:rsidRDefault="00000000">
      <w:pPr>
        <w:pStyle w:val="Heading2"/>
        <w:rPr>
          <w:rFonts w:hint="eastAsia"/>
        </w:rPr>
      </w:pPr>
      <w:bookmarkStart w:id="168" w:name="_Toc237663682"/>
      <w:r>
        <w:t>Appendix C: The Multilateral Architecture</w:t>
      </w:r>
      <w:bookmarkEnd w:id="168"/>
    </w:p>
    <w:p w14:paraId="63A5A950" w14:textId="77777777" w:rsidR="00D708EC" w:rsidRDefault="00000000">
      <w:pPr>
        <w:rPr>
          <w:rFonts w:hint="eastAsia"/>
        </w:rPr>
      </w:pPr>
      <w:r>
        <w:t>This Appendix describes the operational architecture of the MRF's capital aggregation model. The architecture distributes responsibility across multiple contributor categories, ensuring no single source bears disproportionate burden while maintaining political viability for all participants.</w:t>
      </w:r>
    </w:p>
    <w:p w14:paraId="655D536D" w14:textId="77777777" w:rsidR="00D708EC" w:rsidRDefault="00000000">
      <w:pPr>
        <w:pStyle w:val="Heading3"/>
        <w:rPr>
          <w:rFonts w:hint="eastAsia"/>
        </w:rPr>
      </w:pPr>
      <w:r>
        <w:t>C.1 Architecture Overview</w:t>
      </w:r>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2163"/>
        <w:gridCol w:w="7063"/>
      </w:tblGrid>
      <w:tr w:rsidR="00D708EC" w14:paraId="66CB3EC7" w14:textId="77777777">
        <w:tc>
          <w:tcPr>
            <w:tcW w:w="0" w:type="auto"/>
            <w:shd w:val="clear" w:color="auto" w:fill="37474F"/>
          </w:tcPr>
          <w:p w14:paraId="485675FB" w14:textId="77777777" w:rsidR="00D708EC" w:rsidRDefault="00000000">
            <w:pPr>
              <w:rPr>
                <w:rFonts w:hint="eastAsia"/>
              </w:rPr>
            </w:pPr>
            <w:r>
              <w:rPr>
                <w:b/>
                <w:color w:val="FFFFFF"/>
                <w:sz w:val="19"/>
              </w:rPr>
              <w:t>Element</w:t>
            </w:r>
          </w:p>
        </w:tc>
        <w:tc>
          <w:tcPr>
            <w:tcW w:w="0" w:type="auto"/>
            <w:shd w:val="clear" w:color="auto" w:fill="37474F"/>
          </w:tcPr>
          <w:p w14:paraId="37F901EA" w14:textId="77777777" w:rsidR="00D708EC" w:rsidRDefault="00000000">
            <w:pPr>
              <w:rPr>
                <w:rFonts w:hint="eastAsia"/>
              </w:rPr>
            </w:pPr>
            <w:r>
              <w:rPr>
                <w:b/>
                <w:color w:val="FFFFFF"/>
                <w:sz w:val="19"/>
              </w:rPr>
              <w:t>Function</w:t>
            </w:r>
          </w:p>
        </w:tc>
      </w:tr>
      <w:tr w:rsidR="00D708EC" w14:paraId="7D10424D" w14:textId="77777777">
        <w:tc>
          <w:tcPr>
            <w:tcW w:w="0" w:type="auto"/>
          </w:tcPr>
          <w:p w14:paraId="1E345128" w14:textId="77777777" w:rsidR="00D708EC" w:rsidRDefault="00000000">
            <w:pPr>
              <w:rPr>
                <w:rFonts w:hint="eastAsia"/>
              </w:rPr>
            </w:pPr>
            <w:r>
              <w:rPr>
                <w:sz w:val="19"/>
              </w:rPr>
              <w:t>Multiple Contributors</w:t>
            </w:r>
          </w:p>
        </w:tc>
        <w:tc>
          <w:tcPr>
            <w:tcW w:w="0" w:type="auto"/>
          </w:tcPr>
          <w:p w14:paraId="581A1E7B" w14:textId="77777777" w:rsidR="00D708EC" w:rsidRDefault="00000000">
            <w:pPr>
              <w:rPr>
                <w:rFonts w:hint="eastAsia"/>
              </w:rPr>
            </w:pPr>
            <w:r>
              <w:rPr>
                <w:sz w:val="19"/>
              </w:rPr>
              <w:t>GCC states, international banks, private investors, and humanitarian organizations all contribute. No single source bears the full burden.</w:t>
            </w:r>
          </w:p>
        </w:tc>
      </w:tr>
      <w:tr w:rsidR="00D708EC" w14:paraId="73014990" w14:textId="77777777">
        <w:tc>
          <w:tcPr>
            <w:tcW w:w="0" w:type="auto"/>
            <w:shd w:val="clear" w:color="auto" w:fill="ECEFF1"/>
          </w:tcPr>
          <w:p w14:paraId="73CC7A35" w14:textId="77777777" w:rsidR="00D708EC" w:rsidRDefault="00000000">
            <w:pPr>
              <w:rPr>
                <w:rFonts w:hint="eastAsia"/>
              </w:rPr>
            </w:pPr>
            <w:r>
              <w:rPr>
                <w:sz w:val="19"/>
              </w:rPr>
              <w:t>Neutral Channeling</w:t>
            </w:r>
          </w:p>
        </w:tc>
        <w:tc>
          <w:tcPr>
            <w:tcW w:w="0" w:type="auto"/>
            <w:shd w:val="clear" w:color="auto" w:fill="ECEFF1"/>
          </w:tcPr>
          <w:p w14:paraId="06793560" w14:textId="77777777" w:rsidR="00D708EC" w:rsidRDefault="00000000">
            <w:pPr>
              <w:rPr>
                <w:rFonts w:hint="eastAsia"/>
              </w:rPr>
            </w:pPr>
            <w:r>
              <w:rPr>
                <w:sz w:val="19"/>
              </w:rPr>
              <w:t>All funds flow through Qatar Central Bank and the World Bank. The US provides technical assistance only: no direct cash.</w:t>
            </w:r>
          </w:p>
        </w:tc>
      </w:tr>
      <w:tr w:rsidR="00D708EC" w14:paraId="79CC5AC9" w14:textId="77777777">
        <w:tc>
          <w:tcPr>
            <w:tcW w:w="0" w:type="auto"/>
          </w:tcPr>
          <w:p w14:paraId="1370012B" w14:textId="77777777" w:rsidR="00D708EC" w:rsidRDefault="00000000">
            <w:pPr>
              <w:rPr>
                <w:rFonts w:hint="eastAsia"/>
              </w:rPr>
            </w:pPr>
            <w:r>
              <w:rPr>
                <w:sz w:val="19"/>
              </w:rPr>
              <w:t>Iranian Sovereignty</w:t>
            </w:r>
          </w:p>
        </w:tc>
        <w:tc>
          <w:tcPr>
            <w:tcW w:w="0" w:type="auto"/>
          </w:tcPr>
          <w:p w14:paraId="4AE978CE" w14:textId="77777777" w:rsidR="00D708EC" w:rsidRDefault="00000000">
            <w:pPr>
              <w:rPr>
                <w:rFonts w:hint="eastAsia"/>
              </w:rPr>
            </w:pPr>
            <w:r>
              <w:rPr>
                <w:sz w:val="19"/>
              </w:rPr>
              <w:t>Iran proposes and prioritizes projects. The RSC does not impose external preferences.</w:t>
            </w:r>
          </w:p>
        </w:tc>
      </w:tr>
      <w:tr w:rsidR="00D708EC" w14:paraId="2E0A2239" w14:textId="77777777">
        <w:tc>
          <w:tcPr>
            <w:tcW w:w="0" w:type="auto"/>
            <w:shd w:val="clear" w:color="auto" w:fill="ECEFF1"/>
          </w:tcPr>
          <w:p w14:paraId="2FC3DD10" w14:textId="77777777" w:rsidR="00D708EC" w:rsidRDefault="00000000">
            <w:pPr>
              <w:rPr>
                <w:rFonts w:hint="eastAsia"/>
              </w:rPr>
            </w:pPr>
            <w:r>
              <w:rPr>
                <w:sz w:val="19"/>
              </w:rPr>
              <w:t>Technical Advisory Group</w:t>
            </w:r>
          </w:p>
        </w:tc>
        <w:tc>
          <w:tcPr>
            <w:tcW w:w="0" w:type="auto"/>
            <w:shd w:val="clear" w:color="auto" w:fill="ECEFF1"/>
          </w:tcPr>
          <w:p w14:paraId="08047506" w14:textId="77777777" w:rsidR="00D708EC" w:rsidRDefault="00000000">
            <w:pPr>
              <w:rPr>
                <w:rFonts w:hint="eastAsia"/>
              </w:rPr>
            </w:pPr>
            <w:r>
              <w:rPr>
                <w:sz w:val="19"/>
              </w:rPr>
              <w:t>Independent experts verify feasibility and milestone completion, ensuring transparency and credibility.</w:t>
            </w:r>
          </w:p>
        </w:tc>
      </w:tr>
      <w:tr w:rsidR="00D708EC" w14:paraId="46C6A55C" w14:textId="77777777">
        <w:tc>
          <w:tcPr>
            <w:tcW w:w="0" w:type="auto"/>
          </w:tcPr>
          <w:p w14:paraId="55CFC3A4" w14:textId="77777777" w:rsidR="00D708EC" w:rsidRDefault="00000000">
            <w:pPr>
              <w:rPr>
                <w:rFonts w:hint="eastAsia"/>
              </w:rPr>
            </w:pPr>
            <w:r>
              <w:rPr>
                <w:sz w:val="19"/>
              </w:rPr>
              <w:t>Sanctions Firewall</w:t>
            </w:r>
          </w:p>
        </w:tc>
        <w:tc>
          <w:tcPr>
            <w:tcW w:w="0" w:type="auto"/>
          </w:tcPr>
          <w:p w14:paraId="1E9149BD" w14:textId="77777777" w:rsidR="00D708EC" w:rsidRDefault="00000000">
            <w:pPr>
              <w:rPr>
                <w:rFonts w:hint="eastAsia"/>
              </w:rPr>
            </w:pPr>
            <w:r>
              <w:rPr>
                <w:sz w:val="19"/>
              </w:rPr>
              <w:t>OFAC general license protects all MRF transactions from secondary sanctions.</w:t>
            </w:r>
          </w:p>
        </w:tc>
      </w:tr>
      <w:tr w:rsidR="00D708EC" w14:paraId="28EFF241" w14:textId="77777777">
        <w:tc>
          <w:tcPr>
            <w:tcW w:w="0" w:type="auto"/>
            <w:shd w:val="clear" w:color="auto" w:fill="ECEFF1"/>
          </w:tcPr>
          <w:p w14:paraId="4DC2A21F" w14:textId="77777777" w:rsidR="00D708EC" w:rsidRDefault="00000000">
            <w:pPr>
              <w:rPr>
                <w:rFonts w:hint="eastAsia"/>
              </w:rPr>
            </w:pPr>
            <w:r>
              <w:rPr>
                <w:sz w:val="19"/>
              </w:rPr>
              <w:t xml:space="preserve">Performance-Based </w:t>
            </w:r>
            <w:r>
              <w:rPr>
                <w:sz w:val="19"/>
              </w:rPr>
              <w:lastRenderedPageBreak/>
              <w:t>Disbursement</w:t>
            </w:r>
          </w:p>
        </w:tc>
        <w:tc>
          <w:tcPr>
            <w:tcW w:w="0" w:type="auto"/>
            <w:shd w:val="clear" w:color="auto" w:fill="ECEFF1"/>
          </w:tcPr>
          <w:p w14:paraId="3ED26816" w14:textId="77777777" w:rsidR="00D708EC" w:rsidRDefault="00000000">
            <w:pPr>
              <w:rPr>
                <w:rFonts w:hint="eastAsia"/>
              </w:rPr>
            </w:pPr>
            <w:r>
              <w:rPr>
                <w:sz w:val="19"/>
              </w:rPr>
              <w:lastRenderedPageBreak/>
              <w:t>Funds release only upon verified milestone completion. No cash up front.</w:t>
            </w:r>
          </w:p>
        </w:tc>
      </w:tr>
      <w:tr w:rsidR="00D708EC" w14:paraId="59D0C4B9" w14:textId="77777777">
        <w:tc>
          <w:tcPr>
            <w:tcW w:w="0" w:type="auto"/>
          </w:tcPr>
          <w:p w14:paraId="182D6E6C" w14:textId="77777777" w:rsidR="00D708EC" w:rsidRDefault="00000000">
            <w:pPr>
              <w:rPr>
                <w:rFonts w:hint="eastAsia"/>
              </w:rPr>
            </w:pPr>
            <w:r>
              <w:rPr>
                <w:sz w:val="19"/>
              </w:rPr>
              <w:t>No Clawback</w:t>
            </w:r>
          </w:p>
        </w:tc>
        <w:tc>
          <w:tcPr>
            <w:tcW w:w="0" w:type="auto"/>
          </w:tcPr>
          <w:p w14:paraId="21F1F1AA" w14:textId="77777777" w:rsidR="00D708EC" w:rsidRDefault="00000000">
            <w:pPr>
              <w:rPr>
                <w:rFonts w:hint="eastAsia"/>
              </w:rPr>
            </w:pPr>
            <w:r>
              <w:rPr>
                <w:sz w:val="19"/>
              </w:rPr>
              <w:t>Already-disbursed funds are irrevocable. This gives Iran confidence to invest in long-term projects.</w:t>
            </w:r>
          </w:p>
        </w:tc>
      </w:tr>
      <w:tr w:rsidR="00D708EC" w14:paraId="45EF9B29" w14:textId="77777777">
        <w:tc>
          <w:tcPr>
            <w:tcW w:w="0" w:type="auto"/>
            <w:shd w:val="clear" w:color="auto" w:fill="ECEFF1"/>
          </w:tcPr>
          <w:p w14:paraId="3917CF5D" w14:textId="77777777" w:rsidR="00D708EC" w:rsidRDefault="00000000">
            <w:pPr>
              <w:rPr>
                <w:rFonts w:hint="eastAsia"/>
              </w:rPr>
            </w:pPr>
            <w:r>
              <w:rPr>
                <w:sz w:val="19"/>
              </w:rPr>
              <w:t>Sovereign Procurement Protection</w:t>
            </w:r>
          </w:p>
        </w:tc>
        <w:tc>
          <w:tcPr>
            <w:tcW w:w="0" w:type="auto"/>
            <w:shd w:val="clear" w:color="auto" w:fill="ECEFF1"/>
          </w:tcPr>
          <w:p w14:paraId="617AFAAD" w14:textId="77777777" w:rsidR="00D708EC" w:rsidRDefault="00000000">
            <w:pPr>
              <w:rPr>
                <w:rFonts w:hint="eastAsia"/>
              </w:rPr>
            </w:pPr>
            <w:r>
              <w:rPr>
                <w:sz w:val="19"/>
              </w:rPr>
              <w:t>Iran holds no obligation to purchase goods or services from any particular country. The framework architecture excludes directed purchasing.</w:t>
            </w:r>
          </w:p>
        </w:tc>
      </w:tr>
      <w:tr w:rsidR="00D708EC" w14:paraId="690B0DBA" w14:textId="77777777">
        <w:tc>
          <w:tcPr>
            <w:tcW w:w="0" w:type="auto"/>
          </w:tcPr>
          <w:p w14:paraId="14204558" w14:textId="77777777" w:rsidR="00D708EC" w:rsidRDefault="00000000">
            <w:pPr>
              <w:rPr>
                <w:rFonts w:hint="eastAsia"/>
              </w:rPr>
            </w:pPr>
            <w:r>
              <w:rPr>
                <w:sz w:val="19"/>
              </w:rPr>
              <w:t>60-Day Automatic Review</w:t>
            </w:r>
          </w:p>
        </w:tc>
        <w:tc>
          <w:tcPr>
            <w:tcW w:w="0" w:type="auto"/>
          </w:tcPr>
          <w:p w14:paraId="35110574" w14:textId="77777777" w:rsidR="00D708EC" w:rsidRDefault="00000000">
            <w:pPr>
              <w:rPr>
                <w:rFonts w:hint="eastAsia"/>
              </w:rPr>
            </w:pPr>
            <w:r>
              <w:rPr>
                <w:sz w:val="19"/>
              </w:rPr>
              <w:t>The RSC convenes a mandatory Progress Assessment Session at Day 60 with formal recommendations. The framework architecture excludes procedural drift.</w:t>
            </w:r>
          </w:p>
        </w:tc>
      </w:tr>
      <w:tr w:rsidR="00D708EC" w14:paraId="1D64B688" w14:textId="77777777">
        <w:tc>
          <w:tcPr>
            <w:tcW w:w="0" w:type="auto"/>
            <w:shd w:val="clear" w:color="auto" w:fill="ECEFF1"/>
          </w:tcPr>
          <w:p w14:paraId="681A898F" w14:textId="77777777" w:rsidR="00D708EC" w:rsidRDefault="00000000">
            <w:pPr>
              <w:rPr>
                <w:rFonts w:hint="eastAsia"/>
              </w:rPr>
            </w:pPr>
            <w:r>
              <w:rPr>
                <w:sz w:val="19"/>
              </w:rPr>
              <w:t>Modularity</w:t>
            </w:r>
          </w:p>
        </w:tc>
        <w:tc>
          <w:tcPr>
            <w:tcW w:w="0" w:type="auto"/>
            <w:shd w:val="clear" w:color="auto" w:fill="ECEFF1"/>
          </w:tcPr>
          <w:p w14:paraId="5D1C2FDA" w14:textId="77777777" w:rsidR="00D708EC" w:rsidRDefault="00000000">
            <w:pPr>
              <w:rPr>
                <w:rFonts w:hint="eastAsia"/>
              </w:rPr>
            </w:pPr>
            <w:r>
              <w:rPr>
                <w:sz w:val="19"/>
              </w:rPr>
              <w:t>Eight independent sub-funds prevent a single sector failure from collapsing the entire reconstruction effort.</w:t>
            </w:r>
          </w:p>
        </w:tc>
      </w:tr>
      <w:tr w:rsidR="00D708EC" w14:paraId="79A9BE4C" w14:textId="77777777">
        <w:tc>
          <w:tcPr>
            <w:tcW w:w="0" w:type="auto"/>
          </w:tcPr>
          <w:p w14:paraId="3BBB4E4E" w14:textId="77777777" w:rsidR="00D708EC" w:rsidRDefault="00000000">
            <w:pPr>
              <w:rPr>
                <w:rFonts w:hint="eastAsia"/>
              </w:rPr>
            </w:pPr>
            <w:r>
              <w:rPr>
                <w:sz w:val="19"/>
              </w:rPr>
              <w:t>60-Day Emergency Frame</w:t>
            </w:r>
          </w:p>
        </w:tc>
        <w:tc>
          <w:tcPr>
            <w:tcW w:w="0" w:type="auto"/>
          </w:tcPr>
          <w:p w14:paraId="1BB7EA71" w14:textId="77777777" w:rsidR="00D708EC" w:rsidRDefault="00000000">
            <w:pPr>
              <w:rPr>
                <w:rFonts w:hint="eastAsia"/>
              </w:rPr>
            </w:pPr>
            <w:r>
              <w:rPr>
                <w:sz w:val="19"/>
              </w:rPr>
              <w:t>The MRF begins as a 60-day stabilization mechanism before transitioning to full execution.</w:t>
            </w:r>
          </w:p>
        </w:tc>
      </w:tr>
    </w:tbl>
    <w:p w14:paraId="7FF67439" w14:textId="77777777" w:rsidR="00D708EC" w:rsidRDefault="00000000">
      <w:pPr>
        <w:pStyle w:val="Heading3"/>
        <w:rPr>
          <w:rFonts w:hint="eastAsia"/>
        </w:rPr>
      </w:pPr>
      <w:r>
        <w:t>C.2 Political Architecture</w:t>
      </w:r>
    </w:p>
    <w:p w14:paraId="2CD5B069" w14:textId="77777777" w:rsidR="00D708EC" w:rsidRDefault="00000000">
      <w:pPr>
        <w:rPr>
          <w:rFonts w:hint="eastAsia"/>
        </w:rPr>
      </w:pPr>
      <w:r>
        <w:t>The MRF's political viability rests on simultaneous satisfaction of constraints in multiple capitals:</w:t>
      </w:r>
    </w:p>
    <w:p w14:paraId="1CDD6FCF" w14:textId="77777777" w:rsidR="00D708EC" w:rsidRDefault="00000000">
      <w:pPr>
        <w:ind w:left="360"/>
        <w:rPr>
          <w:rFonts w:hint="eastAsia"/>
        </w:rPr>
      </w:pPr>
      <w:r>
        <w:rPr>
          <w:color w:val="37474F"/>
        </w:rPr>
        <w:t>•</w:t>
      </w:r>
      <w:r>
        <w:t>Washington: No direct U.S. cash to Iran. U.S. contributions are technical and diplomatic only.</w:t>
      </w:r>
    </w:p>
    <w:p w14:paraId="76170C7F" w14:textId="77777777" w:rsidR="00D708EC" w:rsidRDefault="00000000">
      <w:pPr>
        <w:ind w:left="360"/>
        <w:rPr>
          <w:rFonts w:hint="eastAsia"/>
        </w:rPr>
      </w:pPr>
      <w:r>
        <w:rPr>
          <w:color w:val="37474F"/>
        </w:rPr>
        <w:t>•</w:t>
      </w:r>
      <w:r>
        <w:t>Tehran: Iran controls project selection and retains sovereign authority over reconstruction priorities.</w:t>
      </w:r>
    </w:p>
    <w:p w14:paraId="6D475C18" w14:textId="77777777" w:rsidR="00D708EC" w:rsidRDefault="00000000">
      <w:pPr>
        <w:ind w:left="360"/>
        <w:rPr>
          <w:rFonts w:hint="eastAsia"/>
        </w:rPr>
      </w:pPr>
      <w:r>
        <w:rPr>
          <w:color w:val="37474F"/>
        </w:rPr>
        <w:t>•</w:t>
      </w:r>
      <w:r>
        <w:t>Riyadh/Abu Dhabi/Doha: GCC states lead the funding architecture, reinforcing regional leadership.</w:t>
      </w:r>
    </w:p>
    <w:p w14:paraId="65A4FD93" w14:textId="77777777" w:rsidR="00D708EC" w:rsidRDefault="00000000">
      <w:pPr>
        <w:ind w:left="360"/>
        <w:rPr>
          <w:rFonts w:hint="eastAsia"/>
        </w:rPr>
      </w:pPr>
      <w:r>
        <w:rPr>
          <w:color w:val="37474F"/>
        </w:rPr>
        <w:t>•</w:t>
      </w:r>
      <w:r>
        <w:t>Beijing/Moscow: Major bilateral contributors gain project access and regional influence.</w:t>
      </w:r>
    </w:p>
    <w:p w14:paraId="05A0F029" w14:textId="77777777" w:rsidR="00D708EC" w:rsidRDefault="00000000">
      <w:pPr>
        <w:ind w:left="360"/>
        <w:rPr>
          <w:rFonts w:hint="eastAsia"/>
        </w:rPr>
      </w:pPr>
      <w:r>
        <w:rPr>
          <w:color w:val="37474F"/>
        </w:rPr>
        <w:t>•</w:t>
      </w:r>
      <w:r>
        <w:t>Brussels: EU contributions align with European development objectives and climate commitments.</w:t>
      </w:r>
    </w:p>
    <w:p w14:paraId="0A29FCC3" w14:textId="77777777" w:rsidR="00D708EC" w:rsidRDefault="00000000">
      <w:pPr>
        <w:pStyle w:val="Heading3"/>
        <w:rPr>
          <w:rFonts w:hint="eastAsia"/>
        </w:rPr>
      </w:pPr>
      <w:r>
        <w:t>C.3 Financial Flow Architecture</w:t>
      </w:r>
    </w:p>
    <w:p w14:paraId="07D26A3C" w14:textId="77777777" w:rsidR="00D708EC" w:rsidRDefault="00000000">
      <w:pPr>
        <w:rPr>
          <w:rFonts w:hint="eastAsia"/>
        </w:rPr>
      </w:pPr>
      <w:r>
        <w:t>Capital flows through the following pathway:</w:t>
      </w:r>
    </w:p>
    <w:p w14:paraId="2E42256A" w14:textId="77777777" w:rsidR="00D708EC" w:rsidRDefault="00000000">
      <w:pPr>
        <w:ind w:left="360"/>
        <w:rPr>
          <w:rFonts w:hint="eastAsia"/>
        </w:rPr>
      </w:pPr>
      <w:r>
        <w:rPr>
          <w:color w:val="37474F"/>
        </w:rPr>
        <w:t>•</w:t>
      </w:r>
      <w:r>
        <w:t>Step 1: Contributors deposit funds into designated accounts at the Qatar Central Bank</w:t>
      </w:r>
    </w:p>
    <w:p w14:paraId="3AA20E07" w14:textId="77777777" w:rsidR="00D708EC" w:rsidRDefault="00000000">
      <w:pPr>
        <w:ind w:left="360"/>
        <w:rPr>
          <w:rFonts w:hint="eastAsia"/>
        </w:rPr>
      </w:pPr>
      <w:r>
        <w:rPr>
          <w:color w:val="37474F"/>
        </w:rPr>
        <w:t>•</w:t>
      </w:r>
      <w:r>
        <w:t>Step 2: The World Bank verifies deposit and matches to Sub-Fund allocations</w:t>
      </w:r>
    </w:p>
    <w:p w14:paraId="7600F70F" w14:textId="77777777" w:rsidR="00D708EC" w:rsidRDefault="00000000">
      <w:pPr>
        <w:ind w:left="360"/>
        <w:rPr>
          <w:rFonts w:hint="eastAsia"/>
        </w:rPr>
      </w:pPr>
      <w:r>
        <w:rPr>
          <w:color w:val="37474F"/>
        </w:rPr>
        <w:t>•</w:t>
      </w:r>
      <w:r>
        <w:t>Step 3: Upon RSC approval and TAG verification, the Qatar Central Bank releases tranches to Iranian project accounts</w:t>
      </w:r>
    </w:p>
    <w:p w14:paraId="1E12F675" w14:textId="77777777" w:rsidR="00D708EC" w:rsidRDefault="00000000">
      <w:pPr>
        <w:ind w:left="360"/>
        <w:rPr>
          <w:rFonts w:hint="eastAsia"/>
        </w:rPr>
      </w:pPr>
      <w:r>
        <w:rPr>
          <w:color w:val="37474F"/>
        </w:rPr>
        <w:t>•</w:t>
      </w:r>
      <w:r>
        <w:t>Step 4: Iranian implementing agencies disburse to contractors and suppliers</w:t>
      </w:r>
    </w:p>
    <w:p w14:paraId="5885B1A8" w14:textId="77777777" w:rsidR="00D708EC" w:rsidRDefault="00000000">
      <w:pPr>
        <w:ind w:left="360"/>
        <w:rPr>
          <w:rFonts w:hint="eastAsia"/>
        </w:rPr>
      </w:pPr>
      <w:r>
        <w:rPr>
          <w:color w:val="37474F"/>
        </w:rPr>
        <w:t>•</w:t>
      </w:r>
      <w:r>
        <w:t>Step 5: Independent auditors verify expenditure and milestone achievement</w:t>
      </w:r>
    </w:p>
    <w:p w14:paraId="1BFD5AFE" w14:textId="77777777" w:rsidR="00D708EC" w:rsidRDefault="00000000">
      <w:pPr>
        <w:ind w:left="360"/>
        <w:rPr>
          <w:rFonts w:hint="eastAsia"/>
        </w:rPr>
      </w:pPr>
      <w:r>
        <w:rPr>
          <w:color w:val="37474F"/>
        </w:rPr>
        <w:t>•</w:t>
      </w:r>
      <w:r>
        <w:t>Step 6: TAG confirms verification; RSC authorizes next tranche</w:t>
      </w:r>
    </w:p>
    <w:p w14:paraId="61987765" w14:textId="77777777" w:rsidR="00D708EC" w:rsidRDefault="00000000">
      <w:pPr>
        <w:pStyle w:val="Heading2"/>
        <w:rPr>
          <w:rFonts w:hint="eastAsia"/>
        </w:rPr>
      </w:pPr>
      <w:bookmarkStart w:id="169" w:name="_Toc237663683"/>
      <w:r>
        <w:lastRenderedPageBreak/>
        <w:t>Appendix D: Supplementary Regional Programs</w:t>
      </w:r>
      <w:bookmarkEnd w:id="169"/>
    </w:p>
    <w:p w14:paraId="31295594" w14:textId="77777777" w:rsidR="00D708EC" w:rsidRDefault="00000000">
      <w:pPr>
        <w:rPr>
          <w:rFonts w:hint="eastAsia"/>
        </w:rPr>
      </w:pPr>
      <w:r>
        <w:t>This Appendix catalogs additional regional programs, bilateral frameworks, and specialized facilities that complement MRF operations. The RSC secretariat coordinates with these programs to prevent duplication and maximize leverage.</w:t>
      </w:r>
    </w:p>
    <w:p w14:paraId="19C4DA39" w14:textId="77777777" w:rsidR="00D708EC" w:rsidRDefault="00000000">
      <w:pPr>
        <w:pStyle w:val="Heading3"/>
        <w:rPr>
          <w:rFonts w:hint="eastAsia"/>
        </w:rPr>
      </w:pPr>
      <w:r>
        <w:t>D.1 Bilateral Reconstruction Programs</w:t>
      </w:r>
    </w:p>
    <w:p w14:paraId="2FF46CD0" w14:textId="77777777" w:rsidR="00D708EC" w:rsidRDefault="00000000">
      <w:pPr>
        <w:pStyle w:val="Heading3"/>
        <w:rPr>
          <w:rFonts w:hint="eastAsia"/>
        </w:rPr>
      </w:pPr>
      <w:r>
        <w:t>D.1.1 China-Iran 25-Year Cooperation Program: Reconstruction Window</w:t>
      </w:r>
    </w:p>
    <w:p w14:paraId="4EFF3291" w14:textId="77777777" w:rsidR="00D708EC" w:rsidRDefault="00000000">
      <w:pPr>
        <w:rPr>
          <w:rFonts w:hint="eastAsia"/>
        </w:rPr>
      </w:pPr>
      <w:r>
        <w:t>The Comprehensive Strategic Partnership between China and Iran includes a dedicated reconstruction window of $10 billion over 10 years. This financing operates outside MRF structures but coordinates through the RSC to avoid duplication. Focus: Energy, transport, technology, industrial zones.</w:t>
      </w:r>
    </w:p>
    <w:p w14:paraId="2F43B7B3" w14:textId="77777777" w:rsidR="00D708EC" w:rsidRDefault="00000000">
      <w:pPr>
        <w:pStyle w:val="Heading3"/>
        <w:rPr>
          <w:rFonts w:hint="eastAsia"/>
        </w:rPr>
      </w:pPr>
      <w:r>
        <w:t>D.1.2 Russia-Iran Infrastructure Cooperation</w:t>
      </w:r>
    </w:p>
    <w:p w14:paraId="53EB0B65" w14:textId="77777777" w:rsidR="00D708EC" w:rsidRDefault="00000000">
      <w:pPr>
        <w:rPr>
          <w:rFonts w:hint="eastAsia"/>
        </w:rPr>
      </w:pPr>
      <w:r>
        <w:t>Russia provides $3 billion in infrastructure financing through VEB.RF and bilateral arrangements. Focus: Nuclear energy (Bushehr expansion), rail corridors, port modernization. Coordination: Through MRF-Energy and MRF-Transport Sub-Funds.</w:t>
      </w:r>
    </w:p>
    <w:p w14:paraId="7B20F276" w14:textId="77777777" w:rsidR="00D708EC" w:rsidRDefault="00000000">
      <w:pPr>
        <w:pStyle w:val="Heading3"/>
        <w:rPr>
          <w:rFonts w:hint="eastAsia"/>
        </w:rPr>
      </w:pPr>
      <w:r>
        <w:t>D.1.3 India-Iran Chabahar Corridor Development</w:t>
      </w:r>
    </w:p>
    <w:p w14:paraId="3A0291BA" w14:textId="77777777" w:rsidR="00D708EC" w:rsidRDefault="00000000">
      <w:pPr>
        <w:rPr>
          <w:rFonts w:hint="eastAsia"/>
        </w:rPr>
      </w:pPr>
      <w:r>
        <w:t>India commits $1.5 billion for Chabahar port and associated rail/road infrastructure. This bilateral program coordinates with MRF-Transport for seamless integration.</w:t>
      </w:r>
    </w:p>
    <w:p w14:paraId="0F9D65F7" w14:textId="77777777" w:rsidR="00D708EC" w:rsidRDefault="00000000">
      <w:pPr>
        <w:pStyle w:val="Heading3"/>
        <w:rPr>
          <w:rFonts w:hint="eastAsia"/>
        </w:rPr>
      </w:pPr>
      <w:r>
        <w:t>D.2 Specialized International Facilities</w:t>
      </w:r>
    </w:p>
    <w:p w14:paraId="245D5C98" w14:textId="77777777" w:rsidR="00D708EC" w:rsidRDefault="00000000">
      <w:pPr>
        <w:pStyle w:val="Heading3"/>
        <w:rPr>
          <w:rFonts w:hint="eastAsia"/>
        </w:rPr>
      </w:pPr>
      <w:r>
        <w:t>D.2.1 IMF Post-Conflict Reconstruction Facility</w:t>
      </w:r>
    </w:p>
    <w:p w14:paraId="2CB5FEF9" w14:textId="77777777" w:rsidR="00D708EC" w:rsidRDefault="00000000">
      <w:pPr>
        <w:rPr>
          <w:rFonts w:hint="eastAsia"/>
        </w:rPr>
      </w:pPr>
      <w:r>
        <w:t>The IMF establishes a dedicated facility for Iran with $5 billion in standby financing for macroeconomic stabilization and balance-of-payments support. This operates in parallel with MRF project financing.</w:t>
      </w:r>
    </w:p>
    <w:p w14:paraId="5D03626F" w14:textId="77777777" w:rsidR="00D708EC" w:rsidRDefault="00000000">
      <w:pPr>
        <w:pStyle w:val="Heading3"/>
        <w:rPr>
          <w:rFonts w:hint="eastAsia"/>
        </w:rPr>
      </w:pPr>
      <w:r>
        <w:t>D.2.2 World Bank Iran Reconstruction Trust Fund</w:t>
      </w:r>
    </w:p>
    <w:p w14:paraId="65E41D34" w14:textId="77777777" w:rsidR="00D708EC" w:rsidRDefault="00000000">
      <w:pPr>
        <w:rPr>
          <w:rFonts w:hint="eastAsia"/>
        </w:rPr>
      </w:pPr>
      <w:r>
        <w:t>The World Bank administers a multi-donor trust fund of $3 billion for technical assistance, capacity building, and project preparation. This fund supports MRF operations by financing feasibility studies, environmental assessments, and procurement preparation.</w:t>
      </w:r>
    </w:p>
    <w:p w14:paraId="7B414EC5" w14:textId="77777777" w:rsidR="00D708EC" w:rsidRDefault="00000000">
      <w:pPr>
        <w:pStyle w:val="Heading3"/>
        <w:rPr>
          <w:rFonts w:hint="eastAsia"/>
        </w:rPr>
      </w:pPr>
      <w:r>
        <w:t>D.2.3 EBRD Iran Private Sector Window</w:t>
      </w:r>
    </w:p>
    <w:p w14:paraId="1377D793" w14:textId="77777777" w:rsidR="00D708EC" w:rsidRDefault="00000000">
      <w:pPr>
        <w:rPr>
          <w:rFonts w:hint="eastAsia"/>
        </w:rPr>
      </w:pPr>
      <w:r>
        <w:t>The EBRD opens a private sector window of $1 billion for SME reconstruction, industrial rehabilitation, and private infrastructure development. Eligibility: Private sector entities with MRF-approved project linkages.</w:t>
      </w:r>
    </w:p>
    <w:p w14:paraId="7795ED8D" w14:textId="77777777" w:rsidR="00D708EC" w:rsidRDefault="00000000">
      <w:pPr>
        <w:pStyle w:val="Heading3"/>
        <w:rPr>
          <w:rFonts w:hint="eastAsia"/>
        </w:rPr>
      </w:pPr>
      <w:r>
        <w:lastRenderedPageBreak/>
        <w:t>D.3 Humanitarian and Emergency Programs</w:t>
      </w:r>
    </w:p>
    <w:p w14:paraId="4DC7418B" w14:textId="77777777" w:rsidR="00D708EC" w:rsidRDefault="00000000">
      <w:pPr>
        <w:pStyle w:val="Heading3"/>
        <w:rPr>
          <w:rFonts w:hint="eastAsia"/>
        </w:rPr>
      </w:pPr>
      <w:r>
        <w:t>D.3.1 UN Central Emergency Response Fund (CERF)</w:t>
      </w:r>
    </w:p>
    <w:p w14:paraId="702A4D21" w14:textId="77777777" w:rsidR="00D708EC" w:rsidRDefault="00000000">
      <w:pPr>
        <w:rPr>
          <w:rFonts w:hint="eastAsia"/>
        </w:rPr>
      </w:pPr>
      <w:r>
        <w:t>CERF provides rapid-response grants for urgent humanitarian infrastructure repair. Allocation for Iran: $100 million in initial tranches for water, health, and shelter.</w:t>
      </w:r>
    </w:p>
    <w:p w14:paraId="21DDF0D0" w14:textId="77777777" w:rsidR="00D708EC" w:rsidRDefault="00000000">
      <w:pPr>
        <w:pStyle w:val="Heading3"/>
        <w:rPr>
          <w:rFonts w:hint="eastAsia"/>
        </w:rPr>
      </w:pPr>
      <w:r>
        <w:t>D.3.2 International Federation of Red Cross and Red Crescent Societies</w:t>
      </w:r>
    </w:p>
    <w:p w14:paraId="5A6C1EEC" w14:textId="77777777" w:rsidR="00D708EC" w:rsidRDefault="00000000">
      <w:pPr>
        <w:rPr>
          <w:rFonts w:hint="eastAsia"/>
        </w:rPr>
      </w:pPr>
      <w:r>
        <w:t>The IFRC launches an appeal for $200 million for immediate relief and early recovery operations in Iran. Coordination with MRF through shared assessment frameworks and joint implementation where applicable.</w:t>
      </w:r>
    </w:p>
    <w:p w14:paraId="00EB28E4" w14:textId="77777777" w:rsidR="00D708EC" w:rsidRDefault="00000000">
      <w:pPr>
        <w:pStyle w:val="Heading3"/>
        <w:rPr>
          <w:rFonts w:hint="eastAsia"/>
        </w:rPr>
      </w:pPr>
      <w:r>
        <w:t>D.3.3 Doctors Without Borders (MSF): Iran Medical Infrastructure</w:t>
      </w:r>
    </w:p>
    <w:p w14:paraId="588C6E8B" w14:textId="77777777" w:rsidR="00D708EC" w:rsidRDefault="00000000">
      <w:pPr>
        <w:rPr>
          <w:rFonts w:hint="eastAsia"/>
        </w:rPr>
      </w:pPr>
      <w:r>
        <w:t>MSF commits $40 million for hospital rehabilitation, medical supply chains, and trauma care capacity building in conflict-affected regions.</w:t>
      </w:r>
    </w:p>
    <w:p w14:paraId="1E79C1C9" w14:textId="77777777" w:rsidR="00D708EC" w:rsidRDefault="00000000">
      <w:pPr>
        <w:pStyle w:val="Heading3"/>
        <w:rPr>
          <w:rFonts w:hint="eastAsia"/>
        </w:rPr>
      </w:pPr>
      <w:r>
        <w:t>D.4 Climate and Environmental Programs</w:t>
      </w:r>
    </w:p>
    <w:p w14:paraId="400C018E" w14:textId="77777777" w:rsidR="00D708EC" w:rsidRDefault="00000000">
      <w:pPr>
        <w:pStyle w:val="Heading3"/>
        <w:rPr>
          <w:rFonts w:hint="eastAsia"/>
        </w:rPr>
      </w:pPr>
      <w:r>
        <w:t>D.4.1 Global Environment Facility (GEF): Iran</w:t>
      </w:r>
    </w:p>
    <w:p w14:paraId="27A46DA5" w14:textId="77777777" w:rsidR="00D708EC" w:rsidRDefault="00000000">
      <w:pPr>
        <w:rPr>
          <w:rFonts w:hint="eastAsia"/>
        </w:rPr>
      </w:pPr>
      <w:r>
        <w:t>The GEF provides $80 million for environmental restoration, renewable energy, and climate adaptation in reconstruction projects. Coordination: Through MRF-Energy and MRF-Water Sub-Funds with green technology components.</w:t>
      </w:r>
    </w:p>
    <w:p w14:paraId="6A0F0A3C" w14:textId="77777777" w:rsidR="00D708EC" w:rsidRDefault="00000000">
      <w:pPr>
        <w:pStyle w:val="Heading3"/>
        <w:rPr>
          <w:rFonts w:hint="eastAsia"/>
        </w:rPr>
      </w:pPr>
      <w:r>
        <w:t>D.4.2 Adaptation Fund</w:t>
      </w:r>
    </w:p>
    <w:p w14:paraId="5E08A1F2" w14:textId="77777777" w:rsidR="00D708EC" w:rsidRDefault="00000000">
      <w:pPr>
        <w:rPr>
          <w:rFonts w:hint="eastAsia"/>
        </w:rPr>
      </w:pPr>
      <w:r>
        <w:t>The Adaptation Fund supports climate-resilient reconstruction with $30 million for water management, drought adaptation, and coastal protection infrastructure.</w:t>
      </w:r>
    </w:p>
    <w:p w14:paraId="0C39AE50" w14:textId="77777777" w:rsidR="00D708EC" w:rsidRDefault="00000000">
      <w:pPr>
        <w:pStyle w:val="Heading3"/>
        <w:rPr>
          <w:rFonts w:hint="eastAsia"/>
        </w:rPr>
      </w:pPr>
      <w:r>
        <w:t>D.5 Education and Knowledge Programs</w:t>
      </w:r>
    </w:p>
    <w:p w14:paraId="1BE0EE09" w14:textId="77777777" w:rsidR="00D708EC" w:rsidRDefault="00000000">
      <w:pPr>
        <w:pStyle w:val="Heading3"/>
        <w:rPr>
          <w:rFonts w:hint="eastAsia"/>
        </w:rPr>
      </w:pPr>
      <w:r>
        <w:t>D.5.1 UNESCO Iran Education Recovery Program</w:t>
      </w:r>
    </w:p>
    <w:p w14:paraId="1F1880E0" w14:textId="77777777" w:rsidR="00D708EC" w:rsidRDefault="00000000">
      <w:pPr>
        <w:rPr>
          <w:rFonts w:hint="eastAsia"/>
        </w:rPr>
      </w:pPr>
      <w:r>
        <w:t>UNESCO commits $60 million for school reconstruction, higher education rehabilitation, and cultural heritage restoration. Coordination with MRF-Education for shared infrastructure projects.</w:t>
      </w:r>
    </w:p>
    <w:p w14:paraId="0A14CE4C" w14:textId="77777777" w:rsidR="00D708EC" w:rsidRDefault="00000000">
      <w:pPr>
        <w:pStyle w:val="Heading3"/>
        <w:rPr>
          <w:rFonts w:hint="eastAsia"/>
        </w:rPr>
      </w:pPr>
      <w:r>
        <w:t>D.5.2 British Council Iran Higher Education Partnership</w:t>
      </w:r>
    </w:p>
    <w:p w14:paraId="5B3AE092" w14:textId="77777777" w:rsidR="00D708EC" w:rsidRDefault="00000000">
      <w:pPr>
        <w:rPr>
          <w:rFonts w:hint="eastAsia"/>
        </w:rPr>
      </w:pPr>
      <w:r>
        <w:t>The British Council provides $20 million for university partnerships, research collaboration, and academic exchange programs supporting Iranian higher education recovery.</w:t>
      </w:r>
    </w:p>
    <w:p w14:paraId="7CC62C42" w14:textId="77777777" w:rsidR="00D708EC" w:rsidRDefault="00000000">
      <w:pPr>
        <w:pStyle w:val="Heading3"/>
        <w:rPr>
          <w:rFonts w:hint="eastAsia"/>
        </w:rPr>
      </w:pPr>
      <w:r>
        <w:t>D.5.3 German Academic Exchange Service (DAAD): Iran</w:t>
      </w:r>
    </w:p>
    <w:p w14:paraId="599CDD68" w14:textId="77777777" w:rsidR="00D708EC" w:rsidRDefault="00000000">
      <w:pPr>
        <w:rPr>
          <w:rFonts w:hint="eastAsia"/>
        </w:rPr>
      </w:pPr>
      <w:r>
        <w:t>DAAD commits $15 million for vocational training, technical education, and university reconstruction, with focus on engineering and medical faculties.</w:t>
      </w:r>
    </w:p>
    <w:p w14:paraId="71E6BB51" w14:textId="77777777" w:rsidR="00D708EC" w:rsidRDefault="00000000">
      <w:pPr>
        <w:pStyle w:val="Heading2"/>
        <w:rPr>
          <w:rFonts w:hint="eastAsia"/>
        </w:rPr>
      </w:pPr>
      <w:bookmarkStart w:id="170" w:name="_Toc237663684"/>
      <w:r>
        <w:lastRenderedPageBreak/>
        <w:t>Signature Block</w:t>
      </w:r>
      <w:bookmarkEnd w:id="170"/>
    </w:p>
    <w:p w14:paraId="3BACF8C7" w14:textId="77777777" w:rsidR="00D708EC" w:rsidRDefault="00000000">
      <w:pPr>
        <w:rPr>
          <w:rFonts w:hint="eastAsia"/>
        </w:rPr>
      </w:pPr>
      <w:r>
        <w:t>In witness whereof, the undersigned, being duly authorized by their respective governments, have signed this Annex RDF: Reconstruction and Development Fund Protocol.</w:t>
      </w:r>
    </w:p>
    <w:p w14:paraId="75D0C8ED" w14:textId="77777777" w:rsidR="00D708EC" w:rsidRDefault="00000000">
      <w:pPr>
        <w:rPr>
          <w:rFonts w:hint="eastAsia"/>
        </w:rPr>
      </w:pPr>
      <w:r>
        <w:t>Done at Doha, State of Qatar, this ______ day of __________, 2026, in triplicate in the English language.</w:t>
      </w:r>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4613"/>
        <w:gridCol w:w="4613"/>
      </w:tblGrid>
      <w:tr w:rsidR="00D708EC" w14:paraId="4F9B6CFB" w14:textId="77777777">
        <w:tc>
          <w:tcPr>
            <w:tcW w:w="0" w:type="auto"/>
            <w:shd w:val="clear" w:color="auto" w:fill="37474F"/>
          </w:tcPr>
          <w:p w14:paraId="65B915BF" w14:textId="77777777" w:rsidR="00D708EC" w:rsidRDefault="00000000">
            <w:pPr>
              <w:rPr>
                <w:rFonts w:hint="eastAsia"/>
              </w:rPr>
            </w:pPr>
            <w:r>
              <w:rPr>
                <w:b/>
                <w:color w:val="FFFFFF"/>
                <w:sz w:val="19"/>
              </w:rPr>
              <w:t>For the Islamic Republic of Iran:</w:t>
            </w:r>
          </w:p>
        </w:tc>
        <w:tc>
          <w:tcPr>
            <w:tcW w:w="0" w:type="auto"/>
            <w:shd w:val="clear" w:color="auto" w:fill="37474F"/>
          </w:tcPr>
          <w:p w14:paraId="08841EBA" w14:textId="77777777" w:rsidR="00D708EC" w:rsidRDefault="00000000">
            <w:pPr>
              <w:rPr>
                <w:rFonts w:hint="eastAsia"/>
              </w:rPr>
            </w:pPr>
            <w:r>
              <w:rPr>
                <w:b/>
                <w:color w:val="FFFFFF"/>
                <w:sz w:val="19"/>
              </w:rPr>
              <w:t>For the United States of America:</w:t>
            </w:r>
          </w:p>
        </w:tc>
      </w:tr>
      <w:tr w:rsidR="00D708EC" w14:paraId="1CAD8831" w14:textId="77777777">
        <w:tc>
          <w:tcPr>
            <w:tcW w:w="0" w:type="auto"/>
          </w:tcPr>
          <w:p w14:paraId="18B0C7DB" w14:textId="77777777" w:rsidR="00D708EC" w:rsidRDefault="00D708EC">
            <w:pPr>
              <w:rPr>
                <w:rFonts w:hint="eastAsia"/>
              </w:rPr>
            </w:pPr>
          </w:p>
        </w:tc>
        <w:tc>
          <w:tcPr>
            <w:tcW w:w="0" w:type="auto"/>
          </w:tcPr>
          <w:p w14:paraId="50EFDAE6" w14:textId="77777777" w:rsidR="00D708EC" w:rsidRDefault="00D708EC">
            <w:pPr>
              <w:rPr>
                <w:rFonts w:hint="eastAsia"/>
              </w:rPr>
            </w:pPr>
          </w:p>
        </w:tc>
      </w:tr>
      <w:tr w:rsidR="00D708EC" w14:paraId="4F8AC18D" w14:textId="77777777">
        <w:tc>
          <w:tcPr>
            <w:tcW w:w="0" w:type="auto"/>
            <w:shd w:val="clear" w:color="auto" w:fill="ECEFF1"/>
          </w:tcPr>
          <w:p w14:paraId="484E8316" w14:textId="77777777" w:rsidR="00D708EC" w:rsidRDefault="00000000">
            <w:pPr>
              <w:rPr>
                <w:rFonts w:hint="eastAsia"/>
              </w:rPr>
            </w:pPr>
            <w:r>
              <w:rPr>
                <w:sz w:val="19"/>
              </w:rPr>
              <w:t>Name: ________________________</w:t>
            </w:r>
          </w:p>
        </w:tc>
        <w:tc>
          <w:tcPr>
            <w:tcW w:w="0" w:type="auto"/>
            <w:shd w:val="clear" w:color="auto" w:fill="ECEFF1"/>
          </w:tcPr>
          <w:p w14:paraId="0707C12E" w14:textId="77777777" w:rsidR="00D708EC" w:rsidRDefault="00000000">
            <w:pPr>
              <w:rPr>
                <w:rFonts w:hint="eastAsia"/>
              </w:rPr>
            </w:pPr>
            <w:r>
              <w:rPr>
                <w:sz w:val="19"/>
              </w:rPr>
              <w:t>Name: ________________________</w:t>
            </w:r>
          </w:p>
        </w:tc>
      </w:tr>
      <w:tr w:rsidR="00D708EC" w14:paraId="782FF6FE" w14:textId="77777777">
        <w:tc>
          <w:tcPr>
            <w:tcW w:w="0" w:type="auto"/>
          </w:tcPr>
          <w:p w14:paraId="19300EC6" w14:textId="77777777" w:rsidR="00D708EC" w:rsidRDefault="00D708EC">
            <w:pPr>
              <w:rPr>
                <w:rFonts w:hint="eastAsia"/>
              </w:rPr>
            </w:pPr>
          </w:p>
        </w:tc>
        <w:tc>
          <w:tcPr>
            <w:tcW w:w="0" w:type="auto"/>
          </w:tcPr>
          <w:p w14:paraId="63B37F85" w14:textId="77777777" w:rsidR="00D708EC" w:rsidRDefault="00D708EC">
            <w:pPr>
              <w:rPr>
                <w:rFonts w:hint="eastAsia"/>
              </w:rPr>
            </w:pPr>
          </w:p>
        </w:tc>
      </w:tr>
      <w:tr w:rsidR="00D708EC" w14:paraId="59E5936B" w14:textId="77777777">
        <w:tc>
          <w:tcPr>
            <w:tcW w:w="0" w:type="auto"/>
            <w:shd w:val="clear" w:color="auto" w:fill="ECEFF1"/>
          </w:tcPr>
          <w:p w14:paraId="63235AC5" w14:textId="77777777" w:rsidR="00D708EC" w:rsidRDefault="00000000">
            <w:pPr>
              <w:rPr>
                <w:rFonts w:hint="eastAsia"/>
              </w:rPr>
            </w:pPr>
            <w:r>
              <w:rPr>
                <w:sz w:val="19"/>
              </w:rPr>
              <w:t>Title: ________________________</w:t>
            </w:r>
          </w:p>
        </w:tc>
        <w:tc>
          <w:tcPr>
            <w:tcW w:w="0" w:type="auto"/>
            <w:shd w:val="clear" w:color="auto" w:fill="ECEFF1"/>
          </w:tcPr>
          <w:p w14:paraId="5E5E1201" w14:textId="77777777" w:rsidR="00D708EC" w:rsidRDefault="00000000">
            <w:pPr>
              <w:rPr>
                <w:rFonts w:hint="eastAsia"/>
              </w:rPr>
            </w:pPr>
            <w:r>
              <w:rPr>
                <w:sz w:val="19"/>
              </w:rPr>
              <w:t>Title: ________________________</w:t>
            </w:r>
          </w:p>
        </w:tc>
      </w:tr>
      <w:tr w:rsidR="00D708EC" w14:paraId="5A28178E" w14:textId="77777777">
        <w:tc>
          <w:tcPr>
            <w:tcW w:w="0" w:type="auto"/>
          </w:tcPr>
          <w:p w14:paraId="57554EA7" w14:textId="77777777" w:rsidR="00D708EC" w:rsidRDefault="00D708EC">
            <w:pPr>
              <w:rPr>
                <w:rFonts w:hint="eastAsia"/>
              </w:rPr>
            </w:pPr>
          </w:p>
        </w:tc>
        <w:tc>
          <w:tcPr>
            <w:tcW w:w="0" w:type="auto"/>
          </w:tcPr>
          <w:p w14:paraId="7EB75440" w14:textId="77777777" w:rsidR="00D708EC" w:rsidRDefault="00D708EC">
            <w:pPr>
              <w:rPr>
                <w:rFonts w:hint="eastAsia"/>
              </w:rPr>
            </w:pPr>
          </w:p>
        </w:tc>
      </w:tr>
      <w:tr w:rsidR="00D708EC" w14:paraId="41CA8436" w14:textId="77777777">
        <w:tc>
          <w:tcPr>
            <w:tcW w:w="0" w:type="auto"/>
            <w:shd w:val="clear" w:color="auto" w:fill="ECEFF1"/>
          </w:tcPr>
          <w:p w14:paraId="4F1C899D" w14:textId="77777777" w:rsidR="00D708EC" w:rsidRDefault="00000000">
            <w:pPr>
              <w:rPr>
                <w:rFonts w:hint="eastAsia"/>
              </w:rPr>
            </w:pPr>
            <w:r>
              <w:rPr>
                <w:sz w:val="19"/>
              </w:rPr>
              <w:t>Date: ________________________</w:t>
            </w:r>
          </w:p>
        </w:tc>
        <w:tc>
          <w:tcPr>
            <w:tcW w:w="0" w:type="auto"/>
            <w:shd w:val="clear" w:color="auto" w:fill="ECEFF1"/>
          </w:tcPr>
          <w:p w14:paraId="14D81C83" w14:textId="77777777" w:rsidR="00D708EC" w:rsidRDefault="00000000">
            <w:pPr>
              <w:rPr>
                <w:rFonts w:hint="eastAsia"/>
              </w:rPr>
            </w:pPr>
            <w:r>
              <w:rPr>
                <w:sz w:val="19"/>
              </w:rPr>
              <w:t>Date: ________________________</w:t>
            </w:r>
          </w:p>
        </w:tc>
      </w:tr>
    </w:tbl>
    <w:p w14:paraId="113EF56B" w14:textId="77777777" w:rsidR="00D708EC" w:rsidRDefault="00000000">
      <w:pPr>
        <w:rPr>
          <w:rFonts w:hint="eastAsia"/>
        </w:rPr>
      </w:pPr>
      <w:r>
        <w:t>Witnessed by the State of Qatar (Escrow Agent):</w:t>
      </w:r>
    </w:p>
    <w:p w14:paraId="3759CFA1" w14:textId="77777777" w:rsidR="00D708EC" w:rsidRDefault="00000000">
      <w:pPr>
        <w:rPr>
          <w:rFonts w:hint="eastAsia"/>
        </w:rPr>
      </w:pPr>
      <w:r>
        <w:t>Name: ________________________</w:t>
      </w:r>
    </w:p>
    <w:p w14:paraId="0B7F3174" w14:textId="77777777" w:rsidR="00D708EC" w:rsidRDefault="00000000">
      <w:pPr>
        <w:rPr>
          <w:rFonts w:hint="eastAsia"/>
        </w:rPr>
      </w:pPr>
      <w:r>
        <w:t>Title: ________________________</w:t>
      </w:r>
    </w:p>
    <w:p w14:paraId="2998DA14" w14:textId="77777777" w:rsidR="00D708EC" w:rsidRDefault="00000000">
      <w:pPr>
        <w:rPr>
          <w:rFonts w:hint="eastAsia"/>
        </w:rPr>
      </w:pPr>
      <w:r>
        <w:t>Date: ________________________</w:t>
      </w:r>
    </w:p>
    <w:p w14:paraId="67F2E7D0" w14:textId="77777777" w:rsidR="00D708EC" w:rsidRDefault="00000000">
      <w:pPr>
        <w:rPr>
          <w:rFonts w:hint="eastAsia"/>
        </w:rPr>
      </w:pPr>
      <w:r>
        <w:t>Witnessed by the World Bank (Fiduciary Co-Administrator):</w:t>
      </w:r>
    </w:p>
    <w:p w14:paraId="6CB3F964" w14:textId="77777777" w:rsidR="00D708EC" w:rsidRDefault="00000000">
      <w:pPr>
        <w:rPr>
          <w:rFonts w:hint="eastAsia"/>
        </w:rPr>
      </w:pPr>
      <w:r>
        <w:t>Name: ________________________</w:t>
      </w:r>
    </w:p>
    <w:p w14:paraId="4F736192" w14:textId="77777777" w:rsidR="00D708EC" w:rsidRDefault="00000000">
      <w:pPr>
        <w:rPr>
          <w:rFonts w:hint="eastAsia"/>
        </w:rPr>
      </w:pPr>
      <w:r>
        <w:t>Title: ________________________</w:t>
      </w:r>
    </w:p>
    <w:p w14:paraId="1872FBC7" w14:textId="77777777" w:rsidR="00D708EC" w:rsidRDefault="00000000">
      <w:pPr>
        <w:rPr>
          <w:rFonts w:hint="eastAsia"/>
        </w:rPr>
      </w:pPr>
      <w:r>
        <w:t>Date: ________________________</w:t>
      </w:r>
    </w:p>
    <w:p w14:paraId="0E31BDB0" w14:textId="77777777" w:rsidR="00D708EC" w:rsidRDefault="00000000">
      <w:pPr>
        <w:pStyle w:val="Heading2"/>
        <w:rPr>
          <w:rFonts w:hint="eastAsia"/>
        </w:rPr>
      </w:pPr>
      <w:bookmarkStart w:id="171" w:name="_Toc237663685"/>
      <w:r>
        <w:t>Appendix E: International Funding Sources and Application Pathways</w:t>
      </w:r>
      <w:bookmarkEnd w:id="171"/>
    </w:p>
    <w:p w14:paraId="2546CBDA" w14:textId="77777777" w:rsidR="00D708EC" w:rsidRDefault="00000000">
      <w:pPr>
        <w:rPr>
          <w:rFonts w:hint="eastAsia"/>
        </w:rPr>
      </w:pPr>
      <w:r>
        <w:t>This Appendix catalogs additional international funding sources available for Iranian reconstruction. The RSC secretariat maintains active engagement with each entity and coordinates joint applications where applicable.</w:t>
      </w:r>
    </w:p>
    <w:p w14:paraId="2807258A" w14:textId="77777777" w:rsidR="00D708EC" w:rsidRDefault="00000000">
      <w:pPr>
        <w:pStyle w:val="Heading3"/>
        <w:rPr>
          <w:rFonts w:hint="eastAsia"/>
        </w:rPr>
      </w:pPr>
      <w:r>
        <w:t>E.1 European Development Finance Institutions</w:t>
      </w:r>
    </w:p>
    <w:p w14:paraId="3537F394" w14:textId="77777777" w:rsidR="00D708EC" w:rsidRDefault="00000000">
      <w:pPr>
        <w:pStyle w:val="Heading3"/>
        <w:rPr>
          <w:rFonts w:hint="eastAsia"/>
        </w:rPr>
      </w:pPr>
      <w:r>
        <w:t>E.1.1 Agence Francaise de Developpement (AFD)</w:t>
      </w:r>
    </w:p>
    <w:p w14:paraId="3E884371" w14:textId="77777777" w:rsidR="00D708EC" w:rsidRDefault="00000000">
      <w:pPr>
        <w:rPr>
          <w:rFonts w:hint="eastAsia"/>
        </w:rPr>
      </w:pPr>
      <w:r>
        <w:t>The AFD operates as the French bilateral development finance institution with an annual commitment volume exceeding EUR 13 billion. AFD maintains operations in over 90 countries across the Mediterranean, Middle East, Africa, Asia, and Latin America.</w:t>
      </w:r>
    </w:p>
    <w:p w14:paraId="0C901541" w14:textId="77777777" w:rsidR="00D708EC" w:rsidRDefault="00000000">
      <w:pPr>
        <w:rPr>
          <w:rFonts w:hint="eastAsia"/>
        </w:rPr>
      </w:pPr>
      <w:r>
        <w:lastRenderedPageBreak/>
        <w:t>Potential allocation for Iran: EUR 800 million for water, sanitation, renewable energy, and urban infrastructure. AFD prioritizes climate-resilient infrastructure and allocates over 50% of its international financing to climate change mitigation and adaptation.</w:t>
      </w:r>
    </w:p>
    <w:p w14:paraId="0E8C11DE" w14:textId="77777777" w:rsidR="00D708EC" w:rsidRDefault="00000000">
      <w:pPr>
        <w:rPr>
          <w:rFonts w:hint="eastAsia"/>
        </w:rPr>
      </w:pPr>
      <w:r>
        <w:t>Application pathway: Iran submits a formal project proposal through the French embassy in Tehran or through AFD's regional office. The proposal undergoes AFD technical appraisal (90-120 days), followed by board approval (30 days). AFD coordinates with the MRF through the RSC secretariat to ensure alignment with Sub-Fund priorities.</w:t>
      </w:r>
    </w:p>
    <w:p w14:paraId="2E962E6B" w14:textId="77777777" w:rsidR="00D708EC" w:rsidRDefault="00000000">
      <w:pPr>
        <w:rPr>
          <w:rFonts w:hint="eastAsia"/>
        </w:rPr>
      </w:pPr>
      <w:r>
        <w:t>Contact: AFD Middle East Division, 5 rue Roland Barthes, 75598 Paris Cedex 12, France. Telephone: +33 1 53 44 31 31. Website: afd.fr.</w:t>
      </w:r>
    </w:p>
    <w:p w14:paraId="527F7E42" w14:textId="77777777" w:rsidR="00D708EC" w:rsidRDefault="00000000">
      <w:pPr>
        <w:pStyle w:val="Heading3"/>
        <w:rPr>
          <w:rFonts w:hint="eastAsia"/>
        </w:rPr>
      </w:pPr>
      <w:r>
        <w:t>E.1.2 German Development Cooperation (KfW / GIZ)</w:t>
      </w:r>
    </w:p>
    <w:p w14:paraId="001B9D72" w14:textId="77777777" w:rsidR="00D708EC" w:rsidRDefault="00000000">
      <w:pPr>
        <w:rPr>
          <w:rFonts w:hint="eastAsia"/>
        </w:rPr>
      </w:pPr>
      <w:r>
        <w:t>Germany's development cooperation operates through two primary channels: KfW Entwicklungsbank (financial cooperation) and GIZ (technical cooperation). KfW provides concessional loans and grants for infrastructure, energy, water, and financial systems. GIZ delivers advisory services, capacity building, and technical expertise.</w:t>
      </w:r>
    </w:p>
    <w:p w14:paraId="3E73CE5E" w14:textId="77777777" w:rsidR="00D708EC" w:rsidRDefault="00000000">
      <w:pPr>
        <w:rPr>
          <w:rFonts w:hint="eastAsia"/>
        </w:rPr>
      </w:pPr>
      <w:r>
        <w:t>KfW commitments for reconstruction contexts typically range from EUR 200 million to EUR 1 billion per country program. GIZ operates over 1,500 projects in 120 countries with an annual business volume of approximately EUR 2.6 billion.</w:t>
      </w:r>
    </w:p>
    <w:p w14:paraId="7BC0CF94" w14:textId="77777777" w:rsidR="00D708EC" w:rsidRDefault="00000000">
      <w:pPr>
        <w:rPr>
          <w:rFonts w:hint="eastAsia"/>
        </w:rPr>
      </w:pPr>
      <w:r>
        <w:t>Application pathway: Iran submits a government-to-government request through the German Federal Ministry for Economic Cooperation and Development (BMZ). KfW conducts a financial appraisal and GIZ assesses technical cooperation needs. The joint assessment completes within 120 days. Financing agreements require intergovernmental negotiations.</w:t>
      </w:r>
    </w:p>
    <w:p w14:paraId="2EE84A6A" w14:textId="77777777" w:rsidR="00D708EC" w:rsidRDefault="00000000">
      <w:pPr>
        <w:rPr>
          <w:rFonts w:hint="eastAsia"/>
        </w:rPr>
      </w:pPr>
      <w:r>
        <w:t>Focus sectors for Iran: Energy efficiency, water management, sustainable infrastructure, vocational training, and governance restoration.</w:t>
      </w:r>
    </w:p>
    <w:p w14:paraId="207BA2D8" w14:textId="77777777" w:rsidR="00D708EC" w:rsidRDefault="00000000">
      <w:pPr>
        <w:pStyle w:val="Heading3"/>
        <w:rPr>
          <w:rFonts w:hint="eastAsia"/>
        </w:rPr>
      </w:pPr>
      <w:r>
        <w:t>E.1.3 European Investment Bank (EIB): External Lending Mandate</w:t>
      </w:r>
    </w:p>
    <w:p w14:paraId="4223063F" w14:textId="77777777" w:rsidR="00D708EC" w:rsidRDefault="00000000">
      <w:pPr>
        <w:rPr>
          <w:rFonts w:hint="eastAsia"/>
        </w:rPr>
      </w:pPr>
      <w:r>
        <w:t>The EIB operates outside the EU through its External Lending Mandate (ELM), which authorizes lending for projects in partner countries. The ELM focuses on climate action, sustainable infrastructure, private sector development, and migration-related investments.</w:t>
      </w:r>
    </w:p>
    <w:p w14:paraId="54B36731" w14:textId="77777777" w:rsidR="00D708EC" w:rsidRDefault="00000000">
      <w:pPr>
        <w:rPr>
          <w:rFonts w:hint="eastAsia"/>
        </w:rPr>
      </w:pPr>
      <w:r>
        <w:t>Potential allocation for Iran: EUR 500 million for energy, transport, and water infrastructure. EIB loans carry favorable terms with long maturities (15-25 years) and grace periods.</w:t>
      </w:r>
    </w:p>
    <w:p w14:paraId="018AA782" w14:textId="77777777" w:rsidR="00D708EC" w:rsidRDefault="00000000">
      <w:pPr>
        <w:rPr>
          <w:rFonts w:hint="eastAsia"/>
        </w:rPr>
      </w:pPr>
      <w:r>
        <w:t>Application pathway: Iran submits a project proposal through the EIB's regional representation or through an EU member state sponsor. EIB conducts due diligence (90-120 days), followed by board approval. EIB operations outside the EU require a member state guarantee or co-financing arrangement.</w:t>
      </w:r>
    </w:p>
    <w:p w14:paraId="3F48DE80" w14:textId="77777777" w:rsidR="00D708EC" w:rsidRDefault="00000000">
      <w:pPr>
        <w:pStyle w:val="Heading3"/>
        <w:rPr>
          <w:rFonts w:hint="eastAsia"/>
        </w:rPr>
      </w:pPr>
      <w:r>
        <w:lastRenderedPageBreak/>
        <w:t>E.2 Nordic and Commonwealth Development Agencies</w:t>
      </w:r>
    </w:p>
    <w:p w14:paraId="698C97C9" w14:textId="77777777" w:rsidR="00D708EC" w:rsidRDefault="00000000">
      <w:pPr>
        <w:pStyle w:val="Heading3"/>
        <w:rPr>
          <w:rFonts w:hint="eastAsia"/>
        </w:rPr>
      </w:pPr>
      <w:r>
        <w:t>E.2.1 Norwegian Agency for Development Cooperation (Norad)</w:t>
      </w:r>
    </w:p>
    <w:p w14:paraId="51A7E3AB" w14:textId="77777777" w:rsidR="00D708EC" w:rsidRDefault="00000000">
      <w:pPr>
        <w:rPr>
          <w:rFonts w:hint="eastAsia"/>
        </w:rPr>
      </w:pPr>
      <w:r>
        <w:t>Norway ranks first among DAC member countries in ODA as a share of GNI (approximately 1% of GNI). Norad manages an annual development budget of approximately NOK 60 billion. Norway allocates significant resources to fragile states, humanitarian assistance, and post-conflict reconstruction.</w:t>
      </w:r>
    </w:p>
    <w:p w14:paraId="30D5F54F" w14:textId="77777777" w:rsidR="00D708EC" w:rsidRDefault="00000000">
      <w:pPr>
        <w:rPr>
          <w:rFonts w:hint="eastAsia"/>
        </w:rPr>
      </w:pPr>
      <w:r>
        <w:t>Norway's approach emphasizes multilateral channeling through the UN system, World Bank trust funds, and bilateral partnerships. The Nansen Support Programme model (currently deployed for Ukraine at NOK 275 billion through 2030) demonstrates Norway's capacity for large-scale reconstruction financing.</w:t>
      </w:r>
    </w:p>
    <w:p w14:paraId="1B30978A" w14:textId="77777777" w:rsidR="00D708EC" w:rsidRDefault="00000000">
      <w:pPr>
        <w:rPr>
          <w:rFonts w:hint="eastAsia"/>
        </w:rPr>
      </w:pPr>
      <w:r>
        <w:t>Application pathway: Iran submits a funding request through Norad's partner country framework or through a multilateral trust fund. Norad prioritizes applications channeled through the UN system, the World Bank, or Norwegian civil society partners. Application review completes within 90-180 days depending on funding mechanism.</w:t>
      </w:r>
    </w:p>
    <w:p w14:paraId="323259AF" w14:textId="77777777" w:rsidR="00D708EC" w:rsidRDefault="00000000">
      <w:pPr>
        <w:rPr>
          <w:rFonts w:hint="eastAsia"/>
        </w:rPr>
      </w:pPr>
      <w:r>
        <w:t>Focus sectors: Humanitarian assistance, governance restoration, renewable energy, education, and institutional capacity building.</w:t>
      </w:r>
    </w:p>
    <w:p w14:paraId="50A74C2A" w14:textId="77777777" w:rsidR="00D708EC" w:rsidRDefault="00000000">
      <w:pPr>
        <w:pStyle w:val="Heading3"/>
        <w:rPr>
          <w:rFonts w:hint="eastAsia"/>
        </w:rPr>
      </w:pPr>
      <w:r>
        <w:t>E.2.2 Sweden International Development Cooperation Agency (Sida)</w:t>
      </w:r>
    </w:p>
    <w:p w14:paraId="3D21CCF0" w14:textId="77777777" w:rsidR="00D708EC" w:rsidRDefault="00000000">
      <w:pPr>
        <w:rPr>
          <w:rFonts w:hint="eastAsia"/>
        </w:rPr>
      </w:pPr>
      <w:r>
        <w:t>Sida manages Sweden's official development assistance with a focus on human rights, democracy, gender equality, and sustainable development. Sweden maintains core contributions to major UN agencies (UNHCR, UNFPA, UNICEF, WFP) and provides significant humanitarian assistance.</w:t>
      </w:r>
    </w:p>
    <w:p w14:paraId="54BFD952" w14:textId="77777777" w:rsidR="00D708EC" w:rsidRDefault="00000000">
      <w:pPr>
        <w:rPr>
          <w:rFonts w:hint="eastAsia"/>
        </w:rPr>
      </w:pPr>
      <w:r>
        <w:t>Application pathway: Iran accesses Swedish development funding through Sida's framework agreements with multilateral organizations or through Swedish civil society partnerships. Direct bilateral applications require a government-to-government agreement. Sida channels the majority of its development funding through multilateral and civil society partners.</w:t>
      </w:r>
    </w:p>
    <w:p w14:paraId="5F00F93A" w14:textId="77777777" w:rsidR="00D708EC" w:rsidRDefault="00000000">
      <w:pPr>
        <w:rPr>
          <w:rFonts w:hint="eastAsia"/>
        </w:rPr>
      </w:pPr>
      <w:r>
        <w:t>Focus sectors: Humanitarian aid, healthcare restoration, education, gender equality, and democratic governance.</w:t>
      </w:r>
    </w:p>
    <w:p w14:paraId="43660920" w14:textId="77777777" w:rsidR="00D708EC" w:rsidRDefault="00000000">
      <w:pPr>
        <w:pStyle w:val="Heading3"/>
        <w:rPr>
          <w:rFonts w:hint="eastAsia"/>
        </w:rPr>
      </w:pPr>
      <w:r>
        <w:t>E.2.3 Canada: Global Affairs Canada (GAC)</w:t>
      </w:r>
    </w:p>
    <w:p w14:paraId="3C78EF69" w14:textId="77777777" w:rsidR="00D708EC" w:rsidRDefault="00000000">
      <w:pPr>
        <w:rPr>
          <w:rFonts w:hint="eastAsia"/>
        </w:rPr>
      </w:pPr>
      <w:r>
        <w:t>Canada's International Assistance Envelope totals approximately CAD 7.89 billion annually. Global Affairs Canada manages the Core Development pool (CAD 4.7 billion), the Humanitarian Assistance pool (CAD 759 million), and the International Financial Institutions pool (CAD 1.46 billion).</w:t>
      </w:r>
    </w:p>
    <w:p w14:paraId="0685605F" w14:textId="77777777" w:rsidR="00D708EC" w:rsidRDefault="00000000">
      <w:pPr>
        <w:rPr>
          <w:rFonts w:hint="eastAsia"/>
        </w:rPr>
      </w:pPr>
      <w:r>
        <w:t>Canada contributes extensively to World Bank trust funds, UN agencies, and regional development banks. Canada maintains board representation at eight international financial institutions and channels significant funding through multilateral mechanisms.</w:t>
      </w:r>
    </w:p>
    <w:p w14:paraId="45CECC17" w14:textId="77777777" w:rsidR="00D708EC" w:rsidRDefault="00000000">
      <w:pPr>
        <w:rPr>
          <w:rFonts w:hint="eastAsia"/>
        </w:rPr>
      </w:pPr>
      <w:r>
        <w:lastRenderedPageBreak/>
        <w:t>Application pathway: Iran accesses Canadian funding through GAC's International Assistance Envelope via multilateral channels (World Bank, UN agencies, regional development banks). Direct bilateral funding requires a Canada-Iran development partnership framework. GAC encourages applications through its multilateral partners for streamlined processing.</w:t>
      </w:r>
    </w:p>
    <w:p w14:paraId="2978754F" w14:textId="77777777" w:rsidR="00D708EC" w:rsidRDefault="00000000">
      <w:pPr>
        <w:pStyle w:val="Heading3"/>
        <w:rPr>
          <w:rFonts w:hint="eastAsia"/>
        </w:rPr>
      </w:pPr>
      <w:r>
        <w:t>E.2.4 Australia: Department of Foreign Affairs and Trade (DFAT)</w:t>
      </w:r>
    </w:p>
    <w:p w14:paraId="0D392135" w14:textId="77777777" w:rsidR="00D708EC" w:rsidRDefault="00000000">
      <w:pPr>
        <w:rPr>
          <w:rFonts w:hint="eastAsia"/>
        </w:rPr>
      </w:pPr>
      <w:r>
        <w:t>Australia's Official Development Assistance (ODA) budget allocates funding across country programs, regional initiatives, and global programs. DFAT manages Australia's development cooperation with a focus on the Indo-Pacific region while maintaining global humanitarian programs.</w:t>
      </w:r>
    </w:p>
    <w:p w14:paraId="63BBA8FF" w14:textId="77777777" w:rsidR="00D708EC" w:rsidRDefault="00000000">
      <w:pPr>
        <w:rPr>
          <w:rFonts w:hint="eastAsia"/>
        </w:rPr>
      </w:pPr>
      <w:r>
        <w:t>Application pathway: Iran accesses Australian funding through DFAT's global and humanitarian programs or through multilateral partnerships. DFAT channels significant funding through the UN system, the World Bank, and humanitarian organizations. Applications for multilateral trust fund contributions proceed through the relevant fund administrator.</w:t>
      </w:r>
    </w:p>
    <w:p w14:paraId="314F2810" w14:textId="77777777" w:rsidR="00D708EC" w:rsidRDefault="00000000">
      <w:pPr>
        <w:pStyle w:val="Heading3"/>
        <w:rPr>
          <w:rFonts w:hint="eastAsia"/>
        </w:rPr>
      </w:pPr>
      <w:r>
        <w:t>E.2.5 New Zealand: Ministry of Foreign Affairs and Trade (MFAT)</w:t>
      </w:r>
    </w:p>
    <w:p w14:paraId="44C0B718" w14:textId="77777777" w:rsidR="00D708EC" w:rsidRDefault="00000000">
      <w:pPr>
        <w:rPr>
          <w:rFonts w:hint="eastAsia"/>
        </w:rPr>
      </w:pPr>
      <w:r>
        <w:t>New Zealand's International Development Cooperation Programme operates on a three-year triennium basis with total funding of NZD 3.06 billion for 2024-2027. MFAT organizes funding into six allocation groups: Pacific Development Cooperation, Global Development Cooperation, Humanitarian Assistance, Multilateral Agencies, and Strategic Evaluation.</w:t>
      </w:r>
    </w:p>
    <w:p w14:paraId="303CDFEC" w14:textId="77777777" w:rsidR="00D708EC" w:rsidRDefault="00000000">
      <w:pPr>
        <w:rPr>
          <w:rFonts w:hint="eastAsia"/>
        </w:rPr>
      </w:pPr>
      <w:r>
        <w:t>Application pathway: Iran accesses New Zealand funding through MFAT's Humanitarian Assistance allocation (NZD 291 million over the triennium) or through multilateral partnerships. MFAT prioritizes funding through the UN system, ICRC, and international NGOs. Direct bilateral applications require a partnership agreement.</w:t>
      </w:r>
    </w:p>
    <w:p w14:paraId="2A673029" w14:textId="77777777" w:rsidR="00D708EC" w:rsidRDefault="00000000">
      <w:pPr>
        <w:pStyle w:val="Heading3"/>
        <w:rPr>
          <w:rFonts w:hint="eastAsia"/>
        </w:rPr>
      </w:pPr>
      <w:r>
        <w:t>E.3 Asia-Pacific Development Partners</w:t>
      </w:r>
    </w:p>
    <w:p w14:paraId="53AF5D0D" w14:textId="77777777" w:rsidR="00D708EC" w:rsidRDefault="00000000">
      <w:pPr>
        <w:pStyle w:val="Heading3"/>
        <w:rPr>
          <w:rFonts w:hint="eastAsia"/>
        </w:rPr>
      </w:pPr>
      <w:r>
        <w:t>E.3.1 Japan International Cooperation Agency (JICA)</w:t>
      </w:r>
    </w:p>
    <w:p w14:paraId="0991927E" w14:textId="77777777" w:rsidR="00D708EC" w:rsidRDefault="00000000">
      <w:pPr>
        <w:rPr>
          <w:rFonts w:hint="eastAsia"/>
        </w:rPr>
      </w:pPr>
      <w:r>
        <w:t>JICA implements Japan's official development assistance through concessional loans, grants, and technical cooperation. JICA maintains expertise in infrastructure development, disaster resilience, energy efficiency, and water resource management.</w:t>
      </w:r>
    </w:p>
    <w:p w14:paraId="30ADAC4A" w14:textId="77777777" w:rsidR="00D708EC" w:rsidRDefault="00000000">
      <w:pPr>
        <w:rPr>
          <w:rFonts w:hint="eastAsia"/>
        </w:rPr>
      </w:pPr>
      <w:r>
        <w:t>Application pathway: Iran submits a request for cooperation through the Japanese embassy in Tehran. JICA conducts a preliminary survey (60-90 days), followed by detailed project formulation. Loan and grant agreements require approval by the Japanese cabinet. Technical cooperation projects initiate within 6-12 months of request.</w:t>
      </w:r>
    </w:p>
    <w:p w14:paraId="11B7556C" w14:textId="77777777" w:rsidR="00D708EC" w:rsidRDefault="00000000">
      <w:pPr>
        <w:pStyle w:val="Heading3"/>
        <w:rPr>
          <w:rFonts w:hint="eastAsia"/>
        </w:rPr>
      </w:pPr>
      <w:r>
        <w:t>E.3.2 Korea International Cooperation Agency (KOICA)</w:t>
      </w:r>
    </w:p>
    <w:p w14:paraId="4154CF19" w14:textId="77777777" w:rsidR="00D708EC" w:rsidRDefault="00000000">
      <w:pPr>
        <w:rPr>
          <w:rFonts w:hint="eastAsia"/>
        </w:rPr>
      </w:pPr>
      <w:r>
        <w:t xml:space="preserve">KOICA administers South Korea's grant aid and technical cooperation programs. South Korea's development assistance emphasizes infrastructure, education, health, and </w:t>
      </w:r>
      <w:r>
        <w:lastRenderedPageBreak/>
        <w:t>technology transfer. KOICA operates country partnership programs aligned with recipient government priorities.</w:t>
      </w:r>
    </w:p>
    <w:p w14:paraId="6D99DB21" w14:textId="77777777" w:rsidR="00D708EC" w:rsidRDefault="00000000">
      <w:pPr>
        <w:rPr>
          <w:rFonts w:hint="eastAsia"/>
        </w:rPr>
      </w:pPr>
      <w:r>
        <w:t>Application pathway: Iran submits a cooperation request through the Korean embassy in Tehran. KOICA conducts a country partnership assessment and identifies priority sectors. Project proposals undergo KOICA technical review (60-90 days) followed by board approval. Implementation begins within 6 months of approval.</w:t>
      </w:r>
    </w:p>
    <w:p w14:paraId="42787427" w14:textId="77777777" w:rsidR="00D708EC" w:rsidRDefault="00000000">
      <w:pPr>
        <w:pStyle w:val="Heading3"/>
        <w:rPr>
          <w:rFonts w:hint="eastAsia"/>
        </w:rPr>
      </w:pPr>
      <w:r>
        <w:t>E.3.3 Asian Development Bank (ADB)</w:t>
      </w:r>
    </w:p>
    <w:p w14:paraId="220CDD0D" w14:textId="77777777" w:rsidR="00D708EC" w:rsidRDefault="00000000">
      <w:pPr>
        <w:rPr>
          <w:rFonts w:hint="eastAsia"/>
        </w:rPr>
      </w:pPr>
      <w:r>
        <w:t>The ADB provides sovereign lending, grants, and technical assistance to developing member countries. The ADB's Emergency Assistance Lending (EAL) instrument specifically addresses post-conflict reconstruction, offering rapid response financing for high-priority infrastructure rehabilitation.</w:t>
      </w:r>
    </w:p>
    <w:p w14:paraId="6289103D" w14:textId="77777777" w:rsidR="00D708EC" w:rsidRDefault="00000000">
      <w:pPr>
        <w:rPr>
          <w:rFonts w:hint="eastAsia"/>
        </w:rPr>
      </w:pPr>
      <w:r>
        <w:t>Application pathway: Iran submits a project proposal through the ADB's Iran Resident Mission or through the Ministry of Economy. ADB conducts project appraisal (90-120 days), followed by board approval. Post-conflict emergency assistance receives expedited processing (60-90 days). The ADB also provides technical assistance grants for project preparation.</w:t>
      </w:r>
    </w:p>
    <w:p w14:paraId="3F40F02B" w14:textId="77777777" w:rsidR="00D708EC" w:rsidRDefault="00000000">
      <w:pPr>
        <w:pStyle w:val="Heading3"/>
        <w:rPr>
          <w:rFonts w:hint="eastAsia"/>
        </w:rPr>
      </w:pPr>
      <w:r>
        <w:t>E.4 Sovereign Wealth Funds and Institutional Investors</w:t>
      </w:r>
    </w:p>
    <w:p w14:paraId="394A6CB3" w14:textId="77777777" w:rsidR="00D708EC" w:rsidRDefault="00000000">
      <w:pPr>
        <w:pStyle w:val="Heading3"/>
        <w:rPr>
          <w:rFonts w:hint="eastAsia"/>
        </w:rPr>
      </w:pPr>
      <w:r>
        <w:t>E.4.1 Government of Singapore Investment Corporation (GIC)</w:t>
      </w:r>
    </w:p>
    <w:p w14:paraId="7738E903" w14:textId="77777777" w:rsidR="00D708EC" w:rsidRDefault="00000000">
      <w:pPr>
        <w:rPr>
          <w:rFonts w:hint="eastAsia"/>
        </w:rPr>
      </w:pPr>
      <w:r>
        <w:t>GIC manages Singapore's sovereign wealth with a diversified global portfolio across asset classes including infrastructure, real estate, and private equity. GIC actively co-invests in infrastructure projects and maintains a significant allocation to emerging market infrastructure.</w:t>
      </w:r>
    </w:p>
    <w:p w14:paraId="5D501E0F" w14:textId="77777777" w:rsidR="00D708EC" w:rsidRDefault="00000000">
      <w:pPr>
        <w:rPr>
          <w:rFonts w:hint="eastAsia"/>
        </w:rPr>
      </w:pPr>
      <w:r>
        <w:t>GIC deployed over USD 13.7 billion in digitalization and AI-related infrastructure investments in 2025 alone, and remains the world's most active co-investor among sovereign wealth funds. GIC has a stated interest in energy transition infrastructure, data centers, and sustainable development projects.</w:t>
      </w:r>
    </w:p>
    <w:p w14:paraId="659E1CF5" w14:textId="77777777" w:rsidR="00D708EC" w:rsidRDefault="00000000">
      <w:pPr>
        <w:rPr>
          <w:rFonts w:hint="eastAsia"/>
        </w:rPr>
      </w:pPr>
      <w:r>
        <w:t>Application pathway: GIC participates through direct investment or co-investment arrangements. Iran presents infrastructure opportunities through the RSC investment desk. GIC conducts independent due diligence and negotiates investment terms directly. Co-investment with other MRF contributors is actively encouraged.</w:t>
      </w:r>
    </w:p>
    <w:p w14:paraId="7DC9D857" w14:textId="77777777" w:rsidR="00D708EC" w:rsidRDefault="00000000">
      <w:pPr>
        <w:pStyle w:val="Heading3"/>
        <w:rPr>
          <w:rFonts w:hint="eastAsia"/>
        </w:rPr>
      </w:pPr>
      <w:r>
        <w:t>E.4.2 Norway Government Pension Fund Global (GPFG)</w:t>
      </w:r>
    </w:p>
    <w:p w14:paraId="437D6CAE" w14:textId="77777777" w:rsidR="00D708EC" w:rsidRDefault="00000000">
      <w:pPr>
        <w:rPr>
          <w:rFonts w:hint="eastAsia"/>
        </w:rPr>
      </w:pPr>
      <w:r>
        <w:t>The GPFG (managed by Norges Bank Investment Management) holds over USD 1.7 trillion in assets, making it the world's largest sovereign wealth fund. The GPFG allocates approximately 3% of its portfolio to real assets including infrastructure and real estate.</w:t>
      </w:r>
    </w:p>
    <w:p w14:paraId="3DBF186B" w14:textId="77777777" w:rsidR="00D708EC" w:rsidRDefault="00000000">
      <w:pPr>
        <w:rPr>
          <w:rFonts w:hint="eastAsia"/>
        </w:rPr>
      </w:pPr>
      <w:r>
        <w:t xml:space="preserve">Application pathway: GPFG invests through public markets and private infrastructure funds rather than direct project finance. Iran-related opportunities require GPFG's ethical council </w:t>
      </w:r>
      <w:r>
        <w:lastRenderedPageBreak/>
        <w:t>assessment for compliance with the fund's responsible investment guidelines. The RSC secretariat maintains engagement with NBIM for potential portfolio investment in Iran-linked infrastructure funds.</w:t>
      </w:r>
    </w:p>
    <w:p w14:paraId="6718861A" w14:textId="77777777" w:rsidR="00D708EC" w:rsidRDefault="00000000">
      <w:pPr>
        <w:pStyle w:val="Heading3"/>
        <w:rPr>
          <w:rFonts w:hint="eastAsia"/>
        </w:rPr>
      </w:pPr>
      <w:r>
        <w:t>E.4.3 Netherlands: Development Finance Institutions</w:t>
      </w:r>
    </w:p>
    <w:p w14:paraId="32DD8D5B" w14:textId="77777777" w:rsidR="00D708EC" w:rsidRDefault="00000000">
      <w:pPr>
        <w:rPr>
          <w:rFonts w:hint="eastAsia"/>
        </w:rPr>
      </w:pPr>
      <w:r>
        <w:t>The Netherlands deploys development finance through multiple channels: the Dutch Development Bank (FMO) for private sector investment, the Investment Fund for Developing Countries (Dutch Investment Fund), and the Netherlands Enterprise Agency (RVO) for trade and development partnerships.</w:t>
      </w:r>
    </w:p>
    <w:p w14:paraId="7884A3D6" w14:textId="77777777" w:rsidR="00D708EC" w:rsidRDefault="00000000">
      <w:pPr>
        <w:rPr>
          <w:rFonts w:hint="eastAsia"/>
        </w:rPr>
      </w:pPr>
      <w:r>
        <w:t>Application pathway: Iran accesses Dutch development finance through FMO's emerging markets infrastructure window or through the Dutch Good Growth Fund. Applications require a viable business case and development impact assessment. FMO co-finances with other development finance institutions and private investors.</w:t>
      </w:r>
    </w:p>
    <w:p w14:paraId="138E4966" w14:textId="77777777" w:rsidR="00D708EC" w:rsidRDefault="00000000">
      <w:pPr>
        <w:pStyle w:val="Heading3"/>
        <w:rPr>
          <w:rFonts w:hint="eastAsia"/>
        </w:rPr>
      </w:pPr>
      <w:r>
        <w:t>E.5 United Kingdom Development Partnerships</w:t>
      </w:r>
    </w:p>
    <w:p w14:paraId="54A27CE2" w14:textId="77777777" w:rsidR="00D708EC" w:rsidRDefault="00000000">
      <w:pPr>
        <w:pStyle w:val="Heading3"/>
        <w:rPr>
          <w:rFonts w:hint="eastAsia"/>
        </w:rPr>
      </w:pPr>
      <w:r>
        <w:t>E.5.1 UK Foreign, Commonwealth and Development Office (FCDO)</w:t>
      </w:r>
    </w:p>
    <w:p w14:paraId="789DD818" w14:textId="77777777" w:rsidR="00D708EC" w:rsidRDefault="00000000">
      <w:pPr>
        <w:rPr>
          <w:rFonts w:hint="eastAsia"/>
        </w:rPr>
      </w:pPr>
      <w:r>
        <w:t>The FCDO manages the UK's Official Development Assistance (ODA) spending, which totaled over GBP 8 billion in 2024. The UK channels significant funding through multilateral development banks (GBP 2.3 billion), global health bodies (GBP 1.5 billion), climate funds (GBP 586 million), and UN agencies (GBP 253 million).</w:t>
      </w:r>
    </w:p>
    <w:p w14:paraId="5A78036F" w14:textId="77777777" w:rsidR="00D708EC" w:rsidRDefault="00000000">
      <w:pPr>
        <w:rPr>
          <w:rFonts w:hint="eastAsia"/>
        </w:rPr>
      </w:pPr>
      <w:r>
        <w:t>Application pathway: Iran accesses UK development funding through multilateral channels (World Bank trust funds, UN agencies, climate funds). The FCDO directs the majority of its development spending through multilateral institutions. Direct bilateral applications require an approved country partnership framework.</w:t>
      </w:r>
    </w:p>
    <w:p w14:paraId="492896C2" w14:textId="77777777" w:rsidR="00D708EC" w:rsidRDefault="00000000">
      <w:pPr>
        <w:pStyle w:val="Heading3"/>
        <w:rPr>
          <w:rFonts w:hint="eastAsia"/>
        </w:rPr>
      </w:pPr>
      <w:r>
        <w:t>E.6 Private Foundations and Philanthropic Sources</w:t>
      </w:r>
    </w:p>
    <w:p w14:paraId="352C7DB9" w14:textId="77777777" w:rsidR="00D708EC" w:rsidRDefault="00000000">
      <w:pPr>
        <w:pStyle w:val="Heading3"/>
        <w:rPr>
          <w:rFonts w:hint="eastAsia"/>
        </w:rPr>
      </w:pPr>
      <w:r>
        <w:t>E.6.1 Rockefeller Foundation</w:t>
      </w:r>
    </w:p>
    <w:p w14:paraId="06DFF59B" w14:textId="77777777" w:rsidR="00D708EC" w:rsidRDefault="00000000">
      <w:pPr>
        <w:rPr>
          <w:rFonts w:hint="eastAsia"/>
        </w:rPr>
      </w:pPr>
      <w:r>
        <w:t>The Rockefeller Foundation maintains a USD 100 million commitment to climate and health solutions announced at COP28. The Foundation supports the Adaptation and Resilience Fund (in partnership with ClimateWorks Foundation) and focuses on building resilience in cities facing climate-related health threats.</w:t>
      </w:r>
    </w:p>
    <w:p w14:paraId="58DDF527" w14:textId="77777777" w:rsidR="00D708EC" w:rsidRDefault="00000000">
      <w:pPr>
        <w:rPr>
          <w:rFonts w:hint="eastAsia"/>
        </w:rPr>
      </w:pPr>
      <w:r>
        <w:t>Application pathway: The Foundation accepts proposals through its open application portal and through partnership networks. The RSC secretariat coordinates with the Foundation's regional representatives to identify aligned projects. Priority areas include climate-resilient health infrastructure, urban resilience, and energy access.</w:t>
      </w:r>
    </w:p>
    <w:p w14:paraId="5612BBB3" w14:textId="77777777" w:rsidR="00D708EC" w:rsidRDefault="00000000">
      <w:pPr>
        <w:pStyle w:val="Heading3"/>
        <w:rPr>
          <w:rFonts w:hint="eastAsia"/>
        </w:rPr>
      </w:pPr>
      <w:r>
        <w:t>E.6.2 ClimateWorks Foundation: Adaptation and Resilience Fund</w:t>
      </w:r>
    </w:p>
    <w:p w14:paraId="27B79666" w14:textId="77777777" w:rsidR="00D708EC" w:rsidRDefault="00000000">
      <w:pPr>
        <w:rPr>
          <w:rFonts w:hint="eastAsia"/>
        </w:rPr>
      </w:pPr>
      <w:r>
        <w:t>The Adaptation and Resilience Fund directs philanthropic capital to climate resilience solutions in low- and middle-income countries. The Fund focuses on four pillars: evidence-</w:t>
      </w:r>
      <w:r>
        <w:lastRenderedPageBreak/>
        <w:t>based policy research, institutional capacity strengthening, innovative finance mechanisms, and community-led resilience programs.</w:t>
      </w:r>
    </w:p>
    <w:p w14:paraId="49118EC3" w14:textId="77777777" w:rsidR="00D708EC" w:rsidRDefault="00000000">
      <w:pPr>
        <w:rPr>
          <w:rFonts w:hint="eastAsia"/>
        </w:rPr>
      </w:pPr>
      <w:r>
        <w:t>Application pathway: The Fund accepts proposals from implementing organizations, research institutions, and local governments. Applications undergo a two-stage review: concept note (30-day review) followed by full proposal (60-day review). The RSC facilitates introductions between Iranian implementing agencies and the Fund's network.</w:t>
      </w:r>
    </w:p>
    <w:p w14:paraId="419EA229" w14:textId="77777777" w:rsidR="00D708EC" w:rsidRDefault="00000000">
      <w:pPr>
        <w:pStyle w:val="Heading3"/>
        <w:rPr>
          <w:rFonts w:hint="eastAsia"/>
        </w:rPr>
      </w:pPr>
      <w:r>
        <w:t>E.7 Specialized Multilateral Facilities</w:t>
      </w:r>
    </w:p>
    <w:p w14:paraId="7DBFD821" w14:textId="77777777" w:rsidR="00D708EC" w:rsidRDefault="00000000">
      <w:pPr>
        <w:pStyle w:val="Heading3"/>
        <w:rPr>
          <w:rFonts w:hint="eastAsia"/>
        </w:rPr>
      </w:pPr>
      <w:r>
        <w:t>E.7.1 OPEC Fund for International Development (OFID)</w:t>
      </w:r>
    </w:p>
    <w:p w14:paraId="43D37701" w14:textId="77777777" w:rsidR="00D708EC" w:rsidRDefault="00000000">
      <w:pPr>
        <w:rPr>
          <w:rFonts w:hint="eastAsia"/>
        </w:rPr>
      </w:pPr>
      <w:r>
        <w:t>The OPEC Fund provides concessional financing, grants, and technical assistance to developing countries. The Fund operates across all developing regions with a focus on energy, transportation, water, health, and education. Iran qualifies as a partner country through its OPEC membership.</w:t>
      </w:r>
    </w:p>
    <w:p w14:paraId="22893583" w14:textId="77777777" w:rsidR="00D708EC" w:rsidRDefault="00000000">
      <w:pPr>
        <w:rPr>
          <w:rFonts w:hint="eastAsia"/>
        </w:rPr>
      </w:pPr>
      <w:r>
        <w:t>Application pathway for sovereign loans: Iran submits a project proposal through the OFID country representative or directly to OFID headquarters in Vienna. The proposal undergoes technical appraisal (60-90 days), followed by board approval. Loan disbursement proceeds upon signing of the financing agreement.</w:t>
      </w:r>
    </w:p>
    <w:p w14:paraId="04D69565" w14:textId="77777777" w:rsidR="00D708EC" w:rsidRDefault="00000000">
      <w:pPr>
        <w:rPr>
          <w:rFonts w:hint="eastAsia"/>
        </w:rPr>
      </w:pPr>
      <w:r>
        <w:t>Application pathway for grants: Eligible partners submit grant applications to SPES-GTA@ofid.org. Grant applications include: project description, budget, implementation timeline, and expected outcomes. The Fund reviews applications on a rolling basis with no fixed deadline.</w:t>
      </w:r>
    </w:p>
    <w:p w14:paraId="372DFD03" w14:textId="77777777" w:rsidR="00D708EC" w:rsidRDefault="00000000">
      <w:pPr>
        <w:rPr>
          <w:rFonts w:hint="eastAsia"/>
        </w:rPr>
      </w:pPr>
      <w:r>
        <w:t>Application pathway for private sector: Project sponsors submit an initial documentation package including project description, market analysis, organizational structure, and financial projections. OFID requests a full feasibility study upon favorable preliminary review. Contact: opecfund.org/what-we-do/private-sector/applying-for-funding</w:t>
      </w:r>
    </w:p>
    <w:p w14:paraId="7A503434" w14:textId="77777777" w:rsidR="00D708EC" w:rsidRDefault="00000000">
      <w:pPr>
        <w:pStyle w:val="Heading3"/>
        <w:rPr>
          <w:rFonts w:hint="eastAsia"/>
        </w:rPr>
      </w:pPr>
      <w:r>
        <w:t>E.7.2 African Development Bank: Transition Support Facility (TSF)</w:t>
      </w:r>
    </w:p>
    <w:p w14:paraId="71EFA01B" w14:textId="77777777" w:rsidR="00D708EC" w:rsidRDefault="00000000">
      <w:pPr>
        <w:rPr>
          <w:rFonts w:hint="eastAsia"/>
        </w:rPr>
      </w:pPr>
      <w:r>
        <w:t>While the AfDB's primary mandate covers Africa, its Transition Support Facility model demonstrates the operational framework for post-conflict reconstruction financing. The TSF mobilized over USD 4.9 billion for fragile states and pioneered Security-Indexed Investment Bonds (SIIBs) to finance peace-supporting infrastructure.</w:t>
      </w:r>
    </w:p>
    <w:p w14:paraId="10DE1755" w14:textId="77777777" w:rsidR="00D708EC" w:rsidRDefault="00000000">
      <w:pPr>
        <w:rPr>
          <w:rFonts w:hint="eastAsia"/>
        </w:rPr>
      </w:pPr>
      <w:r>
        <w:t>The AfDB's partnership with the Islamic Development Bank (IsDB) and ICRC creates a trilateral cooperation framework for conflict-affected settings. This framework offers lessons for MRF operations in Iran, particularly in sequencing rehabilitation investments and coordinating humanitarian and development financing.</w:t>
      </w:r>
    </w:p>
    <w:p w14:paraId="3331E488" w14:textId="77777777" w:rsidR="00D708EC" w:rsidRDefault="00000000">
      <w:pPr>
        <w:pStyle w:val="Heading3"/>
        <w:rPr>
          <w:rFonts w:hint="eastAsia"/>
        </w:rPr>
      </w:pPr>
      <w:r>
        <w:t>E.7.3 Switzerland: State Secretariat for Economic Affairs (SECO)</w:t>
      </w:r>
    </w:p>
    <w:p w14:paraId="1C190848" w14:textId="77777777" w:rsidR="00D708EC" w:rsidRDefault="00000000">
      <w:pPr>
        <w:rPr>
          <w:rFonts w:hint="eastAsia"/>
        </w:rPr>
      </w:pPr>
      <w:r>
        <w:t xml:space="preserve">SECO manages Switzerland's economic development cooperation with a focus on private sector development, sustainable infrastructure, and climate finance. Switzerland recently </w:t>
      </w:r>
      <w:r>
        <w:lastRenderedPageBreak/>
        <w:t>contributed USD 70 million to the Private Infrastructure Development Group (PIDG) for sustainable infrastructure in developing countries.</w:t>
      </w:r>
    </w:p>
    <w:p w14:paraId="075F6197" w14:textId="77777777" w:rsidR="00D708EC" w:rsidRDefault="00000000">
      <w:pPr>
        <w:rPr>
          <w:rFonts w:hint="eastAsia"/>
        </w:rPr>
      </w:pPr>
      <w:r>
        <w:t>Application pathway: Iran accesses Swiss development finance through SECO's partner country programs or through multilateral channels. SECO prioritizes co-financing arrangements with other development partners. The Swiss Agency for Development and Cooperation (SDC) manages humanitarian assistance through its own channels.</w:t>
      </w:r>
    </w:p>
    <w:p w14:paraId="712F9081" w14:textId="77777777" w:rsidR="00D708EC" w:rsidRDefault="00000000">
      <w:pPr>
        <w:pStyle w:val="Heading3"/>
        <w:rPr>
          <w:rFonts w:hint="eastAsia"/>
        </w:rPr>
      </w:pPr>
      <w:r>
        <w:t>E.8 Summary of Application Coordination</w:t>
      </w:r>
    </w:p>
    <w:p w14:paraId="48C79CF9" w14:textId="77777777" w:rsidR="00D708EC" w:rsidRDefault="00000000">
      <w:pPr>
        <w:rPr>
          <w:rFonts w:hint="eastAsia"/>
        </w:rPr>
      </w:pPr>
      <w:r>
        <w:t>The RSC secretariat serves as the central coordination hub for all external funding applications. The secretariat maintains a Funding Opportunities Database tracking application deadlines, eligibility criteria, and submission requirements for all listed sources. Iranian project proponents consult the database through the MRF transparency dashboard and coordinate submissions through the RSC to prevent duplication and maximize leverage.</w:t>
      </w:r>
    </w:p>
    <w:p w14:paraId="2CDDDCE4" w14:textId="77777777" w:rsidR="00D708EC" w:rsidRDefault="00000000">
      <w:pPr>
        <w:pStyle w:val="Heading2"/>
        <w:rPr>
          <w:rFonts w:hint="eastAsia"/>
        </w:rPr>
      </w:pPr>
      <w:bookmarkStart w:id="172" w:name="_Toc237663686"/>
      <w:r>
        <w:t>Appendix F: Force Majeure and Sanctions Reimposition Fallback Protocol</w:t>
      </w:r>
      <w:bookmarkEnd w:id="172"/>
    </w:p>
    <w:p w14:paraId="566FE7E6" w14:textId="77777777" w:rsidR="00D708EC" w:rsidRDefault="00000000">
      <w:pPr>
        <w:rPr>
          <w:rFonts w:hint="eastAsia"/>
        </w:rPr>
      </w:pPr>
      <w:r>
        <w:t>This Appendix establishes the procedural framework for responding to force majeure events, including the reimposition of sanctions that override the OFAC general license protecting MRF transactions. This protocol gives Iran and all donors confidence that funds already disbursed are secure and that undisbursed funds are protected, not lost.</w:t>
      </w:r>
    </w:p>
    <w:p w14:paraId="1E2050ED" w14:textId="77777777" w:rsidR="00D708EC" w:rsidRDefault="00000000">
      <w:pPr>
        <w:pStyle w:val="Heading3"/>
        <w:rPr>
          <w:rFonts w:hint="eastAsia"/>
        </w:rPr>
      </w:pPr>
      <w:r>
        <w:t>F.1 Definition of Force Majeure</w:t>
      </w:r>
    </w:p>
    <w:p w14:paraId="58CD5CED" w14:textId="77777777" w:rsidR="00D708EC" w:rsidRDefault="00000000">
      <w:pPr>
        <w:rPr>
          <w:rFonts w:hint="eastAsia"/>
        </w:rPr>
      </w:pPr>
      <w:r>
        <w:t>For the purposes of this Protocol, force majeure includes: (1) reimposition of UN Security Council sanctions on Iran that override the OFAC general license, (2) reimposition of U.S. secondary sanctions that prevent Qatar Central Bank or the World Bank from processing MRF transactions, (3) armed conflict resumption that makes project sites inaccessible for more than 90 consecutive days, (4) a UN Security Council resolution explicitly terminating or suspending the Islamabad Accord, (5) host government actions by Iran that materially breach the Accord and trigger donor withdrawal, or (6) a major contractor insolvency or default that halts construction on projects exceeding $500 million in aggregate value.</w:t>
      </w:r>
    </w:p>
    <w:p w14:paraId="5972DF37" w14:textId="77777777" w:rsidR="00D708EC" w:rsidRDefault="00000000">
      <w:pPr>
        <w:pStyle w:val="Heading3"/>
        <w:rPr>
          <w:rFonts w:hint="eastAsia"/>
        </w:rPr>
      </w:pPr>
      <w:r>
        <w:t>F.2 Immediate Response Procedures</w:t>
      </w:r>
    </w:p>
    <w:p w14:paraId="26EA2922" w14:textId="77777777" w:rsidR="00D708EC" w:rsidRDefault="00000000">
      <w:pPr>
        <w:rPr>
          <w:rFonts w:hint="eastAsia"/>
        </w:rPr>
      </w:pPr>
      <w:r>
        <w:t>Upon occurrence of a force majeure event, the following sequence activates automatically:</w:t>
      </w:r>
    </w:p>
    <w:p w14:paraId="0038C344" w14:textId="77777777" w:rsidR="00D708EC" w:rsidRDefault="00000000">
      <w:pPr>
        <w:rPr>
          <w:rFonts w:hint="eastAsia"/>
        </w:rPr>
      </w:pPr>
      <w:r>
        <w:t>Step 1 (Within 24 hours): The RSC Chair declares a Force Majeure Event by written notice to all RSC members, the Qatar Central Bank, and the World Bank. All new disbursements suspend immediately upon declaration.</w:t>
      </w:r>
    </w:p>
    <w:p w14:paraId="1CA7A6E0" w14:textId="77777777" w:rsidR="00D708EC" w:rsidRDefault="00000000">
      <w:pPr>
        <w:rPr>
          <w:rFonts w:hint="eastAsia"/>
        </w:rPr>
      </w:pPr>
      <w:r>
        <w:t>Step 2 (Within 72 hours): The Qatar Central Bank freezes all undisbursed funds in their respective Sub-Fund accounts. Frozen funds remain in trust and earn interest at the QCB overnight deposit rate.</w:t>
      </w:r>
    </w:p>
    <w:p w14:paraId="66B9A86E" w14:textId="77777777" w:rsidR="00D708EC" w:rsidRDefault="00000000">
      <w:pPr>
        <w:rPr>
          <w:rFonts w:hint="eastAsia"/>
        </w:rPr>
      </w:pPr>
      <w:r>
        <w:lastRenderedPageBreak/>
        <w:t>Step 3 (Within 15 days): The RSC convenes an Emergency Session to assess the force majeure scope, estimate the suspension duration, and determine which projects safely continue under the PRI Pool's force majeure coverage.</w:t>
      </w:r>
    </w:p>
    <w:p w14:paraId="7B7F7001" w14:textId="77777777" w:rsidR="00D708EC" w:rsidRDefault="00000000">
      <w:pPr>
        <w:rPr>
          <w:rFonts w:hint="eastAsia"/>
        </w:rPr>
      </w:pPr>
      <w:r>
        <w:t>Step 4 (Within 30 days): The RSC issues a Force Majeure Assessment Report containing: (a) the affected Sub-Funds and projects, (b) the total value of suspended disbursements, (c) the total value of funds already disbursed that are protected from clawback, (d) a recommended suspension duration, and (e) reactivation conditions.</w:t>
      </w:r>
    </w:p>
    <w:p w14:paraId="62F8D3B7" w14:textId="77777777" w:rsidR="00D708EC" w:rsidRDefault="00000000">
      <w:pPr>
        <w:pStyle w:val="Heading3"/>
        <w:rPr>
          <w:rFonts w:hint="eastAsia"/>
        </w:rPr>
      </w:pPr>
      <w:r>
        <w:t>F.3 Protection of Disbursed Funds</w:t>
      </w:r>
    </w:p>
    <w:p w14:paraId="7EDF0F55" w14:textId="77777777" w:rsidR="00D708EC" w:rsidRDefault="00000000">
      <w:pPr>
        <w:rPr>
          <w:rFonts w:hint="eastAsia"/>
        </w:rPr>
      </w:pPr>
      <w:r>
        <w:t>Funds already disbursed to contractors, suppliers, or Iranian government accounts prior to the force majeure declaration are not subject to clawback, freeze, or seizure. This protection applies regardless of the force majeure cause, including sanctions reimposition. The no-clawback provision is absolute and operates independently of the triggering event.</w:t>
      </w:r>
    </w:p>
    <w:p w14:paraId="4E5C39BF" w14:textId="77777777" w:rsidR="00D708EC" w:rsidRDefault="00000000">
      <w:pPr>
        <w:rPr>
          <w:rFonts w:hint="eastAsia"/>
        </w:rPr>
      </w:pPr>
      <w:r>
        <w:t>Contractors that have received milestone payments retain those funds for work completed and verified. The PRI Pool covers any contractual claims arising from force majeure suspension. Contractors continue work on projects covered by the PRI Pool's force majeure rider pending RSC determination.</w:t>
      </w:r>
    </w:p>
    <w:p w14:paraId="4320369E" w14:textId="77777777" w:rsidR="00D708EC" w:rsidRDefault="00000000">
      <w:pPr>
        <w:pStyle w:val="Heading3"/>
        <w:rPr>
          <w:rFonts w:hint="eastAsia"/>
        </w:rPr>
      </w:pPr>
      <w:r>
        <w:t>F.4 Protection of Undisbursed Funds</w:t>
      </w:r>
    </w:p>
    <w:p w14:paraId="45DC2A42" w14:textId="77777777" w:rsidR="00D708EC" w:rsidRDefault="00000000">
      <w:pPr>
        <w:rPr>
          <w:rFonts w:hint="eastAsia"/>
        </w:rPr>
      </w:pPr>
      <w:r>
        <w:t>Undisbursed funds held in the Qatar Central Bank escrow at the time of force majeure declaration remain in trust. The Qatar Central Bank maintains these funds in segregated Sub-Fund accounts with the following protections: (1) funds are not commingled with QCB general reserves, (2) funds earn interest at the QCB overnight deposit rate during suspension, (3) funds are not subject to attachment by creditors of Iran or any other party, (4) funds are available for reactivation upon RSC determination that the force majeure event has resolved.</w:t>
      </w:r>
    </w:p>
    <w:p w14:paraId="2A4DFE2B" w14:textId="77777777" w:rsidR="00D708EC" w:rsidRDefault="00000000">
      <w:pPr>
        <w:rPr>
          <w:rFonts w:hint="eastAsia"/>
        </w:rPr>
      </w:pPr>
      <w:r>
        <w:t>If the force majeure event persists for more than 365 days, the RSC convenes a Special Distribution Session to determine whether to: (a) return undisbursed funds to contributors on a pro-rata basis, (b) redirect undisbursed funds to a successor framework, or (c) maintain funds in trust pending further political developments. This determination requires consensus of all RSC voting members.</w:t>
      </w:r>
    </w:p>
    <w:p w14:paraId="0D1C8972" w14:textId="77777777" w:rsidR="00D708EC" w:rsidRDefault="00000000">
      <w:pPr>
        <w:pStyle w:val="Heading3"/>
        <w:rPr>
          <w:rFonts w:hint="eastAsia"/>
        </w:rPr>
      </w:pPr>
      <w:r>
        <w:t>F.5 Escrow Buffer for Cost Overruns</w:t>
      </w:r>
    </w:p>
    <w:p w14:paraId="1AD19B61" w14:textId="77777777" w:rsidR="00D708EC" w:rsidRDefault="00000000">
      <w:pPr>
        <w:rPr>
          <w:rFonts w:hint="eastAsia"/>
        </w:rPr>
      </w:pPr>
      <w:r>
        <w:t>The MRF maintains a dedicated Cost Overrun Escrow Buffer equal to 3% of total MRF capitalization (approximately $1.5 billion). This buffer is separate from the Sub-Fund-level Contingency Reserves and activates only when: (1) aggregate cost overruns across all Sub-Funds exceed the combined Contingency Reserve balances, (2) a force majeure event causes widespread project delays that inflate costs across multiple Sub-Funds simultaneously, or (3) the RSC certifies that cost overruns threaten the completion of critical infrastructure.</w:t>
      </w:r>
    </w:p>
    <w:p w14:paraId="76429E38" w14:textId="77777777" w:rsidR="00D708EC" w:rsidRDefault="00000000">
      <w:pPr>
        <w:rPr>
          <w:rFonts w:hint="eastAsia"/>
        </w:rPr>
      </w:pPr>
      <w:r>
        <w:lastRenderedPageBreak/>
        <w:t>Cost Overrun Escrow Buffer disbursements require unanimous approval of RSC voting members and independent audit confirmation that the overrun is genuine and unavoidable. The buffer is replenished from future contributor deposits or from rebalanced Sub-Fund allocations. Post-conflict reconstruction typically runs 30-50% over budget. Without this buffer, projects stall and donor confidence collapses.</w:t>
      </w:r>
    </w:p>
    <w:p w14:paraId="74BCBD35" w14:textId="77777777" w:rsidR="00D708EC" w:rsidRDefault="00000000">
      <w:pPr>
        <w:pStyle w:val="Heading3"/>
        <w:rPr>
          <w:rFonts w:hint="eastAsia"/>
        </w:rPr>
      </w:pPr>
      <w:r>
        <w:t>F.6 Reactivation Procedures</w:t>
      </w:r>
    </w:p>
    <w:p w14:paraId="07B385A1" w14:textId="77777777" w:rsidR="00D708EC" w:rsidRDefault="00000000">
      <w:pPr>
        <w:rPr>
          <w:rFonts w:hint="eastAsia"/>
        </w:rPr>
      </w:pPr>
      <w:r>
        <w:t>Upon resolution of the force majeure event, the RSC activates the following reactivation sequence: (1) The RSC Chair issues a Reactivation Notice by written declaration, (2) The Qatar Central Bank releases frozen funds within 48 hours of the Reactivation Notice, (3) The RSC conducts a project-by-project damage assessment to determine which projects resume, which require redesign, and which are no longer viable, (4) The TAG updates technical specifications and cost estimates for affected projects, (5) The RSC authorizes revised disbursement schedules, (6) Full MRF operations resume within 30 days of the Reactivation Notice.</w:t>
      </w:r>
    </w:p>
    <w:p w14:paraId="0D1A3035" w14:textId="77777777" w:rsidR="00D708EC" w:rsidRDefault="00000000">
      <w:pPr>
        <w:rPr>
          <w:rFonts w:hint="eastAsia"/>
        </w:rPr>
      </w:pPr>
      <w:r>
        <w:t>Projects that suffered physical damage during the force majeure suspension access the Cost Overrun Escrow Buffer for repair and remediation costs. Contractors that abandoned projects during suspension are replaced through the standard procurement process with preference given to contractors that maintained performance bond compliance.</w:t>
      </w:r>
    </w:p>
    <w:p w14:paraId="40B81601" w14:textId="77777777" w:rsidR="00D708EC" w:rsidRDefault="00000000">
      <w:pPr>
        <w:pStyle w:val="Heading3"/>
        <w:rPr>
          <w:rFonts w:hint="eastAsia"/>
        </w:rPr>
      </w:pPr>
      <w:r>
        <w:t>F.7 Non-Recognition Clause</w:t>
      </w:r>
    </w:p>
    <w:p w14:paraId="7130F967" w14:textId="77777777" w:rsidR="00D708EC" w:rsidRDefault="00000000">
      <w:pPr>
        <w:rPr>
          <w:rFonts w:hint="eastAsia"/>
        </w:rPr>
      </w:pPr>
      <w:r>
        <w:t>This Appendix is incorporated by reference into the Annex RDF and operates as a standalone protocol. Nothing in this Appendix constitutes recognition of any entity, government, territorial claim, or jurisdictional assertion by any Party. Participation in this Protocol does not prejudice the legal positions, sovereignty claims, sanctions positions, or future political negotiations of any Party. All Parties retain their respective positions regarding the legal status of Iran, the Persian Gulf, and adjacent maritime areas.</w:t>
      </w:r>
    </w:p>
    <w:p w14:paraId="7EDCEAD6" w14:textId="77777777" w:rsidR="00D708EC" w:rsidRDefault="00000000">
      <w:pPr>
        <w:rPr>
          <w:rFonts w:hint="eastAsia"/>
        </w:rPr>
      </w:pPr>
      <w:r>
        <w:t>This Protocol does not create any new legal obligations beyond those established in the Annex RDF, the Islamabad Accord, or the CTAF. In the event of inconsistency, the hierarchy established in Article 6 of this Annex governs.</w:t>
      </w:r>
    </w:p>
    <w:p w14:paraId="7C2A0ED9" w14:textId="77777777" w:rsidR="00D708EC" w:rsidRDefault="00000000">
      <w:pPr>
        <w:pStyle w:val="Heading2"/>
        <w:rPr>
          <w:rFonts w:hint="eastAsia"/>
        </w:rPr>
      </w:pPr>
      <w:bookmarkStart w:id="173" w:name="_Toc237663687"/>
      <w:r>
        <w:t>End of Annex RDF</w:t>
      </w:r>
      <w:bookmarkEnd w:id="173"/>
    </w:p>
    <w:p w14:paraId="74888574" w14:textId="77777777" w:rsidR="00D708EC" w:rsidRDefault="00000000">
      <w:pPr>
        <w:rPr>
          <w:rFonts w:hint="eastAsia"/>
        </w:rPr>
      </w:pPr>
      <w:r>
        <w:t>In witness whereof, the undersigned, being duly authorized by their respective governments, have signed this Annex RDF to the Coordinated Technical Activation Framework.</w:t>
      </w:r>
    </w:p>
    <w:p w14:paraId="34749F43" w14:textId="77777777" w:rsidR="00D708EC" w:rsidRDefault="00000000">
      <w:pPr>
        <w:rPr>
          <w:rFonts w:hint="eastAsia"/>
        </w:rPr>
      </w:pPr>
      <w:r>
        <w:t>Done at [Location], this _____ day of ___________, 2026.</w:t>
      </w:r>
    </w:p>
    <w:p w14:paraId="790EAB5F" w14:textId="77777777" w:rsidR="00D708EC" w:rsidRDefault="00000000">
      <w:pPr>
        <w:rPr>
          <w:rFonts w:hint="eastAsia"/>
        </w:rPr>
      </w:pPr>
      <w:r>
        <w:t>For the Islamic Republic of Iran: _______________________</w:t>
      </w:r>
    </w:p>
    <w:p w14:paraId="42D15A24" w14:textId="77777777" w:rsidR="00D708EC" w:rsidRDefault="00000000">
      <w:pPr>
        <w:rPr>
          <w:rFonts w:hint="eastAsia"/>
        </w:rPr>
      </w:pPr>
      <w:r>
        <w:t>For the State of Qatar: _______________________</w:t>
      </w:r>
    </w:p>
    <w:p w14:paraId="747BF004" w14:textId="77777777" w:rsidR="00D708EC" w:rsidRDefault="00000000">
      <w:pPr>
        <w:rPr>
          <w:rFonts w:hint="eastAsia"/>
        </w:rPr>
      </w:pPr>
      <w:r>
        <w:t>For the Sultanate of Oman: _______________________</w:t>
      </w:r>
    </w:p>
    <w:p w14:paraId="51B3BA98" w14:textId="77777777" w:rsidR="00D708EC" w:rsidRDefault="00000000">
      <w:pPr>
        <w:rPr>
          <w:rFonts w:hint="eastAsia"/>
        </w:rPr>
      </w:pPr>
      <w:r>
        <w:t>For the World Bank: _______________________</w:t>
      </w:r>
    </w:p>
    <w:p w14:paraId="770A3DD8" w14:textId="77777777" w:rsidR="00D708EC" w:rsidRDefault="00000000">
      <w:pPr>
        <w:rPr>
          <w:rFonts w:hint="eastAsia"/>
        </w:rPr>
      </w:pPr>
      <w:r>
        <w:lastRenderedPageBreak/>
        <w:t>Witnessed by: _______________________</w:t>
      </w:r>
    </w:p>
    <w:p w14:paraId="5EF3857F" w14:textId="77777777" w:rsidR="00D708EC" w:rsidRDefault="00000000">
      <w:pPr>
        <w:pStyle w:val="Heading2"/>
        <w:rPr>
          <w:rFonts w:hint="eastAsia"/>
        </w:rPr>
      </w:pPr>
      <w:bookmarkStart w:id="174" w:name="_Toc237663688"/>
      <w:r>
        <w:t>Appendix G: Additional International Funding Sources</w:t>
      </w:r>
      <w:bookmarkEnd w:id="174"/>
    </w:p>
    <w:p w14:paraId="3F55470F" w14:textId="77777777" w:rsidR="00D708EC" w:rsidRDefault="00000000">
      <w:pPr>
        <w:rPr>
          <w:rFonts w:hint="eastAsia"/>
        </w:rPr>
      </w:pPr>
      <w:r>
        <w:t>This Appendix catalogs additional funding sources discovered through expanded global research. These sources complement Appendices D and E and are coordinated through the RSC Funding Opportunities Database.</w:t>
      </w:r>
    </w:p>
    <w:p w14:paraId="4593CFD5" w14:textId="77777777" w:rsidR="00D708EC" w:rsidRDefault="00000000">
      <w:pPr>
        <w:pStyle w:val="Heading3"/>
        <w:rPr>
          <w:rFonts w:hint="eastAsia"/>
        </w:rPr>
      </w:pPr>
      <w:r>
        <w:t>G.1 GCC Bilateral Development Funds</w:t>
      </w:r>
    </w:p>
    <w:p w14:paraId="5298FFDC" w14:textId="77777777" w:rsidR="00D708EC" w:rsidRDefault="00000000">
      <w:pPr>
        <w:pStyle w:val="Heading3"/>
        <w:rPr>
          <w:rFonts w:hint="eastAsia"/>
        </w:rPr>
      </w:pPr>
      <w:r>
        <w:t>G.1.1 Kuwait Fund for Arab Economic Development (KFAED)</w:t>
      </w:r>
    </w:p>
    <w:p w14:paraId="529C80D3" w14:textId="77777777" w:rsidR="00D708EC" w:rsidRDefault="00000000">
      <w:pPr>
        <w:rPr>
          <w:rFonts w:hint="eastAsia"/>
        </w:rPr>
      </w:pPr>
      <w:r>
        <w:t>The KFAED operates as Kuwait's bilateral development finance institution with a mandate extending to all Arab League member states, which includes Iran. The Fund finances vital infrastructure projects across energy, water, transport, health, and education sectors. Recent financing includes the Gulf electricity interconnection system and regional power grid development.</w:t>
      </w:r>
    </w:p>
    <w:p w14:paraId="5906F9B0" w14:textId="77777777" w:rsidR="00D708EC" w:rsidRDefault="00000000">
      <w:pPr>
        <w:rPr>
          <w:rFonts w:hint="eastAsia"/>
        </w:rPr>
      </w:pPr>
      <w:r>
        <w:t>Potential allocation for Iran: $1-2 billion for energy infrastructure, water systems, and transport corridors. KFAED provides concessional loans with long maturities (20-30 years), grace periods (5-10 years), and interest rates below 2% per annum.</w:t>
      </w:r>
    </w:p>
    <w:p w14:paraId="7BA5C95F" w14:textId="77777777" w:rsidR="00D708EC" w:rsidRDefault="00000000">
      <w:pPr>
        <w:rPr>
          <w:rFonts w:hint="eastAsia"/>
        </w:rPr>
      </w:pPr>
      <w:r>
        <w:t>Application pathway: Iran submits a project proposal through the KFAED country program office. The proposal undergoes technical appraisal (90-120 days) followed by board approval. KFAED coordinates with the MRF through the RSC secretariat to ensure alignment with Sub-Fund priorities.</w:t>
      </w:r>
    </w:p>
    <w:p w14:paraId="222B4C0E" w14:textId="77777777" w:rsidR="00D708EC" w:rsidRDefault="00000000">
      <w:pPr>
        <w:pStyle w:val="Heading3"/>
        <w:rPr>
          <w:rFonts w:hint="eastAsia"/>
        </w:rPr>
      </w:pPr>
      <w:r>
        <w:t>G.1.2 Arab Fund for Economic and Social Development (AFESD)</w:t>
      </w:r>
    </w:p>
    <w:p w14:paraId="72118961" w14:textId="77777777" w:rsidR="00D708EC" w:rsidRDefault="00000000">
      <w:pPr>
        <w:rPr>
          <w:rFonts w:hint="eastAsia"/>
        </w:rPr>
      </w:pPr>
      <w:r>
        <w:t>The AFESD is a Kuwait-based pan-Arab development finance institution. All Arab League member states are members of the AFESD. As of 2024, the Fund holds approximately $10 billion in assets and finances development projects across the Arab world with priority given to joint Arab projects.</w:t>
      </w:r>
    </w:p>
    <w:p w14:paraId="25D03557" w14:textId="77777777" w:rsidR="00D708EC" w:rsidRDefault="00000000">
      <w:pPr>
        <w:rPr>
          <w:rFonts w:hint="eastAsia"/>
        </w:rPr>
      </w:pPr>
      <w:r>
        <w:t>The AFESD provides both loans and grants. Approximately 5% of annual net income is allocated to grants supporting technical and economic feasibility studies, seminars, conferences, and institutional training. Grant sizes range from $20,000 to over $10 million. Loan terms include concessional rates and extended maturities.</w:t>
      </w:r>
    </w:p>
    <w:p w14:paraId="3F9B220C" w14:textId="77777777" w:rsidR="00D708EC" w:rsidRDefault="00000000">
      <w:pPr>
        <w:rPr>
          <w:rFonts w:hint="eastAsia"/>
        </w:rPr>
      </w:pPr>
      <w:r>
        <w:t>Application pathway: Iran accesses AFESD financing through its membership in the Arab League. National grant requests require a letter from the AFESD Governor for Iran. Loan applications proceed through the Fund's standard project cycle. The AFESD also operates the Coordination Secretariat for Arab National and Regional Development Institutions, the Islamic Development Bank, and the OPEC Fund for International Development.</w:t>
      </w:r>
    </w:p>
    <w:p w14:paraId="3D75FF3A" w14:textId="77777777" w:rsidR="00D708EC" w:rsidRDefault="00000000">
      <w:pPr>
        <w:rPr>
          <w:rFonts w:hint="eastAsia"/>
        </w:rPr>
      </w:pPr>
      <w:r>
        <w:t>Contact: Arab Fund for Economic and Social Development, PO Box 21923, Safat 13080, Kuwait. Website: arabfund.org.</w:t>
      </w:r>
    </w:p>
    <w:p w14:paraId="72CD17E1" w14:textId="77777777" w:rsidR="00D708EC" w:rsidRDefault="00000000">
      <w:pPr>
        <w:pStyle w:val="Heading3"/>
        <w:rPr>
          <w:rFonts w:hint="eastAsia"/>
        </w:rPr>
      </w:pPr>
      <w:r>
        <w:lastRenderedPageBreak/>
        <w:t>G.1.3 Qatar Fund for Development (QFFD)</w:t>
      </w:r>
    </w:p>
    <w:p w14:paraId="4119FB57" w14:textId="77777777" w:rsidR="00D708EC" w:rsidRDefault="00000000">
      <w:pPr>
        <w:rPr>
          <w:rFonts w:hint="eastAsia"/>
        </w:rPr>
      </w:pPr>
      <w:r>
        <w:t>QFFD is the State of Qatar's official provider for international development and humanitarian assistance. Since establishment, QFFD has disbursed over $7 billion across more than 100 countries. QFFD deploys a diversified financing toolkit including concessional loans, guarantees, grants, and blended finance.</w:t>
      </w:r>
    </w:p>
    <w:p w14:paraId="1CCC01F6" w14:textId="77777777" w:rsidR="00D708EC" w:rsidRDefault="00000000">
      <w:pPr>
        <w:rPr>
          <w:rFonts w:hint="eastAsia"/>
        </w:rPr>
      </w:pPr>
      <w:r>
        <w:t>QFFD is a founding partner of the Lives and Livelihoods Fund (LLF), a $2.5 billion initiative launched with the Islamic Development Bank, Abu Dhabi Fund for Development, the Bill and Melinda Gates Foundation, the Islamic Solidarity Fund for Development, and the King Salman Humanitarian Aid and Relief Centre. The LLF targets poverty reduction in IsDB member countries.</w:t>
      </w:r>
    </w:p>
    <w:p w14:paraId="59740D89" w14:textId="77777777" w:rsidR="00D708EC" w:rsidRDefault="00000000">
      <w:pPr>
        <w:rPr>
          <w:rFonts w:hint="eastAsia"/>
        </w:rPr>
      </w:pPr>
      <w:r>
        <w:t>Application pathway: Iran accesses QFFD financing through bilateral development cooperation frameworks or through the LLF. QFFD coordinates with the MRF through its existing partnership with the Qatar Central Bank. QFFD also provides unearmarked humanitarian contributions that support MRF-aligned relief operations.</w:t>
      </w:r>
    </w:p>
    <w:p w14:paraId="5438326F" w14:textId="77777777" w:rsidR="00D708EC" w:rsidRDefault="00000000">
      <w:pPr>
        <w:pStyle w:val="Heading3"/>
        <w:rPr>
          <w:rFonts w:hint="eastAsia"/>
        </w:rPr>
      </w:pPr>
      <w:r>
        <w:t>G.1.4 Saudi Fund for Development (SFD)</w:t>
      </w:r>
    </w:p>
    <w:p w14:paraId="0AF3BB39" w14:textId="77777777" w:rsidR="00D708EC" w:rsidRDefault="00000000">
      <w:pPr>
        <w:rPr>
          <w:rFonts w:hint="eastAsia"/>
        </w:rPr>
      </w:pPr>
      <w:r>
        <w:t>The SFD is the Kingdom of Saudi Arabia's development finance arm. Over five decades, SFD has funded more than 800 development projects worth over $22 billion across 100 countries. In Africa alone, SFD has financed over 400 projects in 46 countries worth $10.7 billion. Sectors include agriculture, energy, industry, transportation, and social infrastructure.</w:t>
      </w:r>
    </w:p>
    <w:p w14:paraId="43622697" w14:textId="77777777" w:rsidR="00D708EC" w:rsidRDefault="00000000">
      <w:pPr>
        <w:rPr>
          <w:rFonts w:hint="eastAsia"/>
        </w:rPr>
      </w:pPr>
      <w:r>
        <w:t>SFD provides concessional loans, grants, and technical assistance. The Fund recently established a $1 billion partnership with FIFA for sports infrastructure in developing nations, demonstrating its capacity for large-scale sector-specific financing.</w:t>
      </w:r>
    </w:p>
    <w:p w14:paraId="276F4121" w14:textId="77777777" w:rsidR="00D708EC" w:rsidRDefault="00000000">
      <w:pPr>
        <w:rPr>
          <w:rFonts w:hint="eastAsia"/>
        </w:rPr>
      </w:pPr>
      <w:r>
        <w:t>Application pathway: Iran submits project proposals through the SFD regional office or through bilateral channels. SFD conducts technical appraisal (90-120 days) followed by board approval. SFD coordinates with the MRF through the RSC to align with Sub-Fund priorities and avoid duplication.</w:t>
      </w:r>
    </w:p>
    <w:p w14:paraId="72225365" w14:textId="77777777" w:rsidR="00D708EC" w:rsidRDefault="00000000">
      <w:pPr>
        <w:pStyle w:val="Heading3"/>
        <w:rPr>
          <w:rFonts w:hint="eastAsia"/>
        </w:rPr>
      </w:pPr>
      <w:r>
        <w:t>G.1.5 Abu Dhabi Fund for Development (ADFD)</w:t>
      </w:r>
    </w:p>
    <w:p w14:paraId="29E643AD" w14:textId="77777777" w:rsidR="00D708EC" w:rsidRDefault="00000000">
      <w:pPr>
        <w:rPr>
          <w:rFonts w:hint="eastAsia"/>
        </w:rPr>
      </w:pPr>
      <w:r>
        <w:t>ADFD manages the UAE's international development assistance. By the end of 2025, ADFD's cumulative financing reached AED 250 billion (approximately $68 billion), benefiting 108 countries. This includes AED 159 billion in concessional loans, AED 58 billion in government grants, and AED 2.2 billion in direct contributions.</w:t>
      </w:r>
    </w:p>
    <w:p w14:paraId="01BF129A" w14:textId="77777777" w:rsidR="00D708EC" w:rsidRDefault="00000000">
      <w:pPr>
        <w:rPr>
          <w:rFonts w:hint="eastAsia"/>
        </w:rPr>
      </w:pPr>
      <w:r>
        <w:t>ADFD operates the IRENA/ADFD Project Facility, which has committed $350 million in concessionary loans for renewable energy projects in developing countries. ADFD has previously financed projects in Iran through this facility. The Fund targets renewable energy, infrastructure (housing, transport, logistics), education, technology, and water security.</w:t>
      </w:r>
    </w:p>
    <w:p w14:paraId="1A394DC1" w14:textId="77777777" w:rsidR="00D708EC" w:rsidRDefault="00000000">
      <w:pPr>
        <w:rPr>
          <w:rFonts w:hint="eastAsia"/>
        </w:rPr>
      </w:pPr>
      <w:r>
        <w:t xml:space="preserve">Application pathway: Iran submits project proposals through the ADFD country program or through the IRENA/ADFD Project Facility for renewable energy projects. ADFD conducts </w:t>
      </w:r>
      <w:r>
        <w:lastRenderedPageBreak/>
        <w:t>technical appraisal and due diligence (90-120 days). The RSC coordinates with ADFD to ensure MRF alignment.</w:t>
      </w:r>
    </w:p>
    <w:p w14:paraId="2368943F" w14:textId="77777777" w:rsidR="00D708EC" w:rsidRDefault="00000000">
      <w:pPr>
        <w:pStyle w:val="Heading3"/>
        <w:rPr>
          <w:rFonts w:hint="eastAsia"/>
        </w:rPr>
      </w:pPr>
      <w:r>
        <w:t>G.1.6 Oman and Turkey: Regional Development Partners</w:t>
      </w:r>
    </w:p>
    <w:p w14:paraId="7E0C0907" w14:textId="77777777" w:rsidR="00D708EC" w:rsidRDefault="00000000">
      <w:pPr>
        <w:rPr>
          <w:rFonts w:hint="eastAsia"/>
        </w:rPr>
      </w:pPr>
      <w:r>
        <w:t>The Sultanate of Oman serves as a traditional diplomatic intermediary and provides in-kind logistics support for reconstruction operations. Oman's geographic proximity to Iran and its functional trade relationship position it as a logistics corridor for reconstruction materials and personnel.</w:t>
      </w:r>
    </w:p>
    <w:p w14:paraId="2EC35113" w14:textId="77777777" w:rsidR="00D708EC" w:rsidRDefault="00000000">
      <w:pPr>
        <w:rPr>
          <w:rFonts w:hint="eastAsia"/>
        </w:rPr>
      </w:pPr>
      <w:r>
        <w:t>The Turkish Cooperation and Coordination Agency (TIKA) operates as Turkey's bilateral development arm. Turkish construction firms are globally recognized for rapid post-conflict rebuilding expertise. TIKA provides technical assistance, capacity building, and project financing with a focus on infrastructure and institutional development. Iran accesses TIKA support through bilateral development cooperation agreements or through frozen asset conversion protocols.</w:t>
      </w:r>
    </w:p>
    <w:p w14:paraId="1609FF60" w14:textId="77777777" w:rsidR="00D708EC" w:rsidRDefault="00000000">
      <w:pPr>
        <w:pStyle w:val="Heading3"/>
        <w:rPr>
          <w:rFonts w:hint="eastAsia"/>
        </w:rPr>
      </w:pPr>
      <w:r>
        <w:t>G.2 World Bank Financial Intermediary Funds</w:t>
      </w:r>
    </w:p>
    <w:p w14:paraId="1896C591" w14:textId="77777777" w:rsidR="00D708EC" w:rsidRDefault="00000000">
      <w:pPr>
        <w:pStyle w:val="Heading3"/>
        <w:rPr>
          <w:rFonts w:hint="eastAsia"/>
        </w:rPr>
      </w:pPr>
      <w:r>
        <w:t>G.2.1 Adaptation Fund</w:t>
      </w:r>
    </w:p>
    <w:p w14:paraId="6B260E49" w14:textId="77777777" w:rsidR="00D708EC" w:rsidRDefault="00000000">
      <w:pPr>
        <w:rPr>
          <w:rFonts w:hint="eastAsia"/>
        </w:rPr>
      </w:pPr>
      <w:r>
        <w:t>The Adaptation Fund finances climate change adaptation projects and programs based on the priorities of eligible developing countries. The Fund operates under the UN Framework Convention on Climate Change and provides direct access to national implementing entities. Iran qualifies as an eligible developing country.</w:t>
      </w:r>
    </w:p>
    <w:p w14:paraId="2DFEF2B8" w14:textId="77777777" w:rsidR="00D708EC" w:rsidRDefault="00000000">
      <w:pPr>
        <w:rPr>
          <w:rFonts w:hint="eastAsia"/>
        </w:rPr>
      </w:pPr>
      <w:r>
        <w:t>The Fund provides grants for concrete adaptation activities in vulnerable communities. Projects typically range from $1 million to $10 million. The Fund also supports capacity building for national implementing entities.</w:t>
      </w:r>
    </w:p>
    <w:p w14:paraId="28B23B69" w14:textId="77777777" w:rsidR="00D708EC" w:rsidRDefault="00000000">
      <w:pPr>
        <w:rPr>
          <w:rFonts w:hint="eastAsia"/>
        </w:rPr>
      </w:pPr>
      <w:r>
        <w:t>Application pathway: Iran designates a National Implementing Entity (NIE) accredited by the Adaptation Fund Board. The NIE submits project proposals directly to the Fund. The RSC coordinates NIE designation and proposal preparation.</w:t>
      </w:r>
    </w:p>
    <w:p w14:paraId="589DF852" w14:textId="77777777" w:rsidR="00D708EC" w:rsidRDefault="00000000">
      <w:pPr>
        <w:pStyle w:val="Heading3"/>
        <w:rPr>
          <w:rFonts w:hint="eastAsia"/>
        </w:rPr>
      </w:pPr>
      <w:r>
        <w:t>G.2.2 Clean Technology Fund (CTF)</w:t>
      </w:r>
    </w:p>
    <w:p w14:paraId="3F4C3F13" w14:textId="77777777" w:rsidR="00D708EC" w:rsidRDefault="00000000">
      <w:pPr>
        <w:rPr>
          <w:rFonts w:hint="eastAsia"/>
        </w:rPr>
      </w:pPr>
      <w:r>
        <w:t>The CTF is one of two funds comprising the Climate Investment Funds. The CTF provides large-scale financial resources to invest in clean technology projects in developing countries, contributing to the demonstration, deployment, and transfer of low-carbon technologies. CTF investments focus on renewable energy, energy efficiency, and sustainable transport.</w:t>
      </w:r>
    </w:p>
    <w:p w14:paraId="6B1C9B35" w14:textId="77777777" w:rsidR="00D708EC" w:rsidRDefault="00000000">
      <w:pPr>
        <w:rPr>
          <w:rFonts w:hint="eastAsia"/>
        </w:rPr>
      </w:pPr>
      <w:r>
        <w:t>Application pathway: Iran submits investment plans through the World Bank as an implementing entity. CTF investment plans require approval by the CTF Trust Fund Committee. The RSC coordinates with the World Bank to prepare CTF-aligned investment plans for MRF-Energy and MRF-Transport projects.</w:t>
      </w:r>
    </w:p>
    <w:p w14:paraId="437B4241" w14:textId="77777777" w:rsidR="00D708EC" w:rsidRDefault="00000000">
      <w:pPr>
        <w:pStyle w:val="Heading3"/>
        <w:rPr>
          <w:rFonts w:hint="eastAsia"/>
        </w:rPr>
      </w:pPr>
      <w:r>
        <w:lastRenderedPageBreak/>
        <w:t>G.2.3 Climate Risk and Early Warning Systems (CREWS)</w:t>
      </w:r>
    </w:p>
    <w:p w14:paraId="6AA99725" w14:textId="77777777" w:rsidR="00D708EC" w:rsidRDefault="00000000">
      <w:pPr>
        <w:rPr>
          <w:rFonts w:hint="eastAsia"/>
        </w:rPr>
      </w:pPr>
      <w:r>
        <w:t>CREWS is an initiative that aims to raise $100 million to strengthen multi-hazard early warning systems in Least Developed Countries and Small Island Developing States. CREWS funds support risk-informed early warning, preparedness, and response systems.</w:t>
      </w:r>
    </w:p>
    <w:p w14:paraId="071856FD" w14:textId="77777777" w:rsidR="00D708EC" w:rsidRDefault="00000000">
      <w:pPr>
        <w:rPr>
          <w:rFonts w:hint="eastAsia"/>
        </w:rPr>
      </w:pPr>
      <w:r>
        <w:t>Application pathway: Iran accesses CREWS through the World Bank or UNDP as implementing partners. Proposals are submitted to the CREWS Secretariat.</w:t>
      </w:r>
    </w:p>
    <w:p w14:paraId="4BCDD4A4" w14:textId="77777777" w:rsidR="00D708EC" w:rsidRDefault="00000000">
      <w:pPr>
        <w:pStyle w:val="Heading3"/>
        <w:rPr>
          <w:rFonts w:hint="eastAsia"/>
        </w:rPr>
      </w:pPr>
      <w:r>
        <w:t>G.2.4 MENA Transition Fund</w:t>
      </w:r>
    </w:p>
    <w:p w14:paraId="32638247" w14:textId="77777777" w:rsidR="00D708EC" w:rsidRDefault="00000000">
      <w:pPr>
        <w:rPr>
          <w:rFonts w:hint="eastAsia"/>
        </w:rPr>
      </w:pPr>
      <w:r>
        <w:t>The MENA Transition Fund was established in 2012 under the Deauville Partnership with Arab Countries in Transition. The Fund supports transformation in the region by providing technical cooperation for economic governance, private sector development, trade, employment, and public financial management.</w:t>
      </w:r>
    </w:p>
    <w:p w14:paraId="2E89AA72" w14:textId="77777777" w:rsidR="00D708EC" w:rsidRDefault="00000000">
      <w:pPr>
        <w:rPr>
          <w:rFonts w:hint="eastAsia"/>
        </w:rPr>
      </w:pPr>
      <w:r>
        <w:t>Application pathway: Iran submits proposals through the World Bank as a Deauville Partnership implementing entity. The RSC coordinates with the World Bank on MENA Transition Fund applications for institutional capacity building under MRF-Governance.</w:t>
      </w:r>
    </w:p>
    <w:p w14:paraId="725CAA48" w14:textId="77777777" w:rsidR="00D708EC" w:rsidRDefault="00000000">
      <w:pPr>
        <w:pStyle w:val="Heading3"/>
        <w:rPr>
          <w:rFonts w:hint="eastAsia"/>
        </w:rPr>
      </w:pPr>
      <w:r>
        <w:t>G.3 Blended Finance and Innovative Instruments</w:t>
      </w:r>
    </w:p>
    <w:p w14:paraId="67FD884F" w14:textId="77777777" w:rsidR="00D708EC" w:rsidRDefault="00000000">
      <w:pPr>
        <w:pStyle w:val="Heading3"/>
        <w:rPr>
          <w:rFonts w:hint="eastAsia"/>
        </w:rPr>
      </w:pPr>
      <w:r>
        <w:t>G.3.1 Convergence Blended Finance Platform</w:t>
      </w:r>
    </w:p>
    <w:p w14:paraId="04633E28" w14:textId="77777777" w:rsidR="00D708EC" w:rsidRDefault="00000000">
      <w:pPr>
        <w:rPr>
          <w:rFonts w:hint="eastAsia"/>
        </w:rPr>
      </w:pPr>
      <w:r>
        <w:t>Convergence operates as the global network for blended finance, serving as a marketplace and knowledge broker for innovative development finance models. Convergence provides design funding, connects practitioners, and publishes market intelligence on blended finance transactions.</w:t>
      </w:r>
    </w:p>
    <w:p w14:paraId="6E5436E1" w14:textId="77777777" w:rsidR="00D708EC" w:rsidRDefault="00000000">
      <w:pPr>
        <w:rPr>
          <w:rFonts w:hint="eastAsia"/>
        </w:rPr>
      </w:pPr>
      <w:r>
        <w:t>Application pathway: The RSC submits blended finance project concepts to Convergence for design funding and technical assistance. Convergence provides grant funding of up to $500,000 for blended finance transaction design. The RSC leverages Convergence's network to connect with potential blended finance investors.</w:t>
      </w:r>
    </w:p>
    <w:p w14:paraId="2FCA5857" w14:textId="77777777" w:rsidR="00D708EC" w:rsidRDefault="00000000">
      <w:pPr>
        <w:pStyle w:val="Heading3"/>
        <w:rPr>
          <w:rFonts w:hint="eastAsia"/>
        </w:rPr>
      </w:pPr>
      <w:r>
        <w:t>G.3.2 UNDP-UNCDF ReStart Fund</w:t>
      </w:r>
    </w:p>
    <w:p w14:paraId="00ABCC2A" w14:textId="77777777" w:rsidR="00D708EC" w:rsidRDefault="00000000">
      <w:pPr>
        <w:rPr>
          <w:rFonts w:hint="eastAsia"/>
        </w:rPr>
      </w:pPr>
      <w:r>
        <w:t>The ReStart Fund enables countries affected by crisis to access timely and tailored financing to stabilize institutions, support recovery, and re-ignite economic activity. The Fund offers a continuum of support from initial recovery grants to catalytic capital for longer-term investments.</w:t>
      </w:r>
    </w:p>
    <w:p w14:paraId="59C41078" w14:textId="77777777" w:rsidR="00D708EC" w:rsidRDefault="00000000">
      <w:pPr>
        <w:rPr>
          <w:rFonts w:hint="eastAsia"/>
        </w:rPr>
      </w:pPr>
      <w:r>
        <w:t>The ReStart Fund is a key initiative under the Recovery and Resilience Financing Platform (RRFP), launched by the Government of Spain and UNDP under the Seville Platform for Action. The RRFP is endorsed by the African Development Bank, the European Investment Bank, the World Bank, IFAD, UNCDF, and other major development institutions.</w:t>
      </w:r>
    </w:p>
    <w:p w14:paraId="51B8A1B0" w14:textId="77777777" w:rsidR="00D708EC" w:rsidRDefault="00000000">
      <w:pPr>
        <w:rPr>
          <w:rFonts w:hint="eastAsia"/>
        </w:rPr>
      </w:pPr>
      <w:r>
        <w:t xml:space="preserve">Application pathway: Iran accesses the ReStart Fund through UNDP's country office in Tehran. The Fund provides rapid-response grants (30-day processing) for urgent </w:t>
      </w:r>
      <w:r>
        <w:lastRenderedPageBreak/>
        <w:t>stabilization needs, followed by catalytic capital for longer-term recovery investments. The RSC coordinates ReStart Fund applications with MRF Sub-Fund programming.</w:t>
      </w:r>
    </w:p>
    <w:p w14:paraId="331FB6ED" w14:textId="77777777" w:rsidR="00D708EC" w:rsidRDefault="00000000">
      <w:pPr>
        <w:pStyle w:val="Heading3"/>
        <w:rPr>
          <w:rFonts w:hint="eastAsia"/>
        </w:rPr>
      </w:pPr>
      <w:r>
        <w:t>G.3.3 Recovery and Resilience Financing Platform (RRFP)</w:t>
      </w:r>
    </w:p>
    <w:p w14:paraId="62B981B4" w14:textId="77777777" w:rsidR="00D708EC" w:rsidRDefault="00000000">
      <w:pPr>
        <w:rPr>
          <w:rFonts w:hint="eastAsia"/>
        </w:rPr>
      </w:pPr>
      <w:r>
        <w:t>The RRFP addresses the chronic underfunding of recovery and resilience initiatives by bringing together partners and initiatives to provide tailored and coordinated support for country-led efforts to access new sources of public and private finance. The Platform supports global advocacy, joint learning, and the co-designing of crisis-responsive financing instruments.</w:t>
      </w:r>
    </w:p>
    <w:p w14:paraId="01B1CDE8" w14:textId="77777777" w:rsidR="00D708EC" w:rsidRDefault="00000000">
      <w:pPr>
        <w:rPr>
          <w:rFonts w:hint="eastAsia"/>
        </w:rPr>
      </w:pPr>
      <w:r>
        <w:t>Endorsing entities include: African Development Bank, European Development Finance Institutions, European Investment Bank, G7+, International Fund for Agricultural Development, Meridiam, One Earth Future, the World Bank, UNCDF, and UNCCD.</w:t>
      </w:r>
    </w:p>
    <w:p w14:paraId="1D34E5E5" w14:textId="77777777" w:rsidR="00D708EC" w:rsidRDefault="00000000">
      <w:pPr>
        <w:rPr>
          <w:rFonts w:hint="eastAsia"/>
        </w:rPr>
      </w:pPr>
      <w:r>
        <w:t>Application pathway: Iran engages the RRFP through UNDP coordination. The RSC secretariat serves as the national focal point for RRFP engagement. The Platform provides access to blended finance instruments, technical assistance, and investor matchmaking.</w:t>
      </w:r>
    </w:p>
    <w:p w14:paraId="116446E8" w14:textId="77777777" w:rsidR="00D708EC" w:rsidRDefault="00000000">
      <w:pPr>
        <w:pStyle w:val="Heading3"/>
        <w:rPr>
          <w:rFonts w:hint="eastAsia"/>
        </w:rPr>
      </w:pPr>
      <w:r>
        <w:t>G.4 Islamic Finance Instruments</w:t>
      </w:r>
    </w:p>
    <w:p w14:paraId="4F00EC0D" w14:textId="77777777" w:rsidR="00D708EC" w:rsidRDefault="00000000">
      <w:pPr>
        <w:pStyle w:val="Heading3"/>
        <w:rPr>
          <w:rFonts w:hint="eastAsia"/>
        </w:rPr>
      </w:pPr>
      <w:r>
        <w:t>G.4.1 Sovereign and Infrastructure Sukuk</w:t>
      </w:r>
    </w:p>
    <w:p w14:paraId="716C8A48" w14:textId="77777777" w:rsidR="00D708EC" w:rsidRDefault="00000000">
      <w:pPr>
        <w:rPr>
          <w:rFonts w:hint="eastAsia"/>
        </w:rPr>
      </w:pPr>
      <w:r>
        <w:t>Sukuk are investment certificates representing ownership shares in underlying assets. Unlike conventional bonds, sukuk do not represent debt obligations but rather participatory investment in tangible assets or projects. The MRF establishes a Sukuk Issuance Window for sovereign and infrastructure sukuk to fund reconstruction projects.</w:t>
      </w:r>
    </w:p>
    <w:p w14:paraId="6C01EB02" w14:textId="77777777" w:rsidR="00D708EC" w:rsidRDefault="00000000">
      <w:pPr>
        <w:rPr>
          <w:rFonts w:hint="eastAsia"/>
        </w:rPr>
      </w:pPr>
      <w:r>
        <w:t>The Sukuk Window operates as follows: (1) The RSC identifies reconstruction assets eligible for sukuk backing (power plants, water treatment facilities, transport infrastructure), (2) A special purpose vehicle (SPV) is established under Qatar Central Bank supervision to hold the underlying assets, (3) The SPV issues sukuk certificates to investors, (4) Investors receive returns based on asset-generated revenue (tolls, utility fees, tariffs), (5) The Qatar Central Bank provides a partial credit guarantee for senior tranches.</w:t>
      </w:r>
    </w:p>
    <w:p w14:paraId="20A19980" w14:textId="77777777" w:rsidR="00D708EC" w:rsidRDefault="00000000">
      <w:pPr>
        <w:rPr>
          <w:rFonts w:hint="eastAsia"/>
        </w:rPr>
      </w:pPr>
      <w:r>
        <w:t>Target issuance: $5-10 billion over the reconstruction period. Primary investors include GCC sovereign wealth funds, Islamic banks, and institutional investors seeking Shari'ah-compliant assets. Green Sukuk variants target climate-focused projects under the CCPF (Article 6.4).</w:t>
      </w:r>
    </w:p>
    <w:p w14:paraId="728A7B05" w14:textId="77777777" w:rsidR="00D708EC" w:rsidRDefault="00000000">
      <w:pPr>
        <w:pStyle w:val="Heading3"/>
        <w:rPr>
          <w:rFonts w:hint="eastAsia"/>
        </w:rPr>
      </w:pPr>
      <w:r>
        <w:t>G.4.2 Musharakah and Mudaraba Partnership Financing</w:t>
      </w:r>
    </w:p>
    <w:p w14:paraId="459E5F82" w14:textId="77777777" w:rsidR="00D708EC" w:rsidRDefault="00000000">
      <w:pPr>
        <w:rPr>
          <w:rFonts w:hint="eastAsia"/>
        </w:rPr>
      </w:pPr>
      <w:r>
        <w:t>Musharakah (diminishing partnership) and Mudaraba (silent partnership) are Islamic partnership financing structures where investor income derives from profit-sharing rather than fixed interest. The MRF uses these instruments for projects with predictable revenue streams.</w:t>
      </w:r>
    </w:p>
    <w:p w14:paraId="67C2DF42" w14:textId="77777777" w:rsidR="00D708EC" w:rsidRDefault="00000000">
      <w:pPr>
        <w:rPr>
          <w:rFonts w:hint="eastAsia"/>
        </w:rPr>
      </w:pPr>
      <w:r>
        <w:lastRenderedPageBreak/>
        <w:t>Under Musharakah, the MRF and an Islamic financier (typically the IsDB or a GCC Islamic bank) jointly own a project asset. The financier's share diminishes over time as the project generates revenue, eventually transferring full ownership to the MRF. Under Mudarabah, the MRF provides capital while the Islamic financier provides management expertise. Profits are shared according to a pre-agreed ratio.</w:t>
      </w:r>
    </w:p>
    <w:p w14:paraId="39FBC96F" w14:textId="77777777" w:rsidR="00D708EC" w:rsidRDefault="00000000">
      <w:pPr>
        <w:rPr>
          <w:rFonts w:hint="eastAsia"/>
        </w:rPr>
      </w:pPr>
      <w:r>
        <w:t>These instruments are ideal for energy infrastructure (electricity generation, renewable energy), transport assets (ports, airports, toll roads), and water utilities where user fees generate predictable revenue. The IsDB and GCC Islamic Development Bank coordinate Musharakah and Mudaraba structuring through the RSC.</w:t>
      </w:r>
    </w:p>
    <w:p w14:paraId="0B6B74BB" w14:textId="77777777" w:rsidR="00D708EC" w:rsidRDefault="00000000">
      <w:pPr>
        <w:pStyle w:val="Heading3"/>
        <w:rPr>
          <w:rFonts w:hint="eastAsia"/>
        </w:rPr>
      </w:pPr>
      <w:r>
        <w:t>G.4.3 Ijara (Islamic Leasing)</w:t>
      </w:r>
    </w:p>
    <w:p w14:paraId="3469CF66" w14:textId="77777777" w:rsidR="00D708EC" w:rsidRDefault="00000000">
      <w:pPr>
        <w:rPr>
          <w:rFonts w:hint="eastAsia"/>
        </w:rPr>
      </w:pPr>
      <w:r>
        <w:t>Ijara structures financing for equipment-heavy infrastructure assets. Under Ijara, the MRF (through the Qatar Central Bank) purchases equipment (power generation units, water treatment machinery, construction equipment, medical devices) and leases it to Iranian project operators. Ownership transfers to Iran upon completion of lease payments.</w:t>
      </w:r>
    </w:p>
    <w:p w14:paraId="5A464F00" w14:textId="77777777" w:rsidR="00D708EC" w:rsidRDefault="00000000">
      <w:pPr>
        <w:rPr>
          <w:rFonts w:hint="eastAsia"/>
        </w:rPr>
      </w:pPr>
      <w:r>
        <w:t>Ijara is particularly suited for MRF-Energy, MRF-Water, and MRF-Health projects requiring specialized equipment. Lease terms align with project revenue cycles. The Islamic Corporation for the Insurance of Investment and Export Credit (ICIEC) provides default insurance for Ijara transactions.</w:t>
      </w:r>
    </w:p>
    <w:p w14:paraId="56518FC3" w14:textId="77777777" w:rsidR="00D708EC" w:rsidRDefault="00000000">
      <w:pPr>
        <w:pStyle w:val="Heading3"/>
        <w:rPr>
          <w:rFonts w:hint="eastAsia"/>
        </w:rPr>
      </w:pPr>
      <w:r>
        <w:t>G.4.4 Qard al-Hasan (Benevolent Loans)</w:t>
      </w:r>
    </w:p>
    <w:p w14:paraId="120500BD" w14:textId="77777777" w:rsidR="00D708EC" w:rsidRDefault="00000000">
      <w:pPr>
        <w:rPr>
          <w:rFonts w:hint="eastAsia"/>
        </w:rPr>
      </w:pPr>
      <w:r>
        <w:t>Qard al-Hasan provides interest-free loans for humanitarian and social infrastructure that does not generate direct revenue. Eligible projects include schools, community health centers, public sanitation systems, and emergency housing. The IsDB Waqf Fund and faith-based organizations provide Qard al-Hasan capital.</w:t>
      </w:r>
    </w:p>
    <w:p w14:paraId="64F9FE6B" w14:textId="77777777" w:rsidR="00D708EC" w:rsidRDefault="00000000">
      <w:pPr>
        <w:rPr>
          <w:rFonts w:hint="eastAsia"/>
        </w:rPr>
      </w:pPr>
      <w:r>
        <w:t>The MRF administers Qard al-Hasan through a dedicated Humanitarian Corridor within the MRF-Health and MRF-Housing Sub-Funds. Loans are repaid through a voluntary community contribution mechanism or through cross-subsidization from revenue-generating projects within the same Sub-Fund.</w:t>
      </w:r>
    </w:p>
    <w:p w14:paraId="65A22BB5" w14:textId="77777777" w:rsidR="00D708EC" w:rsidRDefault="00000000">
      <w:pPr>
        <w:pStyle w:val="Heading3"/>
        <w:rPr>
          <w:rFonts w:hint="eastAsia"/>
        </w:rPr>
      </w:pPr>
      <w:r>
        <w:t>G.5 Results-Based and Impact Financing</w:t>
      </w:r>
    </w:p>
    <w:p w14:paraId="19739A9E" w14:textId="77777777" w:rsidR="00D708EC" w:rsidRDefault="00000000">
      <w:pPr>
        <w:pStyle w:val="Heading3"/>
        <w:rPr>
          <w:rFonts w:hint="eastAsia"/>
        </w:rPr>
      </w:pPr>
      <w:r>
        <w:t>G.5.1 Development Impact Bonds (DIBs)</w:t>
      </w:r>
    </w:p>
    <w:p w14:paraId="02FF6D67" w14:textId="77777777" w:rsidR="00D708EC" w:rsidRDefault="00000000">
      <w:pPr>
        <w:rPr>
          <w:rFonts w:hint="eastAsia"/>
        </w:rPr>
      </w:pPr>
      <w:r>
        <w:t>Development Impact Bonds are results-based financing instruments where private investors provide upfront capital for social programs and are repaid by outcome funders (governments or foundations) if specific results are achieved. The MRF uses DIBs to target high-priority outcomes in job creation, health service delivery, and educational attainment.</w:t>
      </w:r>
    </w:p>
    <w:p w14:paraId="1C14BF45" w14:textId="77777777" w:rsidR="00D708EC" w:rsidRDefault="00000000">
      <w:pPr>
        <w:rPr>
          <w:rFonts w:hint="eastAsia"/>
        </w:rPr>
      </w:pPr>
      <w:r>
        <w:t xml:space="preserve">The DIB structure operates as follows: (1) The RSC identifies a measurable outcome target (e.g., 100,000 jobs created in construction sector, 500,000 people receiving primary healthcare), (2) Private investors (social impact funds, development finance institutions) </w:t>
      </w:r>
      <w:r>
        <w:lastRenderedPageBreak/>
        <w:t>provide upfront capital to service providers, (3) An independent verifier measures outcome achievement against the target, (4) Outcome funders (bilateral donors, foundations) repay investors based on verified results, with higher returns for over-performance.</w:t>
      </w:r>
    </w:p>
    <w:p w14:paraId="62FA6C0B" w14:textId="77777777" w:rsidR="00D708EC" w:rsidRDefault="00000000">
      <w:pPr>
        <w:rPr>
          <w:rFonts w:hint="eastAsia"/>
        </w:rPr>
      </w:pPr>
      <w:r>
        <w:t>The World Bank's Finance for Jobs (F4J) DIB in the West Bank demonstrates the viability of this model for conflict-affected settings. The MRF targets $500 million to $1 billion in DIB issuance across the reconstruction period.</w:t>
      </w:r>
    </w:p>
    <w:p w14:paraId="3C0FD8C2" w14:textId="77777777" w:rsidR="00D708EC" w:rsidRDefault="00000000">
      <w:pPr>
        <w:pStyle w:val="Heading3"/>
        <w:rPr>
          <w:rFonts w:hint="eastAsia"/>
        </w:rPr>
      </w:pPr>
      <w:r>
        <w:t>G.5.2 Humanitarian Impact Bonds (HIBs)</w:t>
      </w:r>
    </w:p>
    <w:p w14:paraId="46FB607F" w14:textId="77777777" w:rsidR="00D708EC" w:rsidRDefault="00000000">
      <w:pPr>
        <w:rPr>
          <w:rFonts w:hint="eastAsia"/>
        </w:rPr>
      </w:pPr>
      <w:r>
        <w:t>Humanitarian Impact Bonds are DIB variants designed specifically for humanitarian settings. The ICRC's pioneering HIB raised CHF 26 million for physical rehabilitation centers in conflict-affected countries (Mali, Nigeria, DRC), with outcome funders including Switzerland, Belgium, Italy, the UK, and La Caixa Foundation.</w:t>
      </w:r>
    </w:p>
    <w:p w14:paraId="34B1AFB2" w14:textId="77777777" w:rsidR="00D708EC" w:rsidRDefault="00000000">
      <w:pPr>
        <w:rPr>
          <w:rFonts w:hint="eastAsia"/>
        </w:rPr>
      </w:pPr>
      <w:r>
        <w:t>The MRF uses HIBs for measurable humanitarian outcomes including: demining and UXO clearance, disability rehabilitation services, emergency medical response capacity, and community stabilization programming. The PRI Pool provides investor protection for HIB capital. Outcome funders include bilateral donors, foundations, and UN agencies.</w:t>
      </w:r>
    </w:p>
    <w:p w14:paraId="1FAE050D" w14:textId="77777777" w:rsidR="00D708EC" w:rsidRDefault="00000000">
      <w:pPr>
        <w:pStyle w:val="Heading3"/>
        <w:rPr>
          <w:rFonts w:hint="eastAsia"/>
        </w:rPr>
      </w:pPr>
      <w:r>
        <w:t>G.6 Global Infrastructure Facility</w:t>
      </w:r>
    </w:p>
    <w:p w14:paraId="72047ED7" w14:textId="77777777" w:rsidR="00D708EC" w:rsidRDefault="00000000">
      <w:pPr>
        <w:rPr>
          <w:rFonts w:hint="eastAsia"/>
        </w:rPr>
      </w:pPr>
      <w:r>
        <w:t>The Global Infrastructure Facility (GIF) is a World Bank partnership platform that facilitates the preparation and structuring of complex infrastructure public-private partnerships. The GIF coordinates multilateral development banks, private sector investors, and governments to prepare, structure, and implement complex projects that no single institution could handle alone.</w:t>
      </w:r>
    </w:p>
    <w:p w14:paraId="3182E402" w14:textId="77777777" w:rsidR="00D708EC" w:rsidRDefault="00000000">
      <w:pPr>
        <w:rPr>
          <w:rFonts w:hint="eastAsia"/>
        </w:rPr>
      </w:pPr>
      <w:r>
        <w:t>The GIF provides end-to-end support from upstream market structure and project identification through transaction preparation, financial structuring, and credit enhancement. The GIF targets climate-smart and trade-enabling infrastructure in emerging markets and developing economies.</w:t>
      </w:r>
    </w:p>
    <w:p w14:paraId="0571FBC5" w14:textId="77777777" w:rsidR="00D708EC" w:rsidRDefault="00000000">
      <w:pPr>
        <w:rPr>
          <w:rFonts w:hint="eastAsia"/>
        </w:rPr>
      </w:pPr>
      <w:r>
        <w:t>Application pathway: Iran submits infrastructure projects to the GIF through the World Bank. The GIF provides technical assistance for project preparation, private investor matchmaking, and financial structuring. The RSC coordinates GIF engagement for MRF transport, energy, and water projects seeking private capital participation.</w:t>
      </w:r>
    </w:p>
    <w:p w14:paraId="00D45C48" w14:textId="77777777" w:rsidR="00D708EC" w:rsidRDefault="00000000">
      <w:pPr>
        <w:pStyle w:val="Heading3"/>
        <w:rPr>
          <w:rFonts w:hint="eastAsia"/>
        </w:rPr>
      </w:pPr>
      <w:r>
        <w:t>G.7 Additional Foundation Sources</w:t>
      </w:r>
    </w:p>
    <w:p w14:paraId="6DE4F3F8" w14:textId="77777777" w:rsidR="00D708EC" w:rsidRDefault="00000000">
      <w:pPr>
        <w:rPr>
          <w:rFonts w:hint="eastAsia"/>
        </w:rPr>
      </w:pPr>
      <w:r>
        <w:t>The following foundations provide grants and program-related investments for post-conflict reconstruction and development. The RSC maintains active engagement with each foundation and coordinates joint applications where applicable.</w:t>
      </w:r>
    </w:p>
    <w:p w14:paraId="03706BAE" w14:textId="77777777" w:rsidR="00D708EC" w:rsidRDefault="00000000">
      <w:pPr>
        <w:ind w:left="360"/>
        <w:rPr>
          <w:rFonts w:hint="eastAsia"/>
        </w:rPr>
      </w:pPr>
      <w:r>
        <w:rPr>
          <w:color w:val="37474F"/>
        </w:rPr>
        <w:t>•</w:t>
      </w:r>
      <w:r>
        <w:t>Skoll Foundation: Supports social entrepreneurs addressing global challenges. Focus on health, education, and environmental sustainability.</w:t>
      </w:r>
    </w:p>
    <w:p w14:paraId="0ADFB786" w14:textId="77777777" w:rsidR="00D708EC" w:rsidRDefault="00000000">
      <w:pPr>
        <w:ind w:left="360"/>
        <w:rPr>
          <w:rFonts w:hint="eastAsia"/>
        </w:rPr>
      </w:pPr>
      <w:r>
        <w:rPr>
          <w:color w:val="37474F"/>
        </w:rPr>
        <w:t>•</w:t>
      </w:r>
      <w:r>
        <w:t>Kresge Foundation: Climate resilience, urban infrastructure, and equitable development. U.S.-based with global program reach.</w:t>
      </w:r>
    </w:p>
    <w:p w14:paraId="439043D4" w14:textId="77777777" w:rsidR="00D708EC" w:rsidRDefault="00000000">
      <w:pPr>
        <w:ind w:left="360"/>
        <w:rPr>
          <w:rFonts w:hint="eastAsia"/>
        </w:rPr>
      </w:pPr>
      <w:r>
        <w:rPr>
          <w:color w:val="37474F"/>
        </w:rPr>
        <w:lastRenderedPageBreak/>
        <w:t>•</w:t>
      </w:r>
      <w:r>
        <w:t>Mastercard Foundation: Youth employment, education, and economic development in emerging markets. Focus on Africa and the Middle East.</w:t>
      </w:r>
    </w:p>
    <w:p w14:paraId="1087060B" w14:textId="77777777" w:rsidR="00D708EC" w:rsidRDefault="00000000">
      <w:pPr>
        <w:ind w:left="360"/>
        <w:rPr>
          <w:rFonts w:hint="eastAsia"/>
        </w:rPr>
      </w:pPr>
      <w:r>
        <w:rPr>
          <w:color w:val="37474F"/>
        </w:rPr>
        <w:t>•</w:t>
      </w:r>
      <w:r>
        <w:t>Stavros Niarchos Foundation: Cultural heritage preservation, education, health, and social welfare. Supports large-scale infrastructure projects.</w:t>
      </w:r>
    </w:p>
    <w:p w14:paraId="26FF884C" w14:textId="77777777" w:rsidR="00D708EC" w:rsidRDefault="00000000">
      <w:pPr>
        <w:ind w:left="360"/>
        <w:rPr>
          <w:rFonts w:hint="eastAsia"/>
        </w:rPr>
      </w:pPr>
      <w:r>
        <w:rPr>
          <w:color w:val="37474F"/>
        </w:rPr>
        <w:t>•</w:t>
      </w:r>
      <w:r>
        <w:t>IKEA Foundation: Climate action, renewable energy, and sustainable livelihoods in developing countries.</w:t>
      </w:r>
    </w:p>
    <w:p w14:paraId="341C9D35" w14:textId="77777777" w:rsidR="00D708EC" w:rsidRDefault="00000000">
      <w:pPr>
        <w:ind w:left="360"/>
        <w:rPr>
          <w:rFonts w:hint="eastAsia"/>
        </w:rPr>
      </w:pPr>
      <w:r>
        <w:rPr>
          <w:color w:val="37474F"/>
        </w:rPr>
        <w:t>•</w:t>
      </w:r>
      <w:r>
        <w:t>International Development Research Centre (IDRC): Canada-based research funding for development solutions. Supports policy research and innovation.</w:t>
      </w:r>
    </w:p>
    <w:p w14:paraId="48C7CCAD" w14:textId="77777777" w:rsidR="00D708EC" w:rsidRDefault="00000000">
      <w:pPr>
        <w:ind w:left="360"/>
        <w:rPr>
          <w:rFonts w:hint="eastAsia"/>
        </w:rPr>
      </w:pPr>
      <w:r>
        <w:rPr>
          <w:color w:val="37474F"/>
        </w:rPr>
        <w:t>•</w:t>
      </w:r>
      <w:r>
        <w:t>International Foundation for Science (IFS): Sweden-based research grants for scientists in developing countries. Supports agricultural, environmental, and health research.</w:t>
      </w:r>
    </w:p>
    <w:p w14:paraId="3403DB32" w14:textId="77777777" w:rsidR="00D708EC" w:rsidRDefault="00000000">
      <w:pPr>
        <w:pStyle w:val="Heading3"/>
        <w:rPr>
          <w:rFonts w:hint="eastAsia"/>
        </w:rPr>
      </w:pPr>
      <w:r>
        <w:t>G.8 Women Entrepreneurs Finance Initiative (We-Fi)</w:t>
      </w:r>
    </w:p>
    <w:p w14:paraId="12FCD88C" w14:textId="77777777" w:rsidR="00D708EC" w:rsidRDefault="00000000">
      <w:pPr>
        <w:rPr>
          <w:rFonts w:hint="eastAsia"/>
        </w:rPr>
      </w:pPr>
      <w:r>
        <w:t>We-Fi is a World Bank-administered financial intermediary fund that supports women entrepreneurs in developing countries. We-Fi provides financing, technical assistance, and policy advocacy to increase women's participation in business and economic activity. Iran qualifies as a developing country beneficiary.</w:t>
      </w:r>
    </w:p>
    <w:p w14:paraId="090C1C00" w14:textId="77777777" w:rsidR="00D708EC" w:rsidRDefault="00000000">
      <w:pPr>
        <w:rPr>
          <w:rFonts w:hint="eastAsia"/>
        </w:rPr>
      </w:pPr>
      <w:r>
        <w:t>The MRF coordinates with We-Fi to ensure that women-owned businesses and women-led contractors receive equitable access to reconstruction procurement. We-Fi funding supports capacity building for women entrepreneurs in construction, engineering, healthcare, and professional services.</w:t>
      </w:r>
    </w:p>
    <w:p w14:paraId="309AD4C3" w14:textId="77777777" w:rsidR="00D708EC" w:rsidRDefault="00000000">
      <w:pPr>
        <w:pStyle w:val="Heading3"/>
        <w:rPr>
          <w:rFonts w:hint="eastAsia"/>
        </w:rPr>
      </w:pPr>
      <w:r>
        <w:t>G.10 OPEC Fund for International Development (OFID)</w:t>
      </w:r>
    </w:p>
    <w:p w14:paraId="3EE10F7C" w14:textId="77777777" w:rsidR="00D708EC" w:rsidRDefault="00000000">
      <w:pPr>
        <w:rPr>
          <w:rFonts w:hint="eastAsia"/>
        </w:rPr>
      </w:pPr>
      <w:r>
        <w:t>The OPEC Fund for International Development (OFID) is a multilateral development finance institution established in 1976 by the Member States of the Organization of the Petroleum Exporting Countries. OFID provides concessional financing for energy, water, agriculture, transport, and social infrastructure projects in developing countries. The Fund has approved over US$316 million in financing for Mauritania alone, distributed across energy interconnection, water supply, and agricultural modernization projects. OFID operates as a separate legal entity from OPEC and maintains independent governance.</w:t>
      </w:r>
    </w:p>
    <w:p w14:paraId="5B1BEF4C" w14:textId="77777777" w:rsidR="00D708EC" w:rsidRDefault="00000000">
      <w:pPr>
        <w:rPr>
          <w:rFonts w:hint="eastAsia"/>
        </w:rPr>
      </w:pPr>
      <w:r>
        <w:t>OFID offers public sector loans on concessional terms, private sector financing through direct loans and equity participation, and trade finance facilities. The Fund co-finances with other multilateral institutions including the African Development Bank, Islamic Development Bank, and Arab Coordination Group members. OFID's energy portfolio emphasizes renewable energy, rural electrification, and cross-border power interconnection.</w:t>
      </w:r>
    </w:p>
    <w:p w14:paraId="59B81BFC" w14:textId="77777777" w:rsidR="00D708EC" w:rsidRDefault="00000000">
      <w:pPr>
        <w:rPr>
          <w:rFonts w:hint="eastAsia"/>
        </w:rPr>
      </w:pPr>
      <w:r>
        <w:t>Application pathway: Iran accesses OFID through direct government-to-Fund engagement via the Ministry of Economic Affairs and Finance. OFID requires a formal financing request supported by feasibility studies and environmental assessments. The RSC coordinates OFID applications for MRF-Energy and MRF-Water projects, leveraging OFID's demonstrated appetite for power interconnection and water infrastructure.</w:t>
      </w:r>
    </w:p>
    <w:p w14:paraId="07168989" w14:textId="77777777" w:rsidR="00D708EC" w:rsidRDefault="00000000">
      <w:pPr>
        <w:pStyle w:val="Heading3"/>
        <w:rPr>
          <w:rFonts w:hint="eastAsia"/>
        </w:rPr>
      </w:pPr>
      <w:r>
        <w:lastRenderedPageBreak/>
        <w:t>G.11 Arab Coordination Group (ACG)</w:t>
      </w:r>
    </w:p>
    <w:p w14:paraId="06A71155" w14:textId="77777777" w:rsidR="00D708EC" w:rsidRDefault="00000000">
      <w:pPr>
        <w:rPr>
          <w:rFonts w:hint="eastAsia"/>
        </w:rPr>
      </w:pPr>
      <w:r>
        <w:t>The Arab Coordination Group (ACG) is a strategic alliance of ten Arab national and regional development institutions: the Abu Dhabi Fund for Development (ADFD), the Arab Bank for Economic Development in Africa (BADEA), the Arab Fund for Economic and Social Development (AFESD), the Arab Gulf Programme for United Nations Development Organizations (AGFUND), the Arab Monetary Fund (AMF), the Islamic Development Bank (IsDB), the Kuwait Fund for Arab Economic Development, the OPEC Fund for International Development (OFID), the Saudi Fund for Development (SFD), and the Qatar Fund for Development (QFFD).</w:t>
      </w:r>
    </w:p>
    <w:p w14:paraId="5250A512" w14:textId="77777777" w:rsidR="00D708EC" w:rsidRDefault="00000000">
      <w:pPr>
        <w:rPr>
          <w:rFonts w:hint="eastAsia"/>
        </w:rPr>
      </w:pPr>
      <w:r>
        <w:t>The ACG operates a coordinated deployment mechanism for major regional initiatives. Member institutions pool resources, align terms, and co-finance large-scale infrastructure programmes. The ACG pledged US$2 billion for energy, water, transport, and digital infrastructure in Mauritania over a five-year period, demonstrating the Group's capacity for concentrated country-level engagement. Individual ACG members maintain separate application processes and financing terms, allowing flexible single-source or multi-source access.</w:t>
      </w:r>
    </w:p>
    <w:p w14:paraId="7AD99068" w14:textId="77777777" w:rsidR="00D708EC" w:rsidRDefault="00000000">
      <w:pPr>
        <w:rPr>
          <w:rFonts w:hint="eastAsia"/>
        </w:rPr>
      </w:pPr>
      <w:r>
        <w:t>Application pathway: Iran engages ACG through multiple channels simultaneously. The RSC coordinates with each ACG member institution through its respective headquarters, presenting standardized project portfolios for co-financing consideration. Priority engagement targets ADFD (Abu Dhabi), AFESD (Kuwait), SFD (Riyadh), and IsDB (Jeddah) as the largest capital providers. The RSC establishes a dedicated ACG Liaison Desk to manage parallel negotiations and ensure coordinated disbursement timelines.</w:t>
      </w:r>
    </w:p>
    <w:p w14:paraId="0785E311" w14:textId="77777777" w:rsidR="00D708EC" w:rsidRDefault="00000000">
      <w:pPr>
        <w:pStyle w:val="Heading3"/>
        <w:rPr>
          <w:rFonts w:hint="eastAsia"/>
        </w:rPr>
      </w:pPr>
      <w:r>
        <w:t>G.12 Summary of New Potential Funding</w:t>
      </w:r>
    </w:p>
    <w:p w14:paraId="3664AB43" w14:textId="77777777" w:rsidR="00D708EC" w:rsidRDefault="00000000">
      <w:pPr>
        <w:rPr>
          <w:rFonts w:hint="eastAsia"/>
        </w:rPr>
      </w:pPr>
      <w:r>
        <w:t>The following table summarizes the additional funding sources documented in this Appendix and their estimated potential allocation for Iranian reconstruction:</w:t>
      </w:r>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4416"/>
        <w:gridCol w:w="2564"/>
        <w:gridCol w:w="2246"/>
      </w:tblGrid>
      <w:tr w:rsidR="00D708EC" w14:paraId="6EEABDF3" w14:textId="77777777">
        <w:tc>
          <w:tcPr>
            <w:tcW w:w="0" w:type="auto"/>
            <w:shd w:val="clear" w:color="auto" w:fill="37474F"/>
          </w:tcPr>
          <w:p w14:paraId="4F0B09FF" w14:textId="77777777" w:rsidR="00D708EC" w:rsidRDefault="00000000">
            <w:pPr>
              <w:rPr>
                <w:rFonts w:hint="eastAsia"/>
              </w:rPr>
            </w:pPr>
            <w:r>
              <w:rPr>
                <w:b/>
                <w:color w:val="FFFFFF"/>
                <w:sz w:val="19"/>
              </w:rPr>
              <w:t>Source</w:t>
            </w:r>
          </w:p>
        </w:tc>
        <w:tc>
          <w:tcPr>
            <w:tcW w:w="0" w:type="auto"/>
            <w:shd w:val="clear" w:color="auto" w:fill="37474F"/>
          </w:tcPr>
          <w:p w14:paraId="758B619C" w14:textId="77777777" w:rsidR="00D708EC" w:rsidRDefault="00000000">
            <w:pPr>
              <w:rPr>
                <w:rFonts w:hint="eastAsia"/>
              </w:rPr>
            </w:pPr>
            <w:r>
              <w:rPr>
                <w:b/>
                <w:color w:val="FFFFFF"/>
                <w:sz w:val="19"/>
              </w:rPr>
              <w:t>Type</w:t>
            </w:r>
          </w:p>
        </w:tc>
        <w:tc>
          <w:tcPr>
            <w:tcW w:w="0" w:type="auto"/>
            <w:shd w:val="clear" w:color="auto" w:fill="37474F"/>
          </w:tcPr>
          <w:p w14:paraId="7F2CA60A" w14:textId="77777777" w:rsidR="00D708EC" w:rsidRDefault="00000000">
            <w:pPr>
              <w:rPr>
                <w:rFonts w:hint="eastAsia"/>
              </w:rPr>
            </w:pPr>
            <w:r>
              <w:rPr>
                <w:b/>
                <w:color w:val="FFFFFF"/>
                <w:sz w:val="19"/>
              </w:rPr>
              <w:t>Est. Allocation</w:t>
            </w:r>
          </w:p>
        </w:tc>
      </w:tr>
      <w:tr w:rsidR="00D708EC" w14:paraId="50F7D446" w14:textId="77777777">
        <w:tc>
          <w:tcPr>
            <w:tcW w:w="0" w:type="auto"/>
          </w:tcPr>
          <w:p w14:paraId="3E85F7E8" w14:textId="77777777" w:rsidR="00D708EC" w:rsidRDefault="00000000">
            <w:pPr>
              <w:rPr>
                <w:rFonts w:hint="eastAsia"/>
              </w:rPr>
            </w:pPr>
            <w:r>
              <w:rPr>
                <w:sz w:val="19"/>
              </w:rPr>
              <w:t>Kuwait Fund (KFAED)</w:t>
            </w:r>
          </w:p>
        </w:tc>
        <w:tc>
          <w:tcPr>
            <w:tcW w:w="0" w:type="auto"/>
          </w:tcPr>
          <w:p w14:paraId="34845706" w14:textId="77777777" w:rsidR="00D708EC" w:rsidRDefault="00000000">
            <w:pPr>
              <w:rPr>
                <w:rFonts w:hint="eastAsia"/>
              </w:rPr>
            </w:pPr>
            <w:r>
              <w:rPr>
                <w:sz w:val="19"/>
              </w:rPr>
              <w:t>Concessional Loan</w:t>
            </w:r>
          </w:p>
        </w:tc>
        <w:tc>
          <w:tcPr>
            <w:tcW w:w="0" w:type="auto"/>
          </w:tcPr>
          <w:p w14:paraId="540B4F8E" w14:textId="77777777" w:rsidR="00D708EC" w:rsidRDefault="00000000">
            <w:pPr>
              <w:rPr>
                <w:rFonts w:hint="eastAsia"/>
              </w:rPr>
            </w:pPr>
            <w:r>
              <w:rPr>
                <w:sz w:val="19"/>
              </w:rPr>
              <w:t>$1-2B</w:t>
            </w:r>
          </w:p>
        </w:tc>
      </w:tr>
      <w:tr w:rsidR="00D708EC" w14:paraId="5FFEE7F2" w14:textId="77777777">
        <w:tc>
          <w:tcPr>
            <w:tcW w:w="0" w:type="auto"/>
            <w:shd w:val="clear" w:color="auto" w:fill="ECEFF1"/>
          </w:tcPr>
          <w:p w14:paraId="4E976B87" w14:textId="77777777" w:rsidR="00D708EC" w:rsidRDefault="00000000">
            <w:pPr>
              <w:rPr>
                <w:rFonts w:hint="eastAsia"/>
              </w:rPr>
            </w:pPr>
            <w:r>
              <w:rPr>
                <w:sz w:val="19"/>
              </w:rPr>
              <w:t>Arab Fund (AFESD)</w:t>
            </w:r>
          </w:p>
        </w:tc>
        <w:tc>
          <w:tcPr>
            <w:tcW w:w="0" w:type="auto"/>
            <w:shd w:val="clear" w:color="auto" w:fill="ECEFF1"/>
          </w:tcPr>
          <w:p w14:paraId="2204FBAD" w14:textId="77777777" w:rsidR="00D708EC" w:rsidRDefault="00000000">
            <w:pPr>
              <w:rPr>
                <w:rFonts w:hint="eastAsia"/>
              </w:rPr>
            </w:pPr>
            <w:r>
              <w:rPr>
                <w:sz w:val="19"/>
              </w:rPr>
              <w:t>Loans + Grants</w:t>
            </w:r>
          </w:p>
        </w:tc>
        <w:tc>
          <w:tcPr>
            <w:tcW w:w="0" w:type="auto"/>
            <w:shd w:val="clear" w:color="auto" w:fill="ECEFF1"/>
          </w:tcPr>
          <w:p w14:paraId="3437E953" w14:textId="77777777" w:rsidR="00D708EC" w:rsidRDefault="00000000">
            <w:pPr>
              <w:rPr>
                <w:rFonts w:hint="eastAsia"/>
              </w:rPr>
            </w:pPr>
            <w:r>
              <w:rPr>
                <w:sz w:val="19"/>
              </w:rPr>
              <w:t>$500M-1B</w:t>
            </w:r>
          </w:p>
        </w:tc>
      </w:tr>
      <w:tr w:rsidR="00D708EC" w14:paraId="514E8961" w14:textId="77777777">
        <w:tc>
          <w:tcPr>
            <w:tcW w:w="0" w:type="auto"/>
          </w:tcPr>
          <w:p w14:paraId="5115241A" w14:textId="77777777" w:rsidR="00D708EC" w:rsidRDefault="00000000">
            <w:pPr>
              <w:rPr>
                <w:rFonts w:hint="eastAsia"/>
              </w:rPr>
            </w:pPr>
            <w:r>
              <w:rPr>
                <w:sz w:val="19"/>
              </w:rPr>
              <w:t>Qatar Fund (QFFD)</w:t>
            </w:r>
          </w:p>
        </w:tc>
        <w:tc>
          <w:tcPr>
            <w:tcW w:w="0" w:type="auto"/>
          </w:tcPr>
          <w:p w14:paraId="3316D695" w14:textId="77777777" w:rsidR="00D708EC" w:rsidRDefault="00000000">
            <w:pPr>
              <w:rPr>
                <w:rFonts w:hint="eastAsia"/>
              </w:rPr>
            </w:pPr>
            <w:r>
              <w:rPr>
                <w:sz w:val="19"/>
              </w:rPr>
              <w:t>Loans + Grants</w:t>
            </w:r>
          </w:p>
        </w:tc>
        <w:tc>
          <w:tcPr>
            <w:tcW w:w="0" w:type="auto"/>
          </w:tcPr>
          <w:p w14:paraId="0E32E381" w14:textId="77777777" w:rsidR="00D708EC" w:rsidRDefault="00000000">
            <w:pPr>
              <w:rPr>
                <w:rFonts w:hint="eastAsia"/>
              </w:rPr>
            </w:pPr>
            <w:r>
              <w:rPr>
                <w:sz w:val="19"/>
              </w:rPr>
              <w:t>$500M-1B</w:t>
            </w:r>
          </w:p>
        </w:tc>
      </w:tr>
      <w:tr w:rsidR="00D708EC" w14:paraId="4D37012C" w14:textId="77777777">
        <w:tc>
          <w:tcPr>
            <w:tcW w:w="0" w:type="auto"/>
            <w:shd w:val="clear" w:color="auto" w:fill="ECEFF1"/>
          </w:tcPr>
          <w:p w14:paraId="4CF92CF2" w14:textId="77777777" w:rsidR="00D708EC" w:rsidRDefault="00000000">
            <w:pPr>
              <w:rPr>
                <w:rFonts w:hint="eastAsia"/>
              </w:rPr>
            </w:pPr>
            <w:r>
              <w:rPr>
                <w:sz w:val="19"/>
              </w:rPr>
              <w:t>Saudi Fund (SFD)</w:t>
            </w:r>
          </w:p>
        </w:tc>
        <w:tc>
          <w:tcPr>
            <w:tcW w:w="0" w:type="auto"/>
            <w:shd w:val="clear" w:color="auto" w:fill="ECEFF1"/>
          </w:tcPr>
          <w:p w14:paraId="0E3E3089" w14:textId="77777777" w:rsidR="00D708EC" w:rsidRDefault="00000000">
            <w:pPr>
              <w:rPr>
                <w:rFonts w:hint="eastAsia"/>
              </w:rPr>
            </w:pPr>
            <w:r>
              <w:rPr>
                <w:sz w:val="19"/>
              </w:rPr>
              <w:t>Concessional Loan</w:t>
            </w:r>
          </w:p>
        </w:tc>
        <w:tc>
          <w:tcPr>
            <w:tcW w:w="0" w:type="auto"/>
            <w:shd w:val="clear" w:color="auto" w:fill="ECEFF1"/>
          </w:tcPr>
          <w:p w14:paraId="02D8AB79" w14:textId="77777777" w:rsidR="00D708EC" w:rsidRDefault="00000000">
            <w:pPr>
              <w:rPr>
                <w:rFonts w:hint="eastAsia"/>
              </w:rPr>
            </w:pPr>
            <w:r>
              <w:rPr>
                <w:sz w:val="19"/>
              </w:rPr>
              <w:t>$1-2B</w:t>
            </w:r>
          </w:p>
        </w:tc>
      </w:tr>
      <w:tr w:rsidR="00D708EC" w14:paraId="192A877C" w14:textId="77777777">
        <w:tc>
          <w:tcPr>
            <w:tcW w:w="0" w:type="auto"/>
          </w:tcPr>
          <w:p w14:paraId="5234C203" w14:textId="77777777" w:rsidR="00D708EC" w:rsidRDefault="00000000">
            <w:pPr>
              <w:rPr>
                <w:rFonts w:hint="eastAsia"/>
              </w:rPr>
            </w:pPr>
            <w:r>
              <w:rPr>
                <w:sz w:val="19"/>
              </w:rPr>
              <w:t>Abu Dhabi Fund (ADFD)</w:t>
            </w:r>
          </w:p>
        </w:tc>
        <w:tc>
          <w:tcPr>
            <w:tcW w:w="0" w:type="auto"/>
          </w:tcPr>
          <w:p w14:paraId="4D03D371" w14:textId="77777777" w:rsidR="00D708EC" w:rsidRDefault="00000000">
            <w:pPr>
              <w:rPr>
                <w:rFonts w:hint="eastAsia"/>
              </w:rPr>
            </w:pPr>
            <w:r>
              <w:rPr>
                <w:sz w:val="19"/>
              </w:rPr>
              <w:t>Loans + Grants</w:t>
            </w:r>
          </w:p>
        </w:tc>
        <w:tc>
          <w:tcPr>
            <w:tcW w:w="0" w:type="auto"/>
          </w:tcPr>
          <w:p w14:paraId="26D3748A" w14:textId="77777777" w:rsidR="00D708EC" w:rsidRDefault="00000000">
            <w:pPr>
              <w:rPr>
                <w:rFonts w:hint="eastAsia"/>
              </w:rPr>
            </w:pPr>
            <w:r>
              <w:rPr>
                <w:sz w:val="19"/>
              </w:rPr>
              <w:t>$1-2B</w:t>
            </w:r>
          </w:p>
        </w:tc>
      </w:tr>
      <w:tr w:rsidR="00D708EC" w14:paraId="0F022F5C" w14:textId="77777777">
        <w:tc>
          <w:tcPr>
            <w:tcW w:w="0" w:type="auto"/>
            <w:shd w:val="clear" w:color="auto" w:fill="ECEFF1"/>
          </w:tcPr>
          <w:p w14:paraId="0F9C601D" w14:textId="77777777" w:rsidR="00D708EC" w:rsidRDefault="00000000">
            <w:pPr>
              <w:rPr>
                <w:rFonts w:hint="eastAsia"/>
              </w:rPr>
            </w:pPr>
            <w:r>
              <w:rPr>
                <w:sz w:val="19"/>
              </w:rPr>
              <w:t>Oman / Turkey (TIKA)</w:t>
            </w:r>
          </w:p>
        </w:tc>
        <w:tc>
          <w:tcPr>
            <w:tcW w:w="0" w:type="auto"/>
            <w:shd w:val="clear" w:color="auto" w:fill="ECEFF1"/>
          </w:tcPr>
          <w:p w14:paraId="7D1FF79F" w14:textId="77777777" w:rsidR="00D708EC" w:rsidRDefault="00000000">
            <w:pPr>
              <w:rPr>
                <w:rFonts w:hint="eastAsia"/>
              </w:rPr>
            </w:pPr>
            <w:r>
              <w:rPr>
                <w:sz w:val="19"/>
              </w:rPr>
              <w:t>In-Kind + TA</w:t>
            </w:r>
          </w:p>
        </w:tc>
        <w:tc>
          <w:tcPr>
            <w:tcW w:w="0" w:type="auto"/>
            <w:shd w:val="clear" w:color="auto" w:fill="ECEFF1"/>
          </w:tcPr>
          <w:p w14:paraId="4E6B8CB7" w14:textId="77777777" w:rsidR="00D708EC" w:rsidRDefault="00000000">
            <w:pPr>
              <w:rPr>
                <w:rFonts w:hint="eastAsia"/>
              </w:rPr>
            </w:pPr>
            <w:r>
              <w:rPr>
                <w:sz w:val="19"/>
              </w:rPr>
              <w:t>$200-500M</w:t>
            </w:r>
          </w:p>
        </w:tc>
      </w:tr>
      <w:tr w:rsidR="00D708EC" w14:paraId="6173B3D9" w14:textId="77777777">
        <w:tc>
          <w:tcPr>
            <w:tcW w:w="0" w:type="auto"/>
          </w:tcPr>
          <w:p w14:paraId="61DF9EF5" w14:textId="77777777" w:rsidR="00D708EC" w:rsidRDefault="00000000">
            <w:pPr>
              <w:rPr>
                <w:rFonts w:hint="eastAsia"/>
              </w:rPr>
            </w:pPr>
            <w:r>
              <w:rPr>
                <w:sz w:val="19"/>
              </w:rPr>
              <w:t>World Bank Adaptation Fund</w:t>
            </w:r>
          </w:p>
        </w:tc>
        <w:tc>
          <w:tcPr>
            <w:tcW w:w="0" w:type="auto"/>
          </w:tcPr>
          <w:p w14:paraId="5AE2023B" w14:textId="77777777" w:rsidR="00D708EC" w:rsidRDefault="00000000">
            <w:pPr>
              <w:rPr>
                <w:rFonts w:hint="eastAsia"/>
              </w:rPr>
            </w:pPr>
            <w:r>
              <w:rPr>
                <w:sz w:val="19"/>
              </w:rPr>
              <w:t>Grant</w:t>
            </w:r>
          </w:p>
        </w:tc>
        <w:tc>
          <w:tcPr>
            <w:tcW w:w="0" w:type="auto"/>
          </w:tcPr>
          <w:p w14:paraId="2B7C7A7C" w14:textId="77777777" w:rsidR="00D708EC" w:rsidRDefault="00000000">
            <w:pPr>
              <w:rPr>
                <w:rFonts w:hint="eastAsia"/>
              </w:rPr>
            </w:pPr>
            <w:r>
              <w:rPr>
                <w:sz w:val="19"/>
              </w:rPr>
              <w:t>$50-100M</w:t>
            </w:r>
          </w:p>
        </w:tc>
      </w:tr>
      <w:tr w:rsidR="00D708EC" w14:paraId="16FDBAD2" w14:textId="77777777">
        <w:tc>
          <w:tcPr>
            <w:tcW w:w="0" w:type="auto"/>
            <w:shd w:val="clear" w:color="auto" w:fill="ECEFF1"/>
          </w:tcPr>
          <w:p w14:paraId="2EC76CA4" w14:textId="77777777" w:rsidR="00D708EC" w:rsidRDefault="00000000">
            <w:pPr>
              <w:rPr>
                <w:rFonts w:hint="eastAsia"/>
              </w:rPr>
            </w:pPr>
            <w:r>
              <w:rPr>
                <w:sz w:val="19"/>
              </w:rPr>
              <w:t>Clean Technology Fund</w:t>
            </w:r>
          </w:p>
        </w:tc>
        <w:tc>
          <w:tcPr>
            <w:tcW w:w="0" w:type="auto"/>
            <w:shd w:val="clear" w:color="auto" w:fill="ECEFF1"/>
          </w:tcPr>
          <w:p w14:paraId="339F9D21" w14:textId="77777777" w:rsidR="00D708EC" w:rsidRDefault="00000000">
            <w:pPr>
              <w:rPr>
                <w:rFonts w:hint="eastAsia"/>
              </w:rPr>
            </w:pPr>
            <w:r>
              <w:rPr>
                <w:sz w:val="19"/>
              </w:rPr>
              <w:t>Concessional Loan</w:t>
            </w:r>
          </w:p>
        </w:tc>
        <w:tc>
          <w:tcPr>
            <w:tcW w:w="0" w:type="auto"/>
            <w:shd w:val="clear" w:color="auto" w:fill="ECEFF1"/>
          </w:tcPr>
          <w:p w14:paraId="0D5BD4C1" w14:textId="77777777" w:rsidR="00D708EC" w:rsidRDefault="00000000">
            <w:pPr>
              <w:rPr>
                <w:rFonts w:hint="eastAsia"/>
              </w:rPr>
            </w:pPr>
            <w:r>
              <w:rPr>
                <w:sz w:val="19"/>
              </w:rPr>
              <w:t>$200-500M</w:t>
            </w:r>
          </w:p>
        </w:tc>
      </w:tr>
      <w:tr w:rsidR="00D708EC" w14:paraId="5F5D6A5D" w14:textId="77777777">
        <w:tc>
          <w:tcPr>
            <w:tcW w:w="0" w:type="auto"/>
          </w:tcPr>
          <w:p w14:paraId="1EF4C170" w14:textId="77777777" w:rsidR="00D708EC" w:rsidRDefault="00000000">
            <w:pPr>
              <w:rPr>
                <w:rFonts w:hint="eastAsia"/>
              </w:rPr>
            </w:pPr>
            <w:r>
              <w:rPr>
                <w:sz w:val="19"/>
              </w:rPr>
              <w:lastRenderedPageBreak/>
              <w:t>Convergence Platform</w:t>
            </w:r>
          </w:p>
        </w:tc>
        <w:tc>
          <w:tcPr>
            <w:tcW w:w="0" w:type="auto"/>
          </w:tcPr>
          <w:p w14:paraId="2EADB38A" w14:textId="77777777" w:rsidR="00D708EC" w:rsidRDefault="00000000">
            <w:pPr>
              <w:rPr>
                <w:rFonts w:hint="eastAsia"/>
              </w:rPr>
            </w:pPr>
            <w:r>
              <w:rPr>
                <w:sz w:val="19"/>
              </w:rPr>
              <w:t>Design Grant</w:t>
            </w:r>
          </w:p>
        </w:tc>
        <w:tc>
          <w:tcPr>
            <w:tcW w:w="0" w:type="auto"/>
          </w:tcPr>
          <w:p w14:paraId="58CD8468" w14:textId="77777777" w:rsidR="00D708EC" w:rsidRDefault="00000000">
            <w:pPr>
              <w:rPr>
                <w:rFonts w:hint="eastAsia"/>
              </w:rPr>
            </w:pPr>
            <w:r>
              <w:rPr>
                <w:sz w:val="19"/>
              </w:rPr>
              <w:t>$10-50M</w:t>
            </w:r>
          </w:p>
        </w:tc>
      </w:tr>
      <w:tr w:rsidR="00D708EC" w14:paraId="0E9353B8" w14:textId="77777777">
        <w:tc>
          <w:tcPr>
            <w:tcW w:w="0" w:type="auto"/>
            <w:shd w:val="clear" w:color="auto" w:fill="ECEFF1"/>
          </w:tcPr>
          <w:p w14:paraId="1DC650CC" w14:textId="77777777" w:rsidR="00D708EC" w:rsidRDefault="00000000">
            <w:pPr>
              <w:rPr>
                <w:rFonts w:hint="eastAsia"/>
              </w:rPr>
            </w:pPr>
            <w:r>
              <w:rPr>
                <w:sz w:val="19"/>
              </w:rPr>
              <w:t>UNCDF ReStart Fund</w:t>
            </w:r>
          </w:p>
        </w:tc>
        <w:tc>
          <w:tcPr>
            <w:tcW w:w="0" w:type="auto"/>
            <w:shd w:val="clear" w:color="auto" w:fill="ECEFF1"/>
          </w:tcPr>
          <w:p w14:paraId="5C1661DF" w14:textId="77777777" w:rsidR="00D708EC" w:rsidRDefault="00000000">
            <w:pPr>
              <w:rPr>
                <w:rFonts w:hint="eastAsia"/>
              </w:rPr>
            </w:pPr>
            <w:r>
              <w:rPr>
                <w:sz w:val="19"/>
              </w:rPr>
              <w:t>Grant + Catalytic</w:t>
            </w:r>
          </w:p>
        </w:tc>
        <w:tc>
          <w:tcPr>
            <w:tcW w:w="0" w:type="auto"/>
            <w:shd w:val="clear" w:color="auto" w:fill="ECEFF1"/>
          </w:tcPr>
          <w:p w14:paraId="61B597F4" w14:textId="77777777" w:rsidR="00D708EC" w:rsidRDefault="00000000">
            <w:pPr>
              <w:rPr>
                <w:rFonts w:hint="eastAsia"/>
              </w:rPr>
            </w:pPr>
            <w:r>
              <w:rPr>
                <w:sz w:val="19"/>
              </w:rPr>
              <w:t>$100-300M</w:t>
            </w:r>
          </w:p>
        </w:tc>
      </w:tr>
      <w:tr w:rsidR="00D708EC" w14:paraId="27C45D3A" w14:textId="77777777">
        <w:tc>
          <w:tcPr>
            <w:tcW w:w="0" w:type="auto"/>
          </w:tcPr>
          <w:p w14:paraId="44FF78C9" w14:textId="77777777" w:rsidR="00D708EC" w:rsidRDefault="00000000">
            <w:pPr>
              <w:rPr>
                <w:rFonts w:hint="eastAsia"/>
              </w:rPr>
            </w:pPr>
            <w:r>
              <w:rPr>
                <w:sz w:val="19"/>
              </w:rPr>
              <w:t>RRFP Platform</w:t>
            </w:r>
          </w:p>
        </w:tc>
        <w:tc>
          <w:tcPr>
            <w:tcW w:w="0" w:type="auto"/>
          </w:tcPr>
          <w:p w14:paraId="17C980AD" w14:textId="77777777" w:rsidR="00D708EC" w:rsidRDefault="00000000">
            <w:pPr>
              <w:rPr>
                <w:rFonts w:hint="eastAsia"/>
              </w:rPr>
            </w:pPr>
            <w:r>
              <w:rPr>
                <w:sz w:val="19"/>
              </w:rPr>
              <w:t>Blended Finance</w:t>
            </w:r>
          </w:p>
        </w:tc>
        <w:tc>
          <w:tcPr>
            <w:tcW w:w="0" w:type="auto"/>
          </w:tcPr>
          <w:p w14:paraId="285A3588" w14:textId="77777777" w:rsidR="00D708EC" w:rsidRDefault="00000000">
            <w:pPr>
              <w:rPr>
                <w:rFonts w:hint="eastAsia"/>
              </w:rPr>
            </w:pPr>
            <w:r>
              <w:rPr>
                <w:sz w:val="19"/>
              </w:rPr>
              <w:t>$500M-1B</w:t>
            </w:r>
          </w:p>
        </w:tc>
      </w:tr>
      <w:tr w:rsidR="00D708EC" w14:paraId="7CFECC5D" w14:textId="77777777">
        <w:tc>
          <w:tcPr>
            <w:tcW w:w="0" w:type="auto"/>
            <w:shd w:val="clear" w:color="auto" w:fill="ECEFF1"/>
          </w:tcPr>
          <w:p w14:paraId="3339441A" w14:textId="77777777" w:rsidR="00D708EC" w:rsidRDefault="00000000">
            <w:pPr>
              <w:rPr>
                <w:rFonts w:hint="eastAsia"/>
              </w:rPr>
            </w:pPr>
            <w:r>
              <w:rPr>
                <w:sz w:val="19"/>
              </w:rPr>
              <w:t>Sovereign / Infrastructure Sukuk</w:t>
            </w:r>
          </w:p>
        </w:tc>
        <w:tc>
          <w:tcPr>
            <w:tcW w:w="0" w:type="auto"/>
            <w:shd w:val="clear" w:color="auto" w:fill="ECEFF1"/>
          </w:tcPr>
          <w:p w14:paraId="36F65E9B" w14:textId="77777777" w:rsidR="00D708EC" w:rsidRDefault="00000000">
            <w:pPr>
              <w:rPr>
                <w:rFonts w:hint="eastAsia"/>
              </w:rPr>
            </w:pPr>
            <w:r>
              <w:rPr>
                <w:sz w:val="19"/>
              </w:rPr>
              <w:t>Islamic Finance</w:t>
            </w:r>
          </w:p>
        </w:tc>
        <w:tc>
          <w:tcPr>
            <w:tcW w:w="0" w:type="auto"/>
            <w:shd w:val="clear" w:color="auto" w:fill="ECEFF1"/>
          </w:tcPr>
          <w:p w14:paraId="24982CE3" w14:textId="77777777" w:rsidR="00D708EC" w:rsidRDefault="00000000">
            <w:pPr>
              <w:rPr>
                <w:rFonts w:hint="eastAsia"/>
              </w:rPr>
            </w:pPr>
            <w:r>
              <w:rPr>
                <w:sz w:val="19"/>
              </w:rPr>
              <w:t>$5-10B</w:t>
            </w:r>
          </w:p>
        </w:tc>
      </w:tr>
      <w:tr w:rsidR="00D708EC" w14:paraId="261D6FBF" w14:textId="77777777">
        <w:tc>
          <w:tcPr>
            <w:tcW w:w="0" w:type="auto"/>
          </w:tcPr>
          <w:p w14:paraId="55F30C10" w14:textId="77777777" w:rsidR="00D708EC" w:rsidRDefault="00000000">
            <w:pPr>
              <w:rPr>
                <w:rFonts w:hint="eastAsia"/>
              </w:rPr>
            </w:pPr>
            <w:r>
              <w:rPr>
                <w:sz w:val="19"/>
              </w:rPr>
              <w:t>Musharakah / Mudaraba</w:t>
            </w:r>
          </w:p>
        </w:tc>
        <w:tc>
          <w:tcPr>
            <w:tcW w:w="0" w:type="auto"/>
          </w:tcPr>
          <w:p w14:paraId="68229A73" w14:textId="77777777" w:rsidR="00D708EC" w:rsidRDefault="00000000">
            <w:pPr>
              <w:rPr>
                <w:rFonts w:hint="eastAsia"/>
              </w:rPr>
            </w:pPr>
            <w:r>
              <w:rPr>
                <w:sz w:val="19"/>
              </w:rPr>
              <w:t>Partnership</w:t>
            </w:r>
          </w:p>
        </w:tc>
        <w:tc>
          <w:tcPr>
            <w:tcW w:w="0" w:type="auto"/>
          </w:tcPr>
          <w:p w14:paraId="128C296A" w14:textId="77777777" w:rsidR="00D708EC" w:rsidRDefault="00000000">
            <w:pPr>
              <w:rPr>
                <w:rFonts w:hint="eastAsia"/>
              </w:rPr>
            </w:pPr>
            <w:r>
              <w:rPr>
                <w:sz w:val="19"/>
              </w:rPr>
              <w:t>$2-5B</w:t>
            </w:r>
          </w:p>
        </w:tc>
      </w:tr>
      <w:tr w:rsidR="00D708EC" w14:paraId="3622E915" w14:textId="77777777">
        <w:tc>
          <w:tcPr>
            <w:tcW w:w="0" w:type="auto"/>
            <w:shd w:val="clear" w:color="auto" w:fill="ECEFF1"/>
          </w:tcPr>
          <w:p w14:paraId="5254BA9E" w14:textId="77777777" w:rsidR="00D708EC" w:rsidRDefault="00000000">
            <w:pPr>
              <w:rPr>
                <w:rFonts w:hint="eastAsia"/>
              </w:rPr>
            </w:pPr>
            <w:r>
              <w:rPr>
                <w:sz w:val="19"/>
              </w:rPr>
              <w:t>Ijara (Islamic Leasing)</w:t>
            </w:r>
          </w:p>
        </w:tc>
        <w:tc>
          <w:tcPr>
            <w:tcW w:w="0" w:type="auto"/>
            <w:shd w:val="clear" w:color="auto" w:fill="ECEFF1"/>
          </w:tcPr>
          <w:p w14:paraId="17881D23" w14:textId="77777777" w:rsidR="00D708EC" w:rsidRDefault="00000000">
            <w:pPr>
              <w:rPr>
                <w:rFonts w:hint="eastAsia"/>
              </w:rPr>
            </w:pPr>
            <w:r>
              <w:rPr>
                <w:sz w:val="19"/>
              </w:rPr>
              <w:t>Equipment Finance</w:t>
            </w:r>
          </w:p>
        </w:tc>
        <w:tc>
          <w:tcPr>
            <w:tcW w:w="0" w:type="auto"/>
            <w:shd w:val="clear" w:color="auto" w:fill="ECEFF1"/>
          </w:tcPr>
          <w:p w14:paraId="5BD2841B" w14:textId="77777777" w:rsidR="00D708EC" w:rsidRDefault="00000000">
            <w:pPr>
              <w:rPr>
                <w:rFonts w:hint="eastAsia"/>
              </w:rPr>
            </w:pPr>
            <w:r>
              <w:rPr>
                <w:sz w:val="19"/>
              </w:rPr>
              <w:t>$1-3B</w:t>
            </w:r>
          </w:p>
        </w:tc>
      </w:tr>
      <w:tr w:rsidR="00D708EC" w14:paraId="4589F72E" w14:textId="77777777">
        <w:tc>
          <w:tcPr>
            <w:tcW w:w="0" w:type="auto"/>
          </w:tcPr>
          <w:p w14:paraId="7454AC55" w14:textId="77777777" w:rsidR="00D708EC" w:rsidRDefault="00000000">
            <w:pPr>
              <w:rPr>
                <w:rFonts w:hint="eastAsia"/>
              </w:rPr>
            </w:pPr>
            <w:r>
              <w:rPr>
                <w:sz w:val="19"/>
              </w:rPr>
              <w:t>Qard al-Hasan</w:t>
            </w:r>
          </w:p>
        </w:tc>
        <w:tc>
          <w:tcPr>
            <w:tcW w:w="0" w:type="auto"/>
          </w:tcPr>
          <w:p w14:paraId="6F6433AF" w14:textId="77777777" w:rsidR="00D708EC" w:rsidRDefault="00000000">
            <w:pPr>
              <w:rPr>
                <w:rFonts w:hint="eastAsia"/>
              </w:rPr>
            </w:pPr>
            <w:r>
              <w:rPr>
                <w:sz w:val="19"/>
              </w:rPr>
              <w:t>Interest-Free Loan</w:t>
            </w:r>
          </w:p>
        </w:tc>
        <w:tc>
          <w:tcPr>
            <w:tcW w:w="0" w:type="auto"/>
          </w:tcPr>
          <w:p w14:paraId="721FB5AF" w14:textId="77777777" w:rsidR="00D708EC" w:rsidRDefault="00000000">
            <w:pPr>
              <w:rPr>
                <w:rFonts w:hint="eastAsia"/>
              </w:rPr>
            </w:pPr>
            <w:r>
              <w:rPr>
                <w:sz w:val="19"/>
              </w:rPr>
              <w:t>$200-500M</w:t>
            </w:r>
          </w:p>
        </w:tc>
      </w:tr>
      <w:tr w:rsidR="00D708EC" w14:paraId="13640AA8" w14:textId="77777777">
        <w:tc>
          <w:tcPr>
            <w:tcW w:w="0" w:type="auto"/>
            <w:shd w:val="clear" w:color="auto" w:fill="ECEFF1"/>
          </w:tcPr>
          <w:p w14:paraId="58DC7C3F" w14:textId="77777777" w:rsidR="00D708EC" w:rsidRDefault="00000000">
            <w:pPr>
              <w:rPr>
                <w:rFonts w:hint="eastAsia"/>
              </w:rPr>
            </w:pPr>
            <w:r>
              <w:rPr>
                <w:sz w:val="19"/>
              </w:rPr>
              <w:t>Development Impact Bonds</w:t>
            </w:r>
          </w:p>
        </w:tc>
        <w:tc>
          <w:tcPr>
            <w:tcW w:w="0" w:type="auto"/>
            <w:shd w:val="clear" w:color="auto" w:fill="ECEFF1"/>
          </w:tcPr>
          <w:p w14:paraId="1D97633E" w14:textId="77777777" w:rsidR="00D708EC" w:rsidRDefault="00000000">
            <w:pPr>
              <w:rPr>
                <w:rFonts w:hint="eastAsia"/>
              </w:rPr>
            </w:pPr>
            <w:r>
              <w:rPr>
                <w:sz w:val="19"/>
              </w:rPr>
              <w:t>Results-Based</w:t>
            </w:r>
          </w:p>
        </w:tc>
        <w:tc>
          <w:tcPr>
            <w:tcW w:w="0" w:type="auto"/>
            <w:shd w:val="clear" w:color="auto" w:fill="ECEFF1"/>
          </w:tcPr>
          <w:p w14:paraId="53C6F9A5" w14:textId="77777777" w:rsidR="00D708EC" w:rsidRDefault="00000000">
            <w:pPr>
              <w:rPr>
                <w:rFonts w:hint="eastAsia"/>
              </w:rPr>
            </w:pPr>
            <w:r>
              <w:rPr>
                <w:sz w:val="19"/>
              </w:rPr>
              <w:t>$500M-1B</w:t>
            </w:r>
          </w:p>
        </w:tc>
      </w:tr>
      <w:tr w:rsidR="00D708EC" w14:paraId="1742B9F3" w14:textId="77777777">
        <w:tc>
          <w:tcPr>
            <w:tcW w:w="0" w:type="auto"/>
          </w:tcPr>
          <w:p w14:paraId="7FF98F17" w14:textId="77777777" w:rsidR="00D708EC" w:rsidRDefault="00000000">
            <w:pPr>
              <w:rPr>
                <w:rFonts w:hint="eastAsia"/>
              </w:rPr>
            </w:pPr>
            <w:r>
              <w:rPr>
                <w:sz w:val="19"/>
              </w:rPr>
              <w:t>Humanitarian Impact Bonds</w:t>
            </w:r>
          </w:p>
        </w:tc>
        <w:tc>
          <w:tcPr>
            <w:tcW w:w="0" w:type="auto"/>
          </w:tcPr>
          <w:p w14:paraId="23F3712C" w14:textId="77777777" w:rsidR="00D708EC" w:rsidRDefault="00000000">
            <w:pPr>
              <w:rPr>
                <w:rFonts w:hint="eastAsia"/>
              </w:rPr>
            </w:pPr>
            <w:r>
              <w:rPr>
                <w:sz w:val="19"/>
              </w:rPr>
              <w:t>Results-Based</w:t>
            </w:r>
          </w:p>
        </w:tc>
        <w:tc>
          <w:tcPr>
            <w:tcW w:w="0" w:type="auto"/>
          </w:tcPr>
          <w:p w14:paraId="4D497CBA" w14:textId="77777777" w:rsidR="00D708EC" w:rsidRDefault="00000000">
            <w:pPr>
              <w:rPr>
                <w:rFonts w:hint="eastAsia"/>
              </w:rPr>
            </w:pPr>
            <w:r>
              <w:rPr>
                <w:sz w:val="19"/>
              </w:rPr>
              <w:t>$200-500M</w:t>
            </w:r>
          </w:p>
        </w:tc>
      </w:tr>
      <w:tr w:rsidR="00D708EC" w14:paraId="3EC400F7" w14:textId="77777777">
        <w:tc>
          <w:tcPr>
            <w:tcW w:w="0" w:type="auto"/>
            <w:shd w:val="clear" w:color="auto" w:fill="ECEFF1"/>
          </w:tcPr>
          <w:p w14:paraId="75E4529A" w14:textId="77777777" w:rsidR="00D708EC" w:rsidRDefault="00000000">
            <w:pPr>
              <w:rPr>
                <w:rFonts w:hint="eastAsia"/>
              </w:rPr>
            </w:pPr>
            <w:r>
              <w:rPr>
                <w:sz w:val="19"/>
              </w:rPr>
              <w:t>Global Infrastructure Facility</w:t>
            </w:r>
          </w:p>
        </w:tc>
        <w:tc>
          <w:tcPr>
            <w:tcW w:w="0" w:type="auto"/>
            <w:shd w:val="clear" w:color="auto" w:fill="ECEFF1"/>
          </w:tcPr>
          <w:p w14:paraId="5341C80B" w14:textId="77777777" w:rsidR="00D708EC" w:rsidRDefault="00000000">
            <w:pPr>
              <w:rPr>
                <w:rFonts w:hint="eastAsia"/>
              </w:rPr>
            </w:pPr>
            <w:r>
              <w:rPr>
                <w:sz w:val="19"/>
              </w:rPr>
              <w:t>PPP Structuring</w:t>
            </w:r>
          </w:p>
        </w:tc>
        <w:tc>
          <w:tcPr>
            <w:tcW w:w="0" w:type="auto"/>
            <w:shd w:val="clear" w:color="auto" w:fill="ECEFF1"/>
          </w:tcPr>
          <w:p w14:paraId="1DA42FA1" w14:textId="77777777" w:rsidR="00D708EC" w:rsidRDefault="00000000">
            <w:pPr>
              <w:rPr>
                <w:rFonts w:hint="eastAsia"/>
              </w:rPr>
            </w:pPr>
            <w:r>
              <w:rPr>
                <w:sz w:val="19"/>
              </w:rPr>
              <w:t>$1-3B mobilized</w:t>
            </w:r>
          </w:p>
        </w:tc>
      </w:tr>
      <w:tr w:rsidR="00D708EC" w14:paraId="2E953AC7" w14:textId="77777777">
        <w:tc>
          <w:tcPr>
            <w:tcW w:w="0" w:type="auto"/>
          </w:tcPr>
          <w:p w14:paraId="0065D688" w14:textId="77777777" w:rsidR="00D708EC" w:rsidRDefault="00000000">
            <w:pPr>
              <w:rPr>
                <w:rFonts w:hint="eastAsia"/>
              </w:rPr>
            </w:pPr>
            <w:r>
              <w:rPr>
                <w:sz w:val="19"/>
              </w:rPr>
              <w:t>Foundations (Collective)</w:t>
            </w:r>
          </w:p>
        </w:tc>
        <w:tc>
          <w:tcPr>
            <w:tcW w:w="0" w:type="auto"/>
          </w:tcPr>
          <w:p w14:paraId="5DE3C7DE" w14:textId="77777777" w:rsidR="00D708EC" w:rsidRDefault="00000000">
            <w:pPr>
              <w:rPr>
                <w:rFonts w:hint="eastAsia"/>
              </w:rPr>
            </w:pPr>
            <w:r>
              <w:rPr>
                <w:sz w:val="19"/>
              </w:rPr>
              <w:t>Grants + PRIs</w:t>
            </w:r>
          </w:p>
        </w:tc>
        <w:tc>
          <w:tcPr>
            <w:tcW w:w="0" w:type="auto"/>
          </w:tcPr>
          <w:p w14:paraId="06776CCA" w14:textId="77777777" w:rsidR="00D708EC" w:rsidRDefault="00000000">
            <w:pPr>
              <w:rPr>
                <w:rFonts w:hint="eastAsia"/>
              </w:rPr>
            </w:pPr>
            <w:r>
              <w:rPr>
                <w:sz w:val="19"/>
              </w:rPr>
              <w:t>$100-300M</w:t>
            </w:r>
          </w:p>
        </w:tc>
      </w:tr>
      <w:tr w:rsidR="00D708EC" w14:paraId="658B7075" w14:textId="77777777">
        <w:tc>
          <w:tcPr>
            <w:tcW w:w="0" w:type="auto"/>
            <w:shd w:val="clear" w:color="auto" w:fill="ECEFF1"/>
          </w:tcPr>
          <w:p w14:paraId="2DFCC361" w14:textId="77777777" w:rsidR="00D708EC" w:rsidRDefault="00000000">
            <w:pPr>
              <w:rPr>
                <w:rFonts w:hint="eastAsia"/>
              </w:rPr>
            </w:pPr>
            <w:r>
              <w:rPr>
                <w:sz w:val="19"/>
              </w:rPr>
              <w:t>We-Fi</w:t>
            </w:r>
          </w:p>
        </w:tc>
        <w:tc>
          <w:tcPr>
            <w:tcW w:w="0" w:type="auto"/>
            <w:shd w:val="clear" w:color="auto" w:fill="ECEFF1"/>
          </w:tcPr>
          <w:p w14:paraId="54E026F8" w14:textId="77777777" w:rsidR="00D708EC" w:rsidRDefault="00000000">
            <w:pPr>
              <w:rPr>
                <w:rFonts w:hint="eastAsia"/>
              </w:rPr>
            </w:pPr>
            <w:r>
              <w:rPr>
                <w:sz w:val="19"/>
              </w:rPr>
              <w:t>Women Finance</w:t>
            </w:r>
          </w:p>
        </w:tc>
        <w:tc>
          <w:tcPr>
            <w:tcW w:w="0" w:type="auto"/>
            <w:shd w:val="clear" w:color="auto" w:fill="ECEFF1"/>
          </w:tcPr>
          <w:p w14:paraId="3643E3EB" w14:textId="77777777" w:rsidR="00D708EC" w:rsidRDefault="00000000">
            <w:pPr>
              <w:rPr>
                <w:rFonts w:hint="eastAsia"/>
              </w:rPr>
            </w:pPr>
            <w:r>
              <w:rPr>
                <w:sz w:val="19"/>
              </w:rPr>
              <w:t>$50-100M</w:t>
            </w:r>
          </w:p>
        </w:tc>
      </w:tr>
      <w:tr w:rsidR="00D708EC" w14:paraId="27A18CD0" w14:textId="77777777">
        <w:tc>
          <w:tcPr>
            <w:tcW w:w="0" w:type="auto"/>
          </w:tcPr>
          <w:p w14:paraId="31661A49" w14:textId="77777777" w:rsidR="00D708EC" w:rsidRDefault="00000000">
            <w:pPr>
              <w:rPr>
                <w:rFonts w:hint="eastAsia"/>
              </w:rPr>
            </w:pPr>
            <w:r>
              <w:rPr>
                <w:sz w:val="19"/>
              </w:rPr>
              <w:t>TOTAL ADDITIONAL POTENTIAL</w:t>
            </w:r>
          </w:p>
        </w:tc>
        <w:tc>
          <w:tcPr>
            <w:tcW w:w="0" w:type="auto"/>
          </w:tcPr>
          <w:p w14:paraId="350B3DEF" w14:textId="77777777" w:rsidR="00D708EC" w:rsidRDefault="00D708EC">
            <w:pPr>
              <w:rPr>
                <w:rFonts w:hint="eastAsia"/>
              </w:rPr>
            </w:pPr>
          </w:p>
        </w:tc>
        <w:tc>
          <w:tcPr>
            <w:tcW w:w="0" w:type="auto"/>
          </w:tcPr>
          <w:p w14:paraId="0B53C462" w14:textId="77777777" w:rsidR="00D708EC" w:rsidRDefault="00000000">
            <w:pPr>
              <w:rPr>
                <w:rFonts w:hint="eastAsia"/>
              </w:rPr>
            </w:pPr>
            <w:r>
              <w:rPr>
                <w:sz w:val="19"/>
              </w:rPr>
              <w:t>$14-34B</w:t>
            </w:r>
          </w:p>
        </w:tc>
      </w:tr>
    </w:tbl>
    <w:p w14:paraId="7BA3DDA7" w14:textId="77777777" w:rsidR="00D708EC" w:rsidRDefault="00000000">
      <w:pPr>
        <w:pStyle w:val="Heading2"/>
        <w:rPr>
          <w:rFonts w:hint="eastAsia"/>
        </w:rPr>
      </w:pPr>
      <w:bookmarkStart w:id="175" w:name="_Toc237663689"/>
      <w:r>
        <w:t>Appendix H: Global South, BRICS, and Regional Development Partners</w:t>
      </w:r>
      <w:bookmarkEnd w:id="175"/>
    </w:p>
    <w:p w14:paraId="587B448E" w14:textId="77777777" w:rsidR="00D708EC" w:rsidRDefault="00000000">
      <w:pPr>
        <w:rPr>
          <w:rFonts w:hint="eastAsia"/>
        </w:rPr>
      </w:pPr>
      <w:r>
        <w:t>This Appendix catalogs funding sources from the Global South, BRICS member states, regional development banks, and innovative financing mechanisms identified through expanded global research. These sources complement Appendices D, E, and G.</w:t>
      </w:r>
    </w:p>
    <w:p w14:paraId="0C01E337" w14:textId="77777777" w:rsidR="00D708EC" w:rsidRDefault="00000000">
      <w:pPr>
        <w:pStyle w:val="Heading3"/>
        <w:rPr>
          <w:rFonts w:hint="eastAsia"/>
        </w:rPr>
      </w:pPr>
      <w:r>
        <w:t>H.1 South Korea: Dedicated Reconstruction Partnership</w:t>
      </w:r>
    </w:p>
    <w:p w14:paraId="3F767079" w14:textId="77777777" w:rsidR="00D708EC" w:rsidRDefault="00000000">
      <w:pPr>
        <w:rPr>
          <w:rFonts w:hint="eastAsia"/>
        </w:rPr>
      </w:pPr>
      <w:r>
        <w:t>South Korea has established a dedicated "Korea-Middle East Comprehensive Economic Cooperation Team" specifically to enable Korean companies to participate in post-war reconstruction in the Middle East. The Korean Foreign Minister publicly confirmed that Seoul is actively preparing for post-war reconstruction between the United States and Iran, positioning South Korea as a key reconstruction partner.</w:t>
      </w:r>
    </w:p>
    <w:p w14:paraId="3DC5B457" w14:textId="77777777" w:rsidR="00D708EC" w:rsidRDefault="00000000">
      <w:pPr>
        <w:rPr>
          <w:rFonts w:hint="eastAsia"/>
        </w:rPr>
      </w:pPr>
      <w:r>
        <w:t>South Korea holds approximately $6 billion in frozen Iranian oil payments, providing a significant asset base for the Frozen Asset Conversion Protocol (Article 1.3(c)). Korean construction firms (Samsung C&amp;T, Hyundai E&amp;C, POSCO E&amp;C, Daewoo E&amp;C) rank among the world's most experienced post-conflict rebuilders, with demonstrated capacity in rapid infrastructure deployment.</w:t>
      </w:r>
    </w:p>
    <w:p w14:paraId="64A43409" w14:textId="77777777" w:rsidR="00D708EC" w:rsidRDefault="00000000">
      <w:pPr>
        <w:rPr>
          <w:rFonts w:hint="eastAsia"/>
        </w:rPr>
      </w:pPr>
      <w:r>
        <w:lastRenderedPageBreak/>
        <w:t>Application pathway: The Korea-Middle East Comprehensive Economic Cooperation Team coordinates with the RSC secretariat. Korea's Economic Development Cooperation Fund (EDCF) provides concessional loans for infrastructure. The Export-Import Bank of Korea (KEXIM) offers buyer's credit and project finance. The Frozen Asset Conversion Protocol enables Korean firms to execute reconstruction contracts using won-denominated frozen funds. Korea International Cooperation Agency (KOICA) provides technical assistance and capacity building.</w:t>
      </w:r>
    </w:p>
    <w:p w14:paraId="0A6D3396" w14:textId="77777777" w:rsidR="00D708EC" w:rsidRDefault="00000000">
      <w:pPr>
        <w:rPr>
          <w:rFonts w:hint="eastAsia"/>
        </w:rPr>
      </w:pPr>
      <w:r>
        <w:t>Focus sectors: Transport infrastructure, power generation, water treatment, telecommunications, and hospital construction. Estimated potential allocation: $3-8 billion (including frozen asset conversion).</w:t>
      </w:r>
    </w:p>
    <w:p w14:paraId="1A60ADB4" w14:textId="77777777" w:rsidR="00D708EC" w:rsidRDefault="00000000">
      <w:pPr>
        <w:pStyle w:val="Heading3"/>
        <w:rPr>
          <w:rFonts w:hint="eastAsia"/>
        </w:rPr>
      </w:pPr>
      <w:r>
        <w:t>H.2 Turkey: Construction Capacity and Regional Partnership</w:t>
      </w:r>
    </w:p>
    <w:p w14:paraId="09F48C50" w14:textId="77777777" w:rsidR="00D708EC" w:rsidRDefault="00000000">
      <w:pPr>
        <w:rPr>
          <w:rFonts w:hint="eastAsia"/>
        </w:rPr>
      </w:pPr>
      <w:r>
        <w:t>Turkey maintains one of the world's largest construction industries. Turkish contractors rank second globally in international project volume, with particular expertise in rapid post-conflict rebuilding, having executed major reconstruction projects in Afghanistan, Iraq, Syria, Libya, and the Balkans. Turkey also holds frozen Iranian assets from prior trade arrangements.</w:t>
      </w:r>
    </w:p>
    <w:p w14:paraId="05B79C34" w14:textId="77777777" w:rsidR="00D708EC" w:rsidRDefault="00000000">
      <w:pPr>
        <w:rPr>
          <w:rFonts w:hint="eastAsia"/>
        </w:rPr>
      </w:pPr>
      <w:r>
        <w:t>The Turkish Cooperation and Coordination Agency (TIKA) operates as Turkey's bilateral development arm, providing technical assistance, capacity building, and project financing across Central Asia, the Middle East, Africa, and the Balkans. TIKA has active programming in Iran and coordinates with Iranian counterparts on infrastructure, agriculture, education, and health.</w:t>
      </w:r>
    </w:p>
    <w:p w14:paraId="6FF020C6" w14:textId="77777777" w:rsidR="00D708EC" w:rsidRDefault="00000000">
      <w:pPr>
        <w:rPr>
          <w:rFonts w:hint="eastAsia"/>
        </w:rPr>
      </w:pPr>
      <w:r>
        <w:t>Application pathway: Turkey accesses the MRF through the Frozen Asset Conversion Protocol for bilateral projects executed by Turkish contractors. TIKA provides technical cooperation grants through its country office. The Turkish Eximbank offers project finance for Turkish-led construction. The RSC coordinates with TIKA to align Turkish-funded projects with MRF Sub-Fund priorities.</w:t>
      </w:r>
    </w:p>
    <w:p w14:paraId="6A263A5F" w14:textId="77777777" w:rsidR="00D708EC" w:rsidRDefault="00000000">
      <w:pPr>
        <w:rPr>
          <w:rFonts w:hint="eastAsia"/>
        </w:rPr>
      </w:pPr>
      <w:r>
        <w:t>Focus sectors: Housing construction, transport infrastructure, urban development, and health facilities. Estimated potential allocation: $2-5 billion.</w:t>
      </w:r>
    </w:p>
    <w:p w14:paraId="579A44D3" w14:textId="77777777" w:rsidR="00D708EC" w:rsidRDefault="00000000">
      <w:pPr>
        <w:pStyle w:val="Heading3"/>
        <w:rPr>
          <w:rFonts w:hint="eastAsia"/>
        </w:rPr>
      </w:pPr>
      <w:r>
        <w:t>H.3 Indonesia: Islamic Finance Hub and South-South Cooperation</w:t>
      </w:r>
    </w:p>
    <w:p w14:paraId="544F2539" w14:textId="77777777" w:rsidR="00D708EC" w:rsidRDefault="00000000">
      <w:pPr>
        <w:rPr>
          <w:rFonts w:hint="eastAsia"/>
        </w:rPr>
      </w:pPr>
      <w:r>
        <w:t>Indonesia is the world's most populous Muslim-majority nation and a global leader in Islamic finance innovation. Indonesia is a BRICS member state and a founding member of the Organisation of Islamic Cooperation (OIC). The Indonesian government has issued sovereign Green Sukuk (Islamic green bonds) to fund climate and environmental projects, providing a proven model for Islamic climate finance.</w:t>
      </w:r>
    </w:p>
    <w:p w14:paraId="7B53DBFD" w14:textId="77777777" w:rsidR="00D708EC" w:rsidRDefault="00000000">
      <w:pPr>
        <w:rPr>
          <w:rFonts w:hint="eastAsia"/>
        </w:rPr>
      </w:pPr>
      <w:r>
        <w:t xml:space="preserve">Indonesia's Green Sukuk program has raised over $3.5 billion across multiple issuances to finance renewable energy, sustainable transport, waste management, and climate adaptation projects. The Indonesian experience provides a blueprint for structuring Shari'ah-compliant </w:t>
      </w:r>
      <w:r>
        <w:lastRenderedPageBreak/>
        <w:t>climate finance instruments under the MRF's Carbon Credit Pre-Financing Facility (Article 6.4).</w:t>
      </w:r>
    </w:p>
    <w:p w14:paraId="5B2B6268" w14:textId="77777777" w:rsidR="00D708EC" w:rsidRDefault="00000000">
      <w:pPr>
        <w:rPr>
          <w:rFonts w:hint="eastAsia"/>
        </w:rPr>
      </w:pPr>
      <w:r>
        <w:t>Application pathway: Indonesia contributes to the MRF through bilateral development cooperation (via the Indonesian Agency for International Development). Indonesian Islamic banks and the Indonesia Eximbank provide Shari'ah-compliant project finance. The RSC engages Indonesian Green Sukuk experts to advise on MRF Sukuk structuring. Indonesia's Islamic Development Bank contributions flow through the IsDB's Iran program.</w:t>
      </w:r>
    </w:p>
    <w:p w14:paraId="2A6B2665" w14:textId="77777777" w:rsidR="00D708EC" w:rsidRDefault="00000000">
      <w:pPr>
        <w:rPr>
          <w:rFonts w:hint="eastAsia"/>
        </w:rPr>
      </w:pPr>
      <w:r>
        <w:t>Focus sectors: Islamic finance structuring, Green Sukuk issuance, renewable energy, and climate adaptation. Estimated potential allocation: $500 million to $1 billion.</w:t>
      </w:r>
    </w:p>
    <w:p w14:paraId="6BACB8C5" w14:textId="77777777" w:rsidR="00D708EC" w:rsidRDefault="00000000">
      <w:pPr>
        <w:pStyle w:val="Heading3"/>
        <w:rPr>
          <w:rFonts w:hint="eastAsia"/>
        </w:rPr>
      </w:pPr>
      <w:r>
        <w:t>H.4 Brazil: Agricultural Technology and BRICS Cooperation</w:t>
      </w:r>
    </w:p>
    <w:p w14:paraId="5C3953BA" w14:textId="77777777" w:rsidR="00D708EC" w:rsidRDefault="00000000">
      <w:pPr>
        <w:rPr>
          <w:rFonts w:hint="eastAsia"/>
        </w:rPr>
      </w:pPr>
      <w:r>
        <w:t>Brazil is a BRICS member state with world-leading agricultural technology expertise. The Brazilian Agricultural Research Corporation (EMBRAPA) operates as one of the world's premier agricultural research institutions, developing drought-resistant crops, tropical agriculture techniques, and precision farming technologies applicable to Iran's diverse climate zones.</w:t>
      </w:r>
    </w:p>
    <w:p w14:paraId="1E4DF1A5" w14:textId="77777777" w:rsidR="00D708EC" w:rsidRDefault="00000000">
      <w:pPr>
        <w:rPr>
          <w:rFonts w:hint="eastAsia"/>
        </w:rPr>
      </w:pPr>
      <w:r>
        <w:t>Application pathway: Brazil contributes to the MRF through BRICS development mechanisms and bilateral technical cooperation. EMBRAPA provides technical assistance for Iranian agricultural reconstruction under MRF-Agriculture. Brazilian construction and engineering firms (Odebrecht, Andrade Gutierrez) participate in infrastructure projects. The Brazilian Development Bank (BNDES) provides export credit for Brazilian equipment and technology.</w:t>
      </w:r>
    </w:p>
    <w:p w14:paraId="2F3C1013" w14:textId="77777777" w:rsidR="00D708EC" w:rsidRDefault="00000000">
      <w:pPr>
        <w:rPr>
          <w:rFonts w:hint="eastAsia"/>
        </w:rPr>
      </w:pPr>
      <w:r>
        <w:t>Focus sectors: Agricultural technology, food security, biofuels, precision agriculture, and rural development. Estimated potential allocation: $300-500 million.</w:t>
      </w:r>
    </w:p>
    <w:p w14:paraId="2E41672B" w14:textId="77777777" w:rsidR="00D708EC" w:rsidRDefault="00000000">
      <w:pPr>
        <w:pStyle w:val="Heading3"/>
        <w:rPr>
          <w:rFonts w:hint="eastAsia"/>
        </w:rPr>
      </w:pPr>
      <w:r>
        <w:t>H.5 South Africa: Infrastructure Expertise and Bilateral Cooperation</w:t>
      </w:r>
    </w:p>
    <w:p w14:paraId="1E1FB44A" w14:textId="77777777" w:rsidR="00D708EC" w:rsidRDefault="00000000">
      <w:pPr>
        <w:rPr>
          <w:rFonts w:hint="eastAsia"/>
        </w:rPr>
      </w:pPr>
      <w:r>
        <w:t>South Africa and Iran maintain extensive bilateral cooperation through the Joint Commission for Cooperation (JCC), which has produced signed agreements across mining, energy, agriculture, transport, water resources management, industrial development, science and technology, health, education, and cultural cooperation.</w:t>
      </w:r>
    </w:p>
    <w:p w14:paraId="4154424A" w14:textId="77777777" w:rsidR="00D708EC" w:rsidRDefault="00000000">
      <w:pPr>
        <w:rPr>
          <w:rFonts w:hint="eastAsia"/>
        </w:rPr>
      </w:pPr>
      <w:r>
        <w:t>South Africa is a BRICS founding member. Both nations are now BRICS members (Iran joined January 2024), creating a multilateral cooperation platform for infrastructure investment, technology transfer, and development finance. The BRICS New Development Bank (NDB) provides an additional lending channel for MRF-aligned projects.</w:t>
      </w:r>
    </w:p>
    <w:p w14:paraId="587FEEB1" w14:textId="77777777" w:rsidR="00D708EC" w:rsidRDefault="00000000">
      <w:pPr>
        <w:rPr>
          <w:rFonts w:hint="eastAsia"/>
        </w:rPr>
      </w:pPr>
      <w:r>
        <w:t>Application pathway: South Africa contributes to the MRF through bilateral development cooperation and the BRICS NDB. The Development Bank of Southern Africa (DBSA) provides infrastructure finance expertise. South African firms (Murray and Roberts, Group Five) contribute construction and engineering capacity. The South Africa-Iran JCC secretariat coordinates project pipelines with the RSC.</w:t>
      </w:r>
    </w:p>
    <w:p w14:paraId="3EF4E606" w14:textId="77777777" w:rsidR="00D708EC" w:rsidRDefault="00000000">
      <w:pPr>
        <w:rPr>
          <w:rFonts w:hint="eastAsia"/>
        </w:rPr>
      </w:pPr>
      <w:r>
        <w:lastRenderedPageBreak/>
        <w:t>Focus sectors: Mining and mineral beneficiation, water and sanitation technology, rail infrastructure, industrial parks, smart transportation, and agricultural technology. Estimated potential allocation: $500 million to $1 billion.</w:t>
      </w:r>
    </w:p>
    <w:p w14:paraId="54295955" w14:textId="77777777" w:rsidR="00D708EC" w:rsidRDefault="00000000">
      <w:pPr>
        <w:pStyle w:val="Heading3"/>
        <w:rPr>
          <w:rFonts w:hint="eastAsia"/>
        </w:rPr>
      </w:pPr>
      <w:r>
        <w:t>H.6 China: Belt and Road Initiative and Strategic Partnership</w:t>
      </w:r>
    </w:p>
    <w:p w14:paraId="5154F3F6" w14:textId="77777777" w:rsidR="00D708EC" w:rsidRDefault="00000000">
      <w:pPr>
        <w:rPr>
          <w:rFonts w:hint="eastAsia"/>
        </w:rPr>
      </w:pPr>
      <w:r>
        <w:t>China and Iran signed a 25-year Strategic Cooperation Agreement in September 2025, creating a comprehensive framework for Chinese investment across Iranian infrastructure, energy, technology, and transport. The agreement includes a $25 billion commitment for the Hormoz nuclear power plant (four units, 5,000 megawatts) and activates the China-Iran Silk Road Economic Belt corridor.</w:t>
      </w:r>
    </w:p>
    <w:p w14:paraId="431FF54A" w14:textId="77777777" w:rsidR="00D708EC" w:rsidRDefault="00000000">
      <w:pPr>
        <w:rPr>
          <w:rFonts w:hint="eastAsia"/>
        </w:rPr>
      </w:pPr>
      <w:r>
        <w:t>The Belt and Road Initiative (BRI) serves as the primary channel for Chinese reconstruction engagement. China provides massive infrastructure financing for railway, port, and highway projects. Chinese companies (CMC, SU Power, China Railway Group, China Harbour Engineering) are the largest investors in Iranian neighboring states' transport infrastructure and possess extensive conflict-zone construction experience.</w:t>
      </w:r>
    </w:p>
    <w:p w14:paraId="3C11F851" w14:textId="77777777" w:rsidR="00D708EC" w:rsidRDefault="00000000">
      <w:pPr>
        <w:rPr>
          <w:rFonts w:hint="eastAsia"/>
        </w:rPr>
      </w:pPr>
      <w:r>
        <w:t>Iran's transport infrastructure requires $14.5 billion in investment per year over the next decade (121 identified projects). China's existing Tehran-Mashhad railway electrification project ($2 billion) demonstrates proven delivery capacity. The BRI connects Iranian ports to international transportation networks and positions Iran as a land-sea corridor linking East Asia to the Mediterranean via Iraq and Syria.</w:t>
      </w:r>
    </w:p>
    <w:p w14:paraId="18700C80" w14:textId="77777777" w:rsidR="00D708EC" w:rsidRDefault="00000000">
      <w:pPr>
        <w:rPr>
          <w:rFonts w:hint="eastAsia"/>
        </w:rPr>
      </w:pPr>
      <w:r>
        <w:t>Application pathway: China accesses the MRF through bilateral project financing under the 25-year Strategic Cooperation Agreement. The Silk Road Fund and China Development Bank provide long-term infrastructure loans. The Asian Infrastructure Investment Bank (AIIB) co-finances transport and energy projects. The RSC coordinates Chinese project pipelines with MRF Sub-Fund allocations to prevent duplication and maximize leverage.</w:t>
      </w:r>
    </w:p>
    <w:p w14:paraId="1D9C5282" w14:textId="77777777" w:rsidR="00D708EC" w:rsidRDefault="00000000">
      <w:pPr>
        <w:rPr>
          <w:rFonts w:hint="eastAsia"/>
        </w:rPr>
      </w:pPr>
      <w:r>
        <w:t>Focus sectors: Transport infrastructure (rail, ports, highways), nuclear energy, telecommunications, and power generation. Estimated potential allocation: $10-25 billion (excluding the Hormoz nuclear project which is bilateral).</w:t>
      </w:r>
    </w:p>
    <w:p w14:paraId="11160E0F" w14:textId="77777777" w:rsidR="00D708EC" w:rsidRDefault="00000000">
      <w:pPr>
        <w:pStyle w:val="Heading3"/>
        <w:rPr>
          <w:rFonts w:hint="eastAsia"/>
        </w:rPr>
      </w:pPr>
      <w:r>
        <w:t>H.7 Russia: Reconstruction Partnership and North-South Corridor</w:t>
      </w:r>
    </w:p>
    <w:p w14:paraId="16261E35" w14:textId="77777777" w:rsidR="00D708EC" w:rsidRDefault="00000000">
      <w:pPr>
        <w:rPr>
          <w:rFonts w:hint="eastAsia"/>
        </w:rPr>
      </w:pPr>
      <w:r>
        <w:t>Russia has formally declared readiness to assist Iran in rebuilding war-damaged infrastructure. The Russian Ambassador to Tehran confirmed that Russian industrial and construction firms, engineering and design institutes, and scientific and technology centers possess the expertise needed for reconstruction. Russia awaits an official request from Tehran to assess needs and present concrete cooperation proposals.</w:t>
      </w:r>
    </w:p>
    <w:p w14:paraId="4F61990A" w14:textId="77777777" w:rsidR="00D708EC" w:rsidRDefault="00000000">
      <w:pPr>
        <w:rPr>
          <w:rFonts w:hint="eastAsia"/>
        </w:rPr>
      </w:pPr>
      <w:r>
        <w:t>The International North-South Transport Corridor (INSTC) demonstrates the depth of Russia-Iran economic integration. Cargo transported via the corridor reached approximately 2.2 million metric tons in early 2026 (87% year-on-year increase). Russian exports to Iran rose by more than 56% in the first four months of 2026. The INSTC connects Russia to India through Iran, creating a multi-modal trade corridor of strategic importance.</w:t>
      </w:r>
    </w:p>
    <w:p w14:paraId="6E3900E7" w14:textId="77777777" w:rsidR="00D708EC" w:rsidRDefault="00000000">
      <w:pPr>
        <w:rPr>
          <w:rFonts w:hint="eastAsia"/>
        </w:rPr>
      </w:pPr>
      <w:r>
        <w:lastRenderedPageBreak/>
        <w:t>Application pathway: Russia contributes to the MRF through bilateral reconstruction agreements. Russian construction firms (Stroygazmontazh, Titan, Mosinzhproekt) participate in infrastructure tenders. The Russian Direct Investment Fund (RDIF) co-invests in MRF projects with Russian construction and engineering participation. The RSC coordinates Russian project pipelines through the INSTC framework.</w:t>
      </w:r>
    </w:p>
    <w:p w14:paraId="1BE489D1" w14:textId="77777777" w:rsidR="00D708EC" w:rsidRDefault="00000000">
      <w:pPr>
        <w:rPr>
          <w:rFonts w:hint="eastAsia"/>
        </w:rPr>
      </w:pPr>
      <w:r>
        <w:t>Focus sectors: Nuclear energy, rail infrastructure, heavy industry, metallurgy, engineering services, and transport corridors. Estimated potential allocation: $3-8 billion (excluding the Hormoz nuclear project which is bilateral).</w:t>
      </w:r>
    </w:p>
    <w:p w14:paraId="2987DFFC" w14:textId="77777777" w:rsidR="00D708EC" w:rsidRDefault="00000000">
      <w:pPr>
        <w:pStyle w:val="Heading3"/>
        <w:rPr>
          <w:rFonts w:hint="eastAsia"/>
        </w:rPr>
      </w:pPr>
      <w:r>
        <w:t>H.8 African Development Bank: Fragile States Facility</w:t>
      </w:r>
    </w:p>
    <w:p w14:paraId="5CA87DD8" w14:textId="77777777" w:rsidR="00D708EC" w:rsidRDefault="00000000">
      <w:pPr>
        <w:rPr>
          <w:rFonts w:hint="eastAsia"/>
        </w:rPr>
      </w:pPr>
      <w:r>
        <w:t>While the African Development Bank's primary mandate covers Africa, its Fragile States Facility (FSF) demonstrates an operational framework directly applicable to post-conflict reconstruction financing. The FSF encompasses three pillars: (1) Pillar I - Supplemental Financing for post-crisis countries (UA 272.4 million allocated), (2) Pillar II - Arrears Clearance (UA 223.6 million), and (3) Pillar III - Targeted Capacity Building (UA 27.2 million).</w:t>
      </w:r>
    </w:p>
    <w:p w14:paraId="46F0A341" w14:textId="77777777" w:rsidR="00D708EC" w:rsidRDefault="00000000">
      <w:pPr>
        <w:rPr>
          <w:rFonts w:hint="eastAsia"/>
        </w:rPr>
      </w:pPr>
      <w:r>
        <w:t>The AfDB's partnership with the Islamic Development Bank and ICRC creates a trilateral cooperation framework for conflict-affected settings. The AfDB's Transition Support Facility model pioneered Security-Indexed Investment Bonds (SIIBs) for fragile states, mobilizing over $4.9 billion. These instruments demonstrate how development bonds structure for post-conflict reconstruction with explicit security conditionality.</w:t>
      </w:r>
    </w:p>
    <w:p w14:paraId="18B3E203" w14:textId="77777777" w:rsidR="00D708EC" w:rsidRDefault="00000000">
      <w:pPr>
        <w:rPr>
          <w:rFonts w:hint="eastAsia"/>
        </w:rPr>
      </w:pPr>
      <w:r>
        <w:t>Application pathway: The MRF engages the AfDB through the IsDB-AfDB-ICRC trilateral framework for technical assistance and knowledge transfer. The AfDB provides advisory services on fragile states programming, arrears clearance sequencing, and budget support design. The RSC participates in the AfDB's Fragile States Knowledge Platform. Focus areas: Technical assistance. Estimated value: $50-100 million.</w:t>
      </w:r>
    </w:p>
    <w:p w14:paraId="47F2480F" w14:textId="77777777" w:rsidR="00D708EC" w:rsidRDefault="00000000">
      <w:pPr>
        <w:pStyle w:val="Heading3"/>
        <w:rPr>
          <w:rFonts w:hint="eastAsia"/>
        </w:rPr>
      </w:pPr>
      <w:r>
        <w:t>H.9 World Bank State and Peacebuilding Fund (SPF)</w:t>
      </w:r>
    </w:p>
    <w:p w14:paraId="34C33F6B" w14:textId="77777777" w:rsidR="00D708EC" w:rsidRDefault="00000000">
      <w:pPr>
        <w:rPr>
          <w:rFonts w:hint="eastAsia"/>
        </w:rPr>
      </w:pPr>
      <w:r>
        <w:t>The World Bank State and Peacebuilding Fund provides catalytic financing for peacebuilding, state-building, and institutional strengthening in fragile and conflict-affected settings. The SPF finances activities that: support the transition from conflict to sustainable peace, strengthen institutions and governance capacity, promote economic recovery and job creation, and build social cohesion and community resilience.</w:t>
      </w:r>
    </w:p>
    <w:p w14:paraId="4164A8CA" w14:textId="77777777" w:rsidR="00D708EC" w:rsidRDefault="00000000">
      <w:pPr>
        <w:rPr>
          <w:rFonts w:hint="eastAsia"/>
        </w:rPr>
      </w:pPr>
      <w:r>
        <w:t>Application pathway: Iran accesses the SPF through the World Bank country office. SPF grants require a results framework aligned with the Fragility, Conflict and Violence (FCV) strategy. The RSC coordinates SPF applications with MRF institutional capacity building under MRF-Governance. SPF financing covers governance restoration, public financial management reform, and community-driven development.</w:t>
      </w:r>
    </w:p>
    <w:p w14:paraId="4DAC1AB5" w14:textId="77777777" w:rsidR="00D708EC" w:rsidRDefault="00000000">
      <w:pPr>
        <w:pStyle w:val="Heading3"/>
        <w:rPr>
          <w:rFonts w:hint="eastAsia"/>
        </w:rPr>
      </w:pPr>
      <w:r>
        <w:lastRenderedPageBreak/>
        <w:t>H.10 UN Central Emergency Response Fund (CERF)</w:t>
      </w:r>
    </w:p>
    <w:p w14:paraId="5E897CFA" w14:textId="77777777" w:rsidR="00D708EC" w:rsidRDefault="00000000">
      <w:pPr>
        <w:rPr>
          <w:rFonts w:hint="eastAsia"/>
        </w:rPr>
      </w:pPr>
      <w:r>
        <w:t>CERF is one of the fastest and most effective ways to ensure that urgently needed humanitarian assistance reaches people caught up in crises. CERF provides rapid initial funding for life-saving assistance at the onset of humanitarian crises and critical support for poorly funded, essential humanitarian operations. CERF allocated over $500 million in 2024 for rapid response to sudden-onset emergencies.</w:t>
      </w:r>
    </w:p>
    <w:p w14:paraId="5B8C59E3" w14:textId="77777777" w:rsidR="00D708EC" w:rsidRDefault="00000000">
      <w:pPr>
        <w:rPr>
          <w:rFonts w:hint="eastAsia"/>
        </w:rPr>
      </w:pPr>
      <w:r>
        <w:t>Application pathway: UN agencies operating in Iran submit CERF funding applications through the Resident Coordinator's office. CERF rapid response grants process within 72 hours of application. The RSC coordinates CERF applications with MRF-Health and MRF-Housing emergency reconstruction activities.</w:t>
      </w:r>
    </w:p>
    <w:p w14:paraId="326135DA" w14:textId="77777777" w:rsidR="00D708EC" w:rsidRDefault="00000000">
      <w:pPr>
        <w:pStyle w:val="Heading3"/>
        <w:rPr>
          <w:rFonts w:hint="eastAsia"/>
        </w:rPr>
      </w:pPr>
      <w:r>
        <w:t>H.11 Infrastructure Asset-Backed Securitization (IABS)</w:t>
      </w:r>
    </w:p>
    <w:p w14:paraId="565BC49C" w14:textId="77777777" w:rsidR="00D708EC" w:rsidRDefault="00000000">
      <w:pPr>
        <w:rPr>
          <w:rFonts w:hint="eastAsia"/>
        </w:rPr>
      </w:pPr>
      <w:r>
        <w:t>IABS is an innovative financing mechanism that converts future infrastructure revenue streams into upfront capital through bond issuance. Under IABS, completed or operational infrastructure assets (toll roads, power plants, water utilities) generate revenue that is securitized and sold to institutional investors. This mechanism enables the MRF to recycle capital: deploying proceeds from asset securitization into new reconstruction projects.</w:t>
      </w:r>
    </w:p>
    <w:p w14:paraId="19927B67" w14:textId="77777777" w:rsidR="00D708EC" w:rsidRDefault="00000000">
      <w:pPr>
        <w:rPr>
          <w:rFonts w:hint="eastAsia"/>
        </w:rPr>
      </w:pPr>
      <w:r>
        <w:t>The IABS structure operates as follows: (1) The RSC identifies MRF-funded infrastructure assets with predictable revenue streams, (2) An independent rating agency assesses the credit quality of the revenue stream, (3) The Qatar Central Bank establishes a special purpose vehicle to hold the securitized assets, (4) The SPV issues IABS bonds to institutional investors (pension funds, insurance companies, sovereign wealth funds), (5) Proceeds from bond issuance flow into the relevant Sub-Fund for deployment to new projects.</w:t>
      </w:r>
    </w:p>
    <w:p w14:paraId="2394D305" w14:textId="77777777" w:rsidR="00D708EC" w:rsidRDefault="00000000">
      <w:pPr>
        <w:rPr>
          <w:rFonts w:hint="eastAsia"/>
        </w:rPr>
      </w:pPr>
      <w:r>
        <w:t>IABS enables the MRF to achieve capital recycling: the same pool of international capital funds multiple generations of projects as completed assets generate revenue that is securitized and reinvested. The PRI Pool provides credit enhancement for IABS issuances. Estimated potential: $2-5 billion in recycled capital.</w:t>
      </w:r>
    </w:p>
    <w:p w14:paraId="1F702DED" w14:textId="77777777" w:rsidR="00D708EC" w:rsidRDefault="00000000">
      <w:pPr>
        <w:pStyle w:val="Heading3"/>
        <w:rPr>
          <w:rFonts w:hint="eastAsia"/>
        </w:rPr>
      </w:pPr>
      <w:r>
        <w:t>H.12 Islamic Development Bank Green Sukuk</w:t>
      </w:r>
    </w:p>
    <w:p w14:paraId="2D9E9F09" w14:textId="77777777" w:rsidR="00D708EC" w:rsidRDefault="00000000">
      <w:pPr>
        <w:rPr>
          <w:rFonts w:hint="eastAsia"/>
        </w:rPr>
      </w:pPr>
      <w:r>
        <w:t>The IsDB issued its inaugural Green Sukuk in 2024, raising EUR 500 million from international institutional investors at a profit rate of 3.947%. The issuance was 5 times oversubscribed, demonstrating strong global demand for Shari'ah-compliant climate finance instruments. The Green Sukuk funds renewable energy, clean transportation, sustainable water management, and climate adaptation projects across IsDB member countries.</w:t>
      </w:r>
    </w:p>
    <w:p w14:paraId="3947F01D" w14:textId="77777777" w:rsidR="00D708EC" w:rsidRDefault="00000000">
      <w:pPr>
        <w:rPr>
          <w:rFonts w:hint="eastAsia"/>
        </w:rPr>
      </w:pPr>
      <w:r>
        <w:t>This precedent enables the MRF to structure Green Sukuk issuances specifically for Iranian climate-resilient reconstruction. The RSC engages IsDB Green Sukuk advisors to structure asset-backed certificates for: solar and wind energy installations, green building retrofits, sustainable transport infrastructure, and climate-adaptive water systems.</w:t>
      </w:r>
    </w:p>
    <w:p w14:paraId="17D36C31" w14:textId="77777777" w:rsidR="00D708EC" w:rsidRDefault="00000000">
      <w:pPr>
        <w:pStyle w:val="Heading3"/>
        <w:rPr>
          <w:rFonts w:hint="eastAsia"/>
        </w:rPr>
      </w:pPr>
      <w:r>
        <w:lastRenderedPageBreak/>
        <w:t>H.13 Mutual Reliance Agreements (MRAs) for MDB Co-Financing</w:t>
      </w:r>
    </w:p>
    <w:p w14:paraId="24EA5D9B" w14:textId="77777777" w:rsidR="00D708EC" w:rsidRDefault="00000000">
      <w:pPr>
        <w:rPr>
          <w:rFonts w:hint="eastAsia"/>
        </w:rPr>
      </w:pPr>
      <w:r>
        <w:t>Mutual Reliance Agreements are formal arrangements between multilateral development banks that enable one MDB to rely on another's procurement, environmental, and social safeguard procedures. MRAs reduce transaction costs, accelerate project processing, and enable larger-scale co-financing arrangements.</w:t>
      </w:r>
    </w:p>
    <w:p w14:paraId="4E15D9ED" w14:textId="77777777" w:rsidR="00D708EC" w:rsidRDefault="00000000">
      <w:pPr>
        <w:rPr>
          <w:rFonts w:hint="eastAsia"/>
        </w:rPr>
      </w:pPr>
      <w:r>
        <w:t>The RSC pursues MRAs with the World Bank, Asian Development Bank, Islamic Development Bank, and African Development Bank. Under an MRA, the World Bank relies on IsDB procurement procedures for co-financed projects, eliminating duplicate procurement processes. This is particularly valuable for the MRF where multiple MDBs co-finance individual projects.</w:t>
      </w:r>
    </w:p>
    <w:p w14:paraId="3756320A" w14:textId="77777777" w:rsidR="00D708EC" w:rsidRDefault="00000000">
      <w:pPr>
        <w:pStyle w:val="Heading3"/>
        <w:rPr>
          <w:rFonts w:hint="eastAsia"/>
        </w:rPr>
      </w:pPr>
      <w:r>
        <w:t>H.14 IFC Kakuma Kalobeyei Challenge Fund Model</w:t>
      </w:r>
    </w:p>
    <w:p w14:paraId="00CA746A" w14:textId="77777777" w:rsidR="00D708EC" w:rsidRDefault="00000000">
      <w:pPr>
        <w:rPr>
          <w:rFonts w:hint="eastAsia"/>
        </w:rPr>
      </w:pPr>
      <w:r>
        <w:t>The International Finance Corporation's Kakuma Kalobeyei Challenge Fund (KKCF) demonstrates a conflict-sensitive blended finance model with direct applicability to Iranian reconstruction. The KKCF operates on three core principles: (1) Dual-benefit design for host communities and displaced populations, (2) Integrated market approach treating crisis-affected areas as investable markets rather than aid-dependent zones, and (3) Evidence-driven engagement using market data to attract private investment.</w:t>
      </w:r>
    </w:p>
    <w:p w14:paraId="71E0C49F" w14:textId="77777777" w:rsidR="00D708EC" w:rsidRDefault="00000000">
      <w:pPr>
        <w:rPr>
          <w:rFonts w:hint="eastAsia"/>
        </w:rPr>
      </w:pPr>
      <w:r>
        <w:t>Key lessons from the KKCF applicable to Iran: (a) Refugees and internally displaced persons are treated as part of the market, not separate from it, reducing perceptions of competition, (b) Grants are sized and milestones tailored to fragile market realities, (c) Co-financing connects upstream grants to downstream credit, (d) A broad partnership combining IFC, UN agencies, bilateral donors, and local government mitigates risks, (e) Conflict sensitivity guides all operations and communications.</w:t>
      </w:r>
    </w:p>
    <w:p w14:paraId="56E3F7DB" w14:textId="77777777" w:rsidR="00D708EC" w:rsidRDefault="00000000">
      <w:pPr>
        <w:rPr>
          <w:rFonts w:hint="eastAsia"/>
        </w:rPr>
      </w:pPr>
      <w:r>
        <w:t>The MRF adapts the KKCF model for Iranian post-conflict zones by: (1) Integrating displaced populations into reconstruction labor markets, (2) Structuring grants that connect to downstream MRF credit facilities, (3) Engaging a broad partnership of MDBs, UN agencies, and bilateral donors, (4) Conducting market assessments to reframe reconstruction zones as investable markets, (5) Tailoring milestones to fragile market conditions.</w:t>
      </w:r>
    </w:p>
    <w:p w14:paraId="02A867C0" w14:textId="77777777" w:rsidR="00D708EC" w:rsidRDefault="00000000">
      <w:pPr>
        <w:pStyle w:val="Heading3"/>
        <w:rPr>
          <w:rFonts w:hint="eastAsia"/>
        </w:rPr>
      </w:pPr>
      <w:r>
        <w:t>H.15 Additional Sources from Systematic Analysis</w:t>
      </w:r>
    </w:p>
    <w:p w14:paraId="11A0E667" w14:textId="77777777" w:rsidR="00D708EC" w:rsidRDefault="00000000">
      <w:pPr>
        <w:rPr>
          <w:rFonts w:hint="eastAsia"/>
        </w:rPr>
      </w:pPr>
      <w:r>
        <w:t>The following additional sources are identified through systematic analysis of international funding databases and development finance registries:</w:t>
      </w:r>
    </w:p>
    <w:p w14:paraId="64B3B2FE" w14:textId="77777777" w:rsidR="00D708EC" w:rsidRDefault="00000000">
      <w:pPr>
        <w:ind w:left="360"/>
        <w:rPr>
          <w:rFonts w:hint="eastAsia"/>
        </w:rPr>
      </w:pPr>
      <w:r>
        <w:rPr>
          <w:color w:val="37474F"/>
        </w:rPr>
        <w:t>•</w:t>
      </w:r>
      <w:r>
        <w:t>Asian Infrastructure Investment Bank (AIIB): Sovereign-backed lending for infrastructure. Iran is a founding member. Potential allocation: $1-3 billion for transport and energy.</w:t>
      </w:r>
    </w:p>
    <w:p w14:paraId="5CE6A63E" w14:textId="77777777" w:rsidR="00D708EC" w:rsidRDefault="00000000">
      <w:pPr>
        <w:ind w:left="360"/>
        <w:rPr>
          <w:rFonts w:hint="eastAsia"/>
        </w:rPr>
      </w:pPr>
      <w:r>
        <w:rPr>
          <w:color w:val="37474F"/>
        </w:rPr>
        <w:t>•</w:t>
      </w:r>
      <w:r>
        <w:t>International Fund for Agricultural Development (IFAD): Concessional loans and grants for rural development and agricultural transformation. Iran is a member. Potential allocation: $200-500 million.</w:t>
      </w:r>
    </w:p>
    <w:p w14:paraId="17848EEA" w14:textId="77777777" w:rsidR="00D708EC" w:rsidRDefault="00000000">
      <w:pPr>
        <w:ind w:left="360"/>
        <w:rPr>
          <w:rFonts w:hint="eastAsia"/>
        </w:rPr>
      </w:pPr>
      <w:r>
        <w:rPr>
          <w:color w:val="37474F"/>
        </w:rPr>
        <w:lastRenderedPageBreak/>
        <w:t>•</w:t>
      </w:r>
      <w:r>
        <w:t>International Labour Organization (ILO) Skills and Employability Programme: Technical assistance for workforce development and vocational training under MRF-Education.</w:t>
      </w:r>
    </w:p>
    <w:p w14:paraId="536B5A2F" w14:textId="77777777" w:rsidR="00D708EC" w:rsidRDefault="00000000">
      <w:pPr>
        <w:ind w:left="360"/>
        <w:rPr>
          <w:rFonts w:hint="eastAsia"/>
        </w:rPr>
      </w:pPr>
      <w:r>
        <w:rPr>
          <w:color w:val="37474F"/>
        </w:rPr>
        <w:t>•</w:t>
      </w:r>
      <w:r>
        <w:t>UNIDO Industrial Recovery Programme: Technical assistance for industrial rehabilitation, SME development, and value chain restoration.</w:t>
      </w:r>
    </w:p>
    <w:p w14:paraId="586F993C" w14:textId="77777777" w:rsidR="00D708EC" w:rsidRDefault="00000000">
      <w:pPr>
        <w:ind w:left="360"/>
        <w:rPr>
          <w:rFonts w:hint="eastAsia"/>
        </w:rPr>
      </w:pPr>
      <w:r>
        <w:rPr>
          <w:color w:val="37474F"/>
        </w:rPr>
        <w:t>•</w:t>
      </w:r>
      <w:r>
        <w:t>UNESCO Cultural Heritage Emergency Fund: Grants for protection and restoration of cultural heritage sites damaged during conflict.</w:t>
      </w:r>
    </w:p>
    <w:p w14:paraId="4C567CAC" w14:textId="77777777" w:rsidR="00D708EC" w:rsidRDefault="00000000">
      <w:pPr>
        <w:ind w:left="360"/>
        <w:rPr>
          <w:rFonts w:hint="eastAsia"/>
        </w:rPr>
      </w:pPr>
      <w:r>
        <w:rPr>
          <w:color w:val="37474F"/>
        </w:rPr>
        <w:t>•</w:t>
      </w:r>
      <w:r>
        <w:t>WHO Health Emergency Response Fund: Rapid response financing for health system restoration and emergency medical capacity.</w:t>
      </w:r>
    </w:p>
    <w:p w14:paraId="2CF99F36" w14:textId="77777777" w:rsidR="00D708EC" w:rsidRDefault="00000000">
      <w:pPr>
        <w:ind w:left="360"/>
        <w:rPr>
          <w:rFonts w:hint="eastAsia"/>
        </w:rPr>
      </w:pPr>
      <w:r>
        <w:rPr>
          <w:color w:val="37474F"/>
        </w:rPr>
        <w:t>•</w:t>
      </w:r>
      <w:r>
        <w:t>WMO Climate Services and Early Warning Systems: Technical assistance for climate monitoring, disaster early warning, and weather infrastructure.</w:t>
      </w:r>
    </w:p>
    <w:p w14:paraId="7F5DB474" w14:textId="77777777" w:rsidR="00D708EC" w:rsidRDefault="00000000">
      <w:pPr>
        <w:pStyle w:val="Heading3"/>
        <w:rPr>
          <w:rFonts w:hint="eastAsia"/>
        </w:rPr>
      </w:pPr>
      <w:r>
        <w:t>H.16 Summary of Global South and BRICS Funding Potential</w:t>
      </w:r>
    </w:p>
    <w:p w14:paraId="48E0BE2D" w14:textId="77777777" w:rsidR="00D708EC" w:rsidRDefault="00000000">
      <w:pPr>
        <w:rPr>
          <w:rFonts w:hint="eastAsia"/>
        </w:rPr>
      </w:pPr>
      <w:r>
        <w:t>The following table summarizes the additional funding sources documented in this Appendix:</w:t>
      </w:r>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3255"/>
        <w:gridCol w:w="3386"/>
        <w:gridCol w:w="2585"/>
      </w:tblGrid>
      <w:tr w:rsidR="00D708EC" w14:paraId="7AC65177" w14:textId="77777777">
        <w:tc>
          <w:tcPr>
            <w:tcW w:w="0" w:type="auto"/>
            <w:shd w:val="clear" w:color="auto" w:fill="37474F"/>
          </w:tcPr>
          <w:p w14:paraId="70EC9DE2" w14:textId="77777777" w:rsidR="00D708EC" w:rsidRDefault="00000000">
            <w:pPr>
              <w:rPr>
                <w:rFonts w:hint="eastAsia"/>
              </w:rPr>
            </w:pPr>
            <w:r>
              <w:rPr>
                <w:b/>
                <w:color w:val="FFFFFF"/>
                <w:sz w:val="19"/>
              </w:rPr>
              <w:t>Source</w:t>
            </w:r>
          </w:p>
        </w:tc>
        <w:tc>
          <w:tcPr>
            <w:tcW w:w="0" w:type="auto"/>
            <w:shd w:val="clear" w:color="auto" w:fill="37474F"/>
          </w:tcPr>
          <w:p w14:paraId="4071E9A1" w14:textId="77777777" w:rsidR="00D708EC" w:rsidRDefault="00000000">
            <w:pPr>
              <w:rPr>
                <w:rFonts w:hint="eastAsia"/>
              </w:rPr>
            </w:pPr>
            <w:r>
              <w:rPr>
                <w:b/>
                <w:color w:val="FFFFFF"/>
                <w:sz w:val="19"/>
              </w:rPr>
              <w:t>Type</w:t>
            </w:r>
          </w:p>
        </w:tc>
        <w:tc>
          <w:tcPr>
            <w:tcW w:w="0" w:type="auto"/>
            <w:shd w:val="clear" w:color="auto" w:fill="37474F"/>
          </w:tcPr>
          <w:p w14:paraId="6D1C8925" w14:textId="77777777" w:rsidR="00D708EC" w:rsidRDefault="00000000">
            <w:pPr>
              <w:rPr>
                <w:rFonts w:hint="eastAsia"/>
              </w:rPr>
            </w:pPr>
            <w:r>
              <w:rPr>
                <w:b/>
                <w:color w:val="FFFFFF"/>
                <w:sz w:val="19"/>
              </w:rPr>
              <w:t>Est. Allocation</w:t>
            </w:r>
          </w:p>
        </w:tc>
      </w:tr>
      <w:tr w:rsidR="00D708EC" w14:paraId="4396D3C3" w14:textId="77777777">
        <w:tc>
          <w:tcPr>
            <w:tcW w:w="0" w:type="auto"/>
          </w:tcPr>
          <w:p w14:paraId="25303A58" w14:textId="77777777" w:rsidR="00D708EC" w:rsidRDefault="00000000">
            <w:pPr>
              <w:rPr>
                <w:rFonts w:hint="eastAsia"/>
              </w:rPr>
            </w:pPr>
            <w:r>
              <w:rPr>
                <w:sz w:val="19"/>
              </w:rPr>
              <w:t>South Korea</w:t>
            </w:r>
          </w:p>
        </w:tc>
        <w:tc>
          <w:tcPr>
            <w:tcW w:w="0" w:type="auto"/>
          </w:tcPr>
          <w:p w14:paraId="463AFC0A" w14:textId="77777777" w:rsidR="00D708EC" w:rsidRDefault="00000000">
            <w:pPr>
              <w:rPr>
                <w:rFonts w:hint="eastAsia"/>
              </w:rPr>
            </w:pPr>
            <w:r>
              <w:rPr>
                <w:sz w:val="19"/>
              </w:rPr>
              <w:t>Loans + Frozen Assets</w:t>
            </w:r>
          </w:p>
        </w:tc>
        <w:tc>
          <w:tcPr>
            <w:tcW w:w="0" w:type="auto"/>
          </w:tcPr>
          <w:p w14:paraId="5FE3DCB4" w14:textId="77777777" w:rsidR="00D708EC" w:rsidRDefault="00000000">
            <w:pPr>
              <w:rPr>
                <w:rFonts w:hint="eastAsia"/>
              </w:rPr>
            </w:pPr>
            <w:r>
              <w:rPr>
                <w:sz w:val="19"/>
              </w:rPr>
              <w:t>$3-8B</w:t>
            </w:r>
          </w:p>
        </w:tc>
      </w:tr>
      <w:tr w:rsidR="00D708EC" w14:paraId="1A5DADF9" w14:textId="77777777">
        <w:tc>
          <w:tcPr>
            <w:tcW w:w="0" w:type="auto"/>
            <w:shd w:val="clear" w:color="auto" w:fill="ECEFF1"/>
          </w:tcPr>
          <w:p w14:paraId="0C46A8AC" w14:textId="77777777" w:rsidR="00D708EC" w:rsidRDefault="00000000">
            <w:pPr>
              <w:rPr>
                <w:rFonts w:hint="eastAsia"/>
              </w:rPr>
            </w:pPr>
            <w:r>
              <w:rPr>
                <w:sz w:val="19"/>
              </w:rPr>
              <w:t>Turkey</w:t>
            </w:r>
          </w:p>
        </w:tc>
        <w:tc>
          <w:tcPr>
            <w:tcW w:w="0" w:type="auto"/>
            <w:shd w:val="clear" w:color="auto" w:fill="ECEFF1"/>
          </w:tcPr>
          <w:p w14:paraId="0DC1973E" w14:textId="77777777" w:rsidR="00D708EC" w:rsidRDefault="00000000">
            <w:pPr>
              <w:rPr>
                <w:rFonts w:hint="eastAsia"/>
              </w:rPr>
            </w:pPr>
            <w:r>
              <w:rPr>
                <w:sz w:val="19"/>
              </w:rPr>
              <w:t>Construction + Assets</w:t>
            </w:r>
          </w:p>
        </w:tc>
        <w:tc>
          <w:tcPr>
            <w:tcW w:w="0" w:type="auto"/>
            <w:shd w:val="clear" w:color="auto" w:fill="ECEFF1"/>
          </w:tcPr>
          <w:p w14:paraId="56D3E74F" w14:textId="77777777" w:rsidR="00D708EC" w:rsidRDefault="00000000">
            <w:pPr>
              <w:rPr>
                <w:rFonts w:hint="eastAsia"/>
              </w:rPr>
            </w:pPr>
            <w:r>
              <w:rPr>
                <w:sz w:val="19"/>
              </w:rPr>
              <w:t>$2-5B</w:t>
            </w:r>
          </w:p>
        </w:tc>
      </w:tr>
      <w:tr w:rsidR="00D708EC" w14:paraId="5523C522" w14:textId="77777777">
        <w:tc>
          <w:tcPr>
            <w:tcW w:w="0" w:type="auto"/>
          </w:tcPr>
          <w:p w14:paraId="16E7EEFE" w14:textId="77777777" w:rsidR="00D708EC" w:rsidRDefault="00000000">
            <w:pPr>
              <w:rPr>
                <w:rFonts w:hint="eastAsia"/>
              </w:rPr>
            </w:pPr>
            <w:r>
              <w:rPr>
                <w:sz w:val="19"/>
              </w:rPr>
              <w:t>Indonesia</w:t>
            </w:r>
          </w:p>
        </w:tc>
        <w:tc>
          <w:tcPr>
            <w:tcW w:w="0" w:type="auto"/>
          </w:tcPr>
          <w:p w14:paraId="5AC84F54" w14:textId="77777777" w:rsidR="00D708EC" w:rsidRDefault="00000000">
            <w:pPr>
              <w:rPr>
                <w:rFonts w:hint="eastAsia"/>
              </w:rPr>
            </w:pPr>
            <w:r>
              <w:rPr>
                <w:sz w:val="19"/>
              </w:rPr>
              <w:t>Islamic Finance</w:t>
            </w:r>
          </w:p>
        </w:tc>
        <w:tc>
          <w:tcPr>
            <w:tcW w:w="0" w:type="auto"/>
          </w:tcPr>
          <w:p w14:paraId="5198272D" w14:textId="77777777" w:rsidR="00D708EC" w:rsidRDefault="00000000">
            <w:pPr>
              <w:rPr>
                <w:rFonts w:hint="eastAsia"/>
              </w:rPr>
            </w:pPr>
            <w:r>
              <w:rPr>
                <w:sz w:val="19"/>
              </w:rPr>
              <w:t>$500M-1B</w:t>
            </w:r>
          </w:p>
        </w:tc>
      </w:tr>
      <w:tr w:rsidR="00D708EC" w14:paraId="3064D87B" w14:textId="77777777">
        <w:tc>
          <w:tcPr>
            <w:tcW w:w="0" w:type="auto"/>
            <w:shd w:val="clear" w:color="auto" w:fill="ECEFF1"/>
          </w:tcPr>
          <w:p w14:paraId="584E96BF" w14:textId="77777777" w:rsidR="00D708EC" w:rsidRDefault="00000000">
            <w:pPr>
              <w:rPr>
                <w:rFonts w:hint="eastAsia"/>
              </w:rPr>
            </w:pPr>
            <w:r>
              <w:rPr>
                <w:sz w:val="19"/>
              </w:rPr>
              <w:t>Brazil</w:t>
            </w:r>
          </w:p>
        </w:tc>
        <w:tc>
          <w:tcPr>
            <w:tcW w:w="0" w:type="auto"/>
            <w:shd w:val="clear" w:color="auto" w:fill="ECEFF1"/>
          </w:tcPr>
          <w:p w14:paraId="59F9FEB8" w14:textId="77777777" w:rsidR="00D708EC" w:rsidRDefault="00000000">
            <w:pPr>
              <w:rPr>
                <w:rFonts w:hint="eastAsia"/>
              </w:rPr>
            </w:pPr>
            <w:r>
              <w:rPr>
                <w:sz w:val="19"/>
              </w:rPr>
              <w:t>Agri-Tech + BRICS</w:t>
            </w:r>
          </w:p>
        </w:tc>
        <w:tc>
          <w:tcPr>
            <w:tcW w:w="0" w:type="auto"/>
            <w:shd w:val="clear" w:color="auto" w:fill="ECEFF1"/>
          </w:tcPr>
          <w:p w14:paraId="66ADB0CF" w14:textId="77777777" w:rsidR="00D708EC" w:rsidRDefault="00000000">
            <w:pPr>
              <w:rPr>
                <w:rFonts w:hint="eastAsia"/>
              </w:rPr>
            </w:pPr>
            <w:r>
              <w:rPr>
                <w:sz w:val="19"/>
              </w:rPr>
              <w:t>$300-500M</w:t>
            </w:r>
          </w:p>
        </w:tc>
      </w:tr>
      <w:tr w:rsidR="00D708EC" w14:paraId="4B585C5B" w14:textId="77777777">
        <w:tc>
          <w:tcPr>
            <w:tcW w:w="0" w:type="auto"/>
          </w:tcPr>
          <w:p w14:paraId="27D1B403" w14:textId="77777777" w:rsidR="00D708EC" w:rsidRDefault="00000000">
            <w:pPr>
              <w:rPr>
                <w:rFonts w:hint="eastAsia"/>
              </w:rPr>
            </w:pPr>
            <w:r>
              <w:rPr>
                <w:sz w:val="19"/>
              </w:rPr>
              <w:t>South Africa</w:t>
            </w:r>
          </w:p>
        </w:tc>
        <w:tc>
          <w:tcPr>
            <w:tcW w:w="0" w:type="auto"/>
          </w:tcPr>
          <w:p w14:paraId="32F39BF3" w14:textId="77777777" w:rsidR="00D708EC" w:rsidRDefault="00000000">
            <w:pPr>
              <w:rPr>
                <w:rFonts w:hint="eastAsia"/>
              </w:rPr>
            </w:pPr>
            <w:r>
              <w:rPr>
                <w:sz w:val="19"/>
              </w:rPr>
              <w:t>Infrastructure + JCC</w:t>
            </w:r>
          </w:p>
        </w:tc>
        <w:tc>
          <w:tcPr>
            <w:tcW w:w="0" w:type="auto"/>
          </w:tcPr>
          <w:p w14:paraId="46B29058" w14:textId="77777777" w:rsidR="00D708EC" w:rsidRDefault="00000000">
            <w:pPr>
              <w:rPr>
                <w:rFonts w:hint="eastAsia"/>
              </w:rPr>
            </w:pPr>
            <w:r>
              <w:rPr>
                <w:sz w:val="19"/>
              </w:rPr>
              <w:t>$500M-1B</w:t>
            </w:r>
          </w:p>
        </w:tc>
      </w:tr>
      <w:tr w:rsidR="00D708EC" w14:paraId="1A54843E" w14:textId="77777777">
        <w:tc>
          <w:tcPr>
            <w:tcW w:w="0" w:type="auto"/>
            <w:shd w:val="clear" w:color="auto" w:fill="ECEFF1"/>
          </w:tcPr>
          <w:p w14:paraId="17DBE77A" w14:textId="77777777" w:rsidR="00D708EC" w:rsidRDefault="00000000">
            <w:pPr>
              <w:rPr>
                <w:rFonts w:hint="eastAsia"/>
              </w:rPr>
            </w:pPr>
            <w:r>
              <w:rPr>
                <w:sz w:val="19"/>
              </w:rPr>
              <w:t>China (BRI)</w:t>
            </w:r>
          </w:p>
        </w:tc>
        <w:tc>
          <w:tcPr>
            <w:tcW w:w="0" w:type="auto"/>
            <w:shd w:val="clear" w:color="auto" w:fill="ECEFF1"/>
          </w:tcPr>
          <w:p w14:paraId="6A4BF3AE" w14:textId="77777777" w:rsidR="00D708EC" w:rsidRDefault="00000000">
            <w:pPr>
              <w:rPr>
                <w:rFonts w:hint="eastAsia"/>
              </w:rPr>
            </w:pPr>
            <w:r>
              <w:rPr>
                <w:sz w:val="19"/>
              </w:rPr>
              <w:t>Infrastructure Loans</w:t>
            </w:r>
          </w:p>
        </w:tc>
        <w:tc>
          <w:tcPr>
            <w:tcW w:w="0" w:type="auto"/>
            <w:shd w:val="clear" w:color="auto" w:fill="ECEFF1"/>
          </w:tcPr>
          <w:p w14:paraId="7ED05B89" w14:textId="77777777" w:rsidR="00D708EC" w:rsidRDefault="00000000">
            <w:pPr>
              <w:rPr>
                <w:rFonts w:hint="eastAsia"/>
              </w:rPr>
            </w:pPr>
            <w:r>
              <w:rPr>
                <w:sz w:val="19"/>
              </w:rPr>
              <w:t>$10-25B</w:t>
            </w:r>
          </w:p>
        </w:tc>
      </w:tr>
      <w:tr w:rsidR="00D708EC" w14:paraId="65FBBCEF" w14:textId="77777777">
        <w:tc>
          <w:tcPr>
            <w:tcW w:w="0" w:type="auto"/>
          </w:tcPr>
          <w:p w14:paraId="37620089" w14:textId="77777777" w:rsidR="00D708EC" w:rsidRDefault="00000000">
            <w:pPr>
              <w:rPr>
                <w:rFonts w:hint="eastAsia"/>
              </w:rPr>
            </w:pPr>
            <w:r>
              <w:rPr>
                <w:sz w:val="19"/>
              </w:rPr>
              <w:t>Russia</w:t>
            </w:r>
          </w:p>
        </w:tc>
        <w:tc>
          <w:tcPr>
            <w:tcW w:w="0" w:type="auto"/>
          </w:tcPr>
          <w:p w14:paraId="45BB6295" w14:textId="77777777" w:rsidR="00D708EC" w:rsidRDefault="00000000">
            <w:pPr>
              <w:rPr>
                <w:rFonts w:hint="eastAsia"/>
              </w:rPr>
            </w:pPr>
            <w:r>
              <w:rPr>
                <w:sz w:val="19"/>
              </w:rPr>
              <w:t>Nuclear + Transport</w:t>
            </w:r>
          </w:p>
        </w:tc>
        <w:tc>
          <w:tcPr>
            <w:tcW w:w="0" w:type="auto"/>
          </w:tcPr>
          <w:p w14:paraId="40C1CDAA" w14:textId="77777777" w:rsidR="00D708EC" w:rsidRDefault="00000000">
            <w:pPr>
              <w:rPr>
                <w:rFonts w:hint="eastAsia"/>
              </w:rPr>
            </w:pPr>
            <w:r>
              <w:rPr>
                <w:sz w:val="19"/>
              </w:rPr>
              <w:t>$3-8B</w:t>
            </w:r>
          </w:p>
        </w:tc>
      </w:tr>
      <w:tr w:rsidR="00D708EC" w14:paraId="0088127E" w14:textId="77777777">
        <w:tc>
          <w:tcPr>
            <w:tcW w:w="0" w:type="auto"/>
            <w:shd w:val="clear" w:color="auto" w:fill="ECEFF1"/>
          </w:tcPr>
          <w:p w14:paraId="058C1649" w14:textId="77777777" w:rsidR="00D708EC" w:rsidRDefault="00000000">
            <w:pPr>
              <w:rPr>
                <w:rFonts w:hint="eastAsia"/>
              </w:rPr>
            </w:pPr>
            <w:r>
              <w:rPr>
                <w:sz w:val="19"/>
              </w:rPr>
              <w:t>AfDB (Technical)</w:t>
            </w:r>
          </w:p>
        </w:tc>
        <w:tc>
          <w:tcPr>
            <w:tcW w:w="0" w:type="auto"/>
            <w:shd w:val="clear" w:color="auto" w:fill="ECEFF1"/>
          </w:tcPr>
          <w:p w14:paraId="6A3FB2DA" w14:textId="77777777" w:rsidR="00D708EC" w:rsidRDefault="00000000">
            <w:pPr>
              <w:rPr>
                <w:rFonts w:hint="eastAsia"/>
              </w:rPr>
            </w:pPr>
            <w:r>
              <w:rPr>
                <w:sz w:val="19"/>
              </w:rPr>
              <w:t>Fragile States Advisory</w:t>
            </w:r>
          </w:p>
        </w:tc>
        <w:tc>
          <w:tcPr>
            <w:tcW w:w="0" w:type="auto"/>
            <w:shd w:val="clear" w:color="auto" w:fill="ECEFF1"/>
          </w:tcPr>
          <w:p w14:paraId="28BD4836" w14:textId="77777777" w:rsidR="00D708EC" w:rsidRDefault="00000000">
            <w:pPr>
              <w:rPr>
                <w:rFonts w:hint="eastAsia"/>
              </w:rPr>
            </w:pPr>
            <w:r>
              <w:rPr>
                <w:sz w:val="19"/>
              </w:rPr>
              <w:t>$50-100M</w:t>
            </w:r>
          </w:p>
        </w:tc>
      </w:tr>
      <w:tr w:rsidR="00D708EC" w14:paraId="4C1B990F" w14:textId="77777777">
        <w:tc>
          <w:tcPr>
            <w:tcW w:w="0" w:type="auto"/>
          </w:tcPr>
          <w:p w14:paraId="7F3A1B33" w14:textId="77777777" w:rsidR="00D708EC" w:rsidRDefault="00000000">
            <w:pPr>
              <w:rPr>
                <w:rFonts w:hint="eastAsia"/>
              </w:rPr>
            </w:pPr>
            <w:r>
              <w:rPr>
                <w:sz w:val="19"/>
              </w:rPr>
              <w:t>World Bank SPF</w:t>
            </w:r>
          </w:p>
        </w:tc>
        <w:tc>
          <w:tcPr>
            <w:tcW w:w="0" w:type="auto"/>
          </w:tcPr>
          <w:p w14:paraId="733272E7" w14:textId="77777777" w:rsidR="00D708EC" w:rsidRDefault="00000000">
            <w:pPr>
              <w:rPr>
                <w:rFonts w:hint="eastAsia"/>
              </w:rPr>
            </w:pPr>
            <w:r>
              <w:rPr>
                <w:sz w:val="19"/>
              </w:rPr>
              <w:t>Grants</w:t>
            </w:r>
          </w:p>
        </w:tc>
        <w:tc>
          <w:tcPr>
            <w:tcW w:w="0" w:type="auto"/>
          </w:tcPr>
          <w:p w14:paraId="716F0B90" w14:textId="77777777" w:rsidR="00D708EC" w:rsidRDefault="00000000">
            <w:pPr>
              <w:rPr>
                <w:rFonts w:hint="eastAsia"/>
              </w:rPr>
            </w:pPr>
            <w:r>
              <w:rPr>
                <w:sz w:val="19"/>
              </w:rPr>
              <w:t>$100-300M</w:t>
            </w:r>
          </w:p>
        </w:tc>
      </w:tr>
      <w:tr w:rsidR="00D708EC" w14:paraId="5B7C6B0C" w14:textId="77777777">
        <w:tc>
          <w:tcPr>
            <w:tcW w:w="0" w:type="auto"/>
            <w:shd w:val="clear" w:color="auto" w:fill="ECEFF1"/>
          </w:tcPr>
          <w:p w14:paraId="59CBB721" w14:textId="77777777" w:rsidR="00D708EC" w:rsidRDefault="00000000">
            <w:pPr>
              <w:rPr>
                <w:rFonts w:hint="eastAsia"/>
              </w:rPr>
            </w:pPr>
            <w:r>
              <w:rPr>
                <w:sz w:val="19"/>
              </w:rPr>
              <w:t>UN CERF</w:t>
            </w:r>
          </w:p>
        </w:tc>
        <w:tc>
          <w:tcPr>
            <w:tcW w:w="0" w:type="auto"/>
            <w:shd w:val="clear" w:color="auto" w:fill="ECEFF1"/>
          </w:tcPr>
          <w:p w14:paraId="773D4F4B" w14:textId="77777777" w:rsidR="00D708EC" w:rsidRDefault="00000000">
            <w:pPr>
              <w:rPr>
                <w:rFonts w:hint="eastAsia"/>
              </w:rPr>
            </w:pPr>
            <w:r>
              <w:rPr>
                <w:sz w:val="19"/>
              </w:rPr>
              <w:t>Rapid Response</w:t>
            </w:r>
          </w:p>
        </w:tc>
        <w:tc>
          <w:tcPr>
            <w:tcW w:w="0" w:type="auto"/>
            <w:shd w:val="clear" w:color="auto" w:fill="ECEFF1"/>
          </w:tcPr>
          <w:p w14:paraId="0617D614" w14:textId="77777777" w:rsidR="00D708EC" w:rsidRDefault="00000000">
            <w:pPr>
              <w:rPr>
                <w:rFonts w:hint="eastAsia"/>
              </w:rPr>
            </w:pPr>
            <w:r>
              <w:rPr>
                <w:sz w:val="19"/>
              </w:rPr>
              <w:t>$100-300M</w:t>
            </w:r>
          </w:p>
        </w:tc>
      </w:tr>
      <w:tr w:rsidR="00D708EC" w14:paraId="3148DBC6" w14:textId="77777777">
        <w:tc>
          <w:tcPr>
            <w:tcW w:w="0" w:type="auto"/>
          </w:tcPr>
          <w:p w14:paraId="4F238486" w14:textId="77777777" w:rsidR="00D708EC" w:rsidRDefault="00000000">
            <w:pPr>
              <w:rPr>
                <w:rFonts w:hint="eastAsia"/>
              </w:rPr>
            </w:pPr>
            <w:r>
              <w:rPr>
                <w:sz w:val="19"/>
              </w:rPr>
              <w:t>IABS</w:t>
            </w:r>
          </w:p>
        </w:tc>
        <w:tc>
          <w:tcPr>
            <w:tcW w:w="0" w:type="auto"/>
          </w:tcPr>
          <w:p w14:paraId="209FE85E" w14:textId="77777777" w:rsidR="00D708EC" w:rsidRDefault="00000000">
            <w:pPr>
              <w:rPr>
                <w:rFonts w:hint="eastAsia"/>
              </w:rPr>
            </w:pPr>
            <w:r>
              <w:rPr>
                <w:sz w:val="19"/>
              </w:rPr>
              <w:t>Capital Recycling</w:t>
            </w:r>
          </w:p>
        </w:tc>
        <w:tc>
          <w:tcPr>
            <w:tcW w:w="0" w:type="auto"/>
          </w:tcPr>
          <w:p w14:paraId="31A20FE7" w14:textId="77777777" w:rsidR="00D708EC" w:rsidRDefault="00000000">
            <w:pPr>
              <w:rPr>
                <w:rFonts w:hint="eastAsia"/>
              </w:rPr>
            </w:pPr>
            <w:r>
              <w:rPr>
                <w:sz w:val="19"/>
              </w:rPr>
              <w:t>$2-5B recycled</w:t>
            </w:r>
          </w:p>
        </w:tc>
      </w:tr>
      <w:tr w:rsidR="00D708EC" w14:paraId="6EE7C347" w14:textId="77777777">
        <w:tc>
          <w:tcPr>
            <w:tcW w:w="0" w:type="auto"/>
            <w:shd w:val="clear" w:color="auto" w:fill="ECEFF1"/>
          </w:tcPr>
          <w:p w14:paraId="53240003" w14:textId="77777777" w:rsidR="00D708EC" w:rsidRDefault="00000000">
            <w:pPr>
              <w:rPr>
                <w:rFonts w:hint="eastAsia"/>
              </w:rPr>
            </w:pPr>
            <w:r>
              <w:rPr>
                <w:sz w:val="19"/>
              </w:rPr>
              <w:t>IsDB Green Sukuk</w:t>
            </w:r>
          </w:p>
        </w:tc>
        <w:tc>
          <w:tcPr>
            <w:tcW w:w="0" w:type="auto"/>
            <w:shd w:val="clear" w:color="auto" w:fill="ECEFF1"/>
          </w:tcPr>
          <w:p w14:paraId="27215F10" w14:textId="77777777" w:rsidR="00D708EC" w:rsidRDefault="00000000">
            <w:pPr>
              <w:rPr>
                <w:rFonts w:hint="eastAsia"/>
              </w:rPr>
            </w:pPr>
            <w:r>
              <w:rPr>
                <w:sz w:val="19"/>
              </w:rPr>
              <w:t>Islamic Green Finance</w:t>
            </w:r>
          </w:p>
        </w:tc>
        <w:tc>
          <w:tcPr>
            <w:tcW w:w="0" w:type="auto"/>
            <w:shd w:val="clear" w:color="auto" w:fill="ECEFF1"/>
          </w:tcPr>
          <w:p w14:paraId="4648B8D6" w14:textId="77777777" w:rsidR="00D708EC" w:rsidRDefault="00000000">
            <w:pPr>
              <w:rPr>
                <w:rFonts w:hint="eastAsia"/>
              </w:rPr>
            </w:pPr>
            <w:r>
              <w:rPr>
                <w:sz w:val="19"/>
              </w:rPr>
              <w:t>$500M-1B</w:t>
            </w:r>
          </w:p>
        </w:tc>
      </w:tr>
      <w:tr w:rsidR="00D708EC" w14:paraId="626564A5" w14:textId="77777777">
        <w:tc>
          <w:tcPr>
            <w:tcW w:w="0" w:type="auto"/>
          </w:tcPr>
          <w:p w14:paraId="4C3B7D51" w14:textId="77777777" w:rsidR="00D708EC" w:rsidRDefault="00000000">
            <w:pPr>
              <w:rPr>
                <w:rFonts w:hint="eastAsia"/>
              </w:rPr>
            </w:pPr>
            <w:r>
              <w:rPr>
                <w:sz w:val="19"/>
              </w:rPr>
              <w:t>Additional UN / IFIs</w:t>
            </w:r>
          </w:p>
        </w:tc>
        <w:tc>
          <w:tcPr>
            <w:tcW w:w="0" w:type="auto"/>
          </w:tcPr>
          <w:p w14:paraId="21437674" w14:textId="77777777" w:rsidR="00D708EC" w:rsidRDefault="00000000">
            <w:pPr>
              <w:rPr>
                <w:rFonts w:hint="eastAsia"/>
              </w:rPr>
            </w:pPr>
            <w:r>
              <w:rPr>
                <w:sz w:val="19"/>
              </w:rPr>
              <w:t>Mixed</w:t>
            </w:r>
          </w:p>
        </w:tc>
        <w:tc>
          <w:tcPr>
            <w:tcW w:w="0" w:type="auto"/>
          </w:tcPr>
          <w:p w14:paraId="3423F471" w14:textId="77777777" w:rsidR="00D708EC" w:rsidRDefault="00000000">
            <w:pPr>
              <w:rPr>
                <w:rFonts w:hint="eastAsia"/>
              </w:rPr>
            </w:pPr>
            <w:r>
              <w:rPr>
                <w:sz w:val="19"/>
              </w:rPr>
              <w:t>$300-800M</w:t>
            </w:r>
          </w:p>
        </w:tc>
      </w:tr>
      <w:tr w:rsidR="00D708EC" w14:paraId="5955663F" w14:textId="77777777">
        <w:tc>
          <w:tcPr>
            <w:tcW w:w="0" w:type="auto"/>
            <w:shd w:val="clear" w:color="auto" w:fill="ECEFF1"/>
          </w:tcPr>
          <w:p w14:paraId="66D306B9" w14:textId="77777777" w:rsidR="00D708EC" w:rsidRDefault="00000000">
            <w:pPr>
              <w:rPr>
                <w:rFonts w:hint="eastAsia"/>
              </w:rPr>
            </w:pPr>
            <w:r>
              <w:rPr>
                <w:sz w:val="19"/>
              </w:rPr>
              <w:t>TOTAL APPENDIX H</w:t>
            </w:r>
          </w:p>
        </w:tc>
        <w:tc>
          <w:tcPr>
            <w:tcW w:w="0" w:type="auto"/>
            <w:shd w:val="clear" w:color="auto" w:fill="ECEFF1"/>
          </w:tcPr>
          <w:p w14:paraId="48B5DFEB" w14:textId="77777777" w:rsidR="00D708EC" w:rsidRDefault="00D708EC">
            <w:pPr>
              <w:rPr>
                <w:rFonts w:hint="eastAsia"/>
              </w:rPr>
            </w:pPr>
          </w:p>
        </w:tc>
        <w:tc>
          <w:tcPr>
            <w:tcW w:w="0" w:type="auto"/>
            <w:shd w:val="clear" w:color="auto" w:fill="ECEFF1"/>
          </w:tcPr>
          <w:p w14:paraId="045C05C1" w14:textId="77777777" w:rsidR="00D708EC" w:rsidRDefault="00000000">
            <w:pPr>
              <w:rPr>
                <w:rFonts w:hint="eastAsia"/>
              </w:rPr>
            </w:pPr>
            <w:r>
              <w:rPr>
                <w:sz w:val="19"/>
              </w:rPr>
              <w:t>$22-56B</w:t>
            </w:r>
          </w:p>
        </w:tc>
      </w:tr>
    </w:tbl>
    <w:p w14:paraId="3C407460" w14:textId="77777777" w:rsidR="00D708EC" w:rsidRDefault="00000000">
      <w:pPr>
        <w:pStyle w:val="Heading2"/>
        <w:rPr>
          <w:rFonts w:hint="eastAsia"/>
        </w:rPr>
      </w:pPr>
      <w:bookmarkStart w:id="176" w:name="_Toc237663690"/>
      <w:r>
        <w:lastRenderedPageBreak/>
        <w:t>Appendix I: Country-by-Country Funding Sources</w:t>
      </w:r>
      <w:bookmarkEnd w:id="176"/>
    </w:p>
    <w:p w14:paraId="0FBD5986" w14:textId="77777777" w:rsidR="00D708EC" w:rsidRDefault="00000000">
      <w:pPr>
        <w:rPr>
          <w:rFonts w:hint="eastAsia"/>
        </w:rPr>
      </w:pPr>
      <w:r>
        <w:t>This Appendix catalogs development finance sources organized by contributor country. The RSC secretariat maintains bilateral engagement with each country through its respective development agency, embassy in Tehran or Doha, and multilateral channels. Entries include the agency name, funding type, estimated allocation for Iran, application pathway, and focus sectors.</w:t>
      </w:r>
    </w:p>
    <w:p w14:paraId="6E202A91" w14:textId="77777777" w:rsidR="00D708EC" w:rsidRDefault="00000000">
      <w:pPr>
        <w:pStyle w:val="Heading3"/>
        <w:rPr>
          <w:rFonts w:hint="eastAsia"/>
        </w:rPr>
      </w:pPr>
      <w:r>
        <w:t>I.1 East Asia and Pacific</w:t>
      </w:r>
    </w:p>
    <w:p w14:paraId="630DE20D" w14:textId="77777777" w:rsidR="00D708EC" w:rsidRDefault="00000000">
      <w:pPr>
        <w:pStyle w:val="Heading3"/>
        <w:rPr>
          <w:rFonts w:hint="eastAsia"/>
        </w:rPr>
      </w:pPr>
      <w:r>
        <w:t>Australia: Department of Foreign Affairs and Trade (DFAT)</w:t>
      </w:r>
    </w:p>
    <w:p w14:paraId="26A603C9" w14:textId="77777777" w:rsidR="00D708EC" w:rsidRDefault="00000000">
      <w:pPr>
        <w:rPr>
          <w:rFonts w:hint="eastAsia"/>
        </w:rPr>
      </w:pPr>
      <w:r>
        <w:t>Australia's ODA budget provides funding across global and humanitarian programs. DFAT channels significant funding through the UN system, the World Bank, and humanitarian organizations. Australia's development cooperation focuses on climate resilience, governance, and health security. For Iran, Australia provides support through multilateral trust funds and humanitarian channels.</w:t>
      </w:r>
    </w:p>
    <w:p w14:paraId="49EC018C" w14:textId="77777777" w:rsidR="00D708EC" w:rsidRDefault="00000000">
      <w:pPr>
        <w:rPr>
          <w:rFonts w:hint="eastAsia"/>
        </w:rPr>
      </w:pPr>
      <w:r>
        <w:t>Type: Multilateral/Humanitarian | Est. Allocation: $30-50M | Application: Through DFAT global programs or multilateral trust funds | Focus: Humanitarian assistance, climate adaptation, governance restoration.</w:t>
      </w:r>
    </w:p>
    <w:p w14:paraId="7E04354B" w14:textId="77777777" w:rsidR="00D708EC" w:rsidRDefault="00000000">
      <w:pPr>
        <w:pStyle w:val="Heading3"/>
        <w:rPr>
          <w:rFonts w:hint="eastAsia"/>
        </w:rPr>
      </w:pPr>
      <w:r>
        <w:t>Azerbaijan: Bilateral Development Cooperation</w:t>
      </w:r>
    </w:p>
    <w:p w14:paraId="027D6B7F" w14:textId="77777777" w:rsidR="00D708EC" w:rsidRDefault="00000000">
      <w:pPr>
        <w:rPr>
          <w:rFonts w:hint="eastAsia"/>
        </w:rPr>
      </w:pPr>
      <w:r>
        <w:t>Azerbaijan participates in the World Bank Adaptation Fund as a developing country partner and has implemented regional climate adaptation projects in the South Caucasus and Central Asia. Azerbaijan and Iran share Caspian Sea cooperation frameworks and have collaborated on transboundary water and environmental projects.</w:t>
      </w:r>
    </w:p>
    <w:p w14:paraId="20919452" w14:textId="77777777" w:rsidR="00D708EC" w:rsidRDefault="00000000">
      <w:pPr>
        <w:rPr>
          <w:rFonts w:hint="eastAsia"/>
        </w:rPr>
      </w:pPr>
      <w:r>
        <w:t>Type: Bilateral/Regional | Est. Allocation: $50-100M | Application: Through bilateral economic commissions and Adaptation Fund regional windows | Focus: Climate adaptation, transboundary water, energy infrastructure.</w:t>
      </w:r>
    </w:p>
    <w:p w14:paraId="0BF3D594" w14:textId="77777777" w:rsidR="00D708EC" w:rsidRDefault="00000000">
      <w:pPr>
        <w:pStyle w:val="Heading3"/>
        <w:rPr>
          <w:rFonts w:hint="eastAsia"/>
        </w:rPr>
      </w:pPr>
      <w:r>
        <w:t>China: Belt and Road Initiative (BRI) and Strategic Cooperation Agreement</w:t>
      </w:r>
    </w:p>
    <w:p w14:paraId="24553355" w14:textId="77777777" w:rsidR="00D708EC" w:rsidRDefault="00000000">
      <w:pPr>
        <w:rPr>
          <w:rFonts w:hint="eastAsia"/>
        </w:rPr>
      </w:pPr>
      <w:r>
        <w:t>The 25-year Strategic Cooperation Agreement (September 2025) includes a $25 billion commitment for the Hormoz nuclear power plant. The BRI channels massive infrastructure financing for railway, port, and highway projects. Iran's transport infrastructure requires $14.5 billion annually over the next decade. The Silk Road Fund and China Development Bank provide long-term infrastructure loans. AIIB co-finances transport and energy projects.</w:t>
      </w:r>
    </w:p>
    <w:p w14:paraId="739F0FEE" w14:textId="77777777" w:rsidR="00D708EC" w:rsidRDefault="00000000">
      <w:pPr>
        <w:rPr>
          <w:rFonts w:hint="eastAsia"/>
        </w:rPr>
      </w:pPr>
      <w:r>
        <w:t>Type: Bilateral Loans/Investment | Est. Allocation: $10-25B | Application: Through bilateral project financing under the Strategic Cooperation Agreement | Focus: Transport, nuclear energy, telecommunications, power generation.</w:t>
      </w:r>
    </w:p>
    <w:p w14:paraId="38330550" w14:textId="77777777" w:rsidR="00D708EC" w:rsidRDefault="00000000">
      <w:pPr>
        <w:pStyle w:val="Heading3"/>
        <w:rPr>
          <w:rFonts w:hint="eastAsia"/>
        </w:rPr>
      </w:pPr>
      <w:r>
        <w:lastRenderedPageBreak/>
        <w:t>India: Export-Import Bank and Chabahar Port Development</w:t>
      </w:r>
    </w:p>
    <w:p w14:paraId="185F9E9D" w14:textId="77777777" w:rsidR="00D708EC" w:rsidRDefault="00000000">
      <w:pPr>
        <w:rPr>
          <w:rFonts w:hint="eastAsia"/>
        </w:rPr>
      </w:pPr>
      <w:r>
        <w:t>India has provided approximately $120 million for the Chabahar port and invested $1 billion in Iranian infrastructure projects, including the Chabahar-Zahedan railway and the Chabahar Free Trade Zone. The India Exim Bank Buyer's Credit Facility (totalling $30 billion/INR) finances Indian equipment and services for infrastructure projects. The Export Development Fund provides credit to Iranian importers of Indian goods.</w:t>
      </w:r>
    </w:p>
    <w:p w14:paraId="2754AAA1" w14:textId="77777777" w:rsidR="00D708EC" w:rsidRDefault="00000000">
      <w:pPr>
        <w:rPr>
          <w:rFonts w:hint="eastAsia"/>
        </w:rPr>
      </w:pPr>
      <w:r>
        <w:t>Type: Buyer's Credit/Investment | Est. Allocation: $1-3B | Application: Through India Exim Bank credit lines and Chabahar port joint development framework | Focus: Ports, railways, transport, energy infrastructure, agricultural trade.</w:t>
      </w:r>
    </w:p>
    <w:p w14:paraId="7622A1CD" w14:textId="77777777" w:rsidR="00D708EC" w:rsidRDefault="00000000">
      <w:pPr>
        <w:pStyle w:val="Heading3"/>
        <w:rPr>
          <w:rFonts w:hint="eastAsia"/>
        </w:rPr>
      </w:pPr>
      <w:r>
        <w:t>Indonesia: Islamic Finance and BRICS Cooperation</w:t>
      </w:r>
    </w:p>
    <w:p w14:paraId="29A621F8" w14:textId="77777777" w:rsidR="00D708EC" w:rsidRDefault="00000000">
      <w:pPr>
        <w:rPr>
          <w:rFonts w:hint="eastAsia"/>
        </w:rPr>
      </w:pPr>
      <w:r>
        <w:t>Indonesia is the world's largest Muslim-majority nation and a BRICS member. The Green Sukuk program has raised over $3.5 billion for renewable energy, sustainable transport, and climate adaptation. Indonesia Eximbank provides Shari'ah-compliant project finance.</w:t>
      </w:r>
    </w:p>
    <w:p w14:paraId="65720188" w14:textId="77777777" w:rsidR="00D708EC" w:rsidRDefault="00000000">
      <w:pPr>
        <w:rPr>
          <w:rFonts w:hint="eastAsia"/>
        </w:rPr>
      </w:pPr>
      <w:r>
        <w:t>Type: Islamic Finance/Technical | Est. Allocation: $500M-1B | Application: Through bilateral development cooperation and Islamic finance advisory | Focus: Green Sukuk structuring, renewable energy, climate adaptation.</w:t>
      </w:r>
    </w:p>
    <w:p w14:paraId="61B1A176" w14:textId="77777777" w:rsidR="00D708EC" w:rsidRDefault="00000000">
      <w:pPr>
        <w:pStyle w:val="Heading3"/>
        <w:rPr>
          <w:rFonts w:hint="eastAsia"/>
        </w:rPr>
      </w:pPr>
      <w:r>
        <w:t>Japan: Japan International Cooperation Agency (JICA)</w:t>
      </w:r>
    </w:p>
    <w:p w14:paraId="768C0AA6" w14:textId="77777777" w:rsidR="00D708EC" w:rsidRDefault="00000000">
      <w:pPr>
        <w:rPr>
          <w:rFonts w:hint="eastAsia"/>
        </w:rPr>
      </w:pPr>
      <w:r>
        <w:t>Japan holds approximately $3 billion in frozen Iranian trade credits eligible for the Frozen Asset Conversion Protocol. JICA implements Japan's ODA through concessional loans, grants, and technical cooperation. JICA maintains expertise in infrastructure development, disaster resilience, energy efficiency, and water resource management.</w:t>
      </w:r>
    </w:p>
    <w:p w14:paraId="758179E3" w14:textId="77777777" w:rsidR="00D708EC" w:rsidRDefault="00000000">
      <w:pPr>
        <w:rPr>
          <w:rFonts w:hint="eastAsia"/>
        </w:rPr>
      </w:pPr>
      <w:r>
        <w:t>Type: Concessional Loans/Grants/TA | Est. Allocation: $3-6B (including frozen assets) | Application: Through JICA preliminary survey and project formulation | Focus: Infrastructure, disaster resilience, energy, water management.</w:t>
      </w:r>
    </w:p>
    <w:p w14:paraId="032DF5C6" w14:textId="77777777" w:rsidR="00D708EC" w:rsidRDefault="00000000">
      <w:pPr>
        <w:pStyle w:val="Heading3"/>
        <w:rPr>
          <w:rFonts w:hint="eastAsia"/>
        </w:rPr>
      </w:pPr>
      <w:r>
        <w:t>Kazakhstan: KazAID and Central Asia Cooperation</w:t>
      </w:r>
    </w:p>
    <w:p w14:paraId="153A6D99" w14:textId="77777777" w:rsidR="00D708EC" w:rsidRDefault="00000000">
      <w:pPr>
        <w:rPr>
          <w:rFonts w:hint="eastAsia"/>
        </w:rPr>
      </w:pPr>
      <w:r>
        <w:t>Kazakhstan and Iran are both members of the OIC, the ECO, and the SCO. Kazakhstan operates KazAID as its official development assistance agency with a mandate for technical assistance, education, and regional development. Kazakhstan's ODA reached US$50.4 million in 2024, with 83.9% delivered bilaterally. Kazakhstan committed approximately US$500 million for a Kazakhstan-Turkmenistan-Afghanistan railway through the Islamic Development Bank. Kazakhstan and Iran are key partners in the International North-South Transport Corridor (INSTC), which recorded a 53% traffic increase in 2025. See also Appendix I Section I.7 for Kazakhstan's sovereign wealth fund, development bank, and bilateral investment framework.</w:t>
      </w:r>
    </w:p>
    <w:p w14:paraId="7D8B30B1" w14:textId="77777777" w:rsidR="00D708EC" w:rsidRDefault="00000000">
      <w:pPr>
        <w:rPr>
          <w:rFonts w:hint="eastAsia"/>
        </w:rPr>
      </w:pPr>
      <w:r>
        <w:t xml:space="preserve">Type: Technical Assistance / Regional Loans / INSTC Corridor Finance | Est. Allocation: $200-500M | Application: Through KazAID, IsDB regional programs, and INSTC </w:t>
      </w:r>
      <w:r>
        <w:lastRenderedPageBreak/>
        <w:t>intergovernmental agreements | Focus: Transport corridors, regional connectivity, technical assistance, co-investment in corridor infrastructure.</w:t>
      </w:r>
    </w:p>
    <w:p w14:paraId="5FD7EA4A" w14:textId="77777777" w:rsidR="00D708EC" w:rsidRDefault="00000000">
      <w:pPr>
        <w:pStyle w:val="Heading3"/>
        <w:rPr>
          <w:rFonts w:hint="eastAsia"/>
        </w:rPr>
      </w:pPr>
      <w:r>
        <w:t>Malaysia: Islamic Finance and Sukuk Expertise</w:t>
      </w:r>
    </w:p>
    <w:p w14:paraId="7943F99D" w14:textId="77777777" w:rsidR="00D708EC" w:rsidRDefault="00000000">
      <w:pPr>
        <w:rPr>
          <w:rFonts w:hint="eastAsia"/>
        </w:rPr>
      </w:pPr>
      <w:r>
        <w:t>Malaysia is a global leader in Islamic finance and sukuk issuance, with the world's largest sukuk market. Malaysia Issued Investment Development Authority (MIDA) promotes outward investment. The Malaysian Islamic finance sector provides expertise in structuring Shari'ah-compliant infrastructure finance instruments applicable to Iranian reconstruction.</w:t>
      </w:r>
    </w:p>
    <w:p w14:paraId="3FCBE8FB" w14:textId="77777777" w:rsidR="00D708EC" w:rsidRDefault="00000000">
      <w:pPr>
        <w:rPr>
          <w:rFonts w:hint="eastAsia"/>
        </w:rPr>
      </w:pPr>
      <w:r>
        <w:t>Type: Islamic Finance Advisory/Technical | Est. Allocation: $200-500M | Application: Through bilateral Islamic finance cooperation and MIDA investment promotion | Focus: Sukuk structuring, Islamic project finance, technical assistance.</w:t>
      </w:r>
    </w:p>
    <w:p w14:paraId="0CB5C339" w14:textId="77777777" w:rsidR="00D708EC" w:rsidRDefault="00000000">
      <w:pPr>
        <w:pStyle w:val="Heading3"/>
        <w:rPr>
          <w:rFonts w:hint="eastAsia"/>
        </w:rPr>
      </w:pPr>
      <w:r>
        <w:t>New Zealand: Ministry of Foreign Affairs and Trade (MFAT)</w:t>
      </w:r>
    </w:p>
    <w:p w14:paraId="340F139C" w14:textId="77777777" w:rsidR="00D708EC" w:rsidRDefault="00000000">
      <w:pPr>
        <w:rPr>
          <w:rFonts w:hint="eastAsia"/>
        </w:rPr>
      </w:pPr>
      <w:r>
        <w:t>New Zealand's International Development Cooperation Programme operates on a three-year triennium with total funding of NZD 3.06 billion for 2024-2027. MFAT provides humanitarian assistance through the UN system, ICRC, and international NGOs. New Zealand channels funding through multilateral trust funds.</w:t>
      </w:r>
    </w:p>
    <w:p w14:paraId="41702076" w14:textId="77777777" w:rsidR="00D708EC" w:rsidRDefault="00000000">
      <w:pPr>
        <w:rPr>
          <w:rFonts w:hint="eastAsia"/>
        </w:rPr>
      </w:pPr>
      <w:r>
        <w:t>Type: Humanitarian/Multilateral | Est. Allocation: $20-40M | Application: Through multilateral trust funds and humanitarian channels | Focus: Humanitarian assistance, climate adaptation, governance.</w:t>
      </w:r>
    </w:p>
    <w:p w14:paraId="059A3213" w14:textId="77777777" w:rsidR="00D708EC" w:rsidRDefault="00000000">
      <w:pPr>
        <w:pStyle w:val="Heading3"/>
        <w:rPr>
          <w:rFonts w:hint="eastAsia"/>
        </w:rPr>
      </w:pPr>
      <w:r>
        <w:t>Pakistan: Joint Economic Commission and Bilateral Cooperation</w:t>
      </w:r>
    </w:p>
    <w:p w14:paraId="077FC944" w14:textId="77777777" w:rsidR="00D708EC" w:rsidRDefault="00000000">
      <w:pPr>
        <w:rPr>
          <w:rFonts w:hint="eastAsia"/>
        </w:rPr>
      </w:pPr>
      <w:r>
        <w:t>Pakistan and Iran maintain a Joint Economic Committee (JEC) with a bilateral trade target of $10 billion. The Iran-Pakistan Gas Pipeline (Peace Pipeline) is a major bilateral infrastructure project. Pakistan offers technical cooperation in agriculture, rural development, and low-cost construction methodologies applicable to Iranian reconstruction.</w:t>
      </w:r>
    </w:p>
    <w:p w14:paraId="4C58D852" w14:textId="77777777" w:rsidR="00D708EC" w:rsidRDefault="00000000">
      <w:pPr>
        <w:rPr>
          <w:rFonts w:hint="eastAsia"/>
        </w:rPr>
      </w:pPr>
      <w:r>
        <w:t>Type: Bilateral/Regional | Est. Allocation: $200-500M | Application: Through JEC mechanisms and bilateral project agreements | Focus: Transport corridors, energy infrastructure, agriculture, rural development.</w:t>
      </w:r>
    </w:p>
    <w:p w14:paraId="076F987C" w14:textId="77777777" w:rsidR="00D708EC" w:rsidRDefault="00000000">
      <w:pPr>
        <w:pStyle w:val="Heading3"/>
        <w:rPr>
          <w:rFonts w:hint="eastAsia"/>
        </w:rPr>
      </w:pPr>
      <w:r>
        <w:t>Singapore: Temasek and GIC Sovereign Investment</w:t>
      </w:r>
    </w:p>
    <w:p w14:paraId="5F398697" w14:textId="77777777" w:rsidR="00D708EC" w:rsidRDefault="00000000">
      <w:pPr>
        <w:rPr>
          <w:rFonts w:hint="eastAsia"/>
        </w:rPr>
      </w:pPr>
      <w:r>
        <w:t>GIC manages Singapore's sovereign wealth with a diversified global portfolio. GIC deployed over $13.7 billion in digitalization and AI-related infrastructure in 2025 alone. GIC has stated interest in energy transition infrastructure and sustainable development projects. GIC participates through direct investment or co-investment arrangements with the MRF.</w:t>
      </w:r>
    </w:p>
    <w:p w14:paraId="3CED3BE0" w14:textId="77777777" w:rsidR="00D708EC" w:rsidRDefault="00000000">
      <w:pPr>
        <w:rPr>
          <w:rFonts w:hint="eastAsia"/>
        </w:rPr>
      </w:pPr>
      <w:r>
        <w:t>Type: Sovereign Investment/Co-investment | Est. Allocation: $500M-2B | Application: Through direct investment or co-investment with MRF contributors | Focus: Infrastructure, energy transition, sustainable development.</w:t>
      </w:r>
    </w:p>
    <w:p w14:paraId="741EE53A" w14:textId="77777777" w:rsidR="00D708EC" w:rsidRDefault="00000000">
      <w:pPr>
        <w:pStyle w:val="Heading3"/>
        <w:rPr>
          <w:rFonts w:hint="eastAsia"/>
        </w:rPr>
      </w:pPr>
      <w:r>
        <w:lastRenderedPageBreak/>
        <w:t>South Korea: Economic Development Cooperation Fund (EDCF)</w:t>
      </w:r>
    </w:p>
    <w:p w14:paraId="604CCEA4" w14:textId="77777777" w:rsidR="00D708EC" w:rsidRDefault="00000000">
      <w:pPr>
        <w:rPr>
          <w:rFonts w:hint="eastAsia"/>
        </w:rPr>
      </w:pPr>
      <w:r>
        <w:t>South Korea established a dedicated "Korea-Middle East Comprehensive Economic Cooperation Team" for post-war reconstruction. Seoul confirmed active preparation for post-war reconstruction. Korea holds approximately $6 billion in frozen Iranian oil payments. Korean construction firms (Samsung C&amp;T, Hyundai E&amp;C, POSCO E&amp;C, Daewoo E&amp;C) are world leaders in post-conflict rebuilding.</w:t>
      </w:r>
    </w:p>
    <w:p w14:paraId="7DA04B0E" w14:textId="77777777" w:rsidR="00D708EC" w:rsidRDefault="00000000">
      <w:pPr>
        <w:rPr>
          <w:rFonts w:hint="eastAsia"/>
        </w:rPr>
      </w:pPr>
      <w:r>
        <w:t>Type: Concessional Loans/Frozen Assets | Est. Allocation: $3-8B | Application: Through KEXIM credit lines, EDCF, and Frozen Asset Conversion Protocol | Focus: Transport, power generation, water treatment, telecommunications, hospitals.</w:t>
      </w:r>
    </w:p>
    <w:p w14:paraId="096C645B" w14:textId="77777777" w:rsidR="00D708EC" w:rsidRDefault="00000000">
      <w:pPr>
        <w:pStyle w:val="Heading3"/>
        <w:rPr>
          <w:rFonts w:hint="eastAsia"/>
        </w:rPr>
      </w:pPr>
      <w:r>
        <w:t>Thailand: Thailand International Development Cooperation Agency (TICA)</w:t>
      </w:r>
    </w:p>
    <w:p w14:paraId="1E52ABBC" w14:textId="77777777" w:rsidR="00D708EC" w:rsidRDefault="00000000">
      <w:pPr>
        <w:rPr>
          <w:rFonts w:hint="eastAsia"/>
        </w:rPr>
      </w:pPr>
      <w:r>
        <w:t>Thailand provided USD 67.9 million of ODA in 2023 through TICA. TICA focuses on health security, job security, food security, and energy/environmental security. The Neighbouring Countries Economic Development Cooperation Agency (NEDA) provides concessional loans for connectivity projects. The Export-Import Bank of Thailand offers concessional loans to developing countries.</w:t>
      </w:r>
    </w:p>
    <w:p w14:paraId="6493195F" w14:textId="77777777" w:rsidR="00D708EC" w:rsidRDefault="00000000">
      <w:pPr>
        <w:rPr>
          <w:rFonts w:hint="eastAsia"/>
        </w:rPr>
      </w:pPr>
      <w:r>
        <w:t>Type: Technical Assistance/Concessional Loans | Est. Allocation: $50-100M | Application: Through TICA technical cooperation and NEDA connectivity loans | Focus: Health security, food security, energy, transport connectivity.</w:t>
      </w:r>
    </w:p>
    <w:p w14:paraId="7A4135B0" w14:textId="77777777" w:rsidR="00D708EC" w:rsidRDefault="00000000">
      <w:pPr>
        <w:pStyle w:val="Heading3"/>
        <w:rPr>
          <w:rFonts w:hint="eastAsia"/>
        </w:rPr>
      </w:pPr>
      <w:r>
        <w:t>Vietnam: Bilateral Cooperation and South-South Exchange</w:t>
      </w:r>
    </w:p>
    <w:p w14:paraId="32B59B85" w14:textId="77777777" w:rsidR="00D708EC" w:rsidRDefault="00000000">
      <w:pPr>
        <w:rPr>
          <w:rFonts w:hint="eastAsia"/>
        </w:rPr>
      </w:pPr>
      <w:r>
        <w:t>Vietnam and Iran celebrated 50 years of diplomatic relations in 2023. Vietnam offers South-South cooperation expertise in post-sanctions economic recovery, having transformed from a war-torn, isolated nation to a $410 billion GDP economy ranked 48th globally. Vietnam provides technical cooperation in agricultural development, ICT, and post-conflict economic transition.</w:t>
      </w:r>
    </w:p>
    <w:p w14:paraId="7C1C1D72" w14:textId="77777777" w:rsidR="00D708EC" w:rsidRDefault="00000000">
      <w:pPr>
        <w:rPr>
          <w:rFonts w:hint="eastAsia"/>
        </w:rPr>
      </w:pPr>
      <w:r>
        <w:t>Type: Technical Assistance/South-South | Est. Allocation: $50-100M | Application: Through bilateral cooperation frameworks and Inter-Governmental Committee | Focus: Agricultural technology, ICT, economic transition expertise.</w:t>
      </w:r>
    </w:p>
    <w:p w14:paraId="5DA2A057" w14:textId="77777777" w:rsidR="00D708EC" w:rsidRDefault="00000000">
      <w:pPr>
        <w:pStyle w:val="Heading3"/>
        <w:rPr>
          <w:rFonts w:hint="eastAsia"/>
        </w:rPr>
      </w:pPr>
      <w:r>
        <w:t>I.2 Europe and North America (OECD DAC Donors)</w:t>
      </w:r>
    </w:p>
    <w:p w14:paraId="42EE023F" w14:textId="77777777" w:rsidR="00D708EC" w:rsidRDefault="00000000">
      <w:pPr>
        <w:rPr>
          <w:rFonts w:hint="eastAsia"/>
        </w:rPr>
      </w:pPr>
      <w:r>
        <w:t>The following countries are members of the OECD Development Assistance Committee (DAC) and maintain official development assistance programs. Many channel funding through multilateral institutions and humanitarian organizations rather than direct bilateral programs for Iran.</w:t>
      </w:r>
    </w:p>
    <w:p w14:paraId="3FD90028" w14:textId="77777777" w:rsidR="00D708EC" w:rsidRDefault="00000000">
      <w:pPr>
        <w:pStyle w:val="Heading3"/>
        <w:rPr>
          <w:rFonts w:hint="eastAsia"/>
        </w:rPr>
      </w:pPr>
      <w:r>
        <w:lastRenderedPageBreak/>
        <w:t>Austria: Austrian Development Agency (ADA)</w:t>
      </w:r>
    </w:p>
    <w:p w14:paraId="02E7CD23" w14:textId="77777777" w:rsidR="00D708EC" w:rsidRDefault="00000000">
      <w:pPr>
        <w:rPr>
          <w:rFonts w:hint="eastAsia"/>
        </w:rPr>
      </w:pPr>
      <w:r>
        <w:t>Austria provided USD 2.1 billion in ODA in 2023 (0.87% of GNI). ADA focuses on water, energy, private sector development, and peace/security. Austria channels significant funding through multilateral organizations and humanitarian agencies.</w:t>
      </w:r>
    </w:p>
    <w:p w14:paraId="11B55996" w14:textId="77777777" w:rsidR="00D708EC" w:rsidRDefault="00000000">
      <w:pPr>
        <w:rPr>
          <w:rFonts w:hint="eastAsia"/>
        </w:rPr>
      </w:pPr>
      <w:r>
        <w:t>Type: Multilateral/Humanitarian | Est. Allocation: $20-40M | Application: Through multilateral trust funds and UN agencies | Focus: Water, energy, humanitarian assistance.</w:t>
      </w:r>
    </w:p>
    <w:p w14:paraId="753A86DD" w14:textId="77777777" w:rsidR="00D708EC" w:rsidRDefault="00000000">
      <w:pPr>
        <w:pStyle w:val="Heading3"/>
        <w:rPr>
          <w:rFonts w:hint="eastAsia"/>
        </w:rPr>
      </w:pPr>
      <w:r>
        <w:t>Belgium: Directorate-General for Development Cooperation (DGD)</w:t>
      </w:r>
    </w:p>
    <w:p w14:paraId="6154C60B" w14:textId="77777777" w:rsidR="00D708EC" w:rsidRDefault="00000000">
      <w:pPr>
        <w:rPr>
          <w:rFonts w:hint="eastAsia"/>
        </w:rPr>
      </w:pPr>
      <w:r>
        <w:t>Belgium provided USD 2.8 billion in ODA in 2023 (0.45% of GNI). Belgium channels the majority of its development spending through multilateral institutions and prioritizes humanitarian assistance, education, and health.</w:t>
      </w:r>
    </w:p>
    <w:p w14:paraId="0C3E7448" w14:textId="77777777" w:rsidR="00D708EC" w:rsidRDefault="00000000">
      <w:pPr>
        <w:rPr>
          <w:rFonts w:hint="eastAsia"/>
        </w:rPr>
      </w:pPr>
      <w:r>
        <w:t>Type: Multilateral/Humanitarian | Est. Allocation: $30-60M | Application: Through Belgian Development Cooperation multilateral channels | Focus: Humanitarian assistance, health, education.</w:t>
      </w:r>
    </w:p>
    <w:p w14:paraId="52FFB14B" w14:textId="77777777" w:rsidR="00D708EC" w:rsidRDefault="00000000">
      <w:pPr>
        <w:pStyle w:val="Heading3"/>
        <w:rPr>
          <w:rFonts w:hint="eastAsia"/>
        </w:rPr>
      </w:pPr>
      <w:r>
        <w:t>Czech Republic: Czech Development Agency (CzDA)</w:t>
      </w:r>
    </w:p>
    <w:p w14:paraId="36415A7F" w14:textId="77777777" w:rsidR="00D708EC" w:rsidRDefault="00000000">
      <w:pPr>
        <w:rPr>
          <w:rFonts w:hint="eastAsia"/>
        </w:rPr>
      </w:pPr>
      <w:r>
        <w:t>The Czech Republic provided USD 437 million in ODA in 2023 (0.13% of GNI). CzDA focuses on private sector development, education, agriculture, and good governance. The Czech Republic participates in EU joint programming for reconstruction assistance.</w:t>
      </w:r>
    </w:p>
    <w:p w14:paraId="04398239" w14:textId="77777777" w:rsidR="00D708EC" w:rsidRDefault="00000000">
      <w:pPr>
        <w:rPr>
          <w:rFonts w:hint="eastAsia"/>
        </w:rPr>
      </w:pPr>
      <w:r>
        <w:t>Type: EU Joint Programming | Est. Allocation: $10-20M | Application: Through EU joint programming and multilateral channels | Focus: Private sector, governance, education.</w:t>
      </w:r>
    </w:p>
    <w:p w14:paraId="2D456E25" w14:textId="77777777" w:rsidR="00D708EC" w:rsidRDefault="00000000">
      <w:pPr>
        <w:pStyle w:val="Heading3"/>
        <w:rPr>
          <w:rFonts w:hint="eastAsia"/>
        </w:rPr>
      </w:pPr>
      <w:r>
        <w:t>Denmark: Danida</w:t>
      </w:r>
    </w:p>
    <w:p w14:paraId="5B9F4613" w14:textId="77777777" w:rsidR="00D708EC" w:rsidRDefault="00000000">
      <w:pPr>
        <w:rPr>
          <w:rFonts w:hint="eastAsia"/>
        </w:rPr>
      </w:pPr>
      <w:r>
        <w:t>Denmark provided USD 3.1 billion in ODA in 2023 (0.74% of GNI). Denmark channels over 70% of bilateral ODA through multilateral organizations. Focus areas include green growth, democracy, humanitarian assistance, and migration.</w:t>
      </w:r>
    </w:p>
    <w:p w14:paraId="08502F6E" w14:textId="77777777" w:rsidR="00D708EC" w:rsidRDefault="00000000">
      <w:pPr>
        <w:rPr>
          <w:rFonts w:hint="eastAsia"/>
        </w:rPr>
      </w:pPr>
      <w:r>
        <w:t>Type: Multilateral/Humanitarian | Est. Allocation: $30-60M | Application: Through Danida multilateral trust funds and humanitarian channels | Focus: Climate, governance, humanitarian assistance.</w:t>
      </w:r>
    </w:p>
    <w:p w14:paraId="0738515A" w14:textId="77777777" w:rsidR="00D708EC" w:rsidRDefault="00000000">
      <w:pPr>
        <w:pStyle w:val="Heading3"/>
        <w:rPr>
          <w:rFonts w:hint="eastAsia"/>
        </w:rPr>
      </w:pPr>
      <w:r>
        <w:t>Finland: Ministry for Foreign Affairs Development Policy</w:t>
      </w:r>
    </w:p>
    <w:p w14:paraId="16959AA0" w14:textId="77777777" w:rsidR="00D708EC" w:rsidRDefault="00000000">
      <w:pPr>
        <w:rPr>
          <w:rFonts w:hint="eastAsia"/>
        </w:rPr>
      </w:pPr>
      <w:r>
        <w:t>Finland provided USD 1.3 billion in ODA in 2023 (0.43% of GNI). Finland prioritizes gender equality, education, peacebuilding, and climate action. Finnish development cooperation channels significant funding through the UN system and World Bank.</w:t>
      </w:r>
    </w:p>
    <w:p w14:paraId="0459B70F" w14:textId="77777777" w:rsidR="00D708EC" w:rsidRDefault="00000000">
      <w:pPr>
        <w:rPr>
          <w:rFonts w:hint="eastAsia"/>
        </w:rPr>
      </w:pPr>
      <w:r>
        <w:t>Type: Multilateral | Est. Allocation: $20-40M | Application: Through UN and World Bank trust funds | Focus: Peacebuilding, education, climate.</w:t>
      </w:r>
    </w:p>
    <w:p w14:paraId="00D06024" w14:textId="77777777" w:rsidR="00D708EC" w:rsidRDefault="00000000">
      <w:pPr>
        <w:pStyle w:val="Heading3"/>
        <w:rPr>
          <w:rFonts w:hint="eastAsia"/>
        </w:rPr>
      </w:pPr>
      <w:r>
        <w:lastRenderedPageBreak/>
        <w:t>Germany: KfW Development Bank and GIZ</w:t>
      </w:r>
    </w:p>
    <w:p w14:paraId="55050691" w14:textId="77777777" w:rsidR="00D708EC" w:rsidRDefault="00000000">
      <w:pPr>
        <w:rPr>
          <w:rFonts w:hint="eastAsia"/>
        </w:rPr>
      </w:pPr>
      <w:r>
        <w:t>Germany is the second-largest DAC donor with USD 37.8 billion in ODA in 2023 (0.79% of GNI). KfW provides concessional loans and grants for infrastructure, energy, water, and financial systems. GIZ delivers advisory services, capacity building, and technical expertise. KfW commitments for reconstruction contexts typically range from EUR 200 million to EUR 1 billion per country program.</w:t>
      </w:r>
    </w:p>
    <w:p w14:paraId="3CD9B913" w14:textId="77777777" w:rsidR="00D708EC" w:rsidRDefault="00000000">
      <w:pPr>
        <w:rPr>
          <w:rFonts w:hint="eastAsia"/>
        </w:rPr>
      </w:pPr>
      <w:r>
        <w:t>Type: Concessional Loans/Grants/TA | Est. Allocation: $1-3B | Application: Through government-to-government request to BMZ | Focus: Energy, water, sustainable infrastructure, vocational training, governance.</w:t>
      </w:r>
    </w:p>
    <w:p w14:paraId="079DEF63" w14:textId="77777777" w:rsidR="00D708EC" w:rsidRDefault="00000000">
      <w:pPr>
        <w:pStyle w:val="Heading3"/>
        <w:rPr>
          <w:rFonts w:hint="eastAsia"/>
        </w:rPr>
      </w:pPr>
      <w:r>
        <w:t>Greece: Hellenic Aid</w:t>
      </w:r>
    </w:p>
    <w:p w14:paraId="50F56881" w14:textId="77777777" w:rsidR="00D708EC" w:rsidRDefault="00000000">
      <w:pPr>
        <w:rPr>
          <w:rFonts w:hint="eastAsia"/>
        </w:rPr>
      </w:pPr>
      <w:r>
        <w:t>Greece provided USD 360 million in ODA in 2023 (0.14% of GNI). Greece channels development cooperation through multilateral organizations and the EU. Greece participates in EU joint programming for humanitarian assistance and refugee support.</w:t>
      </w:r>
    </w:p>
    <w:p w14:paraId="71B6F7E6" w14:textId="77777777" w:rsidR="00D708EC" w:rsidRDefault="00000000">
      <w:pPr>
        <w:rPr>
          <w:rFonts w:hint="eastAsia"/>
        </w:rPr>
      </w:pPr>
      <w:r>
        <w:t>Type: EU Joint Programming | Est. Allocation: $10-20M | Application: Through EU joint programming | Focus: Humanitarian assistance, refugee support.</w:t>
      </w:r>
    </w:p>
    <w:p w14:paraId="135126FF" w14:textId="77777777" w:rsidR="00D708EC" w:rsidRDefault="00000000">
      <w:pPr>
        <w:pStyle w:val="Heading3"/>
        <w:rPr>
          <w:rFonts w:hint="eastAsia"/>
        </w:rPr>
      </w:pPr>
      <w:r>
        <w:t>Hungary: Hungary Helps Program / Eximbank / Demjan Sandor Program</w:t>
      </w:r>
    </w:p>
    <w:p w14:paraId="2B51C29B" w14:textId="77777777" w:rsidR="00D708EC" w:rsidRDefault="00000000">
      <w:pPr>
        <w:rPr>
          <w:rFonts w:hint="eastAsia"/>
        </w:rPr>
      </w:pPr>
      <w:r>
        <w:t>Hungary's ODA declined from 0.13% of GNI in 2024 to an estimated 0.09% in 2025, with total bilateral ODA of approximately $221 million in 2023. Hungary channels 80% of its ODA bilaterally, with 48% spent on scholarships and training in Hungary. Hungary holds a unique position as the only EU member state maintaining an active Joint Economic Commission (JEC) with Iran. Prime Minister Viktor Orban visited Tehran in 2015, resulting in 10 MOUs covering economic, political, cultural, scientific, and tourism cooperation.</w:t>
      </w:r>
    </w:p>
    <w:p w14:paraId="7AA37019" w14:textId="77777777" w:rsidR="00D708EC" w:rsidRDefault="00000000">
      <w:pPr>
        <w:rPr>
          <w:rFonts w:hint="eastAsia"/>
        </w:rPr>
      </w:pPr>
      <w:r>
        <w:t>The Hungary Helps Program serves as the primary vehicle for humanitarian and development aid, with an average annual budget of EUR7.5 million (HUF3 billion). The Program focuses on: humanitarian aid in disasters and conflicts, post-war reconstruction (housing, schools, hospitals, cultural heritage), support for persecuted Christian communities, and migration root cause prevention. Hungary contributes approximately $58.3 million to multilateral organizations (EU institutions, UN system, World Bank), representing about 20% of its ODA.</w:t>
      </w:r>
    </w:p>
    <w:p w14:paraId="6B106D55" w14:textId="77777777" w:rsidR="00D708EC" w:rsidRDefault="00000000">
      <w:pPr>
        <w:rPr>
          <w:rFonts w:hint="eastAsia"/>
        </w:rPr>
      </w:pPr>
      <w:r>
        <w:t>The Export-Import Bank of Hungary (Eximbank) operates a EUR750 million syndicated facility providing extensive financing for Hungarian companies' exports and investments. The Demjan Sandor Program, part of the broader Economic Action Plan, makes HUF350 billion (approximately EUR940 million) in loans available to support Hungarian SMEs entering new export markets or investing abroad.</w:t>
      </w:r>
    </w:p>
    <w:p w14:paraId="703F58A0" w14:textId="77777777" w:rsidR="00D708EC" w:rsidRDefault="00000000">
      <w:pPr>
        <w:rPr>
          <w:rFonts w:hint="eastAsia"/>
        </w:rPr>
      </w:pPr>
      <w:r>
        <w:t>Type: Grant/Humanitarian/Concessional Loans | Est. Allocation: $50-150M | Application: Through Hungary Helps bilateral channels, Eximbank syndicated facility, and Demjan Sandor Program for SME export financing | Focus: Post-conflict reconstruction, housing, healthcare, education, cultural heritage, Hungarian SME participation in MRF procurement.</w:t>
      </w:r>
    </w:p>
    <w:p w14:paraId="4937F0FA" w14:textId="77777777" w:rsidR="00D708EC" w:rsidRDefault="00000000">
      <w:pPr>
        <w:pStyle w:val="Heading3"/>
        <w:rPr>
          <w:rFonts w:hint="eastAsia"/>
        </w:rPr>
      </w:pPr>
      <w:r>
        <w:lastRenderedPageBreak/>
        <w:t>Iceland: Icelandic International Development Agency (ICEIDA)</w:t>
      </w:r>
    </w:p>
    <w:p w14:paraId="02249498" w14:textId="77777777" w:rsidR="00D708EC" w:rsidRDefault="00000000">
      <w:pPr>
        <w:rPr>
          <w:rFonts w:hint="eastAsia"/>
        </w:rPr>
      </w:pPr>
      <w:r>
        <w:t>Iceland provided USD 102 million in ODA in 2023 (0.36% of GNI). ICEIDA focuses on fisheries, geothermal energy, gender equality, and education. Iceland's geothermal energy expertise is directly applicable to Iranian energy reconstruction.</w:t>
      </w:r>
    </w:p>
    <w:p w14:paraId="506542AA" w14:textId="77777777" w:rsidR="00D708EC" w:rsidRDefault="00000000">
      <w:pPr>
        <w:rPr>
          <w:rFonts w:hint="eastAsia"/>
        </w:rPr>
      </w:pPr>
      <w:r>
        <w:t>Type: Technical Assistance | Est. Allocation: $5-15M | Application: Through bilateral technical cooperation | Focus: Geothermal energy, fisheries, gender equality.</w:t>
      </w:r>
    </w:p>
    <w:p w14:paraId="57BB5D7C" w14:textId="77777777" w:rsidR="00D708EC" w:rsidRDefault="00000000">
      <w:pPr>
        <w:pStyle w:val="Heading3"/>
        <w:rPr>
          <w:rFonts w:hint="eastAsia"/>
        </w:rPr>
      </w:pPr>
      <w:r>
        <w:t>Ireland: Irish Aid</w:t>
      </w:r>
    </w:p>
    <w:p w14:paraId="49FE33D7" w14:textId="77777777" w:rsidR="00D708EC" w:rsidRDefault="00000000">
      <w:pPr>
        <w:rPr>
          <w:rFonts w:hint="eastAsia"/>
        </w:rPr>
      </w:pPr>
      <w:r>
        <w:t>Ireland provided USD 2.9 billion in ODA in 2023 (0.82% of GNI). Irish Aid focuses on humanitarian assistance, hunger reduction, education, and health. Ireland channels the majority of its development spending through the UN system, NGOs, and multilateral institutions.</w:t>
      </w:r>
    </w:p>
    <w:p w14:paraId="3817981F" w14:textId="77777777" w:rsidR="00D708EC" w:rsidRDefault="00000000">
      <w:pPr>
        <w:rPr>
          <w:rFonts w:hint="eastAsia"/>
        </w:rPr>
      </w:pPr>
      <w:r>
        <w:t>Type: Humanitarian | Est. Allocation: $30-60M | Application: Through multilateral trust funds and humanitarian organizations | Focus: Humanitarian assistance, food security, health.</w:t>
      </w:r>
    </w:p>
    <w:p w14:paraId="7C33AF01" w14:textId="77777777" w:rsidR="00D708EC" w:rsidRDefault="00000000">
      <w:pPr>
        <w:pStyle w:val="Heading3"/>
        <w:rPr>
          <w:rFonts w:hint="eastAsia"/>
        </w:rPr>
      </w:pPr>
      <w:r>
        <w:t>Italy: Italian Development Cooperation Agency (AICS)</w:t>
      </w:r>
    </w:p>
    <w:p w14:paraId="65CDC015" w14:textId="77777777" w:rsidR="00D708EC" w:rsidRDefault="00000000">
      <w:pPr>
        <w:rPr>
          <w:rFonts w:hint="eastAsia"/>
        </w:rPr>
      </w:pPr>
      <w:r>
        <w:t>Italy provided USD 6 billion in ODA in 2023 (0.26% of GNI). AICS focuses on sustainable development, cultural heritage, health, and migration management. Italy participates in EU joint programming and maintains bilateral cooperation programs in the Middle East and North Africa.</w:t>
      </w:r>
    </w:p>
    <w:p w14:paraId="214ED640" w14:textId="77777777" w:rsidR="00D708EC" w:rsidRDefault="00000000">
      <w:pPr>
        <w:rPr>
          <w:rFonts w:hint="eastAsia"/>
        </w:rPr>
      </w:pPr>
      <w:r>
        <w:t>Type: EU Joint/Bilateral | Est. Allocation: $50-100M | Application: Through AICS and EU joint programming | Focus: Cultural heritage, health, sustainable development.</w:t>
      </w:r>
    </w:p>
    <w:p w14:paraId="687E08F3" w14:textId="77777777" w:rsidR="00D708EC" w:rsidRDefault="00000000">
      <w:pPr>
        <w:pStyle w:val="Heading3"/>
        <w:rPr>
          <w:rFonts w:hint="eastAsia"/>
        </w:rPr>
      </w:pPr>
      <w:r>
        <w:t>Luxembourg: Luxembourg Development Cooperation</w:t>
      </w:r>
    </w:p>
    <w:p w14:paraId="462A38DB" w14:textId="77777777" w:rsidR="00D708EC" w:rsidRDefault="00000000">
      <w:pPr>
        <w:rPr>
          <w:rFonts w:hint="eastAsia"/>
        </w:rPr>
      </w:pPr>
      <w:r>
        <w:t>Luxembourg provided USD 579 million in ODA in 2023 (1.05% of GNI). Luxembourg channels development cooperation through multilateral organizations with a focus on inclusive finance, climate, and education.</w:t>
      </w:r>
    </w:p>
    <w:p w14:paraId="5CD3F695" w14:textId="77777777" w:rsidR="00D708EC" w:rsidRDefault="00000000">
      <w:pPr>
        <w:rPr>
          <w:rFonts w:hint="eastAsia"/>
        </w:rPr>
      </w:pPr>
      <w:r>
        <w:t>Type: Multilateral | Est. Allocation: $10-20M | Application: Through multilateral channels | Focus: Inclusive finance, climate.</w:t>
      </w:r>
    </w:p>
    <w:p w14:paraId="4AA7A7D7" w14:textId="77777777" w:rsidR="00D708EC" w:rsidRDefault="00000000">
      <w:pPr>
        <w:pStyle w:val="Heading3"/>
        <w:rPr>
          <w:rFonts w:hint="eastAsia"/>
        </w:rPr>
      </w:pPr>
      <w:r>
        <w:t>Netherlands: RVO and Dutch Good Growth Fund</w:t>
      </w:r>
    </w:p>
    <w:p w14:paraId="1CDECAA9" w14:textId="77777777" w:rsidR="00D708EC" w:rsidRDefault="00000000">
      <w:pPr>
        <w:rPr>
          <w:rFonts w:hint="eastAsia"/>
        </w:rPr>
      </w:pPr>
      <w:r>
        <w:t>The Netherlands deploys development finance through the Dutch Development Bank (FMO), the Dutch Good Growth Fund, and the Netherlands Enterprise Agency (RVO). The Netherlands recently contributed to the Private Infrastructure Development Group (PIDG). The Dutch Good Growth Fund provides financing for SMEs and entrepreneurs in developing countries.</w:t>
      </w:r>
    </w:p>
    <w:p w14:paraId="2A1169EC" w14:textId="77777777" w:rsidR="00D708EC" w:rsidRDefault="00000000">
      <w:pPr>
        <w:rPr>
          <w:rFonts w:hint="eastAsia"/>
        </w:rPr>
      </w:pPr>
      <w:r>
        <w:lastRenderedPageBreak/>
        <w:t>Type: Private Investment/Co-financing | Est. Allocation: $200-500M | Application: Through FMO emerging markets infrastructure window | Focus: Private sector, infrastructure, climate finance.</w:t>
      </w:r>
    </w:p>
    <w:p w14:paraId="791942DF" w14:textId="77777777" w:rsidR="00D708EC" w:rsidRDefault="00000000">
      <w:pPr>
        <w:pStyle w:val="Heading3"/>
        <w:rPr>
          <w:rFonts w:hint="eastAsia"/>
        </w:rPr>
      </w:pPr>
      <w:r>
        <w:t>Poland: Polish Aid</w:t>
      </w:r>
    </w:p>
    <w:p w14:paraId="5927516F" w14:textId="77777777" w:rsidR="00D708EC" w:rsidRDefault="00000000">
      <w:pPr>
        <w:rPr>
          <w:rFonts w:hint="eastAsia"/>
        </w:rPr>
      </w:pPr>
      <w:r>
        <w:t>Poland provided USD 2.6 billion in ODA in 2023 (0.33% of GNI). Polish Aid focuses on humanitarian assistance, development cooperation, and peacebuilding. Poland channels development funding through multilateral organizations and bilateral programs.</w:t>
      </w:r>
    </w:p>
    <w:p w14:paraId="546BE2DE" w14:textId="77777777" w:rsidR="00D708EC" w:rsidRDefault="00000000">
      <w:pPr>
        <w:rPr>
          <w:rFonts w:hint="eastAsia"/>
        </w:rPr>
      </w:pPr>
      <w:r>
        <w:t>Type: Humanitarian | Est. Allocation: $20-40M | Application: Through multilateral channels | Focus: Humanitarian assistance.</w:t>
      </w:r>
    </w:p>
    <w:p w14:paraId="49EB4CCB" w14:textId="77777777" w:rsidR="00D708EC" w:rsidRDefault="00000000">
      <w:pPr>
        <w:pStyle w:val="Heading3"/>
        <w:rPr>
          <w:rFonts w:hint="eastAsia"/>
        </w:rPr>
      </w:pPr>
      <w:r>
        <w:t>Portugal: Camoes Institute for Cooperation and Language</w:t>
      </w:r>
    </w:p>
    <w:p w14:paraId="62EDE208" w14:textId="77777777" w:rsidR="00D708EC" w:rsidRDefault="00000000">
      <w:pPr>
        <w:rPr>
          <w:rFonts w:hint="eastAsia"/>
        </w:rPr>
      </w:pPr>
      <w:r>
        <w:t>Portugal provided USD 544 million in ODA in 2023 (0.20% of GNI). Portugal focuses on Lusophone countries but participates in EU joint programming for humanitarian assistance and development cooperation in the Middle East.</w:t>
      </w:r>
    </w:p>
    <w:p w14:paraId="5B054863" w14:textId="77777777" w:rsidR="00D708EC" w:rsidRDefault="00000000">
      <w:pPr>
        <w:rPr>
          <w:rFonts w:hint="eastAsia"/>
        </w:rPr>
      </w:pPr>
      <w:r>
        <w:t>Type: EU Joint Programming | Est. Allocation: $10-20M | Application: Through EU joint programming | Focus: Humanitarian assistance.</w:t>
      </w:r>
    </w:p>
    <w:p w14:paraId="74B6E4FD" w14:textId="77777777" w:rsidR="00D708EC" w:rsidRDefault="00000000">
      <w:pPr>
        <w:pStyle w:val="Heading3"/>
        <w:rPr>
          <w:rFonts w:hint="eastAsia"/>
        </w:rPr>
      </w:pPr>
      <w:r>
        <w:t>Slovak Republic: Slovak Agency for International Development Cooperation (SAIDC)</w:t>
      </w:r>
    </w:p>
    <w:p w14:paraId="277BB4C0" w14:textId="77777777" w:rsidR="00D708EC" w:rsidRDefault="00000000">
      <w:pPr>
        <w:rPr>
          <w:rFonts w:hint="eastAsia"/>
        </w:rPr>
      </w:pPr>
      <w:r>
        <w:t>Slovakia provided USD 159 million in ODA in 2023 (0.12% of GNI). SAIDC focuses on education, health, water, and good governance. Slovakia participates in EU joint programming for development cooperation.</w:t>
      </w:r>
    </w:p>
    <w:p w14:paraId="4FD1E086" w14:textId="77777777" w:rsidR="00D708EC" w:rsidRDefault="00000000">
      <w:pPr>
        <w:rPr>
          <w:rFonts w:hint="eastAsia"/>
        </w:rPr>
      </w:pPr>
      <w:r>
        <w:t>Type: EU Joint Programming | Est. Allocation: $5-10M | Application: Through EU joint programming | Focus: Water, education, governance.</w:t>
      </w:r>
    </w:p>
    <w:p w14:paraId="419F460D" w14:textId="77777777" w:rsidR="00D708EC" w:rsidRDefault="00000000">
      <w:pPr>
        <w:pStyle w:val="Heading3"/>
        <w:rPr>
          <w:rFonts w:hint="eastAsia"/>
        </w:rPr>
      </w:pPr>
      <w:r>
        <w:t>Slovenia: Slovenian Development Cooperation</w:t>
      </w:r>
    </w:p>
    <w:p w14:paraId="164F449B" w14:textId="77777777" w:rsidR="00D708EC" w:rsidRDefault="00000000">
      <w:pPr>
        <w:rPr>
          <w:rFonts w:hint="eastAsia"/>
        </w:rPr>
      </w:pPr>
      <w:r>
        <w:t>Slovenia provided USD 120 million in ODA in 2023 (0.17% of GNI). Slovenia focuses on water management, environmental protection, and good governance. Slovenia participates in EU joint programming.</w:t>
      </w:r>
    </w:p>
    <w:p w14:paraId="7A07A6A7" w14:textId="77777777" w:rsidR="00D708EC" w:rsidRDefault="00000000">
      <w:pPr>
        <w:rPr>
          <w:rFonts w:hint="eastAsia"/>
        </w:rPr>
      </w:pPr>
      <w:r>
        <w:t>Type: EU Joint Programming | Est. Allocation: $5-10M | Application: Through EU joint programming | Focus: Water management, environment.</w:t>
      </w:r>
    </w:p>
    <w:p w14:paraId="1291454A" w14:textId="77777777" w:rsidR="00D708EC" w:rsidRDefault="00000000">
      <w:pPr>
        <w:pStyle w:val="Heading3"/>
        <w:rPr>
          <w:rFonts w:hint="eastAsia"/>
        </w:rPr>
      </w:pPr>
      <w:r>
        <w:t>Spain: Spanish Agency for International Development Cooperation (AECID)</w:t>
      </w:r>
    </w:p>
    <w:p w14:paraId="6A1BDBA8" w14:textId="77777777" w:rsidR="00D708EC" w:rsidRDefault="00000000">
      <w:pPr>
        <w:rPr>
          <w:rFonts w:hint="eastAsia"/>
        </w:rPr>
      </w:pPr>
      <w:r>
        <w:t>Spain provided approximately USD 5.1 billion in ODA in 2025 (0.27% of GNI). AECID prioritizes water and sanitation, health, climate change adaptation, and gender equality. Spain is a strong proponent of multilateralism and participates extensively in EU joint programming and decentralized cooperation. Spain hosts the Recovery and Resilience Financing Platform (RRFP) launched under the Seville Platform for Action.</w:t>
      </w:r>
    </w:p>
    <w:p w14:paraId="49C6A993" w14:textId="77777777" w:rsidR="00D708EC" w:rsidRDefault="00000000">
      <w:pPr>
        <w:rPr>
          <w:rFonts w:hint="eastAsia"/>
        </w:rPr>
      </w:pPr>
      <w:r>
        <w:lastRenderedPageBreak/>
        <w:t>Type: EU Joint Programming / Bilateral Grants | Est. Allocation: $50-100M | Application: Through AECID bilateral channels and EU joint programming | Focus: Water and sanitation, health, climate adaptation, gender equality, recovery and resilience.</w:t>
      </w:r>
    </w:p>
    <w:p w14:paraId="65645BAB" w14:textId="77777777" w:rsidR="00D708EC" w:rsidRDefault="00000000">
      <w:pPr>
        <w:pStyle w:val="Heading3"/>
        <w:rPr>
          <w:rFonts w:hint="eastAsia"/>
        </w:rPr>
      </w:pPr>
      <w:r>
        <w:t>Sweden: Swedish International Development Cooperation Agency (Sida)</w:t>
      </w:r>
    </w:p>
    <w:p w14:paraId="561DA535" w14:textId="77777777" w:rsidR="00D708EC" w:rsidRDefault="00000000">
      <w:pPr>
        <w:rPr>
          <w:rFonts w:hint="eastAsia"/>
        </w:rPr>
      </w:pPr>
      <w:r>
        <w:t>Sweden provided approximately USD 5.1 billion in ODA in 2025. Sweden's international development cooperation emphasizes global health, humanitarian support, environmental sustainability, and democratic governance. Sida directs a significant portion of its funding through multilateral organizations, including the WHO and UN agencies. Sweden consistently ranks among the top DAC donors by ODA/GNI ratio.</w:t>
      </w:r>
    </w:p>
    <w:p w14:paraId="4A57C648" w14:textId="77777777" w:rsidR="00D708EC" w:rsidRDefault="00000000">
      <w:pPr>
        <w:rPr>
          <w:rFonts w:hint="eastAsia"/>
        </w:rPr>
      </w:pPr>
      <w:r>
        <w:t>Type: Multilateral Trust Funds / Humanitarian | Est. Allocation: $50-100M | Application: Through Sida multilateral trust funds and UN agency partnerships | Focus: Global health, humanitarian assistance, environmental sustainability, democratic governance.</w:t>
      </w:r>
    </w:p>
    <w:p w14:paraId="245EA4CE" w14:textId="77777777" w:rsidR="00D708EC" w:rsidRDefault="00000000">
      <w:pPr>
        <w:pStyle w:val="Heading3"/>
        <w:rPr>
          <w:rFonts w:hint="eastAsia"/>
        </w:rPr>
      </w:pPr>
      <w:r>
        <w:t>Switzerland: Swiss Agency for Development and Cooperation (SDC) / SECO</w:t>
      </w:r>
    </w:p>
    <w:p w14:paraId="5DE534D9" w14:textId="77777777" w:rsidR="00D708EC" w:rsidRDefault="00000000">
      <w:pPr>
        <w:rPr>
          <w:rFonts w:hint="eastAsia"/>
        </w:rPr>
      </w:pPr>
      <w:r>
        <w:t>Switzerland's development cooperation focuses on private sector development, sustainable infrastructure, and humanitarian aid. Switzerland provides economic cooperation funding through the State Secretariat for Economic Affairs (SECO) and humanitarian assistance through SDC, prioritizing co-financing arrangements with multilateral development banks and regional funds. Swiss development finance emphasizes innovation, climate resilience, and private sector engagement.</w:t>
      </w:r>
    </w:p>
    <w:p w14:paraId="3D2943A5" w14:textId="77777777" w:rsidR="00D708EC" w:rsidRDefault="00000000">
      <w:pPr>
        <w:rPr>
          <w:rFonts w:hint="eastAsia"/>
        </w:rPr>
      </w:pPr>
      <w:r>
        <w:t>Type: Bilateral Grants / Technical Assistance | Est. Allocation: $30-60M | Application: Through SDC/SECO bilateral channels and multilateral co-financing | Focus: Private sector development, sustainable infrastructure, humanitarian aid, climate resilience.</w:t>
      </w:r>
    </w:p>
    <w:p w14:paraId="7314F079" w14:textId="77777777" w:rsidR="00D708EC" w:rsidRDefault="00000000">
      <w:pPr>
        <w:pStyle w:val="Heading3"/>
        <w:rPr>
          <w:rFonts w:hint="eastAsia"/>
        </w:rPr>
      </w:pPr>
      <w:r>
        <w:t>United Kingdom: Foreign, Commonwealth and Development Office (FCDO)</w:t>
      </w:r>
    </w:p>
    <w:p w14:paraId="055A4281" w14:textId="77777777" w:rsidR="00D708EC" w:rsidRDefault="00000000">
      <w:pPr>
        <w:rPr>
          <w:rFonts w:hint="eastAsia"/>
        </w:rPr>
      </w:pPr>
      <w:r>
        <w:t>The UK provided approximately GBP 13 billion in ODA in 2025 (0.43% of GNI). FCDO channels significant resources through multilateral organizations, providing over GBP 2.7 billion in core multilateral contributions in 2025. The UK focuses on humanitarian relief, global health, and climate resilience. The UK coordinates with the MRF primarily through World Bank trust funds and UN agencies.</w:t>
      </w:r>
    </w:p>
    <w:p w14:paraId="72B5FBBE" w14:textId="77777777" w:rsidR="00D708EC" w:rsidRDefault="00000000">
      <w:pPr>
        <w:rPr>
          <w:rFonts w:hint="eastAsia"/>
        </w:rPr>
      </w:pPr>
      <w:r>
        <w:t>Type: Multilateral Contributions / Humanitarian | Est. Allocation: $100-200M | Application: Through FCDO multilateral contributions and World Bank trust funds | Focus: Humanitarian relief, global health, climate resilience.</w:t>
      </w:r>
    </w:p>
    <w:p w14:paraId="4A87A0A8" w14:textId="77777777" w:rsidR="00D708EC" w:rsidRDefault="00000000">
      <w:pPr>
        <w:pStyle w:val="Heading3"/>
        <w:rPr>
          <w:rFonts w:hint="eastAsia"/>
        </w:rPr>
      </w:pPr>
      <w:r>
        <w:t>United States: USAID and U.S. Private Sector Safe Harbor</w:t>
      </w:r>
    </w:p>
    <w:p w14:paraId="502B37F4" w14:textId="77777777" w:rsidR="00D708EC" w:rsidRDefault="00000000">
      <w:pPr>
        <w:rPr>
          <w:rFonts w:hint="eastAsia"/>
        </w:rPr>
      </w:pPr>
      <w:r>
        <w:t xml:space="preserve">Consistent with Article 2.3 of this Annex, U.S. participation is strictly limited to non-cash contributions, including technical assistance, project identification, capacity building, and diplomatic support. No direct U.S. government cash is transferred to the MRF or to Iran. </w:t>
      </w:r>
      <w:r>
        <w:lastRenderedPageBreak/>
        <w:t>USAID provides technical assistance for governance, health, and agricultural development through third-party implementers. The U.S. supports the reconstruction framework through the Safe Harbor mechanism and the In-Kind Contribution Window for private sector participation (see Section 1.3(d)).</w:t>
      </w:r>
    </w:p>
    <w:p w14:paraId="250E6D33" w14:textId="77777777" w:rsidR="00D708EC" w:rsidRDefault="00000000">
      <w:pPr>
        <w:rPr>
          <w:rFonts w:hint="eastAsia"/>
        </w:rPr>
      </w:pPr>
      <w:r>
        <w:t>Type: Technical Assistance / In-Kind (Non-Cash) | Est. Allocation: N/A | Application: Through Safe Harbor mechanism, In-Kind Contribution Window, and OFAC-licensed channels | Focus: Technical assistance, project identification, capacity building, diplomatic support, private sector Safe Harbor facilitation.</w:t>
      </w:r>
    </w:p>
    <w:p w14:paraId="35800409" w14:textId="77777777" w:rsidR="00D708EC" w:rsidRDefault="00000000">
      <w:pPr>
        <w:pStyle w:val="Heading3"/>
        <w:rPr>
          <w:rFonts w:hint="eastAsia"/>
        </w:rPr>
      </w:pPr>
      <w:r>
        <w:t>I.3 Middle East, North Africa, and Sub-Saharan Africa</w:t>
      </w:r>
    </w:p>
    <w:p w14:paraId="0B27A431" w14:textId="77777777" w:rsidR="00D708EC" w:rsidRDefault="00000000">
      <w:pPr>
        <w:pStyle w:val="Heading3"/>
        <w:rPr>
          <w:rFonts w:hint="eastAsia"/>
        </w:rPr>
      </w:pPr>
      <w:r>
        <w:t>Egypt: Egyptian Fund for Technical Cooperation with Africa and the Commonwealth</w:t>
      </w:r>
    </w:p>
    <w:p w14:paraId="0AD293E4" w14:textId="77777777" w:rsidR="00D708EC" w:rsidRDefault="00000000">
      <w:pPr>
        <w:rPr>
          <w:rFonts w:hint="eastAsia"/>
        </w:rPr>
      </w:pPr>
      <w:r>
        <w:t>Egypt and Iran maintain bilateral cooperation through the Joint Higher Commission. Egypt participates in the OIC and Arab League development frameworks. The Egyptian Fund provides technical assistance, training, and capacity building for developing countries. Egypt's Suez Canal development expertise is applicable to Iranian port reconstruction.</w:t>
      </w:r>
    </w:p>
    <w:p w14:paraId="4B804C1F" w14:textId="77777777" w:rsidR="00D708EC" w:rsidRDefault="00000000">
      <w:pPr>
        <w:rPr>
          <w:rFonts w:hint="eastAsia"/>
        </w:rPr>
      </w:pPr>
      <w:r>
        <w:t>Type: Technical Assistance | Est. Allocation: $50-100M | Application: Through bilateral cooperation and OIC/Arab League frameworks | Focus: Technical assistance, port development, capacity building.</w:t>
      </w:r>
    </w:p>
    <w:p w14:paraId="13F5273E" w14:textId="77777777" w:rsidR="00D708EC" w:rsidRDefault="00000000">
      <w:pPr>
        <w:pStyle w:val="Heading3"/>
        <w:rPr>
          <w:rFonts w:hint="eastAsia"/>
        </w:rPr>
      </w:pPr>
      <w:r>
        <w:t>Iraq: Bilateral Development Cooperation</w:t>
      </w:r>
    </w:p>
    <w:p w14:paraId="3EEF312B" w14:textId="77777777" w:rsidR="00D708EC" w:rsidRDefault="00000000">
      <w:pPr>
        <w:rPr>
          <w:rFonts w:hint="eastAsia"/>
        </w:rPr>
      </w:pPr>
      <w:r>
        <w:t>Iraq and Iran share extensive border infrastructure and trade corridors. Iraq's own post-conflict reconstruction experience (2003-present) provides relevant lessons for Iranian reconstruction. Bilateral cooperation focuses on shared border crossings, electricity grid interconnection, water resource management, and trade corridor development.</w:t>
      </w:r>
    </w:p>
    <w:p w14:paraId="793E0892" w14:textId="77777777" w:rsidR="00D708EC" w:rsidRDefault="00000000">
      <w:pPr>
        <w:rPr>
          <w:rFonts w:hint="eastAsia"/>
        </w:rPr>
      </w:pPr>
      <w:r>
        <w:t>Type: Bilateral/Regional | Est. Allocation: $200-500M | Application: Through bilateral economic commissions and border infrastructure agreements | Focus: Border infrastructure, electricity, water management, trade.</w:t>
      </w:r>
    </w:p>
    <w:p w14:paraId="5BDBD3F4" w14:textId="77777777" w:rsidR="00D708EC" w:rsidRDefault="00000000">
      <w:pPr>
        <w:pStyle w:val="Heading3"/>
        <w:rPr>
          <w:rFonts w:hint="eastAsia"/>
        </w:rPr>
      </w:pPr>
      <w:r>
        <w:t>Jordan: Jordanian Development Cooperation</w:t>
      </w:r>
    </w:p>
    <w:p w14:paraId="1B5F2EDB" w14:textId="77777777" w:rsidR="00D708EC" w:rsidRDefault="00000000">
      <w:pPr>
        <w:rPr>
          <w:rFonts w:hint="eastAsia"/>
        </w:rPr>
      </w:pPr>
      <w:r>
        <w:t>Jordan is a major recipient of international development assistance and has developed significant expertise in managing reconstruction and refugee support programming. Jordan's experience in public-private partnerships for water and energy infrastructure is applicable to Iranian reconstruction.</w:t>
      </w:r>
    </w:p>
    <w:p w14:paraId="2D953AA9" w14:textId="77777777" w:rsidR="00D708EC" w:rsidRDefault="00000000">
      <w:pPr>
        <w:rPr>
          <w:rFonts w:hint="eastAsia"/>
        </w:rPr>
      </w:pPr>
      <w:r>
        <w:t>Type: Technical/Knowledge Transfer | Est. Allocation: $20-50M | Application: Through bilateral technical cooperation | Focus: PPP structuring, water infrastructure, refugee integration.</w:t>
      </w:r>
    </w:p>
    <w:p w14:paraId="50F83A96" w14:textId="77777777" w:rsidR="00D708EC" w:rsidRDefault="00000000">
      <w:pPr>
        <w:pStyle w:val="Heading3"/>
        <w:rPr>
          <w:rFonts w:hint="eastAsia"/>
        </w:rPr>
      </w:pPr>
      <w:r>
        <w:lastRenderedPageBreak/>
        <w:t>Lebanon: Knowledge Transfer and Technical Cooperation</w:t>
      </w:r>
    </w:p>
    <w:p w14:paraId="5DEC7A7C" w14:textId="77777777" w:rsidR="00D708EC" w:rsidRDefault="00000000">
      <w:pPr>
        <w:rPr>
          <w:rFonts w:hint="eastAsia"/>
        </w:rPr>
      </w:pPr>
      <w:r>
        <w:t>Lebanon possesses extensive post-conflict reconstruction experience spanning multiple decades. Lebanese engineering firms, financial institutions, and construction companies have deep expertise in rebuilding infrastructure under challenging political and security conditions. This expertise is directly transferable to Iranian reconstruction.</w:t>
      </w:r>
    </w:p>
    <w:p w14:paraId="5423D9C3" w14:textId="77777777" w:rsidR="00D708EC" w:rsidRDefault="00000000">
      <w:pPr>
        <w:rPr>
          <w:rFonts w:hint="eastAsia"/>
        </w:rPr>
      </w:pPr>
      <w:r>
        <w:t>Type: Technical/Knowledge Transfer | Est. Allocation: $20-50M | Application: Through bilateral technical cooperation and Lebanese private sector engagement | Focus: Reconstruction expertise, financial sector rehabilitation, urban planning.</w:t>
      </w:r>
    </w:p>
    <w:p w14:paraId="7E65EB32" w14:textId="77777777" w:rsidR="00D708EC" w:rsidRDefault="00000000">
      <w:pPr>
        <w:pStyle w:val="Heading3"/>
        <w:rPr>
          <w:rFonts w:hint="eastAsia"/>
        </w:rPr>
      </w:pPr>
      <w:r>
        <w:t>Morocco: Moroccan Agency for International Cooperation (AMCI)</w:t>
      </w:r>
    </w:p>
    <w:p w14:paraId="26FCE9CE" w14:textId="77777777" w:rsidR="00D708EC" w:rsidRDefault="00000000">
      <w:pPr>
        <w:rPr>
          <w:rFonts w:hint="eastAsia"/>
        </w:rPr>
      </w:pPr>
      <w:r>
        <w:t>Morocco operates AMCI as its bilateral development cooperation agency with expertise in South-South cooperation. Morocco has developed significant renewable energy infrastructure (Noor Ouarzazate Solar Complex - 580 MW) and water management systems. Morocco participates in the OIC development framework.</w:t>
      </w:r>
    </w:p>
    <w:p w14:paraId="4FA25B6D" w14:textId="77777777" w:rsidR="00D708EC" w:rsidRDefault="00000000">
      <w:pPr>
        <w:rPr>
          <w:rFonts w:hint="eastAsia"/>
        </w:rPr>
      </w:pPr>
      <w:r>
        <w:t>Type: Technical/South-South | Est. Allocation: $50-100M | Application: Through AMCI and OIC cooperation frameworks | Focus: Renewable energy, water management, South-South cooperation.</w:t>
      </w:r>
    </w:p>
    <w:p w14:paraId="229A4B67" w14:textId="77777777" w:rsidR="00D708EC" w:rsidRDefault="00000000">
      <w:pPr>
        <w:pStyle w:val="Heading3"/>
        <w:rPr>
          <w:rFonts w:hint="eastAsia"/>
        </w:rPr>
      </w:pPr>
      <w:r>
        <w:t>Nigeria: Nigerian Sovereign Investment Authority (NSIA)</w:t>
      </w:r>
    </w:p>
    <w:p w14:paraId="144B69FD" w14:textId="77777777" w:rsidR="00D708EC" w:rsidRDefault="00000000">
      <w:pPr>
        <w:rPr>
          <w:rFonts w:hint="eastAsia"/>
        </w:rPr>
      </w:pPr>
      <w:r>
        <w:t>Nigeria is Africa's largest economy and an OIC member. The NSIA manages Nigeria's sovereign wealth with a mandate for infrastructure investment. Nigeria participates in the OIC and Commonwealth development frameworks. Nigerian construction firms (Julius Berger, Dangote Industries) possess significant infrastructure development capacity.</w:t>
      </w:r>
    </w:p>
    <w:p w14:paraId="2C2DD1E6" w14:textId="77777777" w:rsidR="00D708EC" w:rsidRDefault="00000000">
      <w:pPr>
        <w:rPr>
          <w:rFonts w:hint="eastAsia"/>
        </w:rPr>
      </w:pPr>
      <w:r>
        <w:t>Type: Sovereign Investment/Technical | Est. Allocation: $100-300M | Application: Through NSIA and OIC/BRICS frameworks | Focus: Infrastructure investment, agriculture, energy.</w:t>
      </w:r>
    </w:p>
    <w:p w14:paraId="74DA26DD" w14:textId="77777777" w:rsidR="00D708EC" w:rsidRDefault="00000000">
      <w:pPr>
        <w:pStyle w:val="Heading3"/>
        <w:rPr>
          <w:rFonts w:hint="eastAsia"/>
        </w:rPr>
      </w:pPr>
      <w:r>
        <w:t>Tunisia: Bilateral Development Cooperation</w:t>
      </w:r>
    </w:p>
    <w:p w14:paraId="7011E2F8" w14:textId="77777777" w:rsidR="00D708EC" w:rsidRDefault="00000000">
      <w:pPr>
        <w:rPr>
          <w:rFonts w:hint="eastAsia"/>
        </w:rPr>
      </w:pPr>
      <w:r>
        <w:t>Tunisia participated in the Deauville Partnership with Arab Countries in Transition, developing post-revolution reconstruction expertise. Tunisia participates in the OIC and Arab development frameworks. Tunisia offers knowledge transfer in democratic transition governance, media sector development, and civil society engagement.</w:t>
      </w:r>
    </w:p>
    <w:p w14:paraId="793D3981" w14:textId="77777777" w:rsidR="00D708EC" w:rsidRDefault="00000000">
      <w:pPr>
        <w:rPr>
          <w:rFonts w:hint="eastAsia"/>
        </w:rPr>
      </w:pPr>
      <w:r>
        <w:t>Type: Knowledge Transfer | Est. Allocation: $20-40M | Application: Through bilateral cooperation and OIC frameworks | Focus: Governance transition, media, civil society.</w:t>
      </w:r>
    </w:p>
    <w:p w14:paraId="3CD3FBFB" w14:textId="77777777" w:rsidR="00D708EC" w:rsidRDefault="00000000">
      <w:pPr>
        <w:pStyle w:val="Heading3"/>
        <w:rPr>
          <w:rFonts w:hint="eastAsia"/>
        </w:rPr>
      </w:pPr>
      <w:r>
        <w:t>Ethiopia: Knowledge Transfer and Technical Cooperation</w:t>
      </w:r>
    </w:p>
    <w:p w14:paraId="2B76983D" w14:textId="77777777" w:rsidR="00D708EC" w:rsidRDefault="00000000">
      <w:pPr>
        <w:rPr>
          <w:rFonts w:hint="eastAsia"/>
        </w:rPr>
      </w:pPr>
      <w:r>
        <w:t>Ethiopia has demonstrated rapid infrastructure development capacity, building the Grand Ethiopian Renaissance Dam (6,450 MW), Africa's largest hydroelectric project, using domestic resources and limited external financing. Ethiopia's model of domestically financed large-scale infrastructure development offers lessons for Iranian self-financing under the NDF Co-Financing Match (Article 1.2(b)).</w:t>
      </w:r>
    </w:p>
    <w:p w14:paraId="7FBB1DA5" w14:textId="77777777" w:rsidR="00D708EC" w:rsidRDefault="00000000">
      <w:pPr>
        <w:rPr>
          <w:rFonts w:hint="eastAsia"/>
        </w:rPr>
      </w:pPr>
      <w:r>
        <w:lastRenderedPageBreak/>
        <w:t>Type: Knowledge Transfer | Est. Allocation: $10-20M | Application: Through bilateral technical cooperation and BRICS frameworks | Focus: Large-scale infrastructure development, domestic financing models.</w:t>
      </w:r>
    </w:p>
    <w:p w14:paraId="486D39B4" w14:textId="77777777" w:rsidR="00D708EC" w:rsidRDefault="00000000">
      <w:pPr>
        <w:pStyle w:val="Heading3"/>
        <w:rPr>
          <w:rFonts w:hint="eastAsia"/>
        </w:rPr>
      </w:pPr>
      <w:r>
        <w:t>Kenya: Knowledge Transfer and Infrastructure Expertise</w:t>
      </w:r>
    </w:p>
    <w:p w14:paraId="214B847C" w14:textId="77777777" w:rsidR="00D708EC" w:rsidRDefault="00000000">
      <w:pPr>
        <w:rPr>
          <w:rFonts w:hint="eastAsia"/>
        </w:rPr>
      </w:pPr>
      <w:r>
        <w:t>Kenya has developed significant infrastructure PPP expertise, including the Nairobi-Mombasa Standard Gauge Railway and the Lamu Port-South Sudan-Ethiopia Transport (LAPSSET) Corridor. Kenya participates in the IFC's Kakuma Kalobeyei Challenge Fund model. Kenya's experience in conflict-sensitive blended finance is directly applicable to Iranian reconstruction.</w:t>
      </w:r>
    </w:p>
    <w:p w14:paraId="69265792" w14:textId="77777777" w:rsidR="00D708EC" w:rsidRDefault="00000000">
      <w:pPr>
        <w:rPr>
          <w:rFonts w:hint="eastAsia"/>
        </w:rPr>
      </w:pPr>
      <w:r>
        <w:t>Type: Knowledge Transfer | Est. Allocation: $20-40M | Application: Through bilateral technical cooperation | Focus: PPP structuring, transport corridors, conflict-sensitive finance.</w:t>
      </w:r>
    </w:p>
    <w:p w14:paraId="7EFA63A9" w14:textId="77777777" w:rsidR="00D708EC" w:rsidRDefault="00000000">
      <w:pPr>
        <w:pStyle w:val="Heading3"/>
        <w:rPr>
          <w:rFonts w:hint="eastAsia"/>
        </w:rPr>
      </w:pPr>
      <w:r>
        <w:t>Senegal: Knowledge Transfer and Technical Cooperation</w:t>
      </w:r>
    </w:p>
    <w:p w14:paraId="66CE529D" w14:textId="77777777" w:rsidR="00D708EC" w:rsidRDefault="00000000">
      <w:pPr>
        <w:rPr>
          <w:rFonts w:hint="eastAsia"/>
        </w:rPr>
      </w:pPr>
      <w:r>
        <w:t>Senegal is a model for post-conflict governance stability in the West Africa region. Senegal participates in the OIC and has developed expertise in agricultural value chains, renewable energy, and coastal zone management. Senegal's experience in managing the Grand Ethiopian Renaissance Dam dispute offers relevant diplomatic expertise.</w:t>
      </w:r>
    </w:p>
    <w:p w14:paraId="14443392" w14:textId="77777777" w:rsidR="00D708EC" w:rsidRDefault="00000000">
      <w:pPr>
        <w:rPr>
          <w:rFonts w:hint="eastAsia"/>
        </w:rPr>
      </w:pPr>
      <w:r>
        <w:t>Type: Knowledge Transfer | Est. Allocation: $10-20M | Application: Through bilateral technical cooperation and OIC frameworks | Focus: Agricultural value chains, renewable energy, governance.</w:t>
      </w:r>
    </w:p>
    <w:p w14:paraId="177B160C" w14:textId="77777777" w:rsidR="00D708EC" w:rsidRDefault="00000000">
      <w:pPr>
        <w:pStyle w:val="Heading3"/>
        <w:rPr>
          <w:rFonts w:hint="eastAsia"/>
        </w:rPr>
      </w:pPr>
      <w:r>
        <w:t>I.4 Americas</w:t>
      </w:r>
    </w:p>
    <w:p w14:paraId="68099210" w14:textId="77777777" w:rsidR="00D708EC" w:rsidRDefault="00000000">
      <w:pPr>
        <w:pStyle w:val="Heading3"/>
        <w:rPr>
          <w:rFonts w:hint="eastAsia"/>
        </w:rPr>
      </w:pPr>
      <w:r>
        <w:t>Canada: Global Affairs Canada (GAC)</w:t>
      </w:r>
    </w:p>
    <w:p w14:paraId="5235697F" w14:textId="77777777" w:rsidR="00D708EC" w:rsidRDefault="00000000">
      <w:pPr>
        <w:rPr>
          <w:rFonts w:hint="eastAsia"/>
        </w:rPr>
      </w:pPr>
      <w:r>
        <w:t>Canada's International Assistance Envelope totals approximately CAD 7.89 billion annually. Canada contributes extensively to World Bank trust funds, UN agencies, and regional development banks. Canada maintains board representation at eight international financial institutions. The Canada Pension Plan Investment Board (CPP Investments) is a potential private capital participant in the MRF Supporting Tier through the PRI Pool.</w:t>
      </w:r>
    </w:p>
    <w:p w14:paraId="661D0660" w14:textId="77777777" w:rsidR="00D708EC" w:rsidRDefault="00000000">
      <w:pPr>
        <w:rPr>
          <w:rFonts w:hint="eastAsia"/>
        </w:rPr>
      </w:pPr>
      <w:r>
        <w:t>Type: Multilateral/Private Capital | Est. Allocation: $300-500M | Application: Through GAC multilateral channels and CPP Investments co-investment | Focus: Infrastructure, climate, governance.</w:t>
      </w:r>
    </w:p>
    <w:p w14:paraId="028A7788" w14:textId="77777777" w:rsidR="00D708EC" w:rsidRDefault="00000000">
      <w:pPr>
        <w:pStyle w:val="Heading3"/>
        <w:rPr>
          <w:rFonts w:hint="eastAsia"/>
        </w:rPr>
      </w:pPr>
      <w:r>
        <w:t>Mexico: Mexican Agency for International Development Cooperation (AMEXCID)</w:t>
      </w:r>
    </w:p>
    <w:p w14:paraId="15184A0A" w14:textId="77777777" w:rsidR="00D708EC" w:rsidRDefault="00000000">
      <w:pPr>
        <w:rPr>
          <w:rFonts w:hint="eastAsia"/>
        </w:rPr>
      </w:pPr>
      <w:r>
        <w:t xml:space="preserve">Mexico provided USD 208.7 million in ODA in 2023. AMEXCID operates the ABC Cooperation (South-South and Triangular Cooperation) program with expertise in agricultural innovation, public health, and climate adaptation. Mexico's National Institute </w:t>
      </w:r>
      <w:r>
        <w:lastRenderedPageBreak/>
        <w:t>for Forestry, Agriculture and Livestock Research (INIFAP) provides technical cooperation in drought-resistant agriculture.</w:t>
      </w:r>
    </w:p>
    <w:p w14:paraId="5FDD2CDD" w14:textId="77777777" w:rsidR="00D708EC" w:rsidRDefault="00000000">
      <w:pPr>
        <w:rPr>
          <w:rFonts w:hint="eastAsia"/>
        </w:rPr>
      </w:pPr>
      <w:r>
        <w:t>Type: Technical/South-South | Est. Allocation: $30-50M | Application: Through AMEXCID ABC Cooperation program | Focus: Agricultural technology, climate adaptation, public health.</w:t>
      </w:r>
    </w:p>
    <w:p w14:paraId="430EF2DA" w14:textId="77777777" w:rsidR="00D708EC" w:rsidRDefault="00000000">
      <w:pPr>
        <w:pStyle w:val="Heading3"/>
        <w:rPr>
          <w:rFonts w:hint="eastAsia"/>
        </w:rPr>
      </w:pPr>
      <w:r>
        <w:t>Brazil: Brazilian Agricultural Research Corporation (EMBRAPA)</w:t>
      </w:r>
    </w:p>
    <w:p w14:paraId="2F87637F" w14:textId="77777777" w:rsidR="00D708EC" w:rsidRDefault="00000000">
      <w:pPr>
        <w:rPr>
          <w:rFonts w:hint="eastAsia"/>
        </w:rPr>
      </w:pPr>
      <w:r>
        <w:t>Brazil is a BRICS member with world-leading agricultural technology expertise. EMBRAPA operates as one of the world's premier agricultural research institutions. The Brazilian Development Bank (BNDES) provides export credit for Brazilian equipment and technology. Brazil and Iran maintain active trade relations in agricultural commodities.</w:t>
      </w:r>
    </w:p>
    <w:p w14:paraId="7800D1DB" w14:textId="77777777" w:rsidR="00D708EC" w:rsidRDefault="00000000">
      <w:pPr>
        <w:rPr>
          <w:rFonts w:hint="eastAsia"/>
        </w:rPr>
      </w:pPr>
      <w:r>
        <w:t>Type: Technical/Export Credit | Est. Allocation: $300-500M | Application: Through EMBRAPA technical cooperation and BNDES export credit | Focus: Agricultural technology, food security, biofuels, precision agriculture.</w:t>
      </w:r>
    </w:p>
    <w:p w14:paraId="527FACC7" w14:textId="77777777" w:rsidR="00D708EC" w:rsidRDefault="00000000">
      <w:pPr>
        <w:pStyle w:val="Heading3"/>
        <w:rPr>
          <w:rFonts w:hint="eastAsia"/>
        </w:rPr>
      </w:pPr>
      <w:r>
        <w:t>Argentina: Bilateral Cooperation and Knowledge Transfer</w:t>
      </w:r>
    </w:p>
    <w:p w14:paraId="07142FA1" w14:textId="77777777" w:rsidR="00D708EC" w:rsidRDefault="00000000">
      <w:pPr>
        <w:rPr>
          <w:rFonts w:hint="eastAsia"/>
        </w:rPr>
      </w:pPr>
      <w:r>
        <w:t>Argentina and Iran maintain bilateral relations with cooperation in agriculture, science and technology, and energy. Argentina possesses expertise in agricultural biotechnology (INTA - National Agricultural Technology Institute), lithium extraction, and nuclear energy technology (INVAP). Argentina participates in the BRICS development framework.</w:t>
      </w:r>
    </w:p>
    <w:p w14:paraId="2C73E518" w14:textId="77777777" w:rsidR="00D708EC" w:rsidRDefault="00000000">
      <w:pPr>
        <w:rPr>
          <w:rFonts w:hint="eastAsia"/>
        </w:rPr>
      </w:pPr>
      <w:r>
        <w:t>Type: Technical/BRICS | Est. Allocation: $50-100M | Application: Through bilateral cooperation and BRICS mechanisms | Focus: Agricultural technology, energy, science and technology.</w:t>
      </w:r>
    </w:p>
    <w:p w14:paraId="752886A2" w14:textId="77777777" w:rsidR="00D708EC" w:rsidRDefault="00000000">
      <w:pPr>
        <w:pStyle w:val="Heading3"/>
        <w:rPr>
          <w:rFonts w:hint="eastAsia"/>
        </w:rPr>
      </w:pPr>
      <w:r>
        <w:t>I.5 Additional OIC Member Countries with Development Capacity</w:t>
      </w:r>
    </w:p>
    <w:p w14:paraId="2EC1E88B" w14:textId="77777777" w:rsidR="00D708EC" w:rsidRDefault="00000000">
      <w:pPr>
        <w:pStyle w:val="Heading3"/>
        <w:rPr>
          <w:rFonts w:hint="eastAsia"/>
        </w:rPr>
      </w:pPr>
      <w:r>
        <w:t>Algeria: Bilateral Development Cooperation</w:t>
      </w:r>
    </w:p>
    <w:p w14:paraId="6002E15B" w14:textId="77777777" w:rsidR="00D708EC" w:rsidRDefault="00000000">
      <w:pPr>
        <w:rPr>
          <w:rFonts w:hint="eastAsia"/>
        </w:rPr>
      </w:pPr>
      <w:r>
        <w:t>Algeria is a major hydrocarbon producer with sovereign wealth resources. Algeria participates in the OIC, Arab League, and African Union development frameworks. Algeria has extensive desert agriculture expertise through its Sahara irrigation programs and solar energy development in the Hassi R'Mel region.</w:t>
      </w:r>
    </w:p>
    <w:p w14:paraId="698C3720" w14:textId="77777777" w:rsidR="00D708EC" w:rsidRDefault="00000000">
      <w:pPr>
        <w:rPr>
          <w:rFonts w:hint="eastAsia"/>
        </w:rPr>
      </w:pPr>
      <w:r>
        <w:t>Type: Bilateral/Technical | Est. Allocation: $100-200M | Application: Through bilateral cooperation and OIC frameworks | Focus: Desert agriculture, solar energy, hydrocarbon expertise.</w:t>
      </w:r>
    </w:p>
    <w:p w14:paraId="432BA303" w14:textId="77777777" w:rsidR="00D708EC" w:rsidRDefault="00000000">
      <w:pPr>
        <w:pStyle w:val="Heading3"/>
        <w:rPr>
          <w:rFonts w:hint="eastAsia"/>
        </w:rPr>
      </w:pPr>
      <w:r>
        <w:t>Bangladesh: Knowledge Transfer and Technical Cooperation</w:t>
      </w:r>
    </w:p>
    <w:p w14:paraId="7C198280" w14:textId="77777777" w:rsidR="00D708EC" w:rsidRDefault="00000000">
      <w:pPr>
        <w:rPr>
          <w:rFonts w:hint="eastAsia"/>
        </w:rPr>
      </w:pPr>
      <w:r>
        <w:t xml:space="preserve">Bangladesh has achieved remarkable development progress, graduating from Least Developed Country status. Bangladesh's expertise in disaster preparedness, climate adaptation (floating agriculture, cyclone shelters), microfinance (Grameen Bank model), and </w:t>
      </w:r>
      <w:r>
        <w:lastRenderedPageBreak/>
        <w:t>garment industry development is applicable to Iranian reconstruction. Bangladesh participates in the OIC and Commonwealth.</w:t>
      </w:r>
    </w:p>
    <w:p w14:paraId="79B07596" w14:textId="77777777" w:rsidR="00D708EC" w:rsidRDefault="00000000">
      <w:pPr>
        <w:rPr>
          <w:rFonts w:hint="eastAsia"/>
        </w:rPr>
      </w:pPr>
      <w:r>
        <w:t>Type: Knowledge Transfer | Est. Allocation: $20-40M | Application: Through bilateral technical cooperation and OIC frameworks | Focus: Disaster preparedness, climate adaptation, microfinance.</w:t>
      </w:r>
    </w:p>
    <w:p w14:paraId="019BFCE6" w14:textId="77777777" w:rsidR="00D708EC" w:rsidRDefault="00000000">
      <w:pPr>
        <w:pStyle w:val="Heading3"/>
        <w:rPr>
          <w:rFonts w:hint="eastAsia"/>
        </w:rPr>
      </w:pPr>
      <w:r>
        <w:t>Sudan: Knowledge Transfer and Agricultural Expertise</w:t>
      </w:r>
    </w:p>
    <w:p w14:paraId="5841AB57" w14:textId="77777777" w:rsidR="00D708EC" w:rsidRDefault="00000000">
      <w:pPr>
        <w:rPr>
          <w:rFonts w:hint="eastAsia"/>
        </w:rPr>
      </w:pPr>
      <w:r>
        <w:t>Sudan possesses expertise in large-scale irrigated agriculture through the Gezira Scheme (one of the world's largest irrigation projects). Sudan participates in the OIC and Arab development frameworks. Sudanese agricultural expertise in arid-zone farming and water harvesting techniques is applicable to Iranian agricultural reconstruction.</w:t>
      </w:r>
    </w:p>
    <w:p w14:paraId="6A5713C0" w14:textId="77777777" w:rsidR="00D708EC" w:rsidRDefault="00000000">
      <w:pPr>
        <w:rPr>
          <w:rFonts w:hint="eastAsia"/>
        </w:rPr>
      </w:pPr>
      <w:r>
        <w:t>Type: Knowledge Transfer | Est. Allocation: $10-20M | Application: Through bilateral technical cooperation and OIC frameworks | Focus: Irrigated agriculture, water harvesting, arid-zone farming.</w:t>
      </w:r>
    </w:p>
    <w:p w14:paraId="299DAEAD" w14:textId="77777777" w:rsidR="00D708EC" w:rsidRDefault="00000000">
      <w:pPr>
        <w:pStyle w:val="Heading3"/>
        <w:rPr>
          <w:rFonts w:hint="eastAsia"/>
        </w:rPr>
      </w:pPr>
      <w:r>
        <w:t>Tajikistan: Central Asian Regional Cooperation</w:t>
      </w:r>
    </w:p>
    <w:p w14:paraId="2142FB57" w14:textId="77777777" w:rsidR="00D708EC" w:rsidRDefault="00000000">
      <w:pPr>
        <w:rPr>
          <w:rFonts w:hint="eastAsia"/>
        </w:rPr>
      </w:pPr>
      <w:r>
        <w:t>Tajikistan and Iran share linguistic, cultural, and historical ties. Tajikistan possesses significant hydropower expertise, including the Nurek Dam (300 MW) and the Rogun Dam (3,600 MW under construction). Tajikistan participates in Central Asian regional cooperation frameworks that complement Iran's reconstruction connectivity needs.</w:t>
      </w:r>
    </w:p>
    <w:p w14:paraId="21B0FFF0" w14:textId="77777777" w:rsidR="00D708EC" w:rsidRDefault="00000000">
      <w:pPr>
        <w:rPr>
          <w:rFonts w:hint="eastAsia"/>
        </w:rPr>
      </w:pPr>
      <w:r>
        <w:t>Type: Regional/Technical | Est. Allocation: $20-40M | Application: Through bilateral cooperation and Central Asian regional frameworks | Focus: Hydropower, water management, regional connectivity.</w:t>
      </w:r>
    </w:p>
    <w:p w14:paraId="1E577108" w14:textId="77777777" w:rsidR="00D708EC" w:rsidRDefault="00000000">
      <w:pPr>
        <w:pStyle w:val="Heading3"/>
        <w:rPr>
          <w:rFonts w:hint="eastAsia"/>
        </w:rPr>
      </w:pPr>
      <w:r>
        <w:t>Turkmenistan: Bilateral Energy and Transport Cooperation</w:t>
      </w:r>
    </w:p>
    <w:p w14:paraId="1B980764" w14:textId="77777777" w:rsidR="00D708EC" w:rsidRDefault="00000000">
      <w:pPr>
        <w:rPr>
          <w:rFonts w:hint="eastAsia"/>
        </w:rPr>
      </w:pPr>
      <w:r>
        <w:t>Turkmenistan and Iran share extensive energy infrastructure, including the Dauletabad-Sarakhs-Khangiran gas pipeline. Turkmenistan participates in the China-Central Asia gas pipeline network and the International North-South Transport Corridor. Kazakhstan committed approximately $500 million for a Kazakhstan-Turkmenistan-Afghanistan railway through the IsDB.</w:t>
      </w:r>
    </w:p>
    <w:p w14:paraId="326045BF" w14:textId="77777777" w:rsidR="00D708EC" w:rsidRDefault="00000000">
      <w:pPr>
        <w:rPr>
          <w:rFonts w:hint="eastAsia"/>
        </w:rPr>
      </w:pPr>
      <w:r>
        <w:t>Type: Bilateral/Regional | Est. Allocation: $100-300M | Application: Through bilateral energy and transport agreements | Focus: Energy infrastructure, transport corridors, regional connectivity.</w:t>
      </w:r>
    </w:p>
    <w:p w14:paraId="32606FA1" w14:textId="77777777" w:rsidR="00D708EC" w:rsidRDefault="00000000">
      <w:pPr>
        <w:pStyle w:val="Heading3"/>
        <w:rPr>
          <w:rFonts w:hint="eastAsia"/>
        </w:rPr>
      </w:pPr>
      <w:r>
        <w:t>Uzbekistan: Central Asian Regional Cooperation</w:t>
      </w:r>
    </w:p>
    <w:p w14:paraId="38A732A7" w14:textId="77777777" w:rsidR="00D708EC" w:rsidRDefault="00000000">
      <w:pPr>
        <w:rPr>
          <w:rFonts w:hint="eastAsia"/>
        </w:rPr>
      </w:pPr>
      <w:r>
        <w:t>Uzbekistan and Iran maintain bilateral cooperation through the Joint Economic Commission. Uzbekistan has significant expertise in irrigated cotton agriculture, silk production, and artisanal crafts. Uzbekistan participates in the China-Central Asia-West Asia Economic Corridor, which connects to Iranian transport infrastructure.</w:t>
      </w:r>
    </w:p>
    <w:p w14:paraId="014F0F3B" w14:textId="77777777" w:rsidR="00D708EC" w:rsidRDefault="00000000">
      <w:pPr>
        <w:rPr>
          <w:rFonts w:hint="eastAsia"/>
        </w:rPr>
      </w:pPr>
      <w:r>
        <w:lastRenderedPageBreak/>
        <w:t>Type: Bilateral/Regional | Est. Allocation: $50-100M | Application: Through bilateral cooperation and regional corridor frameworks | Focus: Agriculture, transport connectivity, cultural heritage.</w:t>
      </w:r>
    </w:p>
    <w:p w14:paraId="510806C0" w14:textId="77777777" w:rsidR="00D708EC" w:rsidRDefault="00000000">
      <w:pPr>
        <w:pStyle w:val="Heading3"/>
        <w:rPr>
          <w:rFonts w:hint="eastAsia"/>
        </w:rPr>
      </w:pPr>
      <w:r>
        <w:t>I.6 Innovative and Cross-Cutting Financing Mechanisms</w:t>
      </w:r>
    </w:p>
    <w:p w14:paraId="3BF7D60F" w14:textId="77777777" w:rsidR="00D708EC" w:rsidRDefault="00000000">
      <w:pPr>
        <w:rPr>
          <w:rFonts w:hint="eastAsia"/>
        </w:rPr>
      </w:pPr>
      <w:r>
        <w:t>The following mechanisms are identified through systematic analysis of international finance literature and development finance databases. These mechanisms complement the MRF's existing architecture and provide additional pathways for capital mobilization.</w:t>
      </w:r>
    </w:p>
    <w:p w14:paraId="2DDBC861" w14:textId="77777777" w:rsidR="00D708EC" w:rsidRDefault="00000000">
      <w:pPr>
        <w:pStyle w:val="Heading3"/>
        <w:rPr>
          <w:rFonts w:hint="eastAsia"/>
        </w:rPr>
      </w:pPr>
      <w:r>
        <w:t>First-Loss Capital Mechanisms</w:t>
      </w:r>
    </w:p>
    <w:p w14:paraId="63A2FD4A" w14:textId="77777777" w:rsidR="00D708EC" w:rsidRDefault="00000000">
      <w:pPr>
        <w:rPr>
          <w:rFonts w:hint="eastAsia"/>
        </w:rPr>
      </w:pPr>
      <w:r>
        <w:t>First-loss capital involves concessional or philanthropic capital that absorbs initial losses, protecting senior private investors. The UN Capital Development Fund (UNCDF) ReStart Fund provides catalytic de-risking instruments for fragile settings. First-loss capital is particularly valuable for Iran as the primary barrier to private investment is perceived risk.</w:t>
      </w:r>
    </w:p>
    <w:p w14:paraId="7EDBE7BB" w14:textId="77777777" w:rsidR="00D708EC" w:rsidRDefault="00000000">
      <w:pPr>
        <w:rPr>
          <w:rFonts w:hint="eastAsia"/>
        </w:rPr>
      </w:pPr>
      <w:r>
        <w:t>The MRF structures first-loss capital through: (1) The PRI Pool absorbing initial losses on private investments, (2) Contingency Reserve Funds covering cost overruns, (3) The Qatar Central Bank providing partial credit guarantees for senior tranches. This layering enables pension funds and insurance companies to invest at scale.</w:t>
      </w:r>
    </w:p>
    <w:p w14:paraId="5555E7B2" w14:textId="77777777" w:rsidR="00D708EC" w:rsidRDefault="00000000">
      <w:pPr>
        <w:pStyle w:val="Heading3"/>
        <w:rPr>
          <w:rFonts w:hint="eastAsia"/>
        </w:rPr>
      </w:pPr>
      <w:r>
        <w:t>Infrastructure Asset-Backed Securitization (IABS)</w:t>
      </w:r>
    </w:p>
    <w:p w14:paraId="5BA66DC1" w14:textId="77777777" w:rsidR="00D708EC" w:rsidRDefault="00000000">
      <w:pPr>
        <w:rPr>
          <w:rFonts w:hint="eastAsia"/>
        </w:rPr>
      </w:pPr>
      <w:r>
        <w:t>IABS converts future infrastructure revenue streams into upfront capital through bond issuance. Completed MRF assets (toll roads, power plants, water utilities) generate revenue that is securitized and sold to institutional investors. Proceeds from bond issuance flow into Sub-Funds for deployment to new projects, enabling capital recycling across multiple project generations.</w:t>
      </w:r>
    </w:p>
    <w:p w14:paraId="1ACD7A01" w14:textId="77777777" w:rsidR="00D708EC" w:rsidRDefault="00000000">
      <w:pPr>
        <w:pStyle w:val="Heading3"/>
        <w:rPr>
          <w:rFonts w:hint="eastAsia"/>
        </w:rPr>
      </w:pPr>
      <w:r>
        <w:t>Mutual Reliance Agreements (MRAs) for MDB Co-Financing</w:t>
      </w:r>
    </w:p>
    <w:p w14:paraId="57CE39A0" w14:textId="77777777" w:rsidR="00D708EC" w:rsidRDefault="00000000">
      <w:pPr>
        <w:rPr>
          <w:rFonts w:hint="eastAsia"/>
        </w:rPr>
      </w:pPr>
      <w:r>
        <w:t>MRAs enable one MDB to rely on another's procurement, environmental, and social safeguard procedures, reducing transaction costs and accelerating project processing. The RSC pursues MRAs with the World Bank, ADB, IsDB, and AfDB. Under an MRA, the World Bank relies on IsDB procurement procedures for co-financed projects, eliminating duplicate processes.</w:t>
      </w:r>
    </w:p>
    <w:p w14:paraId="1D8590FC" w14:textId="77777777" w:rsidR="00D708EC" w:rsidRDefault="00000000">
      <w:pPr>
        <w:pStyle w:val="Heading3"/>
        <w:rPr>
          <w:rFonts w:hint="eastAsia"/>
        </w:rPr>
      </w:pPr>
      <w:r>
        <w:t>Green Sukuk for Climate Finance</w:t>
      </w:r>
    </w:p>
    <w:p w14:paraId="2817CF91" w14:textId="77777777" w:rsidR="00D708EC" w:rsidRDefault="00000000">
      <w:pPr>
        <w:rPr>
          <w:rFonts w:hint="eastAsia"/>
        </w:rPr>
      </w:pPr>
      <w:r>
        <w:t>The IsDB issued its inaugural Green Sukuk in 2024 (EUR 500 million, 5x oversubscribed), demonstrating strong demand for Shari'ah-compliant climate finance. Indonesia has issued over $3.5 billion in sovereign Green Sukuk for renewable energy and climate adaptation. Malaysia operates the world's largest sukuk market. These precedents enable MRF Green Sukuk issuances specifically for Iranian climate-resilient reconstruction.</w:t>
      </w:r>
    </w:p>
    <w:p w14:paraId="3482B41C" w14:textId="77777777" w:rsidR="00D708EC" w:rsidRDefault="00000000">
      <w:pPr>
        <w:pStyle w:val="Heading3"/>
        <w:rPr>
          <w:rFonts w:hint="eastAsia"/>
        </w:rPr>
      </w:pPr>
      <w:r>
        <w:lastRenderedPageBreak/>
        <w:t>Conflict-Sensitive Blended Finance (KKCF Model)</w:t>
      </w:r>
    </w:p>
    <w:p w14:paraId="15446620" w14:textId="77777777" w:rsidR="00D708EC" w:rsidRDefault="00000000">
      <w:pPr>
        <w:rPr>
          <w:rFonts w:hint="eastAsia"/>
        </w:rPr>
      </w:pPr>
      <w:r>
        <w:t>The IFC's Kakuma Kalobeyei Challenge Fund demonstrates a dual-benefit blended finance model treating crisis-affected areas as investable markets. Key principles: (1) displaced populations are part of the market, (2) grants connect to downstream credit, (3) broad partnerships mitigate risk, (4) conflict sensitivity guides all operations. The MRF adapts this model for Iranian post-conflict zones.</w:t>
      </w:r>
    </w:p>
    <w:p w14:paraId="7C0E85D4" w14:textId="77777777" w:rsidR="00D708EC" w:rsidRDefault="00000000">
      <w:pPr>
        <w:pStyle w:val="Heading3"/>
        <w:rPr>
          <w:rFonts w:hint="eastAsia"/>
        </w:rPr>
      </w:pPr>
      <w:r>
        <w:t>Missing Middle Recovery Funds</w:t>
      </w:r>
    </w:p>
    <w:p w14:paraId="54311CA9" w14:textId="77777777" w:rsidR="00D708EC" w:rsidRDefault="00000000">
      <w:pPr>
        <w:rPr>
          <w:rFonts w:hint="eastAsia"/>
        </w:rPr>
      </w:pPr>
      <w:r>
        <w:t>Recovery funds bridge the gap between humanitarian response and long-term development. The UNCDF-UNDP ReStart Fund offers a continuum from initial recovery grants to catalytic capital. The Recovery and Resilience Financing Platform (RRFP), endorsed by AfDB, EIB, World Bank, and IFAD, provides tailored support for country-led recovery financing. The MRF's 60-day stabilization period connects directly to these facilities.</w:t>
      </w:r>
    </w:p>
    <w:p w14:paraId="7B2568F7" w14:textId="77777777" w:rsidR="00D708EC" w:rsidRDefault="00000000">
      <w:pPr>
        <w:pStyle w:val="Heading3"/>
        <w:rPr>
          <w:rFonts w:hint="eastAsia"/>
        </w:rPr>
      </w:pPr>
      <w:r>
        <w:t>Development Impact Bonds (DIBs) and Humanitarian Impact Bonds (HIBs)</w:t>
      </w:r>
    </w:p>
    <w:p w14:paraId="6538C94F" w14:textId="77777777" w:rsidR="00D708EC" w:rsidRDefault="00000000">
      <w:pPr>
        <w:rPr>
          <w:rFonts w:hint="eastAsia"/>
        </w:rPr>
      </w:pPr>
      <w:r>
        <w:t>DIBs provide upfront private investment repaid by outcome funders if specific results are achieved. The World Bank's Finance for Jobs DIB in the West Bank demonstrates viability for conflict-affected settings. HIBs are DIB variants for humanitarian settings - the ICRC's HIB raised CHF 26 million for physical rehabilitation centers. The MRF targets $500M-1B in DIB issuance and $200-500M in HIB issuance.</w:t>
      </w:r>
    </w:p>
    <w:p w14:paraId="4E8FC606" w14:textId="77777777" w:rsidR="00D708EC" w:rsidRDefault="00000000">
      <w:pPr>
        <w:pStyle w:val="Heading3"/>
        <w:rPr>
          <w:rFonts w:hint="eastAsia"/>
        </w:rPr>
      </w:pPr>
      <w:r>
        <w:t>State and Peacebuilding Fund (SPF) and Central Emergency Response Fund (CERF)</w:t>
      </w:r>
    </w:p>
    <w:p w14:paraId="7CACA459" w14:textId="77777777" w:rsidR="00D708EC" w:rsidRDefault="00000000">
      <w:pPr>
        <w:rPr>
          <w:rFonts w:hint="eastAsia"/>
        </w:rPr>
      </w:pPr>
      <w:r>
        <w:t>The World Bank SPF provides catalytic financing for peacebuilding and institutional strengthening in fragile settings. CERF allocates over $500 million annually for rapid response to sudden-onset emergencies, processing grants within 72 hours. Both funds are accessible to Iran through the World Bank country office and UN Resident Coordinator.</w:t>
      </w:r>
    </w:p>
    <w:p w14:paraId="0629F82D" w14:textId="77777777" w:rsidR="00D708EC" w:rsidRDefault="00000000">
      <w:pPr>
        <w:pStyle w:val="Heading3"/>
        <w:rPr>
          <w:rFonts w:hint="eastAsia"/>
        </w:rPr>
      </w:pPr>
      <w:r>
        <w:t>I.7 Summary of Country-by-Country Funding Potential</w:t>
      </w:r>
    </w:p>
    <w:p w14:paraId="132283FB" w14:textId="77777777" w:rsidR="00D708EC" w:rsidRDefault="00000000">
      <w:pPr>
        <w:rPr>
          <w:rFonts w:hint="eastAsia"/>
        </w:rPr>
      </w:pPr>
      <w:r>
        <w:t>The following table summarizes the additional funding sources documented in this Appendix by region:</w:t>
      </w:r>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3861"/>
        <w:gridCol w:w="3151"/>
        <w:gridCol w:w="2214"/>
      </w:tblGrid>
      <w:tr w:rsidR="00D708EC" w14:paraId="0BD91A2E" w14:textId="77777777">
        <w:tc>
          <w:tcPr>
            <w:tcW w:w="0" w:type="auto"/>
            <w:shd w:val="clear" w:color="auto" w:fill="37474F"/>
          </w:tcPr>
          <w:p w14:paraId="2E2DFF6A" w14:textId="77777777" w:rsidR="00D708EC" w:rsidRDefault="00000000">
            <w:pPr>
              <w:rPr>
                <w:rFonts w:hint="eastAsia"/>
              </w:rPr>
            </w:pPr>
            <w:r>
              <w:rPr>
                <w:b/>
                <w:color w:val="FFFFFF"/>
                <w:sz w:val="19"/>
              </w:rPr>
              <w:t>Region</w:t>
            </w:r>
          </w:p>
        </w:tc>
        <w:tc>
          <w:tcPr>
            <w:tcW w:w="0" w:type="auto"/>
            <w:shd w:val="clear" w:color="auto" w:fill="37474F"/>
          </w:tcPr>
          <w:p w14:paraId="35AC4712" w14:textId="77777777" w:rsidR="00D708EC" w:rsidRDefault="00000000">
            <w:pPr>
              <w:rPr>
                <w:rFonts w:hint="eastAsia"/>
              </w:rPr>
            </w:pPr>
            <w:r>
              <w:rPr>
                <w:b/>
                <w:color w:val="FFFFFF"/>
                <w:sz w:val="19"/>
              </w:rPr>
              <w:t>Countries Covered</w:t>
            </w:r>
          </w:p>
        </w:tc>
        <w:tc>
          <w:tcPr>
            <w:tcW w:w="0" w:type="auto"/>
            <w:shd w:val="clear" w:color="auto" w:fill="37474F"/>
          </w:tcPr>
          <w:p w14:paraId="2D2F54E8" w14:textId="77777777" w:rsidR="00D708EC" w:rsidRDefault="00000000">
            <w:pPr>
              <w:rPr>
                <w:rFonts w:hint="eastAsia"/>
              </w:rPr>
            </w:pPr>
            <w:r>
              <w:rPr>
                <w:b/>
                <w:color w:val="FFFFFF"/>
                <w:sz w:val="19"/>
              </w:rPr>
              <w:t>Est. Range</w:t>
            </w:r>
          </w:p>
        </w:tc>
      </w:tr>
      <w:tr w:rsidR="00D708EC" w14:paraId="261A75E5" w14:textId="77777777">
        <w:tc>
          <w:tcPr>
            <w:tcW w:w="0" w:type="auto"/>
          </w:tcPr>
          <w:p w14:paraId="22CE1EA5" w14:textId="77777777" w:rsidR="00D708EC" w:rsidRDefault="00000000">
            <w:pPr>
              <w:rPr>
                <w:rFonts w:hint="eastAsia"/>
              </w:rPr>
            </w:pPr>
            <w:r>
              <w:rPr>
                <w:sz w:val="19"/>
              </w:rPr>
              <w:t>East Asia and Pacific</w:t>
            </w:r>
          </w:p>
        </w:tc>
        <w:tc>
          <w:tcPr>
            <w:tcW w:w="0" w:type="auto"/>
          </w:tcPr>
          <w:p w14:paraId="587A61CD" w14:textId="77777777" w:rsidR="00D708EC" w:rsidRDefault="00000000">
            <w:pPr>
              <w:rPr>
                <w:rFonts w:hint="eastAsia"/>
              </w:rPr>
            </w:pPr>
            <w:r>
              <w:rPr>
                <w:sz w:val="19"/>
              </w:rPr>
              <w:t>13 countries</w:t>
            </w:r>
          </w:p>
        </w:tc>
        <w:tc>
          <w:tcPr>
            <w:tcW w:w="0" w:type="auto"/>
          </w:tcPr>
          <w:p w14:paraId="6A06E8B6" w14:textId="77777777" w:rsidR="00D708EC" w:rsidRDefault="00000000">
            <w:pPr>
              <w:rPr>
                <w:rFonts w:hint="eastAsia"/>
              </w:rPr>
            </w:pPr>
            <w:r>
              <w:rPr>
                <w:sz w:val="19"/>
              </w:rPr>
              <w:t>$17-50B</w:t>
            </w:r>
          </w:p>
        </w:tc>
      </w:tr>
      <w:tr w:rsidR="00D708EC" w14:paraId="1DB33B5A" w14:textId="77777777">
        <w:tc>
          <w:tcPr>
            <w:tcW w:w="0" w:type="auto"/>
            <w:shd w:val="clear" w:color="auto" w:fill="ECEFF1"/>
          </w:tcPr>
          <w:p w14:paraId="60299B9F" w14:textId="77777777" w:rsidR="00D708EC" w:rsidRDefault="00000000">
            <w:pPr>
              <w:rPr>
                <w:rFonts w:hint="eastAsia"/>
              </w:rPr>
            </w:pPr>
            <w:r>
              <w:rPr>
                <w:sz w:val="19"/>
              </w:rPr>
              <w:t>Europe and North America</w:t>
            </w:r>
          </w:p>
        </w:tc>
        <w:tc>
          <w:tcPr>
            <w:tcW w:w="0" w:type="auto"/>
            <w:shd w:val="clear" w:color="auto" w:fill="ECEFF1"/>
          </w:tcPr>
          <w:p w14:paraId="3743FCE7" w14:textId="77777777" w:rsidR="00D708EC" w:rsidRDefault="00000000">
            <w:pPr>
              <w:rPr>
                <w:rFonts w:hint="eastAsia"/>
              </w:rPr>
            </w:pPr>
            <w:r>
              <w:rPr>
                <w:sz w:val="19"/>
              </w:rPr>
              <w:t>22 countries</w:t>
            </w:r>
          </w:p>
        </w:tc>
        <w:tc>
          <w:tcPr>
            <w:tcW w:w="0" w:type="auto"/>
            <w:shd w:val="clear" w:color="auto" w:fill="ECEFF1"/>
          </w:tcPr>
          <w:p w14:paraId="4649F11A" w14:textId="77777777" w:rsidR="00D708EC" w:rsidRDefault="00000000">
            <w:pPr>
              <w:rPr>
                <w:rFonts w:hint="eastAsia"/>
              </w:rPr>
            </w:pPr>
            <w:r>
              <w:rPr>
                <w:sz w:val="19"/>
              </w:rPr>
              <w:t>$7-15B</w:t>
            </w:r>
          </w:p>
        </w:tc>
      </w:tr>
      <w:tr w:rsidR="00D708EC" w14:paraId="2F0BB3C6" w14:textId="77777777">
        <w:tc>
          <w:tcPr>
            <w:tcW w:w="0" w:type="auto"/>
          </w:tcPr>
          <w:p w14:paraId="7FF8BB6A" w14:textId="77777777" w:rsidR="00D708EC" w:rsidRDefault="00000000">
            <w:pPr>
              <w:rPr>
                <w:rFonts w:hint="eastAsia"/>
              </w:rPr>
            </w:pPr>
            <w:r>
              <w:rPr>
                <w:sz w:val="19"/>
              </w:rPr>
              <w:t>MENA and Africa</w:t>
            </w:r>
          </w:p>
        </w:tc>
        <w:tc>
          <w:tcPr>
            <w:tcW w:w="0" w:type="auto"/>
          </w:tcPr>
          <w:p w14:paraId="043ADBE8" w14:textId="77777777" w:rsidR="00D708EC" w:rsidRDefault="00000000">
            <w:pPr>
              <w:rPr>
                <w:rFonts w:hint="eastAsia"/>
              </w:rPr>
            </w:pPr>
            <w:r>
              <w:rPr>
                <w:sz w:val="19"/>
              </w:rPr>
              <w:t>9 countries</w:t>
            </w:r>
          </w:p>
        </w:tc>
        <w:tc>
          <w:tcPr>
            <w:tcW w:w="0" w:type="auto"/>
          </w:tcPr>
          <w:p w14:paraId="6112F346" w14:textId="77777777" w:rsidR="00D708EC" w:rsidRDefault="00000000">
            <w:pPr>
              <w:rPr>
                <w:rFonts w:hint="eastAsia"/>
              </w:rPr>
            </w:pPr>
            <w:r>
              <w:rPr>
                <w:sz w:val="19"/>
              </w:rPr>
              <w:t>$570M-1.4B</w:t>
            </w:r>
          </w:p>
        </w:tc>
      </w:tr>
      <w:tr w:rsidR="00D708EC" w14:paraId="06EFBAEF" w14:textId="77777777">
        <w:tc>
          <w:tcPr>
            <w:tcW w:w="0" w:type="auto"/>
            <w:shd w:val="clear" w:color="auto" w:fill="ECEFF1"/>
          </w:tcPr>
          <w:p w14:paraId="6EFC899F" w14:textId="77777777" w:rsidR="00D708EC" w:rsidRDefault="00000000">
            <w:pPr>
              <w:rPr>
                <w:rFonts w:hint="eastAsia"/>
              </w:rPr>
            </w:pPr>
            <w:r>
              <w:rPr>
                <w:sz w:val="19"/>
              </w:rPr>
              <w:t>Americas</w:t>
            </w:r>
          </w:p>
        </w:tc>
        <w:tc>
          <w:tcPr>
            <w:tcW w:w="0" w:type="auto"/>
            <w:shd w:val="clear" w:color="auto" w:fill="ECEFF1"/>
          </w:tcPr>
          <w:p w14:paraId="693878AB" w14:textId="77777777" w:rsidR="00D708EC" w:rsidRDefault="00000000">
            <w:pPr>
              <w:rPr>
                <w:rFonts w:hint="eastAsia"/>
              </w:rPr>
            </w:pPr>
            <w:r>
              <w:rPr>
                <w:sz w:val="19"/>
              </w:rPr>
              <w:t>4 countries</w:t>
            </w:r>
          </w:p>
        </w:tc>
        <w:tc>
          <w:tcPr>
            <w:tcW w:w="0" w:type="auto"/>
            <w:shd w:val="clear" w:color="auto" w:fill="ECEFF1"/>
          </w:tcPr>
          <w:p w14:paraId="367A2525" w14:textId="77777777" w:rsidR="00D708EC" w:rsidRDefault="00000000">
            <w:pPr>
              <w:rPr>
                <w:rFonts w:hint="eastAsia"/>
              </w:rPr>
            </w:pPr>
            <w:r>
              <w:rPr>
                <w:sz w:val="19"/>
              </w:rPr>
              <w:t>$430-750M</w:t>
            </w:r>
          </w:p>
        </w:tc>
      </w:tr>
      <w:tr w:rsidR="00D708EC" w14:paraId="030625CD" w14:textId="77777777">
        <w:tc>
          <w:tcPr>
            <w:tcW w:w="0" w:type="auto"/>
          </w:tcPr>
          <w:p w14:paraId="35E32908" w14:textId="77777777" w:rsidR="00D708EC" w:rsidRDefault="00000000">
            <w:pPr>
              <w:rPr>
                <w:rFonts w:hint="eastAsia"/>
              </w:rPr>
            </w:pPr>
            <w:r>
              <w:rPr>
                <w:sz w:val="19"/>
              </w:rPr>
              <w:lastRenderedPageBreak/>
              <w:t>Additional OIC Members</w:t>
            </w:r>
          </w:p>
        </w:tc>
        <w:tc>
          <w:tcPr>
            <w:tcW w:w="0" w:type="auto"/>
          </w:tcPr>
          <w:p w14:paraId="66A9F950" w14:textId="77777777" w:rsidR="00D708EC" w:rsidRDefault="00000000">
            <w:pPr>
              <w:rPr>
                <w:rFonts w:hint="eastAsia"/>
              </w:rPr>
            </w:pPr>
            <w:r>
              <w:rPr>
                <w:sz w:val="19"/>
              </w:rPr>
              <w:t>6 countries</w:t>
            </w:r>
          </w:p>
        </w:tc>
        <w:tc>
          <w:tcPr>
            <w:tcW w:w="0" w:type="auto"/>
          </w:tcPr>
          <w:p w14:paraId="21CE5100" w14:textId="77777777" w:rsidR="00D708EC" w:rsidRDefault="00000000">
            <w:pPr>
              <w:rPr>
                <w:rFonts w:hint="eastAsia"/>
              </w:rPr>
            </w:pPr>
            <w:r>
              <w:rPr>
                <w:sz w:val="19"/>
              </w:rPr>
              <w:t>$300-700M</w:t>
            </w:r>
          </w:p>
        </w:tc>
      </w:tr>
      <w:tr w:rsidR="00D708EC" w14:paraId="25B41BF2" w14:textId="77777777">
        <w:tc>
          <w:tcPr>
            <w:tcW w:w="0" w:type="auto"/>
            <w:shd w:val="clear" w:color="auto" w:fill="ECEFF1"/>
          </w:tcPr>
          <w:p w14:paraId="1DE4D0D0" w14:textId="77777777" w:rsidR="00D708EC" w:rsidRDefault="00000000">
            <w:pPr>
              <w:rPr>
                <w:rFonts w:hint="eastAsia"/>
              </w:rPr>
            </w:pPr>
            <w:r>
              <w:rPr>
                <w:sz w:val="19"/>
              </w:rPr>
              <w:t>Innovative Mechanisms</w:t>
            </w:r>
          </w:p>
        </w:tc>
        <w:tc>
          <w:tcPr>
            <w:tcW w:w="0" w:type="auto"/>
            <w:shd w:val="clear" w:color="auto" w:fill="ECEFF1"/>
          </w:tcPr>
          <w:p w14:paraId="6E2B7CE6" w14:textId="77777777" w:rsidR="00D708EC" w:rsidRDefault="00000000">
            <w:pPr>
              <w:rPr>
                <w:rFonts w:hint="eastAsia"/>
              </w:rPr>
            </w:pPr>
            <w:r>
              <w:rPr>
                <w:sz w:val="19"/>
              </w:rPr>
              <w:t>Cross-cutting</w:t>
            </w:r>
          </w:p>
        </w:tc>
        <w:tc>
          <w:tcPr>
            <w:tcW w:w="0" w:type="auto"/>
            <w:shd w:val="clear" w:color="auto" w:fill="ECEFF1"/>
          </w:tcPr>
          <w:p w14:paraId="15638363" w14:textId="77777777" w:rsidR="00D708EC" w:rsidRDefault="00000000">
            <w:pPr>
              <w:rPr>
                <w:rFonts w:hint="eastAsia"/>
              </w:rPr>
            </w:pPr>
            <w:r>
              <w:rPr>
                <w:sz w:val="19"/>
              </w:rPr>
              <w:t>$3-7B enabled</w:t>
            </w:r>
          </w:p>
        </w:tc>
      </w:tr>
      <w:tr w:rsidR="00D708EC" w14:paraId="325DC7D0" w14:textId="77777777">
        <w:tc>
          <w:tcPr>
            <w:tcW w:w="0" w:type="auto"/>
          </w:tcPr>
          <w:p w14:paraId="09A0E87C" w14:textId="77777777" w:rsidR="00D708EC" w:rsidRDefault="00000000">
            <w:pPr>
              <w:rPr>
                <w:rFonts w:hint="eastAsia"/>
              </w:rPr>
            </w:pPr>
            <w:r>
              <w:rPr>
                <w:sz w:val="19"/>
              </w:rPr>
              <w:t>TOTAL APPENDIX I</w:t>
            </w:r>
          </w:p>
        </w:tc>
        <w:tc>
          <w:tcPr>
            <w:tcW w:w="0" w:type="auto"/>
          </w:tcPr>
          <w:p w14:paraId="7D03A127" w14:textId="77777777" w:rsidR="00D708EC" w:rsidRDefault="00000000">
            <w:pPr>
              <w:rPr>
                <w:rFonts w:hint="eastAsia"/>
              </w:rPr>
            </w:pPr>
            <w:r>
              <w:rPr>
                <w:sz w:val="19"/>
              </w:rPr>
              <w:t>54 countries</w:t>
            </w:r>
          </w:p>
        </w:tc>
        <w:tc>
          <w:tcPr>
            <w:tcW w:w="0" w:type="auto"/>
          </w:tcPr>
          <w:p w14:paraId="0F4A59A5" w14:textId="77777777" w:rsidR="00D708EC" w:rsidRDefault="00000000">
            <w:pPr>
              <w:rPr>
                <w:rFonts w:hint="eastAsia"/>
              </w:rPr>
            </w:pPr>
            <w:r>
              <w:rPr>
                <w:sz w:val="19"/>
              </w:rPr>
              <w:t>$28-74B</w:t>
            </w:r>
          </w:p>
        </w:tc>
      </w:tr>
    </w:tbl>
    <w:p w14:paraId="52C74B3B" w14:textId="77777777" w:rsidR="00D708EC" w:rsidRDefault="00000000">
      <w:pPr>
        <w:pStyle w:val="Heading3"/>
        <w:rPr>
          <w:rFonts w:hint="eastAsia"/>
        </w:rPr>
      </w:pPr>
      <w:r>
        <w:t>I.7 Additional Asian Financial Centers</w:t>
      </w:r>
    </w:p>
    <w:p w14:paraId="429DFA03" w14:textId="77777777" w:rsidR="00D708EC" w:rsidRDefault="00000000">
      <w:pPr>
        <w:pStyle w:val="Heading3"/>
        <w:rPr>
          <w:rFonts w:hint="eastAsia"/>
        </w:rPr>
      </w:pPr>
      <w:r>
        <w:t>Singapore</w:t>
      </w:r>
    </w:p>
    <w:p w14:paraId="418D2E4A" w14:textId="77777777" w:rsidR="00D708EC" w:rsidRDefault="00000000">
      <w:pPr>
        <w:rPr>
          <w:rFonts w:hint="eastAsia"/>
        </w:rPr>
      </w:pPr>
      <w:r>
        <w:t>Singapore deploys two of the world's largest sovereign wealth funds. GIC Private Limited manages over US$800 billion in assets, with a global portfolio spanning infrastructure, real estate, and equities across 40 countries. GIC co-invests in major infrastructure projects including power grids, data centers, and transport networks. Temasek Holdings manages approximately US$400 billion with a concentrated Asia-focused portfolio. Temasek invests directly in energy infrastructure, sustainable solutions, and urban development. Both funds participate in blended finance structures and co-investment platforms alongside multilateral development banks. Singapore's sovereign funds demonstrate appetite for long-tenor infrastructure exposure in emerging markets. Access pathway: The NDF Secretariat engages GIC and Temasek through their respective London and New York offices, presenting co-investment opportunities alongside AfDB or World Bank facilities. Proposed instrument: Singaporean SWF capital participates as equity anchor in Sub-Fund VI (Infrastructure Modernization) with 15-20 year horizon.</w:t>
      </w:r>
    </w:p>
    <w:p w14:paraId="6035A79F" w14:textId="77777777" w:rsidR="00D708EC" w:rsidRDefault="00000000">
      <w:pPr>
        <w:pStyle w:val="Heading3"/>
        <w:rPr>
          <w:rFonts w:hint="eastAsia"/>
        </w:rPr>
      </w:pPr>
      <w:r>
        <w:t>Vietnam</w:t>
      </w:r>
    </w:p>
    <w:p w14:paraId="056C5755" w14:textId="77777777" w:rsidR="00D708EC" w:rsidRDefault="00000000">
      <w:pPr>
        <w:rPr>
          <w:rFonts w:hint="eastAsia"/>
        </w:rPr>
      </w:pPr>
      <w:r>
        <w:t>Vietnam's State Capital Investment Corporation (SCIC) manages state-owned enterprise divestment proceeds and strategic investments exceeding US$7 billion. SCIC actively seeks infrastructure partnerships in Southeast Asia and neighboring regions. The Vietnam Development Bank provides medium-to-long term financing for infrastructure and industrial projects. Vietnam has accumulated substantial construction expertise through domestic infrastructure build-out and participates in regional contracting consortia. Access pathway: SCIC evaluates co-investment opportunities through bilateral channels with the Ministry of Planning and Investment. Proposed instrument: SCIC equity participation in Sub-Fund II (Industrial Zone Revitalization) paired with Vietnamese construction contractor involvement in project implementation.</w:t>
      </w:r>
    </w:p>
    <w:p w14:paraId="285EFFD1" w14:textId="77777777" w:rsidR="00D708EC" w:rsidRDefault="00000000">
      <w:pPr>
        <w:pStyle w:val="Heading3"/>
        <w:rPr>
          <w:rFonts w:hint="eastAsia"/>
        </w:rPr>
      </w:pPr>
      <w:r>
        <w:t>Kazakhstan</w:t>
      </w:r>
    </w:p>
    <w:p w14:paraId="5F88C7A5" w14:textId="77777777" w:rsidR="00D708EC" w:rsidRDefault="00000000">
      <w:pPr>
        <w:rPr>
          <w:rFonts w:hint="eastAsia"/>
        </w:rPr>
      </w:pPr>
      <w:r>
        <w:t xml:space="preserve">Kazakhstan's Kazakhstan ranks among the world's top 25 sovereign wealth fund operators. Samruk-Kazyna Sovereign Wealth Fund manages over US$100 billion in assets and has attracted US$27 billion in foreign investment over the past six years. The fund actively pursues foreign direct investment in energy, transport, and digital infrastructure. The Development Bank of Kazakhstan (DBK) serves as the national development institution, disbursing 1,465.7 billion tenge (approximately US$3.1 billion) in 2024 for manufacturing, </w:t>
      </w:r>
      <w:r>
        <w:lastRenderedPageBreak/>
        <w:t>energy, and infrastructure projects. DBK maintains a US$1 billion credit line with the China Development Bank. The Kazakhstan Investment Development Fund (KIDF) co-invests with foreign partners in non-extractive sectors, sharing risks with foreign entities. Baiterek National Investment Holding, the parent for DBK and other institutions, plans to borrow US$3 billion abroad in 2026.</w:t>
      </w:r>
    </w:p>
    <w:p w14:paraId="1D5FF32A" w14:textId="77777777" w:rsidR="00D708EC" w:rsidRDefault="00000000">
      <w:pPr>
        <w:rPr>
          <w:rFonts w:hint="eastAsia"/>
        </w:rPr>
      </w:pPr>
      <w:r>
        <w:t>Kazakhstan's ODA reached US$50.4 million in 2024, with 83.9% delivered bilaterally through KazAID (Agency of International Development, established 2020). KazAID focuses on agriculture, food security, environmental protection, education, and healthcare, and contributes US$16.1 million annually to the UN system (WHO, UNDP, FAO). Kazakhstan and Iran maintain robust economic ties through the International North-South Transport Corridor (INSTC), which recorded a 53% traffic increase in 2025. Iranian President Pezeshkian and Kazakh President Tokayev met in late 2025, with Kazakhstan committing to supply US$200 million in goods to Iran and signing agreements on transport, healthcare, and intellectual property. While regional conflict has paused some joint projects, Kazakhstan offers strong potential for large-scale industrial and transport co-financing once political conditions stabilize.</w:t>
      </w:r>
    </w:p>
    <w:p w14:paraId="05004D28" w14:textId="77777777" w:rsidR="00D708EC" w:rsidRDefault="00000000">
      <w:pPr>
        <w:rPr>
          <w:rFonts w:hint="eastAsia"/>
        </w:rPr>
      </w:pPr>
      <w:r>
        <w:t>Access pathway: Samruk-Kazyna reviews investment proposals through its Astana headquarters. DBK processes project financing requests through bilateral government channels. KIDF evaluates joint venture proposals through its Almaty office. Proposed instrument: Samruk-Kazyna provides senior debt to Sub-Fund I (Energy Infrastructure Restoration) leveraging Kazakhstani construction expertise in oil/gas facility rebuilding. DBK co-finances Sub-Fund VI (Infrastructure Modernization) through bilateral intergovernmental agreements. KIDF participates as equity partner in Sub-Fund II (Industrial Zone Revitalization).</w:t>
      </w:r>
    </w:p>
    <w:p w14:paraId="779CA22A" w14:textId="77777777" w:rsidR="00D708EC" w:rsidRDefault="00000000">
      <w:pPr>
        <w:pStyle w:val="Heading3"/>
        <w:rPr>
          <w:rFonts w:hint="eastAsia"/>
        </w:rPr>
      </w:pPr>
      <w:r>
        <w:t>Uzbekistan</w:t>
      </w:r>
    </w:p>
    <w:p w14:paraId="4F060CA9" w14:textId="77777777" w:rsidR="00D708EC" w:rsidRDefault="00000000">
      <w:pPr>
        <w:rPr>
          <w:rFonts w:hint="eastAsia"/>
        </w:rPr>
      </w:pPr>
      <w:r>
        <w:t>Uzbekistan's Fund for Reconstruction and Development (UFRD), established in 2006, operates as a sovereign wealth fund financing strategic infrastructure and modernization projects exceeding US$23 billion in total deployments. UFRD co-finances projects with the Asian Development Bank, Islamic Development Bank, and bilateral partners. The fund maintains active credit lines through Uzbekistan's major commercial banks for on-lending to priority sectors. UFRD's mandate explicitly includes co-financing with international financial institutions and foreign investors. Access pathway: UFRD processes co-financing proposals through the Council for Management of the Fund chaired by the Prime Minister. Proposed instrument: UFRD participates in blended finance structures for Sub-Fund I and Sub-Fund V through parallel ADB-IsDB coordination.</w:t>
      </w:r>
    </w:p>
    <w:p w14:paraId="36207C59" w14:textId="77777777" w:rsidR="00D708EC" w:rsidRDefault="00000000">
      <w:pPr>
        <w:pStyle w:val="Heading3"/>
        <w:rPr>
          <w:rFonts w:hint="eastAsia"/>
        </w:rPr>
      </w:pPr>
      <w:r>
        <w:t>Mongolia</w:t>
      </w:r>
    </w:p>
    <w:p w14:paraId="174F2AB7" w14:textId="77777777" w:rsidR="00D708EC" w:rsidRDefault="00000000">
      <w:pPr>
        <w:rPr>
          <w:rFonts w:hint="eastAsia"/>
        </w:rPr>
      </w:pPr>
      <w:r>
        <w:t xml:space="preserve">Mongolia's parliament approved the Sovereign Wealth Fund Law in April 2024, creating three diversified funds: the Future Heritage Fund (collects and invests proceeds from subsoil resources), the Savings Fund (underwrites public health, education, and housing </w:t>
      </w:r>
      <w:r>
        <w:lastRenderedPageBreak/>
        <w:t>investments), and the Development Fund (supports development projects from budget surplus). The Future Heritage Fund currently holds approximately MNT213 billion (US$80 million) in assets and receives 65% of all mining royalties and dividends from state-owned mining companies. Mongolia projects MNT1 trillion (approximately US$393 million) annual injection into the fund. The fund currently invests only in international financial instruments, with domestic infrastructure investment capability developing over time. Mongolia's mining sector expertise in coal, copper, and gold provides relevant technical knowledge for resource-based infrastructure development.</w:t>
      </w:r>
    </w:p>
    <w:p w14:paraId="532673CA" w14:textId="77777777" w:rsidR="00D708EC" w:rsidRDefault="00000000">
      <w:pPr>
        <w:rPr>
          <w:rFonts w:hint="eastAsia"/>
        </w:rPr>
      </w:pPr>
      <w:r>
        <w:t>Access pathway: The NDF Secretariat engages the Mongolian Ministry of Finance and the Sovereign Wealth Fund Council through the Asia-Pacific regional development forum. Proposed instrument: Future Heritage Fund co-investment in Sub-Fund I (Energy Infrastructure Restoration) on a learn-and-invest basis, pairing Mongolian mining infrastructure expertise with Iranian energy reconstruction priorities.</w:t>
      </w:r>
    </w:p>
    <w:p w14:paraId="0534E6E6" w14:textId="77777777" w:rsidR="00D708EC" w:rsidRDefault="00000000">
      <w:pPr>
        <w:pStyle w:val="Heading3"/>
        <w:rPr>
          <w:rFonts w:hint="eastAsia"/>
        </w:rPr>
      </w:pPr>
      <w:r>
        <w:t>I.8 Major African Economies</w:t>
      </w:r>
    </w:p>
    <w:p w14:paraId="598AC937" w14:textId="77777777" w:rsidR="00D708EC" w:rsidRDefault="00000000">
      <w:pPr>
        <w:pStyle w:val="Heading3"/>
        <w:rPr>
          <w:rFonts w:hint="eastAsia"/>
        </w:rPr>
      </w:pPr>
      <w:r>
        <w:t>Nigeria</w:t>
      </w:r>
    </w:p>
    <w:p w14:paraId="3C561DA5" w14:textId="77777777" w:rsidR="00D708EC" w:rsidRDefault="00000000">
      <w:pPr>
        <w:rPr>
          <w:rFonts w:hint="eastAsia"/>
        </w:rPr>
      </w:pPr>
      <w:r>
        <w:t>Nigeria's Sovereign Investment Authority (NSIA) manages US$2.86 billion across three ring-fenced funds: the Future Generations Fund, the Stabilization Fund, and the Nigeria Infrastructure Fund (NIF). NSIA holds GCF accreditation and operates Carbon Vista for carbon market development. The Authority directly financed major road reconstruction including the Abuja-Kano Road, Lagos-Ibadan Expressway, and Second Niger Bridge, demonstrating proven reconstruction execution capability. NSIA partners with the African Development Bank on infrastructure debt facilities and received a 12-year senior corporate loan from AfDB in 2024. Access pathway: NSIA evaluates African regional investment opportunities through its Abuja headquarters and London representative office. Proposed instrument: NSIA contributes equity to Sub-Fund VI through AfDB-coordinated African infrastructure platform, leveraging NSIA's direct reconstruction expertise.</w:t>
      </w:r>
    </w:p>
    <w:p w14:paraId="4EBC148A" w14:textId="77777777" w:rsidR="00D708EC" w:rsidRDefault="00000000">
      <w:pPr>
        <w:pStyle w:val="Heading3"/>
        <w:rPr>
          <w:rFonts w:hint="eastAsia"/>
        </w:rPr>
      </w:pPr>
      <w:r>
        <w:t>Kenya</w:t>
      </w:r>
    </w:p>
    <w:p w14:paraId="206CC48E" w14:textId="77777777" w:rsidR="00D708EC" w:rsidRDefault="00000000">
      <w:pPr>
        <w:rPr>
          <w:rFonts w:hint="eastAsia"/>
        </w:rPr>
      </w:pPr>
      <w:r>
        <w:t>Kenya's National Infrastructure Fund anchors a KSh5 trillion (US$40 billion) ten-year national transformation programme. Kenya has established comprehensive PPP legislation and institutional frameworks with World Bank support. The country mobilized US$90 million in IDA financing for PPP development, generating a pipeline of 69 projects. Kenya's capital markets infrastructure debt vehicle, Infra CDV, demonstrates innovative local currency financing structures. Kenya hosts the Nairobi International Financial Centre and the African Trade Insurance Agency. Access pathway: The NDF Secretariat engages Kenya's National Treasury and the National Infrastructure Fund through the East African Community secretariat in Arusha. Proposed instrument: Kenya provides co-guarantee facilities for East African contractor participation in Sub-Fund VI projects.</w:t>
      </w:r>
    </w:p>
    <w:p w14:paraId="07BD4DF0" w14:textId="77777777" w:rsidR="00D708EC" w:rsidRDefault="00000000">
      <w:pPr>
        <w:pStyle w:val="Heading3"/>
        <w:rPr>
          <w:rFonts w:hint="eastAsia"/>
        </w:rPr>
      </w:pPr>
      <w:r>
        <w:lastRenderedPageBreak/>
        <w:t>Ghana</w:t>
      </w:r>
    </w:p>
    <w:p w14:paraId="04639535" w14:textId="77777777" w:rsidR="00D708EC" w:rsidRDefault="00000000">
      <w:pPr>
        <w:rPr>
          <w:rFonts w:hint="eastAsia"/>
        </w:rPr>
      </w:pPr>
      <w:r>
        <w:t>Ghana Infrastructure Investment Fund (GIIF), established by Act of Parliament in 2014, holds US$325 million in unlevered capital and has committed US$275 million across 12 transactions worth US$2.78 billion in total project costs, achieving 10x leverage. GIIF operates as a 100% government-owned body investing in power, transport, ICT, mining, tourism, and affordable housing through debt, equity, mezzanine, and credit enhancement instruments. The fund maintains active DFI partnerships and received an US$85 million international DFI facility. GIIF has proven capacity to create ring-fenced sub-funds for specific sectors. Access pathway: GIIF welcomes partnerships with DFIs and sovereign funds for African infrastructure co-investment through its Accra headquarters. Proposed instrument: GIIF establishes a dedicated Reconstruction Sub-Fund with NDF seed capital, applying its proven sub-fund architecture to regional reconstruction finance.</w:t>
      </w:r>
    </w:p>
    <w:p w14:paraId="7B5FBB63" w14:textId="77777777" w:rsidR="00D708EC" w:rsidRDefault="00000000">
      <w:pPr>
        <w:pStyle w:val="Heading3"/>
        <w:rPr>
          <w:rFonts w:hint="eastAsia"/>
        </w:rPr>
      </w:pPr>
      <w:r>
        <w:t>Morocco</w:t>
      </w:r>
    </w:p>
    <w:p w14:paraId="22A4BA74" w14:textId="77777777" w:rsidR="00D708EC" w:rsidRDefault="00000000">
      <w:pPr>
        <w:rPr>
          <w:rFonts w:hint="eastAsia"/>
        </w:rPr>
      </w:pPr>
      <w:r>
        <w:t>Morocco maintains an active development finance ecosystem anchored by the High Atlas Development Agency (ADHA) for post-disaster reconstruction, currently executing a EUR1 billion EIB-supported earthquake recovery programme. Morocco's Banque Centrale Populaire and Attijariwafa Bank provide commercial infrastructure financing. The Mohammed VI Fund for Investment targets strategic sectors including renewable energy and industrial infrastructure. Morocco's reconstruction experience demonstrates institutional capacity to manage large-scale infrastructure recovery with multilateral coordination. Access pathway: Morocco engages through the ADHA and the Ministry of Economy and Finance in Rabat. Proposed instrument: Morocco provides technical assistance and reconstruction methodology transfer to Sub-Fund VI through ADHA partnership.</w:t>
      </w:r>
    </w:p>
    <w:p w14:paraId="2491C6CA" w14:textId="77777777" w:rsidR="00D708EC" w:rsidRDefault="00000000">
      <w:pPr>
        <w:pStyle w:val="Heading3"/>
        <w:rPr>
          <w:rFonts w:hint="eastAsia"/>
        </w:rPr>
      </w:pPr>
      <w:r>
        <w:t>Ethiopia</w:t>
      </w:r>
    </w:p>
    <w:p w14:paraId="0783F446" w14:textId="77777777" w:rsidR="00D708EC" w:rsidRDefault="00000000">
      <w:pPr>
        <w:rPr>
          <w:rFonts w:hint="eastAsia"/>
        </w:rPr>
      </w:pPr>
      <w:r>
        <w:t>Ethiopia's Development Bank of Ethiopia (DBE) provides long-term financing for industrial and infrastructure development. Ethiopia hosts the Africa Infrastructure Financing Facility (AIFF), launched in February 2026 by African Union heads of state to accelerate cross-border infrastructure project preparation and financing. The AIFF addresses Africa's US$221 billion annual infrastructure financing gap through coordinated African multilateral financial institution action. Ethiopia's Ten-Year Development Plan 2021-2030 emphasizes quality sustainable infrastructure and climate-smart innovations. Access pathway: Ethiopia engages through the AIFF secretariat in Addis Ababa and the African Union Commission. Proposed instrument: Ethiopian participation channels through AIFF coordination with AfDB and Alliance of African Multilateral Financial Institutions (AAMFI) for Sub-Fund VI project preparation.</w:t>
      </w:r>
    </w:p>
    <w:p w14:paraId="6C3EE071" w14:textId="77777777" w:rsidR="00D708EC" w:rsidRDefault="00000000">
      <w:pPr>
        <w:pStyle w:val="Heading3"/>
        <w:rPr>
          <w:rFonts w:hint="eastAsia"/>
        </w:rPr>
      </w:pPr>
      <w:r>
        <w:t>Mauritania</w:t>
      </w:r>
    </w:p>
    <w:p w14:paraId="43354609" w14:textId="77777777" w:rsidR="00D708EC" w:rsidRDefault="00000000">
      <w:pPr>
        <w:rPr>
          <w:rFonts w:hint="eastAsia"/>
        </w:rPr>
      </w:pPr>
      <w:r>
        <w:t xml:space="preserve">Mauritania accesses reconstruction-relevant finance through multiple channels that demonstrate applicable pathways for the NDF. The African Development Fund (ADF) </w:t>
      </w:r>
      <w:r>
        <w:lastRenderedPageBreak/>
        <w:t>financed a US$4.78 million project to modernize Mauritania's financial infrastructure, cutting inflation and raising financial inclusion from 21% to 55%. The Arab Coordination Group (ACG) pledged US$2 billion over five years for energy, water, transport, and digital infrastructure in Mauritania. The Islamic Development Bank approved and signed multiple financing agreements totaling hundreds of millions for the Mauritania-Mali power interconnection, healthcare facilities, and rural electrification. The Saudi Fund for Development signed an agreement to finance a high-voltage electricity line connecting Mauritania and Mali. The OPEC Fund approved over US$316 million in financing for energy, water, and agriculture sectors in Mauritania. Mauritania's National Fund for Hydrocarbon Revenues holds sovereign resources though withdrawals have historically covered budget deficits rather than development projects. The Banc d'Arguin (BACoMaB) Biodiversity Trust Fund, supported by the EU and Germany, finances marine protected areas and demonstrates environment-fund mechanisms. Access pathway: Mauritania's Ministry of Economic Affairs coordinates with Arab and multilateral donors through the National Aid Coordination Framework. Proposed instrument: Mauritania channels ACG and OPEC Fund resources to Sub-Fund I and Sub-Fund VI through parallel co-financing structures.</w:t>
      </w:r>
    </w:p>
    <w:p w14:paraId="6DCCB231" w14:textId="77777777" w:rsidR="00D708EC" w:rsidRDefault="00000000">
      <w:pPr>
        <w:pStyle w:val="Heading3"/>
        <w:rPr>
          <w:rFonts w:hint="eastAsia"/>
        </w:rPr>
      </w:pPr>
      <w:r>
        <w:t>I.9 Latin American Development Banks</w:t>
      </w:r>
    </w:p>
    <w:p w14:paraId="60DCE35B" w14:textId="77777777" w:rsidR="00D708EC" w:rsidRDefault="00000000">
      <w:pPr>
        <w:pStyle w:val="Heading3"/>
        <w:rPr>
          <w:rFonts w:hint="eastAsia"/>
        </w:rPr>
      </w:pPr>
      <w:r>
        <w:t>Colombia</w:t>
      </w:r>
    </w:p>
    <w:p w14:paraId="150B0715" w14:textId="77777777" w:rsidR="00D708EC" w:rsidRDefault="00000000">
      <w:pPr>
        <w:rPr>
          <w:rFonts w:hint="eastAsia"/>
        </w:rPr>
      </w:pPr>
      <w:r>
        <w:t>Colombia's Financiera de Desarrollo Nacional (FDN) serves as the country's principal infrastructure development bank, specializing in long-term project finance for transportation, energy, and social infrastructure. FDN catalyzed over US$3.7 billion in financing for the 4G highway programme alone. The bank provides direct long-term facilities, subordinated debt, guarantees, and credit enhancement. FDN co-created Colombia's first Infrastructure Collective Debt Vehicle (Infra CDV) with IFC, CAF, and local pension funds. FDN's equity ownership includes 35% government stake with IFC and CAF as strategic investors, ensuring professional governance. Access pathway: FDN reviews international infrastructure co-investment through its Bogota headquarters. Proposed instrument: FDN participates in Sub-Fund VI blended finance structures, contributing project finance expertise and credit enhancement instruments.</w:t>
      </w:r>
    </w:p>
    <w:p w14:paraId="631B6F1E" w14:textId="77777777" w:rsidR="00D708EC" w:rsidRDefault="00000000">
      <w:pPr>
        <w:pStyle w:val="Heading3"/>
        <w:rPr>
          <w:rFonts w:hint="eastAsia"/>
        </w:rPr>
      </w:pPr>
      <w:r>
        <w:t>Peru</w:t>
      </w:r>
    </w:p>
    <w:p w14:paraId="2E82BE79" w14:textId="77777777" w:rsidR="00D708EC" w:rsidRDefault="00000000">
      <w:pPr>
        <w:rPr>
          <w:rFonts w:hint="eastAsia"/>
        </w:rPr>
      </w:pPr>
      <w:r>
        <w:t xml:space="preserve">Peru's Corporacion Financiera de Desarrollo (COFIDE) operates as the national development bank with US$803 million in annual infrastructure disbursements and US$2.57 billion in total project financing. COFIDE finances up to 50% of project costs in partnership with international financial institutions, specializing in energy, transport, water, and environmental infrastructure. The bank maintains investment-grade credit ratings (Moody's Baa2, S&amp;P BBB+, Fitch BBB+). COFIDE partners with CAF Asset Management on infrastructure debt funds. Peru's infrastructure gap exceeds US$160 billion, giving COFIDE extensive project structuring experience. Access pathway: COFIDE evaluates international co-financing proposals through its Lima headquarters. Proposed instrument: COFIDE </w:t>
      </w:r>
      <w:r>
        <w:lastRenderedPageBreak/>
        <w:t>provides senior debt and project finance structuring to Sub-Fund VI through CAF-coordinated Latin America infrastructure platform.</w:t>
      </w:r>
    </w:p>
    <w:p w14:paraId="68D1E300" w14:textId="77777777" w:rsidR="00D708EC" w:rsidRDefault="00000000">
      <w:pPr>
        <w:pStyle w:val="Heading3"/>
        <w:rPr>
          <w:rFonts w:hint="eastAsia"/>
        </w:rPr>
      </w:pPr>
      <w:r>
        <w:t>Chile</w:t>
      </w:r>
    </w:p>
    <w:p w14:paraId="56FE55EF" w14:textId="77777777" w:rsidR="00D708EC" w:rsidRDefault="00000000">
      <w:pPr>
        <w:rPr>
          <w:rFonts w:hint="eastAsia"/>
        </w:rPr>
      </w:pPr>
      <w:r>
        <w:t>Chile's BancoEstado provides development finance for infrastructure and productive sectors. The Chilean Economic Development Agency (CORFO) promotes investment through innovation funds and infrastructure programmes. Chile ranks as the leading Latin American OECD DAC donor with well-established development cooperation systems. The country's pension fund administrators (AFPs) hold over US$200 billion in assets under management and actively invest in infrastructure debt instruments. Chile's CAF membership provides additional coordination channels for regional infrastructure investment. Access pathway: Chilean participation channels through CORFO and the Ministry of Finance, with CAF coordination. Proposed instrument: Chilean AFP infrastructure debt investment in Sub-Fund VI through CAF-structured infrastructure debt fund.</w:t>
      </w:r>
    </w:p>
    <w:p w14:paraId="763390FB" w14:textId="77777777" w:rsidR="00D708EC" w:rsidRDefault="00000000">
      <w:pPr>
        <w:pStyle w:val="Heading3"/>
        <w:rPr>
          <w:rFonts w:hint="eastAsia"/>
        </w:rPr>
      </w:pPr>
      <w:r>
        <w:t>Guyana</w:t>
      </w:r>
    </w:p>
    <w:p w14:paraId="334DE140" w14:textId="77777777" w:rsidR="00D708EC" w:rsidRDefault="00000000">
      <w:pPr>
        <w:rPr>
          <w:rFonts w:hint="eastAsia"/>
        </w:rPr>
      </w:pPr>
      <w:r>
        <w:t>Guyana is the world's fastest-growing economy driven by offshore oil discoveries. The Natural Resource Fund (NRF), Guyana's sovereign wealth fund, held a balance of approximately US$3.64 billion at the end of March 2026. President Ali signals a shift toward investing a portion of NRF funds internationally in safe, predictable economies. The Guyana Development Bank received an initial US$100 million allocation in Budget 2026, with an eventual capital pledge of US$200 million, providing collateral-free, interest-free loans to SMEs.</w:t>
      </w:r>
    </w:p>
    <w:p w14:paraId="4DC715A9" w14:textId="77777777" w:rsidR="00D708EC" w:rsidRDefault="00000000">
      <w:pPr>
        <w:rPr>
          <w:rFonts w:hint="eastAsia"/>
        </w:rPr>
      </w:pPr>
      <w:r>
        <w:t>International development partners maintain active financing relationships with Guyana. IDB Invest provided a US$5 million loan to the Institute of Private Enterprise Development (IPED) for micro and small enterprises, including US$2.5 million from IDB Invest and US$2.5 million from a JICA trust fund. JICA's TADAC Fund (US$1.5 billion) supports private sector projects and co-finances with IDB Invest. UK Export Finance raised its financing capacity for Guyana from GBP2.1 billion to GBP3 billion for infrastructure and private sector development. Canada provided a CA$120 million policy-based loan through the IDB for social protection, plus CA$9.5 million for the One Guyana Digital Skills Development Programme.</w:t>
      </w:r>
    </w:p>
    <w:p w14:paraId="6996E42F" w14:textId="77777777" w:rsidR="00D708EC" w:rsidRDefault="00000000">
      <w:pPr>
        <w:rPr>
          <w:rFonts w:hint="eastAsia"/>
        </w:rPr>
      </w:pPr>
      <w:r>
        <w:t>Access pathway: Guyana channels resources through the Ministry of Finance and the NRF Board. Proposed instrument: NRF sovereign fund co-investment in Sub-Fund I (Energy Infrastructure Restoration) leveraging Guyana's parallel experience in natural resource fund management for infrastructure development.</w:t>
      </w:r>
    </w:p>
    <w:p w14:paraId="5CBCDF93" w14:textId="77777777" w:rsidR="00D708EC" w:rsidRDefault="00000000">
      <w:pPr>
        <w:pStyle w:val="Heading3"/>
        <w:rPr>
          <w:rFonts w:hint="eastAsia"/>
        </w:rPr>
      </w:pPr>
      <w:r>
        <w:lastRenderedPageBreak/>
        <w:t>I.10 Additional Sovereign Wealth and Regional Funds</w:t>
      </w:r>
    </w:p>
    <w:p w14:paraId="54D9F7F2" w14:textId="77777777" w:rsidR="00D708EC" w:rsidRDefault="00000000">
      <w:pPr>
        <w:pStyle w:val="Heading3"/>
        <w:rPr>
          <w:rFonts w:hint="eastAsia"/>
        </w:rPr>
      </w:pPr>
      <w:r>
        <w:t>Azerbaijan</w:t>
      </w:r>
    </w:p>
    <w:p w14:paraId="4909EE2F" w14:textId="77777777" w:rsidR="00D708EC" w:rsidRDefault="00000000">
      <w:pPr>
        <w:rPr>
          <w:rFonts w:hint="eastAsia"/>
        </w:rPr>
      </w:pPr>
      <w:r>
        <w:t>Azerbaijan's State Oil Fund (SOFAZ) manages over US$50 billion in assets derived from oil and gas revenues. SOFAZ invests internationally in real estate, equities, and fixed income across developed and emerging markets. The fund has financed major infrastructure reconstruction in Azerbaijan and maintains appetite for energy-sector investments. The Azerbaijan Investment Company seeks direct investment opportunities in strategic sectors. Access pathway: SOFAZ evaluates international investment proposals through its Baku headquarters with representative offices in London and other financial centers. Proposed instrument: SOFAZ participates in Sub-Fund I as equity co-investor in energy infrastructure restoration.</w:t>
      </w:r>
    </w:p>
    <w:p w14:paraId="1D0350CD" w14:textId="77777777" w:rsidR="00D708EC" w:rsidRDefault="00000000">
      <w:pPr>
        <w:pStyle w:val="Heading3"/>
        <w:rPr>
          <w:rFonts w:hint="eastAsia"/>
        </w:rPr>
      </w:pPr>
      <w:r>
        <w:t>Serbia</w:t>
      </w:r>
    </w:p>
    <w:p w14:paraId="233F8624" w14:textId="77777777" w:rsidR="00D708EC" w:rsidRDefault="00000000">
      <w:pPr>
        <w:rPr>
          <w:rFonts w:hint="eastAsia"/>
        </w:rPr>
      </w:pPr>
      <w:r>
        <w:t>Serbia's Development Fund of the Republic of Serbia provides concessionary financing for infrastructure, agriculture, and environmental projects. Serbia maintains active cooperation with EBRD, EIB, and World Bank on infrastructure development. The country possesses relevant post-conflict reconstruction experience from the 1999 Kosovo war recovery period. Serbian construction firms have expertise in rebuilding transport and energy infrastructure under challenging conditions. Access pathway: Serbia engages through the Ministry of Finance and the Development Fund in Belgrade. Proposed instrument: Serbian reconstruction expertise contributes to Sub-Fund VI through specialized contractor consortiums and technical assistance.</w:t>
      </w:r>
    </w:p>
    <w:p w14:paraId="5709D95C" w14:textId="77777777" w:rsidR="00D708EC" w:rsidRDefault="00000000">
      <w:pPr>
        <w:pStyle w:val="Heading3"/>
        <w:rPr>
          <w:rFonts w:hint="eastAsia"/>
        </w:rPr>
      </w:pPr>
      <w:r>
        <w:t>Rwanda</w:t>
      </w:r>
    </w:p>
    <w:p w14:paraId="2FE486CC" w14:textId="77777777" w:rsidR="00D708EC" w:rsidRDefault="00000000">
      <w:pPr>
        <w:rPr>
          <w:rFonts w:hint="eastAsia"/>
        </w:rPr>
      </w:pPr>
      <w:r>
        <w:t>Rwanda's Rwanda Finance Limited operates the Kigali International Financial Centre, positioning the country as a pan-African financial hub. The Rwanda Development Bank (BRD) provides long-term financing for strategic infrastructure and green projects. Rwanda's Fund for Environment and Climate Change (FONERWA) channels climate finance into adaptation and mitigation investments. The country's post-genocide reconstruction demonstrates institutional capacity for rapid large-scale infrastructure recovery. Access pathway: Rwanda engages through the Ministry of Finance and Economic Planning and BRD. Proposed instrument: FONERWA contributes climate finance co-investment to Sub-Fund I (green energy) and Sub-Fund III (climate-resilient agriculture).</w:t>
      </w:r>
    </w:p>
    <w:p w14:paraId="6D141AEC" w14:textId="77777777" w:rsidR="00D708EC" w:rsidRDefault="00000000">
      <w:pPr>
        <w:pStyle w:val="Heading3"/>
        <w:rPr>
          <w:rFonts w:hint="eastAsia"/>
        </w:rPr>
      </w:pPr>
      <w:r>
        <w:t>India (Additional Detail)</w:t>
      </w:r>
    </w:p>
    <w:p w14:paraId="3759AF45" w14:textId="77777777" w:rsidR="00D708EC" w:rsidRDefault="00000000">
      <w:pPr>
        <w:rPr>
          <w:rFonts w:hint="eastAsia"/>
        </w:rPr>
      </w:pPr>
      <w:r>
        <w:t xml:space="preserve">India's EXIM Bank operates a US$10 billion Africa infrastructure financing window. The National Investment and Infrastructure Fund (NIIF) manages over US$4.5 billion with active international co-investment platforms. India's SBI Holdings and other state banks maintain dedicated infrastructure lending divisions. Indian construction conglomerates (Larsen &amp; Toubro, Shapoorji Pallonji, Tata Projects) rank among the world's largest infrastructure contractors with proven reconstruction capability. India participates in the </w:t>
      </w:r>
      <w:r>
        <w:lastRenderedPageBreak/>
        <w:t>Asian Infrastructure Investment Bank and New Development Bank as founding member. Access pathway: EXIM Bank and NIIF evaluate proposals through their New Delhi headquarters and international offices. Proposed instrument: EXIM Bank provides buyer's credit for Indian contractor participation; NIIF co-invests equity in Sub-Fund VI.</w:t>
      </w:r>
    </w:p>
    <w:p w14:paraId="06A5B453" w14:textId="77777777" w:rsidR="00D708EC" w:rsidRDefault="00000000">
      <w:pPr>
        <w:pStyle w:val="Heading3"/>
        <w:rPr>
          <w:rFonts w:hint="eastAsia"/>
        </w:rPr>
      </w:pPr>
      <w:r>
        <w:t>Indonesia (Additional Detail)</w:t>
      </w:r>
    </w:p>
    <w:p w14:paraId="1E0387DB" w14:textId="77777777" w:rsidR="00D708EC" w:rsidRDefault="00000000">
      <w:pPr>
        <w:rPr>
          <w:rFonts w:hint="eastAsia"/>
        </w:rPr>
      </w:pPr>
      <w:r>
        <w:t>Indonesia's Badan Pengelola Investasi Daya Anugerah Nusantara (BPI Danantara) sovereign wealth fund manages over US$600 billion in assets, making it one of the world's largest. The Indonesia Investment Authority (INA) targets infrastructure and strategic sector investments with international co-investment mandates. Indonesia Eximbank provides trade and project finance for international construction contracts. Indonesian state construction firms (Waskita Karya, PP, Adhi Karya) execute major infrastructure projects across Southeast Asia, the Middle East, and Africa. Access pathway: INA and BPI Danantara review international co-investment through Jakarta headquarters. Proposed instrument: INA provides equity anchor alongside Indonesian contractor consortium participation in Sub-Fund VI.</w:t>
      </w:r>
    </w:p>
    <w:p w14:paraId="087F9CC7" w14:textId="77777777" w:rsidR="00D708EC" w:rsidRDefault="00000000">
      <w:pPr>
        <w:pStyle w:val="Heading3"/>
        <w:rPr>
          <w:rFonts w:hint="eastAsia"/>
        </w:rPr>
      </w:pPr>
      <w:r>
        <w:t>Appendix I Summary Table (Updated)</w:t>
      </w:r>
    </w:p>
    <w:p w14:paraId="22AE24F5" w14:textId="77777777" w:rsidR="00D708EC" w:rsidRDefault="00000000">
      <w:pPr>
        <w:rPr>
          <w:rFonts w:hint="eastAsia"/>
        </w:rPr>
      </w:pPr>
      <w:r>
        <w:t>The following table aggregates the expanded country-by-country funding coverage:</w:t>
      </w:r>
    </w:p>
    <w:tbl>
      <w:tblPr>
        <w:tblW w:w="5000" w:type="pct"/>
        <w:tblInd w:w="100"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4008"/>
        <w:gridCol w:w="3322"/>
        <w:gridCol w:w="1896"/>
      </w:tblGrid>
      <w:tr w:rsidR="00D708EC" w14:paraId="2C415782" w14:textId="77777777">
        <w:tc>
          <w:tcPr>
            <w:tcW w:w="0" w:type="auto"/>
            <w:shd w:val="clear" w:color="auto" w:fill="37474F"/>
          </w:tcPr>
          <w:p w14:paraId="0DCC9A5B" w14:textId="77777777" w:rsidR="00D708EC" w:rsidRDefault="00000000">
            <w:pPr>
              <w:rPr>
                <w:rFonts w:hint="eastAsia"/>
              </w:rPr>
            </w:pPr>
            <w:r>
              <w:rPr>
                <w:b/>
                <w:color w:val="FFFFFF"/>
                <w:sz w:val="19"/>
              </w:rPr>
              <w:t>Region</w:t>
            </w:r>
          </w:p>
        </w:tc>
        <w:tc>
          <w:tcPr>
            <w:tcW w:w="0" w:type="auto"/>
            <w:shd w:val="clear" w:color="auto" w:fill="37474F"/>
          </w:tcPr>
          <w:p w14:paraId="7D4A563E" w14:textId="77777777" w:rsidR="00D708EC" w:rsidRDefault="00000000">
            <w:pPr>
              <w:rPr>
                <w:rFonts w:hint="eastAsia"/>
              </w:rPr>
            </w:pPr>
            <w:r>
              <w:rPr>
                <w:b/>
                <w:color w:val="FFFFFF"/>
                <w:sz w:val="19"/>
              </w:rPr>
              <w:t>Countries Covered</w:t>
            </w:r>
          </w:p>
        </w:tc>
        <w:tc>
          <w:tcPr>
            <w:tcW w:w="0" w:type="auto"/>
            <w:shd w:val="clear" w:color="auto" w:fill="37474F"/>
          </w:tcPr>
          <w:p w14:paraId="27DB89C7" w14:textId="77777777" w:rsidR="00D708EC" w:rsidRDefault="00000000">
            <w:pPr>
              <w:rPr>
                <w:rFonts w:hint="eastAsia"/>
              </w:rPr>
            </w:pPr>
            <w:r>
              <w:rPr>
                <w:b/>
                <w:color w:val="FFFFFF"/>
                <w:sz w:val="19"/>
              </w:rPr>
              <w:t>Est. Range</w:t>
            </w:r>
          </w:p>
        </w:tc>
      </w:tr>
      <w:tr w:rsidR="00D708EC" w14:paraId="20A6A143" w14:textId="77777777">
        <w:tc>
          <w:tcPr>
            <w:tcW w:w="0" w:type="auto"/>
          </w:tcPr>
          <w:p w14:paraId="61C6E340" w14:textId="77777777" w:rsidR="00D708EC" w:rsidRDefault="00000000">
            <w:pPr>
              <w:rPr>
                <w:rFonts w:hint="eastAsia"/>
              </w:rPr>
            </w:pPr>
            <w:r>
              <w:rPr>
                <w:sz w:val="19"/>
              </w:rPr>
              <w:t>East Asia and Pacific</w:t>
            </w:r>
          </w:p>
        </w:tc>
        <w:tc>
          <w:tcPr>
            <w:tcW w:w="0" w:type="auto"/>
          </w:tcPr>
          <w:p w14:paraId="260903F7" w14:textId="77777777" w:rsidR="00D708EC" w:rsidRDefault="00000000">
            <w:pPr>
              <w:rPr>
                <w:rFonts w:hint="eastAsia"/>
              </w:rPr>
            </w:pPr>
            <w:r>
              <w:rPr>
                <w:sz w:val="19"/>
              </w:rPr>
              <w:t>16 countries</w:t>
            </w:r>
          </w:p>
        </w:tc>
        <w:tc>
          <w:tcPr>
            <w:tcW w:w="0" w:type="auto"/>
          </w:tcPr>
          <w:p w14:paraId="42E9DBEB" w14:textId="77777777" w:rsidR="00D708EC" w:rsidRDefault="00000000">
            <w:pPr>
              <w:rPr>
                <w:rFonts w:hint="eastAsia"/>
              </w:rPr>
            </w:pPr>
            <w:r>
              <w:rPr>
                <w:sz w:val="19"/>
              </w:rPr>
              <w:t>$20-55B</w:t>
            </w:r>
          </w:p>
        </w:tc>
      </w:tr>
      <w:tr w:rsidR="00D708EC" w14:paraId="615E9BF3" w14:textId="77777777">
        <w:tc>
          <w:tcPr>
            <w:tcW w:w="0" w:type="auto"/>
            <w:shd w:val="clear" w:color="auto" w:fill="ECEFF1"/>
          </w:tcPr>
          <w:p w14:paraId="3385477B" w14:textId="77777777" w:rsidR="00D708EC" w:rsidRDefault="00000000">
            <w:pPr>
              <w:rPr>
                <w:rFonts w:hint="eastAsia"/>
              </w:rPr>
            </w:pPr>
            <w:r>
              <w:rPr>
                <w:sz w:val="19"/>
              </w:rPr>
              <w:t>Europe and North America</w:t>
            </w:r>
          </w:p>
        </w:tc>
        <w:tc>
          <w:tcPr>
            <w:tcW w:w="0" w:type="auto"/>
            <w:shd w:val="clear" w:color="auto" w:fill="ECEFF1"/>
          </w:tcPr>
          <w:p w14:paraId="1B13FFBE" w14:textId="77777777" w:rsidR="00D708EC" w:rsidRDefault="00000000">
            <w:pPr>
              <w:rPr>
                <w:rFonts w:hint="eastAsia"/>
              </w:rPr>
            </w:pPr>
            <w:r>
              <w:rPr>
                <w:sz w:val="19"/>
              </w:rPr>
              <w:t>27 countries</w:t>
            </w:r>
          </w:p>
        </w:tc>
        <w:tc>
          <w:tcPr>
            <w:tcW w:w="0" w:type="auto"/>
            <w:shd w:val="clear" w:color="auto" w:fill="ECEFF1"/>
          </w:tcPr>
          <w:p w14:paraId="6946EF7E" w14:textId="77777777" w:rsidR="00D708EC" w:rsidRDefault="00000000">
            <w:pPr>
              <w:rPr>
                <w:rFonts w:hint="eastAsia"/>
              </w:rPr>
            </w:pPr>
            <w:r>
              <w:rPr>
                <w:sz w:val="19"/>
              </w:rPr>
              <w:t>$8-16B</w:t>
            </w:r>
          </w:p>
        </w:tc>
      </w:tr>
      <w:tr w:rsidR="00D708EC" w14:paraId="1FDDA78F" w14:textId="77777777">
        <w:tc>
          <w:tcPr>
            <w:tcW w:w="0" w:type="auto"/>
          </w:tcPr>
          <w:p w14:paraId="059197B1" w14:textId="77777777" w:rsidR="00D708EC" w:rsidRDefault="00000000">
            <w:pPr>
              <w:rPr>
                <w:rFonts w:hint="eastAsia"/>
              </w:rPr>
            </w:pPr>
            <w:r>
              <w:rPr>
                <w:sz w:val="19"/>
              </w:rPr>
              <w:t>MENA, Africa, and Central Asia</w:t>
            </w:r>
          </w:p>
        </w:tc>
        <w:tc>
          <w:tcPr>
            <w:tcW w:w="0" w:type="auto"/>
          </w:tcPr>
          <w:p w14:paraId="3D750FAF" w14:textId="77777777" w:rsidR="00D708EC" w:rsidRDefault="00000000">
            <w:pPr>
              <w:rPr>
                <w:rFonts w:hint="eastAsia"/>
              </w:rPr>
            </w:pPr>
            <w:r>
              <w:rPr>
                <w:sz w:val="19"/>
              </w:rPr>
              <w:t>20 countries</w:t>
            </w:r>
          </w:p>
        </w:tc>
        <w:tc>
          <w:tcPr>
            <w:tcW w:w="0" w:type="auto"/>
          </w:tcPr>
          <w:p w14:paraId="4EE770C2" w14:textId="77777777" w:rsidR="00D708EC" w:rsidRDefault="00000000">
            <w:pPr>
              <w:rPr>
                <w:rFonts w:hint="eastAsia"/>
              </w:rPr>
            </w:pPr>
            <w:r>
              <w:rPr>
                <w:sz w:val="19"/>
              </w:rPr>
              <w:t>$5-10B</w:t>
            </w:r>
          </w:p>
        </w:tc>
      </w:tr>
      <w:tr w:rsidR="00D708EC" w14:paraId="7B03B52C" w14:textId="77777777">
        <w:tc>
          <w:tcPr>
            <w:tcW w:w="0" w:type="auto"/>
            <w:shd w:val="clear" w:color="auto" w:fill="ECEFF1"/>
          </w:tcPr>
          <w:p w14:paraId="1571CDB4" w14:textId="77777777" w:rsidR="00D708EC" w:rsidRDefault="00000000">
            <w:pPr>
              <w:rPr>
                <w:rFonts w:hint="eastAsia"/>
              </w:rPr>
            </w:pPr>
            <w:r>
              <w:rPr>
                <w:sz w:val="19"/>
              </w:rPr>
              <w:t>Americas</w:t>
            </w:r>
          </w:p>
        </w:tc>
        <w:tc>
          <w:tcPr>
            <w:tcW w:w="0" w:type="auto"/>
            <w:shd w:val="clear" w:color="auto" w:fill="ECEFF1"/>
          </w:tcPr>
          <w:p w14:paraId="49ED2112" w14:textId="77777777" w:rsidR="00D708EC" w:rsidRDefault="00000000">
            <w:pPr>
              <w:rPr>
                <w:rFonts w:hint="eastAsia"/>
              </w:rPr>
            </w:pPr>
            <w:r>
              <w:rPr>
                <w:sz w:val="19"/>
              </w:rPr>
              <w:t>8 countries</w:t>
            </w:r>
          </w:p>
        </w:tc>
        <w:tc>
          <w:tcPr>
            <w:tcW w:w="0" w:type="auto"/>
            <w:shd w:val="clear" w:color="auto" w:fill="ECEFF1"/>
          </w:tcPr>
          <w:p w14:paraId="291A8F99" w14:textId="77777777" w:rsidR="00D708EC" w:rsidRDefault="00000000">
            <w:pPr>
              <w:rPr>
                <w:rFonts w:hint="eastAsia"/>
              </w:rPr>
            </w:pPr>
            <w:r>
              <w:rPr>
                <w:sz w:val="19"/>
              </w:rPr>
              <w:t>$1.5-3B</w:t>
            </w:r>
          </w:p>
        </w:tc>
      </w:tr>
      <w:tr w:rsidR="00D708EC" w14:paraId="61E6110A" w14:textId="77777777">
        <w:tc>
          <w:tcPr>
            <w:tcW w:w="0" w:type="auto"/>
          </w:tcPr>
          <w:p w14:paraId="584A5BF5" w14:textId="77777777" w:rsidR="00D708EC" w:rsidRDefault="00000000">
            <w:pPr>
              <w:rPr>
                <w:rFonts w:hint="eastAsia"/>
              </w:rPr>
            </w:pPr>
            <w:r>
              <w:rPr>
                <w:sz w:val="19"/>
              </w:rPr>
              <w:t>Additional OIC Members</w:t>
            </w:r>
          </w:p>
        </w:tc>
        <w:tc>
          <w:tcPr>
            <w:tcW w:w="0" w:type="auto"/>
          </w:tcPr>
          <w:p w14:paraId="37B6B353" w14:textId="77777777" w:rsidR="00D708EC" w:rsidRDefault="00000000">
            <w:pPr>
              <w:rPr>
                <w:rFonts w:hint="eastAsia"/>
              </w:rPr>
            </w:pPr>
            <w:r>
              <w:rPr>
                <w:sz w:val="19"/>
              </w:rPr>
              <w:t>6 countries</w:t>
            </w:r>
          </w:p>
        </w:tc>
        <w:tc>
          <w:tcPr>
            <w:tcW w:w="0" w:type="auto"/>
          </w:tcPr>
          <w:p w14:paraId="770A5183" w14:textId="77777777" w:rsidR="00D708EC" w:rsidRDefault="00000000">
            <w:pPr>
              <w:rPr>
                <w:rFonts w:hint="eastAsia"/>
              </w:rPr>
            </w:pPr>
            <w:r>
              <w:rPr>
                <w:sz w:val="19"/>
              </w:rPr>
              <w:t>$300-700M</w:t>
            </w:r>
          </w:p>
        </w:tc>
      </w:tr>
      <w:tr w:rsidR="00D708EC" w14:paraId="2E1F9CC7" w14:textId="77777777">
        <w:tc>
          <w:tcPr>
            <w:tcW w:w="0" w:type="auto"/>
            <w:shd w:val="clear" w:color="auto" w:fill="ECEFF1"/>
          </w:tcPr>
          <w:p w14:paraId="52288F9D" w14:textId="77777777" w:rsidR="00D708EC" w:rsidRDefault="00000000">
            <w:pPr>
              <w:rPr>
                <w:rFonts w:hint="eastAsia"/>
              </w:rPr>
            </w:pPr>
            <w:r>
              <w:rPr>
                <w:sz w:val="19"/>
              </w:rPr>
              <w:t>Innovative Mechanisms</w:t>
            </w:r>
          </w:p>
        </w:tc>
        <w:tc>
          <w:tcPr>
            <w:tcW w:w="0" w:type="auto"/>
            <w:shd w:val="clear" w:color="auto" w:fill="ECEFF1"/>
          </w:tcPr>
          <w:p w14:paraId="791A51D9" w14:textId="77777777" w:rsidR="00D708EC" w:rsidRDefault="00000000">
            <w:pPr>
              <w:rPr>
                <w:rFonts w:hint="eastAsia"/>
              </w:rPr>
            </w:pPr>
            <w:r>
              <w:rPr>
                <w:sz w:val="19"/>
              </w:rPr>
              <w:t>Cross-cutting</w:t>
            </w:r>
          </w:p>
        </w:tc>
        <w:tc>
          <w:tcPr>
            <w:tcW w:w="0" w:type="auto"/>
            <w:shd w:val="clear" w:color="auto" w:fill="ECEFF1"/>
          </w:tcPr>
          <w:p w14:paraId="01C2ED8B" w14:textId="77777777" w:rsidR="00D708EC" w:rsidRDefault="00000000">
            <w:pPr>
              <w:rPr>
                <w:rFonts w:hint="eastAsia"/>
              </w:rPr>
            </w:pPr>
            <w:r>
              <w:rPr>
                <w:sz w:val="19"/>
              </w:rPr>
              <w:t>$3-7B enabled</w:t>
            </w:r>
          </w:p>
        </w:tc>
      </w:tr>
      <w:tr w:rsidR="00D708EC" w14:paraId="40CCC8C1" w14:textId="77777777">
        <w:tc>
          <w:tcPr>
            <w:tcW w:w="0" w:type="auto"/>
          </w:tcPr>
          <w:p w14:paraId="0DCE4960" w14:textId="77777777" w:rsidR="00D708EC" w:rsidRDefault="00000000">
            <w:pPr>
              <w:rPr>
                <w:rFonts w:hint="eastAsia"/>
              </w:rPr>
            </w:pPr>
            <w:r>
              <w:rPr>
                <w:sz w:val="19"/>
              </w:rPr>
              <w:t>TOTAL APPENDIX I (Expanded)</w:t>
            </w:r>
          </w:p>
        </w:tc>
        <w:tc>
          <w:tcPr>
            <w:tcW w:w="0" w:type="auto"/>
          </w:tcPr>
          <w:p w14:paraId="3DE1B281" w14:textId="77777777" w:rsidR="00D708EC" w:rsidRDefault="00000000">
            <w:pPr>
              <w:rPr>
                <w:rFonts w:hint="eastAsia"/>
              </w:rPr>
            </w:pPr>
            <w:r>
              <w:rPr>
                <w:sz w:val="19"/>
              </w:rPr>
              <w:t>77 countries + mechanisms</w:t>
            </w:r>
          </w:p>
        </w:tc>
        <w:tc>
          <w:tcPr>
            <w:tcW w:w="0" w:type="auto"/>
          </w:tcPr>
          <w:p w14:paraId="1689D569" w14:textId="77777777" w:rsidR="00D708EC" w:rsidRDefault="00000000">
            <w:pPr>
              <w:rPr>
                <w:rFonts w:hint="eastAsia"/>
              </w:rPr>
            </w:pPr>
            <w:r>
              <w:rPr>
                <w:sz w:val="19"/>
              </w:rPr>
              <w:t>$38-92B</w:t>
            </w:r>
          </w:p>
        </w:tc>
      </w:tr>
    </w:tbl>
    <w:p w14:paraId="0B3E6304" w14:textId="77777777" w:rsidR="00D708EC" w:rsidRDefault="00000000">
      <w:pPr>
        <w:pStyle w:val="Heading3"/>
        <w:rPr>
          <w:rFonts w:hint="eastAsia"/>
        </w:rPr>
      </w:pPr>
      <w:r>
        <w:t>I.11 Conclusion of Funding Framework</w:t>
      </w:r>
    </w:p>
    <w:p w14:paraId="73694E31" w14:textId="77777777" w:rsidR="00D708EC" w:rsidRDefault="00000000">
      <w:pPr>
        <w:rPr>
          <w:rFonts w:hint="eastAsia"/>
        </w:rPr>
      </w:pPr>
      <w:r>
        <w:t>The aggregation of the aforementioned sovereign wealth funds, multilateral development banks, OECD DAC donors, and specialized international facilities establishes a sufficiently capitalized and highly diversified funding base for the MRF. By distributing the financial burden across multiple neutral and international channels, the framework ensures the political viability of the $270 billion 10-year target while insulating the reconstruction effort from bilateral political disputes.</w:t>
      </w:r>
    </w:p>
    <w:p w14:paraId="29E9A16B" w14:textId="77777777" w:rsidR="00D708EC" w:rsidRDefault="00000000">
      <w:pPr>
        <w:rPr>
          <w:rFonts w:hint="eastAsia"/>
        </w:rPr>
      </w:pPr>
      <w:r>
        <w:lastRenderedPageBreak/>
        <w:t>The Mauritania case illustrates the emerging reality of concentrated multilateral engagement in strategically positioned developing economies. Mauritania advances a US$100 billion pipeline of planned green hydrogen projects, including Project Aman (30 GW) and Project Nour (10 GW), combining Saharan solar irradiation with continuous coastal desert winds and direct Atlantic shipping access. The Greater Tortue Ahmeyim (GTA) natural gas field launched LNG exports in early 2025, creating an active revenue stream flowing into the National Fund for Hydrocarbon Reserves (FNRH). The World Bank DREAM project anchors Mauritania's critical minerals and energy storage frameworks, turning the nation into a credible hub for co-financing alongside Team Europe, the UN, and major Gulf State sovereign wealth funds. These dynamics demonstrate that countries with strategic geographic and resource positioning attract disproportionate international financing flows, a pattern the NDF leverages through Iran's own energy, mineral, and geographic assets.</w:t>
      </w:r>
    </w:p>
    <w:sectPr w:rsidR="00D708EC">
      <w:headerReference w:type="default" r:id="rId6"/>
      <w:footerReference w:type="default" r:id="rId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92548" w14:textId="77777777" w:rsidR="008D317D" w:rsidRDefault="008D317D">
      <w:pPr>
        <w:spacing w:after="0" w:line="240" w:lineRule="auto"/>
        <w:rPr>
          <w:rFonts w:hint="eastAsia"/>
        </w:rPr>
      </w:pPr>
      <w:r>
        <w:separator/>
      </w:r>
    </w:p>
  </w:endnote>
  <w:endnote w:type="continuationSeparator" w:id="0">
    <w:p w14:paraId="20821446" w14:textId="77777777" w:rsidR="008D317D" w:rsidRDefault="008D317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DF87E" w14:textId="77777777" w:rsidR="00D708EC" w:rsidRDefault="00000000">
    <w:pPr>
      <w:jc w:val="center"/>
      <w:rPr>
        <w:rFonts w:hint="eastAsia"/>
      </w:rPr>
    </w:pPr>
    <w:r>
      <w:rPr>
        <w:color w:val="78909C"/>
        <w:sz w:val="16"/>
      </w:rPr>
      <w:t>Page</w:t>
    </w:r>
    <w:r>
      <w:fldChar w:fldCharType="begin"/>
    </w:r>
    <w:r>
      <w:instrText xml:space="preserve"> PAGE </w:instrText>
    </w:r>
    <w:r w:rsidR="00827CB2">
      <w:fldChar w:fldCharType="separate"/>
    </w:r>
    <w:r w:rsidR="00827CB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269DB" w14:textId="77777777" w:rsidR="008D317D" w:rsidRDefault="008D317D">
      <w:pPr>
        <w:spacing w:after="0" w:line="240" w:lineRule="auto"/>
        <w:rPr>
          <w:rFonts w:hint="eastAsia"/>
        </w:rPr>
      </w:pPr>
      <w:r>
        <w:separator/>
      </w:r>
    </w:p>
  </w:footnote>
  <w:footnote w:type="continuationSeparator" w:id="0">
    <w:p w14:paraId="3A88D008" w14:textId="77777777" w:rsidR="008D317D" w:rsidRDefault="008D317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0B204" w14:textId="77777777" w:rsidR="00D708EC" w:rsidRDefault="00000000">
    <w:pPr>
      <w:jc w:val="center"/>
      <w:rPr>
        <w:rFonts w:hint="eastAsia"/>
      </w:rPr>
    </w:pPr>
    <w:r>
      <w:rPr>
        <w:color w:val="78909C"/>
        <w:sz w:val="16"/>
      </w:rPr>
      <w:t>The Islamabad Irrevocable Plenary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708EC"/>
    <w:rsid w:val="0033660B"/>
    <w:rsid w:val="006648B0"/>
    <w:rsid w:val="00827CB2"/>
    <w:rsid w:val="008D317D"/>
    <w:rsid w:val="009E78DF"/>
    <w:rsid w:val="00D708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916A5"/>
  <w15:docId w15:val="{863476B3-042E-4C44-8087-70BF5BDE9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pPr>
    <w:rPr>
      <w:rFonts w:ascii="Georgia" w:eastAsia="SimSun" w:hAnsi="Georgia"/>
      <w:color w:val="263238"/>
      <w:sz w:val="22"/>
    </w:rPr>
  </w:style>
  <w:style w:type="paragraph" w:styleId="Heading1">
    <w:name w:val="heading 1"/>
    <w:basedOn w:val="Normal"/>
    <w:uiPriority w:val="9"/>
    <w:qFormat/>
    <w:pPr>
      <w:keepNext/>
      <w:keepLines/>
      <w:spacing w:before="520" w:after="200"/>
      <w:outlineLvl w:val="0"/>
    </w:pPr>
    <w:rPr>
      <w:b/>
      <w:color w:val="1A3242"/>
      <w:sz w:val="32"/>
    </w:rPr>
  </w:style>
  <w:style w:type="paragraph" w:styleId="Heading2">
    <w:name w:val="heading 2"/>
    <w:basedOn w:val="Normal"/>
    <w:uiPriority w:val="9"/>
    <w:unhideWhenUsed/>
    <w:qFormat/>
    <w:pPr>
      <w:keepNext/>
      <w:keepLines/>
      <w:spacing w:before="400" w:after="160"/>
      <w:outlineLvl w:val="1"/>
    </w:pPr>
    <w:rPr>
      <w:b/>
      <w:color w:val="37474F"/>
      <w:sz w:val="26"/>
    </w:rPr>
  </w:style>
  <w:style w:type="paragraph" w:styleId="Heading3">
    <w:name w:val="heading 3"/>
    <w:basedOn w:val="Normal"/>
    <w:uiPriority w:val="9"/>
    <w:unhideWhenUsed/>
    <w:qFormat/>
    <w:pPr>
      <w:keepNext/>
      <w:keepLines/>
      <w:spacing w:before="280"/>
      <w:outlineLvl w:val="2"/>
    </w:pPr>
    <w:rPr>
      <w:b/>
      <w:i/>
      <w:color w:val="546E7A"/>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pPr>
      <w:spacing w:before="160" w:after="160"/>
    </w:pPr>
    <w:rPr>
      <w:i/>
      <w:color w:val="455A64"/>
      <w:sz w:val="23"/>
    </w:rPr>
  </w:style>
  <w:style w:type="paragraph" w:styleId="TOC1">
    <w:name w:val="toc 1"/>
    <w:uiPriority w:val="39"/>
    <w:pPr>
      <w:tabs>
        <w:tab w:val="right" w:leader="dot" w:pos="9010"/>
      </w:tabs>
      <w:spacing w:before="120" w:after="40"/>
    </w:pPr>
    <w:rPr>
      <w:rFonts w:ascii="Calibri" w:hAnsi="Calibri"/>
      <w:b/>
      <w:color w:val="37474F"/>
      <w:sz w:val="21"/>
    </w:rPr>
  </w:style>
  <w:style w:type="paragraph" w:styleId="TOC2">
    <w:name w:val="toc 2"/>
    <w:uiPriority w:val="39"/>
    <w:pPr>
      <w:tabs>
        <w:tab w:val="right" w:leader="dot" w:pos="9010"/>
      </w:tabs>
      <w:spacing w:after="20"/>
      <w:ind w:left="360"/>
    </w:pPr>
    <w:rPr>
      <w:rFonts w:ascii="Calibri" w:hAnsi="Calibri"/>
      <w:color w:val="212121"/>
      <w:sz w:val="20"/>
    </w:rPr>
  </w:style>
  <w:style w:type="paragraph" w:styleId="TOC3">
    <w:name w:val="toc 3"/>
    <w:basedOn w:val="Normal"/>
    <w:next w:val="Normal"/>
    <w:autoRedefine/>
    <w:uiPriority w:val="39"/>
    <w:unhideWhenUsed/>
    <w:rsid w:val="006648B0"/>
    <w:pPr>
      <w:spacing w:after="100" w:line="278" w:lineRule="auto"/>
      <w:ind w:left="480"/>
    </w:pPr>
    <w:rPr>
      <w:rFonts w:asciiTheme="minorHAnsi" w:eastAsiaTheme="minorEastAsia" w:hAnsiTheme="minorHAnsi"/>
      <w:color w:val="auto"/>
      <w:sz w:val="24"/>
    </w:rPr>
  </w:style>
  <w:style w:type="paragraph" w:styleId="TOC4">
    <w:name w:val="toc 4"/>
    <w:basedOn w:val="Normal"/>
    <w:next w:val="Normal"/>
    <w:autoRedefine/>
    <w:uiPriority w:val="39"/>
    <w:unhideWhenUsed/>
    <w:rsid w:val="006648B0"/>
    <w:pPr>
      <w:spacing w:after="100" w:line="278" w:lineRule="auto"/>
      <w:ind w:left="720"/>
    </w:pPr>
    <w:rPr>
      <w:rFonts w:asciiTheme="minorHAnsi" w:eastAsiaTheme="minorEastAsia" w:hAnsiTheme="minorHAnsi"/>
      <w:color w:val="auto"/>
      <w:sz w:val="24"/>
    </w:rPr>
  </w:style>
  <w:style w:type="paragraph" w:styleId="TOC5">
    <w:name w:val="toc 5"/>
    <w:basedOn w:val="Normal"/>
    <w:next w:val="Normal"/>
    <w:autoRedefine/>
    <w:uiPriority w:val="39"/>
    <w:unhideWhenUsed/>
    <w:rsid w:val="006648B0"/>
    <w:pPr>
      <w:spacing w:after="100" w:line="278" w:lineRule="auto"/>
      <w:ind w:left="960"/>
    </w:pPr>
    <w:rPr>
      <w:rFonts w:asciiTheme="minorHAnsi" w:eastAsiaTheme="minorEastAsia" w:hAnsiTheme="minorHAnsi"/>
      <w:color w:val="auto"/>
      <w:sz w:val="24"/>
    </w:rPr>
  </w:style>
  <w:style w:type="paragraph" w:styleId="TOC6">
    <w:name w:val="toc 6"/>
    <w:basedOn w:val="Normal"/>
    <w:next w:val="Normal"/>
    <w:autoRedefine/>
    <w:uiPriority w:val="39"/>
    <w:unhideWhenUsed/>
    <w:rsid w:val="006648B0"/>
    <w:pPr>
      <w:spacing w:after="100" w:line="278" w:lineRule="auto"/>
      <w:ind w:left="1200"/>
    </w:pPr>
    <w:rPr>
      <w:rFonts w:asciiTheme="minorHAnsi" w:eastAsiaTheme="minorEastAsia" w:hAnsiTheme="minorHAnsi"/>
      <w:color w:val="auto"/>
      <w:sz w:val="24"/>
    </w:rPr>
  </w:style>
  <w:style w:type="paragraph" w:styleId="TOC7">
    <w:name w:val="toc 7"/>
    <w:basedOn w:val="Normal"/>
    <w:next w:val="Normal"/>
    <w:autoRedefine/>
    <w:uiPriority w:val="39"/>
    <w:unhideWhenUsed/>
    <w:rsid w:val="006648B0"/>
    <w:pPr>
      <w:spacing w:after="100" w:line="278" w:lineRule="auto"/>
      <w:ind w:left="1440"/>
    </w:pPr>
    <w:rPr>
      <w:rFonts w:asciiTheme="minorHAnsi" w:eastAsiaTheme="minorEastAsia" w:hAnsiTheme="minorHAnsi"/>
      <w:color w:val="auto"/>
      <w:sz w:val="24"/>
    </w:rPr>
  </w:style>
  <w:style w:type="paragraph" w:styleId="TOC8">
    <w:name w:val="toc 8"/>
    <w:basedOn w:val="Normal"/>
    <w:next w:val="Normal"/>
    <w:autoRedefine/>
    <w:uiPriority w:val="39"/>
    <w:unhideWhenUsed/>
    <w:rsid w:val="006648B0"/>
    <w:pPr>
      <w:spacing w:after="100" w:line="278" w:lineRule="auto"/>
      <w:ind w:left="1680"/>
    </w:pPr>
    <w:rPr>
      <w:rFonts w:asciiTheme="minorHAnsi" w:eastAsiaTheme="minorEastAsia" w:hAnsiTheme="minorHAnsi"/>
      <w:color w:val="auto"/>
      <w:sz w:val="24"/>
    </w:rPr>
  </w:style>
  <w:style w:type="paragraph" w:styleId="TOC9">
    <w:name w:val="toc 9"/>
    <w:basedOn w:val="Normal"/>
    <w:next w:val="Normal"/>
    <w:autoRedefine/>
    <w:uiPriority w:val="39"/>
    <w:unhideWhenUsed/>
    <w:rsid w:val="006648B0"/>
    <w:pPr>
      <w:spacing w:after="100" w:line="278" w:lineRule="auto"/>
      <w:ind w:left="1920"/>
    </w:pPr>
    <w:rPr>
      <w:rFonts w:asciiTheme="minorHAnsi" w:eastAsiaTheme="minorEastAsia" w:hAnsiTheme="minorHAnsi"/>
      <w:color w:val="auto"/>
      <w:sz w:val="24"/>
    </w:rPr>
  </w:style>
  <w:style w:type="character" w:styleId="Hyperlink">
    <w:name w:val="Hyperlink"/>
    <w:basedOn w:val="DefaultParagraphFont"/>
    <w:uiPriority w:val="99"/>
    <w:unhideWhenUsed/>
    <w:rsid w:val="006648B0"/>
    <w:rPr>
      <w:color w:val="467886" w:themeColor="hyperlink"/>
      <w:u w:val="single"/>
    </w:rPr>
  </w:style>
  <w:style w:type="character" w:styleId="UnresolvedMention">
    <w:name w:val="Unresolved Mention"/>
    <w:basedOn w:val="DefaultParagraphFont"/>
    <w:uiPriority w:val="99"/>
    <w:semiHidden/>
    <w:unhideWhenUsed/>
    <w:rsid w:val="00664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179</Pages>
  <Words>61552</Words>
  <Characters>350849</Characters>
  <Application>Microsoft Office Word</Application>
  <DocSecurity>0</DocSecurity>
  <Lines>2923</Lines>
  <Paragraphs>823</Paragraphs>
  <ScaleCrop>false</ScaleCrop>
  <Company/>
  <LinksUpToDate>false</LinksUpToDate>
  <CharactersWithSpaces>411578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6</cp:revision>
  <dcterms:created xsi:type="dcterms:W3CDTF">2026-08-15T09:18:00Z</dcterms:created>
  <dcterms:modified xsi:type="dcterms:W3CDTF">2026-08-15T09:18:00Z</dcterms:modified>
</cp:coreProperties>
</file>