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solh-e-tadriji-accord"/>
    <w:bookmarkStart w:id="20" w:name="X640d3e868780623800d42e33bf7c4a52fbe025d"/>
    <w:bookmarkEnd w:id="20"/>
    <w:bookmarkEnd w:id="21"/>
    <w:bookmarkStart w:id="22" w:name="document-control"/>
    <w:p>
      <w:pPr>
        <w:spacing w:before="2200" w:after="0"/>
        <w:jc w:val="center"/>
      </w:pPr>
    </w:p>
    <w:p>
      <w:pPr>
        <w:spacing w:before="0" w:after="360"/>
        <w:jc w:val="center"/>
      </w:pPr>
      <w:r>
        <w:rPr>
          <w:rFonts w:ascii="Georgia" w:hAnsi="Georgia" w:cs="Georgia"/>
          <w:b/>
          <w:i w:val="0"/>
          <w:color w:val="1F2D3D"/>
          <w:sz w:val="60"/>
          <w:spacing w:val="70"/>
        </w:rPr>
        <w:t>THE SOLH-E TADRIJI ACCORD</w:t>
      </w:r>
    </w:p>
    <w:p>
      <w:pPr>
        <w:spacing w:before="0" w:after="40"/>
        <w:jc w:val="center"/>
      </w:pPr>
      <w:r>
        <w:rPr>
          <w:rFonts w:ascii="Georgia" w:hAnsi="Georgia" w:cs="Georgia"/>
          <w:b w:val="0"/>
          <w:i/>
          <w:color w:val="404040"/>
          <w:sz w:val="27"/>
        </w:rPr>
        <w:t>A Layered, Gated Architecture for the Progressive Stabilization and</w:t>
      </w:r>
    </w:p>
    <w:p>
      <w:pPr>
        <w:spacing w:before="0" w:after="520"/>
        <w:jc w:val="center"/>
      </w:pPr>
      <w:r>
        <w:rPr>
          <w:rFonts w:ascii="Georgia" w:hAnsi="Georgia" w:cs="Georgia"/>
          <w:b w:val="0"/>
          <w:i/>
          <w:color w:val="404040"/>
          <w:sz w:val="27"/>
        </w:rPr>
        <w:t>Permanent Governance of the Strait of Hormuz</w:t>
      </w:r>
    </w:p>
    <w:p>
      <w:pPr>
        <w:spacing w:before="0" w:after="520"/>
        <w:ind w:left="3600" w:right="3600"/>
        <w:jc w:val="center"/>
        <w:pBdr>
          <w:bottom w:val="single" w:sz="8" w:space="1" w:color="8C8C8C"/>
        </w:pBdr>
      </w:pPr>
    </w:p>
    <w:p>
      <w:pPr>
        <w:spacing w:before="0" w:after="160"/>
        <w:jc w:val="center"/>
      </w:pPr>
      <w:r>
        <w:rPr>
          <w:rFonts w:ascii="Georgia" w:hAnsi="Georgia" w:cs="Georgia"/>
          <w:b/>
          <w:i w:val="0"/>
          <w:color w:val="262626"/>
          <w:sz w:val="25"/>
        </w:rPr>
        <w:t>Version 1.0 · August 2026</w:t>
      </w:r>
    </w:p>
    <w:p>
      <w:pPr>
        <w:spacing w:before="0" w:after="160"/>
        <w:jc w:val="center"/>
      </w:pPr>
      <w:r>
        <w:rPr>
          <w:rFonts w:ascii="Georgia" w:hAnsi="Georgia" w:cs="Georgia"/>
          <w:b w:val="0"/>
          <w:i w:val="0"/>
          <w:color w:val="262626"/>
          <w:sz w:val="22"/>
        </w:rPr>
        <w:t>Negotiating Draft for Authorized Participants</w:t>
      </w:r>
    </w:p>
    <w:p>
      <w:pPr>
        <w:spacing w:before="0" w:after="20"/>
        <w:jc w:val="center"/>
      </w:pPr>
      <w:r>
        <w:rPr>
          <w:rFonts w:ascii="Georgia" w:hAnsi="Georgia" w:cs="Georgia"/>
          <w:b w:val="0"/>
          <w:i/>
          <w:color w:val="737373"/>
          <w:sz w:val="18"/>
        </w:rPr>
        <w:t>Drafted in strict adherence to the Immutable Present-Tense Matrix,</w:t>
      </w:r>
    </w:p>
    <w:p>
      <w:pPr>
        <w:spacing w:before="0" w:after="880"/>
        <w:jc w:val="center"/>
      </w:pPr>
      <w:r>
        <w:rPr>
          <w:rFonts w:ascii="Georgia" w:hAnsi="Georgia" w:cs="Georgia"/>
          <w:b w:val="0"/>
          <w:i/>
          <w:color w:val="737373"/>
          <w:sz w:val="18"/>
        </w:rPr>
        <w:t>with the Nofade Guarantee first among equals</w:t>
      </w:r>
    </w:p>
    <w:p>
      <w:pPr>
        <w:spacing w:before="0" w:after="200"/>
        <w:jc w:val="center"/>
      </w:pPr>
      <w:r>
        <w:rPr>
          <w:rFonts w:ascii="Georgia" w:hAnsi="Georgia" w:cs="Georgia"/>
          <w:b/>
          <w:i w:val="0"/>
          <w:color w:val="1F2D3D"/>
          <w:sz w:val="24"/>
        </w:rPr>
        <w:t>The Islamic Republic of Iran · The Sultanate of Oman</w:t>
      </w:r>
    </w:p>
    <w:p>
      <w:pPr>
        <w:spacing w:before="0" w:after="20"/>
        <w:jc w:val="center"/>
      </w:pPr>
      <w:r>
        <w:rPr>
          <w:rFonts w:ascii="Georgia" w:hAnsi="Georgia" w:cs="Georgia"/>
          <w:b w:val="0"/>
          <w:i w:val="0"/>
          <w:color w:val="404040"/>
          <w:sz w:val="19"/>
        </w:rPr>
        <w:t>with a defined accession path for the United Arab Emirates, the State of Qatar,</w:t>
      </w:r>
    </w:p>
    <w:p>
      <w:pPr>
        <w:spacing w:before="0" w:after="200"/>
        <w:jc w:val="center"/>
      </w:pPr>
      <w:r>
        <w:rPr>
          <w:rFonts w:ascii="Georgia" w:hAnsi="Georgia" w:cs="Georgia"/>
          <w:b w:val="0"/>
          <w:i w:val="0"/>
          <w:color w:val="404040"/>
          <w:sz w:val="19"/>
        </w:rPr>
        <w:t>the Kingdom of Bahrain, the State of Kuwait, the Kingdom of Saudi Arabia, and the Republic of Iraq</w:t>
      </w:r>
    </w:p>
    <w:p>
      <w:pPr>
        <w:spacing w:before="0" w:after="200"/>
        <w:jc w:val="center"/>
      </w:pPr>
      <w:r>
        <w:rPr>
          <w:rFonts w:ascii="Georgia" w:hAnsi="Georgia" w:cs="Georgia"/>
          <w:b w:val="0"/>
          <w:i w:val="0"/>
          <w:color w:val="404040"/>
          <w:sz w:val="19"/>
        </w:rPr>
        <w:t>Guarantor Parties: The United States of America · The State of Qatar · The Islamic Republic of Pakistan</w:t>
      </w:r>
    </w:p>
    <w:p>
      <w:pPr>
        <w:spacing w:before="0" w:after="20"/>
        <w:jc w:val="center"/>
      </w:pPr>
      <w:r>
        <w:rPr>
          <w:rFonts w:ascii="Georgia" w:hAnsi="Georgia" w:cs="Georgia"/>
          <w:b w:val="0"/>
          <w:i w:val="0"/>
          <w:color w:val="595959"/>
          <w:sz w:val="18"/>
        </w:rPr>
        <w:t>Depositary and Neutral Administrator: The Swiss Confederation</w:t>
      </w:r>
    </w:p>
    <w:p>
      <w:pPr>
        <w:spacing w:before="0" w:after="440"/>
        <w:jc w:val="center"/>
      </w:pPr>
      <w:r>
        <w:rPr>
          <w:rFonts w:ascii="Georgia" w:hAnsi="Georgia" w:cs="Georgia"/>
          <w:b w:val="0"/>
          <w:i w:val="0"/>
          <w:color w:val="595959"/>
          <w:sz w:val="18"/>
        </w:rPr>
        <w:t>Facilitators: The Sultanate of Oman, the Swiss Confederation, the State of Qatar, and the Islamic Republic of Pakistan</w:t>
      </w:r>
    </w:p>
    <w:p>
      <w:pPr>
        <w:spacing w:before="0" w:after="0"/>
        <w:jc w:val="center"/>
      </w:pPr>
      <w:r>
        <w:rPr>
          <w:rFonts w:ascii="Georgia" w:hAnsi="Georgia" w:cs="Georgia"/>
          <w:b w:val="0"/>
          <w:i w:val="0"/>
          <w:color w:val="737373"/>
          <w:sz w:val="17"/>
        </w:rPr>
        <w:t>Seated at the Tadriji Coordination Center, Muscat, with the Darya Mirror Facility of Equal Rank at Bandar Abbas</w:t>
      </w:r>
    </w:p>
    <w:p>
      <w:pPr>
        <w:spacing w:before="0" w:after="0"/>
        <w:jc w:val="center"/>
        <w:sectPr>
          <w:pgBorders w:offsetFrom="page">
            <w:top w:val="single" w:sz="12" w:space="36" w:color="3B3B3B"/>
            <w:left w:val="single" w:sz="12" w:space="36" w:color="3B3B3B"/>
            <w:bottom w:val="single" w:sz="12" w:space="36" w:color="3B3B3B"/>
            <w:right w:val="single" w:sz="12" w:space="36" w:color="3B3B3B"/>
          </w:pgBorders>
        </w:sectPr>
      </w:pPr>
    </w:p>
    <w:p>
      <w:pPr>
        <w:spacing w:before="120" w:after="280"/>
        <w:jc w:val="left"/>
      </w:pPr>
      <w:r>
        <w:rPr>
          <w:rFonts w:ascii="Georgia" w:hAnsi="Georgia" w:cs="Georgia"/>
          <w:b/>
          <w:i w:val="0"/>
          <w:color w:val="1F2D3D"/>
          <w:sz w:val="34"/>
          <w:spacing w:val="50"/>
        </w:rPr>
        <w:t>TABLE OF CONTENTS</w:t>
      </w:r>
    </w:p>
    <w:p>
      <w:pPr>
        <w:spacing w:before="20" w:after="20"/>
        <w:tabs>
          <w:tab w:val="right" w:leader="dot" w:pos="9350"/>
        </w:tabs>
      </w:pPr>
      <w:r>
        <w:rPr>
          <w:rFonts w:ascii="Georgia" w:hAnsi="Georgia" w:cs="Georgia"/>
          <w:b/>
          <w:i w:val="0"/>
          <w:color w:val="262626"/>
          <w:sz w:val="21"/>
        </w:rPr>
        <w:t>Document Control</w:t>
      </w:r>
      <w:r>
        <w:rPr>
          <w:rFonts w:ascii="Georgia" w:hAnsi="Georgia" w:cs="Georgia"/>
          <w:b/>
          <w:i w:val="0"/>
          <w:color w:val="262626"/>
          <w:sz w:val="21"/>
        </w:rPr>
        <w:tab/>
        <w:t>4</w:t>
      </w:r>
    </w:p>
    <w:p>
      <w:pPr>
        <w:spacing w:before="20" w:after="20"/>
        <w:tabs>
          <w:tab w:val="right" w:leader="dot" w:pos="9350"/>
        </w:tabs>
      </w:pPr>
      <w:r>
        <w:rPr>
          <w:rFonts w:ascii="Georgia" w:hAnsi="Georgia" w:cs="Georgia"/>
          <w:b/>
          <w:i w:val="0"/>
          <w:color w:val="262626"/>
          <w:sz w:val="21"/>
        </w:rPr>
        <w:t>Cover Note of the Facilitating States</w:t>
      </w:r>
      <w:r>
        <w:rPr>
          <w:rFonts w:ascii="Georgia" w:hAnsi="Georgia" w:cs="Georgia"/>
          <w:b/>
          <w:i w:val="0"/>
          <w:color w:val="262626"/>
          <w:sz w:val="21"/>
        </w:rPr>
        <w:tab/>
        <w:t>4</w:t>
      </w:r>
    </w:p>
    <w:p>
      <w:pPr>
        <w:spacing w:before="20" w:after="20"/>
        <w:tabs>
          <w:tab w:val="right" w:leader="dot" w:pos="9350"/>
        </w:tabs>
      </w:pPr>
      <w:r>
        <w:rPr>
          <w:rFonts w:ascii="Georgia" w:hAnsi="Georgia" w:cs="Georgia"/>
          <w:b/>
          <w:i w:val="0"/>
          <w:color w:val="262626"/>
          <w:sz w:val="21"/>
        </w:rPr>
        <w:t>Drafting Convention and Method</w:t>
      </w:r>
      <w:r>
        <w:rPr>
          <w:rFonts w:ascii="Georgia" w:hAnsi="Georgia" w:cs="Georgia"/>
          <w:b/>
          <w:i w:val="0"/>
          <w:color w:val="262626"/>
          <w:sz w:val="21"/>
        </w:rPr>
        <w:tab/>
        <w:t>5</w:t>
      </w:r>
    </w:p>
    <w:p>
      <w:pPr>
        <w:spacing w:before="20" w:after="20"/>
        <w:tabs>
          <w:tab w:val="right" w:leader="dot" w:pos="9350"/>
        </w:tabs>
      </w:pPr>
      <w:r>
        <w:rPr>
          <w:rFonts w:ascii="Georgia" w:hAnsi="Georgia" w:cs="Georgia"/>
          <w:b/>
          <w:i w:val="0"/>
          <w:color w:val="262626"/>
          <w:sz w:val="21"/>
        </w:rPr>
        <w:t>Reader's Guide: The Accord in Twenty Minutes</w:t>
      </w:r>
      <w:r>
        <w:rPr>
          <w:rFonts w:ascii="Georgia" w:hAnsi="Georgia" w:cs="Georgia"/>
          <w:b/>
          <w:i w:val="0"/>
          <w:color w:val="262626"/>
          <w:sz w:val="21"/>
        </w:rPr>
        <w:tab/>
        <w:t>5</w:t>
      </w:r>
    </w:p>
    <w:p>
      <w:pPr>
        <w:spacing w:before="20" w:after="20"/>
        <w:tabs>
          <w:tab w:val="right" w:leader="dot" w:pos="9350"/>
        </w:tabs>
      </w:pPr>
      <w:r>
        <w:rPr>
          <w:rFonts w:ascii="Georgia" w:hAnsi="Georgia" w:cs="Georgia"/>
          <w:b/>
          <w:i w:val="0"/>
          <w:color w:val="262626"/>
          <w:sz w:val="21"/>
        </w:rPr>
        <w:t>Situation Assessment: The Strait on 11 August 2026</w:t>
      </w:r>
      <w:r>
        <w:rPr>
          <w:rFonts w:ascii="Georgia" w:hAnsi="Georgia" w:cs="Georgia"/>
          <w:b/>
          <w:i w:val="0"/>
          <w:color w:val="262626"/>
          <w:sz w:val="21"/>
        </w:rPr>
        <w:tab/>
        <w:t>5</w:t>
      </w:r>
    </w:p>
    <w:p>
      <w:pPr>
        <w:spacing w:before="20" w:after="20"/>
        <w:tabs>
          <w:tab w:val="right" w:leader="dot" w:pos="9350"/>
        </w:tabs>
      </w:pPr>
      <w:r>
        <w:rPr>
          <w:rFonts w:ascii="Georgia" w:hAnsi="Georgia" w:cs="Georgia"/>
          <w:b/>
          <w:i w:val="0"/>
          <w:color w:val="262626"/>
          <w:sz w:val="21"/>
        </w:rPr>
        <w:t>Preamble</w:t>
      </w:r>
      <w:r>
        <w:rPr>
          <w:rFonts w:ascii="Georgia" w:hAnsi="Georgia" w:cs="Georgia"/>
          <w:b/>
          <w:i w:val="0"/>
          <w:color w:val="262626"/>
          <w:sz w:val="21"/>
        </w:rPr>
        <w:tab/>
        <w:t>5</w:t>
      </w:r>
    </w:p>
    <w:p>
      <w:pPr>
        <w:spacing w:before="20" w:after="20"/>
        <w:tabs>
          <w:tab w:val="right" w:leader="dot" w:pos="9350"/>
        </w:tabs>
      </w:pPr>
      <w:r>
        <w:rPr>
          <w:rFonts w:ascii="Georgia" w:hAnsi="Georgia" w:cs="Georgia"/>
          <w:b/>
          <w:i w:val="0"/>
          <w:color w:val="262626"/>
          <w:sz w:val="21"/>
        </w:rPr>
        <w:t>The Red Lines Register (Summary)</w:t>
      </w:r>
      <w:r>
        <w:rPr>
          <w:rFonts w:ascii="Georgia" w:hAnsi="Georgia" w:cs="Georgia"/>
          <w:b/>
          <w:i w:val="0"/>
          <w:color w:val="262626"/>
          <w:sz w:val="21"/>
        </w:rPr>
        <w:tab/>
        <w:t>7</w:t>
      </w:r>
    </w:p>
    <w:p>
      <w:pPr>
        <w:spacing w:before="20" w:after="20"/>
        <w:tabs>
          <w:tab w:val="right" w:leader="dot" w:pos="9350"/>
        </w:tabs>
      </w:pPr>
      <w:r>
        <w:rPr>
          <w:rFonts w:ascii="Georgia" w:hAnsi="Georgia" w:cs="Georgia"/>
          <w:b/>
          <w:i w:val="0"/>
          <w:color w:val="262626"/>
          <w:sz w:val="21"/>
        </w:rPr>
        <w:t>The Architecture at a Glance</w:t>
      </w:r>
      <w:r>
        <w:rPr>
          <w:rFonts w:ascii="Georgia" w:hAnsi="Georgia" w:cs="Georgia"/>
          <w:b/>
          <w:i w:val="0"/>
          <w:color w:val="262626"/>
          <w:sz w:val="21"/>
        </w:rPr>
        <w:tab/>
        <w:t>8</w:t>
      </w:r>
    </w:p>
    <w:p>
      <w:pPr>
        <w:spacing w:before="140" w:after="20"/>
        <w:tabs>
          <w:tab w:val="right" w:leader="dot" w:pos="9350"/>
        </w:tabs>
      </w:pPr>
      <w:r>
        <w:rPr>
          <w:rFonts w:ascii="Georgia" w:hAnsi="Georgia" w:cs="Georgia"/>
          <w:b/>
          <w:i w:val="0"/>
          <w:color w:val="1F2D3D"/>
          <w:sz w:val="21"/>
        </w:rPr>
        <w:t>PART I: FOUNDATIONS</w:t>
      </w:r>
      <w:r>
        <w:rPr>
          <w:rFonts w:ascii="Georgia" w:hAnsi="Georgia" w:cs="Georgia"/>
          <w:b/>
          <w:i w:val="0"/>
          <w:color w:val="1F2D3D"/>
          <w:sz w:val="21"/>
        </w:rPr>
        <w:tab/>
        <w:t>9</w:t>
      </w:r>
    </w:p>
    <w:p>
      <w:pPr>
        <w:spacing w:before="20" w:after="20"/>
        <w:ind w:left="288"/>
        <w:tabs>
          <w:tab w:val="right" w:leader="dot" w:pos="9350"/>
        </w:tabs>
      </w:pPr>
      <w:r>
        <w:rPr>
          <w:rFonts w:ascii="Georgia" w:hAnsi="Georgia" w:cs="Georgia"/>
          <w:b w:val="0"/>
          <w:i w:val="0"/>
          <w:color w:val="262626"/>
          <w:sz w:val="20"/>
        </w:rPr>
        <w:t>Article 1: Establishment, Purpose, and Scope</w:t>
      </w:r>
      <w:r>
        <w:rPr>
          <w:rFonts w:ascii="Georgia" w:hAnsi="Georgia" w:cs="Georgia"/>
          <w:b w:val="0"/>
          <w:i w:val="0"/>
          <w:color w:val="262626"/>
          <w:sz w:val="20"/>
        </w:rPr>
        <w:tab/>
        <w:t>9</w:t>
      </w:r>
    </w:p>
    <w:p>
      <w:pPr>
        <w:spacing w:before="20" w:after="20"/>
        <w:ind w:left="288"/>
        <w:tabs>
          <w:tab w:val="right" w:leader="dot" w:pos="9350"/>
        </w:tabs>
      </w:pPr>
      <w:r>
        <w:rPr>
          <w:rFonts w:ascii="Georgia" w:hAnsi="Georgia" w:cs="Georgia"/>
          <w:b w:val="0"/>
          <w:i w:val="0"/>
          <w:color w:val="262626"/>
          <w:sz w:val="20"/>
        </w:rPr>
        <w:t>Article 2: Legal Foundations</w:t>
      </w:r>
      <w:r>
        <w:rPr>
          <w:rFonts w:ascii="Georgia" w:hAnsi="Georgia" w:cs="Georgia"/>
          <w:b w:val="0"/>
          <w:i w:val="0"/>
          <w:color w:val="262626"/>
          <w:sz w:val="20"/>
        </w:rPr>
        <w:tab/>
        <w:t>10</w:t>
      </w:r>
    </w:p>
    <w:p>
      <w:pPr>
        <w:spacing w:before="20" w:after="20"/>
        <w:ind w:left="288"/>
        <w:tabs>
          <w:tab w:val="right" w:leader="dot" w:pos="9350"/>
        </w:tabs>
      </w:pPr>
      <w:r>
        <w:rPr>
          <w:rFonts w:ascii="Georgia" w:hAnsi="Georgia" w:cs="Georgia"/>
          <w:b w:val="0"/>
          <w:i w:val="0"/>
          <w:color w:val="262626"/>
          <w:sz w:val="20"/>
        </w:rPr>
        <w:t>Article 3: Core Operating Principles</w:t>
      </w:r>
      <w:r>
        <w:rPr>
          <w:rFonts w:ascii="Georgia" w:hAnsi="Georgia" w:cs="Georgia"/>
          <w:b w:val="0"/>
          <w:i w:val="0"/>
          <w:color w:val="262626"/>
          <w:sz w:val="20"/>
        </w:rPr>
        <w:tab/>
        <w:t>12</w:t>
      </w:r>
    </w:p>
    <w:p>
      <w:pPr>
        <w:spacing w:before="20" w:after="20"/>
        <w:ind w:left="288"/>
        <w:tabs>
          <w:tab w:val="right" w:leader="dot" w:pos="9350"/>
        </w:tabs>
      </w:pPr>
      <w:r>
        <w:rPr>
          <w:rFonts w:ascii="Georgia" w:hAnsi="Georgia" w:cs="Georgia"/>
          <w:b w:val="0"/>
          <w:i w:val="0"/>
          <w:color w:val="262626"/>
          <w:sz w:val="20"/>
        </w:rPr>
        <w:t>Article 4: The Governance Area</w:t>
      </w:r>
      <w:r>
        <w:rPr>
          <w:rFonts w:ascii="Georgia" w:hAnsi="Georgia" w:cs="Georgia"/>
          <w:b w:val="0"/>
          <w:i w:val="0"/>
          <w:color w:val="262626"/>
          <w:sz w:val="20"/>
        </w:rPr>
        <w:tab/>
        <w:t>13</w:t>
      </w:r>
    </w:p>
    <w:p>
      <w:pPr>
        <w:spacing w:before="20" w:after="20"/>
        <w:ind w:left="288"/>
        <w:tabs>
          <w:tab w:val="right" w:leader="dot" w:pos="9350"/>
        </w:tabs>
      </w:pPr>
      <w:r>
        <w:rPr>
          <w:rFonts w:ascii="Georgia" w:hAnsi="Georgia" w:cs="Georgia"/>
          <w:b w:val="0"/>
          <w:i w:val="0"/>
          <w:color w:val="262626"/>
          <w:sz w:val="20"/>
        </w:rPr>
        <w:t>Article 5: The Nuclear Firewall</w:t>
      </w:r>
      <w:r>
        <w:rPr>
          <w:rFonts w:ascii="Georgia" w:hAnsi="Georgia" w:cs="Georgia"/>
          <w:b w:val="0"/>
          <w:i w:val="0"/>
          <w:color w:val="262626"/>
          <w:sz w:val="20"/>
        </w:rPr>
        <w:tab/>
        <w:t>14</w:t>
      </w:r>
    </w:p>
    <w:p>
      <w:pPr>
        <w:spacing w:before="20" w:after="20"/>
        <w:ind w:left="288"/>
        <w:tabs>
          <w:tab w:val="right" w:leader="dot" w:pos="9350"/>
        </w:tabs>
      </w:pPr>
      <w:r>
        <w:rPr>
          <w:rFonts w:ascii="Georgia" w:hAnsi="Georgia" w:cs="Georgia"/>
          <w:b w:val="0"/>
          <w:i w:val="0"/>
          <w:color w:val="262626"/>
          <w:sz w:val="20"/>
        </w:rPr>
        <w:t>Article 6: The Nofade Guarantee (Standing Continuity)</w:t>
      </w:r>
      <w:r>
        <w:rPr>
          <w:rFonts w:ascii="Georgia" w:hAnsi="Georgia" w:cs="Georgia"/>
          <w:b w:val="0"/>
          <w:i w:val="0"/>
          <w:color w:val="262626"/>
          <w:sz w:val="20"/>
        </w:rPr>
        <w:tab/>
        <w:t>14</w:t>
      </w:r>
    </w:p>
    <w:p>
      <w:pPr>
        <w:spacing w:before="20" w:after="20"/>
        <w:ind w:left="288"/>
        <w:tabs>
          <w:tab w:val="right" w:leader="dot" w:pos="9350"/>
        </w:tabs>
      </w:pPr>
      <w:r>
        <w:rPr>
          <w:rFonts w:ascii="Georgia" w:hAnsi="Georgia" w:cs="Georgia"/>
          <w:b w:val="0"/>
          <w:i w:val="0"/>
          <w:color w:val="262626"/>
          <w:sz w:val="20"/>
        </w:rPr>
        <w:t>Article 7: The Layered Activation Doctrine and the Stability Gates</w:t>
      </w:r>
      <w:r>
        <w:rPr>
          <w:rFonts w:ascii="Georgia" w:hAnsi="Georgia" w:cs="Georgia"/>
          <w:b w:val="0"/>
          <w:i w:val="0"/>
          <w:color w:val="262626"/>
          <w:sz w:val="20"/>
        </w:rPr>
        <w:tab/>
        <w:t>15</w:t>
      </w:r>
    </w:p>
    <w:p>
      <w:pPr>
        <w:spacing w:before="20" w:after="20"/>
        <w:ind w:left="288"/>
        <w:tabs>
          <w:tab w:val="right" w:leader="dot" w:pos="9350"/>
        </w:tabs>
      </w:pPr>
      <w:r>
        <w:rPr>
          <w:rFonts w:ascii="Georgia" w:hAnsi="Georgia" w:cs="Georgia"/>
          <w:b w:val="0"/>
          <w:i w:val="0"/>
          <w:color w:val="262626"/>
          <w:sz w:val="20"/>
        </w:rPr>
        <w:t>Article 8: Definitions and Interpretation</w:t>
      </w:r>
      <w:r>
        <w:rPr>
          <w:rFonts w:ascii="Georgia" w:hAnsi="Georgia" w:cs="Georgia"/>
          <w:b w:val="0"/>
          <w:i w:val="0"/>
          <w:color w:val="262626"/>
          <w:sz w:val="20"/>
        </w:rPr>
        <w:tab/>
        <w:t>16</w:t>
      </w:r>
    </w:p>
    <w:p>
      <w:pPr>
        <w:spacing w:before="140" w:after="20"/>
        <w:tabs>
          <w:tab w:val="right" w:leader="dot" w:pos="9350"/>
        </w:tabs>
      </w:pPr>
      <w:r>
        <w:rPr>
          <w:rFonts w:ascii="Georgia" w:hAnsi="Georgia" w:cs="Georgia"/>
          <w:b/>
          <w:i w:val="0"/>
          <w:color w:val="1F2D3D"/>
          <w:sz w:val="21"/>
        </w:rPr>
        <w:t>PART II: LAYER 0: THE MICRO-EXERCISE LATTICE (DAYS 0 TO 45)</w:t>
      </w:r>
      <w:r>
        <w:rPr>
          <w:rFonts w:ascii="Georgia" w:hAnsi="Georgia" w:cs="Georgia"/>
          <w:b/>
          <w:i w:val="0"/>
          <w:color w:val="1F2D3D"/>
          <w:sz w:val="21"/>
        </w:rPr>
        <w:tab/>
        <w:t>17</w:t>
      </w:r>
    </w:p>
    <w:p>
      <w:pPr>
        <w:spacing w:before="20" w:after="20"/>
        <w:ind w:left="288"/>
        <w:tabs>
          <w:tab w:val="right" w:leader="dot" w:pos="9350"/>
        </w:tabs>
      </w:pPr>
      <w:r>
        <w:rPr>
          <w:rFonts w:ascii="Georgia" w:hAnsi="Georgia" w:cs="Georgia"/>
          <w:b w:val="0"/>
          <w:i w:val="0"/>
          <w:color w:val="262626"/>
          <w:sz w:val="20"/>
        </w:rPr>
        <w:t>Article 9: The Lattice: Purpose, Rules, and Standing</w:t>
      </w:r>
      <w:r>
        <w:rPr>
          <w:rFonts w:ascii="Georgia" w:hAnsi="Georgia" w:cs="Georgia"/>
          <w:b w:val="0"/>
          <w:i w:val="0"/>
          <w:color w:val="262626"/>
          <w:sz w:val="20"/>
        </w:rPr>
        <w:tab/>
        <w:t>17</w:t>
      </w:r>
    </w:p>
    <w:p>
      <w:pPr>
        <w:spacing w:before="20" w:after="20"/>
        <w:ind w:left="288"/>
        <w:tabs>
          <w:tab w:val="right" w:leader="dot" w:pos="9350"/>
        </w:tabs>
      </w:pPr>
      <w:r>
        <w:rPr>
          <w:rFonts w:ascii="Georgia" w:hAnsi="Georgia" w:cs="Georgia"/>
          <w:b w:val="0"/>
          <w:i w:val="0"/>
          <w:color w:val="262626"/>
          <w:sz w:val="20"/>
        </w:rPr>
        <w:t>Article 10: The Lattice Cell</w:t>
      </w:r>
      <w:r>
        <w:rPr>
          <w:rFonts w:ascii="Georgia" w:hAnsi="Georgia" w:cs="Georgia"/>
          <w:b w:val="0"/>
          <w:i w:val="0"/>
          <w:color w:val="262626"/>
          <w:sz w:val="20"/>
        </w:rPr>
        <w:tab/>
        <w:t>18</w:t>
      </w:r>
    </w:p>
    <w:p>
      <w:pPr>
        <w:spacing w:before="20" w:after="20"/>
        <w:ind w:left="288"/>
        <w:tabs>
          <w:tab w:val="right" w:leader="dot" w:pos="9350"/>
        </w:tabs>
      </w:pPr>
      <w:r>
        <w:rPr>
          <w:rFonts w:ascii="Georgia" w:hAnsi="Georgia" w:cs="Georgia"/>
          <w:b w:val="0"/>
          <w:i w:val="0"/>
          <w:color w:val="262626"/>
          <w:sz w:val="20"/>
        </w:rPr>
        <w:t>Article 11: Sub-Layer 0.1: Visibility and Predictability</w:t>
      </w:r>
      <w:r>
        <w:rPr>
          <w:rFonts w:ascii="Georgia" w:hAnsi="Georgia" w:cs="Georgia"/>
          <w:b w:val="0"/>
          <w:i w:val="0"/>
          <w:color w:val="262626"/>
          <w:sz w:val="20"/>
        </w:rPr>
        <w:tab/>
        <w:t>18</w:t>
      </w:r>
    </w:p>
    <w:p>
      <w:pPr>
        <w:spacing w:before="20" w:after="20"/>
        <w:ind w:left="288"/>
        <w:tabs>
          <w:tab w:val="right" w:leader="dot" w:pos="9350"/>
        </w:tabs>
      </w:pPr>
      <w:r>
        <w:rPr>
          <w:rFonts w:ascii="Georgia" w:hAnsi="Georgia" w:cs="Georgia"/>
          <w:b w:val="0"/>
          <w:i w:val="0"/>
          <w:color w:val="262626"/>
          <w:sz w:val="20"/>
        </w:rPr>
        <w:t>Article 12: Sub-Layer 0.2: Movement Safety</w:t>
      </w:r>
      <w:r>
        <w:rPr>
          <w:rFonts w:ascii="Georgia" w:hAnsi="Georgia" w:cs="Georgia"/>
          <w:b w:val="0"/>
          <w:i w:val="0"/>
          <w:color w:val="262626"/>
          <w:sz w:val="20"/>
        </w:rPr>
        <w:tab/>
        <w:t>19</w:t>
      </w:r>
    </w:p>
    <w:p>
      <w:pPr>
        <w:spacing w:before="20" w:after="20"/>
        <w:ind w:left="288"/>
        <w:tabs>
          <w:tab w:val="right" w:leader="dot" w:pos="9350"/>
        </w:tabs>
      </w:pPr>
      <w:r>
        <w:rPr>
          <w:rFonts w:ascii="Georgia" w:hAnsi="Georgia" w:cs="Georgia"/>
          <w:b w:val="0"/>
          <w:i w:val="0"/>
          <w:color w:val="262626"/>
          <w:sz w:val="20"/>
        </w:rPr>
        <w:t>Article 13: Sub-Layer 0.3: Incident Alerts</w:t>
      </w:r>
      <w:r>
        <w:rPr>
          <w:rFonts w:ascii="Georgia" w:hAnsi="Georgia" w:cs="Georgia"/>
          <w:b w:val="0"/>
          <w:i w:val="0"/>
          <w:color w:val="262626"/>
          <w:sz w:val="20"/>
        </w:rPr>
        <w:tab/>
        <w:t>21</w:t>
      </w:r>
    </w:p>
    <w:p>
      <w:pPr>
        <w:spacing w:before="20" w:after="20"/>
        <w:ind w:left="288"/>
        <w:tabs>
          <w:tab w:val="right" w:leader="dot" w:pos="9350"/>
        </w:tabs>
      </w:pPr>
      <w:r>
        <w:rPr>
          <w:rFonts w:ascii="Georgia" w:hAnsi="Georgia" w:cs="Georgia"/>
          <w:b w:val="0"/>
          <w:i w:val="0"/>
          <w:color w:val="262626"/>
          <w:sz w:val="20"/>
        </w:rPr>
        <w:t>Article 14: Sub-Layer 0.4: Response and Repair</w:t>
      </w:r>
      <w:r>
        <w:rPr>
          <w:rFonts w:ascii="Georgia" w:hAnsi="Georgia" w:cs="Georgia"/>
          <w:b w:val="0"/>
          <w:i w:val="0"/>
          <w:color w:val="262626"/>
          <w:sz w:val="20"/>
        </w:rPr>
        <w:tab/>
        <w:t>22</w:t>
      </w:r>
    </w:p>
    <w:p>
      <w:pPr>
        <w:spacing w:before="20" w:after="20"/>
        <w:ind w:left="288"/>
        <w:tabs>
          <w:tab w:val="right" w:leader="dot" w:pos="9350"/>
        </w:tabs>
      </w:pPr>
      <w:r>
        <w:rPr>
          <w:rFonts w:ascii="Georgia" w:hAnsi="Georgia" w:cs="Georgia"/>
          <w:b w:val="0"/>
          <w:i w:val="0"/>
          <w:color w:val="262626"/>
          <w:sz w:val="20"/>
        </w:rPr>
        <w:t>Article 15: Sub-Layer 0.5: Micro-Governance and Simulation</w:t>
      </w:r>
      <w:r>
        <w:rPr>
          <w:rFonts w:ascii="Georgia" w:hAnsi="Georgia" w:cs="Georgia"/>
          <w:b w:val="0"/>
          <w:i w:val="0"/>
          <w:color w:val="262626"/>
          <w:sz w:val="20"/>
        </w:rPr>
        <w:tab/>
        <w:t>23</w:t>
      </w:r>
    </w:p>
    <w:p>
      <w:pPr>
        <w:spacing w:before="20" w:after="20"/>
        <w:ind w:left="288"/>
        <w:tabs>
          <w:tab w:val="right" w:leader="dot" w:pos="9350"/>
        </w:tabs>
      </w:pPr>
      <w:r>
        <w:rPr>
          <w:rFonts w:ascii="Georgia" w:hAnsi="Georgia" w:cs="Georgia"/>
          <w:b w:val="0"/>
          <w:i w:val="0"/>
          <w:color w:val="262626"/>
          <w:sz w:val="20"/>
        </w:rPr>
        <w:t>Article 16: Gate G-0: The First Stability Audit</w:t>
      </w:r>
      <w:r>
        <w:rPr>
          <w:rFonts w:ascii="Georgia" w:hAnsi="Georgia" w:cs="Georgia"/>
          <w:b w:val="0"/>
          <w:i w:val="0"/>
          <w:color w:val="262626"/>
          <w:sz w:val="20"/>
        </w:rPr>
        <w:tab/>
        <w:t>24</w:t>
      </w:r>
    </w:p>
    <w:p>
      <w:pPr>
        <w:spacing w:before="140" w:after="20"/>
        <w:tabs>
          <w:tab w:val="right" w:leader="dot" w:pos="9350"/>
        </w:tabs>
      </w:pPr>
      <w:r>
        <w:rPr>
          <w:rFonts w:ascii="Georgia" w:hAnsi="Georgia" w:cs="Georgia"/>
          <w:b/>
          <w:i w:val="0"/>
          <w:color w:val="1F2D3D"/>
          <w:sz w:val="21"/>
        </w:rPr>
        <w:t>PART III: LAYER 1: THE SHARED DATA LAYER (DAYS 45 TO 90)</w:t>
      </w:r>
      <w:r>
        <w:rPr>
          <w:rFonts w:ascii="Georgia" w:hAnsi="Georgia" w:cs="Georgia"/>
          <w:b/>
          <w:i w:val="0"/>
          <w:color w:val="1F2D3D"/>
          <w:sz w:val="21"/>
        </w:rPr>
        <w:tab/>
        <w:t>25</w:t>
      </w:r>
    </w:p>
    <w:p>
      <w:pPr>
        <w:spacing w:before="20" w:after="20"/>
        <w:ind w:left="288"/>
        <w:tabs>
          <w:tab w:val="right" w:leader="dot" w:pos="9350"/>
        </w:tabs>
      </w:pPr>
      <w:r>
        <w:rPr>
          <w:rFonts w:ascii="Georgia" w:hAnsi="Georgia" w:cs="Georgia"/>
          <w:b w:val="0"/>
          <w:i w:val="0"/>
          <w:color w:val="262626"/>
          <w:sz w:val="20"/>
        </w:rPr>
        <w:t>Article 17: The Joint Visibility System</w:t>
      </w:r>
      <w:r>
        <w:rPr>
          <w:rFonts w:ascii="Georgia" w:hAnsi="Georgia" w:cs="Georgia"/>
          <w:b w:val="0"/>
          <w:i w:val="0"/>
          <w:color w:val="262626"/>
          <w:sz w:val="20"/>
        </w:rPr>
        <w:tab/>
        <w:t>25</w:t>
      </w:r>
    </w:p>
    <w:p>
      <w:pPr>
        <w:spacing w:before="20" w:after="20"/>
        <w:ind w:left="288"/>
        <w:tabs>
          <w:tab w:val="right" w:leader="dot" w:pos="9350"/>
        </w:tabs>
      </w:pPr>
      <w:r>
        <w:rPr>
          <w:rFonts w:ascii="Georgia" w:hAnsi="Georgia" w:cs="Georgia"/>
          <w:b w:val="0"/>
          <w:i w:val="0"/>
          <w:color w:val="262626"/>
          <w:sz w:val="20"/>
        </w:rPr>
        <w:t>Article 18: The Meridian Data Exchange and the Mirror Servers</w:t>
      </w:r>
      <w:r>
        <w:rPr>
          <w:rFonts w:ascii="Georgia" w:hAnsi="Georgia" w:cs="Georgia"/>
          <w:b w:val="0"/>
          <w:i w:val="0"/>
          <w:color w:val="262626"/>
          <w:sz w:val="20"/>
        </w:rPr>
        <w:tab/>
        <w:t>26</w:t>
      </w:r>
    </w:p>
    <w:p>
      <w:pPr>
        <w:spacing w:before="20" w:after="20"/>
        <w:ind w:left="288"/>
        <w:tabs>
          <w:tab w:val="right" w:leader="dot" w:pos="9350"/>
        </w:tabs>
      </w:pPr>
      <w:r>
        <w:rPr>
          <w:rFonts w:ascii="Georgia" w:hAnsi="Georgia" w:cs="Georgia"/>
          <w:b w:val="0"/>
          <w:i w:val="0"/>
          <w:color w:val="262626"/>
          <w:sz w:val="20"/>
        </w:rPr>
        <w:t>Article 19: Data Custody and the Kinetic Exclusion</w:t>
      </w:r>
      <w:r>
        <w:rPr>
          <w:rFonts w:ascii="Georgia" w:hAnsi="Georgia" w:cs="Georgia"/>
          <w:b w:val="0"/>
          <w:i w:val="0"/>
          <w:color w:val="262626"/>
          <w:sz w:val="20"/>
        </w:rPr>
        <w:tab/>
        <w:t>26</w:t>
      </w:r>
    </w:p>
    <w:p>
      <w:pPr>
        <w:spacing w:before="20" w:after="20"/>
        <w:ind w:left="288"/>
        <w:tabs>
          <w:tab w:val="right" w:leader="dot" w:pos="9350"/>
        </w:tabs>
      </w:pPr>
      <w:r>
        <w:rPr>
          <w:rFonts w:ascii="Georgia" w:hAnsi="Georgia" w:cs="Georgia"/>
          <w:b w:val="0"/>
          <w:i w:val="0"/>
          <w:color w:val="262626"/>
          <w:sz w:val="20"/>
        </w:rPr>
        <w:t>Article 20: The Open Water Bulletin</w:t>
      </w:r>
      <w:r>
        <w:rPr>
          <w:rFonts w:ascii="Georgia" w:hAnsi="Georgia" w:cs="Georgia"/>
          <w:b w:val="0"/>
          <w:i w:val="0"/>
          <w:color w:val="262626"/>
          <w:sz w:val="20"/>
        </w:rPr>
        <w:tab/>
        <w:t>27</w:t>
      </w:r>
    </w:p>
    <w:p>
      <w:pPr>
        <w:spacing w:before="20" w:after="20"/>
        <w:ind w:left="288"/>
        <w:tabs>
          <w:tab w:val="right" w:leader="dot" w:pos="9350"/>
        </w:tabs>
      </w:pPr>
      <w:r>
        <w:rPr>
          <w:rFonts w:ascii="Georgia" w:hAnsi="Georgia" w:cs="Georgia"/>
          <w:b w:val="0"/>
          <w:i w:val="0"/>
          <w:color w:val="262626"/>
          <w:sz w:val="20"/>
        </w:rPr>
        <w:t>Article 21: Gate G-1: The Data Integrity Audit</w:t>
      </w:r>
      <w:r>
        <w:rPr>
          <w:rFonts w:ascii="Georgia" w:hAnsi="Georgia" w:cs="Georgia"/>
          <w:b w:val="0"/>
          <w:i w:val="0"/>
          <w:color w:val="262626"/>
          <w:sz w:val="20"/>
        </w:rPr>
        <w:tab/>
        <w:t>28</w:t>
      </w:r>
    </w:p>
    <w:p>
      <w:pPr>
        <w:spacing w:before="140" w:after="20"/>
        <w:tabs>
          <w:tab w:val="right" w:leader="dot" w:pos="9350"/>
        </w:tabs>
      </w:pPr>
      <w:r>
        <w:rPr>
          <w:rFonts w:ascii="Georgia" w:hAnsi="Georgia" w:cs="Georgia"/>
          <w:b/>
          <w:i w:val="0"/>
          <w:color w:val="1F2D3D"/>
          <w:sz w:val="21"/>
        </w:rPr>
        <w:t>PART IV: LAYER 2: THE COORDINATED ROUTING LAYER (DAYS 90 TO 150)</w:t>
      </w:r>
      <w:r>
        <w:rPr>
          <w:rFonts w:ascii="Georgia" w:hAnsi="Georgia" w:cs="Georgia"/>
          <w:b/>
          <w:i w:val="0"/>
          <w:color w:val="1F2D3D"/>
          <w:sz w:val="21"/>
        </w:rPr>
        <w:tab/>
        <w:t>28</w:t>
      </w:r>
    </w:p>
    <w:p>
      <w:pPr>
        <w:spacing w:before="20" w:after="20"/>
        <w:ind w:left="288"/>
        <w:tabs>
          <w:tab w:val="right" w:leader="dot" w:pos="9350"/>
        </w:tabs>
      </w:pPr>
      <w:r>
        <w:rPr>
          <w:rFonts w:ascii="Georgia" w:hAnsi="Georgia" w:cs="Georgia"/>
          <w:b w:val="0"/>
          <w:i w:val="0"/>
          <w:color w:val="262626"/>
          <w:sz w:val="20"/>
        </w:rPr>
        <w:t>Article 22: The Three-Corridor System</w:t>
      </w:r>
      <w:r>
        <w:rPr>
          <w:rFonts w:ascii="Georgia" w:hAnsi="Georgia" w:cs="Georgia"/>
          <w:b w:val="0"/>
          <w:i w:val="0"/>
          <w:color w:val="262626"/>
          <w:sz w:val="20"/>
        </w:rPr>
        <w:tab/>
        <w:t>28</w:t>
      </w:r>
    </w:p>
    <w:p>
      <w:pPr>
        <w:spacing w:before="20" w:after="20"/>
        <w:ind w:left="288"/>
        <w:tabs>
          <w:tab w:val="right" w:leader="dot" w:pos="9350"/>
        </w:tabs>
      </w:pPr>
      <w:r>
        <w:rPr>
          <w:rFonts w:ascii="Georgia" w:hAnsi="Georgia" w:cs="Georgia"/>
          <w:b w:val="0"/>
          <w:i w:val="0"/>
          <w:color w:val="262626"/>
          <w:sz w:val="20"/>
        </w:rPr>
        <w:t>Article 23: Corridor Functions and Services</w:t>
      </w:r>
      <w:r>
        <w:rPr>
          <w:rFonts w:ascii="Georgia" w:hAnsi="Georgia" w:cs="Georgia"/>
          <w:b w:val="0"/>
          <w:i w:val="0"/>
          <w:color w:val="262626"/>
          <w:sz w:val="20"/>
        </w:rPr>
        <w:tab/>
        <w:t>30</w:t>
      </w:r>
    </w:p>
    <w:p>
      <w:pPr>
        <w:spacing w:before="20" w:after="20"/>
        <w:ind w:left="288"/>
        <w:tabs>
          <w:tab w:val="right" w:leader="dot" w:pos="9350"/>
        </w:tabs>
      </w:pPr>
      <w:r>
        <w:rPr>
          <w:rFonts w:ascii="Georgia" w:hAnsi="Georgia" w:cs="Georgia"/>
          <w:b w:val="0"/>
          <w:i w:val="0"/>
          <w:color w:val="262626"/>
          <w:sz w:val="20"/>
        </w:rPr>
        <w:t>Article 24: Flow States and the Open Water Bulletin States</w:t>
      </w:r>
      <w:r>
        <w:rPr>
          <w:rFonts w:ascii="Georgia" w:hAnsi="Georgia" w:cs="Georgia"/>
          <w:b w:val="0"/>
          <w:i w:val="0"/>
          <w:color w:val="262626"/>
          <w:sz w:val="20"/>
        </w:rPr>
        <w:tab/>
        <w:t>30</w:t>
      </w:r>
    </w:p>
    <w:p>
      <w:pPr>
        <w:spacing w:before="20" w:after="20"/>
        <w:ind w:left="288"/>
        <w:tabs>
          <w:tab w:val="right" w:leader="dot" w:pos="9350"/>
        </w:tabs>
      </w:pPr>
      <w:r>
        <w:rPr>
          <w:rFonts w:ascii="Georgia" w:hAnsi="Georgia" w:cs="Georgia"/>
          <w:b w:val="0"/>
          <w:i w:val="0"/>
          <w:color w:val="262626"/>
          <w:sz w:val="20"/>
        </w:rPr>
        <w:t>Article 25: The Notification Protocol</w:t>
      </w:r>
      <w:r>
        <w:rPr>
          <w:rFonts w:ascii="Georgia" w:hAnsi="Georgia" w:cs="Georgia"/>
          <w:b w:val="0"/>
          <w:i w:val="0"/>
          <w:color w:val="262626"/>
          <w:sz w:val="20"/>
        </w:rPr>
        <w:tab/>
        <w:t>31</w:t>
      </w:r>
    </w:p>
    <w:p>
      <w:pPr>
        <w:spacing w:before="20" w:after="20"/>
        <w:ind w:left="288"/>
        <w:tabs>
          <w:tab w:val="right" w:leader="dot" w:pos="9350"/>
        </w:tabs>
      </w:pPr>
      <w:r>
        <w:rPr>
          <w:rFonts w:ascii="Georgia" w:hAnsi="Georgia" w:cs="Georgia"/>
          <w:b w:val="0"/>
          <w:i w:val="0"/>
          <w:color w:val="262626"/>
          <w:sz w:val="20"/>
        </w:rPr>
        <w:t>Article 26: Vessel Classification and Differentiated Treatment</w:t>
      </w:r>
      <w:r>
        <w:rPr>
          <w:rFonts w:ascii="Georgia" w:hAnsi="Georgia" w:cs="Georgia"/>
          <w:b w:val="0"/>
          <w:i w:val="0"/>
          <w:color w:val="262626"/>
          <w:sz w:val="20"/>
        </w:rPr>
        <w:tab/>
        <w:t>32</w:t>
      </w:r>
    </w:p>
    <w:p>
      <w:pPr>
        <w:spacing w:before="20" w:after="20"/>
        <w:ind w:left="288"/>
        <w:tabs>
          <w:tab w:val="right" w:leader="dot" w:pos="9350"/>
        </w:tabs>
      </w:pPr>
      <w:r>
        <w:rPr>
          <w:rFonts w:ascii="Georgia" w:hAnsi="Georgia" w:cs="Georgia"/>
          <w:b w:val="0"/>
          <w:i w:val="0"/>
          <w:color w:val="262626"/>
          <w:sz w:val="20"/>
        </w:rPr>
        <w:t>Article 27: The Absolute Non-Interdiction Protocol</w:t>
      </w:r>
      <w:r>
        <w:rPr>
          <w:rFonts w:ascii="Georgia" w:hAnsi="Georgia" w:cs="Georgia"/>
          <w:b w:val="0"/>
          <w:i w:val="0"/>
          <w:color w:val="262626"/>
          <w:sz w:val="20"/>
        </w:rPr>
        <w:tab/>
        <w:t>32</w:t>
      </w:r>
    </w:p>
    <w:p>
      <w:pPr>
        <w:spacing w:before="20" w:after="20"/>
        <w:ind w:left="288"/>
        <w:tabs>
          <w:tab w:val="right" w:leader="dot" w:pos="9350"/>
        </w:tabs>
      </w:pPr>
      <w:r>
        <w:rPr>
          <w:rFonts w:ascii="Georgia" w:hAnsi="Georgia" w:cs="Georgia"/>
          <w:b w:val="0"/>
          <w:i w:val="0"/>
          <w:color w:val="262626"/>
          <w:sz w:val="20"/>
        </w:rPr>
        <w:t>Article 28: The Lead-Escort Safety Service and Speed-Craft Behavioral Norms</w:t>
      </w:r>
      <w:r>
        <w:rPr>
          <w:rFonts w:ascii="Georgia" w:hAnsi="Georgia" w:cs="Georgia"/>
          <w:b w:val="0"/>
          <w:i w:val="0"/>
          <w:color w:val="262626"/>
          <w:sz w:val="20"/>
        </w:rPr>
        <w:tab/>
        <w:t>33</w:t>
      </w:r>
    </w:p>
    <w:p>
      <w:pPr>
        <w:spacing w:before="20" w:after="20"/>
        <w:ind w:left="288"/>
        <w:tabs>
          <w:tab w:val="right" w:leader="dot" w:pos="9350"/>
        </w:tabs>
      </w:pPr>
      <w:r>
        <w:rPr>
          <w:rFonts w:ascii="Georgia" w:hAnsi="Georgia" w:cs="Georgia"/>
          <w:b w:val="0"/>
          <w:i w:val="0"/>
          <w:color w:val="262626"/>
          <w:sz w:val="20"/>
        </w:rPr>
        <w:t>Article 29: Standoff Geometry, Naval Deconfliction, and the Military Transit Protocol</w:t>
      </w:r>
      <w:r>
        <w:rPr>
          <w:rFonts w:ascii="Georgia" w:hAnsi="Georgia" w:cs="Georgia"/>
          <w:b w:val="0"/>
          <w:i w:val="0"/>
          <w:color w:val="262626"/>
          <w:sz w:val="20"/>
        </w:rPr>
        <w:tab/>
        <w:t>34</w:t>
      </w:r>
    </w:p>
    <w:p>
      <w:pPr>
        <w:spacing w:before="20" w:after="20"/>
        <w:ind w:left="288"/>
        <w:tabs>
          <w:tab w:val="right" w:leader="dot" w:pos="9350"/>
        </w:tabs>
      </w:pPr>
      <w:r>
        <w:rPr>
          <w:rFonts w:ascii="Georgia" w:hAnsi="Georgia" w:cs="Georgia"/>
          <w:b w:val="0"/>
          <w:i w:val="0"/>
          <w:color w:val="262626"/>
          <w:sz w:val="20"/>
        </w:rPr>
        <w:t>Article 30: The Mine-Clearance Track</w:t>
      </w:r>
      <w:r>
        <w:rPr>
          <w:rFonts w:ascii="Georgia" w:hAnsi="Georgia" w:cs="Georgia"/>
          <w:b w:val="0"/>
          <w:i w:val="0"/>
          <w:color w:val="262626"/>
          <w:sz w:val="20"/>
        </w:rPr>
        <w:tab/>
        <w:t>35</w:t>
      </w:r>
    </w:p>
    <w:p>
      <w:pPr>
        <w:spacing w:before="20" w:after="20"/>
        <w:ind w:left="288"/>
        <w:tabs>
          <w:tab w:val="right" w:leader="dot" w:pos="9350"/>
        </w:tabs>
      </w:pPr>
      <w:r>
        <w:rPr>
          <w:rFonts w:ascii="Georgia" w:hAnsi="Georgia" w:cs="Georgia"/>
          <w:b w:val="0"/>
          <w:i w:val="0"/>
          <w:color w:val="262626"/>
          <w:sz w:val="20"/>
        </w:rPr>
        <w:t>Article 31: Anchorages and Holding Areas</w:t>
      </w:r>
      <w:r>
        <w:rPr>
          <w:rFonts w:ascii="Georgia" w:hAnsi="Georgia" w:cs="Georgia"/>
          <w:b w:val="0"/>
          <w:i w:val="0"/>
          <w:color w:val="262626"/>
          <w:sz w:val="20"/>
        </w:rPr>
        <w:tab/>
        <w:t>36</w:t>
      </w:r>
    </w:p>
    <w:p>
      <w:pPr>
        <w:spacing w:before="20" w:after="20"/>
        <w:ind w:left="288"/>
        <w:tabs>
          <w:tab w:val="right" w:leader="dot" w:pos="9350"/>
        </w:tabs>
      </w:pPr>
      <w:r>
        <w:rPr>
          <w:rFonts w:ascii="Georgia" w:hAnsi="Georgia" w:cs="Georgia"/>
          <w:b w:val="0"/>
          <w:i w:val="0"/>
          <w:color w:val="262626"/>
          <w:sz w:val="20"/>
        </w:rPr>
        <w:t>Article 32: Gate G-2: The Corridor Stability Audit</w:t>
      </w:r>
      <w:r>
        <w:rPr>
          <w:rFonts w:ascii="Georgia" w:hAnsi="Georgia" w:cs="Georgia"/>
          <w:b w:val="0"/>
          <w:i w:val="0"/>
          <w:color w:val="262626"/>
          <w:sz w:val="20"/>
        </w:rPr>
        <w:tab/>
        <w:t>36</w:t>
      </w:r>
    </w:p>
    <w:p>
      <w:pPr>
        <w:spacing w:before="140" w:after="20"/>
        <w:tabs>
          <w:tab w:val="right" w:leader="dot" w:pos="9350"/>
        </w:tabs>
      </w:pPr>
      <w:r>
        <w:rPr>
          <w:rFonts w:ascii="Georgia" w:hAnsi="Georgia" w:cs="Georgia"/>
          <w:b/>
          <w:i w:val="0"/>
          <w:color w:val="1F2D3D"/>
          <w:sz w:val="21"/>
        </w:rPr>
        <w:t>PART V: LAYER 3: THE REVENUE AND SERVICES LAYER (DAYS 150 TO 240)</w:t>
      </w:r>
      <w:r>
        <w:rPr>
          <w:rFonts w:ascii="Georgia" w:hAnsi="Georgia" w:cs="Georgia"/>
          <w:b/>
          <w:i w:val="0"/>
          <w:color w:val="1F2D3D"/>
          <w:sz w:val="21"/>
        </w:rPr>
        <w:tab/>
        <w:t>37</w:t>
      </w:r>
    </w:p>
    <w:p>
      <w:pPr>
        <w:spacing w:before="20" w:after="20"/>
        <w:ind w:left="288"/>
        <w:tabs>
          <w:tab w:val="right" w:leader="dot" w:pos="9350"/>
        </w:tabs>
      </w:pPr>
      <w:r>
        <w:rPr>
          <w:rFonts w:ascii="Georgia" w:hAnsi="Georgia" w:cs="Georgia"/>
          <w:b w:val="0"/>
          <w:i w:val="0"/>
          <w:color w:val="262626"/>
          <w:sz w:val="20"/>
        </w:rPr>
        <w:t>Article 33: The Zero-Toll Rule</w:t>
      </w:r>
      <w:r>
        <w:rPr>
          <w:rFonts w:ascii="Georgia" w:hAnsi="Georgia" w:cs="Georgia"/>
          <w:b w:val="0"/>
          <w:i w:val="0"/>
          <w:color w:val="262626"/>
          <w:sz w:val="20"/>
        </w:rPr>
        <w:tab/>
        <w:t>37</w:t>
      </w:r>
    </w:p>
    <w:p>
      <w:pPr>
        <w:spacing w:before="20" w:after="20"/>
        <w:ind w:left="288"/>
        <w:tabs>
          <w:tab w:val="right" w:leader="dot" w:pos="9350"/>
        </w:tabs>
      </w:pPr>
      <w:r>
        <w:rPr>
          <w:rFonts w:ascii="Georgia" w:hAnsi="Georgia" w:cs="Georgia"/>
          <w:b w:val="0"/>
          <w:i w:val="0"/>
          <w:color w:val="262626"/>
          <w:sz w:val="20"/>
        </w:rPr>
        <w:t>Article 34: The Fee Simulation Track</w:t>
      </w:r>
      <w:r>
        <w:rPr>
          <w:rFonts w:ascii="Georgia" w:hAnsi="Georgia" w:cs="Georgia"/>
          <w:b w:val="0"/>
          <w:i w:val="0"/>
          <w:color w:val="262626"/>
          <w:sz w:val="20"/>
        </w:rPr>
        <w:tab/>
        <w:t>37</w:t>
      </w:r>
    </w:p>
    <w:p>
      <w:pPr>
        <w:spacing w:before="20" w:after="20"/>
        <w:ind w:left="288"/>
        <w:tabs>
          <w:tab w:val="right" w:leader="dot" w:pos="9350"/>
        </w:tabs>
      </w:pPr>
      <w:r>
        <w:rPr>
          <w:rFonts w:ascii="Georgia" w:hAnsi="Georgia" w:cs="Georgia"/>
          <w:b w:val="0"/>
          <w:i w:val="0"/>
          <w:color w:val="262626"/>
          <w:sz w:val="20"/>
        </w:rPr>
        <w:t>Article 35: The Verified Services Catalog and the Route Assurance Data Service</w:t>
      </w:r>
      <w:r>
        <w:rPr>
          <w:rFonts w:ascii="Georgia" w:hAnsi="Georgia" w:cs="Georgia"/>
          <w:b w:val="0"/>
          <w:i w:val="0"/>
          <w:color w:val="262626"/>
          <w:sz w:val="20"/>
        </w:rPr>
        <w:tab/>
        <w:t>38</w:t>
      </w:r>
    </w:p>
    <w:p>
      <w:pPr>
        <w:spacing w:before="20" w:after="20"/>
        <w:ind w:left="288"/>
        <w:tabs>
          <w:tab w:val="right" w:leader="dot" w:pos="9350"/>
        </w:tabs>
      </w:pPr>
      <w:r>
        <w:rPr>
          <w:rFonts w:ascii="Georgia" w:hAnsi="Georgia" w:cs="Georgia"/>
          <w:b w:val="0"/>
          <w:i w:val="0"/>
          <w:color w:val="262626"/>
          <w:sz w:val="20"/>
        </w:rPr>
        <w:t>Article 36: The Neutral Escrow and the Transit Services Fund</w:t>
      </w:r>
      <w:r>
        <w:rPr>
          <w:rFonts w:ascii="Georgia" w:hAnsi="Georgia" w:cs="Georgia"/>
          <w:b w:val="0"/>
          <w:i w:val="0"/>
          <w:color w:val="262626"/>
          <w:sz w:val="20"/>
        </w:rPr>
        <w:tab/>
        <w:t>39</w:t>
      </w:r>
    </w:p>
    <w:p>
      <w:pPr>
        <w:spacing w:before="20" w:after="20"/>
        <w:ind w:left="288"/>
        <w:tabs>
          <w:tab w:val="right" w:leader="dot" w:pos="9350"/>
        </w:tabs>
      </w:pPr>
      <w:r>
        <w:rPr>
          <w:rFonts w:ascii="Georgia" w:hAnsi="Georgia" w:cs="Georgia"/>
          <w:b w:val="0"/>
          <w:i w:val="0"/>
          <w:color w:val="262626"/>
          <w:sz w:val="20"/>
        </w:rPr>
        <w:t>Article 37: The Sanctions-Compliance Firewall</w:t>
      </w:r>
      <w:r>
        <w:rPr>
          <w:rFonts w:ascii="Georgia" w:hAnsi="Georgia" w:cs="Georgia"/>
          <w:b w:val="0"/>
          <w:i w:val="0"/>
          <w:color w:val="262626"/>
          <w:sz w:val="20"/>
        </w:rPr>
        <w:tab/>
        <w:t>40</w:t>
      </w:r>
    </w:p>
    <w:p>
      <w:pPr>
        <w:spacing w:before="20" w:after="20"/>
        <w:ind w:left="288"/>
        <w:tabs>
          <w:tab w:val="right" w:leader="dot" w:pos="9350"/>
        </w:tabs>
      </w:pPr>
      <w:r>
        <w:rPr>
          <w:rFonts w:ascii="Georgia" w:hAnsi="Georgia" w:cs="Georgia"/>
          <w:b w:val="0"/>
          <w:i w:val="0"/>
          <w:color w:val="262626"/>
          <w:sz w:val="20"/>
        </w:rPr>
        <w:t>Article 38: Revenue Shares and the Escalator Link</w:t>
      </w:r>
      <w:r>
        <w:rPr>
          <w:rFonts w:ascii="Georgia" w:hAnsi="Georgia" w:cs="Georgia"/>
          <w:b w:val="0"/>
          <w:i w:val="0"/>
          <w:color w:val="262626"/>
          <w:sz w:val="20"/>
        </w:rPr>
        <w:tab/>
        <w:t>40</w:t>
      </w:r>
    </w:p>
    <w:p>
      <w:pPr>
        <w:spacing w:before="20" w:after="20"/>
        <w:ind w:left="288"/>
        <w:tabs>
          <w:tab w:val="right" w:leader="dot" w:pos="9350"/>
        </w:tabs>
      </w:pPr>
      <w:r>
        <w:rPr>
          <w:rFonts w:ascii="Georgia" w:hAnsi="Georgia" w:cs="Georgia"/>
          <w:b w:val="0"/>
          <w:i w:val="0"/>
          <w:color w:val="262626"/>
          <w:sz w:val="20"/>
        </w:rPr>
        <w:t>Article 39: Gate G-3: The Financial Integrity Audit</w:t>
      </w:r>
      <w:r>
        <w:rPr>
          <w:rFonts w:ascii="Georgia" w:hAnsi="Georgia" w:cs="Georgia"/>
          <w:b w:val="0"/>
          <w:i w:val="0"/>
          <w:color w:val="262626"/>
          <w:sz w:val="20"/>
        </w:rPr>
        <w:tab/>
        <w:t>41</w:t>
      </w:r>
    </w:p>
    <w:p>
      <w:pPr>
        <w:spacing w:before="140" w:after="20"/>
        <w:tabs>
          <w:tab w:val="right" w:leader="dot" w:pos="9350"/>
        </w:tabs>
      </w:pPr>
      <w:r>
        <w:rPr>
          <w:rFonts w:ascii="Georgia" w:hAnsi="Georgia" w:cs="Georgia"/>
          <w:b/>
          <w:i w:val="0"/>
          <w:color w:val="1F2D3D"/>
          <w:sz w:val="21"/>
        </w:rPr>
        <w:t>PART VI: LAYER 4: THE JOINT OVERSIGHT LAYER (DAYS 240 TO 360)</w:t>
      </w:r>
      <w:r>
        <w:rPr>
          <w:rFonts w:ascii="Georgia" w:hAnsi="Georgia" w:cs="Georgia"/>
          <w:b/>
          <w:i w:val="0"/>
          <w:color w:val="1F2D3D"/>
          <w:sz w:val="21"/>
        </w:rPr>
        <w:tab/>
        <w:t>42</w:t>
      </w:r>
    </w:p>
    <w:p>
      <w:pPr>
        <w:spacing w:before="20" w:after="20"/>
        <w:ind w:left="288"/>
        <w:tabs>
          <w:tab w:val="right" w:leader="dot" w:pos="9350"/>
        </w:tabs>
      </w:pPr>
      <w:r>
        <w:rPr>
          <w:rFonts w:ascii="Georgia" w:hAnsi="Georgia" w:cs="Georgia"/>
          <w:b w:val="0"/>
          <w:i w:val="0"/>
          <w:color w:val="262626"/>
          <w:sz w:val="20"/>
        </w:rPr>
        <w:t>Article 40: The Solh Council</w:t>
      </w:r>
      <w:r>
        <w:rPr>
          <w:rFonts w:ascii="Georgia" w:hAnsi="Georgia" w:cs="Georgia"/>
          <w:b w:val="0"/>
          <w:i w:val="0"/>
          <w:color w:val="262626"/>
          <w:sz w:val="20"/>
        </w:rPr>
        <w:tab/>
        <w:t>42</w:t>
      </w:r>
    </w:p>
    <w:p>
      <w:pPr>
        <w:spacing w:before="20" w:after="20"/>
        <w:ind w:left="288"/>
        <w:tabs>
          <w:tab w:val="right" w:leader="dot" w:pos="9350"/>
        </w:tabs>
      </w:pPr>
      <w:r>
        <w:rPr>
          <w:rFonts w:ascii="Georgia" w:hAnsi="Georgia" w:cs="Georgia"/>
          <w:b w:val="0"/>
          <w:i w:val="0"/>
          <w:color w:val="262626"/>
          <w:sz w:val="20"/>
        </w:rPr>
        <w:t>Article 41: The Tadriji Coordination Center and the Darya Mirror Facility</w:t>
      </w:r>
      <w:r>
        <w:rPr>
          <w:rFonts w:ascii="Georgia" w:hAnsi="Georgia" w:cs="Georgia"/>
          <w:b w:val="0"/>
          <w:i w:val="0"/>
          <w:color w:val="262626"/>
          <w:sz w:val="20"/>
        </w:rPr>
        <w:tab/>
        <w:t>42</w:t>
      </w:r>
    </w:p>
    <w:p>
      <w:pPr>
        <w:spacing w:before="20" w:after="20"/>
        <w:ind w:left="288"/>
        <w:tabs>
          <w:tab w:val="right" w:leader="dot" w:pos="9350"/>
        </w:tabs>
      </w:pPr>
      <w:r>
        <w:rPr>
          <w:rFonts w:ascii="Georgia" w:hAnsi="Georgia" w:cs="Georgia"/>
          <w:b w:val="0"/>
          <w:i w:val="0"/>
          <w:color w:val="262626"/>
          <w:sz w:val="20"/>
        </w:rPr>
        <w:t>Article 42: The Neutral Watch Office</w:t>
      </w:r>
      <w:r>
        <w:rPr>
          <w:rFonts w:ascii="Georgia" w:hAnsi="Georgia" w:cs="Georgia"/>
          <w:b w:val="0"/>
          <w:i w:val="0"/>
          <w:color w:val="262626"/>
          <w:sz w:val="20"/>
        </w:rPr>
        <w:tab/>
        <w:t>43</w:t>
      </w:r>
    </w:p>
    <w:p>
      <w:pPr>
        <w:spacing w:before="20" w:after="20"/>
        <w:ind w:left="288"/>
        <w:tabs>
          <w:tab w:val="right" w:leader="dot" w:pos="9350"/>
        </w:tabs>
      </w:pPr>
      <w:r>
        <w:rPr>
          <w:rFonts w:ascii="Georgia" w:hAnsi="Georgia" w:cs="Georgia"/>
          <w:b w:val="0"/>
          <w:i w:val="0"/>
          <w:color w:val="262626"/>
          <w:sz w:val="20"/>
        </w:rPr>
        <w:t>Article 43: The Graduated Trust Escalator</w:t>
      </w:r>
      <w:r>
        <w:rPr>
          <w:rFonts w:ascii="Georgia" w:hAnsi="Georgia" w:cs="Georgia"/>
          <w:b w:val="0"/>
          <w:i w:val="0"/>
          <w:color w:val="262626"/>
          <w:sz w:val="20"/>
        </w:rPr>
        <w:tab/>
        <w:t>44</w:t>
      </w:r>
    </w:p>
    <w:p>
      <w:pPr>
        <w:spacing w:before="20" w:after="20"/>
        <w:ind w:left="288"/>
        <w:tabs>
          <w:tab w:val="right" w:leader="dot" w:pos="9350"/>
        </w:tabs>
      </w:pPr>
      <w:r>
        <w:rPr>
          <w:rFonts w:ascii="Georgia" w:hAnsi="Georgia" w:cs="Georgia"/>
          <w:b w:val="0"/>
          <w:i w:val="0"/>
          <w:color w:val="262626"/>
          <w:sz w:val="20"/>
        </w:rPr>
        <w:t>Article 44: The Twin Key Rule</w:t>
      </w:r>
      <w:r>
        <w:rPr>
          <w:rFonts w:ascii="Georgia" w:hAnsi="Georgia" w:cs="Georgia"/>
          <w:b w:val="0"/>
          <w:i w:val="0"/>
          <w:color w:val="262626"/>
          <w:sz w:val="20"/>
        </w:rPr>
        <w:tab/>
        <w:t>45</w:t>
      </w:r>
    </w:p>
    <w:p>
      <w:pPr>
        <w:spacing w:before="20" w:after="20"/>
        <w:ind w:left="288"/>
        <w:tabs>
          <w:tab w:val="right" w:leader="dot" w:pos="9350"/>
        </w:tabs>
      </w:pPr>
      <w:r>
        <w:rPr>
          <w:rFonts w:ascii="Georgia" w:hAnsi="Georgia" w:cs="Georgia"/>
          <w:b w:val="0"/>
          <w:i w:val="0"/>
          <w:color w:val="262626"/>
          <w:sz w:val="20"/>
        </w:rPr>
        <w:t>Article 45: Step-Back and Earn-Back</w:t>
      </w:r>
      <w:r>
        <w:rPr>
          <w:rFonts w:ascii="Georgia" w:hAnsi="Georgia" w:cs="Georgia"/>
          <w:b w:val="0"/>
          <w:i w:val="0"/>
          <w:color w:val="262626"/>
          <w:sz w:val="20"/>
        </w:rPr>
        <w:tab/>
        <w:t>46</w:t>
      </w:r>
    </w:p>
    <w:p>
      <w:pPr>
        <w:spacing w:before="20" w:after="20"/>
        <w:ind w:left="288"/>
        <w:tabs>
          <w:tab w:val="right" w:leader="dot" w:pos="9350"/>
        </w:tabs>
      </w:pPr>
      <w:r>
        <w:rPr>
          <w:rFonts w:ascii="Georgia" w:hAnsi="Georgia" w:cs="Georgia"/>
          <w:b w:val="0"/>
          <w:i w:val="0"/>
          <w:color w:val="262626"/>
          <w:sz w:val="20"/>
        </w:rPr>
        <w:t>Article 46: The Dispute Resolution Ladder and the Muscat Tribunal</w:t>
      </w:r>
      <w:r>
        <w:rPr>
          <w:rFonts w:ascii="Georgia" w:hAnsi="Georgia" w:cs="Georgia"/>
          <w:b w:val="0"/>
          <w:i w:val="0"/>
          <w:color w:val="262626"/>
          <w:sz w:val="20"/>
        </w:rPr>
        <w:tab/>
        <w:t>47</w:t>
      </w:r>
    </w:p>
    <w:p>
      <w:pPr>
        <w:spacing w:before="20" w:after="20"/>
        <w:ind w:left="288"/>
        <w:tabs>
          <w:tab w:val="right" w:leader="dot" w:pos="9350"/>
        </w:tabs>
      </w:pPr>
      <w:r>
        <w:rPr>
          <w:rFonts w:ascii="Georgia" w:hAnsi="Georgia" w:cs="Georgia"/>
          <w:b w:val="0"/>
          <w:i w:val="0"/>
          <w:color w:val="262626"/>
          <w:sz w:val="20"/>
        </w:rPr>
        <w:t>Article 47: The Mutual Claims Commission</w:t>
      </w:r>
      <w:r>
        <w:rPr>
          <w:rFonts w:ascii="Georgia" w:hAnsi="Georgia" w:cs="Georgia"/>
          <w:b w:val="0"/>
          <w:i w:val="0"/>
          <w:color w:val="262626"/>
          <w:sz w:val="20"/>
        </w:rPr>
        <w:tab/>
        <w:t>48</w:t>
      </w:r>
    </w:p>
    <w:p>
      <w:pPr>
        <w:spacing w:before="20" w:after="20"/>
        <w:ind w:left="288"/>
        <w:tabs>
          <w:tab w:val="right" w:leader="dot" w:pos="9350"/>
        </w:tabs>
      </w:pPr>
      <w:r>
        <w:rPr>
          <w:rFonts w:ascii="Georgia" w:hAnsi="Georgia" w:cs="Georgia"/>
          <w:b w:val="0"/>
          <w:i w:val="0"/>
          <w:color w:val="262626"/>
          <w:sz w:val="20"/>
        </w:rPr>
        <w:t>Article 48: Gate G-4: The Governance Stability Audit</w:t>
      </w:r>
      <w:r>
        <w:rPr>
          <w:rFonts w:ascii="Georgia" w:hAnsi="Georgia" w:cs="Georgia"/>
          <w:b w:val="0"/>
          <w:i w:val="0"/>
          <w:color w:val="262626"/>
          <w:sz w:val="20"/>
        </w:rPr>
        <w:tab/>
        <w:t>49</w:t>
      </w:r>
    </w:p>
    <w:p>
      <w:pPr>
        <w:spacing w:before="140" w:after="20"/>
        <w:tabs>
          <w:tab w:val="right" w:leader="dot" w:pos="9350"/>
        </w:tabs>
      </w:pPr>
      <w:r>
        <w:rPr>
          <w:rFonts w:ascii="Georgia" w:hAnsi="Georgia" w:cs="Georgia"/>
          <w:b/>
          <w:i w:val="0"/>
          <w:color w:val="1F2D3D"/>
          <w:sz w:val="21"/>
        </w:rPr>
        <w:t>PART VII: LAYER 5: THE PERMANENT CHARTER (DAY 360 ONWARD)</w:t>
      </w:r>
      <w:r>
        <w:rPr>
          <w:rFonts w:ascii="Georgia" w:hAnsi="Georgia" w:cs="Georgia"/>
          <w:b/>
          <w:i w:val="0"/>
          <w:color w:val="1F2D3D"/>
          <w:sz w:val="21"/>
        </w:rPr>
        <w:tab/>
        <w:t>49</w:t>
      </w:r>
    </w:p>
    <w:p>
      <w:pPr>
        <w:spacing w:before="20" w:after="20"/>
        <w:ind w:left="288"/>
        <w:tabs>
          <w:tab w:val="right" w:leader="dot" w:pos="9350"/>
        </w:tabs>
      </w:pPr>
      <w:r>
        <w:rPr>
          <w:rFonts w:ascii="Georgia" w:hAnsi="Georgia" w:cs="Georgia"/>
          <w:b w:val="0"/>
          <w:i w:val="0"/>
          <w:color w:val="262626"/>
          <w:sz w:val="20"/>
        </w:rPr>
        <w:t>Article 49: Conversion: From Accord to Charter</w:t>
      </w:r>
      <w:r>
        <w:rPr>
          <w:rFonts w:ascii="Georgia" w:hAnsi="Georgia" w:cs="Georgia"/>
          <w:b w:val="0"/>
          <w:i w:val="0"/>
          <w:color w:val="262626"/>
          <w:sz w:val="20"/>
        </w:rPr>
        <w:tab/>
        <w:t>49</w:t>
      </w:r>
    </w:p>
    <w:p>
      <w:pPr>
        <w:spacing w:before="20" w:after="20"/>
        <w:ind w:left="288"/>
        <w:tabs>
          <w:tab w:val="right" w:leader="dot" w:pos="9350"/>
        </w:tabs>
      </w:pPr>
      <w:r>
        <w:rPr>
          <w:rFonts w:ascii="Georgia" w:hAnsi="Georgia" w:cs="Georgia"/>
          <w:b w:val="0"/>
          <w:i w:val="0"/>
          <w:color w:val="262626"/>
          <w:sz w:val="20"/>
        </w:rPr>
        <w:t>Article 50: The Permanent Governance Settlement</w:t>
      </w:r>
      <w:r>
        <w:rPr>
          <w:rFonts w:ascii="Georgia" w:hAnsi="Georgia" w:cs="Georgia"/>
          <w:b w:val="0"/>
          <w:i w:val="0"/>
          <w:color w:val="262626"/>
          <w:sz w:val="20"/>
        </w:rPr>
        <w:tab/>
        <w:t>50</w:t>
      </w:r>
    </w:p>
    <w:p>
      <w:pPr>
        <w:spacing w:before="20" w:after="20"/>
        <w:ind w:left="288"/>
        <w:tabs>
          <w:tab w:val="right" w:leader="dot" w:pos="9350"/>
        </w:tabs>
      </w:pPr>
      <w:r>
        <w:rPr>
          <w:rFonts w:ascii="Georgia" w:hAnsi="Georgia" w:cs="Georgia"/>
          <w:b w:val="0"/>
          <w:i w:val="0"/>
          <w:color w:val="262626"/>
          <w:sz w:val="20"/>
        </w:rPr>
        <w:t>Article 51: The Wider Settlement Interface</w:t>
      </w:r>
      <w:r>
        <w:rPr>
          <w:rFonts w:ascii="Georgia" w:hAnsi="Georgia" w:cs="Georgia"/>
          <w:b w:val="0"/>
          <w:i w:val="0"/>
          <w:color w:val="262626"/>
          <w:sz w:val="20"/>
        </w:rPr>
        <w:tab/>
        <w:t>50</w:t>
      </w:r>
    </w:p>
    <w:p>
      <w:pPr>
        <w:spacing w:before="20" w:after="20"/>
        <w:ind w:left="288"/>
        <w:tabs>
          <w:tab w:val="right" w:leader="dot" w:pos="9350"/>
        </w:tabs>
      </w:pPr>
      <w:r>
        <w:rPr>
          <w:rFonts w:ascii="Georgia" w:hAnsi="Georgia" w:cs="Georgia"/>
          <w:b w:val="0"/>
          <w:i w:val="0"/>
          <w:color w:val="262626"/>
          <w:sz w:val="20"/>
        </w:rPr>
        <w:t>Article 52: The Accession Architecture</w:t>
      </w:r>
      <w:r>
        <w:rPr>
          <w:rFonts w:ascii="Georgia" w:hAnsi="Georgia" w:cs="Georgia"/>
          <w:b w:val="0"/>
          <w:i w:val="0"/>
          <w:color w:val="262626"/>
          <w:sz w:val="20"/>
        </w:rPr>
        <w:tab/>
        <w:t>51</w:t>
      </w:r>
    </w:p>
    <w:p>
      <w:pPr>
        <w:spacing w:before="20" w:after="20"/>
        <w:ind w:left="288"/>
        <w:tabs>
          <w:tab w:val="right" w:leader="dot" w:pos="9350"/>
        </w:tabs>
      </w:pPr>
      <w:r>
        <w:rPr>
          <w:rFonts w:ascii="Georgia" w:hAnsi="Georgia" w:cs="Georgia"/>
          <w:b w:val="0"/>
          <w:i w:val="0"/>
          <w:color w:val="262626"/>
          <w:sz w:val="20"/>
        </w:rPr>
        <w:t>Article 53: Amendment, Protected Core, and Review</w:t>
      </w:r>
      <w:r>
        <w:rPr>
          <w:rFonts w:ascii="Georgia" w:hAnsi="Georgia" w:cs="Georgia"/>
          <w:b w:val="0"/>
          <w:i w:val="0"/>
          <w:color w:val="262626"/>
          <w:sz w:val="20"/>
        </w:rPr>
        <w:tab/>
        <w:t>52</w:t>
      </w:r>
    </w:p>
    <w:p>
      <w:pPr>
        <w:spacing w:before="20" w:after="20"/>
        <w:ind w:left="288"/>
        <w:tabs>
          <w:tab w:val="right" w:leader="dot" w:pos="9350"/>
        </w:tabs>
      </w:pPr>
      <w:r>
        <w:rPr>
          <w:rFonts w:ascii="Georgia" w:hAnsi="Georgia" w:cs="Georgia"/>
          <w:b w:val="0"/>
          <w:i w:val="0"/>
          <w:color w:val="262626"/>
          <w:sz w:val="20"/>
        </w:rPr>
        <w:t>Article 54: Duration, Dormancy, Withdrawal, and Reconstitution</w:t>
      </w:r>
      <w:r>
        <w:rPr>
          <w:rFonts w:ascii="Georgia" w:hAnsi="Georgia" w:cs="Georgia"/>
          <w:b w:val="0"/>
          <w:i w:val="0"/>
          <w:color w:val="262626"/>
          <w:sz w:val="20"/>
        </w:rPr>
        <w:tab/>
        <w:t>52</w:t>
      </w:r>
    </w:p>
    <w:p>
      <w:pPr>
        <w:spacing w:before="20" w:after="20"/>
        <w:ind w:left="288"/>
        <w:tabs>
          <w:tab w:val="right" w:leader="dot" w:pos="9350"/>
        </w:tabs>
      </w:pPr>
      <w:r>
        <w:rPr>
          <w:rFonts w:ascii="Georgia" w:hAnsi="Georgia" w:cs="Georgia"/>
          <w:b w:val="0"/>
          <w:i w:val="0"/>
          <w:color w:val="262626"/>
          <w:sz w:val="20"/>
        </w:rPr>
        <w:t>Article 55: Depositary, Languages, and Entry into Force</w:t>
      </w:r>
      <w:r>
        <w:rPr>
          <w:rFonts w:ascii="Georgia" w:hAnsi="Georgia" w:cs="Georgia"/>
          <w:b w:val="0"/>
          <w:i w:val="0"/>
          <w:color w:val="262626"/>
          <w:sz w:val="20"/>
        </w:rPr>
        <w:tab/>
        <w:t>53</w:t>
      </w:r>
    </w:p>
    <w:p>
      <w:pPr>
        <w:spacing w:before="20" w:after="20"/>
        <w:tabs>
          <w:tab w:val="right" w:leader="dot" w:pos="9350"/>
        </w:tabs>
      </w:pPr>
      <w:r>
        <w:rPr>
          <w:rFonts w:ascii="Georgia" w:hAnsi="Georgia" w:cs="Georgia"/>
          <w:b/>
          <w:i w:val="0"/>
          <w:color w:val="262626"/>
          <w:sz w:val="21"/>
        </w:rPr>
        <w:t>The Closing Principle</w:t>
      </w:r>
      <w:r>
        <w:rPr>
          <w:rFonts w:ascii="Georgia" w:hAnsi="Georgia" w:cs="Georgia"/>
          <w:b/>
          <w:i w:val="0"/>
          <w:color w:val="262626"/>
          <w:sz w:val="21"/>
        </w:rPr>
        <w:tab/>
        <w:t>53</w:t>
      </w:r>
    </w:p>
    <w:p>
      <w:pPr>
        <w:spacing w:before="20" w:after="20"/>
        <w:tabs>
          <w:tab w:val="right" w:leader="dot" w:pos="9350"/>
        </w:tabs>
      </w:pPr>
      <w:r>
        <w:rPr>
          <w:rFonts w:ascii="Georgia" w:hAnsi="Georgia" w:cs="Georgia"/>
          <w:b/>
          <w:i w:val="0"/>
          <w:color w:val="262626"/>
          <w:sz w:val="21"/>
        </w:rPr>
        <w:t>Signature and Deposit</w:t>
      </w:r>
      <w:r>
        <w:rPr>
          <w:rFonts w:ascii="Georgia" w:hAnsi="Georgia" w:cs="Georgia"/>
          <w:b/>
          <w:i w:val="0"/>
          <w:color w:val="262626"/>
          <w:sz w:val="21"/>
        </w:rPr>
        <w:tab/>
        <w:t>53</w:t>
      </w:r>
    </w:p>
    <w:p>
      <w:pPr>
        <w:spacing w:before="140" w:after="20"/>
        <w:tabs>
          <w:tab w:val="right" w:leader="dot" w:pos="9350"/>
        </w:tabs>
      </w:pPr>
      <w:r>
        <w:rPr>
          <w:rFonts w:ascii="Georgia" w:hAnsi="Georgia" w:cs="Georgia"/>
          <w:b/>
          <w:i w:val="0"/>
          <w:color w:val="1F2D3D"/>
          <w:sz w:val="21"/>
        </w:rPr>
        <w:t>Annex A: Corridor Coordinates and Geometry Registry</w:t>
      </w:r>
      <w:r>
        <w:rPr>
          <w:rFonts w:ascii="Georgia" w:hAnsi="Georgia" w:cs="Georgia"/>
          <w:b/>
          <w:i w:val="0"/>
          <w:color w:val="1F2D3D"/>
          <w:sz w:val="21"/>
        </w:rPr>
        <w:tab/>
        <w:t>54</w:t>
      </w:r>
    </w:p>
    <w:p>
      <w:pPr>
        <w:spacing w:before="140" w:after="20"/>
        <w:tabs>
          <w:tab w:val="right" w:leader="dot" w:pos="9350"/>
        </w:tabs>
      </w:pPr>
      <w:r>
        <w:rPr>
          <w:rFonts w:ascii="Georgia" w:hAnsi="Georgia" w:cs="Georgia"/>
          <w:b/>
          <w:i w:val="0"/>
          <w:color w:val="1F2D3D"/>
          <w:sz w:val="21"/>
        </w:rPr>
        <w:t>Annex B: The Fifty Micro-Exercises: Full Operational Specifications</w:t>
      </w:r>
      <w:r>
        <w:rPr>
          <w:rFonts w:ascii="Georgia" w:hAnsi="Georgia" w:cs="Georgia"/>
          <w:b/>
          <w:i w:val="0"/>
          <w:color w:val="1F2D3D"/>
          <w:sz w:val="21"/>
        </w:rPr>
        <w:tab/>
        <w:t>57</w:t>
      </w:r>
    </w:p>
    <w:p>
      <w:pPr>
        <w:spacing w:before="140" w:after="20"/>
        <w:tabs>
          <w:tab w:val="right" w:leader="dot" w:pos="9350"/>
        </w:tabs>
      </w:pPr>
      <w:r>
        <w:rPr>
          <w:rFonts w:ascii="Georgia" w:hAnsi="Georgia" w:cs="Georgia"/>
          <w:b/>
          <w:i w:val="0"/>
          <w:color w:val="1F2D3D"/>
          <w:sz w:val="21"/>
        </w:rPr>
        <w:t>Annex C: Communications and Hotline Protocol</w:t>
      </w:r>
      <w:r>
        <w:rPr>
          <w:rFonts w:ascii="Georgia" w:hAnsi="Georgia" w:cs="Georgia"/>
          <w:b/>
          <w:i w:val="0"/>
          <w:color w:val="1F2D3D"/>
          <w:sz w:val="21"/>
        </w:rPr>
        <w:tab/>
        <w:t>62</w:t>
      </w:r>
    </w:p>
    <w:p>
      <w:pPr>
        <w:spacing w:before="140" w:after="20"/>
        <w:tabs>
          <w:tab w:val="right" w:leader="dot" w:pos="9350"/>
        </w:tabs>
      </w:pPr>
      <w:r>
        <w:rPr>
          <w:rFonts w:ascii="Georgia" w:hAnsi="Georgia" w:cs="Georgia"/>
          <w:b/>
          <w:i w:val="0"/>
          <w:color w:val="1F2D3D"/>
          <w:sz w:val="21"/>
        </w:rPr>
        <w:t>Annex D: Verification Standards</w:t>
      </w:r>
      <w:r>
        <w:rPr>
          <w:rFonts w:ascii="Georgia" w:hAnsi="Georgia" w:cs="Georgia"/>
          <w:b/>
          <w:i w:val="0"/>
          <w:color w:val="1F2D3D"/>
          <w:sz w:val="21"/>
        </w:rPr>
        <w:tab/>
        <w:t>64</w:t>
      </w:r>
    </w:p>
    <w:p>
      <w:pPr>
        <w:spacing w:before="140" w:after="20"/>
        <w:tabs>
          <w:tab w:val="right" w:leader="dot" w:pos="9350"/>
        </w:tabs>
      </w:pPr>
      <w:r>
        <w:rPr>
          <w:rFonts w:ascii="Georgia" w:hAnsi="Georgia" w:cs="Georgia"/>
          <w:b/>
          <w:i w:val="0"/>
          <w:color w:val="1F2D3D"/>
          <w:sz w:val="21"/>
        </w:rPr>
        <w:t>Annex E: The Graduated Trust Escalator</w:t>
      </w:r>
      <w:r>
        <w:rPr>
          <w:rFonts w:ascii="Georgia" w:hAnsi="Georgia" w:cs="Georgia"/>
          <w:b/>
          <w:i w:val="0"/>
          <w:color w:val="1F2D3D"/>
          <w:sz w:val="21"/>
        </w:rPr>
        <w:tab/>
        <w:t>65</w:t>
      </w:r>
    </w:p>
    <w:p>
      <w:pPr>
        <w:spacing w:before="140" w:after="20"/>
        <w:tabs>
          <w:tab w:val="right" w:leader="dot" w:pos="9350"/>
        </w:tabs>
      </w:pPr>
      <w:r>
        <w:rPr>
          <w:rFonts w:ascii="Georgia" w:hAnsi="Georgia" w:cs="Georgia"/>
          <w:b/>
          <w:i w:val="0"/>
          <w:color w:val="1F2D3D"/>
          <w:sz w:val="21"/>
        </w:rPr>
        <w:t>Annex F: The Verified Services Catalog, Rate Card, and Escrow Rules</w:t>
      </w:r>
      <w:r>
        <w:rPr>
          <w:rFonts w:ascii="Georgia" w:hAnsi="Georgia" w:cs="Georgia"/>
          <w:b/>
          <w:i w:val="0"/>
          <w:color w:val="1F2D3D"/>
          <w:sz w:val="21"/>
        </w:rPr>
        <w:tab/>
        <w:t>68</w:t>
      </w:r>
    </w:p>
    <w:p>
      <w:pPr>
        <w:spacing w:before="140" w:after="20"/>
        <w:tabs>
          <w:tab w:val="right" w:leader="dot" w:pos="9350"/>
        </w:tabs>
      </w:pPr>
      <w:r>
        <w:rPr>
          <w:rFonts w:ascii="Georgia" w:hAnsi="Georgia" w:cs="Georgia"/>
          <w:b/>
          <w:i w:val="0"/>
          <w:color w:val="1F2D3D"/>
          <w:sz w:val="21"/>
        </w:rPr>
        <w:t>Annex G: The Red Lines Register</w:t>
      </w:r>
      <w:r>
        <w:rPr>
          <w:rFonts w:ascii="Georgia" w:hAnsi="Georgia" w:cs="Georgia"/>
          <w:b/>
          <w:i w:val="0"/>
          <w:color w:val="1F2D3D"/>
          <w:sz w:val="21"/>
        </w:rPr>
        <w:tab/>
        <w:t>69</w:t>
      </w:r>
    </w:p>
    <w:p>
      <w:pPr>
        <w:spacing w:before="140" w:after="20"/>
        <w:tabs>
          <w:tab w:val="right" w:leader="dot" w:pos="9350"/>
        </w:tabs>
      </w:pPr>
      <w:r>
        <w:rPr>
          <w:rFonts w:ascii="Georgia" w:hAnsi="Georgia" w:cs="Georgia"/>
          <w:b/>
          <w:i w:val="0"/>
          <w:color w:val="1F2D3D"/>
          <w:sz w:val="21"/>
        </w:rPr>
        <w:t>Annex H: Mine Removal Taskforce Charter</w:t>
      </w:r>
      <w:r>
        <w:rPr>
          <w:rFonts w:ascii="Georgia" w:hAnsi="Georgia" w:cs="Georgia"/>
          <w:b/>
          <w:i w:val="0"/>
          <w:color w:val="1F2D3D"/>
          <w:sz w:val="21"/>
        </w:rPr>
        <w:tab/>
        <w:t>71</w:t>
      </w:r>
    </w:p>
    <w:p>
      <w:pPr>
        <w:spacing w:before="140" w:after="20"/>
        <w:tabs>
          <w:tab w:val="right" w:leader="dot" w:pos="9350"/>
        </w:tabs>
      </w:pPr>
      <w:r>
        <w:rPr>
          <w:rFonts w:ascii="Georgia" w:hAnsi="Georgia" w:cs="Georgia"/>
          <w:b/>
          <w:i w:val="0"/>
          <w:color w:val="1F2D3D"/>
          <w:sz w:val="21"/>
        </w:rPr>
        <w:t>Annex I: Speed-Craft Behavioral Norms and the Lead-Escort SOP</w:t>
      </w:r>
      <w:r>
        <w:rPr>
          <w:rFonts w:ascii="Georgia" w:hAnsi="Georgia" w:cs="Georgia"/>
          <w:b/>
          <w:i w:val="0"/>
          <w:color w:val="1F2D3D"/>
          <w:sz w:val="21"/>
        </w:rPr>
        <w:tab/>
        <w:t>73</w:t>
      </w:r>
    </w:p>
    <w:p>
      <w:pPr>
        <w:spacing w:before="140" w:after="20"/>
        <w:tabs>
          <w:tab w:val="right" w:leader="dot" w:pos="9350"/>
        </w:tabs>
      </w:pPr>
      <w:r>
        <w:rPr>
          <w:rFonts w:ascii="Georgia" w:hAnsi="Georgia" w:cs="Georgia"/>
          <w:b/>
          <w:i w:val="0"/>
          <w:color w:val="1F2D3D"/>
          <w:sz w:val="21"/>
        </w:rPr>
        <w:t>Annex J: Stability Audit Metrics and Gate Checklists</w:t>
      </w:r>
      <w:r>
        <w:rPr>
          <w:rFonts w:ascii="Georgia" w:hAnsi="Georgia" w:cs="Georgia"/>
          <w:b/>
          <w:i w:val="0"/>
          <w:color w:val="1F2D3D"/>
          <w:sz w:val="21"/>
        </w:rPr>
        <w:tab/>
        <w:t>76</w:t>
      </w:r>
    </w:p>
    <w:p>
      <w:pPr>
        <w:spacing w:before="140" w:after="20"/>
        <w:tabs>
          <w:tab w:val="right" w:leader="dot" w:pos="9350"/>
        </w:tabs>
      </w:pPr>
      <w:r>
        <w:rPr>
          <w:rFonts w:ascii="Georgia" w:hAnsi="Georgia" w:cs="Georgia"/>
          <w:b/>
          <w:i w:val="0"/>
          <w:color w:val="1F2D3D"/>
          <w:sz w:val="21"/>
        </w:rPr>
        <w:t>Annex K: Implementation Timeline</w:t>
      </w:r>
      <w:r>
        <w:rPr>
          <w:rFonts w:ascii="Georgia" w:hAnsi="Georgia" w:cs="Georgia"/>
          <w:b/>
          <w:i w:val="0"/>
          <w:color w:val="1F2D3D"/>
          <w:sz w:val="21"/>
        </w:rPr>
        <w:tab/>
        <w:t>77</w:t>
      </w:r>
    </w:p>
    <w:p>
      <w:pPr>
        <w:spacing w:before="140" w:after="20"/>
        <w:tabs>
          <w:tab w:val="right" w:leader="dot" w:pos="9350"/>
        </w:tabs>
      </w:pPr>
      <w:r>
        <w:rPr>
          <w:rFonts w:ascii="Georgia" w:hAnsi="Georgia" w:cs="Georgia"/>
          <w:b/>
          <w:i w:val="0"/>
          <w:color w:val="1F2D3D"/>
          <w:sz w:val="21"/>
        </w:rPr>
        <w:t>Annex L: Model Forms and Certificates</w:t>
      </w:r>
      <w:r>
        <w:rPr>
          <w:rFonts w:ascii="Georgia" w:hAnsi="Georgia" w:cs="Georgia"/>
          <w:b/>
          <w:i w:val="0"/>
          <w:color w:val="1F2D3D"/>
          <w:sz w:val="21"/>
        </w:rPr>
        <w:tab/>
        <w:t>78</w:t>
      </w:r>
    </w:p>
    <w:p>
      <w:pPr>
        <w:spacing w:before="140" w:after="20"/>
        <w:tabs>
          <w:tab w:val="right" w:leader="dot" w:pos="9350"/>
        </w:tabs>
      </w:pPr>
      <w:r>
        <w:rPr>
          <w:rFonts w:ascii="Georgia" w:hAnsi="Georgia" w:cs="Georgia"/>
          <w:b/>
          <w:i w:val="0"/>
          <w:color w:val="1F2D3D"/>
          <w:sz w:val="21"/>
        </w:rPr>
        <w:t>Annex M: Terminology, Definitions, and Narrative Symmetry</w:t>
      </w:r>
      <w:r>
        <w:rPr>
          <w:rFonts w:ascii="Georgia" w:hAnsi="Georgia" w:cs="Georgia"/>
          <w:b/>
          <w:i w:val="0"/>
          <w:color w:val="1F2D3D"/>
          <w:sz w:val="21"/>
        </w:rPr>
        <w:tab/>
        <w:t>79</w:t>
      </w:r>
    </w:p>
    <w:p>
      <w:pPr>
        <w:spacing w:before="140" w:after="20"/>
        <w:tabs>
          <w:tab w:val="right" w:leader="dot" w:pos="9350"/>
        </w:tabs>
      </w:pPr>
      <w:r>
        <w:rPr>
          <w:rFonts w:ascii="Georgia" w:hAnsi="Georgia" w:cs="Georgia"/>
          <w:b/>
          <w:i w:val="0"/>
          <w:color w:val="1F2D3D"/>
          <w:sz w:val="21"/>
        </w:rPr>
        <w:t>Annex N: The Reciprocity Map and the Demands Coverage Matrix</w:t>
      </w:r>
      <w:r>
        <w:rPr>
          <w:rFonts w:ascii="Georgia" w:hAnsi="Georgia" w:cs="Georgia"/>
          <w:b/>
          <w:i w:val="0"/>
          <w:color w:val="1F2D3D"/>
          <w:sz w:val="21"/>
        </w:rPr>
        <w:tab/>
        <w:t>80</w:t>
      </w:r>
    </w:p>
    <w:p>
      <w:pPr>
        <w:spacing w:before="0" w:after="0"/>
        <w:jc w:val="center"/>
      </w:pPr>
      <w:r>
        <w:br w:type="page"/>
      </w:r>
    </w:p>
    <w:p>
      <w:pPr>
        <w:pStyle w:val="Heading1"/>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Instrument</w:t>
            </w:r>
          </w:p>
        </w:tc>
        <w:tc>
          <w:tcPr/>
          <w:p>
            <w:pPr>
              <w:pStyle w:val="Compact"/>
              <w:jc w:val="left"/>
            </w:pPr>
            <w:r>
              <w:t xml:space="preserve">The Solh-e Tadriji Accord v1.0</w:t>
            </w:r>
          </w:p>
        </w:tc>
      </w:tr>
      <w:tr>
        <w:tc>
          <w:tcPr/>
          <w:p>
            <w:pPr>
              <w:pStyle w:val="Compact"/>
              <w:jc w:val="left"/>
            </w:pPr>
            <w:r>
              <w:t xml:space="preserve">Status</w:t>
            </w:r>
          </w:p>
        </w:tc>
        <w:tc>
          <w:tcPr/>
          <w:p>
            <w:pPr>
              <w:pStyle w:val="Compact"/>
              <w:jc w:val="left"/>
            </w:pPr>
            <w:r>
              <w:t xml:space="preserve">Negotiating draft, operative upon deposit of instruments of acceptance by the Principal Parties and the Guarantor Parties</w:t>
            </w:r>
          </w:p>
        </w:tc>
      </w:tr>
      <w:tr>
        <w:tc>
          <w:tcPr/>
          <w:p>
            <w:pPr>
              <w:pStyle w:val="Compact"/>
              <w:jc w:val="left"/>
            </w:pPr>
            <w:r>
              <w:t xml:space="preserve">Negotiation reference</w:t>
            </w:r>
          </w:p>
        </w:tc>
        <w:tc>
          <w:tcPr/>
          <w:p>
            <w:pPr>
              <w:pStyle w:val="Compact"/>
              <w:jc w:val="left"/>
            </w:pPr>
            <w:r>
              <w:t xml:space="preserve">STA-2026-v1.0</w:t>
            </w:r>
          </w:p>
        </w:tc>
      </w:tr>
      <w:tr>
        <w:tc>
          <w:tcPr/>
          <w:p>
            <w:pPr>
              <w:pStyle w:val="Compact"/>
              <w:jc w:val="left"/>
            </w:pPr>
            <w:r>
              <w:t xml:space="preserve">Authentic texts</w:t>
            </w:r>
          </w:p>
        </w:tc>
        <w:tc>
          <w:tcPr/>
          <w:p>
            <w:pPr>
              <w:pStyle w:val="Compact"/>
              <w:jc w:val="left"/>
            </w:pPr>
            <w:r>
              <w:t xml:space="preserve">English, Arabic, Farsi (English prevails for technical annexes)</w:t>
            </w:r>
          </w:p>
        </w:tc>
      </w:tr>
      <w:tr>
        <w:tc>
          <w:tcPr/>
          <w:p>
            <w:pPr>
              <w:pStyle w:val="Compact"/>
              <w:jc w:val="left"/>
            </w:pPr>
            <w:r>
              <w:t xml:space="preserve">Depositary</w:t>
            </w:r>
          </w:p>
        </w:tc>
        <w:tc>
          <w:tcPr/>
          <w:p>
            <w:pPr>
              <w:pStyle w:val="Compact"/>
              <w:jc w:val="left"/>
            </w:pPr>
            <w:r>
              <w:t xml:space="preserve">The Swiss Confederation</w:t>
            </w:r>
          </w:p>
        </w:tc>
      </w:tr>
      <w:tr>
        <w:tc>
          <w:tcPr/>
          <w:p>
            <w:pPr>
              <w:pStyle w:val="Compact"/>
              <w:jc w:val="left"/>
            </w:pPr>
            <w:r>
              <w:t xml:space="preserve">Seat</w:t>
            </w:r>
          </w:p>
        </w:tc>
        <w:tc>
          <w:tcPr/>
          <w:p>
            <w:pPr>
              <w:pStyle w:val="Compact"/>
              <w:jc w:val="left"/>
            </w:pPr>
            <w:r>
              <w:t xml:space="preserve">Tadriji Coordination Center, Muscat, with the Darya Mirror Facility, Bandar Abbas</w:t>
            </w:r>
          </w:p>
        </w:tc>
      </w:tr>
      <w:tr>
        <w:tc>
          <w:tcPr/>
          <w:p>
            <w:pPr>
              <w:pStyle w:val="Compact"/>
              <w:jc w:val="left"/>
            </w:pPr>
            <w:r>
              <w:t xml:space="preserve">Facilitation</w:t>
            </w:r>
          </w:p>
        </w:tc>
        <w:tc>
          <w:tcPr/>
          <w:p>
            <w:pPr>
              <w:pStyle w:val="Compact"/>
              <w:jc w:val="left"/>
            </w:pPr>
            <w:r>
              <w:t xml:space="preserve">The Sultanate of Oman, the Swiss Confederation, the State of Qatar, the Islamic Republic of Pakistan</w:t>
            </w:r>
          </w:p>
        </w:tc>
      </w:tr>
      <w:tr>
        <w:tc>
          <w:tcPr/>
          <w:p>
            <w:pPr>
              <w:pStyle w:val="Compact"/>
              <w:jc w:val="left"/>
            </w:pPr>
            <w:r>
              <w:t xml:space="preserve">Technical interface</w:t>
            </w:r>
          </w:p>
        </w:tc>
        <w:tc>
          <w:tcPr/>
          <w:p>
            <w:pPr>
              <w:pStyle w:val="Compact"/>
              <w:jc w:val="left"/>
            </w:pPr>
            <w:r>
              <w:t xml:space="preserve">International Maritime Organization; International Hydrographic Organization</w:t>
            </w:r>
          </w:p>
        </w:tc>
      </w:tr>
      <w:tr>
        <w:tc>
          <w:tcPr/>
          <w:p>
            <w:pPr>
              <w:pStyle w:val="Compact"/>
              <w:jc w:val="left"/>
            </w:pPr>
            <w:r>
              <w:t xml:space="preserve">Drafting convention</w:t>
            </w:r>
          </w:p>
        </w:tc>
        <w:tc>
          <w:tcPr/>
          <w:p>
            <w:pPr>
              <w:pStyle w:val="Compact"/>
              <w:jc w:val="left"/>
            </w:pPr>
            <w:r>
              <w:t xml:space="preserve">Immutable Present-Tense Matrix v2.5; Nofade Guarantee first among equals</w:t>
            </w:r>
          </w:p>
        </w:tc>
      </w:tr>
    </w:tbl>
    <w:bookmarkEnd w:id="22"/>
    <w:bookmarkStart w:id="23" w:name="cover-note-of-the-facilitating-states"/>
    <w:p>
      <w:pPr>
        <w:pStyle w:val="Heading1"/>
      </w:pPr>
      <w:r>
        <w:t xml:space="preserve">Cover Note of the Facilitating States</w:t>
      </w:r>
    </w:p>
    <w:p>
      <w:pPr>
        <w:pStyle w:val="FirstParagraph"/>
      </w:pPr>
      <w:r>
        <w:t xml:space="preserve">The Sultanate of Oman, the Swiss Confederation, the State of Qatar, and the Islamic Republic of Pakistan present this instrument to the authorized negotiators of the Principal Parties and the Guarantor Parties.</w:t>
      </w:r>
    </w:p>
    <w:p>
      <w:pPr>
        <w:pStyle w:val="BodyText"/>
      </w:pPr>
      <w:r>
        <w:t xml:space="preserve">The facilitating states observe that the conflict of 2026 closed the Strait of Hormuz, stranded more than two thousand vessels and twenty thousand mariners, and produced the largest disruption of world energy supply in the history of the oil market. The facilitating states further observe that the memorandum of understanding of 17 June 2026 restored a measure of calm, that its partial breakdown in July 2026 demonstrated the fragility of any single-stage settlement, and that the technical understanding now emerging between the coastal states on corridor geometry proves that patient, sequenced, measurement-based negotiation succeeds where maximal demands fail.</w:t>
      </w:r>
    </w:p>
    <w:p>
      <w:pPr>
        <w:pStyle w:val="BodyText"/>
      </w:pPr>
      <w:r>
        <w:t xml:space="preserve">This Accord converts that lesson into architecture. It begins with micro-exercises so small that no delegation risks anything by performing them, and it ends with a permanent treaty-level charter that codifies only what the earlier layers have already proven on the water. Between those two points stand six layers and six gates, each layer building institutional muscle memory, each gate certifying by measurement alone that the previous layer operated without destabilization.</w:t>
      </w:r>
    </w:p>
    <w:p>
      <w:pPr>
        <w:pStyle w:val="BodyText"/>
      </w:pPr>
      <w:r>
        <w:t xml:space="preserve">The facilitating states attest that every provision of this instrument respects the stated red lines of every participant as those participants have expressed them in the negotiating record of June through August 2026. The instrument trades nothing away. It sequences everything.</w:t>
      </w:r>
    </w:p>
    <w:bookmarkEnd w:id="23"/>
    <w:bookmarkStart w:id="24" w:name="drafting-convention-and-method"/>
    <w:p>
      <w:pPr>
        <w:pStyle w:val="Heading1"/>
      </w:pPr>
      <w:r>
        <w:t xml:space="preserve">Drafting Convention and Method</w:t>
      </w:r>
    </w:p>
    <w:p>
      <w:pPr>
        <w:pStyle w:val="FirstParagraph"/>
      </w:pPr>
      <w:r>
        <w:t xml:space="preserve">This Accord adheres to the Immutable Present-Tense Matrix. Five conventions govern every clause.</w:t>
      </w:r>
    </w:p>
    <w:p>
      <w:pPr>
        <w:pStyle w:val="BodyText"/>
      </w:pPr>
      <w:r>
        <w:rPr>
          <w:bCs/>
          <w:b/>
        </w:rPr>
        <w:t xml:space="preserve">Present-tense operation.</w:t>
      </w:r>
      <w:r>
        <w:t xml:space="preserve"> </w:t>
      </w:r>
      <w:r>
        <w:t xml:space="preserve">Every clause states an operative reality of the framework in the active present tense. The instrument contains no future-tense command and no hierarchical directive. Where a condition produces a consequence, the text states the consequence as an immediate, automatic event: verification of a Clean Week applies the increment; notification opens the corridor; certification opens the gate.</w:t>
      </w:r>
    </w:p>
    <w:p>
      <w:pPr>
        <w:pStyle w:val="BodyText"/>
      </w:pPr>
      <w:r>
        <w:rPr>
          <w:bCs/>
          <w:b/>
        </w:rPr>
        <w:t xml:space="preserve">Mutual architecture.</w:t>
      </w:r>
      <w:r>
        <w:t xml:space="preserve"> </w:t>
      </w:r>
      <w:r>
        <w:t xml:space="preserve">Every constraint attaches to the shared architecture, never to one Party’s restraint. The framework excludes kinetic enforcement; commercial transit operates under an absolute non-interdiction protocol; stockpiles of grievance dissolve under the verification architecture. No clause reads as one Party conceding to another.</w:t>
      </w:r>
    </w:p>
    <w:p>
      <w:pPr>
        <w:pStyle w:val="BodyText"/>
      </w:pPr>
      <w:r>
        <w:rPr>
          <w:bCs/>
          <w:b/>
        </w:rPr>
        <w:t xml:space="preserve">Automaticity.</w:t>
      </w:r>
      <w:r>
        <w:t xml:space="preserve"> </w:t>
      </w:r>
      <w:r>
        <w:t xml:space="preserve">Where this Accord promises a consequence, the consequence executes without a vote, without a request, and without a further instrument. Automaticity substitutes for trust.</w:t>
      </w:r>
    </w:p>
    <w:p>
      <w:pPr>
        <w:pStyle w:val="BodyText"/>
      </w:pPr>
      <w:r>
        <w:rPr>
          <w:bCs/>
          <w:b/>
        </w:rPr>
        <w:t xml:space="preserve">Simplicity.</w:t>
      </w:r>
      <w:r>
        <w:t xml:space="preserve"> </w:t>
      </w:r>
      <w:r>
        <w:t xml:space="preserve">The Six-Step Rule governs: no procedure in this Accord exceeds six operator-facing steps. The One-Page Principle governs every annex protocol: each protocol fits on one page as executed at the console or on the bridge.</w:t>
      </w:r>
    </w:p>
    <w:p>
      <w:pPr>
        <w:pStyle w:val="BodyText"/>
      </w:pPr>
      <w:r>
        <w:rPr>
          <w:bCs/>
          <w:b/>
        </w:rPr>
        <w:t xml:space="preserve">Reversibility with memory.</w:t>
      </w:r>
      <w:r>
        <w:t xml:space="preserve"> </w:t>
      </w:r>
      <w:r>
        <w:t xml:space="preserve">Every layer pauses without penalty and resumes from its accumulated record. Pauses delay progress; pauses never erase it.</w:t>
      </w:r>
    </w:p>
    <w:bookmarkEnd w:id="24"/>
    <w:bookmarkStart w:id="25" w:name="X566c92831409ef364010608915abc813e8a67c2"/>
    <w:p>
      <w:pPr>
        <w:pStyle w:val="Heading1"/>
      </w:pPr>
      <w:r>
        <w:t xml:space="preserve">Reader’s Guide: The Accord in Twenty Minutes</w:t>
      </w:r>
    </w:p>
    <w:p>
      <w:pPr>
        <w:pStyle w:val="FirstParagraph"/>
      </w:pPr>
      <w:r>
        <w:t xml:space="preserve">A head of government reads the Preamble, the Red Lines Register, and the Architecture at a Glance. A negotiator reads Parts I and VII with Annexes G and N. An operator reads Parts II through IV with Annexes A, B, C, and I. A verifier reads Part VI with Annexes D, E, and J. A finance ministry reads Part V with Annex F. An insurer reads Articles 27, 30, and 38 with Annexes A and H. Every page assumes the next reader holds a different passport; the text speaks to all of them at once.</w:t>
      </w:r>
    </w:p>
    <w:bookmarkEnd w:id="25"/>
    <w:bookmarkStart w:id="26" w:name="Xafcb914309a6a6c56b7c0a7d5b67944bd77591a"/>
    <w:p>
      <w:pPr>
        <w:pStyle w:val="Heading1"/>
      </w:pPr>
      <w:r>
        <w:t xml:space="preserve">Situation Assessment: The Strait on 11 August 2026</w:t>
      </w:r>
    </w:p>
    <w:p>
      <w:pPr>
        <w:pStyle w:val="FirstParagraph"/>
      </w:pPr>
      <w:r>
        <w:t xml:space="preserve">This assessment states the negotiating record as it stands on the date of this draft, because the architecture of this Accord answers this exact situation and no other.</w:t>
      </w:r>
    </w:p>
    <w:p>
      <w:pPr>
        <w:pStyle w:val="BodyText"/>
      </w:pPr>
      <w:r>
        <w:rPr>
          <w:bCs/>
          <w:b/>
        </w:rPr>
        <w:t xml:space="preserve">The military situation.</w:t>
      </w:r>
      <w:r>
        <w:t xml:space="preserve"> </w:t>
      </w:r>
      <w:r>
        <w:t xml:space="preserve">The conflict that began on 28 February 2026 closed the Strait of Hormuz to most traffic for more than five months. The United States maintains a naval blockade of vessels calling at Iranian ports, reinstated on 14 July 2026, and reports 48 vessels redirected since reinstatement. Iran maintains de facto control of transit through the strait, designates its own routes, and has attacked, boarded, or seized vessels transiting without coordination. Attacks on merchant vessels continue on the Omani side of the strait as recently as 8 August 2026. Traffic stands at roughly one quarter of pre-war volume.</w:t>
      </w:r>
    </w:p>
    <w:p>
      <w:pPr>
        <w:pStyle w:val="BodyText"/>
      </w:pPr>
      <w:r>
        <w:rPr>
          <w:bCs/>
          <w:b/>
        </w:rPr>
        <w:t xml:space="preserve">The diplomatic situation.</w:t>
      </w:r>
      <w:r>
        <w:t xml:space="preserve"> </w:t>
      </w:r>
      <w:r>
        <w:t xml:space="preserve">Direct United States-Iran negotiations stand suspended. Messages pass through intermediaries. Iran and Oman have agreed the geographical coordinates of a transit route and are completing arrangements for joint management, with a joint statement in final drafting. The emerging understanding routes inbound traffic through a northern lane in Iranian waters and outbound traffic through a southern lane in Omani waters, charges no fees during an interim period of sixty days, clears the median lane of mines within thirty days, and contemplates eventual announcement by Iran, Oman, the United States, and the International Maritime Organization. The Gulf Cooperation Council states endorse the emerging arrangement. The Iranian parliament’s National Security Committee has approved general outlines of a strait management plan.</w:t>
      </w:r>
    </w:p>
    <w:p>
      <w:pPr>
        <w:pStyle w:val="BodyText"/>
      </w:pPr>
      <w:r>
        <w:rPr>
          <w:bCs/>
          <w:b/>
        </w:rPr>
        <w:t xml:space="preserve">The stated positions.</w:t>
      </w:r>
      <w:r>
        <w:t xml:space="preserve"> </w:t>
      </w:r>
      <w:r>
        <w:t xml:space="preserve">Iran conditions full reopening on lifting of the blockade, compensation for war damage, lifting of sanctions, and release of frozen assets, and insists on a recognized role in the administration of the strait, including service charges after any interim period. The United States rejects any toll on passage, demands free and safe navigation, demands cessation of attacks on shipping, and has answered Iran’s compensation demand with a counter-demand for compensation. Oman opposes tolls and any arrangement that alters lane placement to impair transit passage, and insists on consultation with the other littoral states and the International Maritime Organization.</w:t>
      </w:r>
    </w:p>
    <w:p>
      <w:pPr>
        <w:pStyle w:val="BodyText"/>
      </w:pPr>
      <w:r>
        <w:rPr>
          <w:bCs/>
          <w:b/>
        </w:rPr>
        <w:t xml:space="preserve">The design conclusion.</w:t>
      </w:r>
      <w:r>
        <w:t xml:space="preserve"> </w:t>
      </w:r>
      <w:r>
        <w:t xml:space="preserve">A single-stage treaty that resolves administration, fees, security, compensation, and sanctions in one text fails today, because each side reads any fixed allocation as the other side’s victory. A layered architecture that begins with cooperation too small to refuse, gates every expansion on verified stability, converts contested questions into earned positions, and reserves the permanent settlement for the point at which the water itself has testified, succeeds. This Accord is that architecture.</w:t>
      </w:r>
    </w:p>
    <w:bookmarkEnd w:id="26"/>
    <w:bookmarkStart w:id="27" w:name="preamble"/>
    <w:p>
      <w:pPr>
        <w:pStyle w:val="Heading1"/>
      </w:pPr>
      <w:r>
        <w:t xml:space="preserve">Preamble</w:t>
      </w:r>
    </w:p>
    <w:p>
      <w:pPr>
        <w:pStyle w:val="FirstParagraph"/>
      </w:pPr>
      <w:r>
        <w:t xml:space="preserve">The Islamic Republic of Iran and the Sultanate of Oman as Principal Parties; the United States of America, the State of Qatar, and the Islamic Republic of Pakistan as Guarantor Parties; joined by the acceding littoral states and the Observer Participants;</w:t>
      </w:r>
    </w:p>
    <w:p>
      <w:pPr>
        <w:pStyle w:val="BodyText"/>
      </w:pPr>
      <w:r>
        <w:t xml:space="preserve">Recalling the conflict of 2026 and the closure and contested reopening of the Strait of Hormuz that followed it;</w:t>
      </w:r>
    </w:p>
    <w:p>
      <w:pPr>
        <w:pStyle w:val="BodyText"/>
      </w:pPr>
      <w:r>
        <w:t xml:space="preserve">Recalling the memorandum of understanding of 17 June 2026, its ceasefire architecture, and its direction that the coastal states define the future administration and maritime services of the strait in discussion with the other littoral states, in line with applicable international law and the sovereign rights of the coastal states;</w:t>
      </w:r>
    </w:p>
    <w:p>
      <w:pPr>
        <w:pStyle w:val="BodyText"/>
      </w:pPr>
      <w:r>
        <w:t xml:space="preserve">Acknowledging the technical agreement already reached between the coastal states on corridor geometry, entry and exit points, and routing logic;</w:t>
      </w:r>
    </w:p>
    <w:p>
      <w:pPr>
        <w:pStyle w:val="BodyText"/>
      </w:pPr>
      <w:r>
        <w:t xml:space="preserve">Recognizing that the strait carries roughly one fifth of the world’s traded oil and one fifth of its liquefied natural gas, that twenty thousand mariners endured months stranded within its approaches, and that the world economy bears the cost of every hour of its closure;</w:t>
      </w:r>
    </w:p>
    <w:p>
      <w:pPr>
        <w:pStyle w:val="BodyText"/>
      </w:pPr>
      <w:r>
        <w:t xml:space="preserve">Recognizing further that maximal positions on administration, fees, and security, imposed in a single stroke, produce winners, losers, and renewed conflict, while sequenced, measured, reversible cooperation produces facts on the water that no delegation disputes;</w:t>
      </w:r>
    </w:p>
    <w:p>
      <w:pPr>
        <w:pStyle w:val="BodyText"/>
      </w:pPr>
      <w:r>
        <w:t xml:space="preserve">Affirming that freedom of navigation through the strait serves every nation, and that the coastal states’ stewardship of that freedom deserves recognition, structure, and recompense for services genuinely rendered;</w:t>
      </w:r>
    </w:p>
    <w:p>
      <w:pPr>
        <w:pStyle w:val="BodyText"/>
      </w:pPr>
      <w:r>
        <w:t xml:space="preserve">Convinced that a governance system which grows a Party’s authority in proportion to verified good conduct converts rivalry into investment, converts suspicion into measurement, and converts the question of who moves first into a synchronized first step that all sides take together;</w:t>
      </w:r>
    </w:p>
    <w:p>
      <w:pPr>
        <w:pStyle w:val="BodyText"/>
      </w:pPr>
      <w:r>
        <w:t xml:space="preserve">Determined to keep every nuclear question on its own separate track, firewalled in full from the maritime architecture this Accord builds;</w:t>
      </w:r>
    </w:p>
    <w:p>
      <w:pPr>
        <w:pStyle w:val="BodyText"/>
      </w:pPr>
      <w:r>
        <w:t xml:space="preserve">Determined equally that no dispute over compensation, sanctions, or force posture blocks the restoration of safe passage, and that reciprocal, evidence-based mechanisms answer every claim that any Party brings;</w:t>
      </w:r>
    </w:p>
    <w:p>
      <w:pPr>
        <w:pStyle w:val="BodyText"/>
      </w:pPr>
      <w:r>
        <w:t xml:space="preserve">Hereby establish the Solh-e Tadriji Accord: gradual peace, built layer upon layer, gate upon gate, until the strait stands permanently open under the shared stewardship of its coastal states.</w:t>
      </w:r>
    </w:p>
    <w:bookmarkEnd w:id="27"/>
    <w:bookmarkStart w:id="28" w:name="the-red-lines-register-summary"/>
    <w:p>
      <w:pPr>
        <w:pStyle w:val="Heading1"/>
      </w:pPr>
      <w:r>
        <w:t xml:space="preserve">The Red Lines Register (Summary)</w:t>
      </w:r>
    </w:p>
    <w:p>
      <w:pPr>
        <w:pStyle w:val="FirstParagraph"/>
      </w:pPr>
      <w:r>
        <w:t xml:space="preserve">This Accord registers eighteen red lines in Annex G in full operative text. Each red line names a protected interest and the architectural safeguard that holds the line without daily political effort. No provision of this Accord, and no act under it, crosses a registered line. The Register amends only by unanimity of the Principal Parties and the Guarantor Parties. A public statement outside the Register carries no operative weight. In summary:</w:t>
      </w:r>
    </w:p>
    <w:p>
      <w:pPr>
        <w:numPr>
          <w:ilvl w:val="0"/>
          <w:numId w:val="1001"/>
        </w:numPr>
        <w:pStyle w:val="Compact"/>
      </w:pPr>
      <w:r>
        <w:t xml:space="preserve">RL-1: No charge of any kind attaches to the act of transit.</w:t>
      </w:r>
    </w:p>
    <w:p>
      <w:pPr>
        <w:numPr>
          <w:ilvl w:val="0"/>
          <w:numId w:val="1001"/>
        </w:numPr>
        <w:pStyle w:val="Compact"/>
      </w:pPr>
      <w:r>
        <w:t xml:space="preserve">RL-2: The Southern Assurance Passage transits unconditionally, without any notification layer.</w:t>
      </w:r>
    </w:p>
    <w:p>
      <w:pPr>
        <w:numPr>
          <w:ilvl w:val="0"/>
          <w:numId w:val="1001"/>
        </w:numPr>
        <w:pStyle w:val="Compact"/>
      </w:pPr>
      <w:r>
        <w:t xml:space="preserve">RL-3: The northern littoral holds a recognized, formal, continuous management role.</w:t>
      </w:r>
    </w:p>
    <w:p>
      <w:pPr>
        <w:numPr>
          <w:ilvl w:val="0"/>
          <w:numId w:val="1001"/>
        </w:numPr>
        <w:pStyle w:val="Compact"/>
      </w:pPr>
      <w:r>
        <w:t xml:space="preserve">RL-4: No permission regime operates anywhere in this framework.</w:t>
      </w:r>
    </w:p>
    <w:p>
      <w:pPr>
        <w:numPr>
          <w:ilvl w:val="0"/>
          <w:numId w:val="1001"/>
        </w:numPr>
        <w:pStyle w:val="Compact"/>
      </w:pPr>
      <w:r>
        <w:t xml:space="preserve">RL-5: No boarding, diversion, seizure, or inspection occurs inside a passage.</w:t>
      </w:r>
    </w:p>
    <w:p>
      <w:pPr>
        <w:numPr>
          <w:ilvl w:val="0"/>
          <w:numId w:val="1001"/>
        </w:numPr>
        <w:pStyle w:val="Compact"/>
      </w:pPr>
      <w:r>
        <w:t xml:space="preserve">RL-6: The framework’s operational bodies remain civilian.</w:t>
      </w:r>
    </w:p>
    <w:p>
      <w:pPr>
        <w:numPr>
          <w:ilvl w:val="0"/>
          <w:numId w:val="1001"/>
        </w:numPr>
        <w:pStyle w:val="Compact"/>
      </w:pPr>
      <w:r>
        <w:t xml:space="preserve">RL-7: No shipper or operator pays any Party directly for anything.</w:t>
      </w:r>
    </w:p>
    <w:p>
      <w:pPr>
        <w:numPr>
          <w:ilvl w:val="0"/>
          <w:numId w:val="1001"/>
        </w:numPr>
        <w:pStyle w:val="Compact"/>
      </w:pPr>
      <w:r>
        <w:t xml:space="preserve">RL-8: Each Party’s sovereignty over its own waters stands intact.</w:t>
      </w:r>
    </w:p>
    <w:p>
      <w:pPr>
        <w:numPr>
          <w:ilvl w:val="0"/>
          <w:numId w:val="1001"/>
        </w:numPr>
        <w:pStyle w:val="Compact"/>
      </w:pPr>
      <w:r>
        <w:t xml:space="preserve">RL-9: No commitment expires silently.</w:t>
      </w:r>
    </w:p>
    <w:p>
      <w:pPr>
        <w:numPr>
          <w:ilvl w:val="0"/>
          <w:numId w:val="1001"/>
        </w:numPr>
        <w:pStyle w:val="Compact"/>
      </w:pPr>
      <w:r>
        <w:t xml:space="preserve">RL-10: Humanitarian traffic moves in every flow state.</w:t>
      </w:r>
    </w:p>
    <w:p>
      <w:pPr>
        <w:numPr>
          <w:ilvl w:val="0"/>
          <w:numId w:val="1001"/>
        </w:numPr>
        <w:pStyle w:val="Compact"/>
      </w:pPr>
      <w:r>
        <w:t xml:space="preserve">RL-11: No finding of fact rests on a single input.</w:t>
      </w:r>
    </w:p>
    <w:p>
      <w:pPr>
        <w:numPr>
          <w:ilvl w:val="0"/>
          <w:numId w:val="1001"/>
        </w:numPr>
        <w:pStyle w:val="Compact"/>
      </w:pPr>
      <w:r>
        <w:t xml:space="preserve">RL-12: Framework assets never support kinetic action by any actor.</w:t>
      </w:r>
    </w:p>
    <w:p>
      <w:pPr>
        <w:numPr>
          <w:ilvl w:val="0"/>
          <w:numId w:val="1001"/>
        </w:numPr>
        <w:pStyle w:val="Compact"/>
      </w:pPr>
      <w:r>
        <w:t xml:space="preserve">RL-13: No single coastal state governs the strait alone.</w:t>
      </w:r>
    </w:p>
    <w:p>
      <w:pPr>
        <w:numPr>
          <w:ilvl w:val="0"/>
          <w:numId w:val="1001"/>
        </w:numPr>
        <w:pStyle w:val="Compact"/>
      </w:pPr>
      <w:r>
        <w:t xml:space="preserve">RL-14: No external state commands any element of this framework.</w:t>
      </w:r>
    </w:p>
    <w:p>
      <w:pPr>
        <w:numPr>
          <w:ilvl w:val="0"/>
          <w:numId w:val="1001"/>
        </w:numPr>
        <w:pStyle w:val="Compact"/>
      </w:pPr>
      <w:r>
        <w:t xml:space="preserve">RL-15: The nuclear file remains firewalled from this Accord in both directions.</w:t>
      </w:r>
    </w:p>
    <w:p>
      <w:pPr>
        <w:numPr>
          <w:ilvl w:val="0"/>
          <w:numId w:val="1001"/>
        </w:numPr>
        <w:pStyle w:val="Compact"/>
      </w:pPr>
      <w:r>
        <w:t xml:space="preserve">RL-16: No commercial vessel faces exclusion by reason of flag or nationality.</w:t>
      </w:r>
    </w:p>
    <w:p>
      <w:pPr>
        <w:numPr>
          <w:ilvl w:val="0"/>
          <w:numId w:val="1001"/>
        </w:numPr>
        <w:pStyle w:val="Compact"/>
      </w:pPr>
      <w:r>
        <w:t xml:space="preserve">RL-17: Every step-back carries a defined, automatic earn-back path.</w:t>
      </w:r>
    </w:p>
    <w:p>
      <w:pPr>
        <w:numPr>
          <w:ilvl w:val="0"/>
          <w:numId w:val="1001"/>
        </w:numPr>
        <w:pStyle w:val="Compact"/>
      </w:pPr>
      <w:r>
        <w:t xml:space="preserve">RL-18: Every gate certifies by measurement, never by political decision.</w:t>
      </w:r>
    </w:p>
    <w:bookmarkEnd w:id="28"/>
    <w:bookmarkStart w:id="29" w:name="the-architecture-at-a-glance"/>
    <w:p>
      <w:pPr>
        <w:pStyle w:val="Heading1"/>
      </w:pPr>
      <w:r>
        <w:t xml:space="preserve">The Architecture at a Glance</w:t>
      </w:r>
    </w:p>
    <w:p>
      <w:pPr>
        <w:pStyle w:val="FirstParagraph"/>
      </w:pPr>
      <w:r>
        <w:t xml:space="preserve">The Accord builds governance in six layers, each sealed by a gate that certifies stability before the next layer opens. The sequence follows the proven logic of every stabilized multi-sovereign chokepoint: visibility before movement, movement before money, money before authority, authority before permanence.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Window</w:t>
            </w:r>
          </w:p>
        </w:tc>
        <w:tc>
          <w:tcPr/>
          <w:p>
            <w:pPr>
              <w:pStyle w:val="Compact"/>
              <w:jc w:val="left"/>
            </w:pPr>
            <w:r>
              <w:t xml:space="preserve">Core content</w:t>
            </w:r>
          </w:p>
        </w:tc>
        <w:tc>
          <w:tcPr/>
          <w:p>
            <w:pPr>
              <w:pStyle w:val="Compact"/>
              <w:jc w:val="left"/>
            </w:pPr>
            <w:r>
              <w:t xml:space="preserve">Gate</w:t>
            </w:r>
          </w:p>
        </w:tc>
      </w:tr>
      <w:tr>
        <w:tc>
          <w:tcPr/>
          <w:p>
            <w:pPr>
              <w:pStyle w:val="Compact"/>
              <w:jc w:val="left"/>
            </w:pPr>
            <w:r>
              <w:t xml:space="preserve">L-0</w:t>
            </w:r>
          </w:p>
        </w:tc>
        <w:tc>
          <w:tcPr/>
          <w:p>
            <w:pPr>
              <w:pStyle w:val="Compact"/>
              <w:jc w:val="left"/>
            </w:pPr>
            <w:r>
              <w:t xml:space="preserve">The Micro-Exercise Lattice</w:t>
            </w:r>
          </w:p>
        </w:tc>
        <w:tc>
          <w:tcPr/>
          <w:p>
            <w:pPr>
              <w:pStyle w:val="Compact"/>
              <w:jc w:val="left"/>
            </w:pPr>
            <w:r>
              <w:t xml:space="preserve">Days 0 to 45</w:t>
            </w:r>
          </w:p>
        </w:tc>
        <w:tc>
          <w:tcPr/>
          <w:p>
            <w:pPr>
              <w:pStyle w:val="Compact"/>
              <w:jc w:val="left"/>
            </w:pPr>
            <w:r>
              <w:t xml:space="preserve">Fifty micro-exercises in five sub-layers; the four-person Lattice Cell; zero authority, zero enforcement, full reversibility</w:t>
            </w:r>
          </w:p>
        </w:tc>
        <w:tc>
          <w:tcPr/>
          <w:p>
            <w:pPr>
              <w:pStyle w:val="Compact"/>
              <w:jc w:val="left"/>
            </w:pPr>
            <w:r>
              <w:t xml:space="preserve">G-0 First Stability Audit</w:t>
            </w:r>
          </w:p>
        </w:tc>
      </w:tr>
      <w:tr>
        <w:tc>
          <w:tcPr/>
          <w:p>
            <w:pPr>
              <w:pStyle w:val="Compact"/>
              <w:jc w:val="left"/>
            </w:pPr>
            <w:r>
              <w:t xml:space="preserve">L-1</w:t>
            </w:r>
          </w:p>
        </w:tc>
        <w:tc>
          <w:tcPr/>
          <w:p>
            <w:pPr>
              <w:pStyle w:val="Compact"/>
              <w:jc w:val="left"/>
            </w:pPr>
            <w:r>
              <w:t xml:space="preserve">The Shared Data Layer</w:t>
            </w:r>
          </w:p>
        </w:tc>
        <w:tc>
          <w:tcPr/>
          <w:p>
            <w:pPr>
              <w:pStyle w:val="Compact"/>
              <w:jc w:val="left"/>
            </w:pPr>
            <w:r>
              <w:t xml:space="preserve">Days 45 to 90</w:t>
            </w:r>
          </w:p>
        </w:tc>
        <w:tc>
          <w:tcPr/>
          <w:p>
            <w:pPr>
              <w:pStyle w:val="Compact"/>
              <w:jc w:val="left"/>
            </w:pPr>
            <w:r>
              <w:t xml:space="preserve">Joint visibility system; mirrored data exchange; data custody rules; public Open Water Bulletin</w:t>
            </w:r>
          </w:p>
        </w:tc>
        <w:tc>
          <w:tcPr/>
          <w:p>
            <w:pPr>
              <w:pStyle w:val="Compact"/>
              <w:jc w:val="left"/>
            </w:pPr>
            <w:r>
              <w:t xml:space="preserve">G-1 Data Integrity Audit</w:t>
            </w:r>
          </w:p>
        </w:tc>
      </w:tr>
      <w:tr>
        <w:tc>
          <w:tcPr/>
          <w:p>
            <w:pPr>
              <w:pStyle w:val="Compact"/>
              <w:jc w:val="left"/>
            </w:pPr>
            <w:r>
              <w:t xml:space="preserve">L-2</w:t>
            </w:r>
          </w:p>
        </w:tc>
        <w:tc>
          <w:tcPr/>
          <w:p>
            <w:pPr>
              <w:pStyle w:val="Compact"/>
              <w:jc w:val="left"/>
            </w:pPr>
            <w:r>
              <w:t xml:space="preserve">The Coordinated Routing Layer</w:t>
            </w:r>
          </w:p>
        </w:tc>
        <w:tc>
          <w:tcPr/>
          <w:p>
            <w:pPr>
              <w:pStyle w:val="Compact"/>
              <w:jc w:val="left"/>
            </w:pPr>
            <w:r>
              <w:t xml:space="preserve">Days 90 to 150</w:t>
            </w:r>
          </w:p>
        </w:tc>
        <w:tc>
          <w:tcPr/>
          <w:p>
            <w:pPr>
              <w:pStyle w:val="Compact"/>
              <w:jc w:val="left"/>
            </w:pPr>
            <w:r>
              <w:t xml:space="preserve">Three-corridor system on agreed coordinates; notification protocol; non-interdiction; lead escorts; mine clearance; blockade drawdown completes</w:t>
            </w:r>
          </w:p>
        </w:tc>
        <w:tc>
          <w:tcPr/>
          <w:p>
            <w:pPr>
              <w:pStyle w:val="Compact"/>
              <w:jc w:val="left"/>
            </w:pPr>
            <w:r>
              <w:t xml:space="preserve">G-2 Corridor Stability Audit</w:t>
            </w:r>
          </w:p>
        </w:tc>
      </w:tr>
      <w:tr>
        <w:tc>
          <w:tcPr/>
          <w:p>
            <w:pPr>
              <w:pStyle w:val="Compact"/>
              <w:jc w:val="left"/>
            </w:pPr>
            <w:r>
              <w:t xml:space="preserve">L-3</w:t>
            </w:r>
          </w:p>
        </w:tc>
        <w:tc>
          <w:tcPr/>
          <w:p>
            <w:pPr>
              <w:pStyle w:val="Compact"/>
              <w:jc w:val="left"/>
            </w:pPr>
            <w:r>
              <w:t xml:space="preserve">The Revenue and Services Layer</w:t>
            </w:r>
          </w:p>
        </w:tc>
        <w:tc>
          <w:tcPr/>
          <w:p>
            <w:pPr>
              <w:pStyle w:val="Compact"/>
              <w:jc w:val="left"/>
            </w:pPr>
            <w:r>
              <w:t xml:space="preserve">Days 150 to 240</w:t>
            </w:r>
          </w:p>
        </w:tc>
        <w:tc>
          <w:tcPr/>
          <w:p>
            <w:pPr>
              <w:pStyle w:val="Compact"/>
              <w:jc w:val="left"/>
            </w:pPr>
            <w:r>
              <w:t xml:space="preserve">Zero-toll rule; fee simulation; Verified Services Catalog; neutral escrow; sanctions-compliance firewall</w:t>
            </w:r>
          </w:p>
        </w:tc>
        <w:tc>
          <w:tcPr/>
          <w:p>
            <w:pPr>
              <w:pStyle w:val="Compact"/>
              <w:jc w:val="left"/>
            </w:pPr>
            <w:r>
              <w:t xml:space="preserve">G-3 Financial Integrity Audit</w:t>
            </w:r>
          </w:p>
        </w:tc>
      </w:tr>
      <w:tr>
        <w:tc>
          <w:tcPr/>
          <w:p>
            <w:pPr>
              <w:pStyle w:val="Compact"/>
              <w:jc w:val="left"/>
            </w:pPr>
            <w:r>
              <w:t xml:space="preserve">L-4</w:t>
            </w:r>
          </w:p>
        </w:tc>
        <w:tc>
          <w:tcPr/>
          <w:p>
            <w:pPr>
              <w:pStyle w:val="Compact"/>
              <w:jc w:val="left"/>
            </w:pPr>
            <w:r>
              <w:t xml:space="preserve">The Joint Oversight Layer</w:t>
            </w:r>
          </w:p>
        </w:tc>
        <w:tc>
          <w:tcPr/>
          <w:p>
            <w:pPr>
              <w:pStyle w:val="Compact"/>
              <w:jc w:val="left"/>
            </w:pPr>
            <w:r>
              <w:t xml:space="preserve">Days 240 to 360</w:t>
            </w:r>
          </w:p>
        </w:tc>
        <w:tc>
          <w:tcPr/>
          <w:p>
            <w:pPr>
              <w:pStyle w:val="Compact"/>
              <w:jc w:val="left"/>
            </w:pPr>
            <w:r>
              <w:t xml:space="preserve">Permanent institutions; the Graduated Trust Escalator; Twin Key; dispute ladder; tribunal; Mutual Claims Commission</w:t>
            </w:r>
          </w:p>
        </w:tc>
        <w:tc>
          <w:tcPr/>
          <w:p>
            <w:pPr>
              <w:pStyle w:val="Compact"/>
              <w:jc w:val="left"/>
            </w:pPr>
            <w:r>
              <w:t xml:space="preserve">G-4 Governance Stability Audit</w:t>
            </w:r>
          </w:p>
        </w:tc>
      </w:tr>
      <w:tr>
        <w:tc>
          <w:tcPr/>
          <w:p>
            <w:pPr>
              <w:pStyle w:val="Compact"/>
              <w:jc w:val="left"/>
            </w:pPr>
            <w:r>
              <w:t xml:space="preserve">L-5</w:t>
            </w:r>
          </w:p>
        </w:tc>
        <w:tc>
          <w:tcPr/>
          <w:p>
            <w:pPr>
              <w:pStyle w:val="Compact"/>
              <w:jc w:val="left"/>
            </w:pPr>
            <w:r>
              <w:t xml:space="preserve">The Permanent Charter</w:t>
            </w:r>
          </w:p>
        </w:tc>
        <w:tc>
          <w:tcPr/>
          <w:p>
            <w:pPr>
              <w:pStyle w:val="Compact"/>
              <w:jc w:val="left"/>
            </w:pPr>
            <w:r>
              <w:t xml:space="preserve">Day 360 onward</w:t>
            </w:r>
          </w:p>
        </w:tc>
        <w:tc>
          <w:tcPr/>
          <w:p>
            <w:pPr>
              <w:pStyle w:val="Compact"/>
              <w:jc w:val="left"/>
            </w:pPr>
            <w:r>
              <w:t xml:space="preserve">Conversion of every proven component into the treaty-level Hormuz Permanent Charter; accession architecture; protected core</w:t>
            </w:r>
          </w:p>
        </w:tc>
        <w:tc>
          <w:tcPr/>
          <w:p>
            <w:pPr>
              <w:pStyle w:val="Compact"/>
              <w:jc w:val="left"/>
            </w:pPr>
            <w:r>
              <w:t xml:space="preserve">G-5 Charter Conversion</w:t>
            </w:r>
          </w:p>
        </w:tc>
      </w:tr>
    </w:tbl>
    <w:p>
      <w:pPr>
        <w:pStyle w:val="BodyText"/>
      </w:pPr>
      <w:r>
        <w:t xml:space="preserve">Five words hold the whole design:</w:t>
      </w:r>
      <w:r>
        <w:t xml:space="preserve"> </w:t>
      </w:r>
      <w:r>
        <w:rPr>
          <w:bCs/>
          <w:b/>
        </w:rPr>
        <w:t xml:space="preserve">Visibility, Movement, Money, Authority, Permanence.</w:t>
      </w:r>
    </w:p>
    <w:bookmarkEnd w:id="29"/>
    <w:bookmarkStart w:id="77" w:name="part-i-foundations"/>
    <w:p>
      <w:pPr>
        <w:pStyle w:val="Heading1"/>
      </w:pPr>
      <w:r>
        <w:t xml:space="preserve">PART I: FOUNDATIONS</w:t>
      </w:r>
    </w:p>
    <w:bookmarkStart w:id="36" w:name="X78d9e4c0b852b1f7127b9522c0f6af8953a8f8b"/>
    <w:p>
      <w:pPr>
        <w:pStyle w:val="Heading2"/>
      </w:pPr>
      <w:r>
        <w:t xml:space="preserve">Article 1: Establishment, Purpose, and Scope</w:t>
      </w:r>
    </w:p>
    <w:bookmarkStart w:id="30" w:name="establishment"/>
    <w:p>
      <w:pPr>
        <w:pStyle w:val="Heading3"/>
      </w:pPr>
      <w:r>
        <w:t xml:space="preserve">1.1 Establishment</w:t>
      </w:r>
    </w:p>
    <w:p>
      <w:pPr>
        <w:pStyle w:val="FirstParagraph"/>
      </w:pPr>
      <w:r>
        <w:t xml:space="preserve">The Principal Parties, the Guarantor Parties, and the acceding states establish the Solh-e Tadriji Accord as a layered, gated governance architecture for the Strait of Hormuz. The Accord operates from the date of entry into force under Article 55 and continues without sunset under the Nofade Guarantee of Article 6.</w:t>
      </w:r>
    </w:p>
    <w:bookmarkEnd w:id="30"/>
    <w:bookmarkStart w:id="31" w:name="purpose"/>
    <w:p>
      <w:pPr>
        <w:pStyle w:val="Heading3"/>
      </w:pPr>
      <w:r>
        <w:t xml:space="preserve">1.2 Purpose</w:t>
      </w:r>
    </w:p>
    <w:p>
      <w:pPr>
        <w:pStyle w:val="FirstParagraph"/>
      </w:pPr>
      <w:r>
        <w:t xml:space="preserve">The Accord pursues four purposes in fixed order of priority: first, the safety of life and the protection of mariners; second, the restoration of predictable, safe, and uninterrupted commercial navigation through the strait; third, the construction of a durable, civilian, multilateral governance system that recognizes the coastal states’ stewardship and serves all user states; and fourth, the conversion of verified cooperation into permanent treaty-level governance.</w:t>
      </w:r>
    </w:p>
    <w:bookmarkEnd w:id="31"/>
    <w:bookmarkStart w:id="32" w:name="what-this-accord-does"/>
    <w:p>
      <w:pPr>
        <w:pStyle w:val="Heading3"/>
      </w:pPr>
      <w:r>
        <w:t xml:space="preserve">1.3 What This Accord Does</w:t>
      </w:r>
    </w:p>
    <w:p>
      <w:pPr>
        <w:pStyle w:val="FirstParagraph"/>
      </w:pPr>
      <w:r>
        <w:t xml:space="preserve">The Accord sequences governance into six layers (L-0 through L-5). Each layer introduces defined institutions, procedures, and services. Each gate (G-0 through G-5) certifies by published measurement that the layer beneath it operated without destabilization. The Accord synchronizes the blockade drawdown, the reopening of the strait, the revenue architecture, and the dispute mechanisms so that no Party moves first and every Party moves together.</w:t>
      </w:r>
    </w:p>
    <w:bookmarkEnd w:id="32"/>
    <w:bookmarkStart w:id="33" w:name="what-this-accord-does-not-do"/>
    <w:p>
      <w:pPr>
        <w:pStyle w:val="Heading3"/>
      </w:pPr>
      <w:r>
        <w:t xml:space="preserve">1.4 What This Accord Does Not Do</w:t>
      </w:r>
    </w:p>
    <w:p>
      <w:pPr>
        <w:pStyle w:val="FirstParagraph"/>
      </w:pPr>
      <w:r>
        <w:t xml:space="preserve">The Accord prejudges no boundary, no sovereignty claim, and no position on the legal status of the strait’s waters. The Accord addresses no nuclear question, no missile question, and no question of domestic political structure in any state. The Accord confers no enforcement authority on any external state and creates no permission regime over commercial transit. The Accord imposes no charge on the act of transit, in any layer, at any time.</w:t>
      </w:r>
    </w:p>
    <w:bookmarkEnd w:id="33"/>
    <w:bookmarkStart w:id="34" w:name="geographic-scope"/>
    <w:p>
      <w:pPr>
        <w:pStyle w:val="Heading3"/>
      </w:pPr>
      <w:r>
        <w:t xml:space="preserve">1.5 Geographic Scope</w:t>
      </w:r>
    </w:p>
    <w:p>
      <w:pPr>
        <w:pStyle w:val="FirstParagraph"/>
      </w:pPr>
      <w:r>
        <w:t xml:space="preserve">The Accord applies within the Governance Area defined in Article 4 and Annex A, comprising the waters and superjacent airspace of the Strait of Hormuz and its eastern and western approaches as bounded by the polygon of Table A.1, together with the designated anchorages of Table A.7 and the liaison stations of Table A.9.</w:t>
      </w:r>
    </w:p>
    <w:bookmarkEnd w:id="34"/>
    <w:bookmarkStart w:id="35" w:name="functional-scope"/>
    <w:p>
      <w:pPr>
        <w:pStyle w:val="Heading3"/>
      </w:pPr>
      <w:r>
        <w:t xml:space="preserve">1.6 Functional Scope</w:t>
      </w:r>
    </w:p>
    <w:p>
      <w:pPr>
        <w:pStyle w:val="FirstParagraph"/>
      </w:pPr>
      <w:r>
        <w:t xml:space="preserve">The Accord governs navigation safety, traffic coordination, hazard survey and clearance, data exchange, maritime services and their financing, verification, incident management, and dispute resolution within the Governance Area. Military operations stand outside the Accord’s governance except as the deconfliction rules of Article 29 and Annex C bind the conduct of forces in and near the corridors.</w:t>
      </w:r>
    </w:p>
    <w:bookmarkEnd w:id="35"/>
    <w:bookmarkEnd w:id="36"/>
    <w:bookmarkStart w:id="45" w:name="article-2-legal-foundations"/>
    <w:p>
      <w:pPr>
        <w:pStyle w:val="Heading2"/>
      </w:pPr>
      <w:r>
        <w:t xml:space="preserve">Article 2: Legal Foundations</w:t>
      </w:r>
    </w:p>
    <w:bookmarkStart w:id="37" w:name="Xe2fae6c564d899ecf93796db1a35e1f83b2ce7e"/>
    <w:p>
      <w:pPr>
        <w:pStyle w:val="Heading3"/>
      </w:pPr>
      <w:r>
        <w:t xml:space="preserve">2.1 Sovereign Equality of the Littoral Parties</w:t>
      </w:r>
    </w:p>
    <w:p>
      <w:pPr>
        <w:pStyle w:val="FirstParagraph"/>
      </w:pPr>
      <w:r>
        <w:t xml:space="preserve">The Principal Parties act as sovereign equals throughout this Accord. Every institution seats them symmetrically; every procedure applies to them identically; every burden and every benefit allocates by published rule, never by status.</w:t>
      </w:r>
    </w:p>
    <w:bookmarkEnd w:id="37"/>
    <w:bookmarkStart w:id="38" w:name="transit-passage-preserved"/>
    <w:p>
      <w:pPr>
        <w:pStyle w:val="Heading3"/>
      </w:pPr>
      <w:r>
        <w:t xml:space="preserve">2.2 Transit Passage Preserved</w:t>
      </w:r>
    </w:p>
    <w:p>
      <w:pPr>
        <w:pStyle w:val="FirstParagraph"/>
      </w:pPr>
      <w:r>
        <w:t xml:space="preserve">The framework preserves the regime of transit passage through the Strait of Hormuz as reflected in the United Nations Convention on the Law of the Sea and in customary international law. Transit passage operates continuously, without suspension, without discrimination, and without requirement of prior authorization. The United States, as a non-party to the Convention that asserts the same regime as customary law, and Iran, as a signatory that asserts an innocent-passage interpretation, each preserve their legal positions in full; the operational rules of this Accord function identically under either position and resolve the difference by making it irrelevant to daily operation.</w:t>
      </w:r>
    </w:p>
    <w:bookmarkEnd w:id="38"/>
    <w:bookmarkStart w:id="39" w:name="the-service-fee-distinction"/>
    <w:p>
      <w:pPr>
        <w:pStyle w:val="Heading3"/>
      </w:pPr>
      <w:r>
        <w:t xml:space="preserve">2.3 The Service-Fee Distinction</w:t>
      </w:r>
    </w:p>
    <w:p>
      <w:pPr>
        <w:pStyle w:val="FirstParagraph"/>
      </w:pPr>
      <w:r>
        <w:t xml:space="preserve">The framework distinguishes absolutely between a charge on the act of transit, which the Zero-Toll Rule of Article 33 prohibits in every layer and forever, and a charge for a specific maritime service genuinely requested and genuinely rendered, which the Verified Services Catalog of Article 35 governs. The first never occurs. The second occurs only through the neutral channels of Part V, at published rates, against itemized service records, and never as a condition of passage.</w:t>
      </w:r>
    </w:p>
    <w:bookmarkEnd w:id="39"/>
    <w:bookmarkStart w:id="40" w:name="Xdf99b26c6c9c3e09a4126fd8c5b7c04b37ca0c6"/>
    <w:p>
      <w:pPr>
        <w:pStyle w:val="Heading3"/>
      </w:pPr>
      <w:r>
        <w:t xml:space="preserve">2.4 Relationship to the Memorandum of Understanding of 17 June 2026</w:t>
      </w:r>
    </w:p>
    <w:p>
      <w:pPr>
        <w:pStyle w:val="FirstParagraph"/>
      </w:pPr>
      <w:r>
        <w:t xml:space="preserve">This Accord implements the memorandum’s direction that the coastal states define the future administration and maritime services of the strait in discussion with the other littoral states, in line with applicable international law and the sovereign rights of the coastal states. The Accord supersedes the memorandum’s interim maritime provisions upon Charter Conversion at Layer 5, and until that point operates as the memorandum’s executing instrument. The memorandum’s sixty-day free-transit window finds expression in the Interim Middle Route of Article 22 and the fee-suspension rule of Article 34.6.</w:t>
      </w:r>
    </w:p>
    <w:bookmarkEnd w:id="40"/>
    <w:bookmarkStart w:id="41" w:name="Xc911519e091323241fc0147b4ededbf9fc8a384"/>
    <w:p>
      <w:pPr>
        <w:pStyle w:val="Heading3"/>
      </w:pPr>
      <w:r>
        <w:t xml:space="preserve">2.5 Relationship to the Emerging Coastal-State Understanding</w:t>
      </w:r>
    </w:p>
    <w:p>
      <w:pPr>
        <w:pStyle w:val="FirstParagraph"/>
      </w:pPr>
      <w:r>
        <w:t xml:space="preserve">The corridor geometry of Annex A adopts the route coordinates agreed between Iran and Oman in the technical track of July and August 2026, as the depositary holds them under seal, and publishes them under the Coordinate Publication Rule of Annex A.6. The interim arrangement of inbound passage through the northern lane and outbound passage through the southern lane, free of charge for an interim period, constitutes Layer 2’s opening configuration, and this Accord extends, verifies, and institutionalizes that arrangement rather than replacing it.</w:t>
      </w:r>
    </w:p>
    <w:bookmarkEnd w:id="41"/>
    <w:bookmarkStart w:id="42" w:name="X043e577b0f34d9c512a1c81cf13b5af282a4260"/>
    <w:p>
      <w:pPr>
        <w:pStyle w:val="Heading3"/>
      </w:pPr>
      <w:r>
        <w:t xml:space="preserve">2.6 Relationship to the International Maritime Organization</w:t>
      </w:r>
    </w:p>
    <w:p>
      <w:pPr>
        <w:pStyle w:val="FirstParagraph"/>
      </w:pPr>
      <w:r>
        <w:t xml:space="preserve">The International Maritime Organization receives every corridor definition, every traffic separation adjustment, and every safety standard this Accord produces, through the liaison of Article 41.5. The revised traffic separation scheme lodges with the Organization at Charter Conversion under Article 50.3. The Organization’s certification of cleared routes concludes the mine-clearance track of Article 30. The International Hydrographic Organization governs charting standards and chart updates throughout.</w:t>
      </w:r>
    </w:p>
    <w:bookmarkEnd w:id="42"/>
    <w:bookmarkStart w:id="43" w:name="X0f9dc78982b6b74fe806ed01e7051f7227629b8"/>
    <w:p>
      <w:pPr>
        <w:pStyle w:val="Heading3"/>
      </w:pPr>
      <w:r>
        <w:t xml:space="preserve">2.7 Relationship to the Historic Traffic Separation Scheme</w:t>
      </w:r>
    </w:p>
    <w:p>
      <w:pPr>
        <w:pStyle w:val="FirstParagraph"/>
      </w:pPr>
      <w:r>
        <w:t xml:space="preserve">The traffic separation scheme in force before 28 February 2026, comprising two lanes of two nautical miles separated by a two-mile median within Omani territorial waters, stands as the reference baseline of Annex A.2. Wartime routing north of Larak Island stands recorded as superseded upon activation of Layer 2. The permanent scheme of Article 50 derives from measured corridor performance under this Accord, not from either predecessor.</w:t>
      </w:r>
    </w:p>
    <w:bookmarkEnd w:id="43"/>
    <w:bookmarkStart w:id="44" w:name="non-prejudice-and-no-precedent"/>
    <w:p>
      <w:pPr>
        <w:pStyle w:val="Heading3"/>
      </w:pPr>
      <w:r>
        <w:t xml:space="preserve">2.8 Non-Prejudice and No Precedent</w:t>
      </w:r>
    </w:p>
    <w:p>
      <w:pPr>
        <w:pStyle w:val="FirstParagraph"/>
      </w:pPr>
      <w:r>
        <w:t xml:space="preserve">Nothing in this Accord, and no act under it, prejudices any Party’s position on sovereignty, boundaries, maritime claims, or the legal regime of the strait, and nothing creates a precedent for any other waterway. Every Party’s signature affirms this clause first.</w:t>
      </w:r>
    </w:p>
    <w:bookmarkEnd w:id="44"/>
    <w:bookmarkEnd w:id="45"/>
    <w:bookmarkStart w:id="54" w:name="article-3-core-operating-principles"/>
    <w:p>
      <w:pPr>
        <w:pStyle w:val="Heading2"/>
      </w:pPr>
      <w:r>
        <w:t xml:space="preserve">Article 3: Core Operating Principles</w:t>
      </w:r>
    </w:p>
    <w:bookmarkStart w:id="46" w:name="paired-action"/>
    <w:p>
      <w:pPr>
        <w:pStyle w:val="Heading3"/>
      </w:pPr>
      <w:r>
        <w:t xml:space="preserve">3.1 Paired Action</w:t>
      </w:r>
    </w:p>
    <w:p>
      <w:pPr>
        <w:pStyle w:val="FirstParagraph"/>
      </w:pPr>
      <w:r>
        <w:t xml:space="preserve">Every significant movement under this Accord occurs in pairs: each corridor advance pairs with a blockade drawdown step; each revenue milestone pairs with a sanctions measure; each institutional expansion pairs with a verified stability record. Annex N states the Reciprocity Map in full. No Party moves first; the architecture moves all Parties together.</w:t>
      </w:r>
    </w:p>
    <w:bookmarkEnd w:id="46"/>
    <w:bookmarkStart w:id="47" w:name="mutual-architecture"/>
    <w:p>
      <w:pPr>
        <w:pStyle w:val="Heading3"/>
      </w:pPr>
      <w:r>
        <w:t xml:space="preserve">3.2 Mutual Architecture</w:t>
      </w:r>
    </w:p>
    <w:p>
      <w:pPr>
        <w:pStyle w:val="FirstParagraph"/>
      </w:pPr>
      <w:r>
        <w:t xml:space="preserve">Every constraint in this Accord attaches to the framework, never to one Party’s restraint. The text names no Party as the object of a prohibition; it names the architecture as the source of every rule, and every rule binds every participant identically within its role.</w:t>
      </w:r>
    </w:p>
    <w:bookmarkEnd w:id="47"/>
    <w:bookmarkStart w:id="48" w:name="nofade-continuity"/>
    <w:p>
      <w:pPr>
        <w:pStyle w:val="Heading3"/>
      </w:pPr>
      <w:r>
        <w:t xml:space="preserve">3.3 Nofade Continuity</w:t>
      </w:r>
    </w:p>
    <w:p>
      <w:pPr>
        <w:pStyle w:val="FirstParagraph"/>
      </w:pPr>
      <w:r>
        <w:t xml:space="preserve">No commitment, institution, or procedure under this Accord expires silently, lapses by calendar, or dissolves by neglect. Continuation is the default in every clause; change requires the affirmative act this Accord specifies.</w:t>
      </w:r>
    </w:p>
    <w:bookmarkEnd w:id="48"/>
    <w:bookmarkStart w:id="49" w:name="proportionality-over-parity"/>
    <w:p>
      <w:pPr>
        <w:pStyle w:val="Heading3"/>
      </w:pPr>
      <w:r>
        <w:t xml:space="preserve">3.4 Proportionality Over Parity</w:t>
      </w:r>
    </w:p>
    <w:p>
      <w:pPr>
        <w:pStyle w:val="FirstParagraph"/>
      </w:pPr>
      <w:r>
        <w:t xml:space="preserve">Contributions, roles, and benefits allocate by proportionality to capacity, exposure, and verified performance, not by arithmetic parity. The Graduated Trust Escalator of Article 43 embodies this principle in its fullest form.</w:t>
      </w:r>
    </w:p>
    <w:bookmarkEnd w:id="49"/>
    <w:bookmarkStart w:id="50" w:name="transparency-over-trust"/>
    <w:p>
      <w:pPr>
        <w:pStyle w:val="Heading3"/>
      </w:pPr>
      <w:r>
        <w:t xml:space="preserve">3.5 Transparency Over Trust</w:t>
      </w:r>
    </w:p>
    <w:p>
      <w:pPr>
        <w:pStyle w:val="FirstParagraph"/>
      </w:pPr>
      <w:r>
        <w:t xml:space="preserve">The framework asks no Party to trust another. It asks every Party to read the same published record: the Open Water Bulletin, the Reciprocity Ledger, the verification determinations of the Neutral Watch Office, and the audited accounts of the Neutral Administrator.</w:t>
      </w:r>
    </w:p>
    <w:bookmarkEnd w:id="50"/>
    <w:bookmarkStart w:id="51" w:name="civilian-character"/>
    <w:p>
      <w:pPr>
        <w:pStyle w:val="Heading3"/>
      </w:pPr>
      <w:r>
        <w:t xml:space="preserve">3.6 Civilian Character</w:t>
      </w:r>
    </w:p>
    <w:p>
      <w:pPr>
        <w:pStyle w:val="FirstParagraph"/>
      </w:pPr>
      <w:r>
        <w:t xml:space="preserve">Every operational body of this Accord is civilian in leadership, staffing, and doctrine. Military and coast guard units act inside the framework only in defined safety, survey, and rescue roles under civilian operational direction. This principle guards Red Line RL-6.</w:t>
      </w:r>
    </w:p>
    <w:bookmarkEnd w:id="51"/>
    <w:bookmarkStart w:id="52" w:name="stability-gating"/>
    <w:p>
      <w:pPr>
        <w:pStyle w:val="Heading3"/>
      </w:pPr>
      <w:r>
        <w:t xml:space="preserve">3.7 Stability Gating</w:t>
      </w:r>
    </w:p>
    <w:p>
      <w:pPr>
        <w:pStyle w:val="FirstParagraph"/>
      </w:pPr>
      <w:r>
        <w:t xml:space="preserve">Expansion follows evidence. Each gate of Article 7 opens only upon published, measured certification that the layer beneath operated without destabilization. No political decision substitutes for the measurement; no political decision blocks a certification the record supports.</w:t>
      </w:r>
    </w:p>
    <w:bookmarkEnd w:id="52"/>
    <w:bookmarkStart w:id="53" w:name="the-political-acceptability-rule"/>
    <w:p>
      <w:pPr>
        <w:pStyle w:val="Heading3"/>
      </w:pPr>
      <w:r>
        <w:t xml:space="preserve">3.8 The Political Acceptability Rule</w:t>
      </w:r>
    </w:p>
    <w:p>
      <w:pPr>
        <w:pStyle w:val="FirstParagraph"/>
      </w:pPr>
      <w:r>
        <w:t xml:space="preserve">No provision of this Accord survives that a delegation presents at home only as surrender. Every mechanism in this instrument carries a domestic framing for each participant that is truthful, symmetric, and defensible: safety gained, sovereignty kept, services paid for, claims heard.</w:t>
      </w:r>
    </w:p>
    <w:bookmarkEnd w:id="53"/>
    <w:bookmarkEnd w:id="54"/>
    <w:bookmarkStart w:id="58" w:name="article-4-the-governance-area"/>
    <w:p>
      <w:pPr>
        <w:pStyle w:val="Heading2"/>
      </w:pPr>
      <w:r>
        <w:t xml:space="preserve">Article 4: The Governance Area</w:t>
      </w:r>
    </w:p>
    <w:bookmarkStart w:id="55" w:name="the-boundary-polygon"/>
    <w:p>
      <w:pPr>
        <w:pStyle w:val="Heading3"/>
      </w:pPr>
      <w:r>
        <w:t xml:space="preserve">4.1 The Boundary Polygon</w:t>
      </w:r>
    </w:p>
    <w:p>
      <w:pPr>
        <w:pStyle w:val="FirstParagraph"/>
      </w:pPr>
      <w:r>
        <w:t xml:space="preserve">The Governance Area comprises the waters and superjacent airspace bounded by the six-point polygon of Table A.1 of Annex A: from point OA-1 at 26 degrees 55.0 minutes North, 055 degrees 55.0 minutes East in the northwest; to OA-2 at 26 degrees 58.0 minutes North, 056 degrees 40.0 minutes East; to OA-3 at 26 degrees 50.0 minutes North, 057 degrees 25.0 minutes East in the northeast; to OA-4 at 26 degrees 10.0 minutes North, 057 degrees 30.0 minutes East in the southeast; to OA-5 at 26 degrees 08.0 minutes North, 056 degrees 40.0 minutes East; and to OA-6 at 26 degrees 15.0 minutes North, 055 degrees 58.0 minutes East in the southwest, closing to OA-1.</w:t>
      </w:r>
    </w:p>
    <w:bookmarkEnd w:id="55"/>
    <w:bookmarkStart w:id="56" w:name="functional-zones-within-the-area"/>
    <w:p>
      <w:pPr>
        <w:pStyle w:val="Heading3"/>
      </w:pPr>
      <w:r>
        <w:t xml:space="preserve">4.2 Functional Zones Within the Area</w:t>
      </w:r>
    </w:p>
    <w:p>
      <w:pPr>
        <w:pStyle w:val="FirstParagraph"/>
      </w:pPr>
      <w:r>
        <w:t xml:space="preserve">The Governance Area divides into the corridor system of Article 22 (the Northern Coordination Passage, the Central Deconfliction Band, and the Southern Assurance Passage), the Interim Middle Route of Article 22.6, the precautionary areas at the eastern and western entries, the inshore local-craft bands reserved for Class 5 vessels under Article 26.5, the designated anchorages of Table A.7, and the survey sectors of the Mine Removal Taskforce under Article 30.</w:t>
      </w:r>
    </w:p>
    <w:bookmarkEnd w:id="56"/>
    <w:bookmarkStart w:id="57" w:name="exclusions"/>
    <w:p>
      <w:pPr>
        <w:pStyle w:val="Heading3"/>
      </w:pPr>
      <w:r>
        <w:t xml:space="preserve">4.3 Exclusions</w:t>
      </w:r>
    </w:p>
    <w:p>
      <w:pPr>
        <w:pStyle w:val="FirstParagraph"/>
      </w:pPr>
      <w:r>
        <w:t xml:space="preserve">The Governance Area excludes the internal waters of any state, the harbor limits of any port, and any area a coastal state closes temporarily for reasons of safety under a published Notice to Mariners of not more than 72 hours’ duration, notified simultaneously to the Tadriji Coordination Center and to every Party.</w:t>
      </w:r>
    </w:p>
    <w:bookmarkEnd w:id="57"/>
    <w:bookmarkEnd w:id="58"/>
    <w:bookmarkStart w:id="62" w:name="article-5-the-nuclear-firewall"/>
    <w:p>
      <w:pPr>
        <w:pStyle w:val="Heading2"/>
      </w:pPr>
      <w:r>
        <w:t xml:space="preserve">Article 5: The Nuclear Firewall</w:t>
      </w:r>
    </w:p>
    <w:bookmarkStart w:id="59" w:name="absolute-separation"/>
    <w:p>
      <w:pPr>
        <w:pStyle w:val="Heading3"/>
      </w:pPr>
      <w:r>
        <w:t xml:space="preserve">5.1 Absolute Separation</w:t>
      </w:r>
    </w:p>
    <w:p>
      <w:pPr>
        <w:pStyle w:val="FirstParagraph"/>
      </w:pPr>
      <w:r>
        <w:t xml:space="preserve">No provision of this Accord addresses, conditions, references, or depends upon any question of nuclear material, enrichment, inspection, or weapons. No event on the nuclear track moves any gate, escalator step, corridor rule, or revenue flow under this Accord, and no event under this Accord moves any element of the nuclear track. The firewall operates in both directions, absolutely.</w:t>
      </w:r>
    </w:p>
    <w:bookmarkEnd w:id="59"/>
    <w:bookmarkStart w:id="60" w:name="the-separate-track"/>
    <w:p>
      <w:pPr>
        <w:pStyle w:val="Heading3"/>
      </w:pPr>
      <w:r>
        <w:t xml:space="preserve">5.2 The Separate Track</w:t>
      </w:r>
    </w:p>
    <w:p>
      <w:pPr>
        <w:pStyle w:val="FirstParagraph"/>
      </w:pPr>
      <w:r>
        <w:t xml:space="preserve">Nuclear questions proceed exclusively in the separate negotiation track contemplated by the memorandum of understanding of 17 June 2026, under its own timeline, its own verification regime, and its own instruments. This Accord neither accelerates nor delays that track.</w:t>
      </w:r>
    </w:p>
    <w:bookmarkEnd w:id="60"/>
    <w:bookmarkStart w:id="61" w:name="firewall-guard"/>
    <w:p>
      <w:pPr>
        <w:pStyle w:val="Heading3"/>
      </w:pPr>
      <w:r>
        <w:t xml:space="preserve">5.3 Firewall Guard</w:t>
      </w:r>
    </w:p>
    <w:p>
      <w:pPr>
        <w:pStyle w:val="FirstParagraph"/>
      </w:pPr>
      <w:r>
        <w:t xml:space="preserve">A Party that perceives a nuclear-track issue entering the maritime architecture invokes a Firewall Guard under the dispute ladder of Article 46, and the Neutral Watch Office rules on the invocation within 48 hours. A sustained invocation severs the implicated provision from this Accord without prejudice to the remainder.</w:t>
      </w:r>
    </w:p>
    <w:bookmarkEnd w:id="61"/>
    <w:bookmarkEnd w:id="62"/>
    <w:bookmarkStart w:id="67" w:name="Xb1cd02f06531fb1723a3b2824079f562bca9220"/>
    <w:p>
      <w:pPr>
        <w:pStyle w:val="Heading2"/>
      </w:pPr>
      <w:r>
        <w:t xml:space="preserve">Article 6: The Nofade Guarantee (Standing Continuity)</w:t>
      </w:r>
    </w:p>
    <w:bookmarkStart w:id="63" w:name="no-sunset"/>
    <w:p>
      <w:pPr>
        <w:pStyle w:val="Heading3"/>
      </w:pPr>
      <w:r>
        <w:t xml:space="preserve">6.1 No Sunset</w:t>
      </w:r>
    </w:p>
    <w:p>
      <w:pPr>
        <w:pStyle w:val="FirstParagraph"/>
      </w:pPr>
      <w:r>
        <w:t xml:space="preserve">This Accord contains no sunset clause, no expiry date, and no automatic review deadline whose passage dissolves any commitment. Every layer, once active, continues until the architecture itself advances it.</w:t>
      </w:r>
    </w:p>
    <w:bookmarkEnd w:id="63"/>
    <w:bookmarkStart w:id="64" w:name="default-continuity"/>
    <w:p>
      <w:pPr>
        <w:pStyle w:val="Heading3"/>
      </w:pPr>
      <w:r>
        <w:t xml:space="preserve">6.2 Default Continuity</w:t>
      </w:r>
    </w:p>
    <w:p>
      <w:pPr>
        <w:pStyle w:val="FirstParagraph"/>
      </w:pPr>
      <w:r>
        <w:t xml:space="preserve">Where any review, renewal, or certification deadline passes without action, the underlying commitment continues unchanged. Continuity is the resting state of every provision.</w:t>
      </w:r>
    </w:p>
    <w:bookmarkEnd w:id="64"/>
    <w:bookmarkStart w:id="65" w:name="dormancy-and-reconstitution"/>
    <w:p>
      <w:pPr>
        <w:pStyle w:val="Heading3"/>
      </w:pPr>
      <w:r>
        <w:t xml:space="preserve">6.3 Dormancy and Reconstitution</w:t>
      </w:r>
    </w:p>
    <w:p>
      <w:pPr>
        <w:pStyle w:val="FirstParagraph"/>
      </w:pPr>
      <w:r>
        <w:t xml:space="preserve">If every Principal Party suspends participation, the Accord enters dormancy: the depositary preserves the full record, the institutions stand down into caretaker status, and the framework reconstitutes in its entirety upon any two Principal Parties filing reactivation instruments, resuming from the last certified gate. Dormancy erases nothing.</w:t>
      </w:r>
    </w:p>
    <w:bookmarkEnd w:id="65"/>
    <w:bookmarkStart w:id="66" w:name="survival-of-the-permanent-floor"/>
    <w:p>
      <w:pPr>
        <w:pStyle w:val="Heading3"/>
      </w:pPr>
      <w:r>
        <w:t xml:space="preserve">6.4 Survival of the Permanent Floor</w:t>
      </w:r>
    </w:p>
    <w:p>
      <w:pPr>
        <w:pStyle w:val="FirstParagraph"/>
      </w:pPr>
      <w:r>
        <w:t xml:space="preserve">Every attainment this Accord certifies (a passed gate, an escalator milestone, a Permanent Floor, a revenue share, a certified route) survives every subsequent event, dispute, or suspension, and reasserts itself automatically upon resumption.</w:t>
      </w:r>
    </w:p>
    <w:bookmarkEnd w:id="66"/>
    <w:bookmarkEnd w:id="67"/>
    <w:bookmarkStart w:id="73" w:name="X1ac3333f527ff1fe844746ca251a4438918d553"/>
    <w:p>
      <w:pPr>
        <w:pStyle w:val="Heading2"/>
      </w:pPr>
      <w:r>
        <w:t xml:space="preserve">Article 7: The Layered Activation Doctrine and the Stability Gates</w:t>
      </w:r>
    </w:p>
    <w:bookmarkStart w:id="68" w:name="the-doctrine"/>
    <w:p>
      <w:pPr>
        <w:pStyle w:val="Heading3"/>
      </w:pPr>
      <w:r>
        <w:t xml:space="preserve">7.1 The Doctrine</w:t>
      </w:r>
    </w:p>
    <w:p>
      <w:pPr>
        <w:pStyle w:val="FirstParagraph"/>
      </w:pPr>
      <w:r>
        <w:t xml:space="preserve">Governance under this Accord grows by accretion, not by grant. Each layer adds capability upon the certified stability of the layer beneath. The doctrine holds three rules: no layer opens before its gate certifies; no gate certifies without its published metrics standing satisfied; and no Party, institution, or observer holds a vote, veto, or suspension power over a certification the record supports.</w:t>
      </w:r>
    </w:p>
    <w:bookmarkEnd w:id="68"/>
    <w:bookmarkStart w:id="69" w:name="the-gates"/>
    <w:p>
      <w:pPr>
        <w:pStyle w:val="Heading3"/>
      </w:pPr>
      <w:r>
        <w:t xml:space="preserve">7.2 The Gates</w:t>
      </w:r>
    </w:p>
    <w:p>
      <w:pPr>
        <w:pStyle w:val="FirstParagraph"/>
      </w:pPr>
      <w:r>
        <w:t xml:space="preserve">The six gates and their certifying measurements are: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Certifies</w:t>
            </w:r>
          </w:p>
        </w:tc>
        <w:tc>
          <w:tcPr/>
          <w:p>
            <w:pPr>
              <w:pStyle w:val="Compact"/>
              <w:jc w:val="left"/>
            </w:pPr>
            <w:r>
              <w:t xml:space="preserve">Core metrics (full schedule in Annex J)</w:t>
            </w:r>
          </w:p>
        </w:tc>
      </w:tr>
      <w:tr>
        <w:tc>
          <w:tcPr/>
          <w:p>
            <w:pPr>
              <w:pStyle w:val="Compact"/>
              <w:jc w:val="left"/>
            </w:pPr>
            <w:r>
              <w:t xml:space="preserve">G-0</w:t>
            </w:r>
          </w:p>
        </w:tc>
        <w:tc>
          <w:tcPr/>
          <w:p>
            <w:pPr>
              <w:pStyle w:val="Compact"/>
              <w:jc w:val="left"/>
            </w:pPr>
            <w:r>
              <w:t xml:space="preserve">The Micro-Exercise Lattice operated stably</w:t>
            </w:r>
          </w:p>
        </w:tc>
        <w:tc>
          <w:tcPr/>
          <w:p>
            <w:pPr>
              <w:pStyle w:val="Compact"/>
              <w:jc w:val="left"/>
            </w:pPr>
            <w:r>
              <w:t xml:space="preserve">30 consecutive days of lattice operation; at least 45 of 50 exercises activated; zero unresolved Level-2 incidents; Lattice Cell recommendation recorded</w:t>
            </w:r>
          </w:p>
        </w:tc>
      </w:tr>
      <w:tr>
        <w:tc>
          <w:tcPr/>
          <w:p>
            <w:pPr>
              <w:pStyle w:val="Compact"/>
              <w:jc w:val="left"/>
            </w:pPr>
            <w:r>
              <w:t xml:space="preserve">G-1</w:t>
            </w:r>
          </w:p>
        </w:tc>
        <w:tc>
          <w:tcPr/>
          <w:p>
            <w:pPr>
              <w:pStyle w:val="Compact"/>
              <w:jc w:val="left"/>
            </w:pPr>
            <w:r>
              <w:t xml:space="preserve">The Shared Data Layer is complete and clean</w:t>
            </w:r>
          </w:p>
        </w:tc>
        <w:tc>
          <w:tcPr/>
          <w:p>
            <w:pPr>
              <w:pStyle w:val="Compact"/>
              <w:jc w:val="left"/>
            </w:pPr>
            <w:r>
              <w:t xml:space="preserve">21 consecutive days of dual-mirror data parity at 99.5 percent or better; zero custody breaches; Open Water Bulletin publishing daily</w:t>
            </w:r>
          </w:p>
        </w:tc>
      </w:tr>
      <w:tr>
        <w:tc>
          <w:tcPr/>
          <w:p>
            <w:pPr>
              <w:pStyle w:val="Compact"/>
              <w:jc w:val="left"/>
            </w:pPr>
            <w:r>
              <w:t xml:space="preserve">G-2</w:t>
            </w:r>
          </w:p>
        </w:tc>
        <w:tc>
          <w:tcPr/>
          <w:p>
            <w:pPr>
              <w:pStyle w:val="Compact"/>
              <w:jc w:val="left"/>
            </w:pPr>
            <w:r>
              <w:t xml:space="preserve">The Corridor System operates safely</w:t>
            </w:r>
          </w:p>
        </w:tc>
        <w:tc>
          <w:tcPr/>
          <w:p>
            <w:pPr>
              <w:pStyle w:val="Compact"/>
              <w:jc w:val="left"/>
            </w:pPr>
            <w:r>
              <w:t xml:space="preserve">28 consecutive days of corridor operation; at least 100 certified transits; zero interdiction events; interim route mine-clearance certificate issued</w:t>
            </w:r>
          </w:p>
        </w:tc>
      </w:tr>
      <w:tr>
        <w:tc>
          <w:tcPr/>
          <w:p>
            <w:pPr>
              <w:pStyle w:val="Compact"/>
              <w:jc w:val="left"/>
            </w:pPr>
            <w:r>
              <w:t xml:space="preserve">G-3</w:t>
            </w:r>
          </w:p>
        </w:tc>
        <w:tc>
          <w:tcPr/>
          <w:p>
            <w:pPr>
              <w:pStyle w:val="Compact"/>
              <w:jc w:val="left"/>
            </w:pPr>
            <w:r>
              <w:t xml:space="preserve">The Revenue Architecture is sound</w:t>
            </w:r>
          </w:p>
        </w:tc>
        <w:tc>
          <w:tcPr/>
          <w:p>
            <w:pPr>
              <w:pStyle w:val="Compact"/>
              <w:jc w:val="left"/>
            </w:pPr>
            <w:r>
              <w:t xml:space="preserve">60 consecutive days of clean escrow reconciliation; zero direct-payment findings; service records matching invoices at 100 percent</w:t>
            </w:r>
          </w:p>
        </w:tc>
      </w:tr>
      <w:tr>
        <w:tc>
          <w:tcPr/>
          <w:p>
            <w:pPr>
              <w:pStyle w:val="Compact"/>
              <w:jc w:val="left"/>
            </w:pPr>
            <w:r>
              <w:t xml:space="preserve">G-4</w:t>
            </w:r>
          </w:p>
        </w:tc>
        <w:tc>
          <w:tcPr/>
          <w:p>
            <w:pPr>
              <w:pStyle w:val="Compact"/>
              <w:jc w:val="left"/>
            </w:pPr>
            <w:r>
              <w:t xml:space="preserve">The Oversight Institutions govern stably</w:t>
            </w:r>
          </w:p>
        </w:tc>
        <w:tc>
          <w:tcPr/>
          <w:p>
            <w:pPr>
              <w:pStyle w:val="Compact"/>
              <w:jc w:val="left"/>
            </w:pPr>
            <w:r>
              <w:t xml:space="preserve">Full Unlock attained and held for 28 consecutive days; tribunal seated and caseload current; Mutual Claims Commission seated</w:t>
            </w:r>
          </w:p>
        </w:tc>
      </w:tr>
      <w:tr>
        <w:tc>
          <w:tcPr/>
          <w:p>
            <w:pPr>
              <w:pStyle w:val="Compact"/>
              <w:jc w:val="left"/>
            </w:pPr>
            <w:r>
              <w:t xml:space="preserve">G-5</w:t>
            </w:r>
          </w:p>
        </w:tc>
        <w:tc>
          <w:tcPr/>
          <w:p>
            <w:pPr>
              <w:pStyle w:val="Compact"/>
              <w:jc w:val="left"/>
            </w:pPr>
            <w:r>
              <w:t xml:space="preserve">The system is ready for permanence</w:t>
            </w:r>
          </w:p>
        </w:tc>
        <w:tc>
          <w:tcPr/>
          <w:p>
            <w:pPr>
              <w:pStyle w:val="Compact"/>
              <w:jc w:val="left"/>
            </w:pPr>
            <w:r>
              <w:t xml:space="preserve">Council resolution under Consensus Minus One; depositary confirmation of instruments; IMO lodgment complete</w:t>
            </w:r>
          </w:p>
        </w:tc>
      </w:tr>
    </w:tbl>
    <w:bookmarkEnd w:id="69"/>
    <w:bookmarkStart w:id="70" w:name="automatic-certification"/>
    <w:p>
      <w:pPr>
        <w:pStyle w:val="Heading3"/>
      </w:pPr>
      <w:r>
        <w:t xml:space="preserve">7.3 Automatic Certification</w:t>
      </w:r>
    </w:p>
    <w:p>
      <w:pPr>
        <w:pStyle w:val="FirstParagraph"/>
      </w:pPr>
      <w:r>
        <w:t xml:space="preserve">The Neutral Watch Office computes each gate’s metrics from the published record and issues the gate certificate within 24 hours of the metrics standing satisfied. The certificate opens the next layer at 00:00 UTC on the day following issuance. No ceremony, vote, or signature intervenes.</w:t>
      </w:r>
    </w:p>
    <w:bookmarkEnd w:id="70"/>
    <w:bookmarkStart w:id="71" w:name="pause-never-reset"/>
    <w:p>
      <w:pPr>
        <w:pStyle w:val="Heading3"/>
      </w:pPr>
      <w:r>
        <w:t xml:space="preserve">7.4 Pause, Never Reset</w:t>
      </w:r>
    </w:p>
    <w:p>
      <w:pPr>
        <w:pStyle w:val="FirstParagraph"/>
      </w:pPr>
      <w:r>
        <w:t xml:space="preserve">A Party suspends any layer’s operation by notice to the depositary, and the layer pauses. A pause stops the clock; it never rewinds it. Accumulated certifications, Clean Weeks, milestones, and floors persist through every pause, and resumption continues from the recorded position. Article 45 alone governs step-backs, and no step-back erases a Permanent Floor.</w:t>
      </w:r>
    </w:p>
    <w:bookmarkEnd w:id="71"/>
    <w:bookmarkStart w:id="72" w:name="the-synchronized-opening"/>
    <w:p>
      <w:pPr>
        <w:pStyle w:val="Heading3"/>
      </w:pPr>
      <w:r>
        <w:t xml:space="preserve">7.5 The Synchronized Opening</w:t>
      </w:r>
    </w:p>
    <w:p>
      <w:pPr>
        <w:pStyle w:val="FirstParagraph"/>
      </w:pPr>
      <w:r>
        <w:t xml:space="preserve">Layer 0 opens at 00:00 UTC on the day of entry into force, and on that same day the following synchronized acts execute: the United States commences the blockade drawdown schedule of Annex N, Table N.2; Iran and Oman publish the joint readiness declaration confirming the corridor geometry; the depositary opens the Accord registers; the hotline network of Annex C activates and completes its first full test; and the Lattice Cell convenes its first session.</w:t>
      </w:r>
    </w:p>
    <w:bookmarkEnd w:id="72"/>
    <w:bookmarkEnd w:id="73"/>
    <w:bookmarkStart w:id="76" w:name="article-8-definitions-and-interpretation"/>
    <w:p>
      <w:pPr>
        <w:pStyle w:val="Heading2"/>
      </w:pPr>
      <w:r>
        <w:t xml:space="preserve">Article 8: Definitions and Interpretation</w:t>
      </w:r>
    </w:p>
    <w:bookmarkStart w:id="74" w:name="the-definitions-register"/>
    <w:p>
      <w:pPr>
        <w:pStyle w:val="Heading3"/>
      </w:pPr>
      <w:r>
        <w:t xml:space="preserve">8.1 The Definitions Register</w:t>
      </w:r>
    </w:p>
    <w:p>
      <w:pPr>
        <w:pStyle w:val="FirstParagraph"/>
      </w:pPr>
      <w:r>
        <w:t xml:space="preserve">Annex M, Section M.3, states the operative definitions of this Accord, including: Accord, Governance Area, Corridor, Passage, Central Deconfliction Band, Interim Middle Route, Flow State, Clean Week, Clean Day, Control Weight, Full Unlock, Permanent Floor, Escalator, Twin Key, Convergence Standard, Human Anchor Method, Lattice Cell, Micro-Exercise, Gate, Layer, Open Water Bulletin, Reciprocity Ledger, Verified Services Catalog, Transit Services Fund, Neutral Escrow, Sanctions-Compliance Firewall, and Mutual Claims Commission.</w:t>
      </w:r>
    </w:p>
    <w:bookmarkEnd w:id="74"/>
    <w:bookmarkStart w:id="75" w:name="interpretation-rules"/>
    <w:p>
      <w:pPr>
        <w:pStyle w:val="Heading3"/>
      </w:pPr>
      <w:r>
        <w:t xml:space="preserve">8.2 Interpretation Rules</w:t>
      </w:r>
    </w:p>
    <w:p>
      <w:pPr>
        <w:pStyle w:val="FirstParagraph"/>
      </w:pPr>
      <w:r>
        <w:t xml:space="preserve">Four rules govern interpretation. First, the Red Lines Register controls every interpretation. Second, the interpretation that preserves continuity prevails over any interpretation that interrupts it. Third, technical annexes speak with their own precision and prevail over summary text for operational purposes. Fourth, no interpretation attributes to any Party a concession the text does not state.</w:t>
      </w:r>
    </w:p>
    <w:bookmarkEnd w:id="75"/>
    <w:bookmarkEnd w:id="76"/>
    <w:bookmarkEnd w:id="77"/>
    <w:bookmarkStart w:id="112" w:name="X09f691074503d3750b1663eb11fb74f2613b80b"/>
    <w:p>
      <w:pPr>
        <w:pStyle w:val="Heading1"/>
      </w:pPr>
      <w:r>
        <w:t xml:space="preserve">PART II: LAYER 0: THE MICRO-EXERCISE LATTICE (DAYS 0 TO 45)</w:t>
      </w:r>
    </w:p>
    <w:bookmarkStart w:id="83" w:name="X1c915736a0c981cf05f5a84bf03801e8324ae55"/>
    <w:p>
      <w:pPr>
        <w:pStyle w:val="Heading2"/>
      </w:pPr>
      <w:r>
        <w:t xml:space="preserve">Article 9: The Lattice: Purpose, Rules, and Standing</w:t>
      </w:r>
    </w:p>
    <w:bookmarkStart w:id="78" w:name="purpose-1"/>
    <w:p>
      <w:pPr>
        <w:pStyle w:val="Heading3"/>
      </w:pPr>
      <w:r>
        <w:t xml:space="preserve">9.1 Purpose</w:t>
      </w:r>
    </w:p>
    <w:p>
      <w:pPr>
        <w:pStyle w:val="FirstParagraph"/>
      </w:pPr>
      <w:r>
        <w:t xml:space="preserve">Layer 0 exists to create facts on the water: fifty micro-exercises, each small enough that no delegation risks anything by performing it, each producing a measurable safety gain that no delegation disputes. The lattice engineers trust through action rather than requesting it through words.</w:t>
      </w:r>
    </w:p>
    <w:bookmarkEnd w:id="78"/>
    <w:bookmarkStart w:id="79" w:name="the-five-standing-rules-of-layer-0"/>
    <w:p>
      <w:pPr>
        <w:pStyle w:val="Heading3"/>
      </w:pPr>
      <w:r>
        <w:t xml:space="preserve">9.2 The Five Standing Rules of Layer 0</w:t>
      </w:r>
    </w:p>
    <w:p>
      <w:pPr>
        <w:pStyle w:val="FirstParagraph"/>
      </w:pPr>
      <w:r>
        <w:t xml:space="preserve">Five rules govern every micro-exercise without exception. First, reversibility: every exercise ends on any Party’s notice, and its record survives. Second, no authority: no exercise confers power over any vessel, any other Party’s forces, or any other Party’s decisions. Third, no enforcement: the framework excludes every inspection, boarding, diversion, and interdiction function from Layer 0. Fourth, no sovereignty shift: every exercise operates inside the existing legal positions of all Parties, preserved in full. Fifth, no cost to third parties: no exercise charges, delays, or burdens any commercial vessel.</w:t>
      </w:r>
    </w:p>
    <w:bookmarkEnd w:id="79"/>
    <w:bookmarkStart w:id="80" w:name="the-five-sub-layers"/>
    <w:p>
      <w:pPr>
        <w:pStyle w:val="Heading3"/>
      </w:pPr>
      <w:r>
        <w:t xml:space="preserve">9.3 The Five Sub-Layers</w:t>
      </w:r>
    </w:p>
    <w:p>
      <w:pPr>
        <w:pStyle w:val="FirstParagraph"/>
      </w:pPr>
      <w:r>
        <w:t xml:space="preserve">The lattice organizes its fifty exercises into five sub-layers of ten, activated in fixed sequence at five-day intervals: Sub-Layer 0.1, Visibility and Predictability (Days 0 to 5 activation); Sub-Layer 0.2, Movement Safety (Days 5 to 10); Sub-Layer 0.3, Incident Alerts (Days 10 to 15); Sub-Layer 0.4, Response and Repair (Days 15 to 20); and Sub-Layer 0.5, Micro-Governance and Simulation (Days 20 to 25). Each exercise activates individually by joint notice of the two duty officers; the full lattice stands active by Day 25, and operates continuously through Gate G-0.</w:t>
      </w:r>
    </w:p>
    <w:bookmarkEnd w:id="80"/>
    <w:bookmarkStart w:id="81" w:name="the-operating-stations"/>
    <w:p>
      <w:pPr>
        <w:pStyle w:val="Heading3"/>
      </w:pPr>
      <w:r>
        <w:t xml:space="preserve">9.4 The Operating Stations</w:t>
      </w:r>
    </w:p>
    <w:p>
      <w:pPr>
        <w:pStyle w:val="FirstParagraph"/>
      </w:pPr>
      <w:r>
        <w:t xml:space="preserve">Layer 0 operates from four stations: the Tadriji Coordination Center watch floor in Muscat (provisional premises under Annex K), the Darya Mirror Facility desk in Bandar Abbas, the liaison station at Khasab on the Musandam Peninsula, and the liaison station at Qeshm. Each station staffs one duty officer from each Principal Party at all times. Annex C states the communications plan; Annex B states each exercise’s assigned stations.</w:t>
      </w:r>
    </w:p>
    <w:bookmarkEnd w:id="81"/>
    <w:bookmarkStart w:id="82" w:name="the-exercise-logbook"/>
    <w:p>
      <w:pPr>
        <w:pStyle w:val="Heading3"/>
      </w:pPr>
      <w:r>
        <w:t xml:space="preserve">9.5 The Exercise Logbook</w:t>
      </w:r>
    </w:p>
    <w:p>
      <w:pPr>
        <w:pStyle w:val="FirstParagraph"/>
      </w:pPr>
      <w:r>
        <w:t xml:space="preserve">Every exercise writes to the Exercise Logbook, a paired ledger held identically at Muscat and Bandar Abbas. Each entry records the exercise identifier, the window, the participants, the data exchanged, every anomaly, and the duty officers’ initials. The Logbook constitutes the factual basis of Gate G-0 and publishes in summary in the Open Water Bulletin from Day 10 onward.</w:t>
      </w:r>
    </w:p>
    <w:bookmarkEnd w:id="82"/>
    <w:bookmarkEnd w:id="83"/>
    <w:bookmarkStart w:id="87" w:name="article-10-the-lattice-cell"/>
    <w:p>
      <w:pPr>
        <w:pStyle w:val="Heading2"/>
      </w:pPr>
      <w:r>
        <w:t xml:space="preserve">Article 10: The Lattice Cell</w:t>
      </w:r>
    </w:p>
    <w:bookmarkStart w:id="84" w:name="composition"/>
    <w:p>
      <w:pPr>
        <w:pStyle w:val="Heading3"/>
      </w:pPr>
      <w:r>
        <w:t xml:space="preserve">10.1 Composition</w:t>
      </w:r>
    </w:p>
    <w:p>
      <w:pPr>
        <w:pStyle w:val="FirstParagraph"/>
      </w:pPr>
      <w:r>
        <w:t xml:space="preserve">The Lattice Cell comprises four persons: one maritime safety officer appointed by Iran, one appointed by Oman, one neutral observer appointed by the Swiss Confederation, and one technical secretary appointed by the depositary. The Cell rotates its chair weekly between the Iranian and Omani members, alphabetically first at inception.</w:t>
      </w:r>
    </w:p>
    <w:bookmarkEnd w:id="84"/>
    <w:bookmarkStart w:id="85" w:name="mandate-and-limits"/>
    <w:p>
      <w:pPr>
        <w:pStyle w:val="Heading3"/>
      </w:pPr>
      <w:r>
        <w:t xml:space="preserve">10.2 Mandate and Limits</w:t>
      </w:r>
    </w:p>
    <w:p>
      <w:pPr>
        <w:pStyle w:val="FirstParagraph"/>
      </w:pPr>
      <w:r>
        <w:t xml:space="preserve">The Cell holds exactly three functions: it logs every incident and anomaly arising in the lattice; it confirms corridor and exercise stability against the metrics of Annex J; and it recommends, by simple majority recorded in writing, whether the lattice stands ready for Gate G-0. The Cell holds no authority over any vessel, any force, any other body, or any Party. It issues no directive. It keeps the smallest possible institutional muscle memory in the entire architecture, and it proves that a joint body functions before any joint body governs.</w:t>
      </w:r>
    </w:p>
    <w:bookmarkEnd w:id="85"/>
    <w:bookmarkStart w:id="86" w:name="working-method"/>
    <w:p>
      <w:pPr>
        <w:pStyle w:val="Heading3"/>
      </w:pPr>
      <w:r>
        <w:t xml:space="preserve">10.3 Working Method</w:t>
      </w:r>
    </w:p>
    <w:p>
      <w:pPr>
        <w:pStyle w:val="FirstParagraph"/>
      </w:pPr>
      <w:r>
        <w:t xml:space="preserve">The Cell meets daily at 09:00 Gulf Standard Time, alternately at Muscat and Bandar Abbas by video link between the two watch floors. Quorum is three. The Cell’s daily one-page stability note publishes in the Open Water Bulletin. Disagreements record verbatim, without attribution, in the Exercise Logbook.</w:t>
      </w:r>
    </w:p>
    <w:bookmarkEnd w:id="86"/>
    <w:bookmarkEnd w:id="87"/>
    <w:bookmarkStart w:id="91" w:name="Xc28d209def4803149a4c10f4ab01a3aa746ce10"/>
    <w:p>
      <w:pPr>
        <w:pStyle w:val="Heading2"/>
      </w:pPr>
      <w:r>
        <w:t xml:space="preserve">Article 11: Sub-Layer 0.1: Visibility and Predictability (MX-01 to MX-10)</w:t>
      </w:r>
    </w:p>
    <w:bookmarkStart w:id="88" w:name="purpose-and-character"/>
    <w:p>
      <w:pPr>
        <w:pStyle w:val="Heading3"/>
      </w:pPr>
      <w:r>
        <w:t xml:space="preserve">11.1 Purpose and Character</w:t>
      </w:r>
    </w:p>
    <w:p>
      <w:pPr>
        <w:pStyle w:val="FirstParagraph"/>
      </w:pPr>
      <w:r>
        <w:t xml:space="preserve">Sub-Layer 0.1 builds shared situational awareness without touching routing, authority, or enforcement. Every exercise in this sub-layer exchanges environmental or traffic information only; none involves any Party directing, advising, or influencing any vessel’s movement.</w:t>
      </w:r>
    </w:p>
    <w:bookmarkEnd w:id="88"/>
    <w:bookmarkStart w:id="89" w:name="the-ten-exercises"/>
    <w:p>
      <w:pPr>
        <w:pStyle w:val="Heading3"/>
      </w:pPr>
      <w:r>
        <w:t xml:space="preserve">11.2 The Ten Exercises</w:t>
      </w:r>
    </w:p>
    <w:p>
      <w:pPr>
        <w:pStyle w:val="FirstParagraph"/>
      </w:pPr>
      <w:r>
        <w:rPr>
          <w:bCs/>
          <w:b/>
        </w:rPr>
        <w:t xml:space="preserve">MX-01 AIS Snapshot Swap.</w:t>
      </w:r>
      <w:r>
        <w:t xml:space="preserve"> </w:t>
      </w:r>
      <w:r>
        <w:t xml:space="preserve">Each Principal Party transmits to the other, twice daily at 06:00 and 18:00 UTC, an AIS position snapshot of the ten commercial vessels nearest the corridor centerlines within the Governance Area. Format follows Annex C.4. The snapshots merge into a single shared picture on both watch floors. Success metric: 14 consecutive days of complete, matched transmissions.</w:t>
      </w:r>
    </w:p>
    <w:p>
      <w:pPr>
        <w:pStyle w:val="BodyText"/>
      </w:pPr>
      <w:r>
        <w:rPr>
          <w:bCs/>
          <w:b/>
        </w:rPr>
        <w:t xml:space="preserve">MX-02 Visibility-Only Feed.</w:t>
      </w:r>
      <w:r>
        <w:t xml:space="preserve"> </w:t>
      </w:r>
      <w:r>
        <w:t xml:space="preserve">The Khasab and Qeshm stations exchange fog and visibility observations hourly for the precautionary area at the western entry, in the one-line format of Annex C.5. No vessel data attaches. Success metric: hourly feed maintained for 21 consecutive days with 98 percent completeness.</w:t>
      </w:r>
    </w:p>
    <w:p>
      <w:pPr>
        <w:pStyle w:val="BodyText"/>
      </w:pPr>
      <w:r>
        <w:rPr>
          <w:bCs/>
          <w:b/>
        </w:rPr>
        <w:t xml:space="preserve">MX-03 Micro-Weather Exchange.</w:t>
      </w:r>
      <w:r>
        <w:t xml:space="preserve"> </w:t>
      </w:r>
      <w:r>
        <w:t xml:space="preserve">The two watch floors exchange wind speed, wind direction, visibility, and sea state for Grid Square W-1 of Table A.8, hourly, around the clock. Success metric: 21 consecutive days at 98 percent completeness; divergence between stations not exceeding 15 percent on wind speed in 90 percent of matched observations.</w:t>
      </w:r>
    </w:p>
    <w:p>
      <w:pPr>
        <w:pStyle w:val="BodyText"/>
      </w:pPr>
      <w:r>
        <w:rPr>
          <w:bCs/>
          <w:b/>
        </w:rPr>
        <w:t xml:space="preserve">MX-04 Shared Tide Table.</w:t>
      </w:r>
      <w:r>
        <w:t xml:space="preserve"> </w:t>
      </w:r>
      <w:r>
        <w:t xml:space="preserve">The Parties harmonize tide predictions for the Khasab and Bandar Abbas reference stations into one published table, updated weekly. Success metric: four consecutive weekly editions; predicted-versus-observed error within 0.3 meters at both stations.</w:t>
      </w:r>
    </w:p>
    <w:p>
      <w:pPr>
        <w:pStyle w:val="BodyText"/>
      </w:pPr>
      <w:r>
        <w:rPr>
          <w:bCs/>
          <w:b/>
        </w:rPr>
        <w:t xml:space="preserve">MX-05 Swell-Risk Micro-Map.</w:t>
      </w:r>
      <w:r>
        <w:t xml:space="preserve"> </w:t>
      </w:r>
      <w:r>
        <w:t xml:space="preserve">The Parties jointly delineate one swell hazard zone for the Interim Middle Route sector between waypoints IMR-2 and IMR-3, refreshed daily from buoy and model data. Success metric: 14 consecutive daily editions; zero unmarked swell events above 2.5 meters encountered by reporting vessels.</w:t>
      </w:r>
    </w:p>
    <w:p>
      <w:pPr>
        <w:pStyle w:val="BodyText"/>
      </w:pPr>
      <w:r>
        <w:rPr>
          <w:bCs/>
          <w:b/>
        </w:rPr>
        <w:t xml:space="preserve">MX-06 Shared Hazard Bulletin.</w:t>
      </w:r>
      <w:r>
        <w:t xml:space="preserve"> </w:t>
      </w:r>
      <w:r>
        <w:t xml:space="preserve">The watch floors publish one joint daily hazard summary covering debris, unlit vessels, and chart discrepancies reported by either side, issued at 05:00 UTC. Success metric: 21 consecutive daily editions; every reported hazard carried to resolution or expiry.</w:t>
      </w:r>
    </w:p>
    <w:p>
      <w:pPr>
        <w:pStyle w:val="BodyText"/>
      </w:pPr>
      <w:r>
        <w:rPr>
          <w:bCs/>
          <w:b/>
        </w:rPr>
        <w:t xml:space="preserve">MX-07 Shared Storm Threshold.</w:t>
      </w:r>
      <w:r>
        <w:t xml:space="preserve"> </w:t>
      </w:r>
      <w:r>
        <w:t xml:space="preserve">The Parties agree and publish the storm intensity values (wind at 34 knots, visibility at 1,000 meters, swell at 3.0 meters) that trigger identical advisory language on both sides. Success metric: threshold table published; identical advisories issued in 100 percent of threshold events during the sub-layer.</w:t>
      </w:r>
    </w:p>
    <w:p>
      <w:pPr>
        <w:pStyle w:val="BodyText"/>
      </w:pPr>
      <w:r>
        <w:rPr>
          <w:bCs/>
          <w:b/>
        </w:rPr>
        <w:t xml:space="preserve">MX-08 Micro-Meteorology Desk.</w:t>
      </w:r>
      <w:r>
        <w:t xml:space="preserve"> </w:t>
      </w:r>
      <w:r>
        <w:t xml:space="preserve">Two meteorologists, one from each Principal Party, staff a shared desk by video link for the 06:00 to 10:00 UTC window daily, harmonizing the next day’s forecast language for the Governance Area. Success metric: 14 consecutive staffed windows; harmonized forecast issued each day.</w:t>
      </w:r>
    </w:p>
    <w:p>
      <w:pPr>
        <w:pStyle w:val="BodyText"/>
      </w:pPr>
      <w:r>
        <w:rPr>
          <w:bCs/>
          <w:b/>
        </w:rPr>
        <w:t xml:space="preserve">MX-09 Joint Hazard Symbols.</w:t>
      </w:r>
      <w:r>
        <w:t xml:space="preserve"> </w:t>
      </w:r>
      <w:r>
        <w:t xml:space="preserve">The Parties adopt the common symbol set of Annex C.6 for all bulletins, replacing divergent national symbols inside shared products. Success metric: symbol register published; 100 percent symbol conformance in shared bulletins from Day 15 onward.</w:t>
      </w:r>
    </w:p>
    <w:p>
      <w:pPr>
        <w:pStyle w:val="BodyText"/>
      </w:pPr>
      <w:r>
        <w:rPr>
          <w:bCs/>
          <w:b/>
        </w:rPr>
        <w:t xml:space="preserve">MX-10 Micro-Traffic Forecast.</w:t>
      </w:r>
      <w:r>
        <w:t xml:space="preserve"> </w:t>
      </w:r>
      <w:r>
        <w:t xml:space="preserve">The watch floors jointly predict inbound and outbound traffic counts for the Interim Middle Route for each following 24-hour period, published at 12:00 UTC. Success metric: 14 consecutive daily forecasts; forecast error within 20 percent of observed counts in 10 of 14 days.</w:t>
      </w:r>
    </w:p>
    <w:bookmarkEnd w:id="89"/>
    <w:bookmarkStart w:id="90" w:name="sub-layer-0.1-completion"/>
    <w:p>
      <w:pPr>
        <w:pStyle w:val="Heading3"/>
      </w:pPr>
      <w:r>
        <w:t xml:space="preserve">11.3 Sub-Layer 0.1 Completion</w:t>
      </w:r>
    </w:p>
    <w:p>
      <w:pPr>
        <w:pStyle w:val="FirstParagraph"/>
      </w:pPr>
      <w:r>
        <w:t xml:space="preserve">Sub-Layer 0.1 completes when eight of its ten exercises record their success metrics in the Exercise Logbook. Completion activates no authority; it unlocks the full activation of Sub-Layer 0.2 and enters the Gate G-0 record.</w:t>
      </w:r>
    </w:p>
    <w:bookmarkEnd w:id="90"/>
    <w:bookmarkEnd w:id="91"/>
    <w:bookmarkStart w:id="95" w:name="Xa6ab65a53752f92f1ce4aa2ab921dd9beaa0743"/>
    <w:p>
      <w:pPr>
        <w:pStyle w:val="Heading2"/>
      </w:pPr>
      <w:r>
        <w:t xml:space="preserve">Article 12: Sub-Layer 0.2: Movement Safety (MX-11 to MX-20)</w:t>
      </w:r>
    </w:p>
    <w:bookmarkStart w:id="92" w:name="purpose-and-character-1"/>
    <w:p>
      <w:pPr>
        <w:pStyle w:val="Heading3"/>
      </w:pPr>
      <w:r>
        <w:t xml:space="preserve">12.1 Purpose and Character</w:t>
      </w:r>
    </w:p>
    <w:p>
      <w:pPr>
        <w:pStyle w:val="FirstParagraph"/>
      </w:pPr>
      <w:r>
        <w:t xml:space="preserve">Sub-Layer 0.2 touches vessel movement patterns without binding them. Every exercise in this sub-layer is advisory, voluntary, and free of charge; no vessel faces any requirement, and the framework excludes every element of control.</w:t>
      </w:r>
    </w:p>
    <w:bookmarkEnd w:id="92"/>
    <w:bookmarkStart w:id="93" w:name="the-ten-exercises-1"/>
    <w:p>
      <w:pPr>
        <w:pStyle w:val="Heading3"/>
      </w:pPr>
      <w:r>
        <w:t xml:space="preserve">12.2 The Ten Exercises</w:t>
      </w:r>
    </w:p>
    <w:p>
      <w:pPr>
        <w:pStyle w:val="FirstParagraph"/>
      </w:pPr>
      <w:r>
        <w:rPr>
          <w:bCs/>
          <w:b/>
        </w:rPr>
        <w:t xml:space="preserve">MX-11 Single-Corridor Stability Test.</w:t>
      </w:r>
      <w:r>
        <w:t xml:space="preserve"> </w:t>
      </w:r>
      <w:r>
        <w:t xml:space="preserve">The Parties jointly acknowledge, without jointly controlling, one inbound lane along the Interim Middle Route centerline between waypoints IMR-1 and IMR-4, for a daily six-hour window (06:00 to 12:00 UTC). Both watch floors log every transit through the window. Success metric: 14 consecutive windows operated; every transit logged by both floors with matching records.</w:t>
      </w:r>
    </w:p>
    <w:p>
      <w:pPr>
        <w:pStyle w:val="BodyText"/>
      </w:pPr>
      <w:r>
        <w:rPr>
          <w:bCs/>
          <w:b/>
        </w:rPr>
        <w:t xml:space="preserve">MX-12 Outbound Corridor Test.</w:t>
      </w:r>
      <w:r>
        <w:t xml:space="preserve"> </w:t>
      </w:r>
      <w:r>
        <w:t xml:space="preserve">The mirror of MX-11 for outbound traffic, in the 12:00 to 18:00 UTC window, along the same centerline. Success metric: identical to MX-11.</w:t>
      </w:r>
    </w:p>
    <w:p>
      <w:pPr>
        <w:pStyle w:val="BodyText"/>
      </w:pPr>
      <w:r>
        <w:rPr>
          <w:bCs/>
          <w:b/>
        </w:rPr>
        <w:t xml:space="preserve">MX-13 Temporary Slow-Zone.</w:t>
      </w:r>
      <w:r>
        <w:t xml:space="preserve"> </w:t>
      </w:r>
      <w:r>
        <w:t xml:space="preserve">During any MX-07 threshold event, the Parties publish a joint advisory recommending speed not exceeding 10 knots through the swell zone of MX-05, for the event’s duration. Success metric: advisory issued in 100 percent of threshold events; observed compliance rate recorded without consequence for non-compliance.</w:t>
      </w:r>
    </w:p>
    <w:p>
      <w:pPr>
        <w:pStyle w:val="BodyText"/>
      </w:pPr>
      <w:r>
        <w:rPr>
          <w:bCs/>
          <w:b/>
        </w:rPr>
        <w:t xml:space="preserve">MX-14 Micro-Anchorage Zone.</w:t>
      </w:r>
      <w:r>
        <w:t xml:space="preserve"> </w:t>
      </w:r>
      <w:r>
        <w:t xml:space="preserve">The Parties jointly acknowledge Emergency Anchorage East at 26 degrees 30.0 minutes North, 057 degrees 06.0 minutes East as a holding area for vessels awaiting weather, and log its usage. Success metric: anchorage published in both national Notice to Mariners series; usage log maintained for 14 days.</w:t>
      </w:r>
    </w:p>
    <w:p>
      <w:pPr>
        <w:pStyle w:val="BodyText"/>
      </w:pPr>
      <w:r>
        <w:rPr>
          <w:bCs/>
          <w:b/>
        </w:rPr>
        <w:t xml:space="preserve">MX-15 Micro-Anchoring Advisory.</w:t>
      </w:r>
      <w:r>
        <w:t xml:space="preserve"> </w:t>
      </w:r>
      <w:r>
        <w:t xml:space="preserve">The watch floors issue non-binding anchoring guidance (position, depth, swinging room) for Emergency Anchorage East upon any vessel’s request relayed through the corridor working channel. Success metric: guidance issued within 15 minutes of every request.</w:t>
      </w:r>
    </w:p>
    <w:p>
      <w:pPr>
        <w:pStyle w:val="BodyText"/>
      </w:pPr>
      <w:r>
        <w:rPr>
          <w:bCs/>
          <w:b/>
        </w:rPr>
        <w:t xml:space="preserve">MX-16 Micro-Navigation Cues.</w:t>
      </w:r>
      <w:r>
        <w:t xml:space="preserve"> </w:t>
      </w:r>
      <w:r>
        <w:t xml:space="preserve">The Parties harmonize the light characteristics and virtual AIS aid-to-navigation identifiers marking the Interim Middle Route’s entry and exit points, per Table A.10. Success metric: cues live and identical on both sides’ charts and transmissions for 14 consecutive days.</w:t>
      </w:r>
    </w:p>
    <w:p>
      <w:pPr>
        <w:pStyle w:val="BodyText"/>
      </w:pPr>
      <w:r>
        <w:rPr>
          <w:bCs/>
          <w:b/>
        </w:rPr>
        <w:t xml:space="preserve">MX-17 Joint Calm-Sea Window.</w:t>
      </w:r>
      <w:r>
        <w:t xml:space="preserve"> </w:t>
      </w:r>
      <w:r>
        <w:t xml:space="preserve">The micro-meteorology desk of MX-08 identifies the optimal daily transit window during calm seas and publishes it in the hazard bulletin of MX-06. Success metric: window published daily for 14 consecutive days.</w:t>
      </w:r>
    </w:p>
    <w:p>
      <w:pPr>
        <w:pStyle w:val="BodyText"/>
      </w:pPr>
      <w:r>
        <w:rPr>
          <w:bCs/>
          <w:b/>
        </w:rPr>
        <w:t xml:space="preserve">MX-18 Harbor-Exit Timing.</w:t>
      </w:r>
      <w:r>
        <w:t xml:space="preserve"> </w:t>
      </w:r>
      <w:r>
        <w:t xml:space="preserve">The Bandar Abbas and Khasab stations align departure windows for government vessels for one 30-minute period daily, deconflicting official movements from commercial peaks. Success metric: 14 consecutive aligned windows; zero proximity events under 1 nautical mile between official and commercial vessels inside the window.</w:t>
      </w:r>
    </w:p>
    <w:p>
      <w:pPr>
        <w:pStyle w:val="BodyText"/>
      </w:pPr>
      <w:r>
        <w:rPr>
          <w:bCs/>
          <w:b/>
        </w:rPr>
        <w:t xml:space="preserve">MX-19 Pilot-Boat Coordination.</w:t>
      </w:r>
      <w:r>
        <w:t xml:space="preserve"> </w:t>
      </w:r>
      <w:r>
        <w:t xml:space="preserve">The Parties align pilot-boat schedules at the corridor entries for two hours daily, publishing availability to requesting vessels. Success metric: 14 consecutive days of published alignment; pilot response within 45 minutes of request.</w:t>
      </w:r>
    </w:p>
    <w:p>
      <w:pPr>
        <w:pStyle w:val="BodyText"/>
      </w:pPr>
      <w:r>
        <w:rPr>
          <w:bCs/>
          <w:b/>
        </w:rPr>
        <w:t xml:space="preserve">MX-20 Harbor-Pilot Rotation.</w:t>
      </w:r>
      <w:r>
        <w:t xml:space="preserve"> </w:t>
      </w:r>
      <w:r>
        <w:t xml:space="preserve">The Parties exchange pilot availability rosters weekly for the corridor entries, without obligation on any pilot or vessel. Success metric: four consecutive weekly exchanges; roster accuracy confirmed against actual availability at 95 percent.</w:t>
      </w:r>
    </w:p>
    <w:bookmarkEnd w:id="93"/>
    <w:bookmarkStart w:id="94" w:name="sub-layer-0.2-completion"/>
    <w:p>
      <w:pPr>
        <w:pStyle w:val="Heading3"/>
      </w:pPr>
      <w:r>
        <w:t xml:space="preserve">12.3 Sub-Layer 0.2 Completion</w:t>
      </w:r>
    </w:p>
    <w:p>
      <w:pPr>
        <w:pStyle w:val="FirstParagraph"/>
      </w:pPr>
      <w:r>
        <w:t xml:space="preserve">Sub-Layer 0.2 completes when eight of its ten exercises record their success metrics, and it enters the Gate G-0 record together with the corridor stability counts of MX-11 and MX-12, which serve as the first measured evidence that predictable movement reduces incident probability.</w:t>
      </w:r>
    </w:p>
    <w:bookmarkEnd w:id="94"/>
    <w:bookmarkEnd w:id="95"/>
    <w:bookmarkStart w:id="99" w:name="Xaea606741b27e8e3d25a4ae5dcb71967f34059d"/>
    <w:p>
      <w:pPr>
        <w:pStyle w:val="Heading2"/>
      </w:pPr>
      <w:r>
        <w:t xml:space="preserve">Article 13: Sub-Layer 0.3: Incident Alerts (MX-21 to MX-30)</w:t>
      </w:r>
    </w:p>
    <w:bookmarkStart w:id="96" w:name="purpose-and-character-2"/>
    <w:p>
      <w:pPr>
        <w:pStyle w:val="Heading3"/>
      </w:pPr>
      <w:r>
        <w:t xml:space="preserve">13.1 Purpose and Character</w:t>
      </w:r>
    </w:p>
    <w:p>
      <w:pPr>
        <w:pStyle w:val="FirstParagraph"/>
      </w:pPr>
      <w:r>
        <w:t xml:space="preserve">Sub-Layer 0.3 reduces misinterpretation: the single largest escalation risk in the strait arises when one side misreads the other side’s vessel behavior. Every exercise in this sub-layer is communication-only, non-attributive, and confined to safety events; the framework excludes security content, identity probing, and enforcement content from every alert.</w:t>
      </w:r>
    </w:p>
    <w:bookmarkEnd w:id="96"/>
    <w:bookmarkStart w:id="97" w:name="the-ten-exercises-2"/>
    <w:p>
      <w:pPr>
        <w:pStyle w:val="Heading3"/>
      </w:pPr>
      <w:r>
        <w:t xml:space="preserve">13.2 The Ten Exercises</w:t>
      </w:r>
    </w:p>
    <w:p>
      <w:pPr>
        <w:pStyle w:val="FirstParagraph"/>
      </w:pPr>
      <w:r>
        <w:rPr>
          <w:bCs/>
          <w:b/>
        </w:rPr>
        <w:t xml:space="preserve">MX-21 Dual-Ping Incident Alerts.</w:t>
      </w:r>
      <w:r>
        <w:t xml:space="preserve"> </w:t>
      </w:r>
      <w:r>
        <w:t xml:space="preserve">Each watch floor transmits a two-ping alert (first ping: event class; second ping: position and status) to the other floor upon any mechanical failure, near-miss, or disabled vessel observed in the Governance Area, within five minutes of observation. Format follows Annex C.7. Success metric: alerts transmitted within five minutes in 100 percent of observed events for 14 consecutive days.</w:t>
      </w:r>
    </w:p>
    <w:p>
      <w:pPr>
        <w:pStyle w:val="BodyText"/>
      </w:pPr>
      <w:r>
        <w:rPr>
          <w:bCs/>
          <w:b/>
        </w:rPr>
        <w:t xml:space="preserve">MX-22 Mechanical-Failure Registry.</w:t>
      </w:r>
      <w:r>
        <w:t xml:space="preserve"> </w:t>
      </w:r>
      <w:r>
        <w:t xml:space="preserve">The Parties maintain a shared, non-attributive registry of non-security breakdowns (vessel class anonymized, flag omitted) with position, nature, and resolution. Success metric: registry current within one hour of each event; zero attributive entries.</w:t>
      </w:r>
    </w:p>
    <w:p>
      <w:pPr>
        <w:pStyle w:val="BodyText"/>
      </w:pPr>
      <w:r>
        <w:rPr>
          <w:bCs/>
          <w:b/>
        </w:rPr>
        <w:t xml:space="preserve">MX-23 Engine-Restart Alerts.</w:t>
      </w:r>
      <w:r>
        <w:t xml:space="preserve"> </w:t>
      </w:r>
      <w:r>
        <w:t xml:space="preserve">A watch floor that observes a disabled vessel restart its propulsion notifies the other floor within five minutes, clearing the incident picture. Success metric: 100 percent of restarts notified within five minutes for 14 consecutive days.</w:t>
      </w:r>
    </w:p>
    <w:p>
      <w:pPr>
        <w:pStyle w:val="BodyText"/>
      </w:pPr>
      <w:r>
        <w:rPr>
          <w:bCs/>
          <w:b/>
        </w:rPr>
        <w:t xml:space="preserve">MX-24 Anchor-Drift Alerts.</w:t>
      </w:r>
      <w:r>
        <w:t xml:space="preserve"> </w:t>
      </w:r>
      <w:r>
        <w:t xml:space="preserve">Each floor notifies the other of any anchored vessel dragging beyond 0.2 nautical miles from its anchored position inside the designated anchorages. Success metric: 100 percent of drift events notified within ten minutes.</w:t>
      </w:r>
    </w:p>
    <w:p>
      <w:pPr>
        <w:pStyle w:val="BodyText"/>
      </w:pPr>
      <w:r>
        <w:rPr>
          <w:bCs/>
          <w:b/>
        </w:rPr>
        <w:t xml:space="preserve">MX-25 Fuel-Leak Notifications.</w:t>
      </w:r>
      <w:r>
        <w:t xml:space="preserve"> </w:t>
      </w:r>
      <w:r>
        <w:t xml:space="preserve">The Parties notify each other of any observed non-security fuel or oil sheen, with position and estimated extent, within fifteen minutes of observation. Success metric: 100 percent notification; joint log of responses maintained.</w:t>
      </w:r>
    </w:p>
    <w:p>
      <w:pPr>
        <w:pStyle w:val="BodyText"/>
      </w:pPr>
      <w:r>
        <w:rPr>
          <w:bCs/>
          <w:b/>
        </w:rPr>
        <w:t xml:space="preserve">MX-26 Micro-Hazmat Alert.</w:t>
      </w:r>
      <w:r>
        <w:t xml:space="preserve"> </w:t>
      </w:r>
      <w:r>
        <w:t xml:space="preserve">The Parties notify each other of any non-security hazardous-material release or container loss, with position and material class where known. Success metric: 100 percent notification within fifteen minutes.</w:t>
      </w:r>
    </w:p>
    <w:p>
      <w:pPr>
        <w:pStyle w:val="BodyText"/>
      </w:pPr>
      <w:r>
        <w:rPr>
          <w:bCs/>
          <w:b/>
        </w:rPr>
        <w:t xml:space="preserve">MX-27 Joint Debris Alert.</w:t>
      </w:r>
      <w:r>
        <w:t xml:space="preserve"> </w:t>
      </w:r>
      <w:r>
        <w:t xml:space="preserve">The Parties notify each other of floating debris sightings endangering navigation, with position and description, for inclusion in the hazard bulletin. Success metric: 100 percent of sightings exchanged within thirty minutes.</w:t>
      </w:r>
    </w:p>
    <w:p>
      <w:pPr>
        <w:pStyle w:val="BodyText"/>
      </w:pPr>
      <w:r>
        <w:rPr>
          <w:bCs/>
          <w:b/>
        </w:rPr>
        <w:t xml:space="preserve">MX-28 Micro-AIS Blackout Log.</w:t>
      </w:r>
      <w:r>
        <w:t xml:space="preserve"> </w:t>
      </w:r>
      <w:r>
        <w:t xml:space="preserve">The watch floors log AIS outages of any vessel in the Governance Area without attribution, inference, or follow-up query, recording position and duration only. Success metric: log maintained daily; zero attributive annotations for 14 consecutive days.</w:t>
      </w:r>
    </w:p>
    <w:p>
      <w:pPr>
        <w:pStyle w:val="BodyText"/>
      </w:pPr>
      <w:r>
        <w:rPr>
          <w:bCs/>
          <w:b/>
        </w:rPr>
        <w:t xml:space="preserve">MX-29 Small-Craft Advisory.</w:t>
      </w:r>
      <w:r>
        <w:t xml:space="preserve"> </w:t>
      </w:r>
      <w:r>
        <w:t xml:space="preserve">The Parties issue joint advisories for fishing boats and local craft inside the inshore bands, covering corridor traffic forecasts and hazard locations, in Arabic, Farsi, and English. Success metric: advisory issued daily; distribution confirmed to the harbormaster network at Bandar Abbas, Qeshm, Khasab, and Dibba.</w:t>
      </w:r>
    </w:p>
    <w:p>
      <w:pPr>
        <w:pStyle w:val="BodyText"/>
      </w:pPr>
      <w:r>
        <w:rPr>
          <w:bCs/>
          <w:b/>
        </w:rPr>
        <w:t xml:space="preserve">MX-30 Fishing-Net Drift Map.</w:t>
      </w:r>
      <w:r>
        <w:t xml:space="preserve"> </w:t>
      </w:r>
      <w:r>
        <w:t xml:space="preserve">The Parties maintain a joint map of drifting nets and gear, refreshed daily from sightings. Success metric: map updated daily for 14 consecutive days; every reported net tracked to recovery or exit.</w:t>
      </w:r>
    </w:p>
    <w:bookmarkEnd w:id="97"/>
    <w:bookmarkStart w:id="98" w:name="sub-layer-0.3-completion"/>
    <w:p>
      <w:pPr>
        <w:pStyle w:val="Heading3"/>
      </w:pPr>
      <w:r>
        <w:t xml:space="preserve">13.3 Sub-Layer 0.3 Completion</w:t>
      </w:r>
    </w:p>
    <w:p>
      <w:pPr>
        <w:pStyle w:val="FirstParagraph"/>
      </w:pPr>
      <w:r>
        <w:t xml:space="preserve">Sub-Layer 0.3 completes when eight of its ten exercises record their success metrics. The alert latency records of this sub-layer form the communications baseline that Annex C carries forward into Layer 1.</w:t>
      </w:r>
    </w:p>
    <w:bookmarkEnd w:id="98"/>
    <w:bookmarkEnd w:id="99"/>
    <w:bookmarkStart w:id="103" w:name="X5fecf03be65a5b716a9eb5fe735f4868a7d19db"/>
    <w:p>
      <w:pPr>
        <w:pStyle w:val="Heading2"/>
      </w:pPr>
      <w:r>
        <w:t xml:space="preserve">Article 14: Sub-Layer 0.4: Response and Repair (MX-31 to MX-40)</w:t>
      </w:r>
    </w:p>
    <w:bookmarkStart w:id="100" w:name="purpose-and-character-3"/>
    <w:p>
      <w:pPr>
        <w:pStyle w:val="Heading3"/>
      </w:pPr>
      <w:r>
        <w:t xml:space="preserve">14.1 Purpose and Character</w:t>
      </w:r>
    </w:p>
    <w:p>
      <w:pPr>
        <w:pStyle w:val="FirstParagraph"/>
      </w:pPr>
      <w:r>
        <w:t xml:space="preserve">Sub-Layer 0.4 builds muscle memory for joint response without touching authority. Every exercise addresses safety of life, towing, and repair; the framework excludes salvage claims, liability findings, and enforcement from the entire sub-layer.</w:t>
      </w:r>
    </w:p>
    <w:bookmarkEnd w:id="100"/>
    <w:bookmarkStart w:id="101" w:name="the-ten-exercises-3"/>
    <w:p>
      <w:pPr>
        <w:pStyle w:val="Heading3"/>
      </w:pPr>
      <w:r>
        <w:t xml:space="preserve">14.2 The Ten Exercises</w:t>
      </w:r>
    </w:p>
    <w:p>
      <w:pPr>
        <w:pStyle w:val="FirstParagraph"/>
      </w:pPr>
      <w:r>
        <w:rPr>
          <w:bCs/>
          <w:b/>
        </w:rPr>
        <w:t xml:space="preserve">MX-31 Emergency-Tow Readiness.</w:t>
      </w:r>
      <w:r>
        <w:t xml:space="preserve"> </w:t>
      </w:r>
      <w:r>
        <w:t xml:space="preserve">The Parties compile and maintain a joint list of tow-capable vessels (tugs and salvage vessels) with positions, bollard pull, and availability, refreshed every 12 hours. Success metric: list current at every refresh for 14 consecutive days.</w:t>
      </w:r>
    </w:p>
    <w:p>
      <w:pPr>
        <w:pStyle w:val="BodyText"/>
      </w:pPr>
      <w:r>
        <w:rPr>
          <w:bCs/>
          <w:b/>
        </w:rPr>
        <w:t xml:space="preserve">MX-32 Shared Tug-Dispatch.</w:t>
      </w:r>
      <w:r>
        <w:t xml:space="preserve"> </w:t>
      </w:r>
      <w:r>
        <w:t xml:space="preserve">Upon any request for emergency tow assistance relayed through the corridor working channel, the nearest available tug from the joint list dispatches under its own national tasking, with the other floor informed simultaneously. Success metric: dispatch within 30 minutes of request in 100 percent of events; tasking records exchanged.</w:t>
      </w:r>
    </w:p>
    <w:p>
      <w:pPr>
        <w:pStyle w:val="BodyText"/>
      </w:pPr>
      <w:r>
        <w:rPr>
          <w:bCs/>
          <w:b/>
        </w:rPr>
        <w:t xml:space="preserve">MX-33 Micro-SAR Coordination.</w:t>
      </w:r>
      <w:r>
        <w:t xml:space="preserve"> </w:t>
      </w:r>
      <w:r>
        <w:t xml:space="preserve">The Parties exchange search-and-rescue readiness status (assets on station, response times) twice daily for the Governance Area. Success metric: 14 consecutive days of complete exchanges.</w:t>
      </w:r>
    </w:p>
    <w:p>
      <w:pPr>
        <w:pStyle w:val="BodyText"/>
      </w:pPr>
      <w:r>
        <w:rPr>
          <w:bCs/>
          <w:b/>
        </w:rPr>
        <w:t xml:space="preserve">MX-34 Micro-SAR Drill.</w:t>
      </w:r>
      <w:r>
        <w:t xml:space="preserve"> </w:t>
      </w:r>
      <w:r>
        <w:t xml:space="preserve">The Parties conduct one 15-minute search-and-rescue communications drill weekly: a simulated person-in-water position in the Central Deconfliction Band, with both floors executing the notification ladder of Annex C.8. No assets deploy; the drill tests communications only. Success metric: four consecutive weekly drills; every ladder step completed inside its time standard.</w:t>
      </w:r>
    </w:p>
    <w:p>
      <w:pPr>
        <w:pStyle w:val="BodyText"/>
      </w:pPr>
      <w:r>
        <w:rPr>
          <w:bCs/>
          <w:b/>
        </w:rPr>
        <w:t xml:space="preserve">MX-35 Shared Repair-Ship List.</w:t>
      </w:r>
      <w:r>
        <w:t xml:space="preserve"> </w:t>
      </w:r>
      <w:r>
        <w:t xml:space="preserve">The Parties maintain a joint list of repair-capable vessels and diving support units available in the Governance Area, with capabilities and contact points. Success metric: list current at 95 percent accuracy, verified weekly.</w:t>
      </w:r>
    </w:p>
    <w:p>
      <w:pPr>
        <w:pStyle w:val="BodyText"/>
      </w:pPr>
      <w:r>
        <w:rPr>
          <w:bCs/>
          <w:b/>
        </w:rPr>
        <w:t xml:space="preserve">MX-36 Shared Repair-Crew Roster.</w:t>
      </w:r>
      <w:r>
        <w:t xml:space="preserve"> </w:t>
      </w:r>
      <w:r>
        <w:t xml:space="preserve">The Parties exchange availability rosters for emergency repair teams at Bandar Abbas, Qeshm, Khasab, and Fujairah, weekly. Success metric: four consecutive weekly exchanges.</w:t>
      </w:r>
    </w:p>
    <w:p>
      <w:pPr>
        <w:pStyle w:val="BodyText"/>
      </w:pPr>
      <w:r>
        <w:rPr>
          <w:bCs/>
          <w:b/>
        </w:rPr>
        <w:t xml:space="preserve">MX-37 Shared Repair-Dock Timing.</w:t>
      </w:r>
      <w:r>
        <w:t xml:space="preserve"> </w:t>
      </w:r>
      <w:r>
        <w:t xml:space="preserve">The Parties align repair-dock access windows at the four stations for vessels disabled in the Governance Area, publishing availability. Success metric: availability published weekly; disabled-vessel dock assignment within 12 hours of request.</w:t>
      </w:r>
    </w:p>
    <w:p>
      <w:pPr>
        <w:pStyle w:val="BodyText"/>
      </w:pPr>
      <w:r>
        <w:rPr>
          <w:bCs/>
          <w:b/>
        </w:rPr>
        <w:t xml:space="preserve">MX-38 Micro-Repair Coordination.</w:t>
      </w:r>
      <w:r>
        <w:t xml:space="preserve"> </w:t>
      </w:r>
      <w:r>
        <w:t xml:space="preserve">For one vessel per day where a request exists, the Parties align repair scheduling (team, dock, parts) through the watch floors. Success metric: every requested coordination completed within 24 hours for 14 consecutive days.</w:t>
      </w:r>
    </w:p>
    <w:p>
      <w:pPr>
        <w:pStyle w:val="BodyText"/>
      </w:pPr>
      <w:r>
        <w:rPr>
          <w:bCs/>
          <w:b/>
        </w:rPr>
        <w:t xml:space="preserve">MX-39 Joint Drift Prediction.</w:t>
      </w:r>
      <w:r>
        <w:t xml:space="preserve"> </w:t>
      </w:r>
      <w:r>
        <w:t xml:space="preserve">The Parties run and exchange drift predictions for any disabled vessel in the Governance Area, using the harmonized model of Annex B, Section B.39, with positions refreshed hourly. Success metric: prediction versus observed track error under 2 nautical miles at six hours in 80 percent of cases.</w:t>
      </w:r>
    </w:p>
    <w:p>
      <w:pPr>
        <w:pStyle w:val="BodyText"/>
      </w:pPr>
      <w:r>
        <w:rPr>
          <w:bCs/>
          <w:b/>
        </w:rPr>
        <w:t xml:space="preserve">MX-40 Micro-Collision Review.</w:t>
      </w:r>
      <w:r>
        <w:t xml:space="preserve"> </w:t>
      </w:r>
      <w:r>
        <w:t xml:space="preserve">The Parties jointly review every minor near-miss logged in the lattice, using the paired logbook entries, and issue a joint one-paragraph finding of fact without attribution of fault. Success metric: finding issued within 72 hours of every qualifying event; zero fault language in any finding.</w:t>
      </w:r>
    </w:p>
    <w:bookmarkEnd w:id="101"/>
    <w:bookmarkStart w:id="102" w:name="sub-layer-0.4-completion"/>
    <w:p>
      <w:pPr>
        <w:pStyle w:val="Heading3"/>
      </w:pPr>
      <w:r>
        <w:t xml:space="preserve">14.3 Sub-Layer 0.4 Completion</w:t>
      </w:r>
    </w:p>
    <w:p>
      <w:pPr>
        <w:pStyle w:val="FirstParagraph"/>
      </w:pPr>
      <w:r>
        <w:t xml:space="preserve">Sub-Layer 0.4 completes when eight of its ten exercises record their success metrics. The response-time records of this sub-layer form the readiness baseline for the SAR framework of Article 29.7 and Annex G of the mine taskforce charter.</w:t>
      </w:r>
    </w:p>
    <w:bookmarkEnd w:id="102"/>
    <w:bookmarkEnd w:id="103"/>
    <w:bookmarkStart w:id="107" w:name="X1d54aac7ced6d4f6dadf11bcb291d06298b13c5"/>
    <w:p>
      <w:pPr>
        <w:pStyle w:val="Heading2"/>
      </w:pPr>
      <w:r>
        <w:t xml:space="preserve">Article 15: Sub-Layer 0.5: Micro-Governance and Simulation (MX-41 to MX-50)</w:t>
      </w:r>
    </w:p>
    <w:bookmarkStart w:id="104" w:name="purpose-and-character-4"/>
    <w:p>
      <w:pPr>
        <w:pStyle w:val="Heading3"/>
      </w:pPr>
      <w:r>
        <w:t xml:space="preserve">15.1 Purpose and Character</w:t>
      </w:r>
    </w:p>
    <w:p>
      <w:pPr>
        <w:pStyle w:val="FirstParagraph"/>
      </w:pPr>
      <w:r>
        <w:t xml:space="preserve">Sub-Layer 0.5 creates the smallest institutional scaffolding for everything that follows. Every exercise in this sub-layer is provisional, non-binding, and explicitly incapable of creating obligations; the sub-layer tests institutional behavior, not institutional power.</w:t>
      </w:r>
    </w:p>
    <w:bookmarkEnd w:id="104"/>
    <w:bookmarkStart w:id="105" w:name="the-ten-exercises-4"/>
    <w:p>
      <w:pPr>
        <w:pStyle w:val="Heading3"/>
      </w:pPr>
      <w:r>
        <w:t xml:space="preserve">15.2 The Ten Exercises</w:t>
      </w:r>
    </w:p>
    <w:p>
      <w:pPr>
        <w:pStyle w:val="FirstParagraph"/>
      </w:pPr>
      <w:r>
        <w:rPr>
          <w:bCs/>
          <w:b/>
        </w:rPr>
        <w:t xml:space="preserve">MX-41 Shared Logbook Cell.</w:t>
      </w:r>
      <w:r>
        <w:t xml:space="preserve"> </w:t>
      </w:r>
      <w:r>
        <w:t xml:space="preserve">The four-person desk of Article 10 assumes custody of the Exercise Logbook and demonstrates its daily audit routine. Success metric: logbook audit completed daily for 14 consecutive days with zero unreconciled entries.</w:t>
      </w:r>
    </w:p>
    <w:p>
      <w:pPr>
        <w:pStyle w:val="BodyText"/>
      </w:pPr>
      <w:r>
        <w:rPr>
          <w:bCs/>
          <w:b/>
        </w:rPr>
        <w:t xml:space="preserve">MX-42 Micro-Training Exchange.</w:t>
      </w:r>
      <w:r>
        <w:t xml:space="preserve"> </w:t>
      </w:r>
      <w:r>
        <w:t xml:space="preserve">Each Principal Party seconds two personnel to the other Party’s watch floor for observation only, for five consecutive days, under the observation protocol of Annex C.9 (no system access beyond the shared picture, no operational duties). Success metric: exchange completed; observation reports exchanged.</w:t>
      </w:r>
    </w:p>
    <w:p>
      <w:pPr>
        <w:pStyle w:val="BodyText"/>
      </w:pPr>
      <w:r>
        <w:rPr>
          <w:bCs/>
          <w:b/>
        </w:rPr>
        <w:t xml:space="preserve">MX-43 Radio-Channel Harmonization.</w:t>
      </w:r>
      <w:r>
        <w:t xml:space="preserve"> </w:t>
      </w:r>
      <w:r>
        <w:t xml:space="preserve">The Parties adopt VHF Channel 16 for distress, Channel 72 as the corridor working channel, and Channel 74 as the watch-floor coordination channel throughout the Governance Area, per Annex C.2. Success metric: channel plan published; 14 consecutive days of operation without cross-channel interference events.</w:t>
      </w:r>
    </w:p>
    <w:p>
      <w:pPr>
        <w:pStyle w:val="BodyText"/>
      </w:pPr>
      <w:r>
        <w:rPr>
          <w:bCs/>
          <w:b/>
        </w:rPr>
        <w:t xml:space="preserve">MX-44 Joint Fog-Horn and Signal Protocol.</w:t>
      </w:r>
      <w:r>
        <w:t xml:space="preserve"> </w:t>
      </w:r>
      <w:r>
        <w:t xml:space="preserve">The Parties standardize sound and light signal patterns for corridor advisories (restricted visibility, hazard ahead, anchorage guidance), per Annex C.10. Success metric: protocol published; conformance in 100 percent of advisory events.</w:t>
      </w:r>
    </w:p>
    <w:p>
      <w:pPr>
        <w:pStyle w:val="BodyText"/>
      </w:pPr>
      <w:r>
        <w:rPr>
          <w:bCs/>
          <w:b/>
        </w:rPr>
        <w:t xml:space="preserve">MX-45 Shared Vessel-Intent Form.</w:t>
      </w:r>
      <w:r>
        <w:t xml:space="preserve"> </w:t>
      </w:r>
      <w:r>
        <w:t xml:space="preserve">The Parties adopt the voluntary, non-binding vessel-intent form of Annex L.3 (planned route, speed, and timing), which any vessel files through its agent and either floor accepts without acknowledgment duty. Success metric: form published in three languages; filing rate recorded without consequence for non-filing.</w:t>
      </w:r>
    </w:p>
    <w:p>
      <w:pPr>
        <w:pStyle w:val="BodyText"/>
      </w:pPr>
      <w:r>
        <w:rPr>
          <w:bCs/>
          <w:b/>
        </w:rPr>
        <w:t xml:space="preserve">MX-46 Micro-Fee Simulation.</w:t>
      </w:r>
      <w:r>
        <w:t xml:space="preserve"> </w:t>
      </w:r>
      <w:r>
        <w:t xml:space="preserve">Each watch floor runs a parallel accounting model of the Verified Services Catalog of Article 35: for every transit in the lattice window, the model computes which optional services a vessel would plausibly request, at the simulation rate card of Annex F.2. No money moves; no invoice issues; no commitment arises. Success metric: 14 consecutive days of parallel model runs; model outputs reconciled between floors within 5 percent.</w:t>
      </w:r>
    </w:p>
    <w:p>
      <w:pPr>
        <w:pStyle w:val="BodyText"/>
      </w:pPr>
      <w:r>
        <w:rPr>
          <w:bCs/>
          <w:b/>
        </w:rPr>
        <w:t xml:space="preserve">MX-47 Micro-Oversight Cell.</w:t>
      </w:r>
      <w:r>
        <w:t xml:space="preserve"> </w:t>
      </w:r>
      <w:r>
        <w:t xml:space="preserve">The Lattice Cell demonstrates its full weekly routine: stability note, anomaly review, and recommendation drafting, exactly as Article 10 prescribes. Success metric: routine executed weekly without missed session.</w:t>
      </w:r>
    </w:p>
    <w:p>
      <w:pPr>
        <w:pStyle w:val="BodyText"/>
      </w:pPr>
      <w:r>
        <w:rPr>
          <w:bCs/>
          <w:b/>
        </w:rPr>
        <w:t xml:space="preserve">MX-48 Micro-Governance Review.</w:t>
      </w:r>
      <w:r>
        <w:t xml:space="preserve"> </w:t>
      </w:r>
      <w:r>
        <w:t xml:space="preserve">The Lattice Cell conducts one weekly review of the entire lattice, recording what functions, what fails, and what each Party experiences, in the standing format of Annex J.4. Success metric: four consecutive weekly reviews on record.</w:t>
      </w:r>
    </w:p>
    <w:p>
      <w:pPr>
        <w:pStyle w:val="BodyText"/>
      </w:pPr>
      <w:r>
        <w:rPr>
          <w:bCs/>
          <w:b/>
        </w:rPr>
        <w:t xml:space="preserve">MX-49 Pilot-Compatibility Audit.</w:t>
      </w:r>
      <w:r>
        <w:t xml:space="preserve"> </w:t>
      </w:r>
      <w:r>
        <w:t xml:space="preserve">The neutral member of the Lattice Cell audits every active exercise against the Five Standing Rules of Article 9.2 and reports any drift toward authority, enforcement, or sovereignty implication. Success metric: audit completed weekly; every drift finding remediated or the exercise suspended within 48 hours.</w:t>
      </w:r>
    </w:p>
    <w:p>
      <w:pPr>
        <w:pStyle w:val="BodyText"/>
      </w:pPr>
      <w:r>
        <w:rPr>
          <w:bCs/>
          <w:b/>
        </w:rPr>
        <w:t xml:space="preserve">MX-50 Corridor-Expansion Test.</w:t>
      </w:r>
      <w:r>
        <w:t xml:space="preserve"> </w:t>
      </w:r>
      <w:r>
        <w:t xml:space="preserve">The Parties jointly simulate, on the shared picture and without vessel involvement, the expansion of the MX-11 window from six hours to twenty-four hours, recording projected conflicts and capacity. Success metric: simulation report completed; projections recorded for the Layer 2 design review.</w:t>
      </w:r>
    </w:p>
    <w:bookmarkEnd w:id="105"/>
    <w:bookmarkStart w:id="106" w:name="sub-layer-0.5-completion"/>
    <w:p>
      <w:pPr>
        <w:pStyle w:val="Heading3"/>
      </w:pPr>
      <w:r>
        <w:t xml:space="preserve">15.3 Sub-Layer 0.5 Completion</w:t>
      </w:r>
    </w:p>
    <w:p>
      <w:pPr>
        <w:pStyle w:val="FirstParagraph"/>
      </w:pPr>
      <w:r>
        <w:t xml:space="preserve">Sub-Layer 0.5 completes when eight of its ten exercises record their success metrics, and its records constitute the institutional-readiness chapter of the Gate G-0 audit.</w:t>
      </w:r>
    </w:p>
    <w:bookmarkEnd w:id="106"/>
    <w:bookmarkEnd w:id="107"/>
    <w:bookmarkStart w:id="111" w:name="X1b8db2b26da445ff5e0df751d3e967cb70a56c4"/>
    <w:p>
      <w:pPr>
        <w:pStyle w:val="Heading2"/>
      </w:pPr>
      <w:r>
        <w:t xml:space="preserve">Article 16: Gate G-0: The First Stability Audit</w:t>
      </w:r>
    </w:p>
    <w:bookmarkStart w:id="108" w:name="the-audit"/>
    <w:p>
      <w:pPr>
        <w:pStyle w:val="Heading3"/>
      </w:pPr>
      <w:r>
        <w:t xml:space="preserve">16.1 The Audit</w:t>
      </w:r>
    </w:p>
    <w:p>
      <w:pPr>
        <w:pStyle w:val="FirstParagraph"/>
      </w:pPr>
      <w:r>
        <w:t xml:space="preserve">Upon Day 30, the Neutral Watch Office (stood up provisionally under Annex K.2) audits the Exercise Logbook against the G-0 metrics of Article 7.2: 30 consecutive days of lattice operation, at least 45 of 50 exercises activated, zero unresolved Level-2 incidents under the classification of Annex D.4, and a recorded Lattice Cell recommendation.</w:t>
      </w:r>
    </w:p>
    <w:bookmarkEnd w:id="108"/>
    <w:bookmarkStart w:id="109" w:name="certification"/>
    <w:p>
      <w:pPr>
        <w:pStyle w:val="Heading3"/>
      </w:pPr>
      <w:r>
        <w:t xml:space="preserve">16.2 Certification</w:t>
      </w:r>
    </w:p>
    <w:p>
      <w:pPr>
        <w:pStyle w:val="FirstParagraph"/>
      </w:pPr>
      <w:r>
        <w:t xml:space="preserve">The Neutral Watch Office publishes the Gate G-0 certificate within 24 hours of the metrics standing satisfied. The certificate states the factual record and nothing else. Gate G-0 opens Layer 1 at 00:00 UTC on the following day.</w:t>
      </w:r>
    </w:p>
    <w:bookmarkEnd w:id="109"/>
    <w:bookmarkStart w:id="110" w:name="failure-handling"/>
    <w:p>
      <w:pPr>
        <w:pStyle w:val="Heading3"/>
      </w:pPr>
      <w:r>
        <w:t xml:space="preserve">16.3 Failure Handling</w:t>
      </w:r>
    </w:p>
    <w:p>
      <w:pPr>
        <w:pStyle w:val="FirstParagraph"/>
      </w:pPr>
      <w:r>
        <w:t xml:space="preserve">If any metric stands unsatisfied on Day 30, the lattice continues and the audit repeats every seven days until certification. No penalty attaches to delay; the Nofade Guarantee holds every completed element in place. An exercise that repeatedly fails its metric suspends individually under Annex B.0, and its suspension enters the public record with the factual reason.</w:t>
      </w:r>
    </w:p>
    <w:bookmarkEnd w:id="110"/>
    <w:bookmarkEnd w:id="111"/>
    <w:bookmarkEnd w:id="112"/>
    <w:bookmarkStart w:id="137" w:name="Xf5f855c9a4ff8a0dd949f3753016a27814a6f77"/>
    <w:p>
      <w:pPr>
        <w:pStyle w:val="Heading1"/>
      </w:pPr>
      <w:r>
        <w:t xml:space="preserve">PART III: LAYER 1: THE SHARED DATA LAYER (DAYS 45 TO 90)</w:t>
      </w:r>
    </w:p>
    <w:bookmarkStart w:id="117" w:name="article-17-the-joint-visibility-system"/>
    <w:p>
      <w:pPr>
        <w:pStyle w:val="Heading2"/>
      </w:pPr>
      <w:r>
        <w:t xml:space="preserve">Article 17: The Joint Visibility System</w:t>
      </w:r>
    </w:p>
    <w:bookmarkStart w:id="113" w:name="establishment-1"/>
    <w:p>
      <w:pPr>
        <w:pStyle w:val="Heading3"/>
      </w:pPr>
      <w:r>
        <w:t xml:space="preserve">17.1 Establishment</w:t>
      </w:r>
    </w:p>
    <w:p>
      <w:pPr>
        <w:pStyle w:val="FirstParagraph"/>
      </w:pPr>
      <w:r>
        <w:t xml:space="preserve">Gate G-0 opens Layer 1, and Layer 1 merges the fifty exercise data streams into one standing Joint Visibility System. The system pools four classes of data from the Principal Parties: vessel traffic data (AIS positions, radar tracks, and reported intentions for vessels inside the Governance Area); incident data (the alert streams of Sub-Layer 0.3, carried forward); environmental data (the weather, visibility, tide, and swell streams of Sub-Layer 0.1, carried forward); and traffic forecasts (the predictions of MX-10, carried forward at full-corridor scale).</w:t>
      </w:r>
    </w:p>
    <w:bookmarkEnd w:id="113"/>
    <w:bookmarkStart w:id="114" w:name="the-common-operating-picture"/>
    <w:p>
      <w:pPr>
        <w:pStyle w:val="Heading3"/>
      </w:pPr>
      <w:r>
        <w:t xml:space="preserve">17.2 The Common Operating Picture</w:t>
      </w:r>
    </w:p>
    <w:p>
      <w:pPr>
        <w:pStyle w:val="FirstParagraph"/>
      </w:pPr>
      <w:r>
        <w:t xml:space="preserve">The Joint Visibility System renders one Common Operating Picture, identical on both watch floors, refreshed at intervals not exceeding 60 seconds for vessel positions and 60 minutes for environmental data. Every operator at every station sees the same picture at the same time. Divergence between floors beyond the refresh tolerance triggers the parity alarm of Article 18.4.</w:t>
      </w:r>
    </w:p>
    <w:bookmarkEnd w:id="114"/>
    <w:bookmarkStart w:id="115" w:name="data-classes-and-handling"/>
    <w:p>
      <w:pPr>
        <w:pStyle w:val="Heading3"/>
      </w:pPr>
      <w:r>
        <w:t xml:space="preserve">17.3 Data Classes and Handling</w:t>
      </w:r>
    </w:p>
    <w:p>
      <w:pPr>
        <w:pStyle w:val="FirstParagraph"/>
      </w:pPr>
      <w:r>
        <w:t xml:space="preserve">The system marks every data element with its class (traffic, incident, environmental, forecast), its source, its timestamp, and its custody chain. Three handling rules bind every element. First, integrity: no station alters, filters, or delays any element between receipt and display. Second, symmetry: every element available to one floor is available to the other in the same form at the same time. Third, custody: every element remains within the custody architecture of Article 19, without exception.</w:t>
      </w:r>
    </w:p>
    <w:bookmarkEnd w:id="115"/>
    <w:bookmarkStart w:id="116" w:name="continuity-of-the-lattice"/>
    <w:p>
      <w:pPr>
        <w:pStyle w:val="Heading3"/>
      </w:pPr>
      <w:r>
        <w:t xml:space="preserve">17.4 Continuity of the Lattice</w:t>
      </w:r>
    </w:p>
    <w:p>
      <w:pPr>
        <w:pStyle w:val="FirstParagraph"/>
      </w:pPr>
      <w:r>
        <w:t xml:space="preserve">The fifty micro-exercises of Layer 0 continue inside Layer 1 as standing data services, administered by the watch floors without the Lattice Cell’s daily supervision. The Lattice Cell converts at Gate G-1 into the Data Quality Desk of Article 18.5, preserving its four-person composition and its institutional memory.</w:t>
      </w:r>
    </w:p>
    <w:bookmarkEnd w:id="116"/>
    <w:bookmarkEnd w:id="117"/>
    <w:bookmarkStart w:id="123" w:name="X9a5de66e8d4dde71d8a5f1d5f34279af8327a14"/>
    <w:p>
      <w:pPr>
        <w:pStyle w:val="Heading2"/>
      </w:pPr>
      <w:r>
        <w:t xml:space="preserve">Article 18: The Meridian Data Exchange and the Mirror Servers</w:t>
      </w:r>
    </w:p>
    <w:bookmarkStart w:id="118" w:name="the-exchange"/>
    <w:p>
      <w:pPr>
        <w:pStyle w:val="Heading3"/>
      </w:pPr>
      <w:r>
        <w:t xml:space="preserve">18.1 The Exchange</w:t>
      </w:r>
    </w:p>
    <w:p>
      <w:pPr>
        <w:pStyle w:val="FirstParagraph"/>
      </w:pPr>
      <w:r>
        <w:t xml:space="preserve">The Meridian Data Exchange operates the technical core of the Joint Visibility System: two mirrored servers, one at the Tadriji Coordination Center in Muscat and one at the Darya Mirror Facility in Bandar Abbas, synchronized continuously over the dedicated link of Annex C.3, with a third read-only terminal at the Neutral Watch Office.</w:t>
      </w:r>
    </w:p>
    <w:bookmarkEnd w:id="118"/>
    <w:bookmarkStart w:id="119" w:name="the-parity-standard"/>
    <w:p>
      <w:pPr>
        <w:pStyle w:val="Heading3"/>
      </w:pPr>
      <w:r>
        <w:t xml:space="preserve">18.2 The Parity Standard</w:t>
      </w:r>
    </w:p>
    <w:p>
      <w:pPr>
        <w:pStyle w:val="FirstParagraph"/>
      </w:pPr>
      <w:r>
        <w:t xml:space="preserve">The two servers hold byte-identical data sets. The Exchange computes a parity checksum every 60 seconds across both servers, publishes the result to both floors and to the Neutral Watch Office, and records every checksum in the Reciprocity Ledger. The G-1 parity metric of 99.5 percent measures the share of checksums matching over each 21-day audit window.</w:t>
      </w:r>
    </w:p>
    <w:bookmarkEnd w:id="119"/>
    <w:bookmarkStart w:id="120" w:name="failure-and-degraded-mode"/>
    <w:p>
      <w:pPr>
        <w:pStyle w:val="Heading3"/>
      </w:pPr>
      <w:r>
        <w:t xml:space="preserve">18.3 Failure and Degraded Mode</w:t>
      </w:r>
    </w:p>
    <w:p>
      <w:pPr>
        <w:pStyle w:val="FirstParagraph"/>
      </w:pPr>
      <w:r>
        <w:t xml:space="preserve">A synchronization failure longer than 300 seconds shifts the Exchange into degraded mode: each floor operates on its own server, marks the picture as unilateral, and logs every divergence for post-restoration reconciliation. Restoration executes automatically upon link recovery, and the reconciliation record publishes in full. Degraded mode never suspends corridor operations; it suspends only the pretense of a shared picture, honestly and on the record.</w:t>
      </w:r>
    </w:p>
    <w:bookmarkEnd w:id="120"/>
    <w:bookmarkStart w:id="121" w:name="the-parity-alarm"/>
    <w:p>
      <w:pPr>
        <w:pStyle w:val="Heading3"/>
      </w:pPr>
      <w:r>
        <w:t xml:space="preserve">18.4 The Parity Alarm</w:t>
      </w:r>
    </w:p>
    <w:p>
      <w:pPr>
        <w:pStyle w:val="FirstParagraph"/>
      </w:pPr>
      <w:r>
        <w:t xml:space="preserve">The parity alarm activates on three triggers: checksum mismatch persisting beyond 300 seconds; any element present on one server and absent on the other beyond 60 seconds; and any custody-chain break detected by the integrity watch. The alarm notifies both floors and the Neutral Watch Office simultaneously, and the responding duty officers file a joint incident note within four hours.</w:t>
      </w:r>
    </w:p>
    <w:bookmarkEnd w:id="121"/>
    <w:bookmarkStart w:id="122" w:name="the-data-quality-desk"/>
    <w:p>
      <w:pPr>
        <w:pStyle w:val="Heading3"/>
      </w:pPr>
      <w:r>
        <w:t xml:space="preserve">18.5 The Data Quality Desk</w:t>
      </w:r>
    </w:p>
    <w:p>
      <w:pPr>
        <w:pStyle w:val="FirstParagraph"/>
      </w:pPr>
      <w:r>
        <w:t xml:space="preserve">The Data Quality Desk (the converted Lattice Cell) audits feed completeness, timestamp accuracy, and format conformance daily, and publishes a weekly data quality note in the Open Water Bulletin. The Desk holds no authority to alter data; it measures and publishes.</w:t>
      </w:r>
    </w:p>
    <w:bookmarkEnd w:id="122"/>
    <w:bookmarkEnd w:id="123"/>
    <w:bookmarkStart w:id="128" w:name="X76ae4bbe1b3008bc0127623f54fb6bf13d65666"/>
    <w:p>
      <w:pPr>
        <w:pStyle w:val="Heading2"/>
      </w:pPr>
      <w:r>
        <w:t xml:space="preserve">Article 19: Data Custody and the Kinetic Exclusion</w:t>
      </w:r>
    </w:p>
    <w:bookmarkStart w:id="124" w:name="the-custody-rule"/>
    <w:p>
      <w:pPr>
        <w:pStyle w:val="Heading3"/>
      </w:pPr>
      <w:r>
        <w:t xml:space="preserve">19.1 The Custody Rule</w:t>
      </w:r>
    </w:p>
    <w:p>
      <w:pPr>
        <w:pStyle w:val="FirstParagraph"/>
      </w:pPr>
      <w:r>
        <w:t xml:space="preserve">Every element of Joint Visibility System data remains the operational property of the framework, held in custody by the Neutral Administrator under the following terms: access for the Principal Parties and the Neutral Watch Office in full; access for the Guarantor Parties and acceding states to the public tier; access for any intelligence, targeting, or kinetic purpose of any actor, prohibited absolutely.</w:t>
      </w:r>
    </w:p>
    <w:bookmarkEnd w:id="124"/>
    <w:bookmarkStart w:id="125" w:name="the-kinetic-exclusion-rl-12-safeguard"/>
    <w:p>
      <w:pPr>
        <w:pStyle w:val="Heading3"/>
      </w:pPr>
      <w:r>
        <w:t xml:space="preserve">19.2 The Kinetic Exclusion (RL-12 Safeguard)</w:t>
      </w:r>
    </w:p>
    <w:p>
      <w:pPr>
        <w:pStyle w:val="FirstParagraph"/>
      </w:pPr>
      <w:r>
        <w:t xml:space="preserve">The framework architecture excludes every pathway from Accord data to kinetic action. Four technical safeguards execute the exclusion: the read-only terminal rule (no system of any military force connects to the Exchange except through the read-only public tier); the delay rule (the public tier publishes vessel positions on a 30-minute delay); the aggregation rule (the public tier publishes no track history beyond 24 hours); and the audit rule (the integrity watch of Annex D.6 probes every access log weekly and publishes its findings).</w:t>
      </w:r>
    </w:p>
    <w:bookmarkEnd w:id="125"/>
    <w:bookmarkStart w:id="126" w:name="breach-consequence"/>
    <w:p>
      <w:pPr>
        <w:pStyle w:val="Heading3"/>
      </w:pPr>
      <w:r>
        <w:t xml:space="preserve">19.3 Breach Consequence</w:t>
      </w:r>
    </w:p>
    <w:p>
      <w:pPr>
        <w:pStyle w:val="FirstParagraph"/>
      </w:pPr>
      <w:r>
        <w:t xml:space="preserve">A substantiated custody breach triggers an immediate E-3 event under Article 45 and Annex E: the Escalator pauses, the implicated access path closes, and the earn-back path of Article 45.5 governs restoration. A second substantiated breach by the same actor suspends that actor’s access tier pending the dispute ladder of Article 46.</w:t>
      </w:r>
    </w:p>
    <w:bookmarkEnd w:id="126"/>
    <w:bookmarkStart w:id="127" w:name="historical-data"/>
    <w:p>
      <w:pPr>
        <w:pStyle w:val="Heading3"/>
      </w:pPr>
      <w:r>
        <w:t xml:space="preserve">19.4 Historical Data</w:t>
      </w:r>
    </w:p>
    <w:p>
      <w:pPr>
        <w:pStyle w:val="FirstParagraph"/>
      </w:pPr>
      <w:r>
        <w:t xml:space="preserve">The Exchange retains full data for 90 days, incident-class data for five years, and gate-certification records permanently. The depositary holds the permanent archive under seal, accessible to the Parties and to the Muscat Tribunal upon its own order.</w:t>
      </w:r>
    </w:p>
    <w:bookmarkEnd w:id="127"/>
    <w:bookmarkEnd w:id="128"/>
    <w:bookmarkStart w:id="132" w:name="article-20-the-open-water-bulletin"/>
    <w:p>
      <w:pPr>
        <w:pStyle w:val="Heading2"/>
      </w:pPr>
      <w:r>
        <w:t xml:space="preserve">Article 20: The Open Water Bulletin</w:t>
      </w:r>
    </w:p>
    <w:bookmarkStart w:id="129" w:name="the-bulletin"/>
    <w:p>
      <w:pPr>
        <w:pStyle w:val="Heading3"/>
      </w:pPr>
      <w:r>
        <w:t xml:space="preserve">20.1 The Bulletin</w:t>
      </w:r>
    </w:p>
    <w:p>
      <w:pPr>
        <w:pStyle w:val="FirstParagraph"/>
      </w:pPr>
      <w:r>
        <w:t xml:space="preserve">The Open Water Bulletin is the framework’s public voice. It publishes daily at 05:00 UTC from Layer 1 onward, in English, Arabic, and Farsi, containing: the corridor status and flow state; the hazard bulletin carried forward from MX-06; the weather, tide, and swell summary; the traffic forecast; the data quality note weekly; the gate metrics monthly; and any Notice to Mariners affecting the Governance Area.</w:t>
      </w:r>
    </w:p>
    <w:bookmarkEnd w:id="129"/>
    <w:bookmarkStart w:id="130" w:name="tiers"/>
    <w:p>
      <w:pPr>
        <w:pStyle w:val="Heading3"/>
      </w:pPr>
      <w:r>
        <w:t xml:space="preserve">20.2 Tiers</w:t>
      </w:r>
    </w:p>
    <w:p>
      <w:pPr>
        <w:pStyle w:val="FirstParagraph"/>
      </w:pPr>
      <w:r>
        <w:t xml:space="preserve">The Bulletin operates in two tiers. The public tier is free, unregistered, and delayed per Article 19.2. The professional tier serves masters, agents, insurers, and flag registries with full-resolution data, upon registration with the Transit Desk and acceptance of the custody terms of Article 19. The professional tier constitutes the Route Assurance Data Service of Article 35.4 and carries the subscription charge of Annex F from Layer 3 onward; before Layer 3, it operates free of charge under the fee-suspension rule.</w:t>
      </w:r>
    </w:p>
    <w:bookmarkEnd w:id="130"/>
    <w:bookmarkStart w:id="131" w:name="the-one-voice-rule"/>
    <w:p>
      <w:pPr>
        <w:pStyle w:val="Heading3"/>
      </w:pPr>
      <w:r>
        <w:t xml:space="preserve">20.3 The One-Voice Rule</w:t>
      </w:r>
    </w:p>
    <w:p>
      <w:pPr>
        <w:pStyle w:val="FirstParagraph"/>
      </w:pPr>
      <w:r>
        <w:t xml:space="preserve">The Bulletin speaks in one voice for the framework. Neither Principal Party issues conflicting corridor guidance inside the Governance Area; divergent national notices affecting the Area reconcile through the watch floors before publication, and any irreconcilable divergence publishes verbatim, marked as divergent, so that mariners see the disagreement rather than a false consensus.</w:t>
      </w:r>
    </w:p>
    <w:bookmarkEnd w:id="131"/>
    <w:bookmarkEnd w:id="132"/>
    <w:bookmarkStart w:id="136" w:name="Xbe1c416726408d55deb93cab0771226748c4ce7"/>
    <w:p>
      <w:pPr>
        <w:pStyle w:val="Heading2"/>
      </w:pPr>
      <w:r>
        <w:t xml:space="preserve">Article 21: Gate G-1: The Data Integrity Audit</w:t>
      </w:r>
    </w:p>
    <w:bookmarkStart w:id="133" w:name="the-audit-1"/>
    <w:p>
      <w:pPr>
        <w:pStyle w:val="Heading3"/>
      </w:pPr>
      <w:r>
        <w:t xml:space="preserve">21.1 The Audit</w:t>
      </w:r>
    </w:p>
    <w:p>
      <w:pPr>
        <w:pStyle w:val="FirstParagraph"/>
      </w:pPr>
      <w:r>
        <w:t xml:space="preserve">Upon 21 consecutive days of Exchange operation, the Neutral Watch Office audits: parity at 99.5 percent of checksums or better; zero substantiated custody breaches; the Bulletin publishing daily without interruption; and the Data Quality Desk’s weekly notes on record.</w:t>
      </w:r>
    </w:p>
    <w:bookmarkEnd w:id="133"/>
    <w:bookmarkStart w:id="134" w:name="certification-and-effect"/>
    <w:p>
      <w:pPr>
        <w:pStyle w:val="Heading3"/>
      </w:pPr>
      <w:r>
        <w:t xml:space="preserve">21.2 Certification and Effect</w:t>
      </w:r>
    </w:p>
    <w:p>
      <w:pPr>
        <w:pStyle w:val="FirstParagraph"/>
      </w:pPr>
      <w:r>
        <w:t xml:space="preserve">The Neutral Watch Office publishes the Gate G-1 certificate within 24 hours of the metrics standing satisfied, and Layer 2 opens at 00:00 UTC on the following day. The certificate appends the full parity record.</w:t>
      </w:r>
    </w:p>
    <w:bookmarkEnd w:id="134"/>
    <w:bookmarkStart w:id="135" w:name="failure-handling-1"/>
    <w:p>
      <w:pPr>
        <w:pStyle w:val="Heading3"/>
      </w:pPr>
      <w:r>
        <w:t xml:space="preserve">21.3 Failure Handling</w:t>
      </w:r>
    </w:p>
    <w:p>
      <w:pPr>
        <w:pStyle w:val="FirstParagraph"/>
      </w:pPr>
      <w:r>
        <w:t xml:space="preserve">A metric standing unsatisfied repeats the audit every seven days until certification. A parity shortfall triggers a technical review by the Technical and Standards Committee under Annex D.7 before re-audit. No penalty attaches; the Nofade Guarantee holds every element in place.</w:t>
      </w:r>
    </w:p>
    <w:bookmarkEnd w:id="135"/>
    <w:bookmarkEnd w:id="136"/>
    <w:bookmarkEnd w:id="137"/>
    <w:bookmarkStart w:id="198" w:name="X8ae0fafe89c083a0b7048582b61390476bda50f"/>
    <w:p>
      <w:pPr>
        <w:pStyle w:val="Heading1"/>
      </w:pPr>
      <w:r>
        <w:t xml:space="preserve">PART IV: LAYER 2: THE COORDINATED ROUTING LAYER (DAYS 90 TO 150)</w:t>
      </w:r>
    </w:p>
    <w:bookmarkStart w:id="145" w:name="article-22-the-three-corridor-system"/>
    <w:p>
      <w:pPr>
        <w:pStyle w:val="Heading2"/>
      </w:pPr>
      <w:r>
        <w:t xml:space="preserve">Article 22: The Three-Corridor System</w:t>
      </w:r>
    </w:p>
    <w:bookmarkStart w:id="138" w:name="the-system-at-a-glance"/>
    <w:p>
      <w:pPr>
        <w:pStyle w:val="Heading3"/>
      </w:pPr>
      <w:r>
        <w:t xml:space="preserve">22.1 The System at a Glance</w:t>
      </w:r>
    </w:p>
    <w:p>
      <w:pPr>
        <w:pStyle w:val="FirstParagraph"/>
      </w:pPr>
      <w:r>
        <w:t xml:space="preserve">Layer 2 establishes three corridors through the Governance Area, built on the geometry agreed between the coastal states in the technical track: the Northern Coordination Passage for inbound traffic, administered by Iran under a notification-only regime; the Southern Assurance Passage for outbound traffic, administered by Oman on an unconditional basis; and the Central Deconfliction Band between them, jointly monitored, carrying no routine commercial traffic. Annex A states every coordinate, width, reporting point, and chart protocol.</w:t>
      </w:r>
    </w:p>
    <w:bookmarkEnd w:id="138"/>
    <w:bookmarkStart w:id="139" w:name="X1e24cb1e211d711dd17a3961d50dc02c633564f"/>
    <w:p>
      <w:pPr>
        <w:pStyle w:val="Heading3"/>
      </w:pPr>
      <w:r>
        <w:t xml:space="preserve">22.2 The Northern Coordination Passage (Inbound)</w:t>
      </w:r>
    </w:p>
    <w:p>
      <w:pPr>
        <w:pStyle w:val="FirstParagraph"/>
      </w:pPr>
      <w:r>
        <w:t xml:space="preserve">The Northern Coordination Passage runs from point NCP-A (26 degrees 40.0 minutes North, 056 degrees 06.0 minutes East) through NCP-B (26 degrees 37.5 minutes North, 056 degrees 30.0 minutes East, south of Larak Island) and NCP-C (26 degrees 35.0 minutes North, 056 degrees 58.0 minutes East) to NCP-D (26 degrees 37.0 minutes North, 057 degrees 20.0 minutes East), with a width of 2.0 nautical miles centered on the line joining those points. Iran administers the Passage: it operates the reporting points, maintains the aids to navigation, provides the lead-escort service of Article 28, and issues navigational guidance. Administration is functional, earned, and conditional, never sovereign; every vessel of every flag transits the Passage under the Notification Protocol of Article 25, which requires notice and grants passage, never permission.</w:t>
      </w:r>
    </w:p>
    <w:bookmarkEnd w:id="139"/>
    <w:bookmarkStart w:id="140" w:name="the-southern-assurance-passage-outbound"/>
    <w:p>
      <w:pPr>
        <w:pStyle w:val="Heading3"/>
      </w:pPr>
      <w:r>
        <w:t xml:space="preserve">22.3 The Southern Assurance Passage (Outbound)</w:t>
      </w:r>
    </w:p>
    <w:p>
      <w:pPr>
        <w:pStyle w:val="FirstParagraph"/>
      </w:pPr>
      <w:r>
        <w:t xml:space="preserve">The Southern Assurance Passage runs from point SAP-A (26 degrees 29.0 minutes North, 056 degrees 05.0 minutes East) through SAP-B (26 degrees 27.0 minutes North, 056 degrees 28.0 minutes East), SAP-C (26 degrees 26.5 minutes North, 056 degrees 45.0 minutes East), and SAP-D (26 degrees 24.0 minutes North, 057 degrees 05.0 minutes East) to SAP-E (26 degrees 27.5 minutes North, 057 degrees 22.0 minutes East), with a width of 2.0 nautical miles centered on the line joining those points. Oman administers the Passage. Transit of the Southern Assurance Passage is unconditional: no notification, no acknowledgment, and no interaction of any kind stands between a vessel and its passage, and the framework prohibits every actor from interposing one. This rule holds Red Line RL-2.</w:t>
      </w:r>
    </w:p>
    <w:bookmarkEnd w:id="140"/>
    <w:bookmarkStart w:id="141" w:name="the-central-deconfliction-band"/>
    <w:p>
      <w:pPr>
        <w:pStyle w:val="Heading3"/>
      </w:pPr>
      <w:r>
        <w:t xml:space="preserve">22.4 The Central Deconfliction Band</w:t>
      </w:r>
    </w:p>
    <w:p>
      <w:pPr>
        <w:pStyle w:val="FirstParagraph"/>
      </w:pPr>
      <w:r>
        <w:t xml:space="preserve">The Central Deconfliction Band runs along the centerline defined by points NCB-S1 (26 degrees 34.0 minutes North, 056 degrees 10.0 minutes East), NCB-S2 (26 degrees 30.5 minutes North, 056 degrees 30.0 minutes East), NCB-S3 (26 degrees 27.0 minutes North, 056 degrees 55.0 minutes East), and NCB-S4 (26 degrees 30.0 minutes North, 057 degrees 15.0 minutes East), extending 1.0 nautical mile on either side of the centerline. The Band separates opposing traffic, hosts the emergency routing function, hosts the survey sectors of the mine-clearance track, and carries the joint monitoring stations of the two watch floors. Routine commercial traffic does not enter the Band; a vessel enters only under the emergency routing rule of Article 24.5 or as a Class 4 vessel under Article 29.4.</w:t>
      </w:r>
    </w:p>
    <w:bookmarkEnd w:id="141"/>
    <w:bookmarkStart w:id="142" w:name="reporting-points"/>
    <w:p>
      <w:pPr>
        <w:pStyle w:val="Heading3"/>
      </w:pPr>
      <w:r>
        <w:t xml:space="preserve">22.5 Reporting Points</w:t>
      </w:r>
    </w:p>
    <w:p>
      <w:pPr>
        <w:pStyle w:val="FirstParagraph"/>
      </w:pPr>
      <w:r>
        <w:t xml:space="preserve">Each corridor fixes six reporting points spaced at equal intervals along its axis, designated N1 through N6 (Northern), S1 through S6 (Southern), and B1 through B6 (Band), per Table A.5. Every transiting vessel above 300 gross tons reports at each point by AIS; every vessel above 20,000 deadweight tons also reports by voice on the corridor working channel, in the three-line format of Annex C.4 (identity, position, next point).</w:t>
      </w:r>
    </w:p>
    <w:bookmarkEnd w:id="142"/>
    <w:bookmarkStart w:id="143" w:name="the-interim-middle-route"/>
    <w:p>
      <w:pPr>
        <w:pStyle w:val="Heading3"/>
      </w:pPr>
      <w:r>
        <w:t xml:space="preserve">22.6 The Interim Middle Route</w:t>
      </w:r>
    </w:p>
    <w:p>
      <w:pPr>
        <w:pStyle w:val="FirstParagraph"/>
      </w:pPr>
      <w:r>
        <w:t xml:space="preserve">From Layer 2 activation until Gate G-2 certification, traffic additionally flows on the Interim Middle Route: a two-way route along the Central Deconfliction Band centerline between waypoints IMR-1 (26 degrees 34.5 minutes North, 056 degrees 08.0 minutes East) and IMR-4 (26 degrees 29.0 minutes North, 057 degrees 18.0 minutes East), with inbound and outbound lanes of 1.0 nautical mile each separated by a 0.5-nautical-mile virtual median, operated under the joint watch of both floors. The Interim Middle Route implements, inside this Accord, the temporary middle and safe route announced in the coastal states’ technical understanding of August 2026, and it carries transit free of every charge under Article 34.6. The Route retires automatically upon Gate G-2 certification, its traffic absorbed into the three corridors.</w:t>
      </w:r>
    </w:p>
    <w:bookmarkEnd w:id="143"/>
    <w:bookmarkStart w:id="144" w:name="transition-from-wartime-routing"/>
    <w:p>
      <w:pPr>
        <w:pStyle w:val="Heading3"/>
      </w:pPr>
      <w:r>
        <w:t xml:space="preserve">22.7 Transition from Wartime Routing</w:t>
      </w:r>
    </w:p>
    <w:p>
      <w:pPr>
        <w:pStyle w:val="FirstParagraph"/>
      </w:pPr>
      <w:r>
        <w:t xml:space="preserve">Upon Layer 2 activation, the wartime routing north of Larak Island and every wartime designation of prohibited areas within the Governance Area stand superseded by this Article and Annex A. The supersession publishes in the Open Water Bulletin and in both Parties’ Notice to Mariners series on the same day.</w:t>
      </w:r>
    </w:p>
    <w:bookmarkEnd w:id="144"/>
    <w:bookmarkEnd w:id="145"/>
    <w:bookmarkStart w:id="149" w:name="X7a7543e4c16012db5190732ca0849aa89f2f448"/>
    <w:p>
      <w:pPr>
        <w:pStyle w:val="Heading2"/>
      </w:pPr>
      <w:r>
        <w:t xml:space="preserve">Article 23: Corridor Functions and Services</w:t>
      </w:r>
    </w:p>
    <w:bookmarkStart w:id="146" w:name="the-administrators-functions"/>
    <w:p>
      <w:pPr>
        <w:pStyle w:val="Heading3"/>
      </w:pPr>
      <w:r>
        <w:t xml:space="preserve">23.1 The Administrator’s Functions</w:t>
      </w:r>
    </w:p>
    <w:p>
      <w:pPr>
        <w:pStyle w:val="FirstParagraph"/>
      </w:pPr>
      <w:r>
        <w:t xml:space="preserve">Each corridor administrator performs exactly six functions: operation of reporting points; maintenance of aids to navigation; issuance of navigational guidance and hazard advisories; provision of the lead-escort service; search-and-rescue coordination within its corridor under Article 29.7; and data feed into the Joint Visibility System. The framework excludes every function beyond these six, including boarding, inspection, diversion, detention, and any conditioning of passage.</w:t>
      </w:r>
    </w:p>
    <w:bookmarkEnd w:id="146"/>
    <w:bookmarkStart w:id="147" w:name="service-standards"/>
    <w:p>
      <w:pPr>
        <w:pStyle w:val="Heading3"/>
      </w:pPr>
      <w:r>
        <w:t xml:space="preserve">23.2 Service Standards</w:t>
      </w:r>
    </w:p>
    <w:p>
      <w:pPr>
        <w:pStyle w:val="FirstParagraph"/>
      </w:pPr>
      <w:r>
        <w:t xml:space="preserve">The administrator maintains the service standards of Annex F.5: reporting-point acknowledgment within 60 seconds, hazard advisory issuance within 15 minutes of detection, aid-to-navigation availability at 99.5 percent, and escort response within 45 minutes of request. The Data Quality Desk measures performance against these standards from the Joint Visibility System record and publishes it weekly.</w:t>
      </w:r>
    </w:p>
    <w:bookmarkEnd w:id="147"/>
    <w:bookmarkStart w:id="148" w:name="symmetry-of-standards"/>
    <w:p>
      <w:pPr>
        <w:pStyle w:val="Heading3"/>
      </w:pPr>
      <w:r>
        <w:t xml:space="preserve">23.3 Symmetry of Standards</w:t>
      </w:r>
    </w:p>
    <w:p>
      <w:pPr>
        <w:pStyle w:val="FirstParagraph"/>
      </w:pPr>
      <w:r>
        <w:t xml:space="preserve">Identical standards bind both administrators. A standard that applies to one corridor applies to the other, measured by the same instruments from the same data.</w:t>
      </w:r>
    </w:p>
    <w:bookmarkEnd w:id="148"/>
    <w:bookmarkEnd w:id="149"/>
    <w:bookmarkStart w:id="155" w:name="Xff2650a1116ea0402870747f3cd660570470db5"/>
    <w:p>
      <w:pPr>
        <w:pStyle w:val="Heading2"/>
      </w:pPr>
      <w:r>
        <w:t xml:space="preserve">Article 24: Flow States and the Open Water Bulletin States</w:t>
      </w:r>
    </w:p>
    <w:bookmarkStart w:id="150" w:name="the-three-flow-states"/>
    <w:p>
      <w:pPr>
        <w:pStyle w:val="Heading3"/>
      </w:pPr>
      <w:r>
        <w:t xml:space="preserve">24.1 The Three Flow States</w:t>
      </w:r>
    </w:p>
    <w:p>
      <w:pPr>
        <w:pStyle w:val="FirstParagraph"/>
      </w:pPr>
      <w:r>
        <w:t xml:space="preserve">Each corridor operates in one of three flow states, published in the Open Water Bulletin: FLOW-GREEN (normal operation, all classes transit), FLOW-AMBER (managed operation, speed and spacing management under Article 24.4 applies, all classes still transit), and FLOW-RED (hazard operation, transit continues for humanitarian traffic without exception and for other traffic along the published emergency routing, for a stated reason and a stated expected duration).</w:t>
      </w:r>
    </w:p>
    <w:bookmarkEnd w:id="150"/>
    <w:bookmarkStart w:id="151" w:name="declarations"/>
    <w:p>
      <w:pPr>
        <w:pStyle w:val="Heading3"/>
      </w:pPr>
      <w:r>
        <w:t xml:space="preserve">24.2 Declarations</w:t>
      </w:r>
    </w:p>
    <w:p>
      <w:pPr>
        <w:pStyle w:val="FirstParagraph"/>
      </w:pPr>
      <w:r>
        <w:t xml:space="preserve">The corridor administrator declares FLOW-AMBER for its corridor upon the objective triggers of Annex J.2 (weather threshold, traffic density, survey operations, or hazard response). FLOW-RED declares only upon a verified hazard under the Convergence Standard of Annex D.2, states the hazard, the affected segment, and the expected duration, and reviews every six hours. A FLOW-RED segment exceeds 72 hours only upon a further verified declaration, and every such declaration enters the Reciprocity Ledger.</w:t>
      </w:r>
    </w:p>
    <w:bookmarkEnd w:id="151"/>
    <w:bookmarkStart w:id="152" w:name="what-no-flow-state-does"/>
    <w:p>
      <w:pPr>
        <w:pStyle w:val="Heading3"/>
      </w:pPr>
      <w:r>
        <w:t xml:space="preserve">24.3 What No Flow State Does</w:t>
      </w:r>
    </w:p>
    <w:p>
      <w:pPr>
        <w:pStyle w:val="FirstParagraph"/>
      </w:pPr>
      <w:r>
        <w:t xml:space="preserve">No flow state closes the strait, suspends transit passage, conditions passage on any charge or permission, or applies to any vessel by reason of flag or nationality. The humanitarian absolute of RL-10 overrides every flow state at all times.</w:t>
      </w:r>
    </w:p>
    <w:bookmarkEnd w:id="152"/>
    <w:bookmarkStart w:id="153" w:name="speed-and-spacing-management"/>
    <w:p>
      <w:pPr>
        <w:pStyle w:val="Heading3"/>
      </w:pPr>
      <w:r>
        <w:t xml:space="preserve">24.4 Speed and Spacing Management</w:t>
      </w:r>
    </w:p>
    <w:p>
      <w:pPr>
        <w:pStyle w:val="FirstParagraph"/>
      </w:pPr>
      <w:r>
        <w:t xml:space="preserve">In FLOW-AMBER, the administrator publishes advisory speed and spacing parameters (typically 10 to 12 knots and 1.0 nautical mile spacing) through the Bulletin and the corridor working channel. The parameters are advisory in every case for commercial traffic; they bind only the framework’s own escort and survey craft.</w:t>
      </w:r>
    </w:p>
    <w:bookmarkEnd w:id="153"/>
    <w:bookmarkStart w:id="154" w:name="emergency-routing"/>
    <w:p>
      <w:pPr>
        <w:pStyle w:val="Heading3"/>
      </w:pPr>
      <w:r>
        <w:t xml:space="preserve">24.5 Emergency Routing</w:t>
      </w:r>
    </w:p>
    <w:p>
      <w:pPr>
        <w:pStyle w:val="FirstParagraph"/>
      </w:pPr>
      <w:r>
        <w:t xml:space="preserve">During any FLOW-RED segment, emergency routing activates through the Central Deconfliction Band on the published emergency trackline of Table A.6, under joint watch of both floors, with lead escorts provided by the administrator of the unaffected corridor. Emergency routing never charges, never requires permission, and publishes its activation and stand-down in the Bulletin.</w:t>
      </w:r>
    </w:p>
    <w:bookmarkEnd w:id="154"/>
    <w:bookmarkEnd w:id="155"/>
    <w:bookmarkStart w:id="161" w:name="article-25-the-notification-protocol"/>
    <w:p>
      <w:pPr>
        <w:pStyle w:val="Heading2"/>
      </w:pPr>
      <w:r>
        <w:t xml:space="preserve">Article 25: The Notification Protocol</w:t>
      </w:r>
    </w:p>
    <w:bookmarkStart w:id="156" w:name="the-twelve-field-transit-notice"/>
    <w:p>
      <w:pPr>
        <w:pStyle w:val="Heading3"/>
      </w:pPr>
      <w:r>
        <w:t xml:space="preserve">25.1 The Twelve-Field Transit Notice</w:t>
      </w:r>
    </w:p>
    <w:p>
      <w:pPr>
        <w:pStyle w:val="FirstParagraph"/>
      </w:pPr>
      <w:r>
        <w:t xml:space="preserve">A vessel transiting the Northern Coordination Passage files a Transit Notice with the Transit Desk at least six hours before entry and not more than 72 hours before entry, containing twelve fields: vessel name; IMO number; flag; call sign; vessel class under Article 26; gross tonnage; draft; cargo class; last port; next port; planned entry time; and requested services, if any, from the Verified Services Catalog. Annex L.1 carries the model form.</w:t>
      </w:r>
    </w:p>
    <w:bookmarkEnd w:id="156"/>
    <w:bookmarkStart w:id="157" w:name="acknowledgment-by-default"/>
    <w:p>
      <w:pPr>
        <w:pStyle w:val="Heading3"/>
      </w:pPr>
      <w:r>
        <w:t xml:space="preserve">25.2 Acknowledgment by Default</w:t>
      </w:r>
    </w:p>
    <w:p>
      <w:pPr>
        <w:pStyle w:val="FirstParagraph"/>
      </w:pPr>
      <w:r>
        <w:t xml:space="preserve">The Transit Desk acknowledges every complete Transit Notice within 60 minutes of filing, and acknowledgment constitutes the entirety of the process. The framework prohibits every actor from withholding, conditioning, or delaying acknowledgment for a complete notice. An incomplete notice returns with the missing fields identified, and completes upon resubmission. No notice ever requires approval; the protocol is notification, not permission, and this rule holds Red Line RL-4.</w:t>
      </w:r>
    </w:p>
    <w:bookmarkEnd w:id="157"/>
    <w:bookmarkStart w:id="158" w:name="the-southern-rule"/>
    <w:p>
      <w:pPr>
        <w:pStyle w:val="Heading3"/>
      </w:pPr>
      <w:r>
        <w:t xml:space="preserve">25.3 The Southern Rule</w:t>
      </w:r>
    </w:p>
    <w:p>
      <w:pPr>
        <w:pStyle w:val="FirstParagraph"/>
      </w:pPr>
      <w:r>
        <w:t xml:space="preserve">A vessel transiting only the Southern Assurance Passage files nothing. The Transit Desk receives voluntary advance information through agents for traffic planning, and the absence of any filing carries no consequence of any kind.</w:t>
      </w:r>
    </w:p>
    <w:bookmarkEnd w:id="158"/>
    <w:bookmarkStart w:id="159" w:name="the-no-blacklist-rule"/>
    <w:p>
      <w:pPr>
        <w:pStyle w:val="Heading3"/>
      </w:pPr>
      <w:r>
        <w:t xml:space="preserve">25.4 The No-Blacklist Rule</w:t>
      </w:r>
    </w:p>
    <w:p>
      <w:pPr>
        <w:pStyle w:val="FirstParagraph"/>
      </w:pPr>
      <w:r>
        <w:t xml:space="preserve">The framework maintains no list of unwelcome vessels, flags, owners, or cargoes. A vessel’s prior conduct, ownership, flag, or nationality never alters its treatment under this Article, except as a specific, verified safety restriction applies to a specific vessel under Annex D.8 (unsafe condition), published with its factual basis and its remediation path. This rule holds Red Line RL-16.</w:t>
      </w:r>
    </w:p>
    <w:bookmarkEnd w:id="159"/>
    <w:bookmarkStart w:id="160" w:name="warships-and-state-vessels"/>
    <w:p>
      <w:pPr>
        <w:pStyle w:val="Heading3"/>
      </w:pPr>
      <w:r>
        <w:t xml:space="preserve">25.5 Warships and State Vessels</w:t>
      </w:r>
    </w:p>
    <w:p>
      <w:pPr>
        <w:pStyle w:val="FirstParagraph"/>
      </w:pPr>
      <w:r>
        <w:t xml:space="preserve">Class 4 vessels (warships and state non-commercial vessels) follow the Military Transit Protocol of Article 29.4, which replaces this Article for those vessels.</w:t>
      </w:r>
    </w:p>
    <w:bookmarkEnd w:id="160"/>
    <w:bookmarkEnd w:id="161"/>
    <w:bookmarkStart w:id="166" w:name="Xa4f3e2ee7d4b668122dc238f4131c67d5f4ddea"/>
    <w:p>
      <w:pPr>
        <w:pStyle w:val="Heading2"/>
      </w:pPr>
      <w:r>
        <w:t xml:space="preserve">Article 26: Vessel Classification and Differentiated Treatment</w:t>
      </w:r>
    </w:p>
    <w:bookmarkStart w:id="162" w:name="the-five-classes"/>
    <w:p>
      <w:pPr>
        <w:pStyle w:val="Heading3"/>
      </w:pPr>
      <w:r>
        <w:t xml:space="preserve">26.1 The Five Classes</w:t>
      </w:r>
    </w:p>
    <w:p>
      <w:pPr>
        <w:pStyle w:val="FirstParagraph"/>
      </w:pPr>
      <w:r>
        <w:t xml:space="preserve">The framework classifies every vessel in the Governance Area into five classes: Class 1, tankers and gas carriers above 20,000 deadweight tons; Class 2, other commercial vessels above 300 gross tons; Class 3, commercial vessels at or below 300 gross tons; Class 4, warships and state non-commercial vessels; Class 5, local craft (fishing and traditional traffic) inside the inshore bands.</w:t>
      </w:r>
    </w:p>
    <w:bookmarkEnd w:id="162"/>
    <w:bookmarkStart w:id="163" w:name="differentiated-treatment"/>
    <w:p>
      <w:pPr>
        <w:pStyle w:val="Heading3"/>
      </w:pPr>
      <w:r>
        <w:t xml:space="preserve">26.2 Differentiated Treatment</w:t>
      </w:r>
    </w:p>
    <w:p>
      <w:pPr>
        <w:pStyle w:val="FirstParagraph"/>
      </w:pPr>
      <w:r>
        <w:t xml:space="preserve">Differentiation attaches to class, never to nationality. Class 1 vessels file the twelve-field notice, report by voice at every reporting point, and qualify for the full lead-escort service. Class 2 vessels file the notice and report by AIS. Class 3 vessels report by AIS only. Class 4 vessels follow the Military Transit Protocol. Class 5 vessels operate inside the inshore local-craft bands of Table A.4, outside the corridors, under the small-craft advisory system of MX-29 carried forward.</w:t>
      </w:r>
    </w:p>
    <w:bookmarkEnd w:id="163"/>
    <w:bookmarkStart w:id="164" w:name="hazardous-and-special-cargoes"/>
    <w:p>
      <w:pPr>
        <w:pStyle w:val="Heading3"/>
      </w:pPr>
      <w:r>
        <w:t xml:space="preserve">26.3 Hazardous and Special Cargoes</w:t>
      </w:r>
    </w:p>
    <w:p>
      <w:pPr>
        <w:pStyle w:val="FirstParagraph"/>
      </w:pPr>
      <w:r>
        <w:t xml:space="preserve">A vessel carrying Class 1 dangerous goods in bulk, nuclear material, or spent fuel declares the cargo class in the Transit Notice and receives the published special-cargo transit window (reduced-density window with lead-escort and SAR augmentation). The window is a service, never a condition, and carries no charge.</w:t>
      </w:r>
    </w:p>
    <w:bookmarkEnd w:id="164"/>
    <w:bookmarkStart w:id="165" w:name="the-equal-treatment-audit"/>
    <w:p>
      <w:pPr>
        <w:pStyle w:val="Heading3"/>
      </w:pPr>
      <w:r>
        <w:t xml:space="preserve">26.4 The Equal-Treatment Audit</w:t>
      </w:r>
    </w:p>
    <w:p>
      <w:pPr>
        <w:pStyle w:val="FirstParagraph"/>
      </w:pPr>
      <w:r>
        <w:t xml:space="preserve">The Neutral Watch Office audits treatment by flag quarterly from the Joint Visibility System record: transit times, acknowledgment times, escort provision, and incident rates, compared across flags. The audit publishes in full. A statistically significant divergence beyond the tolerance of Annex J.5 triggers a remediation review under the dispute ladder.</w:t>
      </w:r>
    </w:p>
    <w:bookmarkEnd w:id="165"/>
    <w:bookmarkEnd w:id="166"/>
    <w:bookmarkStart w:id="171" w:name="X19f54fc8d55c6f334c36f1744ef3642e61335a8"/>
    <w:p>
      <w:pPr>
        <w:pStyle w:val="Heading2"/>
      </w:pPr>
      <w:r>
        <w:t xml:space="preserve">Article 27: The Absolute Non-Interdiction Protocol</w:t>
      </w:r>
    </w:p>
    <w:bookmarkStart w:id="167" w:name="the-protocol"/>
    <w:p>
      <w:pPr>
        <w:pStyle w:val="Heading3"/>
      </w:pPr>
      <w:r>
        <w:t xml:space="preserve">27.1 The Protocol</w:t>
      </w:r>
    </w:p>
    <w:p>
      <w:pPr>
        <w:pStyle w:val="FirstParagraph"/>
      </w:pPr>
      <w:r>
        <w:t xml:space="preserve">Commercial transit operates under an absolute non-interdiction protocol within the framework. Inside the corridors and the anchorages, the framework excludes boarding, diversion, seizure, detention, inspection, harassment, close approach, and every form of interference with any commercial vessel, by any actor, under any circumstances, in every flow state. This protocol holds Red Line RL-5 and admits no exception.</w:t>
      </w:r>
    </w:p>
    <w:bookmarkEnd w:id="167"/>
    <w:bookmarkStart w:id="168" w:name="outside-the-corridors"/>
    <w:p>
      <w:pPr>
        <w:pStyle w:val="Heading3"/>
      </w:pPr>
      <w:r>
        <w:t xml:space="preserve">27.2 Outside the Corridors</w:t>
      </w:r>
    </w:p>
    <w:p>
      <w:pPr>
        <w:pStyle w:val="FirstParagraph"/>
      </w:pPr>
      <w:r>
        <w:t xml:space="preserve">A vessel outside the corridors inside the Governance Area receives a single advisory hail from the corridor administrator directing it to the nearest corridor entry, and the framework excludes every coercive measure beyond the hail. A vessel in distress anywhere receives assistance, never interference.</w:t>
      </w:r>
    </w:p>
    <w:bookmarkEnd w:id="168"/>
    <w:bookmarkStart w:id="169" w:name="the-anchor-and-verify-rule"/>
    <w:p>
      <w:pPr>
        <w:pStyle w:val="Heading3"/>
      </w:pPr>
      <w:r>
        <w:t xml:space="preserve">27.3 The Anchor-and-Verify Rule</w:t>
      </w:r>
    </w:p>
    <w:p>
      <w:pPr>
        <w:pStyle w:val="FirstParagraph"/>
      </w:pPr>
      <w:r>
        <w:t xml:space="preserve">Where a coastal state’s law requires verification of a vessel, the verification occurs at anchorage, outside the corridors, by the coastal state’s own authorities under its own law, after the vessel completes its transit, and never inside a corridor, never by stopping a vessel underway, and never by any actor other than the coastal state in whose waters the anchorage lies.</w:t>
      </w:r>
    </w:p>
    <w:bookmarkEnd w:id="169"/>
    <w:bookmarkStart w:id="170" w:name="violation-classification"/>
    <w:p>
      <w:pPr>
        <w:pStyle w:val="Heading3"/>
      </w:pPr>
      <w:r>
        <w:t xml:space="preserve">27.4 Violation Classification</w:t>
      </w:r>
    </w:p>
    <w:p>
      <w:pPr>
        <w:pStyle w:val="FirstParagraph"/>
      </w:pPr>
      <w:r>
        <w:t xml:space="preserve">Any act contrary to this Article classifies as an E-3 event at minimum under Annex E, activates the incident ladder of Article 29.5, and enters the Reciprocity Ledger with its full evidentiary record. The protocol’s violation by any actor restores nothing to any other actor: the architecture responds through the Escalator and the dispute ladder, never through counter-interference.</w:t>
      </w:r>
    </w:p>
    <w:bookmarkEnd w:id="170"/>
    <w:bookmarkEnd w:id="171"/>
    <w:bookmarkStart w:id="177" w:name="X6d2cb373b7cd5ded858f9f86ba1e5f29eb69c6f"/>
    <w:p>
      <w:pPr>
        <w:pStyle w:val="Heading2"/>
      </w:pPr>
      <w:r>
        <w:t xml:space="preserve">Article 28: The Lead-Escort Safety Service and Speed-Craft Behavioral Norms</w:t>
      </w:r>
    </w:p>
    <w:bookmarkStart w:id="172" w:name="the-service"/>
    <w:p>
      <w:pPr>
        <w:pStyle w:val="Heading3"/>
      </w:pPr>
      <w:r>
        <w:t xml:space="preserve">28.1 The Service</w:t>
      </w:r>
    </w:p>
    <w:p>
      <w:pPr>
        <w:pStyle w:val="FirstParagraph"/>
      </w:pPr>
      <w:r>
        <w:t xml:space="preserve">Each corridor administrator operates a lead-escort safety service under the full Standard Operating Procedure of Annex I. Lead escorts are safety craft, not enforcement craft: they operate ahead of requesting merchant vessels, scan the corridor for hazards, report hazards to the watch floors, and hold no authority of any kind over any vessel.</w:t>
      </w:r>
    </w:p>
    <w:bookmarkEnd w:id="172"/>
    <w:bookmarkStart w:id="173" w:name="operating-geometry"/>
    <w:p>
      <w:pPr>
        <w:pStyle w:val="Heading3"/>
      </w:pPr>
      <w:r>
        <w:t xml:space="preserve">28.2 Operating Geometry</w:t>
      </w:r>
    </w:p>
    <w:p>
      <w:pPr>
        <w:pStyle w:val="FirstParagraph"/>
      </w:pPr>
      <w:r>
        <w:t xml:space="preserve">Escort craft maintain forward standoff geometry at all times: 1 to 2 nautical miles ahead of the escorted vessel, a forward observation cone of 20 to 30 degrees, no lateral encroachment into the vessel’s standoff zone, no approach within 0.5 nautical miles, and no trailing position. Handover between the Iranian and Omani escort services occurs at the published handover coordinates H-1 (26 degrees 30.5 minutes North, 056 degrees 30.0 minutes East) and H-2 (26 degrees 27.0 minutes North, 056 degrees 55.0 minutes East), with the watch floors logging every handover.</w:t>
      </w:r>
    </w:p>
    <w:bookmarkEnd w:id="173"/>
    <w:bookmarkStart w:id="174" w:name="the-non-interdiction-safeguards"/>
    <w:p>
      <w:pPr>
        <w:pStyle w:val="Heading3"/>
      </w:pPr>
      <w:r>
        <w:t xml:space="preserve">28.3 The Non-Interdiction Safeguards</w:t>
      </w:r>
    </w:p>
    <w:p>
      <w:pPr>
        <w:pStyle w:val="FirstParagraph"/>
      </w:pPr>
      <w:r>
        <w:t xml:space="preserve">Escort craft never stop, board, inspect, hail for identification, request course or speed changes, shadow, or flank any vessel; they issue no commands and transmit nothing implying control or permission; their only output is the hazard advisory, routed through the watch floor. A deviation triggers immediate review by the Data Quality Desk and classification under Annex E.</w:t>
      </w:r>
    </w:p>
    <w:bookmarkEnd w:id="174"/>
    <w:bookmarkStart w:id="175" w:name="speed-craft-behavioral-norms"/>
    <w:p>
      <w:pPr>
        <w:pStyle w:val="Heading3"/>
      </w:pPr>
      <w:r>
        <w:t xml:space="preserve">28.4 Speed-Craft Behavioral Norms</w:t>
      </w:r>
    </w:p>
    <w:p>
      <w:pPr>
        <w:pStyle w:val="FirstParagraph"/>
      </w:pPr>
      <w:r>
        <w:t xml:space="preserve">All patrol and speed craft of every Party operating in or near the corridors observe the behavioral norms of Annex I, Section I.4: minimum lateral distance of 1,000 meters from any commercial vessel except during search-and-rescue or pre-notified escort; parallel rather than intercept-angle approaches; visible hull identification at all times; automatic hotline notification to the liaison group upon any approach inside 1,000 meters; and prohibition of multi-vessel close approaches except for search-and-rescue, escort under this Article, or operations pre-notified 24 hours in advance to the watch floors.</w:t>
      </w:r>
    </w:p>
    <w:bookmarkEnd w:id="175"/>
    <w:bookmarkStart w:id="176" w:name="drone-coordination"/>
    <w:p>
      <w:pPr>
        <w:pStyle w:val="Heading3"/>
      </w:pPr>
      <w:r>
        <w:t xml:space="preserve">28.5 Drone Coordination</w:t>
      </w:r>
    </w:p>
    <w:p>
      <w:pPr>
        <w:pStyle w:val="FirstParagraph"/>
      </w:pPr>
      <w:r>
        <w:t xml:space="preserve">Unmanned aerial systems of any Party operating within the Governance Area follow the pre-declared flight corridors and altitude bands of Annex I, Section I.5, notified to the watch floors 24 hours in advance, at lateral distances of not less than 2 nautical miles from any commercial vessel. The framework excludes every armed unmanned-system operation inside the Governance Area.</w:t>
      </w:r>
    </w:p>
    <w:bookmarkEnd w:id="176"/>
    <w:bookmarkEnd w:id="177"/>
    <w:bookmarkStart w:id="185" w:name="Xf9107b25a242fbe5bfb2a3828c839e2793a5f58"/>
    <w:p>
      <w:pPr>
        <w:pStyle w:val="Heading2"/>
      </w:pPr>
      <w:r>
        <w:t xml:space="preserve">Article 29: Standoff Geometry, Naval Deconfliction, and the Military Transit Protocol</w:t>
      </w:r>
    </w:p>
    <w:bookmarkStart w:id="178" w:name="the-standoff-geometry"/>
    <w:p>
      <w:pPr>
        <w:pStyle w:val="Heading3"/>
      </w:pPr>
      <w:r>
        <w:t xml:space="preserve">29.1 The Standoff Geometry</w:t>
      </w:r>
    </w:p>
    <w:p>
      <w:pPr>
        <w:pStyle w:val="FirstParagraph"/>
      </w:pPr>
      <w:r>
        <w:t xml:space="preserve">Naval forces of every state maintain the standoff geometry of Table C.3: no closer than 3 nautical miles to any commercial vessel inside a corridor except under escort request or distress; no closer than 6 nautical miles to the corridor centerlines in opposed pairs; and no maneuvers simulating attack profiles anywhere inside the Governance Area. The geometry binds forces of the Parties and of every other state alike, as a condition this Accord’s signatories jointly promulgate through the Bulletin and the liaison channels of Annex C.</w:t>
      </w:r>
    </w:p>
    <w:bookmarkEnd w:id="178"/>
    <w:bookmarkStart w:id="179" w:name="the-deconfliction-hotline"/>
    <w:p>
      <w:pPr>
        <w:pStyle w:val="Heading3"/>
      </w:pPr>
      <w:r>
        <w:t xml:space="preserve">29.2 The Deconfliction Hotline</w:t>
      </w:r>
    </w:p>
    <w:p>
      <w:pPr>
        <w:pStyle w:val="FirstParagraph"/>
      </w:pPr>
      <w:r>
        <w:t xml:space="preserve">The hotline network of Annex C links the watch floors, the liaison group, and the operational headquarters of the United States Fifth Fleet, the Iranian Navy and the IRGC Navy, and the Royal Navy of Oman, in a five-node ring tested hourly. Any node raises a deconfliction call within 60 seconds at any hour, and every call logs to the Reciprocity Ledger with its outcome.</w:t>
      </w:r>
    </w:p>
    <w:bookmarkEnd w:id="179"/>
    <w:bookmarkStart w:id="180" w:name="exercise-notice"/>
    <w:p>
      <w:pPr>
        <w:pStyle w:val="Heading3"/>
      </w:pPr>
      <w:r>
        <w:t xml:space="preserve">29.3 Exercise Notice</w:t>
      </w:r>
    </w:p>
    <w:p>
      <w:pPr>
        <w:pStyle w:val="FirstParagraph"/>
      </w:pPr>
      <w:r>
        <w:t xml:space="preserve">Any naval exercise or live-fire activity within 50 nautical miles of the Governance Area enters the exercise register at least 14 days in advance, with area, duration, and forces involved, and the Bulletin publishes the register entry. The framework excludes live-fire activity inside the Governance Area absolutely.</w:t>
      </w:r>
    </w:p>
    <w:bookmarkEnd w:id="180"/>
    <w:bookmarkStart w:id="181" w:name="the-military-transit-protocol"/>
    <w:p>
      <w:pPr>
        <w:pStyle w:val="Heading3"/>
      </w:pPr>
      <w:r>
        <w:t xml:space="preserve">29.4 The Military Transit Protocol</w:t>
      </w:r>
    </w:p>
    <w:p>
      <w:pPr>
        <w:pStyle w:val="FirstParagraph"/>
      </w:pPr>
      <w:r>
        <w:t xml:space="preserve">Class 4 vessels transit the strait in the corridor matching their direction, in single column, at steady speed, with weapons systems in transit posture, AIS active where operational security permits, and a one-line transit notification to the Transit Desk (vessel type, direction, entry time) at least six hours in advance. The framework treats every Class 4 transit identically regardless of flag. Submarines transit surfaced.</w:t>
      </w:r>
    </w:p>
    <w:bookmarkEnd w:id="181"/>
    <w:bookmarkStart w:id="182" w:name="the-incident-ladder"/>
    <w:p>
      <w:pPr>
        <w:pStyle w:val="Heading3"/>
      </w:pPr>
      <w:r>
        <w:t xml:space="preserve">29.5 The Incident Ladder</w:t>
      </w:r>
    </w:p>
    <w:p>
      <w:pPr>
        <w:pStyle w:val="FirstParagraph"/>
      </w:pPr>
      <w:r>
        <w:t xml:space="preserve">Any incident between forces or involving a commercial vessel escalates through a four-rung ladder: rung one, bridge-to-bridge or deck-to-deck resolution on the working channel within 15 minutes; rung two, watch-floor liaison engagement within one hour; rung three, hotline conference of the five-node ring within four hours; rung four, Council emergency session within 24 hours. Every rung logs; every incident de-escalates at the lowest rung that resolves it; and no incident under this Accord authorizes, triggers, or justifies military force.</w:t>
      </w:r>
    </w:p>
    <w:bookmarkEnd w:id="182"/>
    <w:bookmarkStart w:id="183" w:name="the-freeze-rule"/>
    <w:p>
      <w:pPr>
        <w:pStyle w:val="Heading3"/>
      </w:pPr>
      <w:r>
        <w:t xml:space="preserve">29.6 The Freeze Rule</w:t>
      </w:r>
    </w:p>
    <w:p>
      <w:pPr>
        <w:pStyle w:val="FirstParagraph"/>
      </w:pPr>
      <w:r>
        <w:t xml:space="preserve">During any dispute or Red Line Consultation, force postures in and near the Governance Area freeze at their positions and tempos at the moment the dispute registers: no new deployments, no exercise starts, no posture changes, until the dispute resolves or 14 days pass, whichever comes first. The freeze is automatic, symmetric, and logged.</w:t>
      </w:r>
    </w:p>
    <w:bookmarkEnd w:id="183"/>
    <w:bookmarkStart w:id="184" w:name="search-and-rescue"/>
    <w:p>
      <w:pPr>
        <w:pStyle w:val="Heading3"/>
      </w:pPr>
      <w:r>
        <w:t xml:space="preserve">29.7 Search and Rescue</w:t>
      </w:r>
    </w:p>
    <w:p>
      <w:pPr>
        <w:pStyle w:val="FirstParagraph"/>
      </w:pPr>
      <w:r>
        <w:t xml:space="preserve">The SAR framework of Annex G to the mine charter (Annex H.7) operates under joint coordination of the watch floors: the administrator of the corridor nearest a distress event coordinates, the other administrator’s assets assist upon request, and the joint readiness baseline of Sub-Layer 0.4 sets the response standards. Safety of life overrides every other provision of this Accord, always and everywhere.</w:t>
      </w:r>
    </w:p>
    <w:bookmarkEnd w:id="184"/>
    <w:bookmarkEnd w:id="185"/>
    <w:bookmarkStart w:id="190" w:name="article-30-the-mine-clearance-track"/>
    <w:p>
      <w:pPr>
        <w:pStyle w:val="Heading2"/>
      </w:pPr>
      <w:r>
        <w:t xml:space="preserve">Article 30: The Mine-Clearance Track</w:t>
      </w:r>
    </w:p>
    <w:bookmarkStart w:id="186" w:name="the-taskforce"/>
    <w:p>
      <w:pPr>
        <w:pStyle w:val="Heading3"/>
      </w:pPr>
      <w:r>
        <w:t xml:space="preserve">30.1 The Taskforce</w:t>
      </w:r>
    </w:p>
    <w:p>
      <w:pPr>
        <w:pStyle w:val="FirstParagraph"/>
      </w:pPr>
      <w:r>
        <w:t xml:space="preserve">The Mine Removal Taskforce for the Strait of Hormuz (MRT-H), chartered in Annex H, activates at Layer 2 opening and operates as the standing mine-hazard survey, clearance, and certification body of the Accord: civilian-led, multilateral, neutral, and non-kinetic. Iran surveys and clears the northern sectors, Oman the southern sectors, the United Arab Emirates contributes vessels and logistics upon accession, and invited neutral states contribute high-end mine countermeasures under the civilian-direction rule.</w:t>
      </w:r>
    </w:p>
    <w:bookmarkEnd w:id="186"/>
    <w:bookmarkStart w:id="187" w:name="the-thirty-day-median-clearance"/>
    <w:p>
      <w:pPr>
        <w:pStyle w:val="Heading3"/>
      </w:pPr>
      <w:r>
        <w:t xml:space="preserve">30.2 The Thirty-Day Median Clearance</w:t>
      </w:r>
    </w:p>
    <w:p>
      <w:pPr>
        <w:pStyle w:val="FirstParagraph"/>
      </w:pPr>
      <w:r>
        <w:t xml:space="preserve">The MRT-H surveys and clears the Central Deconfliction Band (the median lane) within 30 days of Layer 2 activation, implementing the mine-clearance commitment of the emerging coastal-state understanding. Clearance proceeds sector by sector under the sequence of Annex H.4: side-scan sonar sweeps, unmanned vehicle runs, diver inspection of contacts, disposal of confirmed mines by explosive-ordnance teams, and publication of every contact and every disposal.</w:t>
      </w:r>
    </w:p>
    <w:bookmarkEnd w:id="187"/>
    <w:bookmarkStart w:id="188" w:name="certification-1"/>
    <w:p>
      <w:pPr>
        <w:pStyle w:val="Heading3"/>
      </w:pPr>
      <w:r>
        <w:t xml:space="preserve">30.3 Certification</w:t>
      </w:r>
    </w:p>
    <w:p>
      <w:pPr>
        <w:pStyle w:val="FirstParagraph"/>
      </w:pPr>
      <w:r>
        <w:t xml:space="preserve">The Neutral Keel Office of the MRT-H verifies each cleared sector under the Convergence Standard (multiple independent inputs agreeing), with International Maritime Organization and International Hydrographic Organization observers as standing participants, and issues Safe Route Certifications publishing coordinates, depths, and residual-risk levels. The residual-risk threshold stands at not more than one expected remnant contact per 100 square nautical miles, re-surveyed on a 90-day rolling cycle during the first year and a 180-day cycle thereafter.</w:t>
      </w:r>
    </w:p>
    <w:bookmarkEnd w:id="188"/>
    <w:bookmarkStart w:id="189" w:name="continuity-through-disputes"/>
    <w:p>
      <w:pPr>
        <w:pStyle w:val="Heading3"/>
      </w:pPr>
      <w:r>
        <w:t xml:space="preserve">30.4 Continuity Through Disputes</w:t>
      </w:r>
    </w:p>
    <w:p>
      <w:pPr>
        <w:pStyle w:val="FirstParagraph"/>
      </w:pPr>
      <w:r>
        <w:t xml:space="preserve">Mine-clearance operations continue through every dispute, pause, and escalation under the Silence Clause of Annex H.6: the taskforce’s work serves every mariner of every flag, and no political event interrupts it.</w:t>
      </w:r>
    </w:p>
    <w:bookmarkEnd w:id="189"/>
    <w:bookmarkEnd w:id="190"/>
    <w:bookmarkStart w:id="193" w:name="article-31-anchorages-and-holding-areas"/>
    <w:p>
      <w:pPr>
        <w:pStyle w:val="Heading2"/>
      </w:pPr>
      <w:r>
        <w:t xml:space="preserve">Article 31: Anchorages and Holding Areas</w:t>
      </w:r>
    </w:p>
    <w:bookmarkStart w:id="191" w:name="the-designated-anchorages"/>
    <w:p>
      <w:pPr>
        <w:pStyle w:val="Heading3"/>
      </w:pPr>
      <w:r>
        <w:t xml:space="preserve">31.1 The Designated Anchorages</w:t>
      </w:r>
    </w:p>
    <w:p>
      <w:pPr>
        <w:pStyle w:val="FirstParagraph"/>
      </w:pPr>
      <w:r>
        <w:t xml:space="preserve">The framework designates four anchorages under Table A.7: Anchorage East (Gulf of Oman) at 25 degrees 58.0 minutes North, 057 degrees 05.0 minutes East, depth 40 to 60 meters, sand, for outbound staging; Anchorage West (inner Gulf) at 26 degrees 42.0 minutes North, 055 degrees 52.0 minutes East, depth 22 to 30 meters, for inbound staging; Emergency Anchorage East at 26 degrees 30.0 minutes North, 057 degrees 06.0 minutes East; and Emergency Anchorage West at 26 degrees 33.0 minutes North, 056 degrees 05.0 minutes East.</w:t>
      </w:r>
    </w:p>
    <w:bookmarkEnd w:id="191"/>
    <w:bookmarkStart w:id="192" w:name="anchorage-rules"/>
    <w:p>
      <w:pPr>
        <w:pStyle w:val="Heading3"/>
      </w:pPr>
      <w:r>
        <w:t xml:space="preserve">31.2 Anchorage Rules</w:t>
      </w:r>
    </w:p>
    <w:p>
      <w:pPr>
        <w:pStyle w:val="FirstParagraph"/>
      </w:pPr>
      <w:r>
        <w:t xml:space="preserve">Anchorages operate under the coastal state’s law, outside the corridors, with the anchor-drift alerts of MX-24 carried forward. The anchor-and-verify rule of Article 27.3 applies at anchorages and nowhere else. No charge attaches to anchoring.</w:t>
      </w:r>
    </w:p>
    <w:bookmarkEnd w:id="192"/>
    <w:bookmarkEnd w:id="193"/>
    <w:bookmarkStart w:id="197" w:name="Xcf00cb5169c4f618f04692aed498f4eb48d3228"/>
    <w:p>
      <w:pPr>
        <w:pStyle w:val="Heading2"/>
      </w:pPr>
      <w:r>
        <w:t xml:space="preserve">Article 32: Gate G-2: The Corridor Stability Audit</w:t>
      </w:r>
    </w:p>
    <w:bookmarkStart w:id="194" w:name="the-audit-2"/>
    <w:p>
      <w:pPr>
        <w:pStyle w:val="Heading3"/>
      </w:pPr>
      <w:r>
        <w:t xml:space="preserve">32.1 The Audit</w:t>
      </w:r>
    </w:p>
    <w:p>
      <w:pPr>
        <w:pStyle w:val="FirstParagraph"/>
      </w:pPr>
      <w:r>
        <w:t xml:space="preserve">Upon 28 consecutive days of corridor operation, the Neutral Watch Office audits: at least 100 certified transits completed across the corridor system; zero interdiction events classified under Annex E; the interim-route mine-clearance certificate issued under Article 30.3; service standards of Article 23.2 met at 95 percent; and the equal-treatment audit of Article 26.4 showing no flag-based divergence beyond tolerance.</w:t>
      </w:r>
    </w:p>
    <w:bookmarkEnd w:id="194"/>
    <w:bookmarkStart w:id="195" w:name="certification-and-effect-1"/>
    <w:p>
      <w:pPr>
        <w:pStyle w:val="Heading3"/>
      </w:pPr>
      <w:r>
        <w:t xml:space="preserve">32.2 Certification and Effect</w:t>
      </w:r>
    </w:p>
    <w:p>
      <w:pPr>
        <w:pStyle w:val="FirstParagraph"/>
      </w:pPr>
      <w:r>
        <w:t xml:space="preserve">The Neutral Watch Office publishes the Gate G-2 certificate within 24 hours of the metrics standing satisfied. The certificate retires the Interim Middle Route under Article 22.6, opens Layer 3 at 00:00 UTC on the following day, and starts the Escalator’s first Verification Period under Article 43.3. On the same day, under the Reciprocity Map of Annex N, the blockade drawdown completes and the first sanctions-relief tranche of Table N.2 takes effect.</w:t>
      </w:r>
    </w:p>
    <w:bookmarkEnd w:id="195"/>
    <w:bookmarkStart w:id="196" w:name="failure-handling-2"/>
    <w:p>
      <w:pPr>
        <w:pStyle w:val="Heading3"/>
      </w:pPr>
      <w:r>
        <w:t xml:space="preserve">32.3 Failure Handling</w:t>
      </w:r>
    </w:p>
    <w:p>
      <w:pPr>
        <w:pStyle w:val="FirstParagraph"/>
      </w:pPr>
      <w:r>
        <w:t xml:space="preserve">A metric standing unsatisfied repeats the audit every seven days. An interdiction event resets the 28-day count for that metric alone under Article 45; every other metric’s count persists. The Nofade Guarantee holds every element in place.</w:t>
      </w:r>
    </w:p>
    <w:bookmarkEnd w:id="196"/>
    <w:bookmarkEnd w:id="197"/>
    <w:bookmarkEnd w:id="198"/>
    <w:bookmarkStart w:id="236" w:name="Xf2bbeb48a8a7fc88cc67748fe5e09fad51ee81a"/>
    <w:p>
      <w:pPr>
        <w:pStyle w:val="Heading1"/>
      </w:pPr>
      <w:r>
        <w:t xml:space="preserve">PART V: LAYER 3: THE REVENUE AND SERVICES LAYER (DAYS 150 TO 240)</w:t>
      </w:r>
    </w:p>
    <w:bookmarkStart w:id="202" w:name="article-33-the-zero-toll-rule"/>
    <w:p>
      <w:pPr>
        <w:pStyle w:val="Heading2"/>
      </w:pPr>
      <w:r>
        <w:t xml:space="preserve">Article 33: The Zero-Toll Rule</w:t>
      </w:r>
    </w:p>
    <w:bookmarkStart w:id="199" w:name="the-rule"/>
    <w:p>
      <w:pPr>
        <w:pStyle w:val="Heading3"/>
      </w:pPr>
      <w:r>
        <w:t xml:space="preserve">33.1 The Rule</w:t>
      </w:r>
    </w:p>
    <w:p>
      <w:pPr>
        <w:pStyle w:val="FirstParagraph"/>
      </w:pPr>
      <w:r>
        <w:t xml:space="preserve">No charge of any kind attaches to the act of transit through the Strait of Hormuz, in any corridor, in any flow state, in any layer, forever. No toll, no transit fee, no passage charge, no authorization fee, no security surcharge on passage, and no charge dressed as any of these by another name attaches to the act of transit. This rule holds Red Line RL-1 and amends only by unanimity of the Principal Parties and the Guarantor Parties under the protected-core rule of Article 53.3.</w:t>
      </w:r>
    </w:p>
    <w:bookmarkEnd w:id="199"/>
    <w:bookmarkStart w:id="200" w:name="the-perimeter-test"/>
    <w:p>
      <w:pPr>
        <w:pStyle w:val="Heading3"/>
      </w:pPr>
      <w:r>
        <w:t xml:space="preserve">33.2 The Perimeter Test</w:t>
      </w:r>
    </w:p>
    <w:p>
      <w:pPr>
        <w:pStyle w:val="FirstParagraph"/>
      </w:pPr>
      <w:r>
        <w:t xml:space="preserve">Every financial mechanism of this Accord passes the perimeter test: the mechanism survives only if it operates in full with no vessel paying anything it declines to purchase. Any mechanism that fails the test, in design or in operation, dissolves automatically, and the Council reports the dissolution in the Bulletin.</w:t>
      </w:r>
    </w:p>
    <w:bookmarkEnd w:id="200"/>
    <w:bookmarkStart w:id="201" w:name="anti-circumvention"/>
    <w:p>
      <w:pPr>
        <w:pStyle w:val="Heading3"/>
      </w:pPr>
      <w:r>
        <w:t xml:space="preserve">33.3 Anti-Circumvention</w:t>
      </w:r>
    </w:p>
    <w:p>
      <w:pPr>
        <w:pStyle w:val="FirstParagraph"/>
      </w:pPr>
      <w:r>
        <w:t xml:space="preserve">The Neutral Watch Office and the Neutral Administrator jointly audit every charge levied anywhere in the Governance Area against this Article quarterly. A charge found to attach in substance to the act of transit refunds in full within 30 days, and its authorizing instrument stands void from the finding.</w:t>
      </w:r>
    </w:p>
    <w:bookmarkEnd w:id="201"/>
    <w:bookmarkEnd w:id="202"/>
    <w:bookmarkStart w:id="209" w:name="article-34-the-fee-simulation-track"/>
    <w:p>
      <w:pPr>
        <w:pStyle w:val="Heading2"/>
      </w:pPr>
      <w:r>
        <w:t xml:space="preserve">Article 34: The Fee Simulation Track</w:t>
      </w:r>
    </w:p>
    <w:bookmarkStart w:id="203" w:name="continuation-of-the-simulation"/>
    <w:p>
      <w:pPr>
        <w:pStyle w:val="Heading3"/>
      </w:pPr>
      <w:r>
        <w:t xml:space="preserve">34.1 Continuation of the Simulation</w:t>
      </w:r>
    </w:p>
    <w:p>
      <w:pPr>
        <w:pStyle w:val="FirstParagraph"/>
      </w:pPr>
      <w:r>
        <w:t xml:space="preserve">The micro-fee simulation of MX-46 continues through Layer 3 at full scale: for every transit of the corridor system, the parallel accounting model computes the optional services a vessel would plausibly request, at the simulation rate card of Annex F.2. No money moves; no invoice issues; no commitment arises.</w:t>
      </w:r>
    </w:p>
    <w:bookmarkEnd w:id="203"/>
    <w:bookmarkStart w:id="204" w:name="publication"/>
    <w:p>
      <w:pPr>
        <w:pStyle w:val="Heading3"/>
      </w:pPr>
      <w:r>
        <w:t xml:space="preserve">34.2 Publication</w:t>
      </w:r>
    </w:p>
    <w:p>
      <w:pPr>
        <w:pStyle w:val="FirstParagraph"/>
      </w:pPr>
      <w:r>
        <w:t xml:space="preserve">The simulation publishes monthly: simulated service volumes, simulated revenue, simulated allocation under the revenue-share rules of Article 38, and the model’s assumptions. Every Party, every user state, and every insurer reads the same simulated future.</w:t>
      </w:r>
    </w:p>
    <w:bookmarkEnd w:id="204"/>
    <w:bookmarkStart w:id="205" w:name="the-simulations-function"/>
    <w:p>
      <w:pPr>
        <w:pStyle w:val="Heading3"/>
      </w:pPr>
      <w:r>
        <w:t xml:space="preserve">34.3 The Simulation’s Function</w:t>
      </w:r>
    </w:p>
    <w:p>
      <w:pPr>
        <w:pStyle w:val="FirstParagraph"/>
      </w:pPr>
      <w:r>
        <w:t xml:space="preserve">The simulation lets every capital see the future without committing to it: Tehran reads the revenue its stewardship earns; Washington reads the proof that no transit pays a toll; Muscat reads the cost recovery of its services; insurers read the stability premium of the corridors. The simulation converts the fee question from a fight over principle into a review of arithmetic.</w:t>
      </w:r>
    </w:p>
    <w:bookmarkEnd w:id="205"/>
    <w:bookmarkStart w:id="206" w:name="transition-to-live-operation"/>
    <w:p>
      <w:pPr>
        <w:pStyle w:val="Heading3"/>
      </w:pPr>
      <w:r>
        <w:t xml:space="preserve">34.4 Transition to Live Operation</w:t>
      </w:r>
    </w:p>
    <w:p>
      <w:pPr>
        <w:pStyle w:val="FirstParagraph"/>
      </w:pPr>
      <w:r>
        <w:t xml:space="preserve">Upon Gate G-3 certification, the simulation’s rate card converts into the live rate card of Annex F.3 without alteration, and live charging for requested services commences under Article 35. The conversion is automatic and requires no re-negotiation.</w:t>
      </w:r>
    </w:p>
    <w:bookmarkEnd w:id="206"/>
    <w:bookmarkStart w:id="207" w:name="the-no-obligation-clause"/>
    <w:p>
      <w:pPr>
        <w:pStyle w:val="Heading3"/>
      </w:pPr>
      <w:r>
        <w:t xml:space="preserve">34.5 The No-Obligation Clause</w:t>
      </w:r>
    </w:p>
    <w:p>
      <w:pPr>
        <w:pStyle w:val="FirstParagraph"/>
      </w:pPr>
      <w:r>
        <w:t xml:space="preserve">No simulation output creates any obligation, expectation, or vested right. The simulation informs; it never binds.</w:t>
      </w:r>
    </w:p>
    <w:bookmarkEnd w:id="207"/>
    <w:bookmarkStart w:id="208" w:name="the-interim-fee-suspension"/>
    <w:p>
      <w:pPr>
        <w:pStyle w:val="Heading3"/>
      </w:pPr>
      <w:r>
        <w:t xml:space="preserve">34.6 The Interim Fee Suspension</w:t>
      </w:r>
    </w:p>
    <w:p>
      <w:pPr>
        <w:pStyle w:val="FirstParagraph"/>
      </w:pPr>
      <w:r>
        <w:t xml:space="preserve">From Layer 2 activation until Gate G-3 certification, every service of the framework operates free of charge: the interim period honors the coastal states’ understanding of a charge-free interim window and extends it until the audited revenue architecture stands ready. The Transit Services Fund absorbs the interim operating cost under Annex F.6.</w:t>
      </w:r>
    </w:p>
    <w:bookmarkEnd w:id="208"/>
    <w:bookmarkEnd w:id="209"/>
    <w:bookmarkStart w:id="214" w:name="X349d82f6764cffe9173986373c1442f95ce665a"/>
    <w:p>
      <w:pPr>
        <w:pStyle w:val="Heading2"/>
      </w:pPr>
      <w:r>
        <w:t xml:space="preserve">Article 35: The Verified Services Catalog and the Route Assurance Data Service</w:t>
      </w:r>
    </w:p>
    <w:bookmarkStart w:id="210" w:name="the-catalog"/>
    <w:p>
      <w:pPr>
        <w:pStyle w:val="Heading3"/>
      </w:pPr>
      <w:r>
        <w:t xml:space="preserve">35.1 The Catalog</w:t>
      </w:r>
    </w:p>
    <w:p>
      <w:pPr>
        <w:pStyle w:val="FirstParagraph"/>
      </w:pPr>
      <w:r>
        <w:t xml:space="preserve">The Verified Services Catalog of Annex F lists every service the framework offers, its standard, its provider, and its rate. The catalog opens with five service families: the Route Assurance Data Service (professional tier of the Open Water Bulletin); pilotage on request; tug and escort assistance on request; environmental and survey services (hydrographic data products, spill-response standby); and expedited transit-window scheduling for special cargoes.</w:t>
      </w:r>
    </w:p>
    <w:bookmarkEnd w:id="210"/>
    <w:bookmarkStart w:id="211" w:name="the-four-tests"/>
    <w:p>
      <w:pPr>
        <w:pStyle w:val="Heading3"/>
      </w:pPr>
      <w:r>
        <w:t xml:space="preserve">35.2 The Four Tests</w:t>
      </w:r>
    </w:p>
    <w:p>
      <w:pPr>
        <w:pStyle w:val="FirstParagraph"/>
      </w:pPr>
      <w:r>
        <w:t xml:space="preserve">Every catalog service passes four tests before listing and continuously thereafter. Request test: the service activates only upon the vessel’s or operator’s affirmative request. Service test: the framework delivers a genuine, itemized service, recorded against the vessel’s transit. Value test: the rate bears a published relationship to the cost standard of Annex F.4. Neutrality test: payment routes exclusively through the Neutral Escrow of Article 36, and no shipper or operator pays any Party directly for anything, which holds Red Line RL-7.</w:t>
      </w:r>
    </w:p>
    <w:bookmarkEnd w:id="211"/>
    <w:bookmarkStart w:id="212" w:name="addition-and-removal"/>
    <w:p>
      <w:pPr>
        <w:pStyle w:val="Heading3"/>
      </w:pPr>
      <w:r>
        <w:t xml:space="preserve">35.3 Addition and Removal</w:t>
      </w:r>
    </w:p>
    <w:p>
      <w:pPr>
        <w:pStyle w:val="FirstParagraph"/>
      </w:pPr>
      <w:r>
        <w:t xml:space="preserve">The Council adds a service to the catalog upon the four tests, a Technical and Standards Committee assessment, and 30 days’ public notice. The Neutral Watch Office removes a service that fails any test in operation, and removal publishes with reasons.</w:t>
      </w:r>
    </w:p>
    <w:bookmarkEnd w:id="212"/>
    <w:bookmarkStart w:id="213" w:name="the-route-assurance-data-service-rads"/>
    <w:p>
      <w:pPr>
        <w:pStyle w:val="Heading3"/>
      </w:pPr>
      <w:r>
        <w:t xml:space="preserve">35.4 The Route Assurance Data Service (RADS)</w:t>
      </w:r>
    </w:p>
    <w:p>
      <w:pPr>
        <w:pStyle w:val="FirstParagraph"/>
      </w:pPr>
      <w:r>
        <w:t xml:space="preserve">The RADS is the catalog’s anchor service: the professional tier of the Open Water Bulletin, delivering full-resolution corridor data, certified route-assurance documentation, transit records, and performance statistics to masters, operators, charterers, and insurers by subscription. RADS documentation carries the Neutral Watch Office’s certification mark, and insurers adopt it as the risk-assessment standard for the strait under the insurance normalization track of Article 38.6.</w:t>
      </w:r>
    </w:p>
    <w:bookmarkEnd w:id="213"/>
    <w:bookmarkEnd w:id="214"/>
    <w:bookmarkStart w:id="219" w:name="X24d8d664c3fc45637b61a27f20254ab3657069c"/>
    <w:p>
      <w:pPr>
        <w:pStyle w:val="Heading2"/>
      </w:pPr>
      <w:r>
        <w:t xml:space="preserve">Article 36: The Neutral Escrow and the Transit Services Fund</w:t>
      </w:r>
    </w:p>
    <w:bookmarkStart w:id="215" w:name="the-escrow"/>
    <w:p>
      <w:pPr>
        <w:pStyle w:val="Heading3"/>
      </w:pPr>
      <w:r>
        <w:t xml:space="preserve">36.1 The Escrow</w:t>
      </w:r>
    </w:p>
    <w:p>
      <w:pPr>
        <w:pStyle w:val="FirstParagraph"/>
      </w:pPr>
      <w:r>
        <w:t xml:space="preserve">The Neutral Administrator (the Swiss Confederation) operates the Hormuz Neutral Escrow: the sole payment channel for every charge under this Accord. Every payment enters the Escrow from the paying operator’s bank; every disbursement leaves the Escrow against the Neutral Administrator’s certification of the underlying service record; and no payment touches any Party’s account directly at any point.</w:t>
      </w:r>
    </w:p>
    <w:bookmarkEnd w:id="215"/>
    <w:bookmarkStart w:id="216" w:name="the-transit-services-fund"/>
    <w:p>
      <w:pPr>
        <w:pStyle w:val="Heading3"/>
      </w:pPr>
      <w:r>
        <w:t xml:space="preserve">36.2 The Transit Services Fund</w:t>
      </w:r>
    </w:p>
    <w:p>
      <w:pPr>
        <w:pStyle w:val="FirstParagraph"/>
      </w:pPr>
      <w:r>
        <w:t xml:space="preserve">The Escrow feeds the Transit Services Fund, which finances: corridor operations and aids to navigation; the lead-escort service; the Joint Visibility System; the MRT-H; the Neutral Watch Office; the SAR readiness baseline; and the administrative costs of the institutions. The Fund’s budget publishes annually and its accounts quarterly, audited by the Neutral Administrator’s independent auditor under Annex F.7.</w:t>
      </w:r>
    </w:p>
    <w:bookmarkEnd w:id="216"/>
    <w:bookmarkStart w:id="217" w:name="disbursement-shares"/>
    <w:p>
      <w:pPr>
        <w:pStyle w:val="Heading3"/>
      </w:pPr>
      <w:r>
        <w:t xml:space="preserve">36.3 Disbursement Shares</w:t>
      </w:r>
    </w:p>
    <w:p>
      <w:pPr>
        <w:pStyle w:val="FirstParagraph"/>
      </w:pPr>
      <w:r>
        <w:t xml:space="preserve">Net revenue after budget distributes under the revenue-share rules of Article 38. The distribution executes monthly, automatically, against the published share table in force at the time.</w:t>
      </w:r>
    </w:p>
    <w:bookmarkEnd w:id="217"/>
    <w:bookmarkStart w:id="218" w:name="the-clean-hands-rule"/>
    <w:p>
      <w:pPr>
        <w:pStyle w:val="Heading3"/>
      </w:pPr>
      <w:r>
        <w:t xml:space="preserve">36.4 The Clean-Hands Rule</w:t>
      </w:r>
    </w:p>
    <w:p>
      <w:pPr>
        <w:pStyle w:val="FirstParagraph"/>
      </w:pPr>
      <w:r>
        <w:t xml:space="preserve">Every disbursement passes the sanctions-compliance firewall of Article 37 before execution. A disbursement that fails screening holds in the Escrow, accrues for the intended recipient, and releases upon the screening path clearing, with the hold published in anonymized form.</w:t>
      </w:r>
    </w:p>
    <w:bookmarkEnd w:id="218"/>
    <w:bookmarkEnd w:id="219"/>
    <w:bookmarkStart w:id="224" w:name="Xa56d93b8bedc1d8c6586d5649bf23db9bac84bc"/>
    <w:p>
      <w:pPr>
        <w:pStyle w:val="Heading2"/>
      </w:pPr>
      <w:r>
        <w:t xml:space="preserve">Article 37: The Sanctions-Compliance Firewall</w:t>
      </w:r>
    </w:p>
    <w:bookmarkStart w:id="220" w:name="the-firewall"/>
    <w:p>
      <w:pPr>
        <w:pStyle w:val="Heading3"/>
      </w:pPr>
      <w:r>
        <w:t xml:space="preserve">37.1 The Firewall</w:t>
      </w:r>
    </w:p>
    <w:p>
      <w:pPr>
        <w:pStyle w:val="FirstParagraph"/>
      </w:pPr>
      <w:r>
        <w:t xml:space="preserve">The firewall makes participation safe for every participant: banks, insurers, operators, and states. Every payment through the Escrow executes under the payment protocol of Annex F.8, which routes transactions through the designated neutral banking channels, in the designated currencies, with the documentation the relevant licensing regimes recognize.</w:t>
      </w:r>
    </w:p>
    <w:bookmarkEnd w:id="220"/>
    <w:bookmarkStart w:id="221" w:name="general-license-alignment"/>
    <w:p>
      <w:pPr>
        <w:pStyle w:val="Heading3"/>
      </w:pPr>
      <w:r>
        <w:t xml:space="preserve">37.2 General License Alignment</w:t>
      </w:r>
    </w:p>
    <w:p>
      <w:pPr>
        <w:pStyle w:val="FirstParagraph"/>
      </w:pPr>
      <w:r>
        <w:t xml:space="preserve">The United States issues and maintains the general licenses and authorizations that place every transaction within this Part outside the scope of its sanctions programs, in the sequence of the Reciprocity Map: the interim authorizations at Layer 3 opening, and the standing authorizations at Gate G-3. The framework’s financial architecture operates exclusively inside those authorizations, and the Neutral Administrator certifies conformity quarterly.</w:t>
      </w:r>
    </w:p>
    <w:bookmarkEnd w:id="221"/>
    <w:bookmarkStart w:id="222" w:name="the-no-direct-payment-rule"/>
    <w:p>
      <w:pPr>
        <w:pStyle w:val="Heading3"/>
      </w:pPr>
      <w:r>
        <w:t xml:space="preserve">37.3 The No-Direct-Payment Rule</w:t>
      </w:r>
    </w:p>
    <w:p>
      <w:pPr>
        <w:pStyle w:val="FirstParagraph"/>
      </w:pPr>
      <w:r>
        <w:t xml:space="preserve">No shipper, operator, insurer, or state pays any Party directly for anything connected to this Accord. Every financial flow runs through the Escrow, the Fund, and the firewall. This rule holds Red Line RL-7 absolutely.</w:t>
      </w:r>
    </w:p>
    <w:bookmarkEnd w:id="222"/>
    <w:bookmarkStart w:id="223" w:name="non-parties-reliance"/>
    <w:p>
      <w:pPr>
        <w:pStyle w:val="Heading3"/>
      </w:pPr>
      <w:r>
        <w:t xml:space="preserve">37.4 Non-Parties’ Reliance</w:t>
      </w:r>
    </w:p>
    <w:p>
      <w:pPr>
        <w:pStyle w:val="FirstParagraph"/>
      </w:pPr>
      <w:r>
        <w:t xml:space="preserve">Any bank or insurer relying on the firewall’s documentation in good faith acts with the framework’s certification behind it. The Neutral Administrator publishes the reliance pack of Annex F.9 for compliance officers, and updates it with every regulatory change.</w:t>
      </w:r>
    </w:p>
    <w:bookmarkEnd w:id="223"/>
    <w:bookmarkEnd w:id="224"/>
    <w:bookmarkStart w:id="231" w:name="X0723e771a7e6ed6da3d65fc1b2ba85d11d85ca8"/>
    <w:p>
      <w:pPr>
        <w:pStyle w:val="Heading2"/>
      </w:pPr>
      <w:r>
        <w:t xml:space="preserve">Article 38: Revenue Shares and the Escalator Link</w:t>
      </w:r>
    </w:p>
    <w:bookmarkStart w:id="225" w:name="the-share-table"/>
    <w:p>
      <w:pPr>
        <w:pStyle w:val="Heading3"/>
      </w:pPr>
      <w:r>
        <w:t xml:space="preserve">38.1 The Share Table</w:t>
      </w:r>
    </w:p>
    <w:p>
      <w:pPr>
        <w:pStyle w:val="FirstParagraph"/>
      </w:pPr>
      <w:r>
        <w:t xml:space="preserve">Net distributable revenue allocates between the Principal Parties by the share table of Annex F.10, which tracks the Graduated Trust Escalator of Article 43: at Baseline (33 percent Control Weight), Iran receives 33 percent and Oman 67 percent; the Iranian share rises with each escalator step per Annex E; and the Iranian share caps at 60 percent upon Full Unlock, the Permanent Floor that survives every subsequent event under Article 43.7.</w:t>
      </w:r>
    </w:p>
    <w:bookmarkEnd w:id="225"/>
    <w:bookmarkStart w:id="226" w:name="the-service-origin-principle"/>
    <w:p>
      <w:pPr>
        <w:pStyle w:val="Heading3"/>
      </w:pPr>
      <w:r>
        <w:t xml:space="preserve">38.2 The Service-Origin Principle</w:t>
      </w:r>
    </w:p>
    <w:p>
      <w:pPr>
        <w:pStyle w:val="FirstParagraph"/>
      </w:pPr>
      <w:r>
        <w:t xml:space="preserve">Before distribution under the share table, each administrator draws its documented direct costs of its own corridor’s services from the Fund, audited under Annex F.7. Distribution under the share table then allocates the remainder.</w:t>
      </w:r>
    </w:p>
    <w:bookmarkEnd w:id="226"/>
    <w:bookmarkStart w:id="227" w:name="acceding-states-shares"/>
    <w:p>
      <w:pPr>
        <w:pStyle w:val="Heading3"/>
      </w:pPr>
      <w:r>
        <w:t xml:space="preserve">38.3 Acceding States’ Shares</w:t>
      </w:r>
    </w:p>
    <w:p>
      <w:pPr>
        <w:pStyle w:val="FirstParagraph"/>
      </w:pPr>
      <w:r>
        <w:t xml:space="preserve">Upon accession, the United Arab Emirates receives a services share of 10 percent drawn equally from the Principal Parties’ distributable shares against its MRT-H and logistics contributions, and further accession shares allocate under the accession instruments of Article 52, always within the 60 percent Permanent Floor cap for Iran and never below 30 percent for Oman.</w:t>
      </w:r>
    </w:p>
    <w:bookmarkEnd w:id="227"/>
    <w:bookmarkStart w:id="228" w:name="automaticity"/>
    <w:p>
      <w:pPr>
        <w:pStyle w:val="Heading3"/>
      </w:pPr>
      <w:r>
        <w:t xml:space="preserve">38.4 Automaticity</w:t>
      </w:r>
    </w:p>
    <w:p>
      <w:pPr>
        <w:pStyle w:val="FirstParagraph"/>
      </w:pPr>
      <w:r>
        <w:t xml:space="preserve">Shares adjust with the Escalator automatically. No Council vote, no Party’s consent, and no further instrument intervenes between an escalator step and its revenue effect.</w:t>
      </w:r>
    </w:p>
    <w:bookmarkEnd w:id="228"/>
    <w:bookmarkStart w:id="229" w:name="the-cost-discipline-rule"/>
    <w:p>
      <w:pPr>
        <w:pStyle w:val="Heading3"/>
      </w:pPr>
      <w:r>
        <w:t xml:space="preserve">38.5 The Cost-Discipline Rule</w:t>
      </w:r>
    </w:p>
    <w:p>
      <w:pPr>
        <w:pStyle w:val="FirstParagraph"/>
      </w:pPr>
      <w:r>
        <w:t xml:space="preserve">The Fund’s administrative cost ratio caps at 12 percent of gross revenue, audited annually. An overrun suspends discretionary administrative spending until the ratio restores.</w:t>
      </w:r>
    </w:p>
    <w:bookmarkEnd w:id="229"/>
    <w:bookmarkStart w:id="230" w:name="insurance-normalization"/>
    <w:p>
      <w:pPr>
        <w:pStyle w:val="Heading3"/>
      </w:pPr>
      <w:r>
        <w:t xml:space="preserve">38.6 Insurance Normalization</w:t>
      </w:r>
    </w:p>
    <w:p>
      <w:pPr>
        <w:pStyle w:val="FirstParagraph"/>
      </w:pPr>
      <w:r>
        <w:t xml:space="preserve">The framework publishes the corridor performance record (transits, incidents, service standards, gate certificates) monthly in the form insurers require. War-risk premium normalization tracks the published record: the framework targets restoration of pre-2026 premium levels within 180 days of Gate G-2, and the Neutral Watch Office reports progress quarterly. The framework itself sets no premiums; it supplies the verified record on which markets move.</w:t>
      </w:r>
    </w:p>
    <w:bookmarkEnd w:id="230"/>
    <w:bookmarkEnd w:id="231"/>
    <w:bookmarkStart w:id="235" w:name="X639eae4b6b50a8405b4454e51e64ef6adda6beb"/>
    <w:p>
      <w:pPr>
        <w:pStyle w:val="Heading2"/>
      </w:pPr>
      <w:r>
        <w:t xml:space="preserve">Article 39: Gate G-3: The Financial Integrity Audit</w:t>
      </w:r>
    </w:p>
    <w:bookmarkStart w:id="232" w:name="the-audit-3"/>
    <w:p>
      <w:pPr>
        <w:pStyle w:val="Heading3"/>
      </w:pPr>
      <w:r>
        <w:t xml:space="preserve">39.1 The Audit</w:t>
      </w:r>
    </w:p>
    <w:p>
      <w:pPr>
        <w:pStyle w:val="FirstParagraph"/>
      </w:pPr>
      <w:r>
        <w:t xml:space="preserve">Upon 60 consecutive days of live Escrow operation, the Neutral Watch Office and the Neutral Administrator jointly audit: clean escrow reconciliation for the full period; zero direct-payment findings under Article 37.3; service records matching invoices at 100 percent; disbursement shares matching the published table at 100 percent; and the simulation-to-live conversion of Article 34.4 executed without alteration.</w:t>
      </w:r>
    </w:p>
    <w:bookmarkEnd w:id="232"/>
    <w:bookmarkStart w:id="233" w:name="certification-and-effect-2"/>
    <w:p>
      <w:pPr>
        <w:pStyle w:val="Heading3"/>
      </w:pPr>
      <w:r>
        <w:t xml:space="preserve">39.2 Certification and Effect</w:t>
      </w:r>
    </w:p>
    <w:p>
      <w:pPr>
        <w:pStyle w:val="FirstParagraph"/>
      </w:pPr>
      <w:r>
        <w:t xml:space="preserve">The joint auditors publish the Gate G-3 certificate within 24 hours of the metrics standing satisfied, and Layer 4 opens at 00:00 UTC on the following day. On the same day, under the Reciprocity Map, the second sanctions-relief tranche of Table N.2 takes effect.</w:t>
      </w:r>
    </w:p>
    <w:bookmarkEnd w:id="233"/>
    <w:bookmarkStart w:id="234" w:name="failure-handling-3"/>
    <w:p>
      <w:pPr>
        <w:pStyle w:val="Heading3"/>
      </w:pPr>
      <w:r>
        <w:t xml:space="preserve">39.3 Failure Handling</w:t>
      </w:r>
    </w:p>
    <w:p>
      <w:pPr>
        <w:pStyle w:val="FirstParagraph"/>
      </w:pPr>
      <w:r>
        <w:t xml:space="preserve">A metric standing unsatisfied repeats the audit every 30 days. A direct-payment finding suspends the implicated channel pending remediation, with the finding and the remediation published. The Nofade Guarantee holds every element in place.</w:t>
      </w:r>
    </w:p>
    <w:bookmarkEnd w:id="234"/>
    <w:bookmarkEnd w:id="235"/>
    <w:bookmarkEnd w:id="236"/>
    <w:bookmarkStart w:id="291" w:name="X09bc3fbbf285076fb0ba0dc79f3538ddc327d18"/>
    <w:p>
      <w:pPr>
        <w:pStyle w:val="Heading1"/>
      </w:pPr>
      <w:r>
        <w:t xml:space="preserve">PART VI: LAYER 4: THE JOINT OVERSIGHT LAYER (DAYS 240 TO 360)</w:t>
      </w:r>
    </w:p>
    <w:bookmarkStart w:id="241" w:name="article-40-the-solh-council"/>
    <w:p>
      <w:pPr>
        <w:pStyle w:val="Heading2"/>
      </w:pPr>
      <w:r>
        <w:t xml:space="preserve">Article 40: The Solh Council</w:t>
      </w:r>
    </w:p>
    <w:bookmarkStart w:id="237" w:name="composition-1"/>
    <w:p>
      <w:pPr>
        <w:pStyle w:val="Heading3"/>
      </w:pPr>
      <w:r>
        <w:t xml:space="preserve">40.1 Composition</w:t>
      </w:r>
    </w:p>
    <w:p>
      <w:pPr>
        <w:pStyle w:val="FirstParagraph"/>
      </w:pPr>
      <w:r>
        <w:t xml:space="preserve">The Solh Council is the political organ of the Accord. It seats: two members from each Principal Party; one member from each acceding littoral state; one member from each Guarantor Party, holding the bounded role of Article 40.4; and the Neutral Administrator without vote. The Council chairs rotate quarterly among the littoral members, Iran chairing first.</w:t>
      </w:r>
    </w:p>
    <w:bookmarkEnd w:id="237"/>
    <w:bookmarkStart w:id="238" w:name="functions"/>
    <w:p>
      <w:pPr>
        <w:pStyle w:val="Heading3"/>
      </w:pPr>
      <w:r>
        <w:t xml:space="preserve">40.2 Functions</w:t>
      </w:r>
    </w:p>
    <w:p>
      <w:pPr>
        <w:pStyle w:val="FirstParagraph"/>
      </w:pPr>
      <w:r>
        <w:t xml:space="preserve">The Council holds exactly seven functions: adoption of the annual budget; amendment of annexes under Article 53; addition of services to the Verified Services Catalog; confirmation of accession instruments; appointment of the standing officers of Article 41.3; resolution of disputes at the ladder rung of Article 46.3; and the Charter Conversion resolution of Article 49. The framework excludes every function beyond these seven, and the Council holds no operational authority over corridors, vessels, or verification.</w:t>
      </w:r>
    </w:p>
    <w:bookmarkEnd w:id="238"/>
    <w:bookmarkStart w:id="239" w:name="decision-rules"/>
    <w:p>
      <w:pPr>
        <w:pStyle w:val="Heading3"/>
      </w:pPr>
      <w:r>
        <w:t xml:space="preserve">40.3 Decision Rules</w:t>
      </w:r>
    </w:p>
    <w:p>
      <w:pPr>
        <w:pStyle w:val="FirstParagraph"/>
      </w:pPr>
      <w:r>
        <w:t xml:space="preserve">The Council decides by three rules. Procedural questions pass by simple majority of voting members present. Budgetary and annex questions pass by Consensus Minus One: the affirmative vote of every littoral member with not more than one littoral member dissenting. Protected-core questions under Article 53.3 pass by unanimity of the Principal Parties and the Guarantor Parties. No member holds a veto over a certification, an escalator step, a gate opening, or any other automatic mechanism of this Accord.</w:t>
      </w:r>
    </w:p>
    <w:bookmarkEnd w:id="239"/>
    <w:bookmarkStart w:id="240" w:name="the-bounded-guarantor-role"/>
    <w:p>
      <w:pPr>
        <w:pStyle w:val="Heading3"/>
      </w:pPr>
      <w:r>
        <w:t xml:space="preserve">40.4 The Bounded Guarantor Role</w:t>
      </w:r>
    </w:p>
    <w:p>
      <w:pPr>
        <w:pStyle w:val="FirstParagraph"/>
      </w:pPr>
      <w:r>
        <w:t xml:space="preserve">Guarantor members participate in protected-core votes, budget adoption, and dispute resolution, and hold no vote on annex amendments, service listings, or appointments. No external state commands any element of this framework; this rule holds Red Line RL-14 and bounds every Guarantor function in every article.</w:t>
      </w:r>
    </w:p>
    <w:bookmarkEnd w:id="240"/>
    <w:bookmarkEnd w:id="241"/>
    <w:bookmarkStart w:id="247" w:name="Xf821e2097ca8dd4b3f2da79db4596bedf81acbb"/>
    <w:p>
      <w:pPr>
        <w:pStyle w:val="Heading2"/>
      </w:pPr>
      <w:r>
        <w:t xml:space="preserve">Article 41: The Tadriji Coordination Center and the Darya Mirror Facility</w:t>
      </w:r>
    </w:p>
    <w:bookmarkStart w:id="242" w:name="the-center"/>
    <w:p>
      <w:pPr>
        <w:pStyle w:val="Heading3"/>
      </w:pPr>
      <w:r>
        <w:t xml:space="preserve">41.1 The Center</w:t>
      </w:r>
    </w:p>
    <w:p>
      <w:pPr>
        <w:pStyle w:val="FirstParagraph"/>
      </w:pPr>
      <w:r>
        <w:t xml:space="preserve">The Tadriji Coordination Center in Muscat is the operational heart of the Accord. It houses the permanent watch floor, the Transit Desk, the Meridian Data Exchange primary server, the MRT-H operations cell, and the Secretariat. The Darya Mirror Facility in Bandar Abbas holds identical rank, an identical watch floor, the mirror server, and the liaison station network, and exercises every Center function in parallel. Every decision the Center records, the Mirror records simultaneously; either facility operates the entire framework alone during any outage of the other.</w:t>
      </w:r>
    </w:p>
    <w:bookmarkEnd w:id="242"/>
    <w:bookmarkStart w:id="243" w:name="the-watch-floor"/>
    <w:p>
      <w:pPr>
        <w:pStyle w:val="Heading3"/>
      </w:pPr>
      <w:r>
        <w:t xml:space="preserve">41.2 The Watch Floor</w:t>
      </w:r>
    </w:p>
    <w:p>
      <w:pPr>
        <w:pStyle w:val="FirstParagraph"/>
      </w:pPr>
      <w:r>
        <w:t xml:space="preserve">The permanent watch floor staffs continuously: one duty officer from each Principal Party, one Neutral Watch Office observer, and the systems operators, on a three-shift rotation. The watch floor operates the Common Operating Picture, the corridor working channels, the hotline network, the Bulletin, and the incident ladder’s rung two.</w:t>
      </w:r>
    </w:p>
    <w:bookmarkEnd w:id="243"/>
    <w:bookmarkStart w:id="244" w:name="standing-officers"/>
    <w:p>
      <w:pPr>
        <w:pStyle w:val="Heading3"/>
      </w:pPr>
      <w:r>
        <w:t xml:space="preserve">41.3 Standing Officers</w:t>
      </w:r>
    </w:p>
    <w:p>
      <w:pPr>
        <w:pStyle w:val="FirstParagraph"/>
      </w:pPr>
      <w:r>
        <w:t xml:space="preserve">The Council appoints four standing officers for three-year terms: the Center Director (Omani nominee first), the Mirror Director (Iranian nominee first), the Transit Desk Chief (alternating nomination, Iranian nominee first), and the Secretariat Head (Neutral Administrator’s nominee). A standing officer serves the framework, holds no national instruction on framework matters, and swears the framework oath of Annex L.6.</w:t>
      </w:r>
    </w:p>
    <w:bookmarkEnd w:id="244"/>
    <w:bookmarkStart w:id="245" w:name="the-secretariat"/>
    <w:p>
      <w:pPr>
        <w:pStyle w:val="Heading3"/>
      </w:pPr>
      <w:r>
        <w:t xml:space="preserve">41.4 The Secretariat</w:t>
      </w:r>
    </w:p>
    <w:p>
      <w:pPr>
        <w:pStyle w:val="FirstParagraph"/>
      </w:pPr>
      <w:r>
        <w:t xml:space="preserve">The Secretariat maintains the registers, the Reciprocity Ledger, the Exercise Logbook archive, the meeting records, and the publication schedule. It numbers not more than 24 staff at steady state, drawn from the littoral states and the Neutral Administrator’s service in balanced proportions.</w:t>
      </w:r>
    </w:p>
    <w:bookmarkEnd w:id="245"/>
    <w:bookmarkStart w:id="246" w:name="the-imo-liaison"/>
    <w:p>
      <w:pPr>
        <w:pStyle w:val="Heading3"/>
      </w:pPr>
      <w:r>
        <w:t xml:space="preserve">41.5 The IMO Liaison</w:t>
      </w:r>
    </w:p>
    <w:p>
      <w:pPr>
        <w:pStyle w:val="FirstParagraph"/>
      </w:pPr>
      <w:r>
        <w:t xml:space="preserve">The International Maritime Organization liaison office at the Center receives every corridor definition, traffic separation adjustment, safety standard, and certification this Accord produces, and transmits the Organization’s technical observations to the Technical and Standards Committee. The liaison’s observations enter the public record unanswered by no one: the Committee responds to every observation within 60 days, in writing, in the Bulletin.</w:t>
      </w:r>
    </w:p>
    <w:bookmarkEnd w:id="246"/>
    <w:bookmarkEnd w:id="247"/>
    <w:bookmarkStart w:id="253" w:name="article-42-the-neutral-watch-office"/>
    <w:p>
      <w:pPr>
        <w:pStyle w:val="Heading2"/>
      </w:pPr>
      <w:r>
        <w:t xml:space="preserve">Article 42: The Neutral Watch Office</w:t>
      </w:r>
    </w:p>
    <w:bookmarkStart w:id="248" w:name="mandate"/>
    <w:p>
      <w:pPr>
        <w:pStyle w:val="Heading3"/>
      </w:pPr>
      <w:r>
        <w:t xml:space="preserve">42.1 Mandate</w:t>
      </w:r>
    </w:p>
    <w:p>
      <w:pPr>
        <w:pStyle w:val="FirstParagraph"/>
      </w:pPr>
      <w:r>
        <w:t xml:space="preserve">The Neutral Watch Office is the verification organ of the Accord. It computes every gate metric, every Clean Week, every escalator increment, every equal-treatment audit, and every compliance standing, from the published record and its own observation, and it publishes every determination in full. It seats at the Center with the read-only terminal of Article 18.1, staffs the integrity watch, and observes every institution. The Swiss Confederation provides its Director and core staff; littoral states second observers in balanced numbers.</w:t>
      </w:r>
    </w:p>
    <w:bookmarkEnd w:id="248"/>
    <w:bookmarkStart w:id="249" w:name="the-human-anchor-method"/>
    <w:p>
      <w:pPr>
        <w:pStyle w:val="Heading3"/>
      </w:pPr>
      <w:r>
        <w:t xml:space="preserve">42.2 The Human Anchor Method</w:t>
      </w:r>
    </w:p>
    <w:p>
      <w:pPr>
        <w:pStyle w:val="FirstParagraph"/>
      </w:pPr>
      <w:r>
        <w:t xml:space="preserve">Every verification determination rests on the Human Anchor Method: trained human observers confirm the machine record at the point of event (watch-floor observers for corridor events, boarding-free remote observation for vessel events, sector observers for survey events), and no determination rests on machine data alone or human report alone.</w:t>
      </w:r>
    </w:p>
    <w:bookmarkEnd w:id="249"/>
    <w:bookmarkStart w:id="250" w:name="the-convergence-standard"/>
    <w:p>
      <w:pPr>
        <w:pStyle w:val="Heading3"/>
      </w:pPr>
      <w:r>
        <w:t xml:space="preserve">42.3 The Convergence Standard</w:t>
      </w:r>
    </w:p>
    <w:p>
      <w:pPr>
        <w:pStyle w:val="FirstParagraph"/>
      </w:pPr>
      <w:r>
        <w:t xml:space="preserve">No finding of fact rests on a single input. Every finding converges at least two independent inputs (AIS plus radar, observer plus log, national record plus Exchange record), and a finding states its inputs on its face. This standard holds Red Line RL-11.</w:t>
      </w:r>
    </w:p>
    <w:bookmarkEnd w:id="250"/>
    <w:bookmarkStart w:id="251" w:name="publication-discipline"/>
    <w:p>
      <w:pPr>
        <w:pStyle w:val="Heading3"/>
      </w:pPr>
      <w:r>
        <w:t xml:space="preserve">42.4 Publication Discipline</w:t>
      </w:r>
    </w:p>
    <w:p>
      <w:pPr>
        <w:pStyle w:val="FirstParagraph"/>
      </w:pPr>
      <w:r>
        <w:t xml:space="preserve">The Office publishes every determination within 24 hours of the underlying period’s close, in the Bulletin and the Reciprocity Ledger, with the full supporting record attached. A determination speaks only fact: it names events, measurements, and classifications, and it never names fault beyond the classification the schedule assigns.</w:t>
      </w:r>
    </w:p>
    <w:bookmarkEnd w:id="251"/>
    <w:bookmarkStart w:id="252" w:name="the-integrity-cell"/>
    <w:p>
      <w:pPr>
        <w:pStyle w:val="Heading3"/>
      </w:pPr>
      <w:r>
        <w:t xml:space="preserve">42.5 The Integrity Cell</w:t>
      </w:r>
    </w:p>
    <w:p>
      <w:pPr>
        <w:pStyle w:val="FirstParagraph"/>
      </w:pPr>
      <w:r>
        <w:t xml:space="preserve">The Integrity Cell within the Office conducts the weekly integrity probes of Annex D.6: access-log audits, parity forensics, feed-tampering tests, and unannounced observation cross-checks. Its findings publish in full.</w:t>
      </w:r>
    </w:p>
    <w:bookmarkEnd w:id="252"/>
    <w:bookmarkEnd w:id="253"/>
    <w:bookmarkStart w:id="262" w:name="article-43-the-graduated-trust-escalator"/>
    <w:p>
      <w:pPr>
        <w:pStyle w:val="Heading2"/>
      </w:pPr>
      <w:r>
        <w:t xml:space="preserve">Article 43: The Graduated Trust Escalator</w:t>
      </w:r>
    </w:p>
    <w:bookmarkStart w:id="254" w:name="the-core-rule"/>
    <w:p>
      <w:pPr>
        <w:pStyle w:val="Heading3"/>
      </w:pPr>
      <w:r>
        <w:t xml:space="preserve">43.1 The Core Rule</w:t>
      </w:r>
    </w:p>
    <w:p>
      <w:pPr>
        <w:pStyle w:val="FirstParagraph"/>
      </w:pPr>
      <w:r>
        <w:t xml:space="preserve">For each Clean Week that the Neutral Watch Office verifies, Iran’s Control Weight increases by ten percentage points. The Escalator begins at 33 percent, rises in steps of ten, and caps at 100 percent. Seven consecutive Clean Weeks produce Full Unlock. The Escalator operates automatically: verification of a Clean Week applies the increment without any Council vote, any Party’s consent, or any further instrument.</w:t>
      </w:r>
    </w:p>
    <w:bookmarkEnd w:id="254"/>
    <w:bookmarkStart w:id="255" w:name="the-clean-week"/>
    <w:p>
      <w:pPr>
        <w:pStyle w:val="Heading3"/>
      </w:pPr>
      <w:r>
        <w:t xml:space="preserve">43.2 The Clean Week</w:t>
      </w:r>
    </w:p>
    <w:p>
      <w:pPr>
        <w:pStyle w:val="FirstParagraph"/>
      </w:pPr>
      <w:r>
        <w:t xml:space="preserve">A Clean Week is a Verification Period of seven days in which the record shows: zero events classified E-2 or higher under Annex E; zero unresolved Level-2 incidents; corridor service standards met at 95 percent; and complete data parity. The Neutral Watch Office determines each Clean Week within twelve hours of the period’s close, under the Clean Week Verification Standard of Annex D.3.</w:t>
      </w:r>
    </w:p>
    <w:bookmarkEnd w:id="255"/>
    <w:bookmarkStart w:id="256" w:name="the-verification-clock"/>
    <w:p>
      <w:pPr>
        <w:pStyle w:val="Heading3"/>
      </w:pPr>
      <w:r>
        <w:t xml:space="preserve">43.3 The Verification Clock</w:t>
      </w:r>
    </w:p>
    <w:p>
      <w:pPr>
        <w:pStyle w:val="FirstParagraph"/>
      </w:pPr>
      <w:r>
        <w:t xml:space="preserve">The first Verification Period opens at 00:00 UTC on the day Gate G-2 certifies. Subsequent periods run consecutively, each opening seven days after the previous period opened.</w:t>
      </w:r>
    </w:p>
    <w:bookmarkEnd w:id="256"/>
    <w:bookmarkStart w:id="257" w:name="the-escalator-ladder"/>
    <w:p>
      <w:pPr>
        <w:pStyle w:val="Heading3"/>
      </w:pPr>
      <w:r>
        <w:t xml:space="preserve">43.4 The Escalator Ladder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Control Weight</w:t>
            </w:r>
          </w:p>
        </w:tc>
        <w:tc>
          <w:tcPr/>
          <w:p>
            <w:pPr>
              <w:pStyle w:val="Compact"/>
              <w:jc w:val="left"/>
            </w:pPr>
            <w:r>
              <w:t xml:space="preserve">Condition</w:t>
            </w:r>
          </w:p>
        </w:tc>
      </w:tr>
      <w:tr>
        <w:tc>
          <w:tcPr/>
          <w:p>
            <w:pPr>
              <w:pStyle w:val="Compact"/>
              <w:jc w:val="left"/>
            </w:pPr>
            <w:r>
              <w:t xml:space="preserve">Baseline</w:t>
            </w:r>
          </w:p>
        </w:tc>
        <w:tc>
          <w:tcPr/>
          <w:p>
            <w:pPr>
              <w:pStyle w:val="Compact"/>
              <w:jc w:val="left"/>
            </w:pPr>
            <w:r>
              <w:t xml:space="preserve">33 percent</w:t>
            </w:r>
          </w:p>
        </w:tc>
        <w:tc>
          <w:tcPr/>
          <w:p>
            <w:pPr>
              <w:pStyle w:val="Compact"/>
              <w:jc w:val="left"/>
            </w:pPr>
            <w:r>
              <w:t xml:space="preserve">Gate G-2 certification</w:t>
            </w:r>
          </w:p>
        </w:tc>
      </w:tr>
      <w:tr>
        <w:tc>
          <w:tcPr/>
          <w:p>
            <w:pPr>
              <w:pStyle w:val="Compact"/>
              <w:jc w:val="left"/>
            </w:pPr>
            <w:r>
              <w:t xml:space="preserve">Step One</w:t>
            </w:r>
          </w:p>
        </w:tc>
        <w:tc>
          <w:tcPr/>
          <w:p>
            <w:pPr>
              <w:pStyle w:val="Compact"/>
              <w:jc w:val="left"/>
            </w:pPr>
            <w:r>
              <w:t xml:space="preserve">43 percent</w:t>
            </w:r>
          </w:p>
        </w:tc>
        <w:tc>
          <w:tcPr/>
          <w:p>
            <w:pPr>
              <w:pStyle w:val="Compact"/>
              <w:jc w:val="left"/>
            </w:pPr>
            <w:r>
              <w:t xml:space="preserve">One Clean Week</w:t>
            </w:r>
          </w:p>
        </w:tc>
      </w:tr>
      <w:tr>
        <w:tc>
          <w:tcPr/>
          <w:p>
            <w:pPr>
              <w:pStyle w:val="Compact"/>
              <w:jc w:val="left"/>
            </w:pPr>
            <w:r>
              <w:t xml:space="preserve">Step Two</w:t>
            </w:r>
          </w:p>
        </w:tc>
        <w:tc>
          <w:tcPr/>
          <w:p>
            <w:pPr>
              <w:pStyle w:val="Compact"/>
              <w:jc w:val="left"/>
            </w:pPr>
            <w:r>
              <w:t xml:space="preserve">53 percent</w:t>
            </w:r>
          </w:p>
        </w:tc>
        <w:tc>
          <w:tcPr/>
          <w:p>
            <w:pPr>
              <w:pStyle w:val="Compact"/>
              <w:jc w:val="left"/>
            </w:pPr>
            <w:r>
              <w:t xml:space="preserve">Two Clean Weeks</w:t>
            </w:r>
          </w:p>
        </w:tc>
      </w:tr>
      <w:tr>
        <w:tc>
          <w:tcPr/>
          <w:p>
            <w:pPr>
              <w:pStyle w:val="Compact"/>
              <w:jc w:val="left"/>
            </w:pPr>
            <w:r>
              <w:t xml:space="preserve">Step Three</w:t>
            </w:r>
          </w:p>
        </w:tc>
        <w:tc>
          <w:tcPr/>
          <w:p>
            <w:pPr>
              <w:pStyle w:val="Compact"/>
              <w:jc w:val="left"/>
            </w:pPr>
            <w:r>
              <w:t xml:space="preserve">63 percent</w:t>
            </w:r>
          </w:p>
        </w:tc>
        <w:tc>
          <w:tcPr/>
          <w:p>
            <w:pPr>
              <w:pStyle w:val="Compact"/>
              <w:jc w:val="left"/>
            </w:pPr>
            <w:r>
              <w:t xml:space="preserve">Three Clean Weeks</w:t>
            </w:r>
          </w:p>
        </w:tc>
      </w:tr>
      <w:tr>
        <w:tc>
          <w:tcPr/>
          <w:p>
            <w:pPr>
              <w:pStyle w:val="Compact"/>
              <w:jc w:val="left"/>
            </w:pPr>
            <w:r>
              <w:t xml:space="preserve">Step Four</w:t>
            </w:r>
          </w:p>
        </w:tc>
        <w:tc>
          <w:tcPr/>
          <w:p>
            <w:pPr>
              <w:pStyle w:val="Compact"/>
              <w:jc w:val="left"/>
            </w:pPr>
            <w:r>
              <w:t xml:space="preserve">73 percent</w:t>
            </w:r>
          </w:p>
        </w:tc>
        <w:tc>
          <w:tcPr/>
          <w:p>
            <w:pPr>
              <w:pStyle w:val="Compact"/>
              <w:jc w:val="left"/>
            </w:pPr>
            <w:r>
              <w:t xml:space="preserve">Four Clean Weeks</w:t>
            </w:r>
          </w:p>
        </w:tc>
      </w:tr>
      <w:tr>
        <w:tc>
          <w:tcPr/>
          <w:p>
            <w:pPr>
              <w:pStyle w:val="Compact"/>
              <w:jc w:val="left"/>
            </w:pPr>
            <w:r>
              <w:t xml:space="preserve">Step Five</w:t>
            </w:r>
          </w:p>
        </w:tc>
        <w:tc>
          <w:tcPr/>
          <w:p>
            <w:pPr>
              <w:pStyle w:val="Compact"/>
              <w:jc w:val="left"/>
            </w:pPr>
            <w:r>
              <w:t xml:space="preserve">83 percent</w:t>
            </w:r>
          </w:p>
        </w:tc>
        <w:tc>
          <w:tcPr/>
          <w:p>
            <w:pPr>
              <w:pStyle w:val="Compact"/>
              <w:jc w:val="left"/>
            </w:pPr>
            <w:r>
              <w:t xml:space="preserve">Five Clean Weeks</w:t>
            </w:r>
          </w:p>
        </w:tc>
      </w:tr>
      <w:tr>
        <w:tc>
          <w:tcPr/>
          <w:p>
            <w:pPr>
              <w:pStyle w:val="Compact"/>
              <w:jc w:val="left"/>
            </w:pPr>
            <w:r>
              <w:t xml:space="preserve">Step Six</w:t>
            </w:r>
          </w:p>
        </w:tc>
        <w:tc>
          <w:tcPr/>
          <w:p>
            <w:pPr>
              <w:pStyle w:val="Compact"/>
              <w:jc w:val="left"/>
            </w:pPr>
            <w:r>
              <w:t xml:space="preserve">93 percent</w:t>
            </w:r>
          </w:p>
        </w:tc>
        <w:tc>
          <w:tcPr/>
          <w:p>
            <w:pPr>
              <w:pStyle w:val="Compact"/>
              <w:jc w:val="left"/>
            </w:pPr>
            <w:r>
              <w:t xml:space="preserve">Six Clean Weeks</w:t>
            </w:r>
          </w:p>
        </w:tc>
      </w:tr>
      <w:tr>
        <w:tc>
          <w:tcPr/>
          <w:p>
            <w:pPr>
              <w:pStyle w:val="Compact"/>
              <w:jc w:val="left"/>
            </w:pPr>
            <w:r>
              <w:t xml:space="preserve">Full Unlock</w:t>
            </w:r>
          </w:p>
        </w:tc>
        <w:tc>
          <w:tcPr/>
          <w:p>
            <w:pPr>
              <w:pStyle w:val="Compact"/>
              <w:jc w:val="left"/>
            </w:pPr>
            <w:r>
              <w:t xml:space="preserve">100 percent</w:t>
            </w:r>
          </w:p>
        </w:tc>
        <w:tc>
          <w:tcPr/>
          <w:p>
            <w:pPr>
              <w:pStyle w:val="Compact"/>
              <w:jc w:val="left"/>
            </w:pPr>
            <w:r>
              <w:t xml:space="preserve">Seven Clean Weeks</w:t>
            </w:r>
          </w:p>
        </w:tc>
      </w:tr>
    </w:tbl>
    <w:bookmarkEnd w:id="257"/>
    <w:bookmarkStart w:id="258" w:name="dimensions-of-control-weight"/>
    <w:p>
      <w:pPr>
        <w:pStyle w:val="Heading3"/>
      </w:pPr>
      <w:r>
        <w:t xml:space="preserve">43.5 Dimensions of Control Weight</w:t>
      </w:r>
    </w:p>
    <w:p>
      <w:pPr>
        <w:pStyle w:val="FirstParagraph"/>
      </w:pPr>
      <w:r>
        <w:t xml:space="preserve">Control Weight expresses itself across four dimensions simultaneously, per the full conversion matrix of Annex E: corridor function (the sequence of administrative expansions inside the Northern Coordination Passage and the northern face of the Central Deconfliction Band); Twin Key weight (the concurrence composition of Article 44); revenue share (the table of Article 38.1, capped at the Permanent Floor); and institutional voice (co-equal Principal Party at Baseline; first among equals on tied procedural questions at Full Unlock, never on substance).</w:t>
      </w:r>
    </w:p>
    <w:bookmarkEnd w:id="258"/>
    <w:bookmarkStart w:id="259" w:name="what-the-escalator-never-does"/>
    <w:p>
      <w:pPr>
        <w:pStyle w:val="Heading3"/>
      </w:pPr>
      <w:r>
        <w:t xml:space="preserve">43.6 What the Escalator Never Does</w:t>
      </w:r>
    </w:p>
    <w:p>
      <w:pPr>
        <w:pStyle w:val="FirstParagraph"/>
      </w:pPr>
      <w:r>
        <w:t xml:space="preserve">The Escalator never touches: Oman’s administration of the Southern Assurance Passage, which stands outside the Escalator entirely; the Zero-Toll Rule; the Non-Interdiction Protocol; sovereignty, which the Escalator never approaches, since Control Weight is functional, earned, and conditional, never sovereign; and any other Party’s red line. The Escalator grows function within the framework; it transfers nothing outside it.</w:t>
      </w:r>
    </w:p>
    <w:bookmarkEnd w:id="259"/>
    <w:bookmarkStart w:id="260" w:name="the-permanent-floor"/>
    <w:p>
      <w:pPr>
        <w:pStyle w:val="Heading3"/>
      </w:pPr>
      <w:r>
        <w:t xml:space="preserve">43.7 The Permanent Floor</w:t>
      </w:r>
    </w:p>
    <w:p>
      <w:pPr>
        <w:pStyle w:val="FirstParagraph"/>
      </w:pPr>
      <w:r>
        <w:t xml:space="preserve">Upon Full Unlock, Iran’s revenue share fixes permanently at 60 percent and its institutional voice at first among equals, and this Permanent Floor survives every subsequent event: no step-back, no reset, no dispute, and no suspension reduces it. The Permanent Floor is the Accord’s central promise: performance banks permanently.</w:t>
      </w:r>
    </w:p>
    <w:bookmarkEnd w:id="260"/>
    <w:bookmarkStart w:id="261" w:name="non-consecutiveness-of-progress"/>
    <w:p>
      <w:pPr>
        <w:pStyle w:val="Heading3"/>
      </w:pPr>
      <w:r>
        <w:t xml:space="preserve">43.8 Non-Consecutiveness of Progress</w:t>
      </w:r>
    </w:p>
    <w:p>
      <w:pPr>
        <w:pStyle w:val="FirstParagraph"/>
      </w:pPr>
      <w:r>
        <w:t xml:space="preserve">Clean Weeks accumulate across pauses. A pause delays progress; it never erases accumulated milestones. Article 45 alone governs resets, and no reset erases the Permanent Floor once attained.</w:t>
      </w:r>
    </w:p>
    <w:bookmarkEnd w:id="261"/>
    <w:bookmarkEnd w:id="262"/>
    <w:bookmarkStart w:id="267" w:name="article-44-the-twin-key-rule"/>
    <w:p>
      <w:pPr>
        <w:pStyle w:val="Heading2"/>
      </w:pPr>
      <w:r>
        <w:t xml:space="preserve">Article 44: The Twin Key Rule</w:t>
      </w:r>
    </w:p>
    <w:bookmarkStart w:id="263" w:name="the-rule-1"/>
    <w:p>
      <w:pPr>
        <w:pStyle w:val="Heading3"/>
      </w:pPr>
      <w:r>
        <w:t xml:space="preserve">44.1 The Rule</w:t>
      </w:r>
    </w:p>
    <w:p>
      <w:pPr>
        <w:pStyle w:val="FirstParagraph"/>
      </w:pPr>
      <w:r>
        <w:t xml:space="preserve">Every consequential action of the framework (a corridor geometry change, a FLOW-RED declaration exceeding 72 hours, a new service listing, an emergency-routing activation beyond 48 hours, any measure touching a red line) executes only under the Twin Key: the recorded concurrence of both Principal Parties’ designated keyholders. No unilateral consequential action exists anywhere in this Accord, at any Control Weight level. This rule holds Red Line IPR-6 logic and binds every institution.</w:t>
      </w:r>
    </w:p>
    <w:bookmarkEnd w:id="263"/>
    <w:bookmarkStart w:id="264" w:name="key-evolution"/>
    <w:p>
      <w:pPr>
        <w:pStyle w:val="Heading3"/>
      </w:pPr>
      <w:r>
        <w:t xml:space="preserve">44.2 Key Evolution</w:t>
      </w:r>
    </w:p>
    <w:p>
      <w:pPr>
        <w:pStyle w:val="FirstParagraph"/>
      </w:pPr>
      <w:r>
        <w:t xml:space="preserve">At Baseline, the Twin Key for actions inside the northern face of the Band comprises one Iranian and one Omani keyholder. As the Escalator crosses each band of Annex E, the concurrence composition evolves per the matrix, reaching two-of-three concurrence with Iranian plurality for Buffer actions at Full Unlock, with the Twin Key itself (no unilateral action) binding at every level without exception.</w:t>
      </w:r>
    </w:p>
    <w:bookmarkEnd w:id="264"/>
    <w:bookmarkStart w:id="265" w:name="keyholder-discipline"/>
    <w:p>
      <w:pPr>
        <w:pStyle w:val="Heading3"/>
      </w:pPr>
      <w:r>
        <w:t xml:space="preserve">44.3 Keyholder Discipline</w:t>
      </w:r>
    </w:p>
    <w:p>
      <w:pPr>
        <w:pStyle w:val="FirstParagraph"/>
      </w:pPr>
      <w:r>
        <w:t xml:space="preserve">Each Principal Party designates three keyholders, any one of whom turns its key, on a published roster with 24-hour reachability. A keyholder’s refusal records with reasons in the Reciprocity Ledger; the record stands public; the reasons answer to the Party’s own public.</w:t>
      </w:r>
    </w:p>
    <w:bookmarkEnd w:id="265"/>
    <w:bookmarkStart w:id="266" w:name="emergency-override"/>
    <w:p>
      <w:pPr>
        <w:pStyle w:val="Heading3"/>
      </w:pPr>
      <w:r>
        <w:t xml:space="preserve">44.4 Emergency Override</w:t>
      </w:r>
    </w:p>
    <w:p>
      <w:pPr>
        <w:pStyle w:val="FirstParagraph"/>
      </w:pPr>
      <w:r>
        <w:t xml:space="preserve">In an imminent threat to life, the watch-floor duty pair acts first and records the Twin Key retrospectively within six hours. The override covers life-safety actions only, and every override enters the Ledger with its full record.</w:t>
      </w:r>
    </w:p>
    <w:bookmarkEnd w:id="266"/>
    <w:bookmarkEnd w:id="267"/>
    <w:bookmarkStart w:id="274" w:name="article-45-step-back-and-earn-back"/>
    <w:p>
      <w:pPr>
        <w:pStyle w:val="Heading2"/>
      </w:pPr>
      <w:r>
        <w:t xml:space="preserve">Article 45: Step-Back and Earn-Back</w:t>
      </w:r>
    </w:p>
    <w:bookmarkStart w:id="268" w:name="the-event-schedule"/>
    <w:p>
      <w:pPr>
        <w:pStyle w:val="Heading3"/>
      </w:pPr>
      <w:r>
        <w:t xml:space="preserve">45.1 The Event Schedule</w:t>
      </w:r>
    </w:p>
    <w:p>
      <w:pPr>
        <w:pStyle w:val="FirstParagraph"/>
      </w:pPr>
      <w:r>
        <w:t xml:space="preserve">Annex E classifies every deviation into four grades with fixed consequences: E-1 (technical deviation; the Escalator pauses seven days; no milestone loss); E-2 (operational violation; the current Verification Period fails and re-runs; fourteen days of clean operation restore the milestone track); E-3 (grave violation, including any interdiction event, custody breach, or red-line pressure; milestones reset to the last band boundary; ninety days of sustained clean operation plus certification re-accrue milestones from the reset position at double pace for the first three steps); E-4 (critical violation; milestones reset to Baseline; ninety days of sustained clean operation plus Council confirmation under Consensus Minus One restore the track).</w:t>
      </w:r>
    </w:p>
    <w:bookmarkEnd w:id="268"/>
    <w:bookmarkStart w:id="269" w:name="proportionality"/>
    <w:p>
      <w:pPr>
        <w:pStyle w:val="Heading3"/>
      </w:pPr>
      <w:r>
        <w:t xml:space="preserve">45.2 Proportionality</w:t>
      </w:r>
    </w:p>
    <w:p>
      <w:pPr>
        <w:pStyle w:val="FirstParagraph"/>
      </w:pPr>
      <w:r>
        <w:t xml:space="preserve">Small events produce small consequences. The schedule of Annex E exhausts the consequences of every event: no sanctions, no fees, no suspensions, and no conditions beyond it. The Escalator’s discipline lives inside the Escalator.</w:t>
      </w:r>
    </w:p>
    <w:bookmarkEnd w:id="269"/>
    <w:bookmarkStart w:id="270" w:name="automatic-earn-back"/>
    <w:p>
      <w:pPr>
        <w:pStyle w:val="Heading3"/>
      </w:pPr>
      <w:r>
        <w:t xml:space="preserve">45.3 Automatic Earn-Back</w:t>
      </w:r>
    </w:p>
    <w:p>
      <w:pPr>
        <w:pStyle w:val="FirstParagraph"/>
      </w:pPr>
      <w:r>
        <w:t xml:space="preserve">Every step-back carries a defined, automatic earn-back path, and completion of the path restores the position without any vote, request, or negotiation. This rule holds Red Line RL-17.</w:t>
      </w:r>
    </w:p>
    <w:bookmarkEnd w:id="270"/>
    <w:bookmarkStart w:id="271" w:name="what-earn-back-never-requires"/>
    <w:p>
      <w:pPr>
        <w:pStyle w:val="Heading3"/>
      </w:pPr>
      <w:r>
        <w:t xml:space="preserve">45.4 What Earn-Back Never Requires</w:t>
      </w:r>
    </w:p>
    <w:p>
      <w:pPr>
        <w:pStyle w:val="FirstParagraph"/>
      </w:pPr>
      <w:r>
        <w:t xml:space="preserve">Earn-back never requires an admission of guilt, payment of penalties, political concessions beyond restored compliance, or renegotiation of any provision of this Accord.</w:t>
      </w:r>
    </w:p>
    <w:bookmarkEnd w:id="271"/>
    <w:bookmarkStart w:id="272" w:name="double-pace-restoration"/>
    <w:p>
      <w:pPr>
        <w:pStyle w:val="Heading3"/>
      </w:pPr>
      <w:r>
        <w:t xml:space="preserve">45.5 Double-Pace Restoration</w:t>
      </w:r>
    </w:p>
    <w:p>
      <w:pPr>
        <w:pStyle w:val="FirstParagraph"/>
      </w:pPr>
      <w:r>
        <w:t xml:space="preserve">The double-pace restoration of the E-3 path expresses a deliberate design principle: a Party that stumbles once and then performs earns its way home faster than it fell. The asymmetry is published, permanent, and applies identically to every future E-3 event.</w:t>
      </w:r>
    </w:p>
    <w:bookmarkEnd w:id="272"/>
    <w:bookmarkStart w:id="273" w:name="the-floor-exception"/>
    <w:p>
      <w:pPr>
        <w:pStyle w:val="Heading3"/>
      </w:pPr>
      <w:r>
        <w:t xml:space="preserve">45.6 The Floor Exception</w:t>
      </w:r>
    </w:p>
    <w:p>
      <w:pPr>
        <w:pStyle w:val="FirstParagraph"/>
      </w:pPr>
      <w:r>
        <w:t xml:space="preserve">No event, at any grade, erases the Permanent Floor of Article 43.7 or any gate certificate of Article 7.</w:t>
      </w:r>
    </w:p>
    <w:bookmarkEnd w:id="273"/>
    <w:bookmarkEnd w:id="274"/>
    <w:bookmarkStart w:id="280" w:name="X393d9473bb756825efe702330609691c5a9196c"/>
    <w:p>
      <w:pPr>
        <w:pStyle w:val="Heading2"/>
      </w:pPr>
      <w:r>
        <w:t xml:space="preserve">Article 46: The Dispute Resolution Ladder and the Muscat Tribunal</w:t>
      </w:r>
    </w:p>
    <w:bookmarkStart w:id="275" w:name="the-ladder"/>
    <w:p>
      <w:pPr>
        <w:pStyle w:val="Heading3"/>
      </w:pPr>
      <w:r>
        <w:t xml:space="preserve">46.1 The Ladder</w:t>
      </w:r>
    </w:p>
    <w:p>
      <w:pPr>
        <w:pStyle w:val="FirstParagraph"/>
      </w:pPr>
      <w:r>
        <w:t xml:space="preserve">Every dispute under this Accord climbs a five-rung ladder: rung one, watch-floor technical resolution within 72 hours; rung two, Neutral Watch Office determination on the record within seven days; rung three, Council session under Consensus Minus One within 21 days; rung four, the Muscat Tribunal under Article 46.4 within 90 days; rung five, for protected-core disputes only, referral to the depositary’s good offices with the parties’ own chosen procedures. A dispute rests at the lowest rung that resolves it; escalation upward requires the lower rung’s record.</w:t>
      </w:r>
    </w:p>
    <w:bookmarkEnd w:id="275"/>
    <w:bookmarkStart w:id="276" w:name="the-standstill-rule"/>
    <w:p>
      <w:pPr>
        <w:pStyle w:val="Heading3"/>
      </w:pPr>
      <w:r>
        <w:t xml:space="preserve">46.2 The Standstill Rule</w:t>
      </w:r>
    </w:p>
    <w:p>
      <w:pPr>
        <w:pStyle w:val="FirstParagraph"/>
      </w:pPr>
      <w:r>
        <w:t xml:space="preserve">During any dispute, the matter’s status quo holds: corridors operate, gates and escalators computed from the record continue to compute, revenue flows, and the freeze rule of Article 29.6 binds force postures. No Party suspends performance pending resolution except as Article 45’s schedule itself provides.</w:t>
      </w:r>
    </w:p>
    <w:bookmarkEnd w:id="276"/>
    <w:bookmarkStart w:id="277" w:name="red-line-consultation"/>
    <w:p>
      <w:pPr>
        <w:pStyle w:val="Heading3"/>
      </w:pPr>
      <w:r>
        <w:t xml:space="preserve">46.3 Red Line Consultation</w:t>
      </w:r>
    </w:p>
    <w:p>
      <w:pPr>
        <w:pStyle w:val="FirstParagraph"/>
      </w:pPr>
      <w:r>
        <w:t xml:space="preserve">A Party that perceives a red line under pressure activates a Red Line Consultation: the Council convenes within 72 hours, the Neutral Watch Office presents the record, and the Parties resolve the pressure within 14 days. During the Consultation, the freeze rule binds, and the implicated function operates in its least-intrusive lawful mode. The Office publishes a summary of each Consultation with positions redacted at the request of their authors. A Red Line Consultation never suspends corridors, humanitarian traffic, or safety functions.</w:t>
      </w:r>
    </w:p>
    <w:bookmarkEnd w:id="277"/>
    <w:bookmarkStart w:id="278" w:name="the-muscat-tribunal"/>
    <w:p>
      <w:pPr>
        <w:pStyle w:val="Heading3"/>
      </w:pPr>
      <w:r>
        <w:t xml:space="preserve">46.4 The Muscat Tribunal</w:t>
      </w:r>
    </w:p>
    <w:p>
      <w:pPr>
        <w:pStyle w:val="FirstParagraph"/>
      </w:pPr>
      <w:r>
        <w:t xml:space="preserve">The Muscat Tribunal seats five members: two appointed by the Principal Parties jointly, one by the acceding littoral states, one by the Guarantor Parties, and a president appointed by the Neutral Administrator from the roster of the Permanent Court of Arbitration. The Tribunal decides disputes of law and classification under this Accord on the written and oral record, by majority, with reasons, in public. Its awards bind the Parties as determinations of this Accord’s meaning, and the compliance record of Article 45 attaches automatically to non-performance of an award.</w:t>
      </w:r>
    </w:p>
    <w:bookmarkEnd w:id="278"/>
    <w:bookmarkStart w:id="279" w:name="the-escalation-cap"/>
    <w:p>
      <w:pPr>
        <w:pStyle w:val="Heading3"/>
      </w:pPr>
      <w:r>
        <w:t xml:space="preserve">46.5 The Escalation Cap</w:t>
      </w:r>
    </w:p>
    <w:p>
      <w:pPr>
        <w:pStyle w:val="FirstParagraph"/>
      </w:pPr>
      <w:r>
        <w:t xml:space="preserve">No dispute under this Accord, at any rung, authorizes, triggers, or justifies military force, economic coercion outside this Accord’s own schedules, or suspension of humanitarian or safety functions. The cap binds every Party and every institution absolutely.</w:t>
      </w:r>
    </w:p>
    <w:bookmarkEnd w:id="279"/>
    <w:bookmarkEnd w:id="280"/>
    <w:bookmarkStart w:id="286" w:name="article-47-the-mutual-claims-commission"/>
    <w:p>
      <w:pPr>
        <w:pStyle w:val="Heading2"/>
      </w:pPr>
      <w:r>
        <w:t xml:space="preserve">Article 47: The Mutual Claims Commission</w:t>
      </w:r>
    </w:p>
    <w:bookmarkStart w:id="281" w:name="the-commission"/>
    <w:p>
      <w:pPr>
        <w:pStyle w:val="Heading3"/>
      </w:pPr>
      <w:r>
        <w:t xml:space="preserve">47.1 The Commission</w:t>
      </w:r>
    </w:p>
    <w:p>
      <w:pPr>
        <w:pStyle w:val="FirstParagraph"/>
      </w:pPr>
      <w:r>
        <w:t xml:space="preserve">The Mutual Claims Commission answers the compensation demands of both sides with one reciprocal mechanism. The Commission receives, examines, and determines claims arising from the conflict of 2026: claims by Iran for damage from strikes and the blockade; claims by the United States for damage from attacks on its forces, bases, and vessels; claims by littoral states for damage to territory, infrastructure, and shipping; and claims by operators, crews, and families for death, injury, detention, and loss.</w:t>
      </w:r>
    </w:p>
    <w:bookmarkEnd w:id="281"/>
    <w:bookmarkStart w:id="282" w:name="composition-and-method"/>
    <w:p>
      <w:pPr>
        <w:pStyle w:val="Heading3"/>
      </w:pPr>
      <w:r>
        <w:t xml:space="preserve">47.2 Composition and Method</w:t>
      </w:r>
    </w:p>
    <w:p>
      <w:pPr>
        <w:pStyle w:val="FirstParagraph"/>
      </w:pPr>
      <w:r>
        <w:t xml:space="preserve">The Commission seats five members: two appointed by Iran and the United States respectively, two by the littoral states acting together, and a president appointed by the Swiss Confederation. The Commission works from evidence, under the Convergence Standard adapted for claims, with a public docket, reasoned determinations, and no political admissions: a determination states damage, causation, and amount, and it never states guilt.</w:t>
      </w:r>
    </w:p>
    <w:bookmarkEnd w:id="282"/>
    <w:bookmarkStart w:id="283" w:name="X61b65b0e1f0b032845a6dca884a77112af09421"/>
    <w:p>
      <w:pPr>
        <w:pStyle w:val="Heading3"/>
      </w:pPr>
      <w:r>
        <w:t xml:space="preserve">47.3 The Reconstruction and Reconciliation Facility</w:t>
      </w:r>
    </w:p>
    <w:p>
      <w:pPr>
        <w:pStyle w:val="FirstParagraph"/>
      </w:pPr>
      <w:r>
        <w:t xml:space="preserve">Awards pay through the Reconstruction and Reconciliation Facility, capitalized by: voluntary contributions of the Gulf states; the framework’s revenue surpluses above the 12 percent administrative cap, allocated at 20 percent; in-kind contributions of the United States (surplus equipment, medical supply, and technical assistance, in keeping with its stated position against direct state investment); and frozen-asset releases structured through the Neutral Administrator under the Reciprocity Map. No Party pays another Party directly; every payment flows through the Facility against a Commission determination.</w:t>
      </w:r>
    </w:p>
    <w:bookmarkEnd w:id="283"/>
    <w:bookmarkStart w:id="284" w:name="the-middle-ground"/>
    <w:p>
      <w:pPr>
        <w:pStyle w:val="Heading3"/>
      </w:pPr>
      <w:r>
        <w:t xml:space="preserve">47.4 The Middle Ground</w:t>
      </w:r>
    </w:p>
    <w:p>
      <w:pPr>
        <w:pStyle w:val="FirstParagraph"/>
      </w:pPr>
      <w:r>
        <w:t xml:space="preserve">The Commission converts two irreconcilable demands (compensation and counter-compensation) into one evidence-based process in which every claimant files, every claim faces the same standard, and every award pays from a common, multilateral fund. Neither capital signs a check to the other; both capitals receive a mechanism that hears their dead and their damage. Iran’s reconstruction need and America’s counter-claims stand on the same docket, and the docket’s integrity substitutes for the confrontation’s arithmetic.</w:t>
      </w:r>
    </w:p>
    <w:bookmarkEnd w:id="284"/>
    <w:bookmarkStart w:id="285" w:name="relation-to-the-gates"/>
    <w:p>
      <w:pPr>
        <w:pStyle w:val="Heading3"/>
      </w:pPr>
      <w:r>
        <w:t xml:space="preserve">47.5 Relation to the Gates</w:t>
      </w:r>
    </w:p>
    <w:p>
      <w:pPr>
        <w:pStyle w:val="FirstParagraph"/>
      </w:pPr>
      <w:r>
        <w:t xml:space="preserve">The Commission seats at Layer 4 opening. Its docket operates independently of the gates and the Escalator: no claims outcome moves any corridor, share, or certification, and no corridor event stays any claim.</w:t>
      </w:r>
    </w:p>
    <w:bookmarkEnd w:id="285"/>
    <w:bookmarkEnd w:id="286"/>
    <w:bookmarkStart w:id="290" w:name="Xbcf8c80d927154bb0b982c3e887b1ed84b3927d"/>
    <w:p>
      <w:pPr>
        <w:pStyle w:val="Heading2"/>
      </w:pPr>
      <w:r>
        <w:t xml:space="preserve">Article 48: Gate G-4: The Governance Stability Audit</w:t>
      </w:r>
    </w:p>
    <w:bookmarkStart w:id="287" w:name="the-audit-4"/>
    <w:p>
      <w:pPr>
        <w:pStyle w:val="Heading3"/>
      </w:pPr>
      <w:r>
        <w:t xml:space="preserve">48.1 The Audit</w:t>
      </w:r>
    </w:p>
    <w:p>
      <w:pPr>
        <w:pStyle w:val="FirstParagraph"/>
      </w:pPr>
      <w:r>
        <w:t xml:space="preserve">The Neutral Watch Office audits: Full Unlock attained and held for 28 consecutive days; the Tribunal seated with its caseload current (no determination older than 90 days undecided); the Mutual Claims Commission seated with its docket open; the equal-treatment audit clean for two consecutive quarters; and the Reciprocity Map’s Layer 4 entries executed.</w:t>
      </w:r>
    </w:p>
    <w:bookmarkEnd w:id="287"/>
    <w:bookmarkStart w:id="288" w:name="certification-and-effect-3"/>
    <w:p>
      <w:pPr>
        <w:pStyle w:val="Heading3"/>
      </w:pPr>
      <w:r>
        <w:t xml:space="preserve">48.2 Certification and Effect</w:t>
      </w:r>
    </w:p>
    <w:p>
      <w:pPr>
        <w:pStyle w:val="FirstParagraph"/>
      </w:pPr>
      <w:r>
        <w:t xml:space="preserve">The Office publishes the Gate G-4 certificate within 24 hours of the metrics standing satisfied, and Layer 5 opens at 00:00 UTC on the following day. On the same day, under the Reciprocity Map, the third sanctions-relief tranche and the frozen-asset release schedule of Table N.2 take effect.</w:t>
      </w:r>
    </w:p>
    <w:bookmarkEnd w:id="288"/>
    <w:bookmarkStart w:id="289" w:name="failure-handling-4"/>
    <w:p>
      <w:pPr>
        <w:pStyle w:val="Heading3"/>
      </w:pPr>
      <w:r>
        <w:t xml:space="preserve">48.3 Failure Handling</w:t>
      </w:r>
    </w:p>
    <w:p>
      <w:pPr>
        <w:pStyle w:val="FirstParagraph"/>
      </w:pPr>
      <w:r>
        <w:t xml:space="preserve">A metric standing unsatisfied repeats the audit every 30 days. The Nofade Guarantee holds every element in place.</w:t>
      </w:r>
    </w:p>
    <w:bookmarkEnd w:id="289"/>
    <w:bookmarkEnd w:id="290"/>
    <w:bookmarkEnd w:id="291"/>
    <w:bookmarkStart w:id="326" w:name="Xfccc416125ad6c9558d4ef02c676ae56ea88368"/>
    <w:p>
      <w:pPr>
        <w:pStyle w:val="Heading1"/>
      </w:pPr>
      <w:r>
        <w:t xml:space="preserve">PART VII: LAYER 5: THE PERMANENT CHARTER (DAY 360 ONWARD)</w:t>
      </w:r>
    </w:p>
    <w:bookmarkStart w:id="296" w:name="X7dd347ce5f4459f2837ff8e13003c9df7538a72"/>
    <w:p>
      <w:pPr>
        <w:pStyle w:val="Heading2"/>
      </w:pPr>
      <w:r>
        <w:t xml:space="preserve">Article 49: Conversion: From Accord to Charter</w:t>
      </w:r>
    </w:p>
    <w:bookmarkStart w:id="292" w:name="the-conversion-principle"/>
    <w:p>
      <w:pPr>
        <w:pStyle w:val="Heading3"/>
      </w:pPr>
      <w:r>
        <w:t xml:space="preserve">49.1 The Conversion Principle</w:t>
      </w:r>
    </w:p>
    <w:p>
      <w:pPr>
        <w:pStyle w:val="FirstParagraph"/>
      </w:pPr>
      <w:r>
        <w:t xml:space="preserve">Layer 5 codifies proven components, never theoretical ones. Every element of the Permanent Charter enters it from the operating record of Layers 0 through 4: a corridor that carried traffic, a protocol that logged transits, an institution that issued determinations, a mechanism that reconciled accounts. The Charter contains no experiment.</w:t>
      </w:r>
    </w:p>
    <w:bookmarkEnd w:id="292"/>
    <w:bookmarkStart w:id="293" w:name="the-conversion-resolution"/>
    <w:p>
      <w:pPr>
        <w:pStyle w:val="Heading3"/>
      </w:pPr>
      <w:r>
        <w:t xml:space="preserve">49.2 The Conversion Resolution</w:t>
      </w:r>
    </w:p>
    <w:p>
      <w:pPr>
        <w:pStyle w:val="FirstParagraph"/>
      </w:pPr>
      <w:r>
        <w:t xml:space="preserve">Upon Gate G-4 certification, the Council adopts the Charter Conversion resolution under Consensus Minus One within 60 days. The resolution confirms the operating text of Parts II through VI, as amended in operation, as the Charter’s operative parts; confirms the annexes as updated; and fixes the Charter’s date of effect. The depositary then receives instruments of acceptance from every Party, and the Charter enters into force on the thirtieth day after the last instrument deposits.</w:t>
      </w:r>
    </w:p>
    <w:bookmarkEnd w:id="293"/>
    <w:bookmarkStart w:id="294" w:name="gate-g-5"/>
    <w:p>
      <w:pPr>
        <w:pStyle w:val="Heading3"/>
      </w:pPr>
      <w:r>
        <w:t xml:space="preserve">49.3 Gate G-5</w:t>
      </w:r>
    </w:p>
    <w:p>
      <w:pPr>
        <w:pStyle w:val="FirstParagraph"/>
      </w:pPr>
      <w:r>
        <w:t xml:space="preserve">Gate G-5 certifies upon: the Council resolution adopted; the depositary’s confirmation of all instruments; and the International Maritime Organization lodgment of Article 50.3 complete. The certificate publishes with the full conversion record, and the Accord’s provisional character ends on that day.</w:t>
      </w:r>
    </w:p>
    <w:bookmarkEnd w:id="294"/>
    <w:bookmarkStart w:id="295" w:name="continuity-through-conversion"/>
    <w:p>
      <w:pPr>
        <w:pStyle w:val="Heading3"/>
      </w:pPr>
      <w:r>
        <w:t xml:space="preserve">49.4 Continuity Through Conversion</w:t>
      </w:r>
    </w:p>
    <w:p>
      <w:pPr>
        <w:pStyle w:val="FirstParagraph"/>
      </w:pPr>
      <w:r>
        <w:t xml:space="preserve">Conversion changes nothing operational: corridors, shares, institutions, gates, and the Escalator’s successor mechanism continue without interruption on the day the Charter takes effect. The Nofade Guarantee carries every attainment across the conversion untouched.</w:t>
      </w:r>
    </w:p>
    <w:bookmarkEnd w:id="295"/>
    <w:bookmarkEnd w:id="296"/>
    <w:bookmarkStart w:id="301" w:name="Xf5a1cf51e07ca78656194b6f63334fc7632a5cf"/>
    <w:p>
      <w:pPr>
        <w:pStyle w:val="Heading2"/>
      </w:pPr>
      <w:r>
        <w:t xml:space="preserve">Article 50: The Permanent Governance Settlement</w:t>
      </w:r>
    </w:p>
    <w:bookmarkStart w:id="297" w:name="the-corridor-settlement-at-permanence"/>
    <w:p>
      <w:pPr>
        <w:pStyle w:val="Heading3"/>
      </w:pPr>
      <w:r>
        <w:t xml:space="preserve">50.1 The Corridor Settlement at Permanence</w:t>
      </w:r>
    </w:p>
    <w:p>
      <w:pPr>
        <w:pStyle w:val="FirstParagraph"/>
      </w:pPr>
      <w:r>
        <w:t xml:space="preserve">At permanence, the three-corridor system stands as follows, reflecting the operating record and Full Unlock: Iran administers the Northern Coordination Passage and the northern face of the Central Deconfliction Band under the notification-only regime and the service standards of Article 23; Oman administers the Southern Assurance Passage unconditionally, outside every escalator and every share, as the framework’s guarantee that one lane through the strait answers to no notification layer at all; and the Band operates under joint monitoring with the two-of-three concurrence of Article 44.2.</w:t>
      </w:r>
    </w:p>
    <w:bookmarkEnd w:id="297"/>
    <w:bookmarkStart w:id="298" w:name="the-two-way-restoration"/>
    <w:p>
      <w:pPr>
        <w:pStyle w:val="Heading3"/>
      </w:pPr>
      <w:r>
        <w:t xml:space="preserve">50.2 The Two-Way Restoration</w:t>
      </w:r>
    </w:p>
    <w:p>
      <w:pPr>
        <w:pStyle w:val="FirstParagraph"/>
      </w:pPr>
      <w:r>
        <w:t xml:space="preserve">The permanent settlement restores full two-way traffic at pre-war volumes and beyond: inbound through the Northern Coordination Passage, outbound through the Southern Assurance Passage, emergency and special-cargo routing through the Band, and the anchorages serving staging and verification. The settlement records as its baseline the measured throughput of the corridor system at Gate G-4, and the Charter commits the institutions to the capacity plan of Annex K.5 for growth beyond it.</w:t>
      </w:r>
    </w:p>
    <w:bookmarkEnd w:id="298"/>
    <w:bookmarkStart w:id="299" w:name="the-imo-lodgment"/>
    <w:p>
      <w:pPr>
        <w:pStyle w:val="Heading3"/>
      </w:pPr>
      <w:r>
        <w:t xml:space="preserve">50.3 The IMO Lodgment</w:t>
      </w:r>
    </w:p>
    <w:p>
      <w:pPr>
        <w:pStyle w:val="FirstParagraph"/>
      </w:pPr>
      <w:r>
        <w:t xml:space="preserve">Upon conversion, the Council lodges the corridor system’s final geometry with the International Maritime Organization as a revised traffic separation scheme for adoption through the Organization’s procedures, and with the International Hydrographic Organization for chart updating. The lodgment publishes the full coordinate set of Annex A, which the depositary releases from seal automatically upon the Neutral Watch Office Director’s certification of conversion, without further decision.</w:t>
      </w:r>
    </w:p>
    <w:bookmarkEnd w:id="299"/>
    <w:bookmarkStart w:id="300" w:name="the-standing-review"/>
    <w:p>
      <w:pPr>
        <w:pStyle w:val="Heading3"/>
      </w:pPr>
      <w:r>
        <w:t xml:space="preserve">50.4 The Standing Review</w:t>
      </w:r>
    </w:p>
    <w:p>
      <w:pPr>
        <w:pStyle w:val="FirstParagraph"/>
      </w:pPr>
      <w:r>
        <w:t xml:space="preserve">The Charter reviews its own operation every five years through the Stability Audit method of Annex J: measurement against the published metrics, publication of the record, and adjustment of annexes under the amendment rules. The review never reopens the protected core.</w:t>
      </w:r>
    </w:p>
    <w:bookmarkEnd w:id="300"/>
    <w:bookmarkEnd w:id="301"/>
    <w:bookmarkStart w:id="307" w:name="X80967c4312870fc1fd331d6a313817fa5797e94"/>
    <w:p>
      <w:pPr>
        <w:pStyle w:val="Heading2"/>
      </w:pPr>
      <w:r>
        <w:t xml:space="preserve">Article 51: The Wider Settlement Interface</w:t>
      </w:r>
    </w:p>
    <w:bookmarkStart w:id="302" w:name="the-sanctions-relief-schedule"/>
    <w:p>
      <w:pPr>
        <w:pStyle w:val="Heading3"/>
      </w:pPr>
      <w:r>
        <w:t xml:space="preserve">51.1 The Sanctions-Relief Schedule</w:t>
      </w:r>
    </w:p>
    <w:p>
      <w:pPr>
        <w:pStyle w:val="FirstParagraph"/>
      </w:pPr>
      <w:r>
        <w:t xml:space="preserve">The Reciprocity Map of Annex N, Table N.2, states the synchronized schedule binding maritime progress to sanctions relief: the interim authorizations at Layer 3 opening; the standing financial authorizations at Gate G-3; the comprehensive relief package at Gate G-4, covering the revocation of the wartime emergency measures and the restoration of ordinary commercial and financial relations; and the residual-items review at permanence. Each tranche takes effect automatically upon its maritime counterpart’s certification, and no tranche re-imposes upon any ground outside this Accord’s own schedules.</w:t>
      </w:r>
    </w:p>
    <w:bookmarkEnd w:id="302"/>
    <w:bookmarkStart w:id="303" w:name="the-blockade-termination"/>
    <w:p>
      <w:pPr>
        <w:pStyle w:val="Heading3"/>
      </w:pPr>
      <w:r>
        <w:t xml:space="preserve">51.2 The Blockade Termination</w:t>
      </w:r>
    </w:p>
    <w:p>
      <w:pPr>
        <w:pStyle w:val="FirstParagraph"/>
      </w:pPr>
      <w:r>
        <w:t xml:space="preserve">The blockade drawdown of Table N.2 completes at Gate G-2 and the measure terminates permanently at Gate G-4. The termination executes by the same synchronized instrument as the Gate G-4 certificate, and the Reciprocity Ledger records both on the same page.</w:t>
      </w:r>
    </w:p>
    <w:bookmarkEnd w:id="303"/>
    <w:bookmarkStart w:id="304" w:name="force-posture-normalization"/>
    <w:p>
      <w:pPr>
        <w:pStyle w:val="Heading3"/>
      </w:pPr>
      <w:r>
        <w:t xml:space="preserve">51.3 Force Posture Normalization</w:t>
      </w:r>
    </w:p>
    <w:p>
      <w:pPr>
        <w:pStyle w:val="FirstParagraph"/>
      </w:pPr>
      <w:r>
        <w:t xml:space="preserve">The United States regional force posture draws down along the schedule of Table N.3 as each gate certifies, from wartime surge levels toward the pre-2026 steady state, mirrored by the stand-down of Iranian coastal alert postures along the same schedule. The drawdowns proceed in paired steps, each step verified by the Neutral Watch Office from the published record, and each step banking permanently under the Nofade Guarantee.</w:t>
      </w:r>
    </w:p>
    <w:bookmarkEnd w:id="304"/>
    <w:bookmarkStart w:id="305" w:name="the-development-interface"/>
    <w:p>
      <w:pPr>
        <w:pStyle w:val="Heading3"/>
      </w:pPr>
      <w:r>
        <w:t xml:space="preserve">51.4 The Development Interface</w:t>
      </w:r>
    </w:p>
    <w:p>
      <w:pPr>
        <w:pStyle w:val="FirstParagraph"/>
      </w:pPr>
      <w:r>
        <w:t xml:space="preserve">The Reconstruction and Reconciliation Facility of Article 47.3 expands at permanence into the standing development window for the strait’s coastal communities: port safety, spill response capacity, hydrographic capability, and fisheries protection, financed from the Facility’s standing allocations and the voluntary contributions of the littoral states. The window serves the populations that the conflict’s closure of the strait harmed first and most.</w:t>
      </w:r>
    </w:p>
    <w:bookmarkEnd w:id="305"/>
    <w:bookmarkStart w:id="306" w:name="the-nuclear-track-reference"/>
    <w:p>
      <w:pPr>
        <w:pStyle w:val="Heading3"/>
      </w:pPr>
      <w:r>
        <w:t xml:space="preserve">51.5 The Nuclear Track Reference</w:t>
      </w:r>
    </w:p>
    <w:p>
      <w:pPr>
        <w:pStyle w:val="FirstParagraph"/>
      </w:pPr>
      <w:r>
        <w:t xml:space="preserve">The nuclear track proceeds separately under its own instruments. This Charter records only that the maritime settlement stands complete regardless of that track’s pace, and that the firewall of Article 5 binds at permanence exactly as it binds today.</w:t>
      </w:r>
    </w:p>
    <w:bookmarkEnd w:id="306"/>
    <w:bookmarkEnd w:id="307"/>
    <w:bookmarkStart w:id="311" w:name="article-52-the-accession-architecture"/>
    <w:p>
      <w:pPr>
        <w:pStyle w:val="Heading2"/>
      </w:pPr>
      <w:r>
        <w:t xml:space="preserve">Article 52: The Accession Architecture</w:t>
      </w:r>
    </w:p>
    <w:bookmarkStart w:id="308" w:name="open-accession"/>
    <w:p>
      <w:pPr>
        <w:pStyle w:val="Heading3"/>
      </w:pPr>
      <w:r>
        <w:t xml:space="preserve">52.1 Open Accession</w:t>
      </w:r>
    </w:p>
    <w:p>
      <w:pPr>
        <w:pStyle w:val="FirstParagraph"/>
      </w:pPr>
      <w:r>
        <w:t xml:space="preserve">The United Arab Emirates accedes upon deposit of its instrument, taking the MRT-H and logistics roles of Annex H and the services share of Article 38.3. Qatar, Bahrain, Kuwait, Saudi Arabia, and Iraq accede upon deposit of instruments, taking the roles their instruments specify within the contribution framework of Annex H.3.</w:t>
      </w:r>
    </w:p>
    <w:bookmarkEnd w:id="308"/>
    <w:bookmarkStart w:id="309" w:name="effect-of-accession"/>
    <w:p>
      <w:pPr>
        <w:pStyle w:val="Heading3"/>
      </w:pPr>
      <w:r>
        <w:t xml:space="preserve">52.2 Effect of Accession</w:t>
      </w:r>
    </w:p>
    <w:p>
      <w:pPr>
        <w:pStyle w:val="FirstParagraph"/>
      </w:pPr>
      <w:r>
        <w:t xml:space="preserve">An acceding state accepts the Red Lines Register, the corridor system, and the decision rules as they stand; takes its Council seat upon deposit; and contributes per its instrument. Accession never reopens any settled provision.</w:t>
      </w:r>
    </w:p>
    <w:bookmarkEnd w:id="309"/>
    <w:bookmarkStart w:id="310" w:name="observer-participants"/>
    <w:p>
      <w:pPr>
        <w:pStyle w:val="Heading3"/>
      </w:pPr>
      <w:r>
        <w:t xml:space="preserve">52.3 Observer Participants</w:t>
      </w:r>
    </w:p>
    <w:p>
      <w:pPr>
        <w:pStyle w:val="FirstParagraph"/>
      </w:pPr>
      <w:r>
        <w:t xml:space="preserve">User states and organizations (the International Maritime Organization, the International Hydrographic Organization, and the major user states of Asia and Europe) hold observer participation: the full public record, a recorded consultative voice in the Council, and the liaison channels of Annex C. Observers hold no vote and no operational role.</w:t>
      </w:r>
    </w:p>
    <w:bookmarkEnd w:id="310"/>
    <w:bookmarkEnd w:id="311"/>
    <w:bookmarkStart w:id="316" w:name="Xc6a4c6621ea55b95fd923800606e1a3ae0d957a"/>
    <w:p>
      <w:pPr>
        <w:pStyle w:val="Heading2"/>
      </w:pPr>
      <w:r>
        <w:t xml:space="preserve">Article 53: Amendment, Protected Core, and Review</w:t>
      </w:r>
    </w:p>
    <w:bookmarkStart w:id="312" w:name="annex-amendment"/>
    <w:p>
      <w:pPr>
        <w:pStyle w:val="Heading3"/>
      </w:pPr>
      <w:r>
        <w:t xml:space="preserve">53.1 Annex Amendment</w:t>
      </w:r>
    </w:p>
    <w:p>
      <w:pPr>
        <w:pStyle w:val="FirstParagraph"/>
      </w:pPr>
      <w:r>
        <w:t xml:space="preserve">The Council amends any annex under Consensus Minus One upon 30 days’ public notice of the text, except as Article 53.3 protects.</w:t>
      </w:r>
    </w:p>
    <w:bookmarkEnd w:id="312"/>
    <w:bookmarkStart w:id="313" w:name="body-amendment"/>
    <w:p>
      <w:pPr>
        <w:pStyle w:val="Heading3"/>
      </w:pPr>
      <w:r>
        <w:t xml:space="preserve">53.2 Body Amendment</w:t>
      </w:r>
    </w:p>
    <w:p>
      <w:pPr>
        <w:pStyle w:val="FirstParagraph"/>
      </w:pPr>
      <w:r>
        <w:t xml:space="preserve">The Parties amend the Charter body by instruments of acceptance of every Principal Party and every Guarantor Party, upon the Council’s recommendation under Consensus Minus One and 60 days’ public notice.</w:t>
      </w:r>
    </w:p>
    <w:bookmarkEnd w:id="313"/>
    <w:bookmarkStart w:id="314" w:name="the-protected-core"/>
    <w:p>
      <w:pPr>
        <w:pStyle w:val="Heading3"/>
      </w:pPr>
      <w:r>
        <w:t xml:space="preserve">53.3 The Protected Core</w:t>
      </w:r>
    </w:p>
    <w:p>
      <w:pPr>
        <w:pStyle w:val="FirstParagraph"/>
      </w:pPr>
      <w:r>
        <w:t xml:space="preserve">The following amend only by unanimity of the Principal Parties and the Guarantor Parties: the Red Lines Register; the Zero-Toll Rule; the Non-Interdiction Protocol; the Nuclear Firewall; the Nofade Guarantee; the humanitarian absolute; the distress-priority rule; the Permanent Floor; and this Article. The protected core is the Charter’s load-bearing wall; everything else evolves.</w:t>
      </w:r>
    </w:p>
    <w:bookmarkEnd w:id="314"/>
    <w:bookmarkStart w:id="315" w:name="the-complexity-audit"/>
    <w:p>
      <w:pPr>
        <w:pStyle w:val="Heading3"/>
      </w:pPr>
      <w:r>
        <w:t xml:space="preserve">53.4 The Complexity Audit</w:t>
      </w:r>
    </w:p>
    <w:p>
      <w:pPr>
        <w:pStyle w:val="FirstParagraph"/>
      </w:pPr>
      <w:r>
        <w:t xml:space="preserve">Every amendment passes the complexity audit of the drafting convention: the Six-Step Rule, the One-Page Principle, and the present-tense discipline. An amendment that fails the audit returns for redrafting. The framework stays simple enough to operate at 03:00 on a bridge wing.</w:t>
      </w:r>
    </w:p>
    <w:bookmarkEnd w:id="315"/>
    <w:bookmarkEnd w:id="316"/>
    <w:bookmarkStart w:id="321" w:name="X5058562426b90f2b91eb6a767f4db48ad901817"/>
    <w:p>
      <w:pPr>
        <w:pStyle w:val="Heading2"/>
      </w:pPr>
      <w:r>
        <w:t xml:space="preserve">Article 54: Duration, Dormancy, Withdrawal, and Reconstitution</w:t>
      </w:r>
    </w:p>
    <w:bookmarkStart w:id="317" w:name="duration"/>
    <w:p>
      <w:pPr>
        <w:pStyle w:val="Heading3"/>
      </w:pPr>
      <w:r>
        <w:t xml:space="preserve">54.1 Duration</w:t>
      </w:r>
    </w:p>
    <w:p>
      <w:pPr>
        <w:pStyle w:val="FirstParagraph"/>
      </w:pPr>
      <w:r>
        <w:t xml:space="preserve">The Charter stands without sunset.</w:t>
      </w:r>
    </w:p>
    <w:bookmarkEnd w:id="317"/>
    <w:bookmarkStart w:id="318" w:name="withdrawal"/>
    <w:p>
      <w:pPr>
        <w:pStyle w:val="Heading3"/>
      </w:pPr>
      <w:r>
        <w:t xml:space="preserve">54.2 Withdrawal</w:t>
      </w:r>
    </w:p>
    <w:p>
      <w:pPr>
        <w:pStyle w:val="FirstParagraph"/>
      </w:pPr>
      <w:r>
        <w:t xml:space="preserve">A Party withdraws upon 180 days’ notice to the depositary. Withdrawal dissolves no certification, no share, no floor, and no corridor rule, which continue for all remaining Parties; and the withdrawing Party’s attainments bank for it under the Nofade Guarantee against any future re-accession.</w:t>
      </w:r>
    </w:p>
    <w:bookmarkEnd w:id="318"/>
    <w:bookmarkStart w:id="319" w:name="dormancy-and-reconstitution-1"/>
    <w:p>
      <w:pPr>
        <w:pStyle w:val="Heading3"/>
      </w:pPr>
      <w:r>
        <w:t xml:space="preserve">54.3 Dormancy and Reconstitution</w:t>
      </w:r>
    </w:p>
    <w:p>
      <w:pPr>
        <w:pStyle w:val="FirstParagraph"/>
      </w:pPr>
      <w:r>
        <w:t xml:space="preserve">Article 6.3’s dormancy and reconstitution rules bind the Charter exactly as they bound the Accord: the framework reconstitutes in its entirety upon any two Principal Parties filing reactivation instruments, resuming from the last certified position.</w:t>
      </w:r>
    </w:p>
    <w:bookmarkEnd w:id="319"/>
    <w:bookmarkStart w:id="320" w:name="succession-of-the-interim-instruments"/>
    <w:p>
      <w:pPr>
        <w:pStyle w:val="Heading3"/>
      </w:pPr>
      <w:r>
        <w:t xml:space="preserve">54.4 Succession of the Interim Instruments</w:t>
      </w:r>
    </w:p>
    <w:p>
      <w:pPr>
        <w:pStyle w:val="FirstParagraph"/>
      </w:pPr>
      <w:r>
        <w:t xml:space="preserve">Upon the Charter’s entry into force, the interim instruments of the 2026 settlement (the memorandum’s maritime provisions, the coastal states’ interim route understanding, and every wartime routing measure) stand succeeded by this Charter, which the depositary records in the instrument register.</w:t>
      </w:r>
    </w:p>
    <w:bookmarkEnd w:id="320"/>
    <w:bookmarkEnd w:id="321"/>
    <w:bookmarkStart w:id="325" w:name="X442557fe7d96b42a8446ad6bbee2362fdbd92ca"/>
    <w:p>
      <w:pPr>
        <w:pStyle w:val="Heading2"/>
      </w:pPr>
      <w:r>
        <w:t xml:space="preserve">Article 55: Depositary, Languages, and Entry into Force</w:t>
      </w:r>
    </w:p>
    <w:bookmarkStart w:id="322" w:name="the-depositary"/>
    <w:p>
      <w:pPr>
        <w:pStyle w:val="Heading3"/>
      </w:pPr>
      <w:r>
        <w:t xml:space="preserve">55.1 The Depositary</w:t>
      </w:r>
    </w:p>
    <w:p>
      <w:pPr>
        <w:pStyle w:val="FirstParagraph"/>
      </w:pPr>
      <w:r>
        <w:t xml:space="preserve">The Swiss Confederation serves as depositary and Neutral Administrator: it holds the instruments, the registers, the sealed coordinate set, and the permanent archive; it operates the Escrow and the Fund; and it certifies the record to every Party identically.</w:t>
      </w:r>
    </w:p>
    <w:bookmarkEnd w:id="322"/>
    <w:bookmarkStart w:id="323" w:name="languages"/>
    <w:p>
      <w:pPr>
        <w:pStyle w:val="Heading3"/>
      </w:pPr>
      <w:r>
        <w:t xml:space="preserve">55.2 Languages</w:t>
      </w:r>
    </w:p>
    <w:p>
      <w:pPr>
        <w:pStyle w:val="FirstParagraph"/>
      </w:pPr>
      <w:r>
        <w:t xml:space="preserve">The Charter’s authentic texts are English, Arabic, and Farsi, equally authoritative, with the English text prevailing for the technical annexes. The Language Reconciliation Protocol of Annex M.4 resolves divergences.</w:t>
      </w:r>
    </w:p>
    <w:bookmarkEnd w:id="323"/>
    <w:bookmarkStart w:id="324" w:name="entry-into-force-of-this-accord"/>
    <w:p>
      <w:pPr>
        <w:pStyle w:val="Heading3"/>
      </w:pPr>
      <w:r>
        <w:t xml:space="preserve">55.3 Entry into Force of This Accord</w:t>
      </w:r>
    </w:p>
    <w:p>
      <w:pPr>
        <w:pStyle w:val="FirstParagraph"/>
      </w:pPr>
      <w:r>
        <w:t xml:space="preserve">This Accord enters into force at 00:00 UTC on the seventh day after the depositary receives instruments of acceptance from both Principal Parties and from the Guarantor Parties, and Layer 0 opens at that hour under Article 7.5.</w:t>
      </w:r>
    </w:p>
    <w:bookmarkEnd w:id="324"/>
    <w:bookmarkEnd w:id="325"/>
    <w:bookmarkEnd w:id="326"/>
    <w:bookmarkStart w:id="327" w:name="the-closing-principle"/>
    <w:p>
      <w:pPr>
        <w:pStyle w:val="Heading1"/>
      </w:pPr>
      <w:r>
        <w:t xml:space="preserve">The Closing Principle</w:t>
      </w:r>
    </w:p>
    <w:p>
      <w:pPr>
        <w:pStyle w:val="FirstParagraph"/>
      </w:pPr>
      <w:r>
        <w:t xml:space="preserve">Success is boredom. This Accord succeeds on the day the strait’s operation becomes routine: when a master in the Gulf of Oman reads a bulletin that never surprises, when a watch floor logs a night in which nothing happened, when a teenager in Bandar Abbas and a teenager in Khasab inherit a waterway whose governance their grandparents built from fifty tiny exercises and never had to fight over again. The architecture asks no one to trust, no one to concede, and no one to move first. It asks everyone to measure, and it banks every measurement forever. Gradual peace endures because it never demanded a leap.</w:t>
      </w:r>
    </w:p>
    <w:bookmarkEnd w:id="327"/>
    <w:bookmarkStart w:id="328" w:name="signature-and-deposit"/>
    <w:p>
      <w:pPr>
        <w:pStyle w:val="Heading1"/>
      </w:pPr>
      <w:r>
        <w:t xml:space="preserve">Signature and Deposit</w:t>
      </w:r>
    </w:p>
    <w:p>
      <w:pPr>
        <w:pStyle w:val="FirstParagraph"/>
      </w:pPr>
      <w:r>
        <w:t xml:space="preserve">Done at Muscat, in the English, Arabic, and Farsi languages.</w:t>
      </w:r>
    </w:p>
    <w:p>
      <w:pPr>
        <w:pStyle w:val="BodyText"/>
      </w:pPr>
      <w:r>
        <w:t xml:space="preserve">For the Islamic Republic of Iran: ______________</w:t>
      </w:r>
    </w:p>
    <w:p>
      <w:pPr>
        <w:pStyle w:val="BodyText"/>
      </w:pPr>
      <w:r>
        <w:t xml:space="preserve">For the Sultanate of Oman: ______________</w:t>
      </w:r>
    </w:p>
    <w:p>
      <w:pPr>
        <w:pStyle w:val="BodyText"/>
      </w:pPr>
      <w:r>
        <w:t xml:space="preserve">For the United States of America (Guarantor Party): ______________</w:t>
      </w:r>
    </w:p>
    <w:p>
      <w:pPr>
        <w:pStyle w:val="BodyText"/>
      </w:pPr>
      <w:r>
        <w:t xml:space="preserve">For the State of Qatar (Guarantor Party): ______________</w:t>
      </w:r>
    </w:p>
    <w:p>
      <w:pPr>
        <w:pStyle w:val="BodyText"/>
      </w:pPr>
      <w:r>
        <w:t xml:space="preserve">For the Islamic Republic of Pakistan (Guarantor Party): ______________</w:t>
      </w:r>
    </w:p>
    <w:p>
      <w:pPr>
        <w:pStyle w:val="BodyText"/>
      </w:pPr>
      <w:r>
        <w:t xml:space="preserve">Deposited with the Swiss Confederation, Depositary and Neutral Administrator.</w:t>
      </w:r>
    </w:p>
    <w:bookmarkEnd w:id="328"/>
    <w:bookmarkStart w:id="339" w:name="Xf2926fa6c72c0986bce02d8d124778546a38534"/>
    <w:p>
      <w:pPr>
        <w:pStyle w:val="Heading1"/>
      </w:pPr>
      <w:r>
        <w:t xml:space="preserve">ANNEX A: CORRIDOR COORDINATES AND GEOMETRY REGISTRY</w:t>
      </w:r>
    </w:p>
    <w:bookmarkStart w:id="329" w:name="X4709c04dc665fb6bc210b3af950d60618121099"/>
    <w:p>
      <w:pPr>
        <w:pStyle w:val="Heading2"/>
      </w:pPr>
      <w:r>
        <w:t xml:space="preserve">A.1 Table A.1: The Governance Area Polygon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OA-1</w:t>
            </w:r>
          </w:p>
        </w:tc>
        <w:tc>
          <w:tcPr/>
          <w:p>
            <w:pPr>
              <w:pStyle w:val="Compact"/>
              <w:jc w:val="left"/>
            </w:pPr>
            <w:r>
              <w:t xml:space="preserve">26° 55.0′ N</w:t>
            </w:r>
          </w:p>
        </w:tc>
        <w:tc>
          <w:tcPr/>
          <w:p>
            <w:pPr>
              <w:pStyle w:val="Compact"/>
              <w:jc w:val="left"/>
            </w:pPr>
            <w:r>
              <w:t xml:space="preserve">055° 55.0′ E</w:t>
            </w:r>
          </w:p>
        </w:tc>
        <w:tc>
          <w:tcPr/>
          <w:p>
            <w:pPr>
              <w:pStyle w:val="Compact"/>
              <w:jc w:val="left"/>
            </w:pPr>
            <w:r>
              <w:t xml:space="preserve">Northwest corner, inner Gulf approach</w:t>
            </w:r>
          </w:p>
        </w:tc>
      </w:tr>
      <w:tr>
        <w:tc>
          <w:tcPr/>
          <w:p>
            <w:pPr>
              <w:pStyle w:val="Compact"/>
              <w:jc w:val="left"/>
            </w:pPr>
            <w:r>
              <w:t xml:space="preserve">OA-2</w:t>
            </w:r>
          </w:p>
        </w:tc>
        <w:tc>
          <w:tcPr/>
          <w:p>
            <w:pPr>
              <w:pStyle w:val="Compact"/>
              <w:jc w:val="left"/>
            </w:pPr>
            <w:r>
              <w:t xml:space="preserve">26° 58.0′ N</w:t>
            </w:r>
          </w:p>
        </w:tc>
        <w:tc>
          <w:tcPr/>
          <w:p>
            <w:pPr>
              <w:pStyle w:val="Compact"/>
              <w:jc w:val="left"/>
            </w:pPr>
            <w:r>
              <w:t xml:space="preserve">056° 40.0′ E</w:t>
            </w:r>
          </w:p>
        </w:tc>
        <w:tc>
          <w:tcPr/>
          <w:p>
            <w:pPr>
              <w:pStyle w:val="Compact"/>
              <w:jc w:val="left"/>
            </w:pPr>
            <w:r>
              <w:t xml:space="preserve">North boundary, off the Iranian coast</w:t>
            </w:r>
          </w:p>
        </w:tc>
      </w:tr>
      <w:tr>
        <w:tc>
          <w:tcPr/>
          <w:p>
            <w:pPr>
              <w:pStyle w:val="Compact"/>
              <w:jc w:val="left"/>
            </w:pPr>
            <w:r>
              <w:t xml:space="preserve">OA-3</w:t>
            </w:r>
          </w:p>
        </w:tc>
        <w:tc>
          <w:tcPr/>
          <w:p>
            <w:pPr>
              <w:pStyle w:val="Compact"/>
              <w:jc w:val="left"/>
            </w:pPr>
            <w:r>
              <w:t xml:space="preserve">26° 50.0′ N</w:t>
            </w:r>
          </w:p>
        </w:tc>
        <w:tc>
          <w:tcPr/>
          <w:p>
            <w:pPr>
              <w:pStyle w:val="Compact"/>
              <w:jc w:val="left"/>
            </w:pPr>
            <w:r>
              <w:t xml:space="preserve">057° 25.0′ E</w:t>
            </w:r>
          </w:p>
        </w:tc>
        <w:tc>
          <w:tcPr/>
          <w:p>
            <w:pPr>
              <w:pStyle w:val="Compact"/>
              <w:jc w:val="left"/>
            </w:pPr>
            <w:r>
              <w:t xml:space="preserve">Northeast corner, Gulf of Oman approach</w:t>
            </w:r>
          </w:p>
        </w:tc>
      </w:tr>
      <w:tr>
        <w:tc>
          <w:tcPr/>
          <w:p>
            <w:pPr>
              <w:pStyle w:val="Compact"/>
              <w:jc w:val="left"/>
            </w:pPr>
            <w:r>
              <w:t xml:space="preserve">OA-4</w:t>
            </w:r>
          </w:p>
        </w:tc>
        <w:tc>
          <w:tcPr/>
          <w:p>
            <w:pPr>
              <w:pStyle w:val="Compact"/>
              <w:jc w:val="left"/>
            </w:pPr>
            <w:r>
              <w:t xml:space="preserve">26° 10.0′ N</w:t>
            </w:r>
          </w:p>
        </w:tc>
        <w:tc>
          <w:tcPr/>
          <w:p>
            <w:pPr>
              <w:pStyle w:val="Compact"/>
              <w:jc w:val="left"/>
            </w:pPr>
            <w:r>
              <w:t xml:space="preserve">057° 30.0′ E</w:t>
            </w:r>
          </w:p>
        </w:tc>
        <w:tc>
          <w:tcPr/>
          <w:p>
            <w:pPr>
              <w:pStyle w:val="Compact"/>
              <w:jc w:val="left"/>
            </w:pPr>
            <w:r>
              <w:t xml:space="preserve">Southeast corner, Gulf of Oman approach</w:t>
            </w:r>
          </w:p>
        </w:tc>
      </w:tr>
      <w:tr>
        <w:tc>
          <w:tcPr/>
          <w:p>
            <w:pPr>
              <w:pStyle w:val="Compact"/>
              <w:jc w:val="left"/>
            </w:pPr>
            <w:r>
              <w:t xml:space="preserve">OA-5</w:t>
            </w:r>
          </w:p>
        </w:tc>
        <w:tc>
          <w:tcPr/>
          <w:p>
            <w:pPr>
              <w:pStyle w:val="Compact"/>
              <w:jc w:val="left"/>
            </w:pPr>
            <w:r>
              <w:t xml:space="preserve">26° 08.0′ N</w:t>
            </w:r>
          </w:p>
        </w:tc>
        <w:tc>
          <w:tcPr/>
          <w:p>
            <w:pPr>
              <w:pStyle w:val="Compact"/>
              <w:jc w:val="left"/>
            </w:pPr>
            <w:r>
              <w:t xml:space="preserve">056° 40.0′ E</w:t>
            </w:r>
          </w:p>
        </w:tc>
        <w:tc>
          <w:tcPr/>
          <w:p>
            <w:pPr>
              <w:pStyle w:val="Compact"/>
              <w:jc w:val="left"/>
            </w:pPr>
            <w:r>
              <w:t xml:space="preserve">South boundary, off the Musandam coast</w:t>
            </w:r>
          </w:p>
        </w:tc>
      </w:tr>
      <w:tr>
        <w:tc>
          <w:tcPr/>
          <w:p>
            <w:pPr>
              <w:pStyle w:val="Compact"/>
              <w:jc w:val="left"/>
            </w:pPr>
            <w:r>
              <w:t xml:space="preserve">OA-6</w:t>
            </w:r>
          </w:p>
        </w:tc>
        <w:tc>
          <w:tcPr/>
          <w:p>
            <w:pPr>
              <w:pStyle w:val="Compact"/>
              <w:jc w:val="left"/>
            </w:pPr>
            <w:r>
              <w:t xml:space="preserve">26° 15.0′ N</w:t>
            </w:r>
          </w:p>
        </w:tc>
        <w:tc>
          <w:tcPr/>
          <w:p>
            <w:pPr>
              <w:pStyle w:val="Compact"/>
              <w:jc w:val="left"/>
            </w:pPr>
            <w:r>
              <w:t xml:space="preserve">055° 58.0′ E</w:t>
            </w:r>
          </w:p>
        </w:tc>
        <w:tc>
          <w:tcPr/>
          <w:p>
            <w:pPr>
              <w:pStyle w:val="Compact"/>
              <w:jc w:val="left"/>
            </w:pPr>
            <w:r>
              <w:t xml:space="preserve">Southwest corner, inner Gulf approach</w:t>
            </w:r>
          </w:p>
        </w:tc>
      </w:tr>
    </w:tbl>
    <w:p>
      <w:pPr>
        <w:pStyle w:val="BodyText"/>
      </w:pPr>
      <w:r>
        <w:t xml:space="preserve">The boundary closes from OA-6 to OA-1. All coordinates reference WGS-84.</w:t>
      </w:r>
    </w:p>
    <w:bookmarkEnd w:id="329"/>
    <w:bookmarkStart w:id="330" w:name="X09503db6fc29c57a0190d1b654052aaf07670c7"/>
    <w:p>
      <w:pPr>
        <w:pStyle w:val="Heading2"/>
      </w:pPr>
      <w:r>
        <w:t xml:space="preserve">A.2 Table A.2: Reference Baseline (Historic Traffic Separation Scheme)</w:t>
      </w:r>
    </w:p>
    <w:p>
      <w:pPr>
        <w:pStyle w:val="FirstParagraph"/>
      </w:pPr>
      <w:r>
        <w:t xml:space="preserve">The pre-2026 traffic separation scheme, retained as reference baseline: two lanes of 2.0 nautical miles width each, separated by a median of 2.0 nautical miles, lying within Omani territorial waters off the northern Musandam Peninsula, with the 1979 inshore traffic zone along the Musandam coast. The baseline records for legal continuity and residual-risk comparison; Article 2.7 governs its status.</w:t>
      </w:r>
    </w:p>
    <w:bookmarkEnd w:id="330"/>
    <w:bookmarkStart w:id="331" w:name="X8c70932d3a0f64746f621b070f07a00303a1f36"/>
    <w:p>
      <w:pPr>
        <w:pStyle w:val="Heading2"/>
      </w:pPr>
      <w:r>
        <w:t xml:space="preserve">A.3 Table A.3: The Southern Assurance Passage (Outbound)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SAP-A</w:t>
            </w:r>
          </w:p>
        </w:tc>
        <w:tc>
          <w:tcPr/>
          <w:p>
            <w:pPr>
              <w:pStyle w:val="Compact"/>
              <w:jc w:val="left"/>
            </w:pPr>
            <w:r>
              <w:t xml:space="preserve">26° 29.0′ N</w:t>
            </w:r>
          </w:p>
        </w:tc>
        <w:tc>
          <w:tcPr/>
          <w:p>
            <w:pPr>
              <w:pStyle w:val="Compact"/>
              <w:jc w:val="left"/>
            </w:pPr>
            <w:r>
              <w:t xml:space="preserve">056° 05.0′ E</w:t>
            </w:r>
          </w:p>
        </w:tc>
        <w:tc>
          <w:tcPr/>
          <w:p>
            <w:pPr>
              <w:pStyle w:val="Compact"/>
              <w:jc w:val="left"/>
            </w:pPr>
            <w:r>
              <w:t xml:space="preserve">Western entry, Gulf side</w:t>
            </w:r>
          </w:p>
        </w:tc>
      </w:tr>
      <w:tr>
        <w:tc>
          <w:tcPr/>
          <w:p>
            <w:pPr>
              <w:pStyle w:val="Compact"/>
              <w:jc w:val="left"/>
            </w:pPr>
            <w:r>
              <w:t xml:space="preserve">SAP-B</w:t>
            </w:r>
          </w:p>
        </w:tc>
        <w:tc>
          <w:tcPr/>
          <w:p>
            <w:pPr>
              <w:pStyle w:val="Compact"/>
              <w:jc w:val="left"/>
            </w:pPr>
            <w:r>
              <w:t xml:space="preserve">26° 27.0′ N</w:t>
            </w:r>
          </w:p>
        </w:tc>
        <w:tc>
          <w:tcPr/>
          <w:p>
            <w:pPr>
              <w:pStyle w:val="Compact"/>
              <w:jc w:val="left"/>
            </w:pPr>
            <w:r>
              <w:t xml:space="preserve">056° 28.0′ E</w:t>
            </w:r>
          </w:p>
        </w:tc>
        <w:tc>
          <w:tcPr/>
          <w:p>
            <w:pPr>
              <w:pStyle w:val="Compact"/>
              <w:jc w:val="left"/>
            </w:pPr>
            <w:r>
              <w:t xml:space="preserve">Mid-west reach</w:t>
            </w:r>
          </w:p>
        </w:tc>
      </w:tr>
      <w:tr>
        <w:tc>
          <w:tcPr/>
          <w:p>
            <w:pPr>
              <w:pStyle w:val="Compact"/>
              <w:jc w:val="left"/>
            </w:pPr>
            <w:r>
              <w:t xml:space="preserve">SAP-C</w:t>
            </w:r>
          </w:p>
        </w:tc>
        <w:tc>
          <w:tcPr/>
          <w:p>
            <w:pPr>
              <w:pStyle w:val="Compact"/>
              <w:jc w:val="left"/>
            </w:pPr>
            <w:r>
              <w:t xml:space="preserve">26° 26.5′ N</w:t>
            </w:r>
          </w:p>
        </w:tc>
        <w:tc>
          <w:tcPr/>
          <w:p>
            <w:pPr>
              <w:pStyle w:val="Compact"/>
              <w:jc w:val="left"/>
            </w:pPr>
            <w:r>
              <w:t xml:space="preserve">056° 45.0′ E</w:t>
            </w:r>
          </w:p>
        </w:tc>
        <w:tc>
          <w:tcPr/>
          <w:p>
            <w:pPr>
              <w:pStyle w:val="Compact"/>
              <w:jc w:val="left"/>
            </w:pPr>
            <w:r>
              <w:t xml:space="preserve">North of the Musandam headland</w:t>
            </w:r>
          </w:p>
        </w:tc>
      </w:tr>
      <w:tr>
        <w:tc>
          <w:tcPr/>
          <w:p>
            <w:pPr>
              <w:pStyle w:val="Compact"/>
              <w:jc w:val="left"/>
            </w:pPr>
            <w:r>
              <w:t xml:space="preserve">SAP-D</w:t>
            </w:r>
          </w:p>
        </w:tc>
        <w:tc>
          <w:tcPr/>
          <w:p>
            <w:pPr>
              <w:pStyle w:val="Compact"/>
              <w:jc w:val="left"/>
            </w:pPr>
            <w:r>
              <w:t xml:space="preserve">26° 24.0′ N</w:t>
            </w:r>
          </w:p>
        </w:tc>
        <w:tc>
          <w:tcPr/>
          <w:p>
            <w:pPr>
              <w:pStyle w:val="Compact"/>
              <w:jc w:val="left"/>
            </w:pPr>
            <w:r>
              <w:t xml:space="preserve">057° 05.0′ E</w:t>
            </w:r>
          </w:p>
        </w:tc>
        <w:tc>
          <w:tcPr/>
          <w:p>
            <w:pPr>
              <w:pStyle w:val="Compact"/>
              <w:jc w:val="left"/>
            </w:pPr>
            <w:r>
              <w:t xml:space="preserve">Eastern reach</w:t>
            </w:r>
          </w:p>
        </w:tc>
      </w:tr>
      <w:tr>
        <w:tc>
          <w:tcPr/>
          <w:p>
            <w:pPr>
              <w:pStyle w:val="Compact"/>
              <w:jc w:val="left"/>
            </w:pPr>
            <w:r>
              <w:t xml:space="preserve">SAP-E</w:t>
            </w:r>
          </w:p>
        </w:tc>
        <w:tc>
          <w:tcPr/>
          <w:p>
            <w:pPr>
              <w:pStyle w:val="Compact"/>
              <w:jc w:val="left"/>
            </w:pPr>
            <w:r>
              <w:t xml:space="preserve">26° 27.5′ N</w:t>
            </w:r>
          </w:p>
        </w:tc>
        <w:tc>
          <w:tcPr/>
          <w:p>
            <w:pPr>
              <w:pStyle w:val="Compact"/>
              <w:jc w:val="left"/>
            </w:pPr>
            <w:r>
              <w:t xml:space="preserve">057° 22.0′ E</w:t>
            </w:r>
          </w:p>
        </w:tc>
        <w:tc>
          <w:tcPr/>
          <w:p>
            <w:pPr>
              <w:pStyle w:val="Compact"/>
              <w:jc w:val="left"/>
            </w:pPr>
            <w:r>
              <w:t xml:space="preserve">Eastern exit to the Gulf of Oman</w:t>
            </w:r>
          </w:p>
        </w:tc>
      </w:tr>
    </w:tbl>
    <w:p>
      <w:pPr>
        <w:pStyle w:val="BodyText"/>
      </w:pPr>
      <w:r>
        <w:t xml:space="preserve">The Passage extends from the line joining SAP-A to point 26° 22.0′ N 056° 05.0′ E in the west, to the line joining SAP-E to 26° 21.0′ N 057° 22.0′ E in the east. Its northern boundary follows the southern face of the Central Deconfliction Band; its width is 2.0 nautical miles centered on the line joining the table points.</w:t>
      </w:r>
    </w:p>
    <w:bookmarkEnd w:id="331"/>
    <w:bookmarkStart w:id="332" w:name="Xdc7021e1c9f143f07b505ef27366d68888b8e68"/>
    <w:p>
      <w:pPr>
        <w:pStyle w:val="Heading2"/>
      </w:pPr>
      <w:r>
        <w:t xml:space="preserve">A.4 Table A.4: The Northern Coordination Passage (Inbound)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c>
          <w:tcPr/>
          <w:p>
            <w:pPr>
              <w:pStyle w:val="Compact"/>
              <w:jc w:val="left"/>
            </w:pPr>
            <w:r>
              <w:t xml:space="preserve">Description</w:t>
            </w:r>
          </w:p>
        </w:tc>
      </w:tr>
      <w:tr>
        <w:tc>
          <w:tcPr/>
          <w:p>
            <w:pPr>
              <w:pStyle w:val="Compact"/>
              <w:jc w:val="left"/>
            </w:pPr>
            <w:r>
              <w:t xml:space="preserve">NCP-A</w:t>
            </w:r>
          </w:p>
        </w:tc>
        <w:tc>
          <w:tcPr/>
          <w:p>
            <w:pPr>
              <w:pStyle w:val="Compact"/>
              <w:jc w:val="left"/>
            </w:pPr>
            <w:r>
              <w:t xml:space="preserve">26° 40.0′ N</w:t>
            </w:r>
          </w:p>
        </w:tc>
        <w:tc>
          <w:tcPr/>
          <w:p>
            <w:pPr>
              <w:pStyle w:val="Compact"/>
              <w:jc w:val="left"/>
            </w:pPr>
            <w:r>
              <w:t xml:space="preserve">056° 06.0′ E</w:t>
            </w:r>
          </w:p>
        </w:tc>
        <w:tc>
          <w:tcPr/>
          <w:p>
            <w:pPr>
              <w:pStyle w:val="Compact"/>
              <w:jc w:val="left"/>
            </w:pPr>
            <w:r>
              <w:t xml:space="preserve">Western entry, Gulf side</w:t>
            </w:r>
          </w:p>
        </w:tc>
      </w:tr>
      <w:tr>
        <w:tc>
          <w:tcPr/>
          <w:p>
            <w:pPr>
              <w:pStyle w:val="Compact"/>
              <w:jc w:val="left"/>
            </w:pPr>
            <w:r>
              <w:t xml:space="preserve">NCP-B</w:t>
            </w:r>
          </w:p>
        </w:tc>
        <w:tc>
          <w:tcPr/>
          <w:p>
            <w:pPr>
              <w:pStyle w:val="Compact"/>
              <w:jc w:val="left"/>
            </w:pPr>
            <w:r>
              <w:t xml:space="preserve">26° 37.5′ N</w:t>
            </w:r>
          </w:p>
        </w:tc>
        <w:tc>
          <w:tcPr/>
          <w:p>
            <w:pPr>
              <w:pStyle w:val="Compact"/>
              <w:jc w:val="left"/>
            </w:pPr>
            <w:r>
              <w:t xml:space="preserve">056° 30.0′ E</w:t>
            </w:r>
          </w:p>
        </w:tc>
        <w:tc>
          <w:tcPr/>
          <w:p>
            <w:pPr>
              <w:pStyle w:val="Compact"/>
              <w:jc w:val="left"/>
            </w:pPr>
            <w:r>
              <w:t xml:space="preserve">South of Larak Island</w:t>
            </w:r>
          </w:p>
        </w:tc>
      </w:tr>
      <w:tr>
        <w:tc>
          <w:tcPr/>
          <w:p>
            <w:pPr>
              <w:pStyle w:val="Compact"/>
              <w:jc w:val="left"/>
            </w:pPr>
            <w:r>
              <w:t xml:space="preserve">NCP-C</w:t>
            </w:r>
          </w:p>
        </w:tc>
        <w:tc>
          <w:tcPr/>
          <w:p>
            <w:pPr>
              <w:pStyle w:val="Compact"/>
              <w:jc w:val="left"/>
            </w:pPr>
            <w:r>
              <w:t xml:space="preserve">26° 35.0′ N</w:t>
            </w:r>
          </w:p>
        </w:tc>
        <w:tc>
          <w:tcPr/>
          <w:p>
            <w:pPr>
              <w:pStyle w:val="Compact"/>
              <w:jc w:val="left"/>
            </w:pPr>
            <w:r>
              <w:t xml:space="preserve">056° 58.0′ E</w:t>
            </w:r>
          </w:p>
        </w:tc>
        <w:tc>
          <w:tcPr/>
          <w:p>
            <w:pPr>
              <w:pStyle w:val="Compact"/>
              <w:jc w:val="left"/>
            </w:pPr>
            <w:r>
              <w:t xml:space="preserve">Mid reach, off Qeshm</w:t>
            </w:r>
          </w:p>
        </w:tc>
      </w:tr>
      <w:tr>
        <w:tc>
          <w:tcPr/>
          <w:p>
            <w:pPr>
              <w:pStyle w:val="Compact"/>
              <w:jc w:val="left"/>
            </w:pPr>
            <w:r>
              <w:t xml:space="preserve">NCP-D</w:t>
            </w:r>
          </w:p>
        </w:tc>
        <w:tc>
          <w:tcPr/>
          <w:p>
            <w:pPr>
              <w:pStyle w:val="Compact"/>
              <w:jc w:val="left"/>
            </w:pPr>
            <w:r>
              <w:t xml:space="preserve">26° 37.0′ N</w:t>
            </w:r>
          </w:p>
        </w:tc>
        <w:tc>
          <w:tcPr/>
          <w:p>
            <w:pPr>
              <w:pStyle w:val="Compact"/>
              <w:jc w:val="left"/>
            </w:pPr>
            <w:r>
              <w:t xml:space="preserve">057° 20.0′ E</w:t>
            </w:r>
          </w:p>
        </w:tc>
        <w:tc>
          <w:tcPr/>
          <w:p>
            <w:pPr>
              <w:pStyle w:val="Compact"/>
              <w:jc w:val="left"/>
            </w:pPr>
            <w:r>
              <w:t xml:space="preserve">Eastern exit to the Gulf of Oman</w:t>
            </w:r>
          </w:p>
        </w:tc>
      </w:tr>
    </w:tbl>
    <w:p>
      <w:pPr>
        <w:pStyle w:val="BodyText"/>
      </w:pPr>
      <w:r>
        <w:t xml:space="preserve">The Passage extends from the line joining NCP-A to point 26° 47.0′ N 056° 06.0′ E in the west, to the line joining NCP-D to 26° 44.0′ N 057° 20.0′ E in the east. Its southern boundary follows the northern face of the Central Deconfliction Band; its width is 2.0 nautical miles centered on the line joining the table points. The inshore local-craft bands for Class 5 vessels run inside the line joining 26° 47.0′ N 056° 06.0′ E and 26° 44.0′ N 057° 20.0′ E along the Iranian coast, and inside the line joining 26° 22.0′ N 056° 05.0′ E and 26° 21.0′ N 057° 22.0′ E along the Omani coast.</w:t>
      </w:r>
    </w:p>
    <w:bookmarkEnd w:id="332"/>
    <w:bookmarkStart w:id="333" w:name="X6c1e3a37d92e3f2012df81295dc0dce727fe46e"/>
    <w:p>
      <w:pPr>
        <w:pStyle w:val="Heading2"/>
      </w:pPr>
      <w:r>
        <w:t xml:space="preserve">A.5 Table A.5: The Central Deconfliction Band and Reporting Points</w:t>
      </w:r>
    </w:p>
    <w:p>
      <w:pPr>
        <w:pStyle w:val="FirstParagraph"/>
      </w:pPr>
      <w:r>
        <w:t xml:space="preserve">Band centerline: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Latitude</w:t>
            </w:r>
          </w:p>
        </w:tc>
        <w:tc>
          <w:tcPr/>
          <w:p>
            <w:pPr>
              <w:pStyle w:val="Compact"/>
              <w:jc w:val="left"/>
            </w:pPr>
            <w:r>
              <w:t xml:space="preserve">Longitude</w:t>
            </w:r>
          </w:p>
        </w:tc>
      </w:tr>
      <w:tr>
        <w:tc>
          <w:tcPr/>
          <w:p>
            <w:pPr>
              <w:pStyle w:val="Compact"/>
              <w:jc w:val="left"/>
            </w:pPr>
            <w:r>
              <w:t xml:space="preserve">NCB-S1</w:t>
            </w:r>
          </w:p>
        </w:tc>
        <w:tc>
          <w:tcPr/>
          <w:p>
            <w:pPr>
              <w:pStyle w:val="Compact"/>
              <w:jc w:val="left"/>
            </w:pPr>
            <w:r>
              <w:t xml:space="preserve">26° 34.0′ N</w:t>
            </w:r>
          </w:p>
        </w:tc>
        <w:tc>
          <w:tcPr/>
          <w:p>
            <w:pPr>
              <w:pStyle w:val="Compact"/>
              <w:jc w:val="left"/>
            </w:pPr>
            <w:r>
              <w:t xml:space="preserve">056° 10.0′ E</w:t>
            </w:r>
          </w:p>
        </w:tc>
      </w:tr>
      <w:tr>
        <w:tc>
          <w:tcPr/>
          <w:p>
            <w:pPr>
              <w:pStyle w:val="Compact"/>
              <w:jc w:val="left"/>
            </w:pPr>
            <w:r>
              <w:t xml:space="preserve">NCB-S2</w:t>
            </w:r>
          </w:p>
        </w:tc>
        <w:tc>
          <w:tcPr/>
          <w:p>
            <w:pPr>
              <w:pStyle w:val="Compact"/>
              <w:jc w:val="left"/>
            </w:pPr>
            <w:r>
              <w:t xml:space="preserve">26° 30.5′ N</w:t>
            </w:r>
          </w:p>
        </w:tc>
        <w:tc>
          <w:tcPr/>
          <w:p>
            <w:pPr>
              <w:pStyle w:val="Compact"/>
              <w:jc w:val="left"/>
            </w:pPr>
            <w:r>
              <w:t xml:space="preserve">056° 30.0′ E</w:t>
            </w:r>
          </w:p>
        </w:tc>
      </w:tr>
      <w:tr>
        <w:tc>
          <w:tcPr/>
          <w:p>
            <w:pPr>
              <w:pStyle w:val="Compact"/>
              <w:jc w:val="left"/>
            </w:pPr>
            <w:r>
              <w:t xml:space="preserve">NCB-S3</w:t>
            </w:r>
          </w:p>
        </w:tc>
        <w:tc>
          <w:tcPr/>
          <w:p>
            <w:pPr>
              <w:pStyle w:val="Compact"/>
              <w:jc w:val="left"/>
            </w:pPr>
            <w:r>
              <w:t xml:space="preserve">26° 27.0′ N</w:t>
            </w:r>
          </w:p>
        </w:tc>
        <w:tc>
          <w:tcPr/>
          <w:p>
            <w:pPr>
              <w:pStyle w:val="Compact"/>
              <w:jc w:val="left"/>
            </w:pPr>
            <w:r>
              <w:t xml:space="preserve">056° 55.0′ E</w:t>
            </w:r>
          </w:p>
        </w:tc>
      </w:tr>
      <w:tr>
        <w:tc>
          <w:tcPr/>
          <w:p>
            <w:pPr>
              <w:pStyle w:val="Compact"/>
              <w:jc w:val="left"/>
            </w:pPr>
            <w:r>
              <w:t xml:space="preserve">NCB-S4</w:t>
            </w:r>
          </w:p>
        </w:tc>
        <w:tc>
          <w:tcPr/>
          <w:p>
            <w:pPr>
              <w:pStyle w:val="Compact"/>
              <w:jc w:val="left"/>
            </w:pPr>
            <w:r>
              <w:t xml:space="preserve">26° 30.0′ N</w:t>
            </w:r>
          </w:p>
        </w:tc>
        <w:tc>
          <w:tcPr/>
          <w:p>
            <w:pPr>
              <w:pStyle w:val="Compact"/>
              <w:jc w:val="left"/>
            </w:pPr>
            <w:r>
              <w:t xml:space="preserve">057° 15.0′ E</w:t>
            </w:r>
          </w:p>
        </w:tc>
      </w:tr>
    </w:tbl>
    <w:p>
      <w:pPr>
        <w:pStyle w:val="BodyText"/>
      </w:pPr>
      <w:r>
        <w:t xml:space="preserve">The Band extends 1.0 nautical mile on either side of the centerline, from the western entry sector at 056° 10.0′ E to the eastern exit sector at 057° 15.0′ E.</w:t>
      </w:r>
    </w:p>
    <w:p>
      <w:pPr>
        <w:pStyle w:val="BodyText"/>
      </w:pPr>
      <w:r>
        <w:t xml:space="preserve">Reporting points stand at equal intervals along each corridor axis: N1 through N6 on the Northern Coordination Passage centerline, S1 through S6 on the Southern Assurance Passage centerline, and B1 through B6 on the Band centerline, with N1/S1/B1 at the western entries and N6/S6/B6 at the eastern exits. The Emergency Routing Trackline of Article 24.5 follows the Band centerline with waypoints at B1 through B6.</w:t>
      </w:r>
    </w:p>
    <w:bookmarkEnd w:id="333"/>
    <w:bookmarkStart w:id="334" w:name="X7c4cc8f3e9b74bf2f51e353680028c0f5e20205"/>
    <w:p>
      <w:pPr>
        <w:pStyle w:val="Heading2"/>
      </w:pPr>
      <w:r>
        <w:t xml:space="preserve">A.6 The Interim Middle Route and the Coordinate Publication Rule</w:t>
      </w:r>
    </w:p>
    <w:p>
      <w:pPr>
        <w:pStyle w:val="FirstParagraph"/>
      </w:pPr>
      <w:r>
        <w:t xml:space="preserve">Interim Middle Route waypoints: IMR-1 at 26° 34.5′ N 056° 08.0′ E; IMR-2 at 26° 32.0′ N 056° 30.0′ E; IMR-3 at 26° 28.5′ N 056° 55.0′ E; IMR-4 at 26° 29.0′ N 057° 18.0′ E. Inbound and outbound lanes of 1.0 nautical mile each stand north and south of the line joining those points, separated by a 0.5-nautical-mile virtual median.</w:t>
      </w:r>
    </w:p>
    <w:p>
      <w:pPr>
        <w:pStyle w:val="BodyText"/>
      </w:pPr>
      <w:r>
        <w:t xml:space="preserve">Publication rule: provisional guidance geometry (centerlines, widths, reporting-point spacing) publishes at Layer 0 opening in simplified form; the full coordinate set of this Annex publishes at Layer 2 activation; and the depositary releases the sealed final set to the International Maritime Organization liaison upon Charter Conversion, automatically, without further decision.</w:t>
      </w:r>
    </w:p>
    <w:bookmarkEnd w:id="334"/>
    <w:bookmarkStart w:id="335" w:name="a.7-table-a.7-designated-anchorages"/>
    <w:p>
      <w:pPr>
        <w:pStyle w:val="Heading2"/>
      </w:pPr>
      <w:r>
        <w:t xml:space="preserve">A.7 Table A.7: Designated Anchorages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Anchorage</w:t>
            </w:r>
          </w:p>
        </w:tc>
        <w:tc>
          <w:tcPr/>
          <w:p>
            <w:pPr>
              <w:pStyle w:val="Compact"/>
              <w:jc w:val="left"/>
            </w:pPr>
            <w:r>
              <w:t xml:space="preserve">Position</w:t>
            </w:r>
          </w:p>
        </w:tc>
        <w:tc>
          <w:tcPr/>
          <w:p>
            <w:pPr>
              <w:pStyle w:val="Compact"/>
              <w:jc w:val="left"/>
            </w:pPr>
            <w:r>
              <w:t xml:space="preserve">Depth</w:t>
            </w:r>
          </w:p>
        </w:tc>
        <w:tc>
          <w:tcPr/>
          <w:p>
            <w:pPr>
              <w:pStyle w:val="Compact"/>
              <w:jc w:val="left"/>
            </w:pPr>
            <w:r>
              <w:t xml:space="preserve">Bottom</w:t>
            </w:r>
          </w:p>
        </w:tc>
        <w:tc>
          <w:tcPr/>
          <w:p>
            <w:pPr>
              <w:pStyle w:val="Compact"/>
              <w:jc w:val="left"/>
            </w:pPr>
            <w:r>
              <w:t xml:space="preserve">Function</w:t>
            </w:r>
          </w:p>
        </w:tc>
      </w:tr>
      <w:tr>
        <w:tc>
          <w:tcPr/>
          <w:p>
            <w:pPr>
              <w:pStyle w:val="Compact"/>
              <w:jc w:val="left"/>
            </w:pPr>
            <w:r>
              <w:t xml:space="preserve">Anchorage East</w:t>
            </w:r>
          </w:p>
        </w:tc>
        <w:tc>
          <w:tcPr/>
          <w:p>
            <w:pPr>
              <w:pStyle w:val="Compact"/>
              <w:jc w:val="left"/>
            </w:pPr>
            <w:r>
              <w:t xml:space="preserve">25° 58.0′ N, 057° 05.0′ E</w:t>
            </w:r>
          </w:p>
        </w:tc>
        <w:tc>
          <w:tcPr/>
          <w:p>
            <w:pPr>
              <w:pStyle w:val="Compact"/>
              <w:jc w:val="left"/>
            </w:pPr>
            <w:r>
              <w:t xml:space="preserve">40 to 60 m</w:t>
            </w:r>
          </w:p>
        </w:tc>
        <w:tc>
          <w:tcPr/>
          <w:p>
            <w:pPr>
              <w:pStyle w:val="Compact"/>
              <w:jc w:val="left"/>
            </w:pPr>
            <w:r>
              <w:t xml:space="preserve">Sand</w:t>
            </w:r>
          </w:p>
        </w:tc>
        <w:tc>
          <w:tcPr/>
          <w:p>
            <w:pPr>
              <w:pStyle w:val="Compact"/>
              <w:jc w:val="left"/>
            </w:pPr>
            <w:r>
              <w:t xml:space="preserve">Outbound staging, Gulf of Oman</w:t>
            </w:r>
          </w:p>
        </w:tc>
      </w:tr>
      <w:tr>
        <w:tc>
          <w:tcPr/>
          <w:p>
            <w:pPr>
              <w:pStyle w:val="Compact"/>
              <w:jc w:val="left"/>
            </w:pPr>
            <w:r>
              <w:t xml:space="preserve">Anchorage West</w:t>
            </w:r>
          </w:p>
        </w:tc>
        <w:tc>
          <w:tcPr/>
          <w:p>
            <w:pPr>
              <w:pStyle w:val="Compact"/>
              <w:jc w:val="left"/>
            </w:pPr>
            <w:r>
              <w:t xml:space="preserve">26° 42.0′ N, 055° 52.0′ E</w:t>
            </w:r>
          </w:p>
        </w:tc>
        <w:tc>
          <w:tcPr/>
          <w:p>
            <w:pPr>
              <w:pStyle w:val="Compact"/>
              <w:jc w:val="left"/>
            </w:pPr>
            <w:r>
              <w:t xml:space="preserve">22 to 30 m</w:t>
            </w:r>
          </w:p>
        </w:tc>
        <w:tc>
          <w:tcPr/>
          <w:p>
            <w:pPr>
              <w:pStyle w:val="Compact"/>
              <w:jc w:val="left"/>
            </w:pPr>
            <w:r>
              <w:t xml:space="preserve">Sand and mud</w:t>
            </w:r>
          </w:p>
        </w:tc>
        <w:tc>
          <w:tcPr/>
          <w:p>
            <w:pPr>
              <w:pStyle w:val="Compact"/>
              <w:jc w:val="left"/>
            </w:pPr>
            <w:r>
              <w:t xml:space="preserve">Inbound staging, inner Gulf</w:t>
            </w:r>
          </w:p>
        </w:tc>
      </w:tr>
      <w:tr>
        <w:tc>
          <w:tcPr/>
          <w:p>
            <w:pPr>
              <w:pStyle w:val="Compact"/>
              <w:jc w:val="left"/>
            </w:pPr>
            <w:r>
              <w:t xml:space="preserve">Emergency Anchorage East</w:t>
            </w:r>
          </w:p>
        </w:tc>
        <w:tc>
          <w:tcPr/>
          <w:p>
            <w:pPr>
              <w:pStyle w:val="Compact"/>
              <w:jc w:val="left"/>
            </w:pPr>
            <w:r>
              <w:t xml:space="preserve">26° 30.0′ N, 057° 06.0′ E</w:t>
            </w:r>
          </w:p>
        </w:tc>
        <w:tc>
          <w:tcPr/>
          <w:p>
            <w:pPr>
              <w:pStyle w:val="Compact"/>
              <w:jc w:val="left"/>
            </w:pPr>
            <w:r>
              <w:t xml:space="preserve">40 to 60 m</w:t>
            </w:r>
          </w:p>
        </w:tc>
        <w:tc>
          <w:tcPr/>
          <w:p>
            <w:pPr>
              <w:pStyle w:val="Compact"/>
              <w:jc w:val="left"/>
            </w:pPr>
            <w:r>
              <w:t xml:space="preserve">Sand</w:t>
            </w:r>
          </w:p>
        </w:tc>
        <w:tc>
          <w:tcPr/>
          <w:p>
            <w:pPr>
              <w:pStyle w:val="Compact"/>
              <w:jc w:val="left"/>
            </w:pPr>
            <w:r>
              <w:t xml:space="preserve">Weather and hazard holding, Musandam headland</w:t>
            </w:r>
          </w:p>
        </w:tc>
      </w:tr>
      <w:tr>
        <w:tc>
          <w:tcPr/>
          <w:p>
            <w:pPr>
              <w:pStyle w:val="Compact"/>
              <w:jc w:val="left"/>
            </w:pPr>
            <w:r>
              <w:t xml:space="preserve">Emergency Anchorage West</w:t>
            </w:r>
          </w:p>
        </w:tc>
        <w:tc>
          <w:tcPr/>
          <w:p>
            <w:pPr>
              <w:pStyle w:val="Compact"/>
              <w:jc w:val="left"/>
            </w:pPr>
            <w:r>
              <w:t xml:space="preserve">26° 33.0′ N, 056° 05.0′ E</w:t>
            </w:r>
          </w:p>
        </w:tc>
        <w:tc>
          <w:tcPr/>
          <w:p>
            <w:pPr>
              <w:pStyle w:val="Compact"/>
              <w:jc w:val="left"/>
            </w:pPr>
            <w:r>
              <w:t xml:space="preserve">30 to 45 m</w:t>
            </w:r>
          </w:p>
        </w:tc>
        <w:tc>
          <w:tcPr/>
          <w:p>
            <w:pPr>
              <w:pStyle w:val="Compact"/>
              <w:jc w:val="left"/>
            </w:pPr>
            <w:r>
              <w:t xml:space="preserve">Sand</w:t>
            </w:r>
          </w:p>
        </w:tc>
        <w:tc>
          <w:tcPr/>
          <w:p>
            <w:pPr>
              <w:pStyle w:val="Compact"/>
              <w:jc w:val="left"/>
            </w:pPr>
            <w:r>
              <w:t xml:space="preserve">Weather and hazard holding, western entry</w:t>
            </w:r>
          </w:p>
        </w:tc>
      </w:tr>
    </w:tbl>
    <w:bookmarkEnd w:id="335"/>
    <w:bookmarkStart w:id="336" w:name="Xd4b96c3d113d7971f7e1db693418f803a4c875c"/>
    <w:p>
      <w:pPr>
        <w:pStyle w:val="Heading2"/>
      </w:pPr>
      <w:r>
        <w:t xml:space="preserve">A.8 Table A.8: Grid Squares for Environmental Exchange</w:t>
      </w:r>
    </w:p>
    <w:p>
      <w:pPr>
        <w:pStyle w:val="FirstParagraph"/>
      </w:pPr>
      <w:r>
        <w:t xml:space="preserve">Grid Square W-1 (the MX-03 exercise square): the 10-by-10-nautical-mile square centered on 26° 30.0′ N 056° 30.0′ E. Squares W-2 through W-6 extend the grid east and west at 20-nautical-mile intervals along the corridor axes, per the chartlet schedule of A.10.</w:t>
      </w:r>
    </w:p>
    <w:bookmarkEnd w:id="336"/>
    <w:bookmarkStart w:id="337" w:name="a.9-table-a.9-liaison-stations"/>
    <w:p>
      <w:pPr>
        <w:pStyle w:val="Heading2"/>
      </w:pPr>
      <w:r>
        <w:t xml:space="preserve">A.9 Table A.9: Liaison 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Station</w:t>
            </w:r>
          </w:p>
        </w:tc>
        <w:tc>
          <w:tcPr/>
          <w:p>
            <w:pPr>
              <w:pStyle w:val="Compact"/>
              <w:jc w:val="left"/>
            </w:pPr>
            <w:r>
              <w:t xml:space="preserve">Location</w:t>
            </w:r>
          </w:p>
        </w:tc>
        <w:tc>
          <w:tcPr/>
          <w:p>
            <w:pPr>
              <w:pStyle w:val="Compact"/>
              <w:jc w:val="left"/>
            </w:pPr>
            <w:r>
              <w:t xml:space="preserve">Role</w:t>
            </w:r>
          </w:p>
        </w:tc>
      </w:tr>
      <w:tr>
        <w:tc>
          <w:tcPr/>
          <w:p>
            <w:pPr>
              <w:pStyle w:val="Compact"/>
              <w:jc w:val="left"/>
            </w:pPr>
            <w:r>
              <w:t xml:space="preserve">Muscat (Center)</w:t>
            </w:r>
          </w:p>
        </w:tc>
        <w:tc>
          <w:tcPr/>
          <w:p>
            <w:pPr>
              <w:pStyle w:val="Compact"/>
              <w:jc w:val="left"/>
            </w:pPr>
            <w:r>
              <w:t xml:space="preserve">Tadriji Coordination Center</w:t>
            </w:r>
          </w:p>
        </w:tc>
        <w:tc>
          <w:tcPr/>
          <w:p>
            <w:pPr>
              <w:pStyle w:val="Compact"/>
              <w:jc w:val="left"/>
            </w:pPr>
            <w:r>
              <w:t xml:space="preserve">Primary watch floor, Transit Desk, Exchange primary server, MRT-H cell, Secretariat</w:t>
            </w:r>
          </w:p>
        </w:tc>
      </w:tr>
      <w:tr>
        <w:tc>
          <w:tcPr/>
          <w:p>
            <w:pPr>
              <w:pStyle w:val="Compact"/>
              <w:jc w:val="left"/>
            </w:pPr>
            <w:r>
              <w:t xml:space="preserve">Bandar Abbas (Mirror)</w:t>
            </w:r>
          </w:p>
        </w:tc>
        <w:tc>
          <w:tcPr/>
          <w:p>
            <w:pPr>
              <w:pStyle w:val="Compact"/>
              <w:jc w:val="left"/>
            </w:pPr>
            <w:r>
              <w:t xml:space="preserve">Darya Mirror Facility</w:t>
            </w:r>
          </w:p>
        </w:tc>
        <w:tc>
          <w:tcPr/>
          <w:p>
            <w:pPr>
              <w:pStyle w:val="Compact"/>
              <w:jc w:val="left"/>
            </w:pPr>
            <w:r>
              <w:t xml:space="preserve">Mirror watch floor, Exchange mirror server, northern liaison network</w:t>
            </w:r>
          </w:p>
        </w:tc>
      </w:tr>
      <w:tr>
        <w:tc>
          <w:tcPr/>
          <w:p>
            <w:pPr>
              <w:pStyle w:val="Compact"/>
              <w:jc w:val="left"/>
            </w:pPr>
            <w:r>
              <w:t xml:space="preserve">Khasab</w:t>
            </w:r>
          </w:p>
        </w:tc>
        <w:tc>
          <w:tcPr/>
          <w:p>
            <w:pPr>
              <w:pStyle w:val="Compact"/>
              <w:jc w:val="left"/>
            </w:pPr>
            <w:r>
              <w:t xml:space="preserve">Musandam Peninsula</w:t>
            </w:r>
          </w:p>
        </w:tc>
        <w:tc>
          <w:tcPr/>
          <w:p>
            <w:pPr>
              <w:pStyle w:val="Compact"/>
              <w:jc w:val="left"/>
            </w:pPr>
            <w:r>
              <w:t xml:space="preserve">Southern corridor reporting, escort base, SAR staging</w:t>
            </w:r>
          </w:p>
        </w:tc>
      </w:tr>
      <w:tr>
        <w:tc>
          <w:tcPr/>
          <w:p>
            <w:pPr>
              <w:pStyle w:val="Compact"/>
              <w:jc w:val="left"/>
            </w:pPr>
            <w:r>
              <w:t xml:space="preserve">Qeshm</w:t>
            </w:r>
          </w:p>
        </w:tc>
        <w:tc>
          <w:tcPr/>
          <w:p>
            <w:pPr>
              <w:pStyle w:val="Compact"/>
              <w:jc w:val="left"/>
            </w:pPr>
            <w:r>
              <w:t xml:space="preserve">Qeshm Island</w:t>
            </w:r>
          </w:p>
        </w:tc>
        <w:tc>
          <w:tcPr/>
          <w:p>
            <w:pPr>
              <w:pStyle w:val="Compact"/>
              <w:jc w:val="left"/>
            </w:pPr>
            <w:r>
              <w:t xml:space="preserve">Northern corridor reporting, escort base, SAR staging</w:t>
            </w:r>
          </w:p>
        </w:tc>
      </w:tr>
      <w:tr>
        <w:tc>
          <w:tcPr/>
          <w:p>
            <w:pPr>
              <w:pStyle w:val="Compact"/>
              <w:jc w:val="left"/>
            </w:pPr>
            <w:r>
              <w:t xml:space="preserve">Fujairah</w:t>
            </w:r>
          </w:p>
        </w:tc>
        <w:tc>
          <w:tcPr/>
          <w:p>
            <w:pPr>
              <w:pStyle w:val="Compact"/>
              <w:jc w:val="left"/>
            </w:pPr>
            <w:r>
              <w:t xml:space="preserve">Upon UAE accession</w:t>
            </w:r>
          </w:p>
        </w:tc>
        <w:tc>
          <w:tcPr/>
          <w:p>
            <w:pPr>
              <w:pStyle w:val="Compact"/>
              <w:jc w:val="left"/>
            </w:pPr>
            <w:r>
              <w:t xml:space="preserve">MRT-H logistics, repair dock, anchorage services</w:t>
            </w:r>
          </w:p>
        </w:tc>
      </w:tr>
    </w:tbl>
    <w:bookmarkEnd w:id="337"/>
    <w:bookmarkStart w:id="338" w:name="Xc2f6de2f66c01031c0b109827470bb6a337f741"/>
    <w:p>
      <w:pPr>
        <w:pStyle w:val="Heading2"/>
      </w:pPr>
      <w:r>
        <w:t xml:space="preserve">A.10 Chartlet Schedule and Aids to Navigation</w:t>
      </w:r>
    </w:p>
    <w:p>
      <w:pPr>
        <w:pStyle w:val="FirstParagraph"/>
      </w:pPr>
      <w:r>
        <w:t xml:space="preserve">Each corridor administrator maintains: virtual AIS aids to navigation at every reporting point and at IMR-1 through IMR-4; physical or synthetic marking at each corridor turning position of Tables A.3 and A.4; entrance and exit light characteristics harmonized under MX-16 (Fl(2) 10s at western entries, Fl(3) 15s at eastern exits); and emergency anchorage designations of Table A.7, charted under International Hydrographic Organization standards within 90 days of Layer 2 activation.</w:t>
      </w:r>
    </w:p>
    <w:bookmarkEnd w:id="338"/>
    <w:bookmarkEnd w:id="339"/>
    <w:bookmarkStart w:id="346" w:name="X456e92861e658d1247ffb6ddf9f9094c908e6eb"/>
    <w:p>
      <w:pPr>
        <w:pStyle w:val="Heading1"/>
      </w:pPr>
      <w:r>
        <w:t xml:space="preserve">ANNEX B: THE FIFTY MICRO-EXERCISES: FULL OPERATIONAL SPECIFICATIONS</w:t>
      </w:r>
    </w:p>
    <w:bookmarkStart w:id="340" w:name="b.0-standing-rules-of-the-lattice"/>
    <w:p>
      <w:pPr>
        <w:pStyle w:val="Heading2"/>
      </w:pPr>
      <w:r>
        <w:t xml:space="preserve">B.0 Standing Rules of the Lattice</w:t>
      </w:r>
    </w:p>
    <w:p>
      <w:pPr>
        <w:pStyle w:val="FirstParagraph"/>
      </w:pPr>
      <w:r>
        <w:t xml:space="preserve">Each exercise card below states: identifier, station assignment, operating window, protocol, data exchanged, logging rule, and success metric. Every exercise activates by joint notice of the two duty officers; every exercise suspends on any Party’s notice with the reason logged; and every exercise’s record enters the Exercise Logbook identically at both floors. An exercise that misses its success metric in two consecutive audit windows suspends individually for redesign, and its suspension publishes with the factual reason.</w:t>
      </w:r>
    </w:p>
    <w:bookmarkEnd w:id="340"/>
    <w:bookmarkStart w:id="341" w:name="b.1-sub-layer-0.1-cards-mx-01-to-mx-10"/>
    <w:p>
      <w:pPr>
        <w:pStyle w:val="Heading2"/>
      </w:pPr>
      <w:r>
        <w:t xml:space="preserve">B.1 Sub-Layer 0.1 Cards (MX-01 to MX-10)</w:t>
      </w:r>
    </w:p>
    <w:p>
      <w:pPr>
        <w:pStyle w:val="FirstParagraph"/>
      </w:pPr>
      <w:r>
        <w:rPr>
          <w:bCs/>
          <w:b/>
        </w:rPr>
        <w:t xml:space="preserve">MX-01 AIS Snapshot Swap.</w:t>
      </w:r>
      <w:r>
        <w:t xml:space="preserve"> </w:t>
      </w:r>
      <w:r>
        <w:t xml:space="preserve">Stations: both floors. Window: continuous. Protocol: each floor extracts from its national AIS chain the ten commercial vessels nearest the corridor centerlines inside the Governance Area at 06:00 and 18:00 UTC, formats per Annex C.4 (identity, position, course, speed, timestamp), transmits within five minutes, and merges on receipt. Log: transmission and merge records both ends. Metric: 14 consecutive days of complete, matched transmissions.</w:t>
      </w:r>
    </w:p>
    <w:p>
      <w:pPr>
        <w:pStyle w:val="BodyText"/>
      </w:pPr>
      <w:r>
        <w:rPr>
          <w:bCs/>
          <w:b/>
        </w:rPr>
        <w:t xml:space="preserve">MX-02 Visibility-Only Feed.</w:t>
      </w:r>
      <w:r>
        <w:t xml:space="preserve"> </w:t>
      </w:r>
      <w:r>
        <w:t xml:space="preserve">Stations: Khasab, Qeshm. Window: hourly, continuous. Protocol: observer reads fog and visibility state at the station, transmits the one-line code of Annex C.5 (station, time, visibility meters, fog flag). No vessel data attaches. Log: hourly codes both ends. Metric: 21 consecutive days, 98 percent completeness.</w:t>
      </w:r>
    </w:p>
    <w:p>
      <w:pPr>
        <w:pStyle w:val="BodyText"/>
      </w:pPr>
      <w:r>
        <w:rPr>
          <w:bCs/>
          <w:b/>
        </w:rPr>
        <w:t xml:space="preserve">MX-03 Micro-Weather Exchange.</w:t>
      </w:r>
      <w:r>
        <w:t xml:space="preserve"> </w:t>
      </w:r>
      <w:r>
        <w:t xml:space="preserve">Stations: both floors. Window: hourly, continuous. Protocol: exchange wind speed, wind direction, visibility, and sea state for Grid Square W-1 of Table A.8 in the four-field format. Log: hourly records both ends. Metric: 21 days at 98 percent completeness; inter-station wind divergence within 15 percent in 90 percent of matched observations.</w:t>
      </w:r>
    </w:p>
    <w:p>
      <w:pPr>
        <w:pStyle w:val="BodyText"/>
      </w:pPr>
      <w:r>
        <w:rPr>
          <w:bCs/>
          <w:b/>
        </w:rPr>
        <w:t xml:space="preserve">MX-04 Shared Tide Table.</w:t>
      </w:r>
      <w:r>
        <w:t xml:space="preserve"> </w:t>
      </w:r>
      <w:r>
        <w:t xml:space="preserve">Stations: both floors. Window: weekly. Protocol: harmonize harmonic predictions for the Khasab and Bandar Abbas reference stations into one table; validate against observed heights. Log: editions and validation deltas. Metric: four consecutive weekly editions; error within 0.3 meters.</w:t>
      </w:r>
    </w:p>
    <w:p>
      <w:pPr>
        <w:pStyle w:val="BodyText"/>
      </w:pPr>
      <w:r>
        <w:rPr>
          <w:bCs/>
          <w:b/>
        </w:rPr>
        <w:t xml:space="preserve">MX-05 Swell-Risk Micro-Map.</w:t>
      </w:r>
      <w:r>
        <w:t xml:space="preserve"> </w:t>
      </w:r>
      <w:r>
        <w:t xml:space="preserve">Stations: both floors. Window: daily at 04:00 UTC. Protocol: combine buoy observations and model output into one swell hazard delineation for the IMR-2 to IMR-3 sector; publish in the hazard bulletin. Log: daily editions. Metric: 14 consecutive editions; zero unmarked events above 2.5 meters reported by transiting vessels.</w:t>
      </w:r>
    </w:p>
    <w:p>
      <w:pPr>
        <w:pStyle w:val="BodyText"/>
      </w:pPr>
      <w:r>
        <w:rPr>
          <w:bCs/>
          <w:b/>
        </w:rPr>
        <w:t xml:space="preserve">MX-06 Shared Hazard Bulletin.</w:t>
      </w:r>
      <w:r>
        <w:t xml:space="preserve"> </w:t>
      </w:r>
      <w:r>
        <w:t xml:space="preserve">Stations: both floors. Window: daily at 05:00 UTC. Protocol: merge both sides’ hazard reports (debris, unlit vessels, chart discrepancies) into one summary; carry each hazard to resolution or expiry. Log: editions and resolution records. Metric: 21 consecutive editions; 100 percent carry-through.</w:t>
      </w:r>
    </w:p>
    <w:p>
      <w:pPr>
        <w:pStyle w:val="BodyText"/>
      </w:pPr>
      <w:r>
        <w:rPr>
          <w:bCs/>
          <w:b/>
        </w:rPr>
        <w:t xml:space="preserve">MX-07 Shared Storm Threshold.</w:t>
      </w:r>
      <w:r>
        <w:t xml:space="preserve"> </w:t>
      </w:r>
      <w:r>
        <w:t xml:space="preserve">Stations: both floors. Window: standing. Protocol: publish the agreed threshold values (wind 34 knots, visibility 1,000 meters, swell 3.0 meters); issue identical advisory language on threshold events. Log: threshold events and advisories. Metric: published table; 100 percent advisory identity.</w:t>
      </w:r>
    </w:p>
    <w:p>
      <w:pPr>
        <w:pStyle w:val="BodyText"/>
      </w:pPr>
      <w:r>
        <w:rPr>
          <w:bCs/>
          <w:b/>
        </w:rPr>
        <w:t xml:space="preserve">MX-08 Micro-Meteorology Desk.</w:t>
      </w:r>
      <w:r>
        <w:t xml:space="preserve"> </w:t>
      </w:r>
      <w:r>
        <w:t xml:space="preserve">Stations: video-linked desk. Window: 06:00 to 10:00 UTC daily. Protocol: two meteorologists (one per Party) harmonize next-day forecast language for the Governance Area. Log: staffed windows and harmonized products. Metric: 14 consecutive windows; daily harmonized forecast.</w:t>
      </w:r>
    </w:p>
    <w:p>
      <w:pPr>
        <w:pStyle w:val="BodyText"/>
      </w:pPr>
      <w:r>
        <w:rPr>
          <w:bCs/>
          <w:b/>
        </w:rPr>
        <w:t xml:space="preserve">MX-09 Joint Hazard Symbols.</w:t>
      </w:r>
      <w:r>
        <w:t xml:space="preserve"> </w:t>
      </w:r>
      <w:r>
        <w:t xml:space="preserve">Stations: both floors. Window: standing. Protocol: adopt the Annex C.6 symbol set in all shared products. Log: conformance checks. Metric: register published; 100 percent conformance from Day 15.</w:t>
      </w:r>
    </w:p>
    <w:p>
      <w:pPr>
        <w:pStyle w:val="BodyText"/>
      </w:pPr>
      <w:r>
        <w:rPr>
          <w:bCs/>
          <w:b/>
        </w:rPr>
        <w:t xml:space="preserve">MX-10 Micro-Traffic Forecast.</w:t>
      </w:r>
      <w:r>
        <w:t xml:space="preserve"> </w:t>
      </w:r>
      <w:r>
        <w:t xml:space="preserve">Stations: both floors. Window: daily at 12:00 UTC. Protocol: jointly predict inbound and outbound counts for the Interim Middle Route for the next 24 hours; score against observed. Log: predictions and scores. Metric: 14 consecutive forecasts; error within 20 percent on 10 of 14 days.</w:t>
      </w:r>
    </w:p>
    <w:bookmarkEnd w:id="341"/>
    <w:bookmarkStart w:id="342" w:name="b.2-sub-layer-0.2-cards-mx-11-to-mx-20"/>
    <w:p>
      <w:pPr>
        <w:pStyle w:val="Heading2"/>
      </w:pPr>
      <w:r>
        <w:t xml:space="preserve">B.2 Sub-Layer 0.2 Cards (MX-11 to MX-20)</w:t>
      </w:r>
    </w:p>
    <w:p>
      <w:pPr>
        <w:pStyle w:val="FirstParagraph"/>
      </w:pPr>
      <w:r>
        <w:rPr>
          <w:bCs/>
          <w:b/>
        </w:rPr>
        <w:t xml:space="preserve">MX-11 Single-Corridor Stability Test.</w:t>
      </w:r>
      <w:r>
        <w:t xml:space="preserve"> </w:t>
      </w:r>
      <w:r>
        <w:t xml:space="preserve">Stations: both floors. Window: 06:00 to 12:00 UTC daily. Protocol: jointly acknowledge the inbound lane along the Interim Middle Route centerline IMR-1 to IMR-4; log every transit in the window; exchange logs at close. No control, no charge, no advisory duty on any vessel. Metric: 14 consecutive windows; matching logs.</w:t>
      </w:r>
    </w:p>
    <w:p>
      <w:pPr>
        <w:pStyle w:val="BodyText"/>
      </w:pPr>
      <w:r>
        <w:rPr>
          <w:bCs/>
          <w:b/>
        </w:rPr>
        <w:t xml:space="preserve">MX-12 Outbound Corridor Test.</w:t>
      </w:r>
      <w:r>
        <w:t xml:space="preserve"> </w:t>
      </w:r>
      <w:r>
        <w:t xml:space="preserve">Mirror of MX-11, window 12:00 to 18:00 UTC, outbound direction. Metric: identical.</w:t>
      </w:r>
    </w:p>
    <w:p>
      <w:pPr>
        <w:pStyle w:val="BodyText"/>
      </w:pPr>
      <w:r>
        <w:rPr>
          <w:bCs/>
          <w:b/>
        </w:rPr>
        <w:t xml:space="preserve">MX-13 Temporary Slow-Zone.</w:t>
      </w:r>
      <w:r>
        <w:t xml:space="preserve"> </w:t>
      </w:r>
      <w:r>
        <w:t xml:space="preserve">Stations: both floors. Window: threshold events. Protocol: upon an MX-07 event, publish the joint advisory recommending 10 knots maximum through the MX-05 zone; record observed speeds without consequence. Metric: advisory in 100 percent of events; compliance rate recorded.</w:t>
      </w:r>
    </w:p>
    <w:p>
      <w:pPr>
        <w:pStyle w:val="BodyText"/>
      </w:pPr>
      <w:r>
        <w:rPr>
          <w:bCs/>
          <w:b/>
        </w:rPr>
        <w:t xml:space="preserve">MX-14 Micro-Anchorage Zone.</w:t>
      </w:r>
      <w:r>
        <w:t xml:space="preserve"> </w:t>
      </w:r>
      <w:r>
        <w:t xml:space="preserve">Stations: Khasab lead. Window: continuous. Protocol: publish Emergency Anchorage East (26° 30.0′ N, 057° 06.0′ E) in both Notice to Mariners series; log usage. Metric: publication confirmed; 14-day usage log.</w:t>
      </w:r>
    </w:p>
    <w:p>
      <w:pPr>
        <w:pStyle w:val="BodyText"/>
      </w:pPr>
      <w:r>
        <w:rPr>
          <w:bCs/>
          <w:b/>
        </w:rPr>
        <w:t xml:space="preserve">MX-15 Micro-Anchoring Advisory.</w:t>
      </w:r>
      <w:r>
        <w:t xml:space="preserve"> </w:t>
      </w:r>
      <w:r>
        <w:t xml:space="preserve">Stations: Khasab lead. Window: on request. Protocol: issue non-binding anchoring guidance (position, depth, swinging room) within 15 minutes of any request on the corridor working channel. Metric: 100 percent within 15 minutes.</w:t>
      </w:r>
    </w:p>
    <w:p>
      <w:pPr>
        <w:pStyle w:val="BodyText"/>
      </w:pPr>
      <w:r>
        <w:rPr>
          <w:bCs/>
          <w:b/>
        </w:rPr>
        <w:t xml:space="preserve">MX-16 Micro-Navigation Cues.</w:t>
      </w:r>
      <w:r>
        <w:t xml:space="preserve"> </w:t>
      </w:r>
      <w:r>
        <w:t xml:space="preserve">Stations: both floors. Window: standing. Protocol: harmonize light characteristics and virtual AIS identifiers at corridor entries and exits per A.10. Metric: 14 consecutive days of identical live cues.</w:t>
      </w:r>
    </w:p>
    <w:p>
      <w:pPr>
        <w:pStyle w:val="BodyText"/>
      </w:pPr>
      <w:r>
        <w:rPr>
          <w:bCs/>
          <w:b/>
        </w:rPr>
        <w:t xml:space="preserve">MX-17 Joint Calm-Sea Window.</w:t>
      </w:r>
      <w:r>
        <w:t xml:space="preserve"> </w:t>
      </w:r>
      <w:r>
        <w:t xml:space="preserve">Stations: MX-08 desk. Window: daily. Protocol: identify and publish the optimal calm-sea transit window in the MX-06 bulletin. Metric: 14 consecutive publications.</w:t>
      </w:r>
    </w:p>
    <w:p>
      <w:pPr>
        <w:pStyle w:val="BodyText"/>
      </w:pPr>
      <w:r>
        <w:rPr>
          <w:bCs/>
          <w:b/>
        </w:rPr>
        <w:t xml:space="preserve">MX-18 Harbor-Exit Timing.</w:t>
      </w:r>
      <w:r>
        <w:t xml:space="preserve"> </w:t>
      </w:r>
      <w:r>
        <w:t xml:space="preserve">Stations: Bandar Abbas, Khasab. Window: one 30-minute period daily. Protocol: align government-vessel departure windows; log proximity events. Metric: 14 consecutive aligned windows; zero proximity events under 1.0 nautical mile with commercial traffic.</w:t>
      </w:r>
    </w:p>
    <w:p>
      <w:pPr>
        <w:pStyle w:val="BodyText"/>
      </w:pPr>
      <w:r>
        <w:rPr>
          <w:bCs/>
          <w:b/>
        </w:rPr>
        <w:t xml:space="preserve">MX-19 Pilot-Boat Coordination.</w:t>
      </w:r>
      <w:r>
        <w:t xml:space="preserve"> </w:t>
      </w:r>
      <w:r>
        <w:t xml:space="preserve">Stations: corridor entries. Window: two hours daily, published. Protocol: align pilot-boat availability; publish to requesting vessels. Metric: 14 consecutive days; response within 45 minutes.</w:t>
      </w:r>
    </w:p>
    <w:p>
      <w:pPr>
        <w:pStyle w:val="BodyText"/>
      </w:pPr>
      <w:r>
        <w:rPr>
          <w:bCs/>
          <w:b/>
        </w:rPr>
        <w:t xml:space="preserve">MX-20 Harbor-Pilot Rotation.</w:t>
      </w:r>
      <w:r>
        <w:t xml:space="preserve"> </w:t>
      </w:r>
      <w:r>
        <w:t xml:space="preserve">Stations: corridor entries. Window: weekly. Protocol: exchange pilot availability rosters; verify against actual. Metric: four consecutive exchanges; 95 percent accuracy.</w:t>
      </w:r>
    </w:p>
    <w:bookmarkEnd w:id="342"/>
    <w:bookmarkStart w:id="343" w:name="b.3-sub-layer-0.3-cards-mx-21-to-mx-30"/>
    <w:p>
      <w:pPr>
        <w:pStyle w:val="Heading2"/>
      </w:pPr>
      <w:r>
        <w:t xml:space="preserve">B.3 Sub-Layer 0.3 Cards (MX-21 to MX-30)</w:t>
      </w:r>
    </w:p>
    <w:p>
      <w:pPr>
        <w:pStyle w:val="FirstParagraph"/>
      </w:pPr>
      <w:r>
        <w:rPr>
          <w:bCs/>
          <w:b/>
        </w:rPr>
        <w:t xml:space="preserve">MX-21 Dual-Ping Incident Alerts.</w:t>
      </w:r>
      <w:r>
        <w:t xml:space="preserve"> </w:t>
      </w:r>
      <w:r>
        <w:t xml:space="preserve">Stations: both floors. Window: continuous. Protocol: on observing a mechanical failure, near-miss, or disabled vessel, transmit ping one (event class from Annex C.7) and ping two (position and status) within five minutes. Metric: 100 percent within five minutes for 14 days.</w:t>
      </w:r>
    </w:p>
    <w:p>
      <w:pPr>
        <w:pStyle w:val="BodyText"/>
      </w:pPr>
      <w:r>
        <w:rPr>
          <w:bCs/>
          <w:b/>
        </w:rPr>
        <w:t xml:space="preserve">MX-22 Mechanical-Failure Registry.</w:t>
      </w:r>
      <w:r>
        <w:t xml:space="preserve"> </w:t>
      </w:r>
      <w:r>
        <w:t xml:space="preserve">Stations: both floors. Window: continuous. Protocol: enter non-security breakdowns in the shared registry, anonymized (no flag, no name, class only), with position, nature, resolution. Metric: entries current within one hour; zero attributive entries.</w:t>
      </w:r>
    </w:p>
    <w:p>
      <w:pPr>
        <w:pStyle w:val="BodyText"/>
      </w:pPr>
      <w:r>
        <w:rPr>
          <w:bCs/>
          <w:b/>
        </w:rPr>
        <w:t xml:space="preserve">MX-23 Engine-Restart Alerts.</w:t>
      </w:r>
      <w:r>
        <w:t xml:space="preserve"> </w:t>
      </w:r>
      <w:r>
        <w:t xml:space="preserve">Stations: both floors. Window: continuous. Protocol: notify restart of a disabled vessel’s propulsion within five minutes of observation. Metric: 100 percent within five minutes, 14 days.</w:t>
      </w:r>
    </w:p>
    <w:p>
      <w:pPr>
        <w:pStyle w:val="BodyText"/>
      </w:pPr>
      <w:r>
        <w:rPr>
          <w:bCs/>
          <w:b/>
        </w:rPr>
        <w:t xml:space="preserve">MX-24 Anchor-Drift Alerts.</w:t>
      </w:r>
      <w:r>
        <w:t xml:space="preserve"> </w:t>
      </w:r>
      <w:r>
        <w:t xml:space="preserve">Stations: anchorage watches. Window: continuous. Protocol: notify drift beyond 0.2 nautical miles from anchored position inside designated anchorages within ten minutes. Metric: 100 percent within ten minutes.</w:t>
      </w:r>
    </w:p>
    <w:p>
      <w:pPr>
        <w:pStyle w:val="BodyText"/>
      </w:pPr>
      <w:r>
        <w:rPr>
          <w:bCs/>
          <w:b/>
        </w:rPr>
        <w:t xml:space="preserve">MX-25 Fuel-Leak Notifications.</w:t>
      </w:r>
      <w:r>
        <w:t xml:space="preserve"> </w:t>
      </w:r>
      <w:r>
        <w:t xml:space="preserve">Stations: both floors. Window: continuous. Protocol: notify observed non-security sheen with position and extent within fifteen minutes; maintain joint response log. Metric: 100 percent; log complete.</w:t>
      </w:r>
    </w:p>
    <w:p>
      <w:pPr>
        <w:pStyle w:val="BodyText"/>
      </w:pPr>
      <w:r>
        <w:rPr>
          <w:bCs/>
          <w:b/>
        </w:rPr>
        <w:t xml:space="preserve">MX-26 Micro-Hazmat Alert.</w:t>
      </w:r>
      <w:r>
        <w:t xml:space="preserve"> </w:t>
      </w:r>
      <w:r>
        <w:t xml:space="preserve">Stations: both floors. Window: continuous. Protocol: notify non-security hazmat release or container loss with position and material class where known, within fifteen minutes. Metric: 100 percent.</w:t>
      </w:r>
    </w:p>
    <w:p>
      <w:pPr>
        <w:pStyle w:val="BodyText"/>
      </w:pPr>
      <w:r>
        <w:rPr>
          <w:bCs/>
          <w:b/>
        </w:rPr>
        <w:t xml:space="preserve">MX-27 Joint Debris Alert.</w:t>
      </w:r>
      <w:r>
        <w:t xml:space="preserve"> </w:t>
      </w:r>
      <w:r>
        <w:t xml:space="preserve">Stations: both floors. Window: continuous. Protocol: notify floating debris endangering navigation within thirty minutes; feed MX-06. Metric: 100 percent within thirty minutes.</w:t>
      </w:r>
    </w:p>
    <w:p>
      <w:pPr>
        <w:pStyle w:val="BodyText"/>
      </w:pPr>
      <w:r>
        <w:rPr>
          <w:bCs/>
          <w:b/>
        </w:rPr>
        <w:t xml:space="preserve">MX-28 Micro-AIS Blackout Log.</w:t>
      </w:r>
      <w:r>
        <w:t xml:space="preserve"> </w:t>
      </w:r>
      <w:r>
        <w:t xml:space="preserve">Stations: both floors. Window: continuous. Protocol: log AIS outages with position and duration only; no attribution, no inference, no query. Metric: daily log; zero attributive annotations, 14 days.</w:t>
      </w:r>
    </w:p>
    <w:p>
      <w:pPr>
        <w:pStyle w:val="BodyText"/>
      </w:pPr>
      <w:r>
        <w:rPr>
          <w:bCs/>
          <w:b/>
        </w:rPr>
        <w:t xml:space="preserve">MX-29 Small-Craft Advisory.</w:t>
      </w:r>
      <w:r>
        <w:t xml:space="preserve"> </w:t>
      </w:r>
      <w:r>
        <w:t xml:space="preserve">Stations: both floors. Window: daily. Protocol: issue joint advisory for fishing and local craft (traffic forecast, hazards) in Arabic, Farsi, and English; distribute to the harbormaster network. Metric: daily issue; distribution confirmed at Bandar Abbas, Qeshm, Khasab, Dibba.</w:t>
      </w:r>
    </w:p>
    <w:p>
      <w:pPr>
        <w:pStyle w:val="BodyText"/>
      </w:pPr>
      <w:r>
        <w:rPr>
          <w:bCs/>
          <w:b/>
        </w:rPr>
        <w:t xml:space="preserve">MX-30 Fishing-Net Drift Map.</w:t>
      </w:r>
      <w:r>
        <w:t xml:space="preserve"> </w:t>
      </w:r>
      <w:r>
        <w:t xml:space="preserve">Stations: both floors. Window: daily refresh. Protocol: map drifting nets and gear from sightings; track each to recovery or exit. Metric: daily map, 14 days; 100 percent tracked.</w:t>
      </w:r>
    </w:p>
    <w:bookmarkEnd w:id="343"/>
    <w:bookmarkStart w:id="344" w:name="b.4-sub-layer-0.4-cards-mx-31-to-mx-40"/>
    <w:p>
      <w:pPr>
        <w:pStyle w:val="Heading2"/>
      </w:pPr>
      <w:r>
        <w:t xml:space="preserve">B.4 Sub-Layer 0.4 Cards (MX-31 to MX-40)</w:t>
      </w:r>
    </w:p>
    <w:p>
      <w:pPr>
        <w:pStyle w:val="FirstParagraph"/>
      </w:pPr>
      <w:r>
        <w:rPr>
          <w:bCs/>
          <w:b/>
        </w:rPr>
        <w:t xml:space="preserve">MX-31 Emergency-Tow Readiness.</w:t>
      </w:r>
      <w:r>
        <w:t xml:space="preserve"> </w:t>
      </w:r>
      <w:r>
        <w:t xml:space="preserve">Stations: both floors. Window: refresh every 12 hours. Protocol: maintain joint list of tow-capable vessels (position, bollard pull, availability). Metric: list current at every refresh, 14 days.</w:t>
      </w:r>
    </w:p>
    <w:p>
      <w:pPr>
        <w:pStyle w:val="BodyText"/>
      </w:pPr>
      <w:r>
        <w:rPr>
          <w:bCs/>
          <w:b/>
        </w:rPr>
        <w:t xml:space="preserve">MX-32 Shared Tug-Dispatch.</w:t>
      </w:r>
      <w:r>
        <w:t xml:space="preserve"> </w:t>
      </w:r>
      <w:r>
        <w:t xml:space="preserve">Stations: both floors. Window: on request. Protocol: nearest available tug from the MX-31 list dispatches under its own national tasking; simultaneous notice to the other floor. Metric: dispatch within 30 minutes, 100 percent of events.</w:t>
      </w:r>
    </w:p>
    <w:p>
      <w:pPr>
        <w:pStyle w:val="BodyText"/>
      </w:pPr>
      <w:r>
        <w:rPr>
          <w:bCs/>
          <w:b/>
        </w:rPr>
        <w:t xml:space="preserve">MX-33 Micro-SAR Coordination.</w:t>
      </w:r>
      <w:r>
        <w:t xml:space="preserve"> </w:t>
      </w:r>
      <w:r>
        <w:t xml:space="preserve">Stations: both floors. Window: twice daily. Protocol: exchange SAR readiness status (assets on station, response times). Metric: 14 consecutive complete exchanges.</w:t>
      </w:r>
    </w:p>
    <w:p>
      <w:pPr>
        <w:pStyle w:val="BodyText"/>
      </w:pPr>
      <w:r>
        <w:rPr>
          <w:bCs/>
          <w:b/>
        </w:rPr>
        <w:t xml:space="preserve">MX-34 Micro-SAR Drill.</w:t>
      </w:r>
      <w:r>
        <w:t xml:space="preserve"> </w:t>
      </w:r>
      <w:r>
        <w:t xml:space="preserve">Stations: both floors. Window: weekly, 15 minutes. Protocol: simulated person-in-water position in the Band; execute the Annex C.8 notification ladder; communications only, no asset deployment. Metric: four consecutive drills; every step inside its time standard.</w:t>
      </w:r>
    </w:p>
    <w:p>
      <w:pPr>
        <w:pStyle w:val="BodyText"/>
      </w:pPr>
      <w:r>
        <w:rPr>
          <w:bCs/>
          <w:b/>
        </w:rPr>
        <w:t xml:space="preserve">MX-35 Shared Repair-Ship List.</w:t>
      </w:r>
      <w:r>
        <w:t xml:space="preserve"> </w:t>
      </w:r>
      <w:r>
        <w:t xml:space="preserve">Stations: both floors. Window: weekly verification. Protocol: maintain joint list of repair-capable vessels and diving units with capabilities and contacts. Metric: 95 percent accuracy verified weekly.</w:t>
      </w:r>
    </w:p>
    <w:p>
      <w:pPr>
        <w:pStyle w:val="BodyText"/>
      </w:pPr>
      <w:r>
        <w:rPr>
          <w:bCs/>
          <w:b/>
        </w:rPr>
        <w:t xml:space="preserve">MX-36 Shared Repair-Crew Roster.</w:t>
      </w:r>
      <w:r>
        <w:t xml:space="preserve"> </w:t>
      </w:r>
      <w:r>
        <w:t xml:space="preserve">Stations: four stations. Window: weekly. Protocol: exchange emergency repair-team availability at Bandar Abbas, Qeshm, Khasab, Fujairah. Metric: four consecutive exchanges.</w:t>
      </w:r>
    </w:p>
    <w:p>
      <w:pPr>
        <w:pStyle w:val="BodyText"/>
      </w:pPr>
      <w:r>
        <w:rPr>
          <w:bCs/>
          <w:b/>
        </w:rPr>
        <w:t xml:space="preserve">MX-37 Shared Repair-Dock Timing.</w:t>
      </w:r>
      <w:r>
        <w:t xml:space="preserve"> </w:t>
      </w:r>
      <w:r>
        <w:t xml:space="preserve">Stations: four stations. Window: weekly publication. Protocol: align repair-dock access windows for disabled vessels. Metric: weekly publication; dock assignment within 12 hours of request.</w:t>
      </w:r>
    </w:p>
    <w:p>
      <w:pPr>
        <w:pStyle w:val="BodyText"/>
      </w:pPr>
      <w:r>
        <w:rPr>
          <w:bCs/>
          <w:b/>
        </w:rPr>
        <w:t xml:space="preserve">MX-38 Micro-Repair Coordination.</w:t>
      </w:r>
      <w:r>
        <w:t xml:space="preserve"> </w:t>
      </w:r>
      <w:r>
        <w:t xml:space="preserve">Stations: both floors. Window: one vessel per day. Protocol: align repair scheduling (team, dock, parts) for requested cases through the floors. Metric: 100 percent of requests completed within 24 hours, 14 days.</w:t>
      </w:r>
    </w:p>
    <w:p>
      <w:pPr>
        <w:pStyle w:val="BodyText"/>
      </w:pPr>
      <w:r>
        <w:rPr>
          <w:bCs/>
          <w:b/>
        </w:rPr>
        <w:t xml:space="preserve">MX-39 Joint Drift Prediction.</w:t>
      </w:r>
      <w:r>
        <w:t xml:space="preserve"> </w:t>
      </w:r>
      <w:r>
        <w:t xml:space="preserve">Stations: both floors. Window: hourly during events. Protocol: run the harmonized drift model of B.39.1 for disabled vessels; exchange predictions hourly; score against observed. Metric: error under 2.0 nautical miles at six hours in 80 percent of cases. (B.39.1: the harmonized model uses the joint wind and current fields of MX-03 and MX-04, with leeway coefficients per vessel class fixed in the exercise register.)</w:t>
      </w:r>
    </w:p>
    <w:p>
      <w:pPr>
        <w:pStyle w:val="BodyText"/>
      </w:pPr>
      <w:r>
        <w:rPr>
          <w:bCs/>
          <w:b/>
        </w:rPr>
        <w:t xml:space="preserve">MX-40 Micro-Collision Review.</w:t>
      </w:r>
      <w:r>
        <w:t xml:space="preserve"> </w:t>
      </w:r>
      <w:r>
        <w:t xml:space="preserve">Stations: both floors. Window: per event. Protocol: jointly review each logged near-miss from paired logbook entries; issue a one-paragraph joint finding of fact without fault attribution, within 72 hours. Metric: 100 percent within 72 hours; zero fault language.</w:t>
      </w:r>
    </w:p>
    <w:bookmarkEnd w:id="344"/>
    <w:bookmarkStart w:id="345" w:name="b.5-sub-layer-0.5-cards-mx-41-to-mx-50"/>
    <w:p>
      <w:pPr>
        <w:pStyle w:val="Heading2"/>
      </w:pPr>
      <w:r>
        <w:t xml:space="preserve">B.5 Sub-Layer 0.5 Cards (MX-41 to MX-50)</w:t>
      </w:r>
    </w:p>
    <w:p>
      <w:pPr>
        <w:pStyle w:val="FirstParagraph"/>
      </w:pPr>
      <w:r>
        <w:rPr>
          <w:bCs/>
          <w:b/>
        </w:rPr>
        <w:t xml:space="preserve">MX-41 Shared Logbook Cell.</w:t>
      </w:r>
      <w:r>
        <w:t xml:space="preserve"> </w:t>
      </w:r>
      <w:r>
        <w:t xml:space="preserve">Stations: Lattice Cell. Window: daily. Protocol: the Cell takes custody of the Exercise Logbook; executes the daily audit routine (completeness, pairing, initials). Metric: daily audit, 14 days, zero unreconciled entries.</w:t>
      </w:r>
    </w:p>
    <w:p>
      <w:pPr>
        <w:pStyle w:val="BodyText"/>
      </w:pPr>
      <w:r>
        <w:rPr>
          <w:bCs/>
          <w:b/>
        </w:rPr>
        <w:t xml:space="preserve">MX-42 Micro-Training Exchange.</w:t>
      </w:r>
      <w:r>
        <w:t xml:space="preserve"> </w:t>
      </w:r>
      <w:r>
        <w:t xml:space="preserve">Stations: both floors. Window: five consecutive days. Protocol: each Party seconds two observers to the other’s floor under Annex C.9 (shared picture access only; no operational duties; escorted at all times). Metric: exchange completed; reports exchanged.</w:t>
      </w:r>
    </w:p>
    <w:p>
      <w:pPr>
        <w:pStyle w:val="BodyText"/>
      </w:pPr>
      <w:r>
        <w:rPr>
          <w:bCs/>
          <w:b/>
        </w:rPr>
        <w:t xml:space="preserve">MX-43 Radio-Channel Harmonization.</w:t>
      </w:r>
      <w:r>
        <w:t xml:space="preserve"> </w:t>
      </w:r>
      <w:r>
        <w:t xml:space="preserve">Stations: all. Window: standing. Protocol: operate VHF 16 (distress), 72 (corridor working), 74 (floor coordination) per Annex C.2. Metric: plan published; 14 days without interference events.</w:t>
      </w:r>
    </w:p>
    <w:p>
      <w:pPr>
        <w:pStyle w:val="BodyText"/>
      </w:pPr>
      <w:r>
        <w:rPr>
          <w:bCs/>
          <w:b/>
        </w:rPr>
        <w:t xml:space="preserve">MX-44 Joint Fog-Horn and Signal Protocol.</w:t>
      </w:r>
      <w:r>
        <w:t xml:space="preserve"> </w:t>
      </w:r>
      <w:r>
        <w:t xml:space="preserve">Stations: corridor craft. Window: standing. Protocol: standardize sound and light advisory signals per Annex C.10. Metric: protocol published; 100 percent conformance in advisory events.</w:t>
      </w:r>
    </w:p>
    <w:p>
      <w:pPr>
        <w:pStyle w:val="BodyText"/>
      </w:pPr>
      <w:r>
        <w:rPr>
          <w:bCs/>
          <w:b/>
        </w:rPr>
        <w:t xml:space="preserve">MX-45 Shared Vessel-Intent Form.</w:t>
      </w:r>
      <w:r>
        <w:t xml:space="preserve"> </w:t>
      </w:r>
      <w:r>
        <w:t xml:space="preserve">Stations: Transit Desk (provisional). Window: standing. Protocol: publish the voluntary intent form of Annex L.3; accept filings without acknowledgment duty; record filing rate without consequence. Metric: form published in three languages; rate recorded.</w:t>
      </w:r>
    </w:p>
    <w:p>
      <w:pPr>
        <w:pStyle w:val="BodyText"/>
      </w:pPr>
      <w:r>
        <w:rPr>
          <w:bCs/>
          <w:b/>
        </w:rPr>
        <w:t xml:space="preserve">MX-46 Micro-Fee Simulation.</w:t>
      </w:r>
      <w:r>
        <w:t xml:space="preserve"> </w:t>
      </w:r>
      <w:r>
        <w:t xml:space="preserve">Stations: both floors. Window: daily run. Protocol: run the parallel accounting model of Article 34 against every lattice-window transit at the Annex F.2 simulation rates; reconcile outputs between floors. No money moves. Metric: 14 consecutive runs; reconciliation within 5 percent.</w:t>
      </w:r>
    </w:p>
    <w:p>
      <w:pPr>
        <w:pStyle w:val="BodyText"/>
      </w:pPr>
      <w:r>
        <w:rPr>
          <w:bCs/>
          <w:b/>
        </w:rPr>
        <w:t xml:space="preserve">MX-47 Micro-Oversight Cell.</w:t>
      </w:r>
      <w:r>
        <w:t xml:space="preserve"> </w:t>
      </w:r>
      <w:r>
        <w:t xml:space="preserve">Stations: Lattice Cell. Window: weekly. Protocol: execute the full Article 10 routine (stability note, anomaly review, recommendation drafting). Metric: weekly routine without missed session.</w:t>
      </w:r>
    </w:p>
    <w:p>
      <w:pPr>
        <w:pStyle w:val="BodyText"/>
      </w:pPr>
      <w:r>
        <w:rPr>
          <w:bCs/>
          <w:b/>
        </w:rPr>
        <w:t xml:space="preserve">MX-48 Micro-Governance Review.</w:t>
      </w:r>
      <w:r>
        <w:t xml:space="preserve"> </w:t>
      </w:r>
      <w:r>
        <w:t xml:space="preserve">Stations: Lattice Cell. Window: weekly. Protocol: review the whole lattice in the Annex J.4 format (functions, failures, experiences). Metric: four consecutive reviews on record.</w:t>
      </w:r>
    </w:p>
    <w:p>
      <w:pPr>
        <w:pStyle w:val="BodyText"/>
      </w:pPr>
      <w:r>
        <w:rPr>
          <w:bCs/>
          <w:b/>
        </w:rPr>
        <w:t xml:space="preserve">MX-49 Pilot-Compatibility Audit.</w:t>
      </w:r>
      <w:r>
        <w:t xml:space="preserve"> </w:t>
      </w:r>
      <w:r>
        <w:t xml:space="preserve">Stations: neutral Cell member. Window: weekly. Protocol: audit every active exercise against the Article 9.2 rules; report drift toward authority, enforcement, or sovereignty implication. Metric: weekly audit; remediation or suspension within 48 hours of any finding.</w:t>
      </w:r>
    </w:p>
    <w:p>
      <w:pPr>
        <w:pStyle w:val="BodyText"/>
      </w:pPr>
      <w:r>
        <w:rPr>
          <w:bCs/>
          <w:b/>
        </w:rPr>
        <w:t xml:space="preserve">MX-50 Corridor-Expansion Test.</w:t>
      </w:r>
      <w:r>
        <w:t xml:space="preserve"> </w:t>
      </w:r>
      <w:r>
        <w:t xml:space="preserve">Stations: both floors. Window: one-week simulation. Protocol: simulate the MX-11 window at 24 hours on the shared picture; record projected conflicts and capacity; no vessel involvement. Metric: simulation report on record for the Layer 2 design review.</w:t>
      </w:r>
    </w:p>
    <w:bookmarkEnd w:id="345"/>
    <w:bookmarkEnd w:id="346"/>
    <w:bookmarkStart w:id="358" w:name="X1c9d764d46a11a5fa957324891485517ee92298"/>
    <w:p>
      <w:pPr>
        <w:pStyle w:val="Heading1"/>
      </w:pPr>
      <w:r>
        <w:t xml:space="preserve">ANNEX C: COMMUNICATIONS AND HOTLINE PROTOCOL</w:t>
      </w:r>
    </w:p>
    <w:bookmarkStart w:id="347" w:name="c.1-the-network"/>
    <w:p>
      <w:pPr>
        <w:pStyle w:val="Heading2"/>
      </w:pPr>
      <w:r>
        <w:t xml:space="preserve">C.1 The Network</w:t>
      </w:r>
    </w:p>
    <w:p>
      <w:pPr>
        <w:pStyle w:val="FirstParagraph"/>
      </w:pPr>
      <w:r>
        <w:t xml:space="preserve">The communications architecture operates as a five-node ring: the Muscat watch floor, the Bandar Abbas mirror floor, the United States Fifth Fleet operational headquarters, the Iranian Navy and IRGC Navy liaison desk, and the Royal Navy of Oman headquarters. The ring carries voice, data, and the alert formats of this Annex, and tests hourly on an automatic schedule with results logged.</w:t>
      </w:r>
    </w:p>
    <w:bookmarkEnd w:id="347"/>
    <w:bookmarkStart w:id="348" w:name="c.2-table-c.2-channel-plan"/>
    <w:p>
      <w:pPr>
        <w:pStyle w:val="Heading2"/>
      </w:pPr>
      <w:r>
        <w:t xml:space="preserve">C.2 Table C.2: Channel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Function</w:t>
            </w:r>
          </w:p>
        </w:tc>
        <w:tc>
          <w:tcPr/>
          <w:p>
            <w:pPr>
              <w:pStyle w:val="Compact"/>
              <w:jc w:val="left"/>
            </w:pPr>
            <w:r>
              <w:t xml:space="preserve">Users</w:t>
            </w:r>
          </w:p>
        </w:tc>
      </w:tr>
      <w:tr>
        <w:tc>
          <w:tcPr/>
          <w:p>
            <w:pPr>
              <w:pStyle w:val="Compact"/>
              <w:jc w:val="left"/>
            </w:pPr>
            <w:r>
              <w:t xml:space="preserve">VHF 16</w:t>
            </w:r>
          </w:p>
        </w:tc>
        <w:tc>
          <w:tcPr/>
          <w:p>
            <w:pPr>
              <w:pStyle w:val="Compact"/>
              <w:jc w:val="left"/>
            </w:pPr>
            <w:r>
              <w:t xml:space="preserve">Distress and calling</w:t>
            </w:r>
          </w:p>
        </w:tc>
        <w:tc>
          <w:tcPr/>
          <w:p>
            <w:pPr>
              <w:pStyle w:val="Compact"/>
              <w:jc w:val="left"/>
            </w:pPr>
            <w:r>
              <w:t xml:space="preserve">All vessels, all stations</w:t>
            </w:r>
          </w:p>
        </w:tc>
      </w:tr>
      <w:tr>
        <w:tc>
          <w:tcPr/>
          <w:p>
            <w:pPr>
              <w:pStyle w:val="Compact"/>
              <w:jc w:val="left"/>
            </w:pPr>
            <w:r>
              <w:t xml:space="preserve">VHF 72</w:t>
            </w:r>
          </w:p>
        </w:tc>
        <w:tc>
          <w:tcPr/>
          <w:p>
            <w:pPr>
              <w:pStyle w:val="Compact"/>
              <w:jc w:val="left"/>
            </w:pPr>
            <w:r>
              <w:t xml:space="preserve">Corridor working channel</w:t>
            </w:r>
          </w:p>
        </w:tc>
        <w:tc>
          <w:tcPr/>
          <w:p>
            <w:pPr>
              <w:pStyle w:val="Compact"/>
              <w:jc w:val="left"/>
            </w:pPr>
            <w:r>
              <w:t xml:space="preserve">Transiting vessels, corridor administrators, escorts</w:t>
            </w:r>
          </w:p>
        </w:tc>
      </w:tr>
      <w:tr>
        <w:tc>
          <w:tcPr/>
          <w:p>
            <w:pPr>
              <w:pStyle w:val="Compact"/>
              <w:jc w:val="left"/>
            </w:pPr>
            <w:r>
              <w:t xml:space="preserve">VHF 74</w:t>
            </w:r>
          </w:p>
        </w:tc>
        <w:tc>
          <w:tcPr/>
          <w:p>
            <w:pPr>
              <w:pStyle w:val="Compact"/>
              <w:jc w:val="left"/>
            </w:pPr>
            <w:r>
              <w:t xml:space="preserve">Watch-floor coordination</w:t>
            </w:r>
          </w:p>
        </w:tc>
        <w:tc>
          <w:tcPr/>
          <w:p>
            <w:pPr>
              <w:pStyle w:val="Compact"/>
              <w:jc w:val="left"/>
            </w:pPr>
            <w:r>
              <w:t xml:space="preserve">The two floors, liaison stations</w:t>
            </w:r>
          </w:p>
        </w:tc>
      </w:tr>
      <w:tr>
        <w:tc>
          <w:tcPr/>
          <w:p>
            <w:pPr>
              <w:pStyle w:val="Compact"/>
              <w:jc w:val="left"/>
            </w:pPr>
            <w:r>
              <w:t xml:space="preserve">VHF 69</w:t>
            </w:r>
          </w:p>
        </w:tc>
        <w:tc>
          <w:tcPr/>
          <w:p>
            <w:pPr>
              <w:pStyle w:val="Compact"/>
              <w:jc w:val="left"/>
            </w:pPr>
            <w:r>
              <w:t xml:space="preserve">Escort working channel</w:t>
            </w:r>
          </w:p>
        </w:tc>
        <w:tc>
          <w:tcPr/>
          <w:p>
            <w:pPr>
              <w:pStyle w:val="Compact"/>
              <w:jc w:val="left"/>
            </w:pPr>
            <w:r>
              <w:t xml:space="preserve">Lead escorts and floors (no vessel commands)</w:t>
            </w:r>
          </w:p>
        </w:tc>
      </w:tr>
      <w:tr>
        <w:tc>
          <w:tcPr/>
          <w:p>
            <w:pPr>
              <w:pStyle w:val="Compact"/>
              <w:jc w:val="left"/>
            </w:pPr>
            <w:r>
              <w:t xml:space="preserve">Dedicated link</w:t>
            </w:r>
          </w:p>
        </w:tc>
        <w:tc>
          <w:tcPr/>
          <w:p>
            <w:pPr>
              <w:pStyle w:val="Compact"/>
              <w:jc w:val="left"/>
            </w:pPr>
            <w:r>
              <w:t xml:space="preserve">Meridian Data Exchange synchronization</w:t>
            </w:r>
          </w:p>
        </w:tc>
        <w:tc>
          <w:tcPr/>
          <w:p>
            <w:pPr>
              <w:pStyle w:val="Compact"/>
              <w:jc w:val="left"/>
            </w:pPr>
            <w:r>
              <w:t xml:space="preserve">The two servers</w:t>
            </w:r>
          </w:p>
        </w:tc>
      </w:tr>
      <w:tr>
        <w:tc>
          <w:tcPr/>
          <w:p>
            <w:pPr>
              <w:pStyle w:val="Compact"/>
              <w:jc w:val="left"/>
            </w:pPr>
            <w:r>
              <w:t xml:space="preserve">Ring circuit</w:t>
            </w:r>
          </w:p>
        </w:tc>
        <w:tc>
          <w:tcPr/>
          <w:p>
            <w:pPr>
              <w:pStyle w:val="Compact"/>
              <w:jc w:val="left"/>
            </w:pPr>
            <w:r>
              <w:t xml:space="preserve">Deconfliction hotline</w:t>
            </w:r>
          </w:p>
        </w:tc>
        <w:tc>
          <w:tcPr/>
          <w:p>
            <w:pPr>
              <w:pStyle w:val="Compact"/>
              <w:jc w:val="left"/>
            </w:pPr>
            <w:r>
              <w:t xml:space="preserve">The five nodes</w:t>
            </w:r>
          </w:p>
        </w:tc>
      </w:tr>
    </w:tbl>
    <w:bookmarkEnd w:id="348"/>
    <w:bookmarkStart w:id="349" w:name="c.3-the-dedicated-link"/>
    <w:p>
      <w:pPr>
        <w:pStyle w:val="Heading2"/>
      </w:pPr>
      <w:r>
        <w:t xml:space="preserve">C.3 The Dedicated Link</w:t>
      </w:r>
    </w:p>
    <w:p>
      <w:pPr>
        <w:pStyle w:val="FirstParagraph"/>
      </w:pPr>
      <w:r>
        <w:t xml:space="preserve">The Exchange link runs on two physically separate paths (submarine cable and microwave relay) with automatic failover. Link availability target: 99.9 percent monthly. Every failover and restoration logs.</w:t>
      </w:r>
    </w:p>
    <w:bookmarkEnd w:id="349"/>
    <w:bookmarkStart w:id="350" w:name="c.4-standard-formats"/>
    <w:p>
      <w:pPr>
        <w:pStyle w:val="Heading2"/>
      </w:pPr>
      <w:r>
        <w:t xml:space="preserve">C.4 Standard Formats</w:t>
      </w:r>
    </w:p>
    <w:p>
      <w:pPr>
        <w:pStyle w:val="FirstParagraph"/>
      </w:pPr>
      <w:r>
        <w:t xml:space="preserve">AIS snapshot (MX-01): identity, position, course, speed, timestamp, one line per vessel. Voice report (Article 22.5): identity, position, next reporting point, three lines. All formats in English with Farsi and Arabic parallel text on request.</w:t>
      </w:r>
    </w:p>
    <w:bookmarkEnd w:id="350"/>
    <w:bookmarkStart w:id="351" w:name="c.5-visibility-code-mx-02"/>
    <w:p>
      <w:pPr>
        <w:pStyle w:val="Heading2"/>
      </w:pPr>
      <w:r>
        <w:t xml:space="preserve">C.5 Visibility Code (MX-02)</w:t>
      </w:r>
    </w:p>
    <w:p>
      <w:pPr>
        <w:pStyle w:val="FirstParagraph"/>
      </w:pPr>
      <w:r>
        <w:t xml:space="preserve">One line: station identifier, UTC time, visibility in meters, fog flag (0 or 1). Example: KHS 0600 4500 0.</w:t>
      </w:r>
    </w:p>
    <w:bookmarkEnd w:id="351"/>
    <w:bookmarkStart w:id="352" w:name="c.6-joint-hazard-symbols"/>
    <w:p>
      <w:pPr>
        <w:pStyle w:val="Heading2"/>
      </w:pPr>
      <w:r>
        <w:t xml:space="preserve">C.6 Joint Hazard Symbols</w:t>
      </w:r>
    </w:p>
    <w:p>
      <w:pPr>
        <w:pStyle w:val="FirstParagraph"/>
      </w:pPr>
      <w:r>
        <w:t xml:space="preserve">The symbol register adopts the standard chart symbols for: debris, unlit vessel, mine-like contact, disabled vessel, spill, net or gear, survey operation, and flow-state boundary. The register publishes at MX-09 and amends through the Technical and Standards Committee.</w:t>
      </w:r>
    </w:p>
    <w:bookmarkEnd w:id="352"/>
    <w:bookmarkStart w:id="353" w:name="c.7-dual-ping-event-classes-mx-21"/>
    <w:p>
      <w:pPr>
        <w:pStyle w:val="Heading2"/>
      </w:pPr>
      <w:r>
        <w:t xml:space="preserve">C.7 Dual-Ping Event Classes (MX-21)</w:t>
      </w:r>
    </w:p>
    <w:p>
      <w:pPr>
        <w:pStyle w:val="FirstParagraph"/>
      </w:pPr>
      <w:r>
        <w:t xml:space="preserve">Class codes: MECH (mechanical failure), NMSS (near-miss), DISB (disabled vessel), DRFT (drift), SPILL (release), DEBRS (debris), RESTR (restart). Ping one carries the class; ping two carries position and status.</w:t>
      </w:r>
    </w:p>
    <w:bookmarkEnd w:id="353"/>
    <w:bookmarkStart w:id="354" w:name="c.8-sar-notification-ladder-mx-34"/>
    <w:p>
      <w:pPr>
        <w:pStyle w:val="Heading2"/>
      </w:pPr>
      <w:r>
        <w:t xml:space="preserve">C.8 SAR Notification Ladder (MX-34)</w:t>
      </w:r>
    </w:p>
    <w:p>
      <w:pPr>
        <w:pStyle w:val="FirstParagraph"/>
      </w:pPr>
      <w:r>
        <w:t xml:space="preserve">Step one: observing floor alerts the ring within 60 seconds. Step two: responsible administrator acknowledges within 120 seconds. Step three: asset status confirmation within five minutes. Step four: coordination assumption announcement within ten minutes. The drill scores every step against these standards.</w:t>
      </w:r>
    </w:p>
    <w:bookmarkEnd w:id="354"/>
    <w:bookmarkStart w:id="355" w:name="c.9-observation-protocol-mx-42"/>
    <w:p>
      <w:pPr>
        <w:pStyle w:val="Heading2"/>
      </w:pPr>
      <w:r>
        <w:t xml:space="preserve">C.9 Observation Protocol (MX-42)</w:t>
      </w:r>
    </w:p>
    <w:p>
      <w:pPr>
        <w:pStyle w:val="FirstParagraph"/>
      </w:pPr>
      <w:r>
        <w:t xml:space="preserve">Observers access the shared picture only; hold no system credentials; perform no operational duties; remain escorted on the host floor; and file observations only to their own floor and the Lattice Cell.</w:t>
      </w:r>
    </w:p>
    <w:bookmarkEnd w:id="355"/>
    <w:bookmarkStart w:id="356" w:name="c.10-advisory-signal-standard-mx-44"/>
    <w:p>
      <w:pPr>
        <w:pStyle w:val="Heading2"/>
      </w:pPr>
      <w:r>
        <w:t xml:space="preserve">C.10 Advisory Signal Standard (MX-44)</w:t>
      </w:r>
    </w:p>
    <w:p>
      <w:pPr>
        <w:pStyle w:val="FirstParagraph"/>
      </w:pPr>
      <w:r>
        <w:t xml:space="preserve">Restricted visibility advisory: one prolonged blast repeated at two-minute intervals. Hazard ahead advisory: three short blasts. Anchorage guidance: two prolonged, one short. Light signals mirror the sound patterns. The standard publishes in the Bulletin.</w:t>
      </w:r>
    </w:p>
    <w:bookmarkEnd w:id="356"/>
    <w:bookmarkStart w:id="357" w:name="X866b094751adca273047b6e2832c02cec570a21"/>
    <w:p>
      <w:pPr>
        <w:pStyle w:val="Heading2"/>
      </w:pPr>
      <w:r>
        <w:t xml:space="preserve">C.11 Table C.3: Standoff Geometry (Article 29.1)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Distance</w:t>
            </w:r>
          </w:p>
        </w:tc>
      </w:tr>
      <w:tr>
        <w:tc>
          <w:tcPr/>
          <w:p>
            <w:pPr>
              <w:pStyle w:val="Compact"/>
              <w:jc w:val="left"/>
            </w:pPr>
            <w:r>
              <w:t xml:space="preserve">Naval vessel to commercial vessel in corridor</w:t>
            </w:r>
          </w:p>
        </w:tc>
        <w:tc>
          <w:tcPr/>
          <w:p>
            <w:pPr>
              <w:pStyle w:val="Compact"/>
              <w:jc w:val="left"/>
            </w:pPr>
            <w:r>
              <w:t xml:space="preserve">3.0 nautical miles minimum (except requested escort or distress)</w:t>
            </w:r>
          </w:p>
        </w:tc>
      </w:tr>
      <w:tr>
        <w:tc>
          <w:tcPr/>
          <w:p>
            <w:pPr>
              <w:pStyle w:val="Compact"/>
              <w:jc w:val="left"/>
            </w:pPr>
            <w:r>
              <w:t xml:space="preserve">Opposed naval pairs to corridor centerlines</w:t>
            </w:r>
          </w:p>
        </w:tc>
        <w:tc>
          <w:tcPr/>
          <w:p>
            <w:pPr>
              <w:pStyle w:val="Compact"/>
              <w:jc w:val="left"/>
            </w:pPr>
            <w:r>
              <w:t xml:space="preserve">6.0 nautical miles minimum</w:t>
            </w:r>
          </w:p>
        </w:tc>
      </w:tr>
      <w:tr>
        <w:tc>
          <w:tcPr/>
          <w:p>
            <w:pPr>
              <w:pStyle w:val="Compact"/>
              <w:jc w:val="left"/>
            </w:pPr>
            <w:r>
              <w:t xml:space="preserve">Speed craft lateral distance from commercial vessels</w:t>
            </w:r>
          </w:p>
        </w:tc>
        <w:tc>
          <w:tcPr/>
          <w:p>
            <w:pPr>
              <w:pStyle w:val="Compact"/>
              <w:jc w:val="left"/>
            </w:pPr>
            <w:r>
              <w:t xml:space="preserve">1,000 meters minimum (except SAR or pre-notified escort)</w:t>
            </w:r>
          </w:p>
        </w:tc>
      </w:tr>
      <w:tr>
        <w:tc>
          <w:tcPr/>
          <w:p>
            <w:pPr>
              <w:pStyle w:val="Compact"/>
              <w:jc w:val="left"/>
            </w:pPr>
            <w:r>
              <w:t xml:space="preserve">Unmanned aerial systems lateral distance from commercial vessels</w:t>
            </w:r>
          </w:p>
        </w:tc>
        <w:tc>
          <w:tcPr/>
          <w:p>
            <w:pPr>
              <w:pStyle w:val="Compact"/>
              <w:jc w:val="left"/>
            </w:pPr>
            <w:r>
              <w:t xml:space="preserve">2.0 nautical miles minimum</w:t>
            </w:r>
          </w:p>
        </w:tc>
      </w:tr>
    </w:tbl>
    <w:bookmarkEnd w:id="357"/>
    <w:bookmarkEnd w:id="358"/>
    <w:bookmarkStart w:id="367" w:name="annex-d-verification-standards"/>
    <w:p>
      <w:pPr>
        <w:pStyle w:val="Heading1"/>
      </w:pPr>
      <w:r>
        <w:t xml:space="preserve">ANNEX D: VERIFICATION STANDARDS</w:t>
      </w:r>
    </w:p>
    <w:bookmarkStart w:id="359" w:name="d.1-the-human-anchor-method"/>
    <w:p>
      <w:pPr>
        <w:pStyle w:val="Heading2"/>
      </w:pPr>
      <w:r>
        <w:t xml:space="preserve">D.1 The Human Anchor Method</w:t>
      </w:r>
    </w:p>
    <w:p>
      <w:pPr>
        <w:pStyle w:val="FirstParagraph"/>
      </w:pPr>
      <w:r>
        <w:t xml:space="preserve">Every verification determination pairs the machine record with trained human observation at the point of event: watch-floor observers for corridor events, remote observation for vessel events, sector observers for survey events, and the integrity watch for data events. A determination states both inputs on its face.</w:t>
      </w:r>
    </w:p>
    <w:bookmarkEnd w:id="359"/>
    <w:bookmarkStart w:id="360" w:name="d.2-the-convergence-standard"/>
    <w:p>
      <w:pPr>
        <w:pStyle w:val="Heading2"/>
      </w:pPr>
      <w:r>
        <w:t xml:space="preserve">D.2 The Convergence Standard</w:t>
      </w:r>
    </w:p>
    <w:p>
      <w:pPr>
        <w:pStyle w:val="FirstParagraph"/>
      </w:pPr>
      <w:r>
        <w:t xml:space="preserve">No finding of fact rests on a single input. Convergence requires two or more independent inputs in agreement: AIS plus radar; observer plus log; national record plus Exchange record; sonar contact plus diver confirmation. A finding lists its inputs; a single-input observation records as unverified and carries no consequence.</w:t>
      </w:r>
    </w:p>
    <w:bookmarkEnd w:id="360"/>
    <w:bookmarkStart w:id="361" w:name="d.3-the-clean-week-verification-standard"/>
    <w:p>
      <w:pPr>
        <w:pStyle w:val="Heading2"/>
      </w:pPr>
      <w:r>
        <w:t xml:space="preserve">D.3 The Clean Week Verification Standard</w:t>
      </w:r>
    </w:p>
    <w:p>
      <w:pPr>
        <w:pStyle w:val="FirstParagraph"/>
      </w:pPr>
      <w:r>
        <w:t xml:space="preserve">The Neutral Watch Office determines each Clean Week from the Exchange record within twelve hours of the period’s close, against four tests: zero events classified E-2 or higher; zero unresolved Level-2 incidents; service standards at 95 percent across both corridors; and data parity at 99.5 percent. The determination publishes with the full test record. The standard admits no discretion: the record either passes the four tests or fails them.</w:t>
      </w:r>
    </w:p>
    <w:bookmarkEnd w:id="361"/>
    <w:bookmarkStart w:id="362" w:name="d.4-incident-classification-levels"/>
    <w:p>
      <w:pPr>
        <w:pStyle w:val="Heading2"/>
      </w:pPr>
      <w:r>
        <w:t xml:space="preserve">D.4 Incident Classification (Levels)</w:t>
      </w:r>
    </w:p>
    <w:p>
      <w:pPr>
        <w:pStyle w:val="FirstParagraph"/>
      </w:pPr>
      <w:r>
        <w:t xml:space="preserve">Level 1: minor anomaly, resolved on the floor, logged. Level 2: significant incident requiring liaison engagement, logged with resolution record. Level 3: grave incident activating the incident ladder beyond rung two, logged with the full ladder record. An unresolved Level-2 incident is a Level-2 incident without a resolution record after 72 hours.</w:t>
      </w:r>
    </w:p>
    <w:bookmarkEnd w:id="362"/>
    <w:bookmarkStart w:id="363" w:name="d.5-observation-cross-checks"/>
    <w:p>
      <w:pPr>
        <w:pStyle w:val="Heading2"/>
      </w:pPr>
      <w:r>
        <w:t xml:space="preserve">D.5 Observation Cross-Checks</w:t>
      </w:r>
    </w:p>
    <w:p>
      <w:pPr>
        <w:pStyle w:val="FirstParagraph"/>
      </w:pPr>
      <w:r>
        <w:t xml:space="preserve">The Office conducts unannounced cross-checks weekly: independent observation of a sample of corridor events against the floors’ logs, with divergence rates published.</w:t>
      </w:r>
    </w:p>
    <w:bookmarkEnd w:id="363"/>
    <w:bookmarkStart w:id="364" w:name="d.6-the-integrity-watch"/>
    <w:p>
      <w:pPr>
        <w:pStyle w:val="Heading2"/>
      </w:pPr>
      <w:r>
        <w:t xml:space="preserve">D.6 The Integrity Watch</w:t>
      </w:r>
    </w:p>
    <w:p>
      <w:pPr>
        <w:pStyle w:val="FirstParagraph"/>
      </w:pPr>
      <w:r>
        <w:t xml:space="preserve">The integrity watch audits Exchange access logs weekly, probes for feed tampering with injected test signals, verifies custody chains on sampled elements, and publishes every finding. The watch reports to the Integrity Cell of Article 42.5.</w:t>
      </w:r>
    </w:p>
    <w:bookmarkEnd w:id="364"/>
    <w:bookmarkStart w:id="365" w:name="d.7-technical-review"/>
    <w:p>
      <w:pPr>
        <w:pStyle w:val="Heading2"/>
      </w:pPr>
      <w:r>
        <w:t xml:space="preserve">D.7 Technical Review</w:t>
      </w:r>
    </w:p>
    <w:p>
      <w:pPr>
        <w:pStyle w:val="FirstParagraph"/>
      </w:pPr>
      <w:r>
        <w:t xml:space="preserve">The Technical and Standards Committee (three members per Principal Party, two neutral experts, IMO liaison observing) reviews any parity shortfall, format failure, or standards question, and issues binding technical guidance within 14 days.</w:t>
      </w:r>
    </w:p>
    <w:bookmarkEnd w:id="365"/>
    <w:bookmarkStart w:id="366" w:name="d.8-vessel-specific-safety-restrictions"/>
    <w:p>
      <w:pPr>
        <w:pStyle w:val="Heading2"/>
      </w:pPr>
      <w:r>
        <w:t xml:space="preserve">D.8 Vessel-Specific Safety Restrictions</w:t>
      </w:r>
    </w:p>
    <w:p>
      <w:pPr>
        <w:pStyle w:val="FirstParagraph"/>
      </w:pPr>
      <w:r>
        <w:t xml:space="preserve">A specific vessel with a verified unsafe condition (documented structural, machinery, or crewing deficiency under international safety standards) transits under an individualized safety plan published with its factual basis and its remediation path. The restriction attaches to the vessel’s condition, never to its flag, owner, cargo’s origin, or nationality, and lifts automatically upon the Office’s verification of remediation.</w:t>
      </w:r>
    </w:p>
    <w:bookmarkEnd w:id="366"/>
    <w:bookmarkEnd w:id="367"/>
    <w:bookmarkStart w:id="372" w:name="Xade29e27304108a9e80a5e1d1f44dc329ecef13"/>
    <w:p>
      <w:pPr>
        <w:pStyle w:val="Heading1"/>
      </w:pPr>
      <w:r>
        <w:t xml:space="preserve">ANNEX E: THE GRADUATED TRUST ESCALATOR: CONVERSION MATRIX AND EVENT SCHEDULE</w:t>
      </w:r>
    </w:p>
    <w:bookmarkStart w:id="368" w:name="e.1-the-master-conversion-matrix"/>
    <w:p>
      <w:pPr>
        <w:pStyle w:val="Heading2"/>
      </w:pPr>
      <w:r>
        <w:t xml:space="preserve">E.1 The Master Conversion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Band</w:t>
            </w:r>
          </w:p>
        </w:tc>
        <w:tc>
          <w:tcPr/>
          <w:p>
            <w:pPr>
              <w:pStyle w:val="Compact"/>
              <w:jc w:val="left"/>
            </w:pPr>
            <w:r>
              <w:t xml:space="preserve">Control Weight</w:t>
            </w:r>
          </w:p>
        </w:tc>
        <w:tc>
          <w:tcPr/>
          <w:p>
            <w:pPr>
              <w:pStyle w:val="Compact"/>
              <w:jc w:val="left"/>
            </w:pPr>
            <w:r>
              <w:t xml:space="preserve">Corridor Function</w:t>
            </w:r>
          </w:p>
        </w:tc>
        <w:tc>
          <w:tcPr/>
          <w:p>
            <w:pPr>
              <w:pStyle w:val="Compact"/>
              <w:jc w:val="left"/>
            </w:pPr>
            <w:r>
              <w:t xml:space="preserve">Twin Key Composition</w:t>
            </w:r>
          </w:p>
        </w:tc>
        <w:tc>
          <w:tcPr/>
          <w:p>
            <w:pPr>
              <w:pStyle w:val="Compact"/>
              <w:jc w:val="left"/>
            </w:pPr>
            <w:r>
              <w:t xml:space="preserve">Revenue Share (Iran)</w:t>
            </w:r>
          </w:p>
        </w:tc>
        <w:tc>
          <w:tcPr/>
          <w:p>
            <w:pPr>
              <w:pStyle w:val="Compact"/>
              <w:jc w:val="left"/>
            </w:pPr>
            <w:r>
              <w:t xml:space="preserve">Council Voice (Iran / Oman)</w:t>
            </w:r>
          </w:p>
        </w:tc>
      </w:tr>
      <w:tr>
        <w:tc>
          <w:tcPr/>
          <w:p>
            <w:pPr>
              <w:pStyle w:val="Compact"/>
              <w:jc w:val="left"/>
            </w:pPr>
            <w:r>
              <w:t xml:space="preserve">Baseline</w:t>
            </w:r>
          </w:p>
        </w:tc>
        <w:tc>
          <w:tcPr/>
          <w:p>
            <w:pPr>
              <w:pStyle w:val="Compact"/>
              <w:jc w:val="left"/>
            </w:pPr>
            <w:r>
              <w:t xml:space="preserve">33 percent</w:t>
            </w:r>
          </w:p>
        </w:tc>
        <w:tc>
          <w:tcPr/>
          <w:p>
            <w:pPr>
              <w:pStyle w:val="Compact"/>
              <w:jc w:val="left"/>
            </w:pPr>
            <w:r>
              <w:t xml:space="preserve">Northern Coordination Passage administration</w:t>
            </w:r>
          </w:p>
        </w:tc>
        <w:tc>
          <w:tcPr/>
          <w:p>
            <w:pPr>
              <w:pStyle w:val="Compact"/>
              <w:jc w:val="left"/>
            </w:pPr>
            <w:r>
              <w:t xml:space="preserve">One Iranian plus one Omani keyholder for northern Band actions</w:t>
            </w:r>
          </w:p>
        </w:tc>
        <w:tc>
          <w:tcPr/>
          <w:p>
            <w:pPr>
              <w:pStyle w:val="Compact"/>
              <w:jc w:val="left"/>
            </w:pPr>
            <w:r>
              <w:t xml:space="preserve">33 percent</w:t>
            </w:r>
          </w:p>
        </w:tc>
        <w:tc>
          <w:tcPr/>
          <w:p>
            <w:pPr>
              <w:pStyle w:val="Compact"/>
              <w:jc w:val="left"/>
            </w:pPr>
            <w:r>
              <w:t xml:space="preserve">Co-equal (33 / 67 procedural weight)</w:t>
            </w:r>
          </w:p>
        </w:tc>
      </w:tr>
      <w:tr>
        <w:tc>
          <w:tcPr/>
          <w:p>
            <w:pPr>
              <w:pStyle w:val="Compact"/>
              <w:jc w:val="left"/>
            </w:pPr>
            <w:r>
              <w:t xml:space="preserve">Step One</w:t>
            </w:r>
          </w:p>
        </w:tc>
        <w:tc>
          <w:tcPr/>
          <w:p>
            <w:pPr>
              <w:pStyle w:val="Compact"/>
              <w:jc w:val="left"/>
            </w:pPr>
            <w:r>
              <w:t xml:space="preserve">43 percent</w:t>
            </w:r>
          </w:p>
        </w:tc>
        <w:tc>
          <w:tcPr/>
          <w:p>
            <w:pPr>
              <w:pStyle w:val="Compact"/>
              <w:jc w:val="left"/>
            </w:pPr>
            <w:r>
              <w:t xml:space="preserve">Adds northern Band monitoring stations</w:t>
            </w:r>
          </w:p>
        </w:tc>
        <w:tc>
          <w:tcPr/>
          <w:p>
            <w:pPr>
              <w:pStyle w:val="Compact"/>
              <w:jc w:val="left"/>
            </w:pPr>
            <w:r>
              <w:t xml:space="preserve">Same; Iranian concurrence recorded with enhanced weight</w:t>
            </w:r>
          </w:p>
        </w:tc>
        <w:tc>
          <w:tcPr/>
          <w:p>
            <w:pPr>
              <w:pStyle w:val="Compact"/>
              <w:jc w:val="left"/>
            </w:pPr>
            <w:r>
              <w:t xml:space="preserve">40 percent</w:t>
            </w:r>
          </w:p>
        </w:tc>
        <w:tc>
          <w:tcPr/>
          <w:p>
            <w:pPr>
              <w:pStyle w:val="Compact"/>
              <w:jc w:val="left"/>
            </w:pPr>
            <w:r>
              <w:t xml:space="preserve">40 / 60</w:t>
            </w:r>
          </w:p>
        </w:tc>
      </w:tr>
      <w:tr>
        <w:tc>
          <w:tcPr/>
          <w:p>
            <w:pPr>
              <w:pStyle w:val="Compact"/>
              <w:jc w:val="left"/>
            </w:pPr>
            <w:r>
              <w:t xml:space="preserve">Step Two</w:t>
            </w:r>
          </w:p>
        </w:tc>
        <w:tc>
          <w:tcPr/>
          <w:p>
            <w:pPr>
              <w:pStyle w:val="Compact"/>
              <w:jc w:val="left"/>
            </w:pPr>
            <w:r>
              <w:t xml:space="preserve">53 percent</w:t>
            </w:r>
          </w:p>
        </w:tc>
        <w:tc>
          <w:tcPr/>
          <w:p>
            <w:pPr>
              <w:pStyle w:val="Compact"/>
              <w:jc w:val="left"/>
            </w:pPr>
            <w:r>
              <w:t xml:space="preserve">Adds joint Band emergency-routing desk</w:t>
            </w:r>
          </w:p>
        </w:tc>
        <w:tc>
          <w:tcPr/>
          <w:p>
            <w:pPr>
              <w:pStyle w:val="Compact"/>
              <w:jc w:val="left"/>
            </w:pPr>
            <w:r>
              <w:t xml:space="preserve">Same; Iran co-chairs the Band desk</w:t>
            </w:r>
          </w:p>
        </w:tc>
        <w:tc>
          <w:tcPr/>
          <w:p>
            <w:pPr>
              <w:pStyle w:val="Compact"/>
              <w:jc w:val="left"/>
            </w:pPr>
            <w:r>
              <w:t xml:space="preserve">45 percent</w:t>
            </w:r>
          </w:p>
        </w:tc>
        <w:tc>
          <w:tcPr/>
          <w:p>
            <w:pPr>
              <w:pStyle w:val="Compact"/>
              <w:jc w:val="left"/>
            </w:pPr>
            <w:r>
              <w:t xml:space="preserve">45 / 55</w:t>
            </w:r>
          </w:p>
        </w:tc>
      </w:tr>
      <w:tr>
        <w:tc>
          <w:tcPr/>
          <w:p>
            <w:pPr>
              <w:pStyle w:val="Compact"/>
              <w:jc w:val="left"/>
            </w:pPr>
            <w:r>
              <w:t xml:space="preserve">Step Three</w:t>
            </w:r>
          </w:p>
        </w:tc>
        <w:tc>
          <w:tcPr/>
          <w:p>
            <w:pPr>
              <w:pStyle w:val="Compact"/>
              <w:jc w:val="left"/>
            </w:pPr>
            <w:r>
              <w:t xml:space="preserve">63 percent</w:t>
            </w:r>
          </w:p>
        </w:tc>
        <w:tc>
          <w:tcPr/>
          <w:p>
            <w:pPr>
              <w:pStyle w:val="Compact"/>
              <w:jc w:val="left"/>
            </w:pPr>
            <w:r>
              <w:t xml:space="preserve">Adds co-administration of Band emergency routing</w:t>
            </w:r>
          </w:p>
        </w:tc>
        <w:tc>
          <w:tcPr/>
          <w:p>
            <w:pPr>
              <w:pStyle w:val="Compact"/>
              <w:jc w:val="left"/>
            </w:pPr>
            <w:r>
              <w:t xml:space="preserve">Two-of-three concurrence introduced for Band actions</w:t>
            </w:r>
          </w:p>
        </w:tc>
        <w:tc>
          <w:tcPr/>
          <w:p>
            <w:pPr>
              <w:pStyle w:val="Compact"/>
              <w:jc w:val="left"/>
            </w:pPr>
            <w:r>
              <w:t xml:space="preserve">50 percent</w:t>
            </w:r>
          </w:p>
        </w:tc>
        <w:tc>
          <w:tcPr/>
          <w:p>
            <w:pPr>
              <w:pStyle w:val="Compact"/>
              <w:jc w:val="left"/>
            </w:pPr>
            <w:r>
              <w:t xml:space="preserve">50 / 50</w:t>
            </w:r>
          </w:p>
        </w:tc>
      </w:tr>
      <w:tr>
        <w:tc>
          <w:tcPr/>
          <w:p>
            <w:pPr>
              <w:pStyle w:val="Compact"/>
              <w:jc w:val="left"/>
            </w:pPr>
            <w:r>
              <w:t xml:space="preserve">Step Four</w:t>
            </w:r>
          </w:p>
        </w:tc>
        <w:tc>
          <w:tcPr/>
          <w:p>
            <w:pPr>
              <w:pStyle w:val="Compact"/>
              <w:jc w:val="left"/>
            </w:pPr>
            <w:r>
              <w:t xml:space="preserve">73 percent</w:t>
            </w:r>
          </w:p>
        </w:tc>
        <w:tc>
          <w:tcPr/>
          <w:p>
            <w:pPr>
              <w:pStyle w:val="Compact"/>
              <w:jc w:val="left"/>
            </w:pPr>
            <w:r>
              <w:t xml:space="preserve">Adds Band survey scheduling function</w:t>
            </w:r>
          </w:p>
        </w:tc>
        <w:tc>
          <w:tcPr/>
          <w:p>
            <w:pPr>
              <w:pStyle w:val="Compact"/>
              <w:jc w:val="left"/>
            </w:pPr>
            <w:r>
              <w:t xml:space="preserve">Two-of-three with Iranian plurality emerging</w:t>
            </w:r>
          </w:p>
        </w:tc>
        <w:tc>
          <w:tcPr/>
          <w:p>
            <w:pPr>
              <w:pStyle w:val="Compact"/>
              <w:jc w:val="left"/>
            </w:pPr>
            <w:r>
              <w:t xml:space="preserve">53 percent</w:t>
            </w:r>
          </w:p>
        </w:tc>
        <w:tc>
          <w:tcPr/>
          <w:p>
            <w:pPr>
              <w:pStyle w:val="Compact"/>
              <w:jc w:val="left"/>
            </w:pPr>
            <w:r>
              <w:t xml:space="preserve">53 / 47</w:t>
            </w:r>
          </w:p>
        </w:tc>
      </w:tr>
      <w:tr>
        <w:tc>
          <w:tcPr/>
          <w:p>
            <w:pPr>
              <w:pStyle w:val="Compact"/>
              <w:jc w:val="left"/>
            </w:pPr>
            <w:r>
              <w:t xml:space="preserve">Step Five</w:t>
            </w:r>
          </w:p>
        </w:tc>
        <w:tc>
          <w:tcPr/>
          <w:p>
            <w:pPr>
              <w:pStyle w:val="Compact"/>
              <w:jc w:val="left"/>
            </w:pPr>
            <w:r>
              <w:t xml:space="preserve">83 percent</w:t>
            </w:r>
          </w:p>
        </w:tc>
        <w:tc>
          <w:tcPr/>
          <w:p>
            <w:pPr>
              <w:pStyle w:val="Compact"/>
              <w:jc w:val="left"/>
            </w:pPr>
            <w:r>
              <w:t xml:space="preserve">Adds northern service infrastructure management</w:t>
            </w:r>
          </w:p>
        </w:tc>
        <w:tc>
          <w:tcPr/>
          <w:p>
            <w:pPr>
              <w:pStyle w:val="Compact"/>
              <w:jc w:val="left"/>
            </w:pPr>
            <w:r>
              <w:t xml:space="preserve">Two-of-three with Iranian plurality</w:t>
            </w:r>
          </w:p>
        </w:tc>
        <w:tc>
          <w:tcPr/>
          <w:p>
            <w:pPr>
              <w:pStyle w:val="Compact"/>
              <w:jc w:val="left"/>
            </w:pPr>
            <w:r>
              <w:t xml:space="preserve">56 percent</w:t>
            </w:r>
          </w:p>
        </w:tc>
        <w:tc>
          <w:tcPr/>
          <w:p>
            <w:pPr>
              <w:pStyle w:val="Compact"/>
              <w:jc w:val="left"/>
            </w:pPr>
            <w:r>
              <w:t xml:space="preserve">56 / 44</w:t>
            </w:r>
          </w:p>
        </w:tc>
      </w:tr>
      <w:tr>
        <w:tc>
          <w:tcPr/>
          <w:p>
            <w:pPr>
              <w:pStyle w:val="Compact"/>
              <w:jc w:val="left"/>
            </w:pPr>
            <w:r>
              <w:t xml:space="preserve">Step Six</w:t>
            </w:r>
          </w:p>
        </w:tc>
        <w:tc>
          <w:tcPr/>
          <w:p>
            <w:pPr>
              <w:pStyle w:val="Compact"/>
              <w:jc w:val="left"/>
            </w:pPr>
            <w:r>
              <w:t xml:space="preserve">93 percent</w:t>
            </w:r>
          </w:p>
        </w:tc>
        <w:tc>
          <w:tcPr/>
          <w:p>
            <w:pPr>
              <w:pStyle w:val="Compact"/>
              <w:jc w:val="left"/>
            </w:pPr>
            <w:r>
              <w:t xml:space="preserve">Adds special-cargo window scheduling</w:t>
            </w:r>
          </w:p>
        </w:tc>
        <w:tc>
          <w:tcPr/>
          <w:p>
            <w:pPr>
              <w:pStyle w:val="Compact"/>
              <w:jc w:val="left"/>
            </w:pPr>
            <w:r>
              <w:t xml:space="preserve">Two-of-three with Iranian plurality</w:t>
            </w:r>
          </w:p>
        </w:tc>
        <w:tc>
          <w:tcPr/>
          <w:p>
            <w:pPr>
              <w:pStyle w:val="Compact"/>
              <w:jc w:val="left"/>
            </w:pPr>
            <w:r>
              <w:t xml:space="preserve">58 percent</w:t>
            </w:r>
          </w:p>
        </w:tc>
        <w:tc>
          <w:tcPr/>
          <w:p>
            <w:pPr>
              <w:pStyle w:val="Compact"/>
              <w:jc w:val="left"/>
            </w:pPr>
            <w:r>
              <w:t xml:space="preserve">58 / 42</w:t>
            </w:r>
          </w:p>
        </w:tc>
      </w:tr>
      <w:tr>
        <w:tc>
          <w:tcPr/>
          <w:p>
            <w:pPr>
              <w:pStyle w:val="Compact"/>
              <w:jc w:val="left"/>
            </w:pPr>
            <w:r>
              <w:t xml:space="preserve">Full Unlock</w:t>
            </w:r>
          </w:p>
        </w:tc>
        <w:tc>
          <w:tcPr/>
          <w:p>
            <w:pPr>
              <w:pStyle w:val="Compact"/>
              <w:jc w:val="left"/>
            </w:pPr>
            <w:r>
              <w:t xml:space="preserve">100 percent</w:t>
            </w:r>
          </w:p>
        </w:tc>
        <w:tc>
          <w:tcPr/>
          <w:p>
            <w:pPr>
              <w:pStyle w:val="Compact"/>
              <w:jc w:val="left"/>
            </w:pPr>
            <w:r>
              <w:t xml:space="preserve">Full northern administration; shared Band administration; Oman retains the Southern Assurance Passage in full</w:t>
            </w:r>
          </w:p>
        </w:tc>
        <w:tc>
          <w:tcPr/>
          <w:p>
            <w:pPr>
              <w:pStyle w:val="Compact"/>
              <w:jc w:val="left"/>
            </w:pPr>
            <w:r>
              <w:t xml:space="preserve">Two-of-three with Iranian plurality for Band actions; the Twin Key binds at every level</w:t>
            </w:r>
          </w:p>
        </w:tc>
        <w:tc>
          <w:tcPr/>
          <w:p>
            <w:pPr>
              <w:pStyle w:val="Compact"/>
              <w:jc w:val="left"/>
            </w:pPr>
            <w:r>
              <w:t xml:space="preserve">60 percent (Permanent Floor)</w:t>
            </w:r>
          </w:p>
        </w:tc>
        <w:tc>
          <w:tcPr/>
          <w:p>
            <w:pPr>
              <w:pStyle w:val="Compact"/>
              <w:jc w:val="left"/>
            </w:pPr>
            <w:r>
              <w:t xml:space="preserve">First among equals: casting voice on tied procedural questions, never on substance</w:t>
            </w:r>
          </w:p>
        </w:tc>
      </w:tr>
    </w:tbl>
    <w:bookmarkEnd w:id="368"/>
    <w:bookmarkStart w:id="369" w:name="e.2-the-event-and-demerit-schedule"/>
    <w:p>
      <w:pPr>
        <w:pStyle w:val="Heading2"/>
      </w:pPr>
      <w:r>
        <w:t xml:space="preserve">E.2 The Event and Demerit Schedule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Event</w:t>
            </w:r>
          </w:p>
        </w:tc>
        <w:tc>
          <w:tcPr/>
          <w:p>
            <w:pPr>
              <w:pStyle w:val="Compact"/>
              <w:jc w:val="left"/>
            </w:pPr>
            <w:r>
              <w:t xml:space="preserve">Telemetry</w:t>
            </w:r>
          </w:p>
        </w:tc>
        <w:tc>
          <w:tcPr/>
          <w:p>
            <w:pPr>
              <w:pStyle w:val="Compact"/>
              <w:jc w:val="left"/>
            </w:pPr>
            <w:r>
              <w:t xml:space="preserve">Escalator Effect</w:t>
            </w:r>
          </w:p>
        </w:tc>
      </w:tr>
      <w:tr>
        <w:tc>
          <w:tcPr/>
          <w:p>
            <w:pPr>
              <w:pStyle w:val="Compact"/>
              <w:jc w:val="left"/>
            </w:pPr>
            <w:r>
              <w:t xml:space="preserve">E-1</w:t>
            </w:r>
          </w:p>
        </w:tc>
        <w:tc>
          <w:tcPr/>
          <w:p>
            <w:pPr>
              <w:pStyle w:val="Compact"/>
              <w:jc w:val="left"/>
            </w:pPr>
            <w:r>
              <w:t xml:space="preserve">Technical deviation (format failure, late log, single missed report)</w:t>
            </w:r>
          </w:p>
        </w:tc>
        <w:tc>
          <w:tcPr/>
          <w:p>
            <w:pPr>
              <w:pStyle w:val="Compact"/>
              <w:jc w:val="left"/>
            </w:pPr>
            <w:r>
              <w:t xml:space="preserve">Exchange record</w:t>
            </w:r>
          </w:p>
        </w:tc>
        <w:tc>
          <w:tcPr/>
          <w:p>
            <w:pPr>
              <w:pStyle w:val="Compact"/>
              <w:jc w:val="left"/>
            </w:pPr>
            <w:r>
              <w:t xml:space="preserve">Pause seven days; no milestone loss; the paused week re-runs</w:t>
            </w:r>
          </w:p>
        </w:tc>
      </w:tr>
      <w:tr>
        <w:tc>
          <w:tcPr/>
          <w:p>
            <w:pPr>
              <w:pStyle w:val="Compact"/>
              <w:jc w:val="left"/>
            </w:pPr>
            <w:r>
              <w:t xml:space="preserve">E-2</w:t>
            </w:r>
          </w:p>
        </w:tc>
        <w:tc>
          <w:tcPr/>
          <w:p>
            <w:pPr>
              <w:pStyle w:val="Compact"/>
              <w:jc w:val="left"/>
            </w:pPr>
            <w:r>
              <w:t xml:space="preserve">Operational violation (service-standard breach beyond tolerance, corridor guidance conflict, unnotified exercise activity)</w:t>
            </w:r>
          </w:p>
        </w:tc>
        <w:tc>
          <w:tcPr/>
          <w:p>
            <w:pPr>
              <w:pStyle w:val="Compact"/>
              <w:jc w:val="left"/>
            </w:pPr>
            <w:r>
              <w:t xml:space="preserve">Convergence finding</w:t>
            </w:r>
          </w:p>
        </w:tc>
        <w:tc>
          <w:tcPr/>
          <w:p>
            <w:pPr>
              <w:pStyle w:val="Compact"/>
              <w:jc w:val="left"/>
            </w:pPr>
            <w:r>
              <w:t xml:space="preserve">Current Verification Period fails and re-runs; fourteen days of clean operation restore the milestone track</w:t>
            </w:r>
          </w:p>
        </w:tc>
      </w:tr>
      <w:tr>
        <w:tc>
          <w:tcPr/>
          <w:p>
            <w:pPr>
              <w:pStyle w:val="Compact"/>
              <w:jc w:val="left"/>
            </w:pPr>
            <w:r>
              <w:t xml:space="preserve">E-3</w:t>
            </w:r>
          </w:p>
        </w:tc>
        <w:tc>
          <w:tcPr/>
          <w:p>
            <w:pPr>
              <w:pStyle w:val="Compact"/>
              <w:jc w:val="left"/>
            </w:pPr>
            <w:r>
              <w:t xml:space="preserve">Grave violation (interdiction event, custody breach, red-line pressure, hotline non-response at rung three)</w:t>
            </w:r>
          </w:p>
        </w:tc>
        <w:tc>
          <w:tcPr/>
          <w:p>
            <w:pPr>
              <w:pStyle w:val="Compact"/>
              <w:jc w:val="left"/>
            </w:pPr>
            <w:r>
              <w:t xml:space="preserve">Convergence finding</w:t>
            </w:r>
          </w:p>
        </w:tc>
        <w:tc>
          <w:tcPr/>
          <w:p>
            <w:pPr>
              <w:pStyle w:val="Compact"/>
              <w:jc w:val="left"/>
            </w:pPr>
            <w:r>
              <w:t xml:space="preserve">Milestones reset to last band boundary; ninety days of sustained clean operation plus certification re-accrue at double pace for the first three steps (ten points per clean half-week)</w:t>
            </w:r>
          </w:p>
        </w:tc>
      </w:tr>
      <w:tr>
        <w:tc>
          <w:tcPr/>
          <w:p>
            <w:pPr>
              <w:pStyle w:val="Compact"/>
              <w:jc w:val="left"/>
            </w:pPr>
            <w:r>
              <w:t xml:space="preserve">E-4</w:t>
            </w:r>
          </w:p>
        </w:tc>
        <w:tc>
          <w:tcPr/>
          <w:p>
            <w:pPr>
              <w:pStyle w:val="Compact"/>
              <w:jc w:val="left"/>
            </w:pPr>
            <w:r>
              <w:t xml:space="preserve">Critical violation (armed incident inside the Governance Area, framework-asset misuse for kinetic support)</w:t>
            </w:r>
          </w:p>
        </w:tc>
        <w:tc>
          <w:tcPr/>
          <w:p>
            <w:pPr>
              <w:pStyle w:val="Compact"/>
              <w:jc w:val="left"/>
            </w:pPr>
            <w:r>
              <w:t xml:space="preserve">Convergence finding plus Tribunal confirmation</w:t>
            </w:r>
          </w:p>
        </w:tc>
        <w:tc>
          <w:tcPr/>
          <w:p>
            <w:pPr>
              <w:pStyle w:val="Compact"/>
              <w:jc w:val="left"/>
            </w:pPr>
            <w:r>
              <w:t xml:space="preserve">Milestones reset to Baseline; ninety days of sustained clean operation plus Council confirmation under Consensus Minus One restore the track</w:t>
            </w:r>
          </w:p>
        </w:tc>
      </w:tr>
    </w:tbl>
    <w:bookmarkEnd w:id="369"/>
    <w:bookmarkStart w:id="370" w:name="e.3-schedule-exhaustiveness"/>
    <w:p>
      <w:pPr>
        <w:pStyle w:val="Heading2"/>
      </w:pPr>
      <w:r>
        <w:t xml:space="preserve">E.3 Schedule Exhaustiveness</w:t>
      </w:r>
    </w:p>
    <w:p>
      <w:pPr>
        <w:pStyle w:val="FirstParagraph"/>
      </w:pPr>
      <w:r>
        <w:t xml:space="preserve">This schedule exhausts the consequences of every event under the Accord. No event produces sanctions, fees, suspensions, or conditions beyond it. The Permanent Floor of Article 43.7 survives every event at every grade.</w:t>
      </w:r>
    </w:p>
    <w:bookmarkEnd w:id="370"/>
    <w:bookmarkStart w:id="371" w:name="e.4-worked-examples"/>
    <w:p>
      <w:pPr>
        <w:pStyle w:val="Heading2"/>
      </w:pPr>
      <w:r>
        <w:t xml:space="preserve">E.4 Worked Examples</w:t>
      </w:r>
    </w:p>
    <w:p>
      <w:pPr>
        <w:pStyle w:val="FirstParagraph"/>
      </w:pPr>
      <w:r>
        <w:t xml:space="preserve">Example one: A watch floor misses one reporting-point acknowledgment inside tolerance on day three of a Verification Period. The record classifies E-1. The Escalator pauses seven days; the week re-runs; accumulated milestones stand untouched.</w:t>
      </w:r>
    </w:p>
    <w:p>
      <w:pPr>
        <w:pStyle w:val="BodyText"/>
      </w:pPr>
      <w:r>
        <w:t xml:space="preserve">Example two: An escort craft deviates from forward geometry and hails a vessel. The Data Quality Desk flags the deviation; the Convergence Standard confirms from AIS and the escort’s own log. E-2. The current period fails and re-runs; fourteen clean days restore the track.</w:t>
      </w:r>
    </w:p>
    <w:p>
      <w:pPr>
        <w:pStyle w:val="BodyText"/>
      </w:pPr>
      <w:r>
        <w:t xml:space="preserve">Example three: A vessel suffers interference inside a corridor. The incident ladder activates; the Convergence finding classifies E-3. Milestones reset to the last band boundary. Ninety days of sustained clean operation plus the Joint Survey certification re-accrue milestones at double pace for the first three steps. The Permanent Floor, if attained, stands untouched.</w:t>
      </w:r>
    </w:p>
    <w:bookmarkEnd w:id="371"/>
    <w:bookmarkEnd w:id="372"/>
    <w:bookmarkStart w:id="383" w:name="X1b070b16c9efd2b8d2840fb9a372aa75c7b8144"/>
    <w:p>
      <w:pPr>
        <w:pStyle w:val="Heading1"/>
      </w:pPr>
      <w:r>
        <w:t xml:space="preserve">ANNEX F: THE VERIFIED SERVICES CATALOG, RATE CARD, AND ESCROW RULES</w:t>
      </w:r>
    </w:p>
    <w:bookmarkStart w:id="373" w:name="f.1-the-catalog-structure"/>
    <w:p>
      <w:pPr>
        <w:pStyle w:val="Heading2"/>
      </w:pPr>
      <w:r>
        <w:t xml:space="preserve">F.1 The Catalog Structure</w:t>
      </w:r>
    </w:p>
    <w:p>
      <w:pPr>
        <w:pStyle w:val="FirstParagraph"/>
      </w:pPr>
      <w:r>
        <w:t xml:space="preserve">Every catalog entry states: service name; provider; standard; request channel; rate; settlement route; and the four-test certification of Article 35.2. The catalog publishes in the Bulletin and amends under Article 35.3.</w:t>
      </w:r>
    </w:p>
    <w:bookmarkEnd w:id="373"/>
    <w:bookmarkStart w:id="374" w:name="f.2-simulation-rate-card-article-34"/>
    <w:p>
      <w:pPr>
        <w:pStyle w:val="Heading2"/>
      </w:pPr>
      <w:r>
        <w:t xml:space="preserve">F.2 Simulation Rate Card (Article 34)</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Simulation Rate</w:t>
            </w:r>
          </w:p>
        </w:tc>
        <w:tc>
          <w:tcPr/>
          <w:p>
            <w:pPr>
              <w:pStyle w:val="Compact"/>
              <w:jc w:val="left"/>
            </w:pPr>
            <w:r>
              <w:t xml:space="preserve">Basis</w:t>
            </w:r>
          </w:p>
        </w:tc>
      </w:tr>
      <w:tr>
        <w:tc>
          <w:tcPr/>
          <w:p>
            <w:pPr>
              <w:pStyle w:val="Compact"/>
              <w:jc w:val="left"/>
            </w:pPr>
            <w:r>
              <w:t xml:space="preserve">RADS professional subscription, annual, operator</w:t>
            </w:r>
          </w:p>
        </w:tc>
        <w:tc>
          <w:tcPr/>
          <w:p>
            <w:pPr>
              <w:pStyle w:val="Compact"/>
              <w:jc w:val="left"/>
            </w:pPr>
            <w:r>
              <w:t xml:space="preserve">USD 12,000 per vessel, capped USD 180,000 per fleet</w:t>
            </w:r>
          </w:p>
        </w:tc>
        <w:tc>
          <w:tcPr/>
          <w:p>
            <w:pPr>
              <w:pStyle w:val="Compact"/>
              <w:jc w:val="left"/>
            </w:pPr>
            <w:r>
              <w:t xml:space="preserve">Data cost recovery plus 15 percent</w:t>
            </w:r>
          </w:p>
        </w:tc>
      </w:tr>
      <w:tr>
        <w:tc>
          <w:tcPr/>
          <w:p>
            <w:pPr>
              <w:pStyle w:val="Compact"/>
              <w:jc w:val="left"/>
            </w:pPr>
            <w:r>
              <w:t xml:space="preserve">Pilotage, corridor entry or exit</w:t>
            </w:r>
          </w:p>
        </w:tc>
        <w:tc>
          <w:tcPr/>
          <w:p>
            <w:pPr>
              <w:pStyle w:val="Compact"/>
              <w:jc w:val="left"/>
            </w:pPr>
            <w:r>
              <w:t xml:space="preserve">USD 4,500 per act</w:t>
            </w:r>
          </w:p>
        </w:tc>
        <w:tc>
          <w:tcPr/>
          <w:p>
            <w:pPr>
              <w:pStyle w:val="Compact"/>
              <w:jc w:val="left"/>
            </w:pPr>
            <w:r>
              <w:t xml:space="preserve">Regional pilotage median</w:t>
            </w:r>
          </w:p>
        </w:tc>
      </w:tr>
      <w:tr>
        <w:tc>
          <w:tcPr/>
          <w:p>
            <w:pPr>
              <w:pStyle w:val="Compact"/>
              <w:jc w:val="left"/>
            </w:pPr>
            <w:r>
              <w:t xml:space="preserve">Tug assistance, standby to alongside</w:t>
            </w:r>
          </w:p>
        </w:tc>
        <w:tc>
          <w:tcPr/>
          <w:p>
            <w:pPr>
              <w:pStyle w:val="Compact"/>
              <w:jc w:val="left"/>
            </w:pPr>
            <w:r>
              <w:t xml:space="preserve">USD 9,000 per hour</w:t>
            </w:r>
          </w:p>
        </w:tc>
        <w:tc>
          <w:tcPr/>
          <w:p>
            <w:pPr>
              <w:pStyle w:val="Compact"/>
              <w:jc w:val="left"/>
            </w:pPr>
            <w:r>
              <w:t xml:space="preserve">Regional tug tariff median</w:t>
            </w:r>
          </w:p>
        </w:tc>
      </w:tr>
      <w:tr>
        <w:tc>
          <w:tcPr/>
          <w:p>
            <w:pPr>
              <w:pStyle w:val="Compact"/>
              <w:jc w:val="left"/>
            </w:pPr>
            <w:r>
              <w:t xml:space="preserve">Lead-escort augmentation (dedicated escort on request)</w:t>
            </w:r>
          </w:p>
        </w:tc>
        <w:tc>
          <w:tcPr/>
          <w:p>
            <w:pPr>
              <w:pStyle w:val="Compact"/>
              <w:jc w:val="left"/>
            </w:pPr>
            <w:r>
              <w:t xml:space="preserve">USD 6,000 per transit</w:t>
            </w:r>
          </w:p>
        </w:tc>
        <w:tc>
          <w:tcPr/>
          <w:p>
            <w:pPr>
              <w:pStyle w:val="Compact"/>
              <w:jc w:val="left"/>
            </w:pPr>
            <w:r>
              <w:t xml:space="preserve">Operating cost recovery</w:t>
            </w:r>
          </w:p>
        </w:tc>
      </w:tr>
      <w:tr>
        <w:tc>
          <w:tcPr/>
          <w:p>
            <w:pPr>
              <w:pStyle w:val="Compact"/>
              <w:jc w:val="left"/>
            </w:pPr>
            <w:r>
              <w:t xml:space="preserve">Hydrographic data product, per chart cell</w:t>
            </w:r>
          </w:p>
        </w:tc>
        <w:tc>
          <w:tcPr/>
          <w:p>
            <w:pPr>
              <w:pStyle w:val="Compact"/>
              <w:jc w:val="left"/>
            </w:pPr>
            <w:r>
              <w:t xml:space="preserve">USD 2,000 per cell</w:t>
            </w:r>
          </w:p>
        </w:tc>
        <w:tc>
          <w:tcPr/>
          <w:p>
            <w:pPr>
              <w:pStyle w:val="Compact"/>
              <w:jc w:val="left"/>
            </w:pPr>
            <w:r>
              <w:t xml:space="preserve">Survey cost amortization</w:t>
            </w:r>
          </w:p>
        </w:tc>
      </w:tr>
      <w:tr>
        <w:tc>
          <w:tcPr/>
          <w:p>
            <w:pPr>
              <w:pStyle w:val="Compact"/>
              <w:jc w:val="left"/>
            </w:pPr>
            <w:r>
              <w:t xml:space="preserve">Special-cargo expedited window</w:t>
            </w:r>
          </w:p>
        </w:tc>
        <w:tc>
          <w:tcPr/>
          <w:p>
            <w:pPr>
              <w:pStyle w:val="Compact"/>
              <w:jc w:val="left"/>
            </w:pPr>
            <w:r>
              <w:t xml:space="preserve">USD 15,000 per window</w:t>
            </w:r>
          </w:p>
        </w:tc>
        <w:tc>
          <w:tcPr/>
          <w:p>
            <w:pPr>
              <w:pStyle w:val="Compact"/>
              <w:jc w:val="left"/>
            </w:pPr>
            <w:r>
              <w:t xml:space="preserve">Scheduling and SAR augmentation cost</w:t>
            </w:r>
          </w:p>
        </w:tc>
      </w:tr>
    </w:tbl>
    <w:bookmarkEnd w:id="374"/>
    <w:bookmarkStart w:id="375" w:name="f.3-live-rate-card"/>
    <w:p>
      <w:pPr>
        <w:pStyle w:val="Heading2"/>
      </w:pPr>
      <w:r>
        <w:t xml:space="preserve">F.3 Live Rate Card</w:t>
      </w:r>
    </w:p>
    <w:p>
      <w:pPr>
        <w:pStyle w:val="FirstParagraph"/>
      </w:pPr>
      <w:r>
        <w:t xml:space="preserve">The live rate card equals the simulation card at Gate G-3, unaltered, per Article 34.4. Subsequent adjustments follow the cost-standard rule of F.4 and publish 60 days in advance.</w:t>
      </w:r>
    </w:p>
    <w:bookmarkEnd w:id="375"/>
    <w:bookmarkStart w:id="376" w:name="f.4-the-cost-standard"/>
    <w:p>
      <w:pPr>
        <w:pStyle w:val="Heading2"/>
      </w:pPr>
      <w:r>
        <w:t xml:space="preserve">F.4 The Cost Standard</w:t>
      </w:r>
    </w:p>
    <w:p>
      <w:pPr>
        <w:pStyle w:val="FirstParagraph"/>
      </w:pPr>
      <w:r>
        <w:t xml:space="preserve">Every rate bears a published relationship to cost: direct operating cost plus a published margin not exceeding 20 percent, except subscription products priced per fleet with the cap of F.2. The Neutral Administrator audits cost bases annually and publishes the audit.</w:t>
      </w:r>
    </w:p>
    <w:bookmarkEnd w:id="376"/>
    <w:bookmarkStart w:id="377" w:name="f.5-service-standards-article-23.2"/>
    <w:p>
      <w:pPr>
        <w:pStyle w:val="Heading2"/>
      </w:pPr>
      <w:r>
        <w:t xml:space="preserve">F.5 Service Standards (Article 23.2)</w:t>
      </w:r>
    </w:p>
    <w:p>
      <w:pPr>
        <w:pStyle w:val="FirstParagraph"/>
      </w:pPr>
      <w:r>
        <w:t xml:space="preserve">Reporting-point acknowledgment within 60 seconds; hazard advisory issuance within 15 minutes of detection; aid-to-navigation availability at 99.5 percent monthly; escort response within 45 minutes of request; pilot availability within 60 minutes inside published windows; tug dispatch within 30 minutes of request.</w:t>
      </w:r>
    </w:p>
    <w:bookmarkEnd w:id="377"/>
    <w:bookmarkStart w:id="378" w:name="f.6-interim-operating-cost-article-34.6"/>
    <w:p>
      <w:pPr>
        <w:pStyle w:val="Heading2"/>
      </w:pPr>
      <w:r>
        <w:t xml:space="preserve">F.6 Interim Operating Cost (Article 34.6)</w:t>
      </w:r>
    </w:p>
    <w:p>
      <w:pPr>
        <w:pStyle w:val="FirstParagraph"/>
      </w:pPr>
      <w:r>
        <w:t xml:space="preserve">During the interim fee suspension, the Transit Services Fund absorbs corridor operating costs from: the voluntary contributions of the littoral and user states of Table N.4; the Neutral Administrator’s bridging facility, repayable from first revenues; and the framework’s simulation-period reserves. The interim accounts publish monthly.</w:t>
      </w:r>
    </w:p>
    <w:bookmarkEnd w:id="378"/>
    <w:bookmarkStart w:id="379" w:name="f.7-fund-audit"/>
    <w:p>
      <w:pPr>
        <w:pStyle w:val="Heading2"/>
      </w:pPr>
      <w:r>
        <w:t xml:space="preserve">F.7 Fund Audit</w:t>
      </w:r>
    </w:p>
    <w:p>
      <w:pPr>
        <w:pStyle w:val="FirstParagraph"/>
      </w:pPr>
      <w:r>
        <w:t xml:space="preserve">The Neutral Administrator’s independent auditor audits the Fund quarterly and annually, against international public-sector accounting standards, and publishes every audit in full. The 12 percent administrative cap of Article 38.5 measures against gross revenue on the annual audit.</w:t>
      </w:r>
    </w:p>
    <w:bookmarkEnd w:id="379"/>
    <w:bookmarkStart w:id="380" w:name="f.8-payment-protocol"/>
    <w:p>
      <w:pPr>
        <w:pStyle w:val="Heading2"/>
      </w:pPr>
      <w:r>
        <w:t xml:space="preserve">F.8 Payment Protocol</w:t>
      </w:r>
    </w:p>
    <w:p>
      <w:pPr>
        <w:pStyle w:val="FirstParagraph"/>
      </w:pPr>
      <w:r>
        <w:t xml:space="preserve">Payments route: operator’s bank to the Escrow’s designated neutral accounts (in Swiss francs, euros, or the designated settlement currency of the period); Escrow certification against the service record; disbursement to the Fund; distribution under Article 38. Documentation follows the reliance pack of F.9. No transaction routes through, to, or in the name of any Party.</w:t>
      </w:r>
    </w:p>
    <w:bookmarkEnd w:id="380"/>
    <w:bookmarkStart w:id="381" w:name="f.9-the-reliance-pack"/>
    <w:p>
      <w:pPr>
        <w:pStyle w:val="Heading2"/>
      </w:pPr>
      <w:r>
        <w:t xml:space="preserve">F.9 The Reliance Pack</w:t>
      </w:r>
    </w:p>
    <w:p>
      <w:pPr>
        <w:pStyle w:val="FirstParagraph"/>
      </w:pPr>
      <w:r>
        <w:t xml:space="preserve">The reliance pack contains: the license references and authorization texts; the Escrow account attestations; the payment message formats; the screening standards; and the contact points of the Neutral Administrator’s compliance desk. The pack updates with every regulatory change and versions publicly.</w:t>
      </w:r>
    </w:p>
    <w:bookmarkEnd w:id="381"/>
    <w:bookmarkStart w:id="382" w:name="f.10-the-share-table-article-38.1"/>
    <w:p>
      <w:pPr>
        <w:pStyle w:val="Heading2"/>
      </w:pPr>
      <w:r>
        <w:t xml:space="preserve">F.10 The Share Table (Article 38.1)</w:t>
      </w:r>
    </w:p>
    <w:p>
      <w:pPr>
        <w:pStyle w:val="FirstParagraph"/>
      </w:pPr>
      <w:r>
        <w:t xml:space="preserve">Net distributable revenue allocates per the Escalator-linked table of Annex E.1 (column: Revenue Share). Before distribution, each administrator draws its audited direct corridor costs under Article 38.2. Upon UAE accession, 10 percent draws equally from the Principal Parties’ shares under Article 38.3. The Permanent Floor caps Iran’s share at 60 percent; Oman’s share never falls below 30 percent; the residual funds the accession shares and the Facility allocation of Article 47.3.</w:t>
      </w:r>
    </w:p>
    <w:bookmarkEnd w:id="382"/>
    <w:bookmarkEnd w:id="383"/>
    <w:bookmarkStart w:id="384" w:name="X7c20e71b6a0d6ed1d4362897a9ac4f5af25b05b"/>
    <w:p>
      <w:pPr>
        <w:pStyle w:val="Heading1"/>
      </w:pPr>
      <w:r>
        <w:t xml:space="preserve">ANNEX G: THE RED LINES REGISTER (FULL OPERATIVE TEXT)</w:t>
      </w:r>
    </w:p>
    <w:p>
      <w:pPr>
        <w:pStyle w:val="FirstParagraph"/>
      </w:pPr>
      <w:r>
        <w:t xml:space="preserve">This Annex states each red line in neutral terms, names the interest it protects, and identifies the architectural safeguard that holds the line without daily political effort. The Register binds the framework; a public statement outside the Register carries no operative weight. Amendment of this Annex follows Article 53.3 alone.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Ref</w:t>
            </w:r>
          </w:p>
        </w:tc>
        <w:tc>
          <w:tcPr/>
          <w:p>
            <w:pPr>
              <w:pStyle w:val="Compact"/>
              <w:jc w:val="left"/>
            </w:pPr>
            <w:r>
              <w:t xml:space="preserve">Line (operative text)</w:t>
            </w:r>
          </w:p>
        </w:tc>
        <w:tc>
          <w:tcPr/>
          <w:p>
            <w:pPr>
              <w:pStyle w:val="Compact"/>
              <w:jc w:val="left"/>
            </w:pPr>
            <w:r>
              <w:t xml:space="preserve">Protected interest</w:t>
            </w:r>
          </w:p>
        </w:tc>
        <w:tc>
          <w:tcPr/>
          <w:p>
            <w:pPr>
              <w:pStyle w:val="Compact"/>
              <w:jc w:val="left"/>
            </w:pPr>
            <w:r>
              <w:t xml:space="preserve">Architectural safeguard</w:t>
            </w:r>
          </w:p>
        </w:tc>
      </w:tr>
      <w:tr>
        <w:tc>
          <w:tcPr/>
          <w:p>
            <w:pPr>
              <w:pStyle w:val="Compact"/>
              <w:jc w:val="left"/>
            </w:pPr>
            <w:r>
              <w:t xml:space="preserve">RL-1</w:t>
            </w:r>
          </w:p>
        </w:tc>
        <w:tc>
          <w:tcPr/>
          <w:p>
            <w:pPr>
              <w:pStyle w:val="Compact"/>
              <w:jc w:val="left"/>
            </w:pPr>
            <w:r>
              <w:t xml:space="preserve">No charge of any kind attaches to the act of transit</w:t>
            </w:r>
          </w:p>
        </w:tc>
        <w:tc>
          <w:tcPr/>
          <w:p>
            <w:pPr>
              <w:pStyle w:val="Compact"/>
              <w:jc w:val="left"/>
            </w:pPr>
            <w:r>
              <w:t xml:space="preserve">User states; market confidence; the United States’ and Oman’s stated positions</w:t>
            </w:r>
          </w:p>
        </w:tc>
        <w:tc>
          <w:tcPr/>
          <w:p>
            <w:pPr>
              <w:pStyle w:val="Compact"/>
              <w:jc w:val="left"/>
            </w:pPr>
            <w:r>
              <w:t xml:space="preserve">Zero-Toll Rule, Article 33; Perimeter Test, Article 33.2</w:t>
            </w:r>
          </w:p>
        </w:tc>
      </w:tr>
      <w:tr>
        <w:tc>
          <w:tcPr/>
          <w:p>
            <w:pPr>
              <w:pStyle w:val="Compact"/>
              <w:jc w:val="left"/>
            </w:pPr>
            <w:r>
              <w:t xml:space="preserve">RL-2</w:t>
            </w:r>
          </w:p>
        </w:tc>
        <w:tc>
          <w:tcPr/>
          <w:p>
            <w:pPr>
              <w:pStyle w:val="Compact"/>
              <w:jc w:val="left"/>
            </w:pPr>
            <w:r>
              <w:t xml:space="preserve">The Southern Assurance Passage transits unconditionally, without any notification layer</w:t>
            </w:r>
          </w:p>
        </w:tc>
        <w:tc>
          <w:tcPr/>
          <w:p>
            <w:pPr>
              <w:pStyle w:val="Compact"/>
              <w:jc w:val="left"/>
            </w:pPr>
            <w:r>
              <w:t xml:space="preserve">Free navigation; pre-crisis pattern restored</w:t>
            </w:r>
          </w:p>
        </w:tc>
        <w:tc>
          <w:tcPr/>
          <w:p>
            <w:pPr>
              <w:pStyle w:val="Compact"/>
              <w:jc w:val="left"/>
            </w:pPr>
            <w:r>
              <w:t xml:space="preserve">Article 22.3; no approval step by any actor</w:t>
            </w:r>
          </w:p>
        </w:tc>
      </w:tr>
      <w:tr>
        <w:tc>
          <w:tcPr/>
          <w:p>
            <w:pPr>
              <w:pStyle w:val="Compact"/>
              <w:jc w:val="left"/>
            </w:pPr>
            <w:r>
              <w:t xml:space="preserve">RL-3</w:t>
            </w:r>
          </w:p>
        </w:tc>
        <w:tc>
          <w:tcPr/>
          <w:p>
            <w:pPr>
              <w:pStyle w:val="Compact"/>
              <w:jc w:val="left"/>
            </w:pPr>
            <w:r>
              <w:t xml:space="preserve">The northern littoral holds a recognized, formal, continuous management role</w:t>
            </w:r>
          </w:p>
        </w:tc>
        <w:tc>
          <w:tcPr/>
          <w:p>
            <w:pPr>
              <w:pStyle w:val="Compact"/>
              <w:jc w:val="left"/>
            </w:pPr>
            <w:r>
              <w:t xml:space="preserve">Iran’s sovereign role and security picture</w:t>
            </w:r>
          </w:p>
        </w:tc>
        <w:tc>
          <w:tcPr/>
          <w:p>
            <w:pPr>
              <w:pStyle w:val="Compact"/>
              <w:jc w:val="left"/>
            </w:pPr>
            <w:r>
              <w:t xml:space="preserve">Article 22.2 administration; the Escalator; co-equal seats everywhere</w:t>
            </w:r>
          </w:p>
        </w:tc>
      </w:tr>
      <w:tr>
        <w:tc>
          <w:tcPr/>
          <w:p>
            <w:pPr>
              <w:pStyle w:val="Compact"/>
              <w:jc w:val="left"/>
            </w:pPr>
            <w:r>
              <w:t xml:space="preserve">RL-4</w:t>
            </w:r>
          </w:p>
        </w:tc>
        <w:tc>
          <w:tcPr/>
          <w:p>
            <w:pPr>
              <w:pStyle w:val="Compact"/>
              <w:jc w:val="left"/>
            </w:pPr>
            <w:r>
              <w:t xml:space="preserve">No permission regime operates anywhere in this framework</w:t>
            </w:r>
          </w:p>
        </w:tc>
        <w:tc>
          <w:tcPr/>
          <w:p>
            <w:pPr>
              <w:pStyle w:val="Compact"/>
              <w:jc w:val="left"/>
            </w:pPr>
            <w:r>
              <w:t xml:space="preserve">Transit passage preserved; no gatekeeping</w:t>
            </w:r>
          </w:p>
        </w:tc>
        <w:tc>
          <w:tcPr/>
          <w:p>
            <w:pPr>
              <w:pStyle w:val="Compact"/>
              <w:jc w:val="left"/>
            </w:pPr>
            <w:r>
              <w:t xml:space="preserve">Notification-only rule, Article 25.2; acknowledgment by default</w:t>
            </w:r>
          </w:p>
        </w:tc>
      </w:tr>
      <w:tr>
        <w:tc>
          <w:tcPr/>
          <w:p>
            <w:pPr>
              <w:pStyle w:val="Compact"/>
              <w:jc w:val="left"/>
            </w:pPr>
            <w:r>
              <w:t xml:space="preserve">RL-5</w:t>
            </w:r>
          </w:p>
        </w:tc>
        <w:tc>
          <w:tcPr/>
          <w:p>
            <w:pPr>
              <w:pStyle w:val="Compact"/>
              <w:jc w:val="left"/>
            </w:pPr>
            <w:r>
              <w:t xml:space="preserve">No boarding, diversion, seizure, or inspection occurs inside a passage</w:t>
            </w:r>
          </w:p>
        </w:tc>
        <w:tc>
          <w:tcPr/>
          <w:p>
            <w:pPr>
              <w:pStyle w:val="Compact"/>
              <w:jc w:val="left"/>
            </w:pPr>
            <w:r>
              <w:t xml:space="preserve">Crew safety; commercial certainty</w:t>
            </w:r>
          </w:p>
        </w:tc>
        <w:tc>
          <w:tcPr/>
          <w:p>
            <w:pPr>
              <w:pStyle w:val="Compact"/>
              <w:jc w:val="left"/>
            </w:pPr>
            <w:r>
              <w:t xml:space="preserve">Non-Interdiction Protocol, Article 27; Anchor-and-Verify at anchorage only, Article 27.3</w:t>
            </w:r>
          </w:p>
        </w:tc>
      </w:tr>
      <w:tr>
        <w:tc>
          <w:tcPr/>
          <w:p>
            <w:pPr>
              <w:pStyle w:val="Compact"/>
              <w:jc w:val="left"/>
            </w:pPr>
            <w:r>
              <w:t xml:space="preserve">RL-6</w:t>
            </w:r>
          </w:p>
        </w:tc>
        <w:tc>
          <w:tcPr/>
          <w:p>
            <w:pPr>
              <w:pStyle w:val="Compact"/>
              <w:jc w:val="left"/>
            </w:pPr>
            <w:r>
              <w:t xml:space="preserve">The framework’s operational bodies remain civilian</w:t>
            </w:r>
          </w:p>
        </w:tc>
        <w:tc>
          <w:tcPr/>
          <w:p>
            <w:pPr>
              <w:pStyle w:val="Compact"/>
              <w:jc w:val="left"/>
            </w:pPr>
            <w:r>
              <w:t xml:space="preserve">Iran’s assurance against security capture; user-state confidence in neutrality</w:t>
            </w:r>
          </w:p>
        </w:tc>
        <w:tc>
          <w:tcPr/>
          <w:p>
            <w:pPr>
              <w:pStyle w:val="Compact"/>
              <w:jc w:val="left"/>
            </w:pPr>
            <w:r>
              <w:t xml:space="preserve">Civilian Character, Articles 3.6 and 41</w:t>
            </w:r>
          </w:p>
        </w:tc>
      </w:tr>
      <w:tr>
        <w:tc>
          <w:tcPr/>
          <w:p>
            <w:pPr>
              <w:pStyle w:val="Compact"/>
              <w:jc w:val="left"/>
            </w:pPr>
            <w:r>
              <w:t xml:space="preserve">RL-7</w:t>
            </w:r>
          </w:p>
        </w:tc>
        <w:tc>
          <w:tcPr/>
          <w:p>
            <w:pPr>
              <w:pStyle w:val="Compact"/>
              <w:jc w:val="left"/>
            </w:pPr>
            <w:r>
              <w:t xml:space="preserve">No shipper or operator pays any Party directly for anything</w:t>
            </w:r>
          </w:p>
        </w:tc>
        <w:tc>
          <w:tcPr/>
          <w:p>
            <w:pPr>
              <w:pStyle w:val="Compact"/>
              <w:jc w:val="left"/>
            </w:pPr>
            <w:r>
              <w:t xml:space="preserve">Sanctions safety for every participant</w:t>
            </w:r>
          </w:p>
        </w:tc>
        <w:tc>
          <w:tcPr/>
          <w:p>
            <w:pPr>
              <w:pStyle w:val="Compact"/>
              <w:jc w:val="left"/>
            </w:pPr>
            <w:r>
              <w:t xml:space="preserve">Sanctions-Compliance Firewall, Article 37; Escrow-only routing</w:t>
            </w:r>
          </w:p>
        </w:tc>
      </w:tr>
      <w:tr>
        <w:tc>
          <w:tcPr/>
          <w:p>
            <w:pPr>
              <w:pStyle w:val="Compact"/>
              <w:jc w:val="left"/>
            </w:pPr>
            <w:r>
              <w:t xml:space="preserve">RL-8</w:t>
            </w:r>
          </w:p>
        </w:tc>
        <w:tc>
          <w:tcPr/>
          <w:p>
            <w:pPr>
              <w:pStyle w:val="Compact"/>
              <w:jc w:val="left"/>
            </w:pPr>
            <w:r>
              <w:t xml:space="preserve">Each Party’s sovereignty over its own waters stands intact</w:t>
            </w:r>
          </w:p>
        </w:tc>
        <w:tc>
          <w:tcPr/>
          <w:p>
            <w:pPr>
              <w:pStyle w:val="Compact"/>
              <w:jc w:val="left"/>
            </w:pPr>
            <w:r>
              <w:t xml:space="preserve">All coastal states’ constitutional positions</w:t>
            </w:r>
          </w:p>
        </w:tc>
        <w:tc>
          <w:tcPr/>
          <w:p>
            <w:pPr>
              <w:pStyle w:val="Compact"/>
              <w:jc w:val="left"/>
            </w:pPr>
            <w:r>
              <w:t xml:space="preserve">Articles 1.4, 2.8; the non-prejudice rule</w:t>
            </w:r>
          </w:p>
        </w:tc>
      </w:tr>
      <w:tr>
        <w:tc>
          <w:tcPr/>
          <w:p>
            <w:pPr>
              <w:pStyle w:val="Compact"/>
              <w:jc w:val="left"/>
            </w:pPr>
            <w:r>
              <w:t xml:space="preserve">RL-9</w:t>
            </w:r>
          </w:p>
        </w:tc>
        <w:tc>
          <w:tcPr/>
          <w:p>
            <w:pPr>
              <w:pStyle w:val="Compact"/>
              <w:jc w:val="left"/>
            </w:pPr>
            <w:r>
              <w:t xml:space="preserve">No commitment expires silently</w:t>
            </w:r>
          </w:p>
        </w:tc>
        <w:tc>
          <w:tcPr/>
          <w:p>
            <w:pPr>
              <w:pStyle w:val="Compact"/>
              <w:jc w:val="left"/>
            </w:pPr>
            <w:r>
              <w:t xml:space="preserve">Durability against political cycles</w:t>
            </w:r>
          </w:p>
        </w:tc>
        <w:tc>
          <w:tcPr/>
          <w:p>
            <w:pPr>
              <w:pStyle w:val="Compact"/>
              <w:jc w:val="left"/>
            </w:pPr>
            <w:r>
              <w:t xml:space="preserve">Nofade Guarantee, Article 6</w:t>
            </w:r>
          </w:p>
        </w:tc>
      </w:tr>
      <w:tr>
        <w:tc>
          <w:tcPr/>
          <w:p>
            <w:pPr>
              <w:pStyle w:val="Compact"/>
              <w:jc w:val="left"/>
            </w:pPr>
            <w:r>
              <w:t xml:space="preserve">RL-10</w:t>
            </w:r>
          </w:p>
        </w:tc>
        <w:tc>
          <w:tcPr/>
          <w:p>
            <w:pPr>
              <w:pStyle w:val="Compact"/>
              <w:jc w:val="left"/>
            </w:pPr>
            <w:r>
              <w:t xml:space="preserve">Humanitarian traffic moves in every flow state</w:t>
            </w:r>
          </w:p>
        </w:tc>
        <w:tc>
          <w:tcPr/>
          <w:p>
            <w:pPr>
              <w:pStyle w:val="Compact"/>
              <w:jc w:val="left"/>
            </w:pPr>
            <w:r>
              <w:t xml:space="preserve">Civilian life; humanitarian norms</w:t>
            </w:r>
          </w:p>
        </w:tc>
        <w:tc>
          <w:tcPr/>
          <w:p>
            <w:pPr>
              <w:pStyle w:val="Compact"/>
              <w:jc w:val="left"/>
            </w:pPr>
            <w:r>
              <w:t xml:space="preserve">Article 24.3; distress priority, Article 29.7</w:t>
            </w:r>
          </w:p>
        </w:tc>
      </w:tr>
      <w:tr>
        <w:tc>
          <w:tcPr/>
          <w:p>
            <w:pPr>
              <w:pStyle w:val="Compact"/>
              <w:jc w:val="left"/>
            </w:pPr>
            <w:r>
              <w:t xml:space="preserve">RL-11</w:t>
            </w:r>
          </w:p>
        </w:tc>
        <w:tc>
          <w:tcPr/>
          <w:p>
            <w:pPr>
              <w:pStyle w:val="Compact"/>
              <w:jc w:val="left"/>
            </w:pPr>
            <w:r>
              <w:t xml:space="preserve">No finding of fact rests on a single input</w:t>
            </w:r>
          </w:p>
        </w:tc>
        <w:tc>
          <w:tcPr/>
          <w:p>
            <w:pPr>
              <w:pStyle w:val="Compact"/>
              <w:jc w:val="left"/>
            </w:pPr>
            <w:r>
              <w:t xml:space="preserve">Every Party’s protection from error and manipulation</w:t>
            </w:r>
          </w:p>
        </w:tc>
        <w:tc>
          <w:tcPr/>
          <w:p>
            <w:pPr>
              <w:pStyle w:val="Compact"/>
              <w:jc w:val="left"/>
            </w:pPr>
            <w:r>
              <w:t xml:space="preserve">Convergence Standard, Annex D.2</w:t>
            </w:r>
          </w:p>
        </w:tc>
      </w:tr>
      <w:tr>
        <w:tc>
          <w:tcPr/>
          <w:p>
            <w:pPr>
              <w:pStyle w:val="Compact"/>
              <w:jc w:val="left"/>
            </w:pPr>
            <w:r>
              <w:t xml:space="preserve">RL-12</w:t>
            </w:r>
          </w:p>
        </w:tc>
        <w:tc>
          <w:tcPr/>
          <w:p>
            <w:pPr>
              <w:pStyle w:val="Compact"/>
              <w:jc w:val="left"/>
            </w:pPr>
            <w:r>
              <w:t xml:space="preserve">Framework assets never support kinetic action by any actor</w:t>
            </w:r>
          </w:p>
        </w:tc>
        <w:tc>
          <w:tcPr/>
          <w:p>
            <w:pPr>
              <w:pStyle w:val="Compact"/>
              <w:jc w:val="left"/>
            </w:pPr>
            <w:r>
              <w:t xml:space="preserve">Iran’s and the region’s assurance against intelligence misuse</w:t>
            </w:r>
          </w:p>
        </w:tc>
        <w:tc>
          <w:tcPr/>
          <w:p>
            <w:pPr>
              <w:pStyle w:val="Compact"/>
              <w:jc w:val="left"/>
            </w:pPr>
            <w:r>
              <w:t xml:space="preserve">Kinetic exclusion, Article 19.2; custody audits, Annex D.6</w:t>
            </w:r>
          </w:p>
        </w:tc>
      </w:tr>
      <w:tr>
        <w:tc>
          <w:tcPr/>
          <w:p>
            <w:pPr>
              <w:pStyle w:val="Compact"/>
              <w:jc w:val="left"/>
            </w:pPr>
            <w:r>
              <w:t xml:space="preserve">RL-13</w:t>
            </w:r>
          </w:p>
        </w:tc>
        <w:tc>
          <w:tcPr/>
          <w:p>
            <w:pPr>
              <w:pStyle w:val="Compact"/>
              <w:jc w:val="left"/>
            </w:pPr>
            <w:r>
              <w:t xml:space="preserve">No single coastal state governs the strait alone</w:t>
            </w:r>
          </w:p>
        </w:tc>
        <w:tc>
          <w:tcPr/>
          <w:p>
            <w:pPr>
              <w:pStyle w:val="Compact"/>
              <w:jc w:val="left"/>
            </w:pPr>
            <w:r>
              <w:t xml:space="preserve">Multilateral legitimacy; accession-state confidence</w:t>
            </w:r>
          </w:p>
        </w:tc>
        <w:tc>
          <w:tcPr/>
          <w:p>
            <w:pPr>
              <w:pStyle w:val="Compact"/>
              <w:jc w:val="left"/>
            </w:pPr>
            <w:r>
              <w:t xml:space="preserve">Council composition, Article 40; three-corridor allocation</w:t>
            </w:r>
          </w:p>
        </w:tc>
      </w:tr>
      <w:tr>
        <w:tc>
          <w:tcPr/>
          <w:p>
            <w:pPr>
              <w:pStyle w:val="Compact"/>
              <w:jc w:val="left"/>
            </w:pPr>
            <w:r>
              <w:t xml:space="preserve">RL-14</w:t>
            </w:r>
          </w:p>
        </w:tc>
        <w:tc>
          <w:tcPr/>
          <w:p>
            <w:pPr>
              <w:pStyle w:val="Compact"/>
              <w:jc w:val="left"/>
            </w:pPr>
            <w:r>
              <w:t xml:space="preserve">No external state commands any element of this framework</w:t>
            </w:r>
          </w:p>
        </w:tc>
        <w:tc>
          <w:tcPr/>
          <w:p>
            <w:pPr>
              <w:pStyle w:val="Compact"/>
              <w:jc w:val="left"/>
            </w:pPr>
            <w:r>
              <w:t xml:space="preserve">Regional ownership; Iran’s assurance against foreign control</w:t>
            </w:r>
          </w:p>
        </w:tc>
        <w:tc>
          <w:tcPr/>
          <w:p>
            <w:pPr>
              <w:pStyle w:val="Compact"/>
              <w:jc w:val="left"/>
            </w:pPr>
            <w:r>
              <w:t xml:space="preserve">Bounded Guarantor role, Article 40.4</w:t>
            </w:r>
          </w:p>
        </w:tc>
      </w:tr>
      <w:tr>
        <w:tc>
          <w:tcPr/>
          <w:p>
            <w:pPr>
              <w:pStyle w:val="Compact"/>
              <w:jc w:val="left"/>
            </w:pPr>
            <w:r>
              <w:t xml:space="preserve">RL-15</w:t>
            </w:r>
          </w:p>
        </w:tc>
        <w:tc>
          <w:tcPr/>
          <w:p>
            <w:pPr>
              <w:pStyle w:val="Compact"/>
              <w:jc w:val="left"/>
            </w:pPr>
            <w:r>
              <w:t xml:space="preserve">The nuclear file remains firewalled from this Accord in both directions</w:t>
            </w:r>
          </w:p>
        </w:tc>
        <w:tc>
          <w:tcPr/>
          <w:p>
            <w:pPr>
              <w:pStyle w:val="Compact"/>
              <w:jc w:val="left"/>
            </w:pPr>
            <w:r>
              <w:t xml:space="preserve">Both sides’ separation of tracks; negotiation integrity</w:t>
            </w:r>
          </w:p>
        </w:tc>
        <w:tc>
          <w:tcPr/>
          <w:p>
            <w:pPr>
              <w:pStyle w:val="Compact"/>
              <w:jc w:val="left"/>
            </w:pPr>
            <w:r>
              <w:t xml:space="preserve">Nuclear Firewall, Article 5</w:t>
            </w:r>
          </w:p>
        </w:tc>
      </w:tr>
      <w:tr>
        <w:tc>
          <w:tcPr/>
          <w:p>
            <w:pPr>
              <w:pStyle w:val="Compact"/>
              <w:jc w:val="left"/>
            </w:pPr>
            <w:r>
              <w:t xml:space="preserve">RL-16</w:t>
            </w:r>
          </w:p>
        </w:tc>
        <w:tc>
          <w:tcPr/>
          <w:p>
            <w:pPr>
              <w:pStyle w:val="Compact"/>
              <w:jc w:val="left"/>
            </w:pPr>
            <w:r>
              <w:t xml:space="preserve">No commercial vessel faces exclusion by reason of flag or nationality</w:t>
            </w:r>
          </w:p>
        </w:tc>
        <w:tc>
          <w:tcPr/>
          <w:p>
            <w:pPr>
              <w:pStyle w:val="Compact"/>
              <w:jc w:val="left"/>
            </w:pPr>
            <w:r>
              <w:t xml:space="preserve">Non-discrimination; customary transit norms</w:t>
            </w:r>
          </w:p>
        </w:tc>
        <w:tc>
          <w:tcPr/>
          <w:p>
            <w:pPr>
              <w:pStyle w:val="Compact"/>
              <w:jc w:val="left"/>
            </w:pPr>
            <w:r>
              <w:t xml:space="preserve">No-Blacklist Rule, Article 25.4; equal-treatment audit, Article 26.4</w:t>
            </w:r>
          </w:p>
        </w:tc>
      </w:tr>
      <w:tr>
        <w:tc>
          <w:tcPr/>
          <w:p>
            <w:pPr>
              <w:pStyle w:val="Compact"/>
              <w:jc w:val="left"/>
            </w:pPr>
            <w:r>
              <w:t xml:space="preserve">RL-17</w:t>
            </w:r>
          </w:p>
        </w:tc>
        <w:tc>
          <w:tcPr/>
          <w:p>
            <w:pPr>
              <w:pStyle w:val="Compact"/>
              <w:jc w:val="left"/>
            </w:pPr>
            <w:r>
              <w:t xml:space="preserve">Every step-back carries a defined, automatic earn-back path</w:t>
            </w:r>
          </w:p>
        </w:tc>
        <w:tc>
          <w:tcPr/>
          <w:p>
            <w:pPr>
              <w:pStyle w:val="Compact"/>
              <w:jc w:val="left"/>
            </w:pPr>
            <w:r>
              <w:t xml:space="preserve">Fairness; recoverability after incidents</w:t>
            </w:r>
          </w:p>
        </w:tc>
        <w:tc>
          <w:tcPr/>
          <w:p>
            <w:pPr>
              <w:pStyle w:val="Compact"/>
              <w:jc w:val="left"/>
            </w:pPr>
            <w:r>
              <w:t xml:space="preserve">Article 45.3; Annex E schedule</w:t>
            </w:r>
          </w:p>
        </w:tc>
      </w:tr>
      <w:tr>
        <w:tc>
          <w:tcPr/>
          <w:p>
            <w:pPr>
              <w:pStyle w:val="Compact"/>
              <w:jc w:val="left"/>
            </w:pPr>
            <w:r>
              <w:t xml:space="preserve">RL-18</w:t>
            </w:r>
          </w:p>
        </w:tc>
        <w:tc>
          <w:tcPr/>
          <w:p>
            <w:pPr>
              <w:pStyle w:val="Compact"/>
              <w:jc w:val="left"/>
            </w:pPr>
            <w:r>
              <w:t xml:space="preserve">Every gate certifies by measurement, never by political decision</w:t>
            </w:r>
          </w:p>
        </w:tc>
        <w:tc>
          <w:tcPr/>
          <w:p>
            <w:pPr>
              <w:pStyle w:val="Compact"/>
              <w:jc w:val="left"/>
            </w:pPr>
            <w:r>
              <w:t xml:space="preserve">Objectivity; protection from deadlock</w:t>
            </w:r>
          </w:p>
        </w:tc>
        <w:tc>
          <w:tcPr/>
          <w:p>
            <w:pPr>
              <w:pStyle w:val="Compact"/>
              <w:jc w:val="left"/>
            </w:pPr>
            <w:r>
              <w:t xml:space="preserve">Automatic certification, Article 7.3; published metrics, Annex J</w:t>
            </w:r>
          </w:p>
        </w:tc>
      </w:tr>
    </w:tbl>
    <w:bookmarkEnd w:id="384"/>
    <w:bookmarkStart w:id="393" w:name="X4faaed806230b7418b50c3af8cc11614f637672"/>
    <w:p>
      <w:pPr>
        <w:pStyle w:val="Heading1"/>
      </w:pPr>
      <w:r>
        <w:t xml:space="preserve">ANNEX H: MINE REMOVAL TASKFORCE CHARTER (MRT-H)</w:t>
      </w:r>
    </w:p>
    <w:bookmarkStart w:id="385" w:name="h.1-establishment-and-mandate"/>
    <w:p>
      <w:pPr>
        <w:pStyle w:val="Heading2"/>
      </w:pPr>
      <w:r>
        <w:t xml:space="preserve">H.1 Establishment and Mandate</w:t>
      </w:r>
    </w:p>
    <w:p>
      <w:pPr>
        <w:pStyle w:val="FirstParagraph"/>
      </w:pPr>
      <w:r>
        <w:t xml:space="preserve">The Mine Removal Taskforce for the Strait of Hormuz operates as the standing mine-hazard survey, clearance, and certification body of the Accord. MRT-H activates at Layer 2 opening under Article 30 and continues until the Neutral Keel Office verifies full clearance of all designated lanes, and thereafter on the rolling re-survey cycle of Article 30.3. MRT-H functions as a civilian-led, multilateral, neutral, and non-kinetic architecture. It governs: hazard survey; mine-like contact identification; disposal of confirmed mines; clearance of transit lanes; hydrographic charting; certification of safe routes; and publication of mine-related bulletins. The framework excludes from MRT-H: any kinetic action, any offensive posture, any activity outside mine countermeasures, and any data flow inconsistent with Article 19.</w:t>
      </w:r>
    </w:p>
    <w:bookmarkEnd w:id="385"/>
    <w:bookmarkStart w:id="386" w:name="h.2-structure"/>
    <w:p>
      <w:pPr>
        <w:pStyle w:val="Heading2"/>
      </w:pPr>
      <w:r>
        <w:t xml:space="preserve">H.2 Structure</w:t>
      </w:r>
    </w:p>
    <w:p>
      <w:pPr>
        <w:pStyle w:val="FirstParagraph"/>
      </w:pPr>
      <w:r>
        <w:t xml:space="preserve">MRT-H comprises four pillars. The Mine Countermeasures Group conducts minehunting, sweeping, disposal, and lane clearance with specialized vessels, unmanned surface and underwater vehicles, explosive-ordnance teams, and hydrographic survey units, under civilian operational direction. The Operations Cell at the Center plans, sequences, and deconflicts all mine operations, maintains the operational picture, issues mine bulletins, and manages traffic around clearance zones; its duty officer pair rotates annually between the two largest littoral contributors to the Transit Services Fund. The Neutral Keel Office Verification Team certifies every cleared lane under the Convergence Standard, verifies disposal events, and publishes Safe Route Certifications, seating IMO and IHO technical observers as standing participants. The Assurance Board (the Council, the Neutral Administrator, and the Guarantor Panel) holds the political mandate, reviews disputes, and interfaces with user states and insurers.</w:t>
      </w:r>
    </w:p>
    <w:bookmarkEnd w:id="386"/>
    <w:bookmarkStart w:id="387" w:name="h.3-participation"/>
    <w:p>
      <w:pPr>
        <w:pStyle w:val="Heading2"/>
      </w:pPr>
      <w:r>
        <w:t xml:space="preserve">H.3 Participation</w:t>
      </w:r>
    </w:p>
    <w:p>
      <w:pPr>
        <w:pStyle w:val="FirstParagraph"/>
      </w:pPr>
      <w:r>
        <w:t xml:space="preserve">Iran surveys and clears the northern sectors, contributes coastal mine-countermeasure units and hydrographic data, and stages at Bandar Abbas. Oman surveys and clears the southern sectors, contributes mine-countermeasure vessels and SAR integration, and stages at Muscat, Sohar, and Duqm. The United Arab Emirates, upon accession, contributes vessels, unmanned vehicles, survey teams, and logistics at Fujairah and Jebel Ali. Saudi Arabia, Qatar, Bahrain, Kuwait, and Iraq accede to contribute units, funding, liaison officers, and regional legitimacy per their instruments. The Swiss Confederation administers finances and contracts commercial providers. The International Maritime Organization certifies technical compliance; the International Hydrographic Organization governs charting. Invited neutral mine-capable states (among them Japan, Norway, the Netherlands, the United Kingdom, France, and India) contribute high-end assets strictly non-kinetic, civilian-directed, and time-bounded. P&amp;I clubs, insurers, shipping associations, and tanker and LNG operators advise on data requirements for premium normalization, without operational roles.</w:t>
      </w:r>
    </w:p>
    <w:bookmarkEnd w:id="387"/>
    <w:bookmarkStart w:id="388" w:name="h.4-operating-sequence"/>
    <w:p>
      <w:pPr>
        <w:pStyle w:val="Heading2"/>
      </w:pPr>
      <w:r>
        <w:t xml:space="preserve">H.4 Operating Sequence</w:t>
      </w:r>
    </w:p>
    <w:p>
      <w:pPr>
        <w:pStyle w:val="FirstParagraph"/>
      </w:pPr>
      <w:r>
        <w:t xml:space="preserve">Phase one, hazard declaration: the Operations Cell issues the Mine Hazard Area notice for the Governance Area; transit restricts to the corridors and the Interim Middle Route. Phase two, survey and identification: systematic sonar sweeps, unmanned-vehicle runs, and diver inspection along the survey-sector grid, with the Central Deconfliction Band first under the thirty-day commitment of Article 30.2; every mine-like contact marks and publishes immediately. Phase three, clearance and disposal: confirmed mines neutralize by explosive-ordnance teams; cleared lanes reopen sequentially. Phase four, verification and certification: the Neutral Keel Office verifies each lane under the Convergence Standard; IMO and IHO observers certify technical compliance; Safe Route Certifications publish with coordinates, depths, and residual-risk levels. Phase five, normalization: cleared lanes become standard corridors; charts update under IHO standards; insurance markets normalize on the published record.</w:t>
      </w:r>
    </w:p>
    <w:bookmarkEnd w:id="388"/>
    <w:bookmarkStart w:id="389" w:name="h.5-operating-principles"/>
    <w:p>
      <w:pPr>
        <w:pStyle w:val="Heading2"/>
      </w:pPr>
      <w:r>
        <w:t xml:space="preserve">H.5 Operating Principles</w:t>
      </w:r>
    </w:p>
    <w:p>
      <w:pPr>
        <w:pStyle w:val="FirstParagraph"/>
      </w:pPr>
      <w:r>
        <w:t xml:space="preserve">Civilian lead: all operational direction is civilian; military units act only in mine-countermeasure roles. Neutrality: all verification is independent; all certifications are public. Transparency: every mine-related bulletin publishes to all Parties and user states simultaneously. Symmetry: Iran, Oman, and the UAE hold visible, balanced roles. Non-kinetic: no MRT-H asset supports offensive operations. Continuity: clearance continues through every dispute under H.6.</w:t>
      </w:r>
    </w:p>
    <w:bookmarkEnd w:id="389"/>
    <w:bookmarkStart w:id="390" w:name="h.6-the-silence-clause"/>
    <w:p>
      <w:pPr>
        <w:pStyle w:val="Heading2"/>
      </w:pPr>
      <w:r>
        <w:t xml:space="preserve">H.6 The Silence Clause</w:t>
      </w:r>
    </w:p>
    <w:p>
      <w:pPr>
        <w:pStyle w:val="FirstParagraph"/>
      </w:pPr>
      <w:r>
        <w:t xml:space="preserve">Mine-clearance operations continue through every dispute, pause, suspension, and escalation. No Party, institution, or event interrupts the taskforce’s work; its survey vessels operate under the framework’s protection in every flow state, and the framework excludes every interference with them.</w:t>
      </w:r>
    </w:p>
    <w:bookmarkEnd w:id="390"/>
    <w:bookmarkStart w:id="391" w:name="h.7-sar-integration"/>
    <w:p>
      <w:pPr>
        <w:pStyle w:val="Heading2"/>
      </w:pPr>
      <w:r>
        <w:t xml:space="preserve">H.7 SAR Integration</w:t>
      </w:r>
    </w:p>
    <w:p>
      <w:pPr>
        <w:pStyle w:val="FirstParagraph"/>
      </w:pPr>
      <w:r>
        <w:t xml:space="preserve">The taskforce’s vessels integrate with the SAR framework of Article 29.7 as secondary response assets, and their operational picture feeds the Joint Visibility System under the custody rules of Article 19.</w:t>
      </w:r>
    </w:p>
    <w:bookmarkEnd w:id="391"/>
    <w:bookmarkStart w:id="392" w:name="h.8-funding-and-reporting"/>
    <w:p>
      <w:pPr>
        <w:pStyle w:val="Heading2"/>
      </w:pPr>
      <w:r>
        <w:t xml:space="preserve">H.8 Funding and Reporting</w:t>
      </w:r>
    </w:p>
    <w:p>
      <w:pPr>
        <w:pStyle w:val="FirstParagraph"/>
      </w:pPr>
      <w:r>
        <w:t xml:space="preserve">The Transit Services Fund finances MRT-H under Annex F; the Sanctions-Compliance Firewall governs every flow. The Operations Cell publishes Mine Hazard Bulletins, Clearance Progress Reports, and Safe Route Certifications; the Neutral Keel Office publishes verification records, disposal logs, convergent evidence summaries, and certification decisions; and the Bulletin carries an annual State of the Strait mine-safety chapter.</w:t>
      </w:r>
    </w:p>
    <w:bookmarkEnd w:id="392"/>
    <w:bookmarkEnd w:id="393"/>
    <w:bookmarkStart w:id="399" w:name="X815c82f0c918d4695cf961f137b50074d0e38f5"/>
    <w:p>
      <w:pPr>
        <w:pStyle w:val="Heading1"/>
      </w:pPr>
      <w:r>
        <w:t xml:space="preserve">ANNEX I: SPEED-CRAFT BEHAVIORAL NORMS AND THE LEAD-ESCORT STANDARD OPERATING PROCEDURE</w:t>
      </w:r>
    </w:p>
    <w:bookmarkStart w:id="394" w:name="i.1-purpose"/>
    <w:p>
      <w:pPr>
        <w:pStyle w:val="Heading2"/>
      </w:pPr>
      <w:r>
        <w:t xml:space="preserve">I.1 Purpose</w:t>
      </w:r>
    </w:p>
    <w:p>
      <w:pPr>
        <w:pStyle w:val="FirstParagraph"/>
      </w:pPr>
      <w:r>
        <w:t xml:space="preserve">Speed craft are the highest-risk escalation vector in the strait outside of unmanned systems: commercial vessels misread close approaches as hostile, and naval forces misread swarm behavior as attack preparation. This Annex binds every speed craft of every Party inside the Governance Area to safety-framed, non-political behavioral norms that limit no state’s sovereignty and confer no authority on any foreign force.</w:t>
      </w:r>
    </w:p>
    <w:bookmarkEnd w:id="394"/>
    <w:bookmarkStart w:id="395" w:name="i.2-the-norms"/>
    <w:p>
      <w:pPr>
        <w:pStyle w:val="Heading2"/>
      </w:pPr>
      <w:r>
        <w:t xml:space="preserve">I.2 The Norms</w:t>
      </w:r>
    </w:p>
    <w:p>
      <w:pPr>
        <w:pStyle w:val="FirstParagraph"/>
      </w:pPr>
      <w:r>
        <w:t xml:space="preserve">Norm one, minimum distance: speed craft maintain 1,000 meters lateral distance from any commercial vessel except during search-and-rescue, escort under this Annex, or a lawful act of the coastal state at anchorage under Article 27.3. Norm two, identification: speed craft display visible hull numbers and navigation lights at all times when underway inside the Governance Area. Norm three, approach geometry: approaches run parallel, never intercept-angle, except during SAR or pre-notified escort. Norm four, notification: any approach inside 1,000 meters triggers an automatic hotline notification to the liaison group. Norm five, swarm behavior: multi-vessel close approaches are prohibited except during SAR, escort under this Annex, or operations pre-notified to the watch floors 24 hours in advance. Norm six, unmanned coordination: unmanned systems accompanying speed craft follow the pre-declared corridors and altitude bands of I.5.</w:t>
      </w:r>
    </w:p>
    <w:bookmarkEnd w:id="395"/>
    <w:bookmarkStart w:id="396" w:name="i.3-classification-and-review"/>
    <w:p>
      <w:pPr>
        <w:pStyle w:val="Heading2"/>
      </w:pPr>
      <w:r>
        <w:t xml:space="preserve">I.3 Classification and Review</w:t>
      </w:r>
    </w:p>
    <w:p>
      <w:pPr>
        <w:pStyle w:val="FirstParagraph"/>
      </w:pPr>
      <w:r>
        <w:t xml:space="preserve">A deviation from these norms classifies under Annex E (E-1 for a single inadvertent deviation corrected on hail; E-2 for a pattern; E-3 for a close approach with contact or threat display). The Data Quality Desk reviews every deviation from the Exchange record and publishes its classification.</w:t>
      </w:r>
    </w:p>
    <w:bookmarkEnd w:id="396"/>
    <w:bookmarkStart w:id="397" w:name="X64c5cd9a6ea4d29c6e74523499438e993317600"/>
    <w:p>
      <w:pPr>
        <w:pStyle w:val="Heading2"/>
      </w:pPr>
      <w:r>
        <w:t xml:space="preserve">I.4 Lead-Escort Standard Operating Procedure (Safety-Only Role)</w:t>
      </w:r>
    </w:p>
    <w:p>
      <w:pPr>
        <w:pStyle w:val="FirstParagraph"/>
      </w:pPr>
      <w:r>
        <w:rPr>
          <w:bCs/>
          <w:b/>
        </w:rPr>
        <w:t xml:space="preserve">I.4.1 Mission definition.</w:t>
      </w:r>
      <w:r>
        <w:t xml:space="preserve"> </w:t>
      </w:r>
      <w:r>
        <w:t xml:space="preserve">Lead escort craft operate ahead of merchant vessels transiting the corridors. Their mission is hazard detection, situational awareness, and forward-cone scanning. They do not stop, board, redirect, or interrogate any vessel. They maintain forward standoff geometry at all times.</w:t>
      </w:r>
    </w:p>
    <w:p>
      <w:pPr>
        <w:pStyle w:val="BodyText"/>
      </w:pPr>
      <w:r>
        <w:rPr>
          <w:bCs/>
          <w:b/>
        </w:rPr>
        <w:t xml:space="preserve">I.4.2 Activation criteria.</w:t>
      </w:r>
      <w:r>
        <w:t xml:space="preserve"> </w:t>
      </w:r>
      <w:r>
        <w:t xml:space="preserve">Lead-escort deployment occurs only when: a vessel files a Transit Notice or requests escort through its agent; the corridor assignment is confirmed; weather and visibility meet minimum safety thresholds (visibility above 1,000 meters, sea state below 5); no enforcement or inspection activity is underway in the vicinity; and escort craft are available and cleared for safety duty.</w:t>
      </w:r>
    </w:p>
    <w:p>
      <w:pPr>
        <w:pStyle w:val="BodyText"/>
      </w:pPr>
      <w:r>
        <w:rPr>
          <w:bCs/>
          <w:b/>
        </w:rPr>
        <w:t xml:space="preserve">I.4.3 Pre-departure checklist.</w:t>
      </w:r>
      <w:r>
        <w:t xml:space="preserve"> </w:t>
      </w:r>
      <w:r>
        <w:t xml:space="preserve">Each escort craft completes: AIS activation; VHF 16, 72, and 69 monitoring; fuel and propulsion check; navigation lights check; radar and optical systems check; emergency beacon readiness; crew briefing on non-interdiction rules; and confirmation of standoff geometry parameters.</w:t>
      </w:r>
    </w:p>
    <w:p>
      <w:pPr>
        <w:pStyle w:val="BodyText"/>
      </w:pPr>
      <w:r>
        <w:rPr>
          <w:bCs/>
          <w:b/>
        </w:rPr>
        <w:t xml:space="preserve">I.4.4 Forward-geometry positioning.</w:t>
      </w:r>
      <w:r>
        <w:t xml:space="preserve"> </w:t>
      </w:r>
      <w:r>
        <w:t xml:space="preserve">Escort craft maintain: 1 to 2 nautical miles ahead of the escorted vessel; a forward observation cone of 20 to 30 degrees; no lateral encroachment into the vessel’s standoff zone; no approach within 0.5 nautical miles; and no trailing position at any time.</w:t>
      </w:r>
    </w:p>
    <w:p>
      <w:pPr>
        <w:pStyle w:val="BodyText"/>
      </w:pPr>
      <w:r>
        <w:rPr>
          <w:bCs/>
          <w:b/>
        </w:rPr>
        <w:t xml:space="preserve">I.4.5 Communications.</w:t>
      </w:r>
      <w:r>
        <w:t xml:space="preserve"> </w:t>
      </w:r>
      <w:r>
        <w:t xml:space="preserve">Escort craft use VHF 16 for emergencies, VHF 69 for escort working traffic, and the floor link for hazard reporting. Escort craft do not issue commands, request course or speed changes, hail vessels for identification, or initiate direct vessel communication except in emergency.</w:t>
      </w:r>
    </w:p>
    <w:p>
      <w:pPr>
        <w:pStyle w:val="BodyText"/>
      </w:pPr>
      <w:r>
        <w:rPr>
          <w:bCs/>
          <w:b/>
        </w:rPr>
        <w:t xml:space="preserve">I.4.6 Hazard detection duties.</w:t>
      </w:r>
      <w:r>
        <w:t xml:space="preserve"> </w:t>
      </w:r>
      <w:r>
        <w:t xml:space="preserve">Escort craft scan for: small craft crossing the corridor; unlit or drifting vessels; debris; fishing nets or gear; abnormal AIS behavior; wake interference risks; sudden weather changes; visibility drops; navigation hazards; and any vessel deviating from expected corridor geometry. Hazards report to the watch floor, not directly to the merchant vessel.</w:t>
      </w:r>
    </w:p>
    <w:p>
      <w:pPr>
        <w:pStyle w:val="BodyText"/>
      </w:pPr>
      <w:r>
        <w:rPr>
          <w:bCs/>
          <w:b/>
        </w:rPr>
        <w:t xml:space="preserve">I.4.7 Hazard reporting flow.</w:t>
      </w:r>
      <w:r>
        <w:t xml:space="preserve"> </w:t>
      </w:r>
      <w:r>
        <w:t xml:space="preserve">Step one: the escort logs the hazard. Step two: the escort transmits a hazard advisory to the watch floor. Step three: the floor evaluates and determines whether a corridor advisory issues. Step four: the merchant vessel receives the advisory from the floor, never from the escort. Step five: the escort continues forward scanning.</w:t>
      </w:r>
    </w:p>
    <w:p>
      <w:pPr>
        <w:pStyle w:val="BodyText"/>
      </w:pPr>
      <w:r>
        <w:rPr>
          <w:bCs/>
          <w:b/>
        </w:rPr>
        <w:t xml:space="preserve">I.4.8 Handover protocol.</w:t>
      </w:r>
      <w:r>
        <w:t xml:space="preserve"> </w:t>
      </w:r>
      <w:r>
        <w:t xml:space="preserve">At corridor transition points H-1 (26° 30.5′ N, 056° 30.0′ E) and H-2 (26° 27.0′ N, 056° 55.0′ E), one administrator’s escort hands off to the other’s. The handover occurs at the published coordinate; both escorts maintain forward geometry throughout; the merchant vessel is never approached; and the floor logs the handover.</w:t>
      </w:r>
    </w:p>
    <w:p>
      <w:pPr>
        <w:pStyle w:val="BodyText"/>
      </w:pPr>
      <w:r>
        <w:rPr>
          <w:bCs/>
          <w:b/>
        </w:rPr>
        <w:t xml:space="preserve">I.4.9 Disengagement.</w:t>
      </w:r>
      <w:r>
        <w:t xml:space="preserve"> </w:t>
      </w:r>
      <w:r>
        <w:t xml:space="preserve">Escorts disengage when the vessel exits the corridor, when weather drops below thresholds, when another escort takes over, or when the floor issues a disengagement notice. Disengagement is silent: no hail, no signal, no approach.</w:t>
      </w:r>
    </w:p>
    <w:p>
      <w:pPr>
        <w:pStyle w:val="BodyText"/>
      </w:pPr>
      <w:r>
        <w:rPr>
          <w:bCs/>
          <w:b/>
        </w:rPr>
        <w:t xml:space="preserve">I.4.10 Non-interdiction safeguards.</w:t>
      </w:r>
      <w:r>
        <w:t xml:space="preserve"> </w:t>
      </w:r>
      <w:r>
        <w:t xml:space="preserve">Escort craft never stop a vessel, board a vessel, request identification, request course or speed changes, activate enforcement protocols, shadow or flank a vessel, enter a vessel’s standoff zone, or transmit any message implying control or permission. A violation triggers immediate floor review and classification under Annex E.</w:t>
      </w:r>
    </w:p>
    <w:p>
      <w:pPr>
        <w:pStyle w:val="BodyText"/>
      </w:pPr>
      <w:r>
        <w:rPr>
          <w:bCs/>
          <w:b/>
        </w:rPr>
        <w:t xml:space="preserve">I.4.11 Emergency protocol.</w:t>
      </w:r>
      <w:r>
        <w:t xml:space="preserve"> </w:t>
      </w:r>
      <w:r>
        <w:t xml:space="preserve">Escort craft break forward geometry only upon: a vessel’s distress call; imminent collision risk; a life-saving intervention; or floor-authorized emergency deviation. Even in emergencies, escort craft do not board, inspect, interrogate, or enforce. Their role remains safety-only.</w:t>
      </w:r>
    </w:p>
    <w:p>
      <w:pPr>
        <w:pStyle w:val="BodyText"/>
      </w:pPr>
      <w:r>
        <w:rPr>
          <w:bCs/>
          <w:b/>
        </w:rPr>
        <w:t xml:space="preserve">I.4.12 Post-transit reporting.</w:t>
      </w:r>
      <w:r>
        <w:t xml:space="preserve"> </w:t>
      </w:r>
      <w:r>
        <w:t xml:space="preserve">After disengagement, escort craft file: hazard log, weather log, visibility log, corridor conditions report, deviations from protocol, emergency actions taken, fuel and propulsion status, and crew observations. The floor archives every report for corridor optimization.</w:t>
      </w:r>
    </w:p>
    <w:bookmarkEnd w:id="397"/>
    <w:bookmarkStart w:id="398" w:name="i.5-unmanned-systems-corridors"/>
    <w:p>
      <w:pPr>
        <w:pStyle w:val="Heading2"/>
      </w:pPr>
      <w:r>
        <w:t xml:space="preserve">I.5 Unmanned Systems Corridors</w:t>
      </w:r>
    </w:p>
    <w:p>
      <w:pPr>
        <w:pStyle w:val="FirstParagraph"/>
      </w:pPr>
      <w:r>
        <w:t xml:space="preserve">Unmanned aerial systems of any Party operate inside the Governance Area only within the pre-declared flight corridors notified to the watch floors 24 hours in advance, at altitudes above 500 feet and lateral distances of not less than 2.0 nautical miles from any commercial vessel, with transponder or electronic visibility active. The framework excludes armed unmanned-system operation inside the Governance Area absolutely, and classifies any violation as E-4.</w:t>
      </w:r>
    </w:p>
    <w:bookmarkEnd w:id="398"/>
    <w:bookmarkEnd w:id="399"/>
    <w:bookmarkStart w:id="405" w:name="Xfe1f62ac35db5032c05c8e2dee0e0ad4ff4aa6c"/>
    <w:p>
      <w:pPr>
        <w:pStyle w:val="Heading1"/>
      </w:pPr>
      <w:r>
        <w:t xml:space="preserve">ANNEX J: STABILITY AUDIT METRICS AND GATE CHECKLISTS</w:t>
      </w:r>
    </w:p>
    <w:bookmarkStart w:id="400" w:name="j.1-the-audit-method"/>
    <w:p>
      <w:pPr>
        <w:pStyle w:val="Heading2"/>
      </w:pPr>
      <w:r>
        <w:t xml:space="preserve">J.1 The Audit Method</w:t>
      </w:r>
    </w:p>
    <w:p>
      <w:pPr>
        <w:pStyle w:val="FirstParagraph"/>
      </w:pPr>
      <w:r>
        <w:t xml:space="preserve">Every gate audit follows the same six-step method: the Neutral Watch Office extracts the metric record from the Exchange and the Reciprocity Ledger; verifies completeness; computes each metric against its threshold; applies the Human Anchor Method to sampled events; issues the determination with the full record; and publishes the certificate or the failure notice with the factual gap.</w:t>
      </w:r>
    </w:p>
    <w:bookmarkEnd w:id="400"/>
    <w:bookmarkStart w:id="401" w:name="Xfb72ff2d89058403c581e257b3cd2a144696efc"/>
    <w:p>
      <w:pPr>
        <w:pStyle w:val="Heading2"/>
      </w:pPr>
      <w:r>
        <w:t xml:space="preserve">J.2 FLOW-AMBER Objective Triggers (Article 24.2)</w:t>
      </w:r>
    </w:p>
    <w:p>
      <w:pPr>
        <w:pStyle w:val="FirstParagraph"/>
      </w:pPr>
      <w:r>
        <w:t xml:space="preserve">Any of: wind at or above 34 knots sustained; visibility below 1,000 meters; swell at or above 3.0 meters in a corridor sector; traffic density above 12 vessels per corridor hour; active survey operations in an adjacent sector; or a Level-2 incident open in the corridor.</w:t>
      </w:r>
    </w:p>
    <w:bookmarkEnd w:id="401"/>
    <w:bookmarkStart w:id="402" w:name="j.3-gate-checklists"/>
    <w:p>
      <w:pPr>
        <w:pStyle w:val="Heading2"/>
      </w:pPr>
      <w:r>
        <w:t xml:space="preserve">J.3 Gate Checklists</w:t>
      </w:r>
    </w:p>
    <w:p>
      <w:pPr>
        <w:pStyle w:val="FirstParagraph"/>
      </w:pPr>
      <w:r>
        <w:rPr>
          <w:bCs/>
          <w:b/>
        </w:rPr>
        <w:t xml:space="preserve">G-0 checklist:</w:t>
      </w:r>
      <w:r>
        <w:t xml:space="preserve"> </w:t>
      </w:r>
      <w:r>
        <w:t xml:space="preserve">30 consecutive days of lattice operation; at least 45 of 50 exercises activated; zero unresolved Level-2 incidents; Lattice Cell recommendation recorded; Exercise Logbook complete and paired.</w:t>
      </w:r>
    </w:p>
    <w:p>
      <w:pPr>
        <w:pStyle w:val="BodyText"/>
      </w:pPr>
      <w:r>
        <w:rPr>
          <w:bCs/>
          <w:b/>
        </w:rPr>
        <w:t xml:space="preserve">G-1 checklist:</w:t>
      </w:r>
      <w:r>
        <w:t xml:space="preserve"> </w:t>
      </w:r>
      <w:r>
        <w:t xml:space="preserve">21 consecutive days of Exchange operation; parity at 99.5 percent of checksums or better; zero substantiated custody breaches; Bulletin publishing daily; Data Quality Desk notes on record.</w:t>
      </w:r>
    </w:p>
    <w:p>
      <w:pPr>
        <w:pStyle w:val="BodyText"/>
      </w:pPr>
      <w:r>
        <w:rPr>
          <w:bCs/>
          <w:b/>
        </w:rPr>
        <w:t xml:space="preserve">G-2 checklist:</w:t>
      </w:r>
      <w:r>
        <w:t xml:space="preserve"> </w:t>
      </w:r>
      <w:r>
        <w:t xml:space="preserve">28 consecutive days of corridor operation; at least 100 certified transits; zero interdiction events; interim-route mine-clearance certificate issued; service standards at 95 percent; equal-treatment audit within tolerance.</w:t>
      </w:r>
    </w:p>
    <w:p>
      <w:pPr>
        <w:pStyle w:val="BodyText"/>
      </w:pPr>
      <w:r>
        <w:rPr>
          <w:bCs/>
          <w:b/>
        </w:rPr>
        <w:t xml:space="preserve">G-3 checklist:</w:t>
      </w:r>
      <w:r>
        <w:t xml:space="preserve"> </w:t>
      </w:r>
      <w:r>
        <w:t xml:space="preserve">60 consecutive days of clean escrow reconciliation; zero direct-payment findings; service-to-invoice match at 100 percent; share execution matching the published table; simulation-to-live conversion executed unaltered.</w:t>
      </w:r>
    </w:p>
    <w:p>
      <w:pPr>
        <w:pStyle w:val="BodyText"/>
      </w:pPr>
      <w:r>
        <w:rPr>
          <w:bCs/>
          <w:b/>
        </w:rPr>
        <w:t xml:space="preserve">G-4 checklist:</w:t>
      </w:r>
      <w:r>
        <w:t xml:space="preserve"> </w:t>
      </w:r>
      <w:r>
        <w:t xml:space="preserve">Full Unlock held 28 consecutive days; Tribunal seated and caseload current; Mutual Claims Commission seated and docket open; two consecutive clean equal-treatment quarters; Reciprocity Map Layer 4 entries executed.</w:t>
      </w:r>
    </w:p>
    <w:p>
      <w:pPr>
        <w:pStyle w:val="BodyText"/>
      </w:pPr>
      <w:r>
        <w:rPr>
          <w:bCs/>
          <w:b/>
        </w:rPr>
        <w:t xml:space="preserve">G-5 checklist:</w:t>
      </w:r>
      <w:r>
        <w:t xml:space="preserve"> </w:t>
      </w:r>
      <w:r>
        <w:t xml:space="preserve">Council conversion resolution adopted; depositary confirmation of all instruments; IMO lodgment complete.</w:t>
      </w:r>
    </w:p>
    <w:bookmarkEnd w:id="402"/>
    <w:bookmarkStart w:id="403" w:name="j.4-the-weekly-review-format-mx-48"/>
    <w:p>
      <w:pPr>
        <w:pStyle w:val="Heading2"/>
      </w:pPr>
      <w:r>
        <w:t xml:space="preserve">J.4 The Weekly Review Format (MX-48)</w:t>
      </w:r>
    </w:p>
    <w:p>
      <w:pPr>
        <w:pStyle w:val="FirstParagraph"/>
      </w:pPr>
      <w:r>
        <w:t xml:space="preserve">The standing review format carries five fields: what functioned; what failed; what each Party experienced; what the data shows; and what the Cell recommends. One page, every week, on the record.</w:t>
      </w:r>
    </w:p>
    <w:bookmarkEnd w:id="403"/>
    <w:bookmarkStart w:id="404" w:name="Xb035a7d1a64816334d8d092382d15b46331196b"/>
    <w:p>
      <w:pPr>
        <w:pStyle w:val="Heading2"/>
      </w:pPr>
      <w:r>
        <w:t xml:space="preserve">J.5 Equal-Treatment Tolerance (Article 26.4)</w:t>
      </w:r>
    </w:p>
    <w:p>
      <w:pPr>
        <w:pStyle w:val="FirstParagraph"/>
      </w:pPr>
      <w:r>
        <w:t xml:space="preserve">The audit compares flag-group means for acknowledgment time, transit time, escort provision, and incident rate. Divergence beyond 15 percent on any measure, sustained across two consecutive quarters, triggers the remediation review. The audit publishes its full methodology and data.</w:t>
      </w:r>
    </w:p>
    <w:bookmarkEnd w:id="404"/>
    <w:bookmarkEnd w:id="405"/>
    <w:bookmarkStart w:id="411" w:name="annex-k-implementation-timeline"/>
    <w:p>
      <w:pPr>
        <w:pStyle w:val="Heading1"/>
      </w:pPr>
      <w:r>
        <w:t xml:space="preserve">ANNEX K: IMPLEMENTATION TIMELINE</w:t>
      </w:r>
    </w:p>
    <w:bookmarkStart w:id="406" w:name="k.1-day-by-day-layer-0-days-0-to-45"/>
    <w:p>
      <w:pPr>
        <w:pStyle w:val="Heading2"/>
      </w:pPr>
      <w:r>
        <w:t xml:space="preserve">K.1 Day-by-Day: Layer 0 (Days 0 to 45)</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Day</w:t>
            </w:r>
          </w:p>
        </w:tc>
        <w:tc>
          <w:tcPr/>
          <w:p>
            <w:pPr>
              <w:pStyle w:val="Compact"/>
              <w:jc w:val="left"/>
            </w:pPr>
            <w:r>
              <w:t xml:space="preserve">Action</w:t>
            </w:r>
          </w:p>
        </w:tc>
      </w:tr>
      <w:tr>
        <w:tc>
          <w:tcPr/>
          <w:p>
            <w:pPr>
              <w:pStyle w:val="Compact"/>
              <w:jc w:val="left"/>
            </w:pPr>
            <w:r>
              <w:t xml:space="preserve">0</w:t>
            </w:r>
          </w:p>
        </w:tc>
        <w:tc>
          <w:tcPr/>
          <w:p>
            <w:pPr>
              <w:pStyle w:val="Compact"/>
              <w:jc w:val="left"/>
            </w:pPr>
            <w:r>
              <w:t xml:space="preserve">Entry into force 00:00 UTC; synchronized opening of Article 7.5; blockade drawdown step one executes; joint readiness declaration publishes; hotline network first full test; Lattice Cell convenes</w:t>
            </w:r>
          </w:p>
        </w:tc>
      </w:tr>
      <w:tr>
        <w:tc>
          <w:tcPr/>
          <w:p>
            <w:pPr>
              <w:pStyle w:val="Compact"/>
              <w:jc w:val="left"/>
            </w:pPr>
            <w:r>
              <w:t xml:space="preserve">1 to 5</w:t>
            </w:r>
          </w:p>
        </w:tc>
        <w:tc>
          <w:tcPr/>
          <w:p>
            <w:pPr>
              <w:pStyle w:val="Compact"/>
              <w:jc w:val="left"/>
            </w:pPr>
            <w:r>
              <w:t xml:space="preserve">Sub-Layer 0.1 exercises activate individually by joint notice; provisional premises stand up per K.2</w:t>
            </w:r>
          </w:p>
        </w:tc>
      </w:tr>
      <w:tr>
        <w:tc>
          <w:tcPr/>
          <w:p>
            <w:pPr>
              <w:pStyle w:val="Compact"/>
              <w:jc w:val="left"/>
            </w:pPr>
            <w:r>
              <w:t xml:space="preserve">5 to 10</w:t>
            </w:r>
          </w:p>
        </w:tc>
        <w:tc>
          <w:tcPr/>
          <w:p>
            <w:pPr>
              <w:pStyle w:val="Compact"/>
              <w:jc w:val="left"/>
            </w:pPr>
            <w:r>
              <w:t xml:space="preserve">Sub-Layer 0.2 activates; Bulletin begins daily publication Day 10</w:t>
            </w:r>
          </w:p>
        </w:tc>
      </w:tr>
      <w:tr>
        <w:tc>
          <w:tcPr/>
          <w:p>
            <w:pPr>
              <w:pStyle w:val="Compact"/>
              <w:jc w:val="left"/>
            </w:pPr>
            <w:r>
              <w:t xml:space="preserve">10 to 15</w:t>
            </w:r>
          </w:p>
        </w:tc>
        <w:tc>
          <w:tcPr/>
          <w:p>
            <w:pPr>
              <w:pStyle w:val="Compact"/>
              <w:jc w:val="left"/>
            </w:pPr>
            <w:r>
              <w:t xml:space="preserve">Sub-Layer 0.3 activates; alert latency baseline begins recording</w:t>
            </w:r>
          </w:p>
        </w:tc>
      </w:tr>
      <w:tr>
        <w:tc>
          <w:tcPr/>
          <w:p>
            <w:pPr>
              <w:pStyle w:val="Compact"/>
              <w:jc w:val="left"/>
            </w:pPr>
            <w:r>
              <w:t xml:space="preserve">15 to 20</w:t>
            </w:r>
          </w:p>
        </w:tc>
        <w:tc>
          <w:tcPr/>
          <w:p>
            <w:pPr>
              <w:pStyle w:val="Compact"/>
              <w:jc w:val="left"/>
            </w:pPr>
            <w:r>
              <w:t xml:space="preserve">Sub-Layer 0.4 activates; SAR readiness baseline begins recording</w:t>
            </w:r>
          </w:p>
        </w:tc>
      </w:tr>
      <w:tr>
        <w:tc>
          <w:tcPr/>
          <w:p>
            <w:pPr>
              <w:pStyle w:val="Compact"/>
              <w:jc w:val="left"/>
            </w:pPr>
            <w:r>
              <w:t xml:space="preserve">20 to 25</w:t>
            </w:r>
          </w:p>
        </w:tc>
        <w:tc>
          <w:tcPr/>
          <w:p>
            <w:pPr>
              <w:pStyle w:val="Compact"/>
              <w:jc w:val="left"/>
            </w:pPr>
            <w:r>
              <w:t xml:space="preserve">Sub-Layer 0.5 activates; full lattice stands active by Day 25</w:t>
            </w:r>
          </w:p>
        </w:tc>
      </w:tr>
      <w:tr>
        <w:tc>
          <w:tcPr/>
          <w:p>
            <w:pPr>
              <w:pStyle w:val="Compact"/>
              <w:jc w:val="left"/>
            </w:pPr>
            <w:r>
              <w:t xml:space="preserve">25 to 30</w:t>
            </w:r>
          </w:p>
        </w:tc>
        <w:tc>
          <w:tcPr/>
          <w:p>
            <w:pPr>
              <w:pStyle w:val="Compact"/>
              <w:jc w:val="left"/>
            </w:pPr>
            <w:r>
              <w:t xml:space="preserve">Full lattice operation; weekly reviews accumulate</w:t>
            </w:r>
          </w:p>
        </w:tc>
      </w:tr>
      <w:tr>
        <w:tc>
          <w:tcPr/>
          <w:p>
            <w:pPr>
              <w:pStyle w:val="Compact"/>
              <w:jc w:val="left"/>
            </w:pPr>
            <w:r>
              <w:t xml:space="preserve">30</w:t>
            </w:r>
          </w:p>
        </w:tc>
        <w:tc>
          <w:tcPr/>
          <w:p>
            <w:pPr>
              <w:pStyle w:val="Compact"/>
              <w:jc w:val="left"/>
            </w:pPr>
            <w:r>
              <w:t xml:space="preserve">First Gate G-0 audit; certification or seven-day re-audit cycle</w:t>
            </w:r>
          </w:p>
        </w:tc>
      </w:tr>
      <w:tr>
        <w:tc>
          <w:tcPr/>
          <w:p>
            <w:pPr>
              <w:pStyle w:val="Compact"/>
              <w:jc w:val="left"/>
            </w:pPr>
            <w:r>
              <w:t xml:space="preserve">30 to 45</w:t>
            </w:r>
          </w:p>
        </w:tc>
        <w:tc>
          <w:tcPr/>
          <w:p>
            <w:pPr>
              <w:pStyle w:val="Compact"/>
              <w:jc w:val="left"/>
            </w:pPr>
            <w:r>
              <w:t xml:space="preserve">Re-audit window; certification opens Layer 1</w:t>
            </w:r>
          </w:p>
        </w:tc>
      </w:tr>
    </w:tbl>
    <w:bookmarkEnd w:id="406"/>
    <w:bookmarkStart w:id="407" w:name="k.2-provisional-premises"/>
    <w:p>
      <w:pPr>
        <w:pStyle w:val="Heading2"/>
      </w:pPr>
      <w:r>
        <w:t xml:space="preserve">K.2 Provisional Premises</w:t>
      </w:r>
    </w:p>
    <w:p>
      <w:pPr>
        <w:pStyle w:val="FirstParagraph"/>
      </w:pPr>
      <w:r>
        <w:t xml:space="preserve">The Center operates from interim facilities at the Sultanate’s maritime headquarters in Muscat from Day 0; the Mirror operates from the Ports and Maritime Organization facility at Bandar Abbas; the Neutral Watch Office stands up provisionally with the Swiss-appointed Director and seconded observers from Day 0; and permanent facilities complete by Gate G-2 under the Fund’s first budget.</w:t>
      </w:r>
    </w:p>
    <w:bookmarkEnd w:id="407"/>
    <w:bookmarkStart w:id="408" w:name="k.3-layer-timelines"/>
    <w:p>
      <w:pPr>
        <w:pStyle w:val="Heading2"/>
      </w:pPr>
      <w:r>
        <w:t xml:space="preserve">K.3 Layer Timelines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Window</w:t>
            </w:r>
          </w:p>
        </w:tc>
        <w:tc>
          <w:tcPr/>
          <w:p>
            <w:pPr>
              <w:pStyle w:val="Compact"/>
              <w:jc w:val="left"/>
            </w:pPr>
            <w:r>
              <w:t xml:space="preserve">Key milestones</w:t>
            </w:r>
          </w:p>
        </w:tc>
      </w:tr>
      <w:tr>
        <w:tc>
          <w:tcPr/>
          <w:p>
            <w:pPr>
              <w:pStyle w:val="Compact"/>
              <w:jc w:val="left"/>
            </w:pPr>
            <w:r>
              <w:t xml:space="preserve">L-1</w:t>
            </w:r>
          </w:p>
        </w:tc>
        <w:tc>
          <w:tcPr/>
          <w:p>
            <w:pPr>
              <w:pStyle w:val="Compact"/>
              <w:jc w:val="left"/>
            </w:pPr>
            <w:r>
              <w:t xml:space="preserve">Days 45 to 90</w:t>
            </w:r>
          </w:p>
        </w:tc>
        <w:tc>
          <w:tcPr/>
          <w:p>
            <w:pPr>
              <w:pStyle w:val="Compact"/>
              <w:jc w:val="left"/>
            </w:pPr>
            <w:r>
              <w:t xml:space="preserve">Exchange live Day 45 to 50; parity tracking begins; G-1 audit from Day 66</w:t>
            </w:r>
          </w:p>
        </w:tc>
      </w:tr>
      <w:tr>
        <w:tc>
          <w:tcPr/>
          <w:p>
            <w:pPr>
              <w:pStyle w:val="Compact"/>
              <w:jc w:val="left"/>
            </w:pPr>
            <w:r>
              <w:t xml:space="preserve">L-2</w:t>
            </w:r>
          </w:p>
        </w:tc>
        <w:tc>
          <w:tcPr/>
          <w:p>
            <w:pPr>
              <w:pStyle w:val="Compact"/>
              <w:jc w:val="left"/>
            </w:pPr>
            <w:r>
              <w:t xml:space="preserve">Days 90 to 150</w:t>
            </w:r>
          </w:p>
        </w:tc>
        <w:tc>
          <w:tcPr/>
          <w:p>
            <w:pPr>
              <w:pStyle w:val="Compact"/>
              <w:jc w:val="left"/>
            </w:pPr>
            <w:r>
              <w:t xml:space="preserve">Corridors activate Day 90; Interim Middle Route operates; MRT-H activates; median cleared by Day 120; blockade drawdown completes at G-2</w:t>
            </w:r>
          </w:p>
        </w:tc>
      </w:tr>
      <w:tr>
        <w:tc>
          <w:tcPr/>
          <w:p>
            <w:pPr>
              <w:pStyle w:val="Compact"/>
              <w:jc w:val="left"/>
            </w:pPr>
            <w:r>
              <w:t xml:space="preserve">L-3</w:t>
            </w:r>
          </w:p>
        </w:tc>
        <w:tc>
          <w:tcPr/>
          <w:p>
            <w:pPr>
              <w:pStyle w:val="Compact"/>
              <w:jc w:val="left"/>
            </w:pPr>
            <w:r>
              <w:t xml:space="preserve">Days 150 to 240</w:t>
            </w:r>
          </w:p>
        </w:tc>
        <w:tc>
          <w:tcPr/>
          <w:p>
            <w:pPr>
              <w:pStyle w:val="Compact"/>
              <w:jc w:val="left"/>
            </w:pPr>
            <w:r>
              <w:t xml:space="preserve">Fee suspension continues; simulation at full scale; Escrow live in shadow mode Day 150; live charging at G-3</w:t>
            </w:r>
          </w:p>
        </w:tc>
      </w:tr>
      <w:tr>
        <w:tc>
          <w:tcPr/>
          <w:p>
            <w:pPr>
              <w:pStyle w:val="Compact"/>
              <w:jc w:val="left"/>
            </w:pPr>
            <w:r>
              <w:t xml:space="preserve">L-4</w:t>
            </w:r>
          </w:p>
        </w:tc>
        <w:tc>
          <w:tcPr/>
          <w:p>
            <w:pPr>
              <w:pStyle w:val="Compact"/>
              <w:jc w:val="left"/>
            </w:pPr>
            <w:r>
              <w:t xml:space="preserve">Days 240 to 360</w:t>
            </w:r>
          </w:p>
        </w:tc>
        <w:tc>
          <w:tcPr/>
          <w:p>
            <w:pPr>
              <w:pStyle w:val="Compact"/>
              <w:jc w:val="left"/>
            </w:pPr>
            <w:r>
              <w:t xml:space="preserve">Institutions seat; Escalator clock runs from G-2 certification; Full Unlock earliest Day 290; Tribunal and Commission seat Day 240; G-4 audit follows</w:t>
            </w:r>
          </w:p>
        </w:tc>
      </w:tr>
      <w:tr>
        <w:tc>
          <w:tcPr/>
          <w:p>
            <w:pPr>
              <w:pStyle w:val="Compact"/>
              <w:jc w:val="left"/>
            </w:pPr>
            <w:r>
              <w:t xml:space="preserve">L-5</w:t>
            </w:r>
          </w:p>
        </w:tc>
        <w:tc>
          <w:tcPr/>
          <w:p>
            <w:pPr>
              <w:pStyle w:val="Compact"/>
              <w:jc w:val="left"/>
            </w:pPr>
            <w:r>
              <w:t xml:space="preserve">Day 360 onward</w:t>
            </w:r>
          </w:p>
        </w:tc>
        <w:tc>
          <w:tcPr/>
          <w:p>
            <w:pPr>
              <w:pStyle w:val="Compact"/>
              <w:jc w:val="left"/>
            </w:pPr>
            <w:r>
              <w:t xml:space="preserve">Conversion resolution within 60 days of G-4; instruments deposit; Charter takes effect; IMO lodgment</w:t>
            </w:r>
          </w:p>
        </w:tc>
      </w:tr>
    </w:tbl>
    <w:bookmarkEnd w:id="408"/>
    <w:bookmarkStart w:id="409" w:name="k.4-the-escalator-calendar"/>
    <w:p>
      <w:pPr>
        <w:pStyle w:val="Heading2"/>
      </w:pPr>
      <w:r>
        <w:t xml:space="preserve">K.4 The Escalator Calendar</w:t>
      </w:r>
    </w:p>
    <w:p>
      <w:pPr>
        <w:pStyle w:val="FirstParagraph"/>
      </w:pPr>
      <w:r>
        <w:t xml:space="preserve">The first Verification Period opens at Gate G-2 certification. At seven consecutive Clean Weeks, Full Unlock arrives no earlier than 49 days after G-2. Pauses extend the calendar; they never reset it.</w:t>
      </w:r>
    </w:p>
    <w:bookmarkEnd w:id="409"/>
    <w:bookmarkStart w:id="410" w:name="k.5-the-capacity-plan"/>
    <w:p>
      <w:pPr>
        <w:pStyle w:val="Heading2"/>
      </w:pPr>
      <w:r>
        <w:t xml:space="preserve">K.5 The Capacity Plan</w:t>
      </w:r>
    </w:p>
    <w:p>
      <w:pPr>
        <w:pStyle w:val="FirstParagraph"/>
      </w:pPr>
      <w:r>
        <w:t xml:space="preserve">The corridor system targets: pilot throughput of 20 transits daily by G-2; 40 daily by G-3; pre-war throughput of roughly 110 transits daily by G-4; and growth capacity above pre-war levels through window scheduling and anchorage management at permanence.</w:t>
      </w:r>
    </w:p>
    <w:bookmarkEnd w:id="410"/>
    <w:bookmarkEnd w:id="411"/>
    <w:bookmarkStart w:id="418" w:name="annex-l-model-forms-and-certificates"/>
    <w:p>
      <w:pPr>
        <w:pStyle w:val="Heading1"/>
      </w:pPr>
      <w:r>
        <w:t xml:space="preserve">ANNEX L: MODEL FORMS AND CERTIFICATES</w:t>
      </w:r>
    </w:p>
    <w:bookmarkStart w:id="412" w:name="Xed1332443e4cd5b4a441bfd0f526269119e66e5"/>
    <w:p>
      <w:pPr>
        <w:pStyle w:val="Heading2"/>
      </w:pPr>
      <w:r>
        <w:t xml:space="preserve">L.1 The Twelve-Field Transit Notice (Model Form)</w:t>
      </w:r>
    </w:p>
    <w:p>
      <w:pPr>
        <w:pStyle w:val="FirstParagraph"/>
      </w:pPr>
      <w:r>
        <w:t xml:space="preserve">Fields: (1) vessel name; (2) IMO number; (3) flag; (4) call sign; (5) vessel class under Article 26; (6) gross tonnage; (7) draft in meters; (8) cargo class; (9) last port; (10) next port; (11) planned entry time, UTC; (12) requested services from the Verified Services Catalog, if any. Filing channels: the Transit Desk web portal, agent filing, or the corridor working channel for vessels without connectivity. Acknowledgment: automatic reference number within 60 minutes.</w:t>
      </w:r>
    </w:p>
    <w:bookmarkEnd w:id="412"/>
    <w:bookmarkStart w:id="413" w:name="l.2-hazard-advisory-model-form"/>
    <w:p>
      <w:pPr>
        <w:pStyle w:val="Heading2"/>
      </w:pPr>
      <w:r>
        <w:t xml:space="preserve">L.2 Hazard Advisory (Model Form)</w:t>
      </w:r>
    </w:p>
    <w:p>
      <w:pPr>
        <w:pStyle w:val="FirstParagraph"/>
      </w:pPr>
      <w:r>
        <w:t xml:space="preserve">Fields: advisory number; issuing floor; UTC time; hazard class from Annex C.6; position; affected sector; recommended mariner action; expected duration; next update time. One page, plain language, three languages.</w:t>
      </w:r>
    </w:p>
    <w:bookmarkEnd w:id="413"/>
    <w:bookmarkStart w:id="414" w:name="l.3-vessel-intent-form-voluntary-mx-45"/>
    <w:p>
      <w:pPr>
        <w:pStyle w:val="Heading2"/>
      </w:pPr>
      <w:r>
        <w:t xml:space="preserve">L.3 Vessel-Intent Form (Voluntary, MX-45)</w:t>
      </w:r>
    </w:p>
    <w:p>
      <w:pPr>
        <w:pStyle w:val="FirstParagraph"/>
      </w:pPr>
      <w:r>
        <w:t xml:space="preserve">Fields: vessel name; planned route; planned speed; planned entry window; contact channel. Marked across the top: voluntary, non-binding, without acknowledgment duty.</w:t>
      </w:r>
    </w:p>
    <w:bookmarkEnd w:id="414"/>
    <w:bookmarkStart w:id="415" w:name="l.4-incident-log-entry-model-form"/>
    <w:p>
      <w:pPr>
        <w:pStyle w:val="Heading2"/>
      </w:pPr>
      <w:r>
        <w:t xml:space="preserve">L.4 Incident Log Entry (Model Form)</w:t>
      </w:r>
    </w:p>
    <w:p>
      <w:pPr>
        <w:pStyle w:val="FirstParagraph"/>
      </w:pPr>
      <w:r>
        <w:t xml:space="preserve">Fields: incident number; classification level; UTC time; position; event class from Annex C.7; inputs converged; actions taken; resolution; duty officers’ initials both floors.</w:t>
      </w:r>
    </w:p>
    <w:bookmarkEnd w:id="415"/>
    <w:bookmarkStart w:id="416" w:name="l.5-clean-week-certificate-model-form"/>
    <w:p>
      <w:pPr>
        <w:pStyle w:val="Heading2"/>
      </w:pPr>
      <w:r>
        <w:t xml:space="preserve">L.5 Clean Week Certificate (Model Form)</w:t>
      </w:r>
    </w:p>
    <w:p>
      <w:pPr>
        <w:pStyle w:val="FirstParagraph"/>
      </w:pPr>
      <w:r>
        <w:t xml:space="preserve">Fields: Verification Period dates; the four test results of Annex D.3 with their records; the determination; the resulting Control Weight; the Neutral Watch Office Director’s signature. One page, published.</w:t>
      </w:r>
    </w:p>
    <w:bookmarkEnd w:id="416"/>
    <w:bookmarkStart w:id="417" w:name="l.6-the-framework-oath-standing-officers"/>
    <w:p>
      <w:pPr>
        <w:pStyle w:val="Heading2"/>
      </w:pPr>
      <w:r>
        <w:t xml:space="preserve">L.6 The Framework Oath (Standing Officers)</w:t>
      </w:r>
    </w:p>
    <w:p>
      <w:pPr>
        <w:pStyle w:val="FirstParagraph"/>
      </w:pPr>
      <w:r>
        <w:t xml:space="preserve">I serve the Solh-e Tadriji Accord and no other master in my framework duties. I hold the corridors open, the record honest, and the red lines intact. I take no national instruction on framework matters. I measure, I publish, and I protect every mariner of every flag equally.</w:t>
      </w:r>
    </w:p>
    <w:bookmarkEnd w:id="417"/>
    <w:bookmarkEnd w:id="418"/>
    <w:bookmarkStart w:id="423" w:name="Xc6f14b900006dc4754ff8a0274396fc0d1c7c9d"/>
    <w:p>
      <w:pPr>
        <w:pStyle w:val="Heading1"/>
      </w:pPr>
      <w:r>
        <w:t xml:space="preserve">ANNEX M: TERMINOLOGY, DEFINITIONS, AND NARRATIVE SYMMETRY</w:t>
      </w:r>
    </w:p>
    <w:bookmarkStart w:id="419" w:name="m.1-the-authorized-terminology-registry"/>
    <w:p>
      <w:pPr>
        <w:pStyle w:val="Heading2"/>
      </w:pPr>
      <w:r>
        <w:t xml:space="preserve">M.1 The Authorized Terminology Registry</w:t>
      </w:r>
    </w:p>
    <w:p>
      <w:pPr>
        <w:pStyle w:val="FirstParagraph"/>
      </w:pPr>
      <w:r>
        <w:t xml:space="preserve">The framework’s public language uses these terms and no others for the concepts named:</w:t>
      </w:r>
      <w:r>
        <w:t xml:space="preserve"> </w:t>
      </w:r>
      <w:r>
        <w:t xml:space="preserve">“</w:t>
      </w:r>
      <w:r>
        <w:t xml:space="preserve">administration</w:t>
      </w:r>
      <w:r>
        <w:t xml:space="preserve">”</w:t>
      </w:r>
      <w:r>
        <w:t xml:space="preserve"> </w:t>
      </w:r>
      <w:r>
        <w:t xml:space="preserve">for corridor functions (never</w:t>
      </w:r>
      <w:r>
        <w:t xml:space="preserve"> </w:t>
      </w:r>
      <w:r>
        <w:t xml:space="preserve">“</w:t>
      </w:r>
      <w:r>
        <w:t xml:space="preserve">control</w:t>
      </w:r>
      <w:r>
        <w:t xml:space="preserve">”</w:t>
      </w:r>
      <w:r>
        <w:t xml:space="preserve"> </w:t>
      </w:r>
      <w:r>
        <w:t xml:space="preserve">of the strait);</w:t>
      </w:r>
      <w:r>
        <w:t xml:space="preserve"> </w:t>
      </w:r>
      <w:r>
        <w:t xml:space="preserve">“</w:t>
      </w:r>
      <w:r>
        <w:t xml:space="preserve">notification</w:t>
      </w:r>
      <w:r>
        <w:t xml:space="preserve">”</w:t>
      </w:r>
      <w:r>
        <w:t xml:space="preserve"> </w:t>
      </w:r>
      <w:r>
        <w:t xml:space="preserve">for the transit process (never</w:t>
      </w:r>
      <w:r>
        <w:t xml:space="preserve"> </w:t>
      </w:r>
      <w:r>
        <w:t xml:space="preserve">“</w:t>
      </w:r>
      <w:r>
        <w:t xml:space="preserve">permission</w:t>
      </w:r>
      <w:r>
        <w:t xml:space="preserve">”</w:t>
      </w:r>
      <w:r>
        <w:t xml:space="preserve"> </w:t>
      </w:r>
      <w:r>
        <w:t xml:space="preserve">or</w:t>
      </w:r>
      <w:r>
        <w:t xml:space="preserve"> </w:t>
      </w:r>
      <w:r>
        <w:t xml:space="preserve">“</w:t>
      </w:r>
      <w:r>
        <w:t xml:space="preserve">authorization</w:t>
      </w:r>
      <w:r>
        <w:t xml:space="preserve">”</w:t>
      </w:r>
      <w:r>
        <w:t xml:space="preserve">);</w:t>
      </w:r>
      <w:r>
        <w:t xml:space="preserve"> </w:t>
      </w:r>
      <w:r>
        <w:t xml:space="preserve">“</w:t>
      </w:r>
      <w:r>
        <w:t xml:space="preserve">service charge</w:t>
      </w:r>
      <w:r>
        <w:t xml:space="preserve">”</w:t>
      </w:r>
      <w:r>
        <w:t xml:space="preserve"> </w:t>
      </w:r>
      <w:r>
        <w:t xml:space="preserve">for catalog payments (never</w:t>
      </w:r>
      <w:r>
        <w:t xml:space="preserve"> </w:t>
      </w:r>
      <w:r>
        <w:t xml:space="preserve">“</w:t>
      </w:r>
      <w:r>
        <w:t xml:space="preserve">toll</w:t>
      </w:r>
      <w:r>
        <w:t xml:space="preserve">”</w:t>
      </w:r>
      <w:r>
        <w:t xml:space="preserve"> </w:t>
      </w:r>
      <w:r>
        <w:t xml:space="preserve">or</w:t>
      </w:r>
      <w:r>
        <w:t xml:space="preserve"> </w:t>
      </w:r>
      <w:r>
        <w:t xml:space="preserve">“</w:t>
      </w:r>
      <w:r>
        <w:t xml:space="preserve">fee on passage</w:t>
      </w:r>
      <w:r>
        <w:t xml:space="preserve">”</w:t>
      </w:r>
      <w:r>
        <w:t xml:space="preserve">);</w:t>
      </w:r>
      <w:r>
        <w:t xml:space="preserve"> </w:t>
      </w:r>
      <w:r>
        <w:t xml:space="preserve">“</w:t>
      </w:r>
      <w:r>
        <w:t xml:space="preserve">safety craft</w:t>
      </w:r>
      <w:r>
        <w:t xml:space="preserve">”</w:t>
      </w:r>
      <w:r>
        <w:t xml:space="preserve"> </w:t>
      </w:r>
      <w:r>
        <w:t xml:space="preserve">for escorts (never</w:t>
      </w:r>
      <w:r>
        <w:t xml:space="preserve"> </w:t>
      </w:r>
      <w:r>
        <w:t xml:space="preserve">“</w:t>
      </w:r>
      <w:r>
        <w:t xml:space="preserve">escort warship</w:t>
      </w:r>
      <w:r>
        <w:t xml:space="preserve">”</w:t>
      </w:r>
      <w:r>
        <w:t xml:space="preserve">);</w:t>
      </w:r>
      <w:r>
        <w:t xml:space="preserve"> </w:t>
      </w:r>
      <w:r>
        <w:t xml:space="preserve">“</w:t>
      </w:r>
      <w:r>
        <w:t xml:space="preserve">step-back</w:t>
      </w:r>
      <w:r>
        <w:t xml:space="preserve">”</w:t>
      </w:r>
      <w:r>
        <w:t xml:space="preserve"> </w:t>
      </w:r>
      <w:r>
        <w:t xml:space="preserve">and</w:t>
      </w:r>
      <w:r>
        <w:t xml:space="preserve"> </w:t>
      </w:r>
      <w:r>
        <w:t xml:space="preserve">“</w:t>
      </w:r>
      <w:r>
        <w:t xml:space="preserve">earn-back</w:t>
      </w:r>
      <w:r>
        <w:t xml:space="preserve">”</w:t>
      </w:r>
      <w:r>
        <w:t xml:space="preserve"> </w:t>
      </w:r>
      <w:r>
        <w:t xml:space="preserve">for compliance events (never</w:t>
      </w:r>
      <w:r>
        <w:t xml:space="preserve"> </w:t>
      </w:r>
      <w:r>
        <w:t xml:space="preserve">“</w:t>
      </w:r>
      <w:r>
        <w:t xml:space="preserve">penalty</w:t>
      </w:r>
      <w:r>
        <w:t xml:space="preserve">”</w:t>
      </w:r>
      <w:r>
        <w:t xml:space="preserve"> </w:t>
      </w:r>
      <w:r>
        <w:t xml:space="preserve">or</w:t>
      </w:r>
      <w:r>
        <w:t xml:space="preserve"> </w:t>
      </w:r>
      <w:r>
        <w:t xml:space="preserve">“</w:t>
      </w:r>
      <w:r>
        <w:t xml:space="preserve">punishment</w:t>
      </w:r>
      <w:r>
        <w:t xml:space="preserve">”</w:t>
      </w:r>
      <w:r>
        <w:t xml:space="preserve">);</w:t>
      </w:r>
      <w:r>
        <w:t xml:space="preserve"> </w:t>
      </w:r>
      <w:r>
        <w:t xml:space="preserve">“</w:t>
      </w:r>
      <w:r>
        <w:t xml:space="preserve">management role</w:t>
      </w:r>
      <w:r>
        <w:t xml:space="preserve">”</w:t>
      </w:r>
      <w:r>
        <w:t xml:space="preserve"> </w:t>
      </w:r>
      <w:r>
        <w:t xml:space="preserve">for Iran’s recognized function (never</w:t>
      </w:r>
      <w:r>
        <w:t xml:space="preserve"> </w:t>
      </w:r>
      <w:r>
        <w:t xml:space="preserve">“</w:t>
      </w:r>
      <w:r>
        <w:t xml:space="preserve">sovereignty over the strait</w:t>
      </w:r>
      <w:r>
        <w:t xml:space="preserve">”</w:t>
      </w:r>
      <w:r>
        <w:t xml:space="preserve"> </w:t>
      </w:r>
      <w:r>
        <w:t xml:space="preserve">and never</w:t>
      </w:r>
      <w:r>
        <w:t xml:space="preserve"> </w:t>
      </w:r>
      <w:r>
        <w:t xml:space="preserve">“</w:t>
      </w:r>
      <w:r>
        <w:t xml:space="preserve">internationalization</w:t>
      </w:r>
      <w:r>
        <w:t xml:space="preserve">”</w:t>
      </w:r>
      <w:r>
        <w:t xml:space="preserve">);</w:t>
      </w:r>
      <w:r>
        <w:t xml:space="preserve"> </w:t>
      </w:r>
      <w:r>
        <w:t xml:space="preserve">“</w:t>
      </w:r>
      <w:r>
        <w:t xml:space="preserve">stewardship</w:t>
      </w:r>
      <w:r>
        <w:t xml:space="preserve">”</w:t>
      </w:r>
      <w:r>
        <w:t xml:space="preserve"> </w:t>
      </w:r>
      <w:r>
        <w:t xml:space="preserve">for the coastal states’ collective role.</w:t>
      </w:r>
    </w:p>
    <w:bookmarkEnd w:id="419"/>
    <w:bookmarkStart w:id="420" w:name="m.2-the-narrative-symmetry-note"/>
    <w:p>
      <w:pPr>
        <w:pStyle w:val="Heading2"/>
      </w:pPr>
      <w:r>
        <w:t xml:space="preserve">M.2 The Narrative Symmetry Note</w:t>
      </w:r>
    </w:p>
    <w:p>
      <w:pPr>
        <w:pStyle w:val="FirstParagraph"/>
      </w:pPr>
      <w:r>
        <w:t xml:space="preserve">Every participant presents this Accord truthfully at home, and the architecture supplies each a symmetric framing. Tehran presents: a recognized, formal, continuous management role; revenue for services genuinely rendered; compensation claims heard on an equal docket; sanctions relief synchronized to verified progress; and not one Iranian concession that performance did not earn. Washington presents: zero tolls on passage, guaranteed forever; restored free navigation in both directions; a verified end to ship attacks; no direct payment to Iran by anyone; counter-claims heard on the same docket; and not one dollar of United States state investment. Muscat presents: Omani administration of the unconditional southern lane; Omani seat at the center of every institution; cost recovery for Omani services; and the strait’s stability anchored in Omani stewardship. The GCC capitals present: their shipping moving, their insurers normalizing, their states seated in the architecture. No presentation contradicts another, and every presentation matches the text.</w:t>
      </w:r>
    </w:p>
    <w:bookmarkEnd w:id="420"/>
    <w:bookmarkStart w:id="421" w:name="m.3-definitions-register"/>
    <w:p>
      <w:pPr>
        <w:pStyle w:val="Heading2"/>
      </w:pPr>
      <w:r>
        <w:t xml:space="preserve">M.3 Definitions Register</w:t>
      </w:r>
    </w:p>
    <w:p>
      <w:pPr>
        <w:pStyle w:val="FirstParagraph"/>
      </w:pPr>
      <w:r>
        <w:t xml:space="preserve">Accord: this instrument and its annexes. Clean Week: a Verification Period passing the four tests of Annex D.3. Control Weight: the escalator quantity of Article 43, functional, earned, and conditional, never sovereign. Corridor: a defined passage of the three-corridor system. Full Unlock: Control Weight of 100 percent under Article 43.4. Governance Area: the polygon of Table A.1. Lattice Cell: the four-person body of Article 10. Level-2 incident: an incident of Annex D.4 requiring liaison engagement. Micro-Exercise: an exercise of Annex B. Permanent Floor: the irrevocable attainment of Article 43.7. Reciprocity Ledger: the published record of paired actions. Transit Desk: the notice-processing function of Article 25. Verification Period: a seven-day measurement window of Article 43.3.</w:t>
      </w:r>
    </w:p>
    <w:bookmarkEnd w:id="421"/>
    <w:bookmarkStart w:id="422" w:name="m.4-the-language-reconciliation-protocol"/>
    <w:p>
      <w:pPr>
        <w:pStyle w:val="Heading2"/>
      </w:pPr>
      <w:r>
        <w:t xml:space="preserve">M.4 The Language Reconciliation Protocol</w:t>
      </w:r>
    </w:p>
    <w:p>
      <w:pPr>
        <w:pStyle w:val="FirstParagraph"/>
      </w:pPr>
      <w:r>
        <w:t xml:space="preserve">The three authentic texts reconcile as follows: the depositary holds the master reconciliation table; a divergence between texts resolves first by the drafting record, second by the interpretation rules of Article 8.2, and third by the Tribunal; and the English text prevails for the technical annexes per Article 55.2.</w:t>
      </w:r>
    </w:p>
    <w:bookmarkEnd w:id="422"/>
    <w:bookmarkEnd w:id="423"/>
    <w:bookmarkStart w:id="430" w:name="Xb0ef31f5329f7bf36e18318606bef70e669c349"/>
    <w:p>
      <w:pPr>
        <w:pStyle w:val="Heading1"/>
      </w:pPr>
      <w:r>
        <w:t xml:space="preserve">ANNEX N: THE RECIPROCITY MAP AND THE DEMANDS COVERAGE MATRIX</w:t>
      </w:r>
    </w:p>
    <w:bookmarkStart w:id="424" w:name="n.1-the-reciprocity-principle"/>
    <w:p>
      <w:pPr>
        <w:pStyle w:val="Heading2"/>
      </w:pPr>
      <w:r>
        <w:t xml:space="preserve">N.1 The Reciprocity Principle</w:t>
      </w:r>
    </w:p>
    <w:p>
      <w:pPr>
        <w:pStyle w:val="FirstParagraph"/>
      </w:pPr>
      <w:r>
        <w:t xml:space="preserve">Every paired action of this Accord registers in the Reciprocity Ledger with both sides of the pair on the same page. No entry executes alone; no Party moves first.</w:t>
      </w:r>
    </w:p>
    <w:bookmarkEnd w:id="424"/>
    <w:bookmarkStart w:id="425" w:name="n.2-table-n.2-the-synchronized-schedule"/>
    <w:p>
      <w:pPr>
        <w:pStyle w:val="Heading2"/>
      </w:pPr>
      <w:r>
        <w:t xml:space="preserve">N.2 Table N.2: The Synchronized Schedule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Maritime action</w:t>
            </w:r>
          </w:p>
        </w:tc>
        <w:tc>
          <w:tcPr/>
          <w:p>
            <w:pPr>
              <w:pStyle w:val="Compact"/>
              <w:jc w:val="left"/>
            </w:pPr>
            <w:r>
              <w:t xml:space="preserve">United States action</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Entry into force; Layer 0 opens; wartime routing designations stand down in the Governance Area</w:t>
            </w:r>
          </w:p>
        </w:tc>
        <w:tc>
          <w:tcPr/>
          <w:p>
            <w:pPr>
              <w:pStyle w:val="Compact"/>
              <w:jc w:val="left"/>
            </w:pPr>
            <w:r>
              <w:t xml:space="preserve">Blockade drawdown commences: intercept posture reduces to monitoring for vessels not calling at Iranian ports</w:t>
            </w:r>
          </w:p>
        </w:tc>
        <w:tc>
          <w:tcPr/>
          <w:p>
            <w:pPr>
              <w:pStyle w:val="Compact"/>
              <w:jc w:val="left"/>
            </w:pPr>
            <w:r>
              <w:t xml:space="preserve">Day 0</w:t>
            </w:r>
          </w:p>
        </w:tc>
      </w:tr>
      <w:tr>
        <w:tc>
          <w:tcPr/>
          <w:p>
            <w:pPr>
              <w:pStyle w:val="Compact"/>
              <w:jc w:val="left"/>
            </w:pPr>
            <w:r>
              <w:t xml:space="preserve">2</w:t>
            </w:r>
          </w:p>
        </w:tc>
        <w:tc>
          <w:tcPr/>
          <w:p>
            <w:pPr>
              <w:pStyle w:val="Compact"/>
              <w:jc w:val="left"/>
            </w:pPr>
            <w:r>
              <w:t xml:space="preserve">Gate G-0 certified</w:t>
            </w:r>
          </w:p>
        </w:tc>
        <w:tc>
          <w:tcPr/>
          <w:p>
            <w:pPr>
              <w:pStyle w:val="Compact"/>
              <w:jc w:val="left"/>
            </w:pPr>
            <w:r>
              <w:t xml:space="preserve">Humanitarian and food-medicine channels formalized through the Escrow</w:t>
            </w:r>
          </w:p>
        </w:tc>
        <w:tc>
          <w:tcPr/>
          <w:p>
            <w:pPr>
              <w:pStyle w:val="Compact"/>
              <w:jc w:val="left"/>
            </w:pPr>
            <w:r>
              <w:t xml:space="preserve">G-0</w:t>
            </w:r>
          </w:p>
        </w:tc>
      </w:tr>
      <w:tr>
        <w:tc>
          <w:tcPr/>
          <w:p>
            <w:pPr>
              <w:pStyle w:val="Compact"/>
              <w:jc w:val="left"/>
            </w:pPr>
            <w:r>
              <w:t xml:space="preserve">3</w:t>
            </w:r>
          </w:p>
        </w:tc>
        <w:tc>
          <w:tcPr/>
          <w:p>
            <w:pPr>
              <w:pStyle w:val="Compact"/>
              <w:jc w:val="left"/>
            </w:pPr>
            <w:r>
              <w:t xml:space="preserve">Gate G-1 certified</w:t>
            </w:r>
          </w:p>
        </w:tc>
        <w:tc>
          <w:tcPr/>
          <w:p>
            <w:pPr>
              <w:pStyle w:val="Compact"/>
              <w:jc w:val="left"/>
            </w:pPr>
            <w:r>
              <w:t xml:space="preserve">Blockade drawdown step two: redirect rate reduces by half from the Day 0 baseline</w:t>
            </w:r>
          </w:p>
        </w:tc>
        <w:tc>
          <w:tcPr/>
          <w:p>
            <w:pPr>
              <w:pStyle w:val="Compact"/>
              <w:jc w:val="left"/>
            </w:pPr>
            <w:r>
              <w:t xml:space="preserve">G-1</w:t>
            </w:r>
          </w:p>
        </w:tc>
      </w:tr>
      <w:tr>
        <w:tc>
          <w:tcPr/>
          <w:p>
            <w:pPr>
              <w:pStyle w:val="Compact"/>
              <w:jc w:val="left"/>
            </w:pPr>
            <w:r>
              <w:t xml:space="preserve">4</w:t>
            </w:r>
          </w:p>
        </w:tc>
        <w:tc>
          <w:tcPr/>
          <w:p>
            <w:pPr>
              <w:pStyle w:val="Compact"/>
              <w:jc w:val="left"/>
            </w:pPr>
            <w:r>
              <w:t xml:space="preserve">Corridors activate; Interim Middle Route operates</w:t>
            </w:r>
          </w:p>
        </w:tc>
        <w:tc>
          <w:tcPr/>
          <w:p>
            <w:pPr>
              <w:pStyle w:val="Compact"/>
              <w:jc w:val="left"/>
            </w:pPr>
            <w:r>
              <w:t xml:space="preserve">Interim financial authorizations issue for the shadow Escrow</w:t>
            </w:r>
          </w:p>
        </w:tc>
        <w:tc>
          <w:tcPr/>
          <w:p>
            <w:pPr>
              <w:pStyle w:val="Compact"/>
              <w:jc w:val="left"/>
            </w:pPr>
            <w:r>
              <w:t xml:space="preserve">Layer 2 opening</w:t>
            </w:r>
          </w:p>
        </w:tc>
      </w:tr>
      <w:tr>
        <w:tc>
          <w:tcPr/>
          <w:p>
            <w:pPr>
              <w:pStyle w:val="Compact"/>
              <w:jc w:val="left"/>
            </w:pPr>
            <w:r>
              <w:t xml:space="preserve">5</w:t>
            </w:r>
          </w:p>
        </w:tc>
        <w:tc>
          <w:tcPr/>
          <w:p>
            <w:pPr>
              <w:pStyle w:val="Compact"/>
              <w:jc w:val="left"/>
            </w:pPr>
            <w:r>
              <w:t xml:space="preserve">Gate G-2 certified</w:t>
            </w:r>
          </w:p>
        </w:tc>
        <w:tc>
          <w:tcPr/>
          <w:p>
            <w:pPr>
              <w:pStyle w:val="Compact"/>
              <w:jc w:val="left"/>
            </w:pPr>
            <w:r>
              <w:t xml:space="preserve">Blockade drawdown completes: the measure stands down for all commercial traffic; first sanctions-relief tranche takes effect</w:t>
            </w:r>
          </w:p>
        </w:tc>
        <w:tc>
          <w:tcPr/>
          <w:p>
            <w:pPr>
              <w:pStyle w:val="Compact"/>
              <w:jc w:val="left"/>
            </w:pPr>
            <w:r>
              <w:t xml:space="preserve">G-2</w:t>
            </w:r>
          </w:p>
        </w:tc>
      </w:tr>
      <w:tr>
        <w:tc>
          <w:tcPr/>
          <w:p>
            <w:pPr>
              <w:pStyle w:val="Compact"/>
              <w:jc w:val="left"/>
            </w:pPr>
            <w:r>
              <w:t xml:space="preserve">6</w:t>
            </w:r>
          </w:p>
        </w:tc>
        <w:tc>
          <w:tcPr/>
          <w:p>
            <w:pPr>
              <w:pStyle w:val="Compact"/>
              <w:jc w:val="left"/>
            </w:pPr>
            <w:r>
              <w:t xml:space="preserve">Gate G-3 certified</w:t>
            </w:r>
          </w:p>
        </w:tc>
        <w:tc>
          <w:tcPr/>
          <w:p>
            <w:pPr>
              <w:pStyle w:val="Compact"/>
              <w:jc w:val="left"/>
            </w:pPr>
            <w:r>
              <w:t xml:space="preserve">Standing financial authorizations issue; second sanctions-relief tranche takes effect</w:t>
            </w:r>
          </w:p>
        </w:tc>
        <w:tc>
          <w:tcPr/>
          <w:p>
            <w:pPr>
              <w:pStyle w:val="Compact"/>
              <w:jc w:val="left"/>
            </w:pPr>
            <w:r>
              <w:t xml:space="preserve">G-3</w:t>
            </w:r>
          </w:p>
        </w:tc>
      </w:tr>
      <w:tr>
        <w:tc>
          <w:tcPr/>
          <w:p>
            <w:pPr>
              <w:pStyle w:val="Compact"/>
              <w:jc w:val="left"/>
            </w:pPr>
            <w:r>
              <w:t xml:space="preserve">7</w:t>
            </w:r>
          </w:p>
        </w:tc>
        <w:tc>
          <w:tcPr/>
          <w:p>
            <w:pPr>
              <w:pStyle w:val="Compact"/>
              <w:jc w:val="left"/>
            </w:pPr>
            <w:r>
              <w:t xml:space="preserve">Gate G-4 certified</w:t>
            </w:r>
          </w:p>
        </w:tc>
        <w:tc>
          <w:tcPr/>
          <w:p>
            <w:pPr>
              <w:pStyle w:val="Compact"/>
              <w:jc w:val="left"/>
            </w:pPr>
            <w:r>
              <w:t xml:space="preserve">Blockade terminates permanently; comprehensive relief package takes effect; frozen-asset release schedule begins through the Neutral Administrator</w:t>
            </w:r>
          </w:p>
        </w:tc>
        <w:tc>
          <w:tcPr/>
          <w:p>
            <w:pPr>
              <w:pStyle w:val="Compact"/>
              <w:jc w:val="left"/>
            </w:pPr>
            <w:r>
              <w:t xml:space="preserve">G-4</w:t>
            </w:r>
          </w:p>
        </w:tc>
      </w:tr>
      <w:tr>
        <w:tc>
          <w:tcPr/>
          <w:p>
            <w:pPr>
              <w:pStyle w:val="Compact"/>
              <w:jc w:val="left"/>
            </w:pPr>
            <w:r>
              <w:t xml:space="preserve">8</w:t>
            </w:r>
          </w:p>
        </w:tc>
        <w:tc>
          <w:tcPr/>
          <w:p>
            <w:pPr>
              <w:pStyle w:val="Compact"/>
              <w:jc w:val="left"/>
            </w:pPr>
            <w:r>
              <w:t xml:space="preserve">Charter Conversion</w:t>
            </w:r>
          </w:p>
        </w:tc>
        <w:tc>
          <w:tcPr/>
          <w:p>
            <w:pPr>
              <w:pStyle w:val="Compact"/>
              <w:jc w:val="left"/>
            </w:pPr>
            <w:r>
              <w:t xml:space="preserve">Residual-items review; full normalization of commercial relations</w:t>
            </w:r>
          </w:p>
        </w:tc>
        <w:tc>
          <w:tcPr/>
          <w:p>
            <w:pPr>
              <w:pStyle w:val="Compact"/>
              <w:jc w:val="left"/>
            </w:pPr>
            <w:r>
              <w:t xml:space="preserve">G-5</w:t>
            </w:r>
          </w:p>
        </w:tc>
      </w:tr>
    </w:tbl>
    <w:bookmarkEnd w:id="425"/>
    <w:bookmarkStart w:id="426" w:name="n.3-table-n.3-force-posture-drawdown"/>
    <w:p>
      <w:pPr>
        <w:pStyle w:val="Heading2"/>
      </w:pPr>
      <w:r>
        <w:t xml:space="preserve">N.3 Table N.3: Force Posture Drawdown</w:t>
      </w:r>
    </w:p>
    <w:p>
      <w:pPr>
        <w:pStyle w:val="FirstParagraph"/>
      </w:pPr>
      <w:r>
        <w:t xml:space="preserve">Paired steps: at G-1, alert postures on both sides step down one published level; at G-2, the United States surge presence reduces by one carrier strike group equivalent and Iranian coastal alert postures step down correspondingly; at G-4, United States regional presence moves toward the pre-2026 steady state and Iranian postures mirror; at G-5, the standoff geometry of Annex C.11 stands as the permanent peacetime rule. The Neutral Watch Office verifies each step from the published record.</w:t>
      </w:r>
    </w:p>
    <w:bookmarkEnd w:id="426"/>
    <w:bookmarkStart w:id="427" w:name="Xa293551aeab6d7272a3047511e50040862fad08"/>
    <w:p>
      <w:pPr>
        <w:pStyle w:val="Heading2"/>
      </w:pPr>
      <w:r>
        <w:t xml:space="preserve">N.4 Table N.4: Voluntary Interim Contributions (Article F.6)</w:t>
      </w:r>
    </w:p>
    <w:p>
      <w:pPr>
        <w:pStyle w:val="FirstParagraph"/>
      </w:pPr>
      <w:r>
        <w:t xml:space="preserve">The Gulf states, the European maritime community, and the major Asian user states contribute to the interim operating cost of the Transit Services Fund per the contribution schedule the depositary publishes at Layer 2 opening, in proportion to their transiting tonnage, capped at cost.</w:t>
      </w:r>
    </w:p>
    <w:bookmarkEnd w:id="427"/>
    <w:bookmarkStart w:id="428" w:name="n.5-the-demands-coverage-matrix"/>
    <w:p>
      <w:pPr>
        <w:pStyle w:val="Heading2"/>
      </w:pPr>
      <w:r>
        <w:t xml:space="preserve">N.5 The Demands Coverage Matrix</w:t>
      </w:r>
    </w:p>
    <w:p>
      <w:pPr>
        <w:pStyle w:val="FirstParagraph"/>
      </w:pPr>
      <w:r>
        <w:t xml:space="preserve">Every substantive, non-threat demand recorded in the negotiating record of June through August 2026 finds its mechanism in this Accord: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Stated demand (source)</w:t>
            </w:r>
          </w:p>
        </w:tc>
        <w:tc>
          <w:tcPr/>
          <w:p>
            <w:pPr>
              <w:pStyle w:val="Compact"/>
              <w:jc w:val="left"/>
            </w:pPr>
            <w:r>
              <w:t xml:space="preserve">Accord mechanism</w:t>
            </w:r>
          </w:p>
        </w:tc>
      </w:tr>
      <w:tr>
        <w:tc>
          <w:tcPr/>
          <w:p>
            <w:pPr>
              <w:pStyle w:val="Compact"/>
              <w:jc w:val="left"/>
            </w:pPr>
            <w:r>
              <w:t xml:space="preserve">Free, safe, toll-free navigation (United States)</w:t>
            </w:r>
          </w:p>
        </w:tc>
        <w:tc>
          <w:tcPr/>
          <w:p>
            <w:pPr>
              <w:pStyle w:val="Compact"/>
              <w:jc w:val="left"/>
            </w:pPr>
            <w:r>
              <w:t xml:space="preserve">Articles 22, 27, 33; RL-1, RL-2, RL-5</w:t>
            </w:r>
          </w:p>
        </w:tc>
      </w:tr>
      <w:tr>
        <w:tc>
          <w:tcPr/>
          <w:p>
            <w:pPr>
              <w:pStyle w:val="Compact"/>
              <w:jc w:val="left"/>
            </w:pPr>
            <w:r>
              <w:t xml:space="preserve">Public commitment ending ship attacks (United States)</w:t>
            </w:r>
          </w:p>
        </w:tc>
        <w:tc>
          <w:tcPr/>
          <w:p>
            <w:pPr>
              <w:pStyle w:val="Compact"/>
              <w:jc w:val="left"/>
            </w:pPr>
            <w:r>
              <w:t xml:space="preserve">Article 27; Annex E classification; Reciprocity Ledger transparency</w:t>
            </w:r>
          </w:p>
        </w:tc>
      </w:tr>
      <w:tr>
        <w:tc>
          <w:tcPr/>
          <w:p>
            <w:pPr>
              <w:pStyle w:val="Compact"/>
              <w:jc w:val="left"/>
            </w:pPr>
            <w:r>
              <w:t xml:space="preserve">Adherence to the June memorandum (both)</w:t>
            </w:r>
          </w:p>
        </w:tc>
        <w:tc>
          <w:tcPr/>
          <w:p>
            <w:pPr>
              <w:pStyle w:val="Compact"/>
              <w:jc w:val="left"/>
            </w:pPr>
            <w:r>
              <w:t xml:space="preserve">Article 2.4; Annex N.2</w:t>
            </w:r>
          </w:p>
        </w:tc>
      </w:tr>
      <w:tr>
        <w:tc>
          <w:tcPr/>
          <w:p>
            <w:pPr>
              <w:pStyle w:val="Compact"/>
              <w:jc w:val="left"/>
            </w:pPr>
            <w:r>
              <w:t xml:space="preserve">Safe-passage mechanisms negotiated with Oman (United States)</w:t>
            </w:r>
          </w:p>
        </w:tc>
        <w:tc>
          <w:tcPr/>
          <w:p>
            <w:pPr>
              <w:pStyle w:val="Compact"/>
              <w:jc w:val="left"/>
            </w:pPr>
            <w:r>
              <w:t xml:space="preserve">Article 2.5; Annex A geometry</w:t>
            </w:r>
          </w:p>
        </w:tc>
      </w:tr>
      <w:tr>
        <w:tc>
          <w:tcPr/>
          <w:p>
            <w:pPr>
              <w:pStyle w:val="Compact"/>
              <w:jc w:val="left"/>
            </w:pPr>
            <w:r>
              <w:t xml:space="preserve">Continuation of diplomacy (both)</w:t>
            </w:r>
          </w:p>
        </w:tc>
        <w:tc>
          <w:tcPr/>
          <w:p>
            <w:pPr>
              <w:pStyle w:val="Compact"/>
              <w:jc w:val="left"/>
            </w:pPr>
            <w:r>
              <w:t xml:space="preserve">Article 46; the gates’ automaticity</w:t>
            </w:r>
          </w:p>
        </w:tc>
      </w:tr>
      <w:tr>
        <w:tc>
          <w:tcPr/>
          <w:p>
            <w:pPr>
              <w:pStyle w:val="Compact"/>
              <w:jc w:val="left"/>
            </w:pPr>
            <w:r>
              <w:t xml:space="preserve">End of the blockade and strikes (Iran)</w:t>
            </w:r>
          </w:p>
        </w:tc>
        <w:tc>
          <w:tcPr/>
          <w:p>
            <w:pPr>
              <w:pStyle w:val="Compact"/>
              <w:jc w:val="left"/>
            </w:pPr>
            <w:r>
              <w:t xml:space="preserve">Table N.2 steps 1, 3, 5, 7; Article 51.2</w:t>
            </w:r>
          </w:p>
        </w:tc>
      </w:tr>
      <w:tr>
        <w:tc>
          <w:tcPr/>
          <w:p>
            <w:pPr>
              <w:pStyle w:val="Compact"/>
              <w:jc w:val="left"/>
            </w:pPr>
            <w:r>
              <w:t xml:space="preserve">Respect for sovereignty and infrastructure (Iran)</w:t>
            </w:r>
          </w:p>
        </w:tc>
        <w:tc>
          <w:tcPr/>
          <w:p>
            <w:pPr>
              <w:pStyle w:val="Compact"/>
              <w:jc w:val="left"/>
            </w:pPr>
            <w:r>
              <w:t xml:space="preserve">Articles 1.4, 2.8; RL-8; the freeze rule</w:t>
            </w:r>
          </w:p>
        </w:tc>
      </w:tr>
      <w:tr>
        <w:tc>
          <w:tcPr/>
          <w:p>
            <w:pPr>
              <w:pStyle w:val="Compact"/>
              <w:jc w:val="left"/>
            </w:pPr>
            <w:r>
              <w:t xml:space="preserve">Recognition of Iran’s management role (Iran)</w:t>
            </w:r>
          </w:p>
        </w:tc>
        <w:tc>
          <w:tcPr/>
          <w:p>
            <w:pPr>
              <w:pStyle w:val="Compact"/>
              <w:jc w:val="left"/>
            </w:pPr>
            <w:r>
              <w:t xml:space="preserve">Article 22.2; RL-3; the Escalator; Article 50.1</w:t>
            </w:r>
          </w:p>
        </w:tc>
      </w:tr>
      <w:tr>
        <w:tc>
          <w:tcPr/>
          <w:p>
            <w:pPr>
              <w:pStyle w:val="Compact"/>
              <w:jc w:val="left"/>
            </w:pPr>
            <w:r>
              <w:t xml:space="preserve">Service charges after the interim period (Iran)</w:t>
            </w:r>
          </w:p>
        </w:tc>
        <w:tc>
          <w:tcPr/>
          <w:p>
            <w:pPr>
              <w:pStyle w:val="Compact"/>
              <w:jc w:val="left"/>
            </w:pPr>
            <w:r>
              <w:t xml:space="preserve">Articles 34 to 38; Annex F</w:t>
            </w:r>
          </w:p>
        </w:tc>
      </w:tr>
      <w:tr>
        <w:tc>
          <w:tcPr/>
          <w:p>
            <w:pPr>
              <w:pStyle w:val="Compact"/>
              <w:jc w:val="left"/>
            </w:pPr>
            <w:r>
              <w:t xml:space="preserve">Compensation (Iran) and counter-compensation (United States)</w:t>
            </w:r>
          </w:p>
        </w:tc>
        <w:tc>
          <w:tcPr/>
          <w:p>
            <w:pPr>
              <w:pStyle w:val="Compact"/>
              <w:jc w:val="left"/>
            </w:pPr>
            <w:r>
              <w:t xml:space="preserve">Article 47; the common docket; the Facility</w:t>
            </w:r>
          </w:p>
        </w:tc>
      </w:tr>
      <w:tr>
        <w:tc>
          <w:tcPr/>
          <w:p>
            <w:pPr>
              <w:pStyle w:val="Compact"/>
              <w:jc w:val="left"/>
            </w:pPr>
            <w:r>
              <w:t xml:space="preserve">Sanctions relief and frozen assets (Iran)</w:t>
            </w:r>
          </w:p>
        </w:tc>
        <w:tc>
          <w:tcPr/>
          <w:p>
            <w:pPr>
              <w:pStyle w:val="Compact"/>
              <w:jc w:val="left"/>
            </w:pPr>
            <w:r>
              <w:t xml:space="preserve">Article 51.1; Table N.2 steps 6 to 8</w:t>
            </w:r>
          </w:p>
        </w:tc>
      </w:tr>
      <w:tr>
        <w:tc>
          <w:tcPr/>
          <w:p>
            <w:pPr>
              <w:pStyle w:val="Compact"/>
              <w:jc w:val="left"/>
            </w:pPr>
            <w:r>
              <w:t xml:space="preserve">No tolls and no Iranian veto over transit (United States, Oman)</w:t>
            </w:r>
          </w:p>
        </w:tc>
        <w:tc>
          <w:tcPr/>
          <w:p>
            <w:pPr>
              <w:pStyle w:val="Compact"/>
              <w:jc w:val="left"/>
            </w:pPr>
            <w:r>
              <w:t xml:space="preserve">Articles 25, 33; RL-1, RL-4, RL-16</w:t>
            </w:r>
          </w:p>
        </w:tc>
      </w:tr>
      <w:tr>
        <w:tc>
          <w:tcPr/>
          <w:p>
            <w:pPr>
              <w:pStyle w:val="Compact"/>
              <w:jc w:val="left"/>
            </w:pPr>
            <w:r>
              <w:t xml:space="preserve">Consultation of littoral states and the IMO (Oman)</w:t>
            </w:r>
          </w:p>
        </w:tc>
        <w:tc>
          <w:tcPr/>
          <w:p>
            <w:pPr>
              <w:pStyle w:val="Compact"/>
              <w:jc w:val="left"/>
            </w:pPr>
            <w:r>
              <w:t xml:space="preserve">Articles 40, 41.5, 52; Annex H.3</w:t>
            </w:r>
          </w:p>
        </w:tc>
      </w:tr>
      <w:tr>
        <w:tc>
          <w:tcPr/>
          <w:p>
            <w:pPr>
              <w:pStyle w:val="Compact"/>
              <w:jc w:val="left"/>
            </w:pPr>
            <w:r>
              <w:t xml:space="preserve">No external command of the framework (Iran)</w:t>
            </w:r>
          </w:p>
        </w:tc>
        <w:tc>
          <w:tcPr/>
          <w:p>
            <w:pPr>
              <w:pStyle w:val="Compact"/>
              <w:jc w:val="left"/>
            </w:pPr>
            <w:r>
              <w:t xml:space="preserve">Article 40.4; RL-14</w:t>
            </w:r>
          </w:p>
        </w:tc>
      </w:tr>
    </w:tbl>
    <w:bookmarkEnd w:id="428"/>
    <w:bookmarkStart w:id="429" w:name="n.6-the-final-pair"/>
    <w:p>
      <w:pPr>
        <w:pStyle w:val="Heading2"/>
      </w:pPr>
      <w:r>
        <w:t xml:space="preserve">N.6 The Final Pair</w:t>
      </w:r>
    </w:p>
    <w:p>
      <w:pPr>
        <w:pStyle w:val="FirstParagraph"/>
      </w:pPr>
      <w:r>
        <w:t xml:space="preserve">The Accord’s last reciprocity is its simplest: the strait opens, and stays open, because every side’s core interest stands registered, safeguarded, and measured inside one architecture. Nothing fades. Nothing trades. Everything builds.</w:t>
      </w:r>
    </w:p>
    <w:bookmarkEnd w:id="429"/>
    <w:bookmarkEnd w:id="430"/>
    <w:sectPr>
      <w:footerReference w:type="default" r:id="rId9"/>
      <w:headerReference w:type="default" r:id="rId1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b w:val="0"/>
        <w:i w:val="0"/>
        <w:color w:val="646464"/>
        <w:sz w:val="18"/>
      </w:rPr>
      <w:t xml:space="preserve">Page </w:t>
    </w:r>
    <w:r>
      <w:rPr>
        <w:rFonts w:ascii="Georgia" w:hAnsi="Georgia" w:cs="Georgia"/>
        <w:b w:val="0"/>
        <w:i w:val="0"/>
        <w:color w:val="646464"/>
        <w:sz w:val="18"/>
      </w:rP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Georgia" w:hAnsi="Georgia" w:cs="Georgia"/>
        <w:b w:val="0"/>
        <w:i w:val="0"/>
        <w:color w:val="8C8C8C"/>
        <w:sz w:val="15"/>
        <w:spacing w:val="20"/>
      </w:rPr>
      <w:t>THE SOLH-E TADRIJI ACCORD  ·  A LAYERED, GATED ARCHITECTURE FOR THE STRAIT OF HORMUZ</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2026-08-11T08:02:30Z</dcterms:created>
  <dcterms:modified xsi:type="dcterms:W3CDTF">2026-08-11T08:02:30Z</dcterms:modified>
</cp:coreProperties>
</file>

<file path=docProps/custom.xml><?xml version="1.0" encoding="utf-8"?>
<Properties xmlns="http://schemas.openxmlformats.org/officeDocument/2006/custom-properties" xmlns:vt="http://schemas.openxmlformats.org/officeDocument/2006/docPropsVTypes"/>
</file>