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1" Type="http://schemas.openxmlformats.org/officeDocument/2006/relationships/officeDocument" Target="word/document.xml" /><Relationship Id="rId3" Type="http://schemas.openxmlformats.org/package/2006/relationships/metadata/core-properties" Target="docProps/core.xml" /><Relationship Id="rId4" Type="http://schemas.openxmlformats.org/officeDocument/2006/relationships/extended-properties" Target="docProps/app.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1" w:name="the-solh-e-tadriji-accord"/>
    <w:bookmarkStart w:id="20" w:name="X640d3e868780623800d42e33bf7c4a52fbe025d"/>
    <w:bookmarkEnd w:id="20"/>
    <w:bookmarkEnd w:id="21"/>
    <w:bookmarkStart w:id="22" w:name="document-control"/>
    <w:p>
      <w:pPr>
        <w:pStyle w:val="Normal"/>
        <w:spacing w:before="2200" w:after="0"/>
        <w:jc w:val="center"/>
      </w:pPr>
    </w:p>
    <w:p>
      <w:pPr>
        <w:pStyle w:val="Normal"/>
        <w:spacing w:before="0" w:after="360"/>
        <w:jc w:val="center"/>
      </w:pPr>
      <w:r>
        <w:rPr>
          <w:rFonts w:ascii="Georgia" w:hAnsi="Georgia" w:cs="Georgia" w:eastAsia="Georgia"/>
          <w:b/>
          <w:i w:val="0"/>
          <w:color w:val="1F2D3D"/>
          <w:sz w:val="60"/>
          <w:szCs w:val="24"/>
          <w:lang w:val="en-US" w:eastAsia="en-US" w:bidi="ar-SA"/>
          <w:spacing w:val="70"/>
        </w:rPr>
        <w:t>THE SOLH-E TADRIJI ACCORD</w:t>
      </w:r>
    </w:p>
    <w:p>
      <w:pPr>
        <w:pStyle w:val="Normal"/>
        <w:spacing w:before="0" w:after="40"/>
        <w:jc w:val="center"/>
      </w:pPr>
      <w:r>
        <w:rPr>
          <w:rFonts w:ascii="Georgia" w:hAnsi="Georgia" w:cs="Georgia" w:eastAsia="Georgia"/>
          <w:b w:val="0"/>
          <w:i/>
          <w:color w:val="404040"/>
          <w:sz w:val="27"/>
          <w:szCs w:val="24"/>
          <w:lang w:val="en-US" w:eastAsia="en-US" w:bidi="ar-SA"/>
        </w:rPr>
        <w:t>A Layered, Gated Architecture for the Progressive Stabilization and</w:t>
      </w:r>
    </w:p>
    <w:p>
      <w:pPr>
        <w:pStyle w:val="Normal"/>
        <w:spacing w:before="0" w:after="520"/>
        <w:jc w:val="center"/>
      </w:pPr>
      <w:r>
        <w:rPr>
          <w:rFonts w:ascii="Georgia" w:hAnsi="Georgia" w:cs="Georgia" w:eastAsia="Georgia"/>
          <w:b w:val="0"/>
          <w:i/>
          <w:color w:val="404040"/>
          <w:sz w:val="27"/>
          <w:szCs w:val="24"/>
          <w:lang w:val="en-US" w:eastAsia="en-US" w:bidi="ar-SA"/>
        </w:rPr>
        <w:t>Permanent Governance of the Strait of Hormuz</w:t>
      </w:r>
    </w:p>
    <w:p>
      <w:pPr>
        <w:pStyle w:val="Normal"/>
        <w:spacing w:before="0" w:after="520"/>
        <w:ind w:left="3600" w:right="3600"/>
        <w:jc w:val="center"/>
        <w:pBdr>
          <w:bottom w:val="single" w:sz="8" w:space="1" w:color="8C8C8C"/>
        </w:pBdr>
      </w:pPr>
    </w:p>
    <w:p>
      <w:pPr>
        <w:pStyle w:val="Normal"/>
        <w:spacing w:before="0" w:after="160"/>
        <w:jc w:val="center"/>
      </w:pPr>
      <w:r>
        <w:rPr>
          <w:rFonts w:ascii="Georgia" w:hAnsi="Georgia" w:cs="Georgia" w:eastAsia="Georgia"/>
          <w:b/>
          <w:i w:val="0"/>
          <w:color w:val="262626"/>
          <w:sz w:val="25"/>
          <w:szCs w:val="24"/>
          <w:lang w:val="en-US" w:eastAsia="en-US" w:bidi="ar-SA"/>
        </w:rPr>
        <w:t>Version 1.1 · August 2026</w:t>
      </w:r>
    </w:p>
    <w:p>
      <w:pPr>
        <w:pStyle w:val="Normal"/>
        <w:spacing w:before="0" w:after="160"/>
        <w:jc w:val="center"/>
      </w:pPr>
      <w:r>
        <w:rPr>
          <w:rFonts w:ascii="Georgia" w:hAnsi="Georgia" w:cs="Georgia" w:eastAsia="Georgia"/>
          <w:b w:val="0"/>
          <w:i w:val="0"/>
          <w:color w:val="262626"/>
          <w:sz w:val="22"/>
          <w:szCs w:val="24"/>
          <w:lang w:val="en-US" w:eastAsia="en-US" w:bidi="ar-SA"/>
        </w:rPr>
        <w:t>Negotiating Draft for Authorized Participants</w:t>
      </w:r>
    </w:p>
    <w:p>
      <w:pPr>
        <w:pStyle w:val="Normal"/>
        <w:spacing w:before="0" w:after="20"/>
        <w:jc w:val="center"/>
      </w:pPr>
      <w:r>
        <w:rPr>
          <w:rFonts w:ascii="Georgia" w:hAnsi="Georgia" w:cs="Georgia" w:eastAsia="Georgia"/>
          <w:b w:val="0"/>
          <w:i/>
          <w:color w:val="737373"/>
          <w:sz w:val="18"/>
          <w:szCs w:val="24"/>
          <w:lang w:val="en-US" w:eastAsia="en-US" w:bidi="ar-SA"/>
        </w:rPr>
        <w:t>Drafted in strict adherence to the Immutable Present-Tense Matrix,</w:t>
      </w:r>
    </w:p>
    <w:p>
      <w:pPr>
        <w:pStyle w:val="Normal"/>
        <w:spacing w:before="0" w:after="880"/>
        <w:jc w:val="center"/>
      </w:pPr>
      <w:r>
        <w:rPr>
          <w:rFonts w:ascii="Georgia" w:hAnsi="Georgia" w:cs="Georgia" w:eastAsia="Georgia"/>
          <w:b w:val="0"/>
          <w:i/>
          <w:color w:val="737373"/>
          <w:sz w:val="18"/>
          <w:szCs w:val="24"/>
          <w:lang w:val="en-US" w:eastAsia="en-US" w:bidi="ar-SA"/>
        </w:rPr>
        <w:t>with the Nofade Guarantee first among equals</w:t>
      </w:r>
    </w:p>
    <w:p>
      <w:pPr>
        <w:pStyle w:val="Normal"/>
        <w:spacing w:before="0" w:after="200"/>
        <w:jc w:val="center"/>
      </w:pPr>
      <w:r>
        <w:rPr>
          <w:rFonts w:ascii="Georgia" w:hAnsi="Georgia" w:cs="Georgia" w:eastAsia="Georgia"/>
          <w:b/>
          <w:i w:val="0"/>
          <w:color w:val="1F2D3D"/>
          <w:sz w:val="24"/>
          <w:szCs w:val="24"/>
          <w:lang w:val="en-US" w:eastAsia="en-US" w:bidi="ar-SA"/>
        </w:rPr>
        <w:t>The Islamic Republic of Iran · The Sultanate of Oman</w:t>
      </w:r>
    </w:p>
    <w:p>
      <w:pPr>
        <w:pStyle w:val="Normal"/>
        <w:spacing w:before="0" w:after="20"/>
        <w:jc w:val="center"/>
      </w:pPr>
      <w:r>
        <w:rPr>
          <w:rFonts w:ascii="Georgia" w:hAnsi="Georgia" w:cs="Georgia" w:eastAsia="Georgia"/>
          <w:b w:val="0"/>
          <w:i w:val="0"/>
          <w:color w:val="404040"/>
          <w:sz w:val="19"/>
          <w:szCs w:val="24"/>
          <w:lang w:val="en-US" w:eastAsia="en-US" w:bidi="ar-SA"/>
        </w:rPr>
        <w:t>with a defined accession path for the United Arab Emirates, the State of Qatar,</w:t>
      </w:r>
    </w:p>
    <w:p>
      <w:pPr>
        <w:pStyle w:val="Normal"/>
        <w:spacing w:before="0" w:after="200"/>
        <w:jc w:val="center"/>
      </w:pPr>
      <w:r>
        <w:rPr>
          <w:rFonts w:ascii="Georgia" w:hAnsi="Georgia" w:cs="Georgia" w:eastAsia="Georgia"/>
          <w:b w:val="0"/>
          <w:i w:val="0"/>
          <w:color w:val="404040"/>
          <w:sz w:val="19"/>
          <w:szCs w:val="24"/>
          <w:lang w:val="en-US" w:eastAsia="en-US" w:bidi="ar-SA"/>
        </w:rPr>
        <w:t>the Kingdom of Bahrain, the State of Kuwait, the Kingdom of Saudi Arabia, and the Republic of Iraq</w:t>
      </w:r>
    </w:p>
    <w:p>
      <w:pPr>
        <w:pStyle w:val="Normal"/>
        <w:spacing w:before="0" w:after="200"/>
        <w:jc w:val="center"/>
      </w:pPr>
      <w:r>
        <w:rPr>
          <w:rFonts w:ascii="Georgia" w:hAnsi="Georgia" w:cs="Georgia" w:eastAsia="Georgia"/>
          <w:b w:val="0"/>
          <w:i w:val="0"/>
          <w:color w:val="404040"/>
          <w:sz w:val="19"/>
          <w:szCs w:val="24"/>
          <w:lang w:val="en-US" w:eastAsia="en-US" w:bidi="ar-SA"/>
        </w:rPr>
        <w:t>Guarantor Parties: The United States of America · The State of Qatar · The Islamic Republic of Pakistan</w:t>
      </w:r>
    </w:p>
    <w:p>
      <w:pPr>
        <w:pStyle w:val="Normal"/>
        <w:spacing w:before="0" w:after="20"/>
        <w:jc w:val="center"/>
      </w:pPr>
      <w:r>
        <w:rPr>
          <w:rFonts w:ascii="Georgia" w:hAnsi="Georgia" w:cs="Georgia" w:eastAsia="Georgia"/>
          <w:b w:val="0"/>
          <w:i w:val="0"/>
          <w:color w:val="595959"/>
          <w:sz w:val="18"/>
          <w:szCs w:val="24"/>
          <w:lang w:val="en-US" w:eastAsia="en-US" w:bidi="ar-SA"/>
        </w:rPr>
        <w:t>Depositary and Neutral Administrator: The Swiss Confederation</w:t>
      </w:r>
    </w:p>
    <w:p>
      <w:pPr>
        <w:pStyle w:val="Normal"/>
        <w:spacing w:before="0" w:after="440"/>
        <w:jc w:val="center"/>
      </w:pPr>
      <w:r>
        <w:rPr>
          <w:rFonts w:ascii="Georgia" w:hAnsi="Georgia" w:cs="Georgia" w:eastAsia="Georgia"/>
          <w:b w:val="0"/>
          <w:i w:val="0"/>
          <w:color w:val="595959"/>
          <w:sz w:val="18"/>
          <w:szCs w:val="24"/>
          <w:lang w:val="en-US" w:eastAsia="en-US" w:bidi="ar-SA"/>
        </w:rPr>
        <w:t>Facilitators: The Sultanate of Oman, the Swiss Confederation, the State of Qatar, and the Islamic Republic of Pakistan</w:t>
      </w:r>
    </w:p>
    <w:p>
      <w:pPr>
        <w:pStyle w:val="Normal"/>
        <w:spacing w:before="0" w:after="0"/>
        <w:jc w:val="center"/>
      </w:pPr>
      <w:r>
        <w:rPr>
          <w:rFonts w:ascii="Georgia" w:hAnsi="Georgia" w:cs="Georgia" w:eastAsia="Georgia"/>
          <w:b w:val="0"/>
          <w:i w:val="0"/>
          <w:color w:val="737373"/>
          <w:sz w:val="17"/>
          <w:szCs w:val="24"/>
          <w:lang w:val="en-US" w:eastAsia="en-US" w:bidi="ar-SA"/>
        </w:rPr>
        <w:t>Seated at the Tadriji Coordination Center, Muscat, with the Darya Mirror Facility of Equal Rank at Bandar Abbas</w:t>
      </w:r>
    </w:p>
    <w:p>
      <w:pPr>
        <w:pStyle w:val="Normal"/>
        <w:spacing w:before="0" w:after="0"/>
        <w:jc w:val="center"/>
        <w:sectPr>
          <w:pgBorders w:offsetFrom="page">
            <w:top w:val="single" w:sz="12" w:space="36" w:color="3B3B3B"/>
            <w:left w:val="single" w:sz="12" w:space="36" w:color="3B3B3B"/>
            <w:bottom w:val="single" w:sz="12" w:space="36" w:color="3B3B3B"/>
            <w:right w:val="single" w:sz="12" w:space="36" w:color="3B3B3B"/>
          </w:pgBorders>
        </w:sectPr>
      </w:pPr>
    </w:p>
    <w:p>
      <w:pPr>
        <w:pStyle w:val="Normal"/>
        <w:spacing w:before="120" w:after="280"/>
        <w:jc w:val="left"/>
      </w:pPr>
      <w:r>
        <w:rPr>
          <w:rFonts w:ascii="Georgia" w:hAnsi="Georgia" w:cs="Georgia" w:eastAsia="Georgia"/>
          <w:b/>
          <w:i w:val="0"/>
          <w:color w:val="1F2D3D"/>
          <w:sz w:val="34"/>
          <w:szCs w:val="24"/>
          <w:lang w:val="en-US" w:eastAsia="en-US" w:bidi="ar-SA"/>
          <w:spacing w:val="50"/>
        </w:rPr>
        <w:t>TABLE OF CONTENTS</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Document Control</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4</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Cover Note of the Facilitating States</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4</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Drafting Convention and Method</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5</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Reader’s Guide: The Accord in Twenty Minutes</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5</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Situation Assessment: The Strait on 12 August 2026</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5</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Preamble</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5</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The Red Lines Register (Summary)</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7</w:t>
      </w:r>
    </w:p>
    <w:p>
      <w:pPr>
        <w:pStyle w:val="Normal"/>
        <w:spacing w:before="20" w:after="20"/>
        <w:tabs>
          <w:tab w:val="right" w:leader="dot" w:pos="9350"/>
        </w:tabs>
      </w:pPr>
      <w:r>
        <w:rPr>
          <w:rFonts w:ascii="Georgia" w:hAnsi="Georgia" w:cs="Georgia" w:eastAsia="Georgia"/>
          <w:b/>
          <w:i w:val="0"/>
          <w:color w:val="262626"/>
          <w:sz w:val="21"/>
          <w:szCs w:val="24"/>
          <w:lang w:val="en-US" w:eastAsia="en-US" w:bidi="ar-SA"/>
        </w:rPr>
        <w:t>The Architecture at a Glance</w:t>
      </w:r>
      <w:r>
        <w:rPr>
          <w:rFonts w:ascii="Georgia" w:hAnsi="Georgia" w:cs="Georgia"/>
          <w:b/>
          <w:i w:val="0"/>
          <w:color w:val="262626"/>
          <w:sz w:val="21"/>
          <w:szCs w:val="24"/>
          <w:lang w:val="en-US" w:eastAsia="en-US" w:bidi="ar-SA"/>
        </w:rPr>
        <w:tab/>
      </w:r>
      <w:r>
        <w:rPr>
          <w:rFonts w:ascii="Georgia" w:hAnsi="Georgia" w:cs="Georgia" w:eastAsia="Georgia"/>
          <w:b/>
          <w:i w:val="0"/>
          <w:color w:val="262626"/>
          <w:sz w:val="21"/>
          <w:szCs w:val="24"/>
          <w:lang w:val="en-US" w:eastAsia="en-US" w:bidi="ar-SA"/>
        </w:rPr>
        <w:t>8</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I: FOUNDATIONS</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 Establishment, Purpose, and Scope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 Legal Foundations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 Core Operating Principles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 The Governance Area</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13</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 The Nuclear Firewall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14</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6: The Nofade Guarantee (Standing Continuity)</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14</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7: The Layered Activation Doctrine and the Stability Gates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15</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8: Definitions and Interpretation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16</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II: LAYER 0: THE MICRO-EXERCISE LATTICE (DAYS 0 TO 30)</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17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9: The Lattice: Purpose, Rules, and Standing</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10: The Lattice Cell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11: Sub-Layer 0.1: Visibility and Predictability</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12: Sub-Layer 0.2: Movement Safety</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19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13: Sub-Layer 0.3: Incident Alerts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21</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14: Sub-Layer 0.4: Response and Repair</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15: Sub-Layer 0.5: Micro-Governance and Simulation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23</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16: Gate G-0: The First Stability Audit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24</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III: LAYER 1: THE SHARED DATA LAYER (DAYS 0 TO 45)</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25</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17: The Joint Visibility System</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25</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18: The Meridian Data Exchange and the Mirror Servers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26</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19: Data Custody and the Kinetic Exclusion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26</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20: The Open Water Bulletin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21: Gate G-1: The Data Integrity Audit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28</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IV: LAYER 2: THE COORDINATED ROUTING LAYER (DAYS 15 TO 60)</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28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22: The Three-Corridor System</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28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23: Corridor Functions and Services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24: Flow States and the Open Water Bulletin States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25: The Notification Protocol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31</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26: Vessel Classification and Differentiated Treatment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27: The Absolute Non-Interdiction Protocol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28: The Lead-Escort Safety Service and Speed-Craft Behavioral Norms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33</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29: Standoff Geometry, Naval Deconfliction, and the Military Transit Protocol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34</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30: The Mine-Clearance Track</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35</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31: Anchorages and Holding Areas</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36</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32: Gate G-2: The Corridor Stability Audit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36</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V: LAYER 3: THE REVENUE AND SERVICES LAYER (DAYS 30 TO 90)</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37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33: The Zero-Toll Rule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34: The Fee Simulation Track</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35: The Verified Services Catalog and the Route Assurance Data Service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36: The Neutral Escrow and the Transit Services Fund</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39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37: The Sanctions-Compliance Firewall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38: Revenue Shares and the Escalator Link</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39: Gate G-3: The Financial Integrity Audit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41</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VI: LAYER 4: THE JOINT OVERSIGHT LAYER (DAYS 45 TO 105)</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42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40: The Solh Council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41: The Tadriji Coordination Center and the Darya Mirror Facility</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42: The Neutral Watch Office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43</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43: The Graduated Trust Escalator</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44</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44: The Twin Key Rule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45</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45: Step-Back and Earn-Back</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46</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46: The Dispute Resolution Ladder and the Muscat Tribunal</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47</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47: The Mutual Claims Commission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48</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48: Gate G-4: The Governance Stability Audit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49</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PART VII: LAYER 5: THE PERMANENT CHARTER (DAYS 90 TO 120)</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49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49: Conversion: From Accord to Charter</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49</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50: The Permanent Governance Settlement</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51: The Wider Settlement Interface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50</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52: The Accession Architecture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51</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53: Amendment, Protected Core, and Review</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54: Duration, Dormancy, Withdrawal, and Reconstitution</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52</w:t>
      </w:r>
    </w:p>
    <w:p>
      <w:pPr>
        <w:pStyle w:val="Normal"/>
        <w:spacing w:before="20" w:after="20"/>
        <w:ind w:left="288"/>
        <w:tabs>
          <w:tab w:val="right" w:leader="dot" w:pos="9350"/>
        </w:tabs>
      </w:pPr>
      <w:r>
        <w:rPr>
          <w:rFonts w:ascii="Georgia" w:hAnsi="Georgia" w:cs="Georgia" w:eastAsia="Georgia"/>
          <w:b w:val="0"/>
          <w:i w:val="0"/>
          <w:color w:val="262626"/>
          <w:sz w:val="20"/>
          <w:szCs w:val="24"/>
          <w:lang w:val="en-US" w:eastAsia="en-US" w:bidi="ar-SA"/>
        </w:rPr>
        <w:t>Article 55: Depositary, Languages, and Entry into Force</w:t>
      </w:r>
      <w:r>
        <w:rPr>
          <w:rFonts w:ascii="Georgia" w:hAnsi="Georgia" w:cs="Georgia"/>
          <w:b w:val="0"/>
          <w:i w:val="0"/>
          <w:color w:val="262626"/>
          <w:sz w:val="20"/>
          <w:szCs w:val="24"/>
          <w:lang w:val="en-US" w:eastAsia="en-US" w:bidi="ar-SA"/>
        </w:rPr>
        <w:tab/>
      </w:r>
      <w:r>
        <w:rPr>
          <w:rFonts w:ascii="Georgia" w:hAnsi="Georgia" w:cs="Georgia" w:eastAsia="Georgia"/>
          <w:b w:val="0"/>
          <w:i w:val="0"/>
          <w:color w:val="262626"/>
          <w:sz w:val="20"/>
          <w:szCs w:val="24"/>
          <w:lang w:val="en-US" w:eastAsia="en-US" w:bidi="ar-SA"/>
        </w:rPr>
        <w:t>53</w:t>
      </w:r>
    </w:p>
    <w:p>
      <w:pPr>
        <w:pStyle w:val="Normal"/>
        <w:spacing w:before="20" w:after="20"/>
        <w:tabs>
          <w:tab w:val="right" w:leader="dot" w:pos="9350"/>
        </w:tabs>
      </w:pPr>
      <w:r>
        <w:rPr>
          <w:rFonts w:ascii="Georgia" w:hAnsi="Georgia" w:cs="Georgia" w:eastAsia="Georgia"/>
          <w:b/>
          <w:i w:val="0"/>
          <w:color w:val="262626"/>
          <w:sz w:val="20"/>
          <w:szCs w:val="24"/>
          <w:lang w:val="en-US" w:eastAsia="en-US" w:bidi="ar-SA"/>
        </w:rPr>
        <w:t>The Closing Principle</w:t>
      </w:r>
      <w:r>
        <w:rPr>
          <w:rFonts w:ascii="Georgia" w:hAnsi="Georgia" w:cs="Georgia"/>
          <w:b/>
          <w:i w:val="0"/>
          <w:color w:val="262626"/>
          <w:sz w:val="21"/>
          <w:szCs w:val="24"/>
          <w:lang w:val="en-US" w:eastAsia="en-US" w:bidi="ar-SA"/>
        </w:rPr>
        <w:tab/>
      </w:r>
      <w:r>
        <w:rPr>
          <w:rFonts w:ascii="Georgia" w:hAnsi="Georgia" w:cs="Georgia" w:eastAsia="Georgia"/>
          <w:b/>
          <w:i w:val="0"/>
          <w:color w:val="262626"/>
          <w:sz w:val="20"/>
          <w:szCs w:val="24"/>
          <w:lang w:val="en-US" w:eastAsia="en-US" w:bidi="ar-SA"/>
        </w:rPr>
        <w:t>53</w:t>
      </w:r>
    </w:p>
    <w:p>
      <w:pPr>
        <w:pStyle w:val="Normal"/>
        <w:spacing w:before="20" w:after="20"/>
        <w:tabs>
          <w:tab w:val="right" w:leader="dot" w:pos="9350"/>
        </w:tabs>
      </w:pPr>
      <w:r>
        <w:rPr>
          <w:rFonts w:ascii="Georgia" w:hAnsi="Georgia" w:cs="Georgia" w:eastAsia="Georgia"/>
          <w:b/>
          <w:i w:val="0"/>
          <w:color w:val="262626"/>
          <w:sz w:val="20"/>
          <w:szCs w:val="24"/>
          <w:lang w:val="en-US" w:eastAsia="en-US" w:bidi="ar-SA"/>
        </w:rPr>
        <w:t>Signature and Deposit</w:t>
      </w:r>
      <w:r>
        <w:rPr>
          <w:rFonts w:ascii="Georgia" w:hAnsi="Georgia" w:cs="Georgia"/>
          <w:b/>
          <w:i w:val="0"/>
          <w:color w:val="262626"/>
          <w:sz w:val="21"/>
          <w:szCs w:val="24"/>
          <w:lang w:val="en-US" w:eastAsia="en-US" w:bidi="ar-SA"/>
        </w:rPr>
        <w:tab/>
      </w:r>
      <w:r>
        <w:rPr>
          <w:rFonts w:ascii="Georgia" w:hAnsi="Georgia" w:cs="Georgia" w:eastAsia="Georgia"/>
          <w:b/>
          <w:i w:val="0"/>
          <w:color w:val="262626"/>
          <w:sz w:val="20"/>
          <w:szCs w:val="24"/>
          <w:lang w:val="en-US" w:eastAsia="en-US" w:bidi="ar-SA"/>
        </w:rPr>
        <w:t>53</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Annex A: Corridor Coordinates and Geometry Registry</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54</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Annex B: The Fifty Micro-Exercises: Full Operational Specifications</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57</w:t>
      </w:r>
    </w:p>
    <w:p>
      <w:pPr>
        <w:pStyle w:val="Normal"/>
        <w:spacing w:before="140" w:after="20"/>
        <w:tabs>
          <w:tab w:val="right" w:leader="dot" w:pos="9350"/>
        </w:tabs>
      </w:pPr>
      <w:r>
        <w:rPr>
          <w:rFonts w:ascii="Georgia" w:hAnsi="Georgia" w:cs="Georgia" w:eastAsia="Georgia"/>
          <w:b/>
          <w:i w:val="0"/>
          <w:color w:val="1F2D3D"/>
          <w:sz w:val="21"/>
          <w:szCs w:val="24"/>
          <w:lang w:val="en-US" w:eastAsia="en-US" w:bidi="ar-SA"/>
        </w:rPr>
        <w:t>Annex C: Communications and Hotline Protocol</w:t>
      </w:r>
      <w:r>
        <w:rPr>
          <w:rFonts w:ascii="Georgia" w:hAnsi="Georgia" w:cs="Georgia"/>
          <w:b/>
          <w:i w:val="0"/>
          <w:color w:val="1F2D3D"/>
          <w:sz w:val="21"/>
          <w:szCs w:val="24"/>
          <w:lang w:val="en-US" w:eastAsia="en-US" w:bidi="ar-SA"/>
        </w:rPr>
        <w:tab/>
      </w:r>
      <w:r>
        <w:rPr>
          <w:rFonts w:ascii="Georgia" w:hAnsi="Georgia" w:cs="Georgia" w:eastAsia="Georgia"/>
          <w:b/>
          <w:i w:val="0"/>
          <w:color w:val="1F2D3D"/>
          <w:sz w:val="21"/>
          <w:szCs w:val="24"/>
          <w:lang w:val="en-US" w:eastAsia="en-US" w:bidi="ar-SA"/>
        </w:rPr>
        <w:t>62</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D: Verification Standards</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64</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E: The Graduated Trust Escalator</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65</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F: The Verified Services Catalog, Rate Card, and Escrow Rules</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68</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G: The Red Lines Register</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69</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H: Mine Removal Taskforce Charter</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71</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I: Speed-Craft Behavioral Norms and the Lead-Escort SOP</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73</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J: Stability Audit Metrics and Gate Checklists</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76</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K: Implementation Timeline</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77</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L: Model Forms and Certificates</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78</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M: Terminology, Definitions, and Narrative Symmetry</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79</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N: The Reciprocity Map and the Demands Coverage Matrix</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80</w:t>
      </w:r>
    </w:p>
    <w:p>
      <w:pPr>
        <w:pStyle w:val="Normal"/>
        <w:spacing w:before="140" w:after="20"/>
        <w:tabs>
          <w:tab w:val="right" w:leader="dot" w:pos="9350"/>
        </w:tabs>
      </w:pPr>
      <w:r>
        <w:rPr>
          <w:rFonts w:ascii="Georgia" w:hAnsi="Georgia" w:cs="Georgia" w:eastAsia="Georgia"/>
          <w:b/>
          <w:i w:val="0"/>
          <w:color w:themeColor="accent1"/>
          <w:sz w:val="32"/>
          <w:szCs w:val="24"/>
          <w:lang w:val="en-US" w:eastAsia="en-US" w:bidi="ar-SA"/>
        </w:rPr>
        <w:t>Annex O: The Reconstruction and Development Fund Interface</w:t>
      </w:r>
      <w:r>
        <w:rPr>
          <w:rFonts w:ascii="Georgia" w:hAnsi="Georgia" w:cs="Georgia"/>
          <w:b/>
          <w:i w:val="0"/>
          <w:color w:val="1F2D3D"/>
          <w:sz w:val="21"/>
          <w:szCs w:val="24"/>
          <w:lang w:val="en-US" w:eastAsia="en-US" w:bidi="ar-SA"/>
        </w:rPr>
        <w:tab/>
      </w:r>
      <w:r>
        <w:rPr>
          <w:rFonts w:ascii="Georgia" w:hAnsi="Georgia" w:cs="Georgia" w:eastAsia="Georgia"/>
          <w:b/>
          <w:i w:val="0"/>
          <w:color w:themeColor="accent1"/>
          <w:sz w:val="32"/>
          <w:szCs w:val="24"/>
          <w:lang w:val="en-US" w:eastAsia="en-US" w:bidi="ar-SA"/>
        </w:rPr>
        <w:t>81</w:t>
      </w:r>
    </w:p>
    <w:p>
      <w:pPr>
        <w:pStyle w:val="Normal"/>
        <w:spacing w:before="0" w:after="0"/>
        <w:jc w:val="center"/>
      </w:pPr>
      <w:r>
        <w:rPr>
          <w:sz w:val="24"/>
          <w:szCs w:val="24"/>
          <w:lang w:val="en-US" w:eastAsia="en-US" w:bidi="ar-SA"/>
        </w:rPr>
        <w:br w:type="page"/>
      </w:r>
    </w:p>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Document Control</w:t>
      </w:r>
    </w:p>
    <w:tbl>
      <w:tblPr>
        <w:tblStyle w:val="Table"/>
        <w:tblW w:type="pct" w:w="5000"/>
        <w:tblLook w:firstRow="1" w:lastRow="0" w:firstColumn="0" w:lastColumn="0" w:noHBand="0" w:noVBand="0" w:val="0020"/>
      </w:tblPr>
      <w:tblGrid>
        <w:gridCol w:w="3960"/>
        <w:gridCol w:w="3960"/>
      </w:tblGrid>
      <w:tr>
        <w:trPr>
          <w:tblHeader w:val="1"/>
        </w:trPr>
        <w:tc>
          <w:tcPr>
            <w:tcW w:w="3960" w:type="dxa"/>
          </w:tcPr>
          <w:p>
            <w:pPr>
              <w:pStyle w:val="Compact"/>
              <w:jc w:val="left"/>
            </w:pPr>
            <w:r>
              <w:rPr>
                <w:sz w:val="24"/>
                <w:szCs w:val="24"/>
                <w:lang w:val="en-US" w:eastAsia="en-US" w:bidi="ar-SA"/>
              </w:rPr>
              <w:t>Field</w:t>
            </w:r>
          </w:p>
        </w:tc>
        <w:tc>
          <w:tcPr>
            <w:tcW w:w="3960" w:type="dxa"/>
          </w:tcPr>
          <w:p>
            <w:pPr>
              <w:pStyle w:val="Compact"/>
              <w:jc w:val="left"/>
            </w:pPr>
            <w:r>
              <w:rPr>
                <w:sz w:val="24"/>
                <w:szCs w:val="24"/>
                <w:lang w:val="en-US" w:eastAsia="en-US" w:bidi="ar-SA"/>
              </w:rPr>
              <w:t>Entry</w:t>
            </w:r>
          </w:p>
        </w:tc>
      </w:tr>
      <w:tr>
        <w:tc>
          <w:tcPr>
            <w:tcW w:w="3960" w:type="dxa"/>
          </w:tcPr>
          <w:p>
            <w:pPr>
              <w:pStyle w:val="Compact"/>
              <w:jc w:val="left"/>
            </w:pPr>
            <w:r>
              <w:rPr>
                <w:sz w:val="24"/>
                <w:szCs w:val="24"/>
                <w:lang w:val="en-US" w:eastAsia="en-US" w:bidi="ar-SA"/>
              </w:rPr>
              <w:t>Instrument</w:t>
            </w:r>
          </w:p>
        </w:tc>
        <w:tc>
          <w:tcPr>
            <w:tcW w:w="3960" w:type="dxa"/>
          </w:tcPr>
          <w:p>
            <w:pPr>
              <w:pStyle w:val="Compact"/>
              <w:jc w:val="left"/>
            </w:pPr>
            <w:r>
              <w:rPr>
                <w:sz w:val="24"/>
                <w:szCs w:val="24"/>
                <w:lang w:val="en-US" w:eastAsia="en-US" w:bidi="ar-SA"/>
              </w:rPr>
              <w:t>The Solh-e Tadriji Accord v1.1</w:t>
            </w:r>
          </w:p>
        </w:tc>
      </w:tr>
      <w:tr>
        <w:tc>
          <w:tcPr>
            <w:tcW w:w="3960" w:type="dxa"/>
          </w:tcPr>
          <w:p>
            <w:pPr>
              <w:pStyle w:val="Compact"/>
              <w:jc w:val="left"/>
            </w:pPr>
            <w:r>
              <w:rPr>
                <w:sz w:val="24"/>
                <w:szCs w:val="24"/>
                <w:lang w:val="en-US" w:eastAsia="en-US" w:bidi="ar-SA"/>
              </w:rPr>
              <w:t>Status</w:t>
            </w:r>
          </w:p>
        </w:tc>
        <w:tc>
          <w:tcPr>
            <w:tcW w:w="3960" w:type="dxa"/>
          </w:tcPr>
          <w:p>
            <w:pPr>
              <w:pStyle w:val="Compact"/>
              <w:jc w:val="left"/>
            </w:pPr>
            <w:r>
              <w:rPr>
                <w:sz w:val="24"/>
                <w:szCs w:val="24"/>
                <w:lang w:val="en-US" w:eastAsia="en-US" w:bidi="ar-SA"/>
              </w:rPr>
              <w:t>Negotiating draft, operative upon deposit of instruments of acceptance by the Principal Parties and the Guarantor Parties</w:t>
            </w:r>
          </w:p>
        </w:tc>
      </w:tr>
      <w:tr>
        <w:tc>
          <w:tcPr>
            <w:tcW w:w="3960" w:type="dxa"/>
          </w:tcPr>
          <w:p>
            <w:pPr>
              <w:pStyle w:val="Compact"/>
              <w:jc w:val="left"/>
            </w:pPr>
            <w:r>
              <w:rPr>
                <w:sz w:val="24"/>
                <w:szCs w:val="24"/>
                <w:lang w:val="en-US" w:eastAsia="en-US" w:bidi="ar-SA"/>
              </w:rPr>
              <w:t>Negotiation reference</w:t>
            </w:r>
          </w:p>
        </w:tc>
        <w:tc>
          <w:tcPr>
            <w:tcW w:w="3960" w:type="dxa"/>
          </w:tcPr>
          <w:p>
            <w:pPr>
              <w:pStyle w:val="Compact"/>
              <w:jc w:val="left"/>
            </w:pPr>
            <w:r>
              <w:rPr>
                <w:sz w:val="24"/>
                <w:szCs w:val="24"/>
                <w:lang w:val="en-US" w:eastAsia="en-US" w:bidi="ar-SA"/>
              </w:rPr>
              <w:t>STA-2026-v1.1</w:t>
            </w:r>
          </w:p>
        </w:tc>
      </w:tr>
      <w:tr>
        <w:tc>
          <w:tcPr>
            <w:tcW w:w="3960" w:type="dxa"/>
          </w:tcPr>
          <w:p>
            <w:pPr>
              <w:pStyle w:val="Compact"/>
              <w:jc w:val="left"/>
            </w:pPr>
            <w:r>
              <w:rPr>
                <w:sz w:val="24"/>
                <w:szCs w:val="24"/>
                <w:lang w:val="en-US" w:eastAsia="en-US" w:bidi="ar-SA"/>
              </w:rPr>
              <w:t>Authentic texts</w:t>
            </w:r>
          </w:p>
        </w:tc>
        <w:tc>
          <w:tcPr>
            <w:tcW w:w="3960" w:type="dxa"/>
          </w:tcPr>
          <w:p>
            <w:pPr>
              <w:pStyle w:val="Compact"/>
              <w:jc w:val="left"/>
            </w:pPr>
            <w:r>
              <w:rPr>
                <w:sz w:val="24"/>
                <w:szCs w:val="24"/>
                <w:lang w:val="en-US" w:eastAsia="en-US" w:bidi="ar-SA"/>
              </w:rPr>
              <w:t>English, Arabic, Farsi (English prevails for technical annexes)</w:t>
            </w:r>
          </w:p>
        </w:tc>
      </w:tr>
      <w:tr>
        <w:tc>
          <w:tcPr>
            <w:tcW w:w="3960" w:type="dxa"/>
          </w:tcPr>
          <w:p>
            <w:pPr>
              <w:pStyle w:val="Compact"/>
              <w:jc w:val="left"/>
            </w:pPr>
            <w:r>
              <w:rPr>
                <w:sz w:val="24"/>
                <w:szCs w:val="24"/>
                <w:lang w:val="en-US" w:eastAsia="en-US" w:bidi="ar-SA"/>
              </w:rPr>
              <w:t>Depositary</w:t>
            </w:r>
          </w:p>
        </w:tc>
        <w:tc>
          <w:tcPr>
            <w:tcW w:w="3960" w:type="dxa"/>
          </w:tcPr>
          <w:p>
            <w:pPr>
              <w:pStyle w:val="Compact"/>
              <w:jc w:val="left"/>
            </w:pPr>
            <w:r>
              <w:rPr>
                <w:sz w:val="24"/>
                <w:szCs w:val="24"/>
                <w:lang w:val="en-US" w:eastAsia="en-US" w:bidi="ar-SA"/>
              </w:rPr>
              <w:t>The Swiss Confederation</w:t>
            </w:r>
          </w:p>
        </w:tc>
      </w:tr>
      <w:tr>
        <w:tc>
          <w:tcPr>
            <w:tcW w:w="3960" w:type="dxa"/>
          </w:tcPr>
          <w:p>
            <w:pPr>
              <w:pStyle w:val="Compact"/>
              <w:jc w:val="left"/>
            </w:pPr>
            <w:r>
              <w:rPr>
                <w:sz w:val="24"/>
                <w:szCs w:val="24"/>
                <w:lang w:val="en-US" w:eastAsia="en-US" w:bidi="ar-SA"/>
              </w:rPr>
              <w:t>Seat</w:t>
            </w:r>
          </w:p>
        </w:tc>
        <w:tc>
          <w:tcPr>
            <w:tcW w:w="3960" w:type="dxa"/>
          </w:tcPr>
          <w:p>
            <w:pPr>
              <w:pStyle w:val="Compact"/>
              <w:jc w:val="left"/>
            </w:pPr>
            <w:r>
              <w:rPr>
                <w:sz w:val="24"/>
                <w:szCs w:val="24"/>
                <w:lang w:val="en-US" w:eastAsia="en-US" w:bidi="ar-SA"/>
              </w:rPr>
              <w:t>Tadriji Coordination Center, Muscat, with the Darya Mirror Facility, Bandar Abbas</w:t>
            </w:r>
          </w:p>
        </w:tc>
      </w:tr>
      <w:tr>
        <w:tc>
          <w:tcPr>
            <w:tcW w:w="3960" w:type="dxa"/>
          </w:tcPr>
          <w:p>
            <w:pPr>
              <w:pStyle w:val="Compact"/>
              <w:jc w:val="left"/>
            </w:pPr>
            <w:r>
              <w:rPr>
                <w:sz w:val="24"/>
                <w:szCs w:val="24"/>
                <w:lang w:val="en-US" w:eastAsia="en-US" w:bidi="ar-SA"/>
              </w:rPr>
              <w:t>Facilitation</w:t>
            </w:r>
          </w:p>
        </w:tc>
        <w:tc>
          <w:tcPr>
            <w:tcW w:w="3960" w:type="dxa"/>
          </w:tcPr>
          <w:p>
            <w:pPr>
              <w:pStyle w:val="Compact"/>
              <w:jc w:val="left"/>
            </w:pPr>
            <w:r>
              <w:rPr>
                <w:sz w:val="24"/>
                <w:szCs w:val="24"/>
                <w:lang w:val="en-US" w:eastAsia="en-US" w:bidi="ar-SA"/>
              </w:rPr>
              <w:t>The Sultanate of Oman, the Swiss Confederation, the State of Qatar, the Islamic Republic of Pakistan</w:t>
            </w:r>
          </w:p>
        </w:tc>
      </w:tr>
      <w:tr>
        <w:tc>
          <w:tcPr>
            <w:tcW w:w="3960" w:type="dxa"/>
          </w:tcPr>
          <w:p>
            <w:pPr>
              <w:pStyle w:val="Compact"/>
              <w:jc w:val="left"/>
            </w:pPr>
            <w:r>
              <w:rPr>
                <w:sz w:val="24"/>
                <w:szCs w:val="24"/>
                <w:lang w:val="en-US" w:eastAsia="en-US" w:bidi="ar-SA"/>
              </w:rPr>
              <w:t>Technical interface</w:t>
            </w:r>
          </w:p>
        </w:tc>
        <w:tc>
          <w:tcPr>
            <w:tcW w:w="3960" w:type="dxa"/>
          </w:tcPr>
          <w:p>
            <w:pPr>
              <w:pStyle w:val="Compact"/>
              <w:jc w:val="left"/>
            </w:pPr>
            <w:r>
              <w:rPr>
                <w:sz w:val="24"/>
                <w:szCs w:val="24"/>
                <w:lang w:val="en-US" w:eastAsia="en-US" w:bidi="ar-SA"/>
              </w:rPr>
              <w:t>International Maritime Organization; International Hydrographic Organization</w:t>
            </w:r>
          </w:p>
        </w:tc>
      </w:tr>
      <w:tr>
        <w:tc>
          <w:tcPr>
            <w:tcW w:w="3960" w:type="dxa"/>
          </w:tcPr>
          <w:p>
            <w:pPr>
              <w:pStyle w:val="Compact"/>
              <w:jc w:val="left"/>
            </w:pPr>
            <w:r>
              <w:rPr>
                <w:sz w:val="24"/>
                <w:szCs w:val="24"/>
                <w:lang w:val="en-US" w:eastAsia="en-US" w:bidi="ar-SA"/>
              </w:rPr>
              <w:t>Drafting convention</w:t>
            </w:r>
          </w:p>
        </w:tc>
        <w:tc>
          <w:tcPr>
            <w:tcW w:w="3960" w:type="dxa"/>
          </w:tcPr>
          <w:p>
            <w:pPr>
              <w:pStyle w:val="Compact"/>
              <w:jc w:val="left"/>
            </w:pPr>
            <w:r>
              <w:rPr>
                <w:sz w:val="24"/>
                <w:szCs w:val="24"/>
                <w:lang w:val="en-US" w:eastAsia="en-US" w:bidi="ar-SA"/>
              </w:rPr>
              <w:t>Immutable Present-Tense Matrix v2.5; Nofade Guarantee first among equals</w:t>
            </w:r>
          </w:p>
        </w:tc>
      </w:tr>
    </w:tbl>
    <w:bookmarkEnd w:id="22"/>
    <w:bookmarkStart w:id="23" w:name="cover-note-of-the-facilitating-states"/>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Cover Note of the Facilitating States</w:t>
      </w:r>
    </w:p>
    <w:p>
      <w:pPr>
        <w:pStyle w:val="FirstParagraph"/>
      </w:pPr>
      <w:r>
        <w:rPr>
          <w:sz w:val="24"/>
          <w:szCs w:val="24"/>
          <w:lang w:val="en-US" w:eastAsia="en-US" w:bidi="ar-SA"/>
        </w:rPr>
        <w:t>The Sultanate of Oman, the Swiss Confederation, the State of Qatar, and the Islamic Republic of Pakistan present this instrument to the authorized negotiators of the Principal Parties and the Guarantor Parties.</w:t>
      </w:r>
    </w:p>
    <w:p>
      <w:pPr>
        <w:pStyle w:val="FirstParagraph"/>
      </w:pPr>
      <w:r>
        <w:rPr>
          <w:sz w:val="24"/>
          <w:szCs w:val="24"/>
          <w:lang w:val="en-US" w:eastAsia="en-US" w:bidi="ar-SA"/>
        </w:rPr>
        <w:t>The facilitating states observe that the conflict of 2026 closed the Strait of Hormuz, stranded more than two thousand vessels and twenty thousand mariners, and produced the largest disruption of world energy supply in the history of the oil market. The facilitating states further observe that the memorandum of understanding of 17 June 2026 restored a measure of calm, that its partial breakdown in July 2026 demonstrated the fragility of any single-stage settlement, and that the technical understanding now emerging between the coastal states on corridor geometry proves that patient, sequenced, measurement-based negotiation succeeds where maximal demands fail.</w:t>
      </w:r>
    </w:p>
    <w:p>
      <w:pPr>
        <w:pStyle w:val="FirstParagraph"/>
      </w:pPr>
      <w:r>
        <w:rPr>
          <w:sz w:val="24"/>
          <w:szCs w:val="24"/>
          <w:lang w:val="en-US" w:eastAsia="en-US" w:bidi="ar-SA"/>
        </w:rPr>
        <w:t>This Accord converts that lesson into architecture. It begins with micro-exercises so small that no delegation risks anything by performing them, and it ends with a permanent treaty-level charter that codifies only what the earlier layers have already proven on the water. Between those two points stand six layers and six gates, each layer building institutional muscle memory, each gate certifying by measurement alone that the previous layer operated without destabilization.</w:t>
      </w:r>
    </w:p>
    <w:p>
      <w:pPr>
        <w:pStyle w:val="FirstParagraph"/>
      </w:pPr>
      <w:r>
        <w:rPr>
          <w:sz w:val="24"/>
          <w:szCs w:val="24"/>
          <w:lang w:val="en-US" w:eastAsia="en-US" w:bidi="ar-SA"/>
        </w:rPr>
        <w:t>The facilitating states attest that every provision of this instrument respects the stated red lines of every participant as those participants have expressed them in the negotiating record of June through August 2026. The instrument trades nothing away. It sequences everything.</w:t>
      </w:r>
    </w:p>
    <w:bookmarkEnd w:id="23"/>
    <w:bookmarkStart w:id="24" w:name="drafting-convention-and-method"/>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Drafting Convention and Method</w:t>
      </w:r>
    </w:p>
    <w:p>
      <w:pPr>
        <w:pStyle w:val="FirstParagraph"/>
      </w:pPr>
      <w:r>
        <w:rPr>
          <w:sz w:val="24"/>
          <w:szCs w:val="24"/>
          <w:lang w:val="en-US" w:eastAsia="en-US" w:bidi="ar-SA"/>
        </w:rPr>
        <w:t>This Accord adheres to the Immutable Present-Tense Matrix. Five conventions govern every clause.</w:t>
      </w:r>
    </w:p>
    <w:p>
      <w:pPr>
        <w:pStyle w:val="FirstParagraph"/>
      </w:pPr>
      <w:r>
        <w:rPr>
          <w:b/>
          <w:sz w:val="24"/>
          <w:szCs w:val="24"/>
          <w:lang w:val="en-US" w:eastAsia="en-US" w:bidi="ar-SA"/>
        </w:rPr>
        <w:t>Present-tense operation.</w:t>
      </w:r>
      <w:r>
        <w:rPr>
          <w:sz w:val="24"/>
          <w:szCs w:val="24"/>
          <w:lang w:val="en-US" w:eastAsia="en-US" w:bidi="ar-SA"/>
        </w:rPr>
        <w:t xml:space="preserve"> Every clause states an operative reality of the framework in the active present tense. The instrument contains no future-tense command and no hierarchical directive. Where a condition produces a consequence, the text states the consequence as an immediate, automatic event: verification of a Clean Week applies the increment; notification opens the corridor; certification opens the gate.</w:t>
      </w:r>
    </w:p>
    <w:p>
      <w:pPr>
        <w:pStyle w:val="FirstParagraph"/>
      </w:pPr>
      <w:r>
        <w:rPr>
          <w:b/>
          <w:sz w:val="24"/>
          <w:szCs w:val="24"/>
          <w:lang w:val="en-US" w:eastAsia="en-US" w:bidi="ar-SA"/>
        </w:rPr>
        <w:t>Mutual architecture.</w:t>
      </w:r>
      <w:r>
        <w:rPr>
          <w:sz w:val="24"/>
          <w:szCs w:val="24"/>
          <w:lang w:val="en-US" w:eastAsia="en-US" w:bidi="ar-SA"/>
        </w:rPr>
        <w:t xml:space="preserve"> Every constraint attaches to the shared architecture, never to one Party’s restraint. The framework excludes kinetic enforcement; commercial transit operates under an absolute non-interdiction protocol; stockpiles of grievance dissolve under the verification architecture. No clause reads as one Party conceding to another.</w:t>
      </w:r>
    </w:p>
    <w:p>
      <w:pPr>
        <w:pStyle w:val="FirstParagraph"/>
      </w:pPr>
      <w:r>
        <w:rPr>
          <w:b/>
          <w:sz w:val="24"/>
          <w:szCs w:val="24"/>
          <w:lang w:val="en-US" w:eastAsia="en-US" w:bidi="ar-SA"/>
        </w:rPr>
        <w:t>Automaticity.</w:t>
      </w:r>
      <w:r>
        <w:rPr>
          <w:sz w:val="24"/>
          <w:szCs w:val="24"/>
          <w:lang w:val="en-US" w:eastAsia="en-US" w:bidi="ar-SA"/>
        </w:rPr>
        <w:t xml:space="preserve"> Where this Accord promises a consequence, the consequence executes without a vote, without a request, and without a further instrument. Automaticity substitutes for trust.</w:t>
      </w:r>
    </w:p>
    <w:p>
      <w:pPr>
        <w:pStyle w:val="FirstParagraph"/>
      </w:pPr>
      <w:r>
        <w:rPr>
          <w:b/>
          <w:sz w:val="24"/>
          <w:szCs w:val="24"/>
          <w:lang w:val="en-US" w:eastAsia="en-US" w:bidi="ar-SA"/>
        </w:rPr>
        <w:t>Simplicity.</w:t>
      </w:r>
      <w:r>
        <w:rPr>
          <w:sz w:val="24"/>
          <w:szCs w:val="24"/>
          <w:lang w:val="en-US" w:eastAsia="en-US" w:bidi="ar-SA"/>
        </w:rPr>
        <w:t xml:space="preserve"> The Six-Step Rule governs: no procedure in this Accord exceeds six operator-facing steps. The One-Page Principle governs every annex protocol: each protocol fits on one page as executed at the console or on the bridge.</w:t>
      </w:r>
    </w:p>
    <w:p>
      <w:pPr>
        <w:pStyle w:val="FirstParagraph"/>
      </w:pPr>
      <w:r>
        <w:rPr>
          <w:b/>
          <w:sz w:val="24"/>
          <w:szCs w:val="24"/>
          <w:lang w:val="en-US" w:eastAsia="en-US" w:bidi="ar-SA"/>
        </w:rPr>
        <w:t>Reversibility with memory.</w:t>
      </w:r>
      <w:r>
        <w:rPr>
          <w:sz w:val="24"/>
          <w:szCs w:val="24"/>
          <w:lang w:val="en-US" w:eastAsia="en-US" w:bidi="ar-SA"/>
        </w:rPr>
        <w:t xml:space="preserve"> Every layer pauses without penalty and resumes from its accumulated record. Pauses delay progress; pauses never erase it.</w:t>
      </w:r>
    </w:p>
    <w:bookmarkEnd w:id="24"/>
    <w:bookmarkStart w:id="25" w:name="X566c92831409ef364010608915abc813e8a67c2"/>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Reader’s Guide: The Accord in Twenty Minutes</w:t>
      </w:r>
    </w:p>
    <w:p>
      <w:pPr>
        <w:pStyle w:val="FirstParagraph"/>
      </w:pPr>
      <w:r>
        <w:rPr>
          <w:sz w:val="24"/>
          <w:szCs w:val="24"/>
          <w:lang w:val="en-US" w:eastAsia="en-US" w:bidi="ar-SA"/>
        </w:rPr>
        <w:t>A head of government reads the Preamble, the Red Lines Register, and the Architecture at a Glance. A negotiator reads Parts I and VII with Annexes G and N. An operator reads Parts II through IV with Annexes A, B, C, and I. A verifier reads Part VI with Annexes D, E, and J. A finance ministry reads Part V with Annex F. An insurer reads Articles 27, 30, and 38 with Annexes A and H. Every page assumes the next reader holds a different passport; the text speaks to all of them at once.</w:t>
      </w:r>
    </w:p>
    <w:bookmarkEnd w:id="25"/>
    <w:bookmarkStart w:id="26" w:name="Xafcb914309a6a6c56b7c0a7d5b67944bd77591a"/>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Situation Assessment: The Strait on 12 August 2026</w:t>
      </w:r>
    </w:p>
    <w:p>
      <w:pPr>
        <w:pStyle w:val="FirstParagraph"/>
      </w:pPr>
      <w:r>
        <w:rPr>
          <w:sz w:val="24"/>
          <w:szCs w:val="24"/>
          <w:lang w:val="en-US" w:eastAsia="en-US" w:bidi="ar-SA"/>
        </w:rPr>
        <w:t>This assessment states the negotiating record as it stands on the date of this draft, because the architecture of this Accord answers this exact situation and no other.</w:t>
      </w:r>
    </w:p>
    <w:p>
      <w:pPr>
        <w:pStyle w:val="FirstParagraph"/>
      </w:pPr>
      <w:r>
        <w:rPr>
          <w:b/>
          <w:sz w:val="24"/>
          <w:szCs w:val="24"/>
          <w:lang w:val="en-US" w:eastAsia="en-US" w:bidi="ar-SA"/>
        </w:rPr>
        <w:t>The military situation.</w:t>
      </w:r>
      <w:r>
        <w:rPr>
          <w:sz w:val="24"/>
          <w:szCs w:val="24"/>
          <w:lang w:val="en-US" w:eastAsia="en-US" w:bidi="ar-SA"/>
        </w:rPr>
        <w:t xml:space="preserve"> The conflict that began on 28 February 2026 closed the Strait of Hormuz to most traffic for more than five months. The United States maintains a naval blockade of vessels calling at Iranian ports, reinstated on 14 July 2026, reports 48 vessels redirected since reinstatement, and disabled a third blockade-running vessel on 11 August 2026. United States Central Command states that the southern route through the strait remains free and open for commercial vessels and records more than one thousand assisted transits. Iran maintains de facto control of transit through the strait, designates its own routes, and has attacked, boarded, or seized vessels transiting without coordination, including a missile attack on a tanker of the United Arab Emirates on 8 August 2026. Traffic stands at roughly one quarter of pre-war volume.</w:t>
      </w:r>
    </w:p>
    <w:p>
      <w:pPr>
        <w:pStyle w:val="FirstParagraph"/>
      </w:pPr>
      <w:r>
        <w:rPr>
          <w:b/>
          <w:sz w:val="24"/>
          <w:szCs w:val="24"/>
          <w:lang w:val="en-US" w:eastAsia="en-US" w:bidi="ar-SA"/>
        </w:rPr>
        <w:t>The diplomatic situation.</w:t>
      </w:r>
      <w:r>
        <w:rPr>
          <w:sz w:val="24"/>
          <w:szCs w:val="24"/>
          <w:lang w:val="en-US" w:eastAsia="en-US" w:bidi="ar-SA"/>
        </w:rPr>
        <w:t xml:space="preserve"> Direct United States-Iran negotiations stand suspended, and messages pass through intermediaries. Iran and Oman stand in the final stages of an arrangement for the strait’s management, built on the agreed route geometry: inbound traffic through a northern lane in Iranian waters, outbound traffic through a southern lane in Omani waters, joint management arrangements in completion, no fees during an interim period, clearance of the median lane of mines within thirty days, and a contemplated joint announcement by Iran, Oman, the United States, and the International Maritime Organization. The Gulf Cooperation Council states endorse the emerging arrangement, and Iraq discusses a separate oil-export arrangement with Iran. On 11 August 2026 the secretary of Iran’s Supreme National Security Council stated that the strait remains closed until the United States ends the war and the blockade, releases frozen assets, pays compensation, lifts sanctions, and the regional conflicts, including Lebanon and Gaza, end. Saudi Arabia, Pakistan, and Turkiye have signed a joint defense agreement, reshaping the regional security picture around the negotiation. The Iranian parliament’s National Security Committee has approved general outlines of a strait management plan.</w:t>
      </w:r>
    </w:p>
    <w:p>
      <w:pPr>
        <w:pStyle w:val="FirstParagraph"/>
      </w:pPr>
      <w:r>
        <w:rPr>
          <w:b/>
          <w:sz w:val="24"/>
          <w:szCs w:val="24"/>
          <w:lang w:val="en-US" w:eastAsia="en-US" w:bidi="ar-SA"/>
        </w:rPr>
        <w:t>The stated positions.</w:t>
      </w:r>
      <w:r>
        <w:rPr>
          <w:sz w:val="24"/>
          <w:szCs w:val="24"/>
          <w:lang w:val="en-US" w:eastAsia="en-US" w:bidi="ar-SA"/>
        </w:rPr>
        <w:t xml:space="preserve"> Iran conditions full reopening on lifting of the blockade, compensation for war damage, lifting of sanctions, and release of frozen assets, and insists on a recognized role in the administration of the strait, including service charges after any interim period; Iranian officials speak of charges at five to seven percent of cargo value, Omani interlocutors discuss figures near three percent, and certain Iranian parliamentarians speak of barring vessels of states they class as hostile. The United States rejects any toll on passage, demands free and safe navigation, demands cessation of attacks on shipping, and has answered Iran’s compensation demand with a counter-demand for compensation. Oman opposes tolls and any arrangement that alters lane placement to impair transit passage, and insists on consultation with the other littoral states and the International Maritime Organization.</w:t>
      </w:r>
    </w:p>
    <w:p>
      <w:pPr>
        <w:pStyle w:val="FirstParagraph"/>
      </w:pPr>
      <w:r>
        <w:rPr>
          <w:b/>
          <w:sz w:val="24"/>
          <w:szCs w:val="24"/>
          <w:lang w:val="en-US" w:eastAsia="en-US" w:bidi="ar-SA"/>
        </w:rPr>
        <w:t>The design conclusion.</w:t>
      </w:r>
      <w:r>
        <w:rPr>
          <w:sz w:val="24"/>
          <w:szCs w:val="24"/>
          <w:lang w:val="en-US" w:eastAsia="en-US" w:bidi="ar-SA"/>
        </w:rPr>
        <w:t xml:space="preserve"> A single-stage treaty that resolves administration, fees, security, compensation, and sanctions in one text fails today, because each side reads any fixed allocation as the other side’s victory. A layered architecture that begins with cooperation too small to refuse, gates every expansion on verified stability, converts contested questions into earned positions, and reserves the permanent settlement for the point at which the water itself has testified, succeeds. This Accord is that architecture, and version 1.1 compresses its timeline to meet the current window: the strait reopens at Day 30 under the Fast-Track Interim Route, the fee question settles in simulation by Day 75, the humanitarian corridor operates from Day 0, and the permanent charter stands signature-ready by Day 120.</w:t>
      </w:r>
    </w:p>
    <w:bookmarkEnd w:id="26"/>
    <w:bookmarkStart w:id="27" w:name="preamble"/>
    <w:p>
      <w:pPr>
        <w:pStyle w:val="Heading1"/>
      </w:pPr>
      <w:r>
        <w:rPr>
          <w:lang w:val="en-US" w:eastAsia="en-US" w:bidi="ar-SA"/>
          <w:rFonts w:asciiTheme="majorHAnsi" w:cstheme="majorBidi" w:eastAsiaTheme="majorEastAsia" w:hAnsiTheme="majorHAnsi" w:ascii="Georgia" w:hAnsi="Georgia" w:eastAsia="Georgia" w:cs="Georgia"/>
          <w:b/>
          <w:color w:val="1F2D3D"/>
          <w:sz w:val="21"/>
          <w:szCs w:val="32"/>
        </w:rPr>
        <w:t>Preamble</w:t>
      </w:r>
    </w:p>
    <w:p>
      <w:pPr>
        <w:pStyle w:val="FirstParagraph"/>
      </w:pPr>
      <w:r>
        <w:rPr>
          <w:sz w:val="24"/>
          <w:szCs w:val="24"/>
          <w:lang w:val="en-US" w:eastAsia="en-US" w:bidi="ar-SA"/>
        </w:rPr>
        <w:t>The Islamic Republic of Iran and the Sultanate of Oman as Principal Parties; the United States of America, the State of Qatar, and the Islamic Republic of Pakistan as Guarantor Parties; joined by the acceding littoral states and the Observer Participants;</w:t>
      </w:r>
    </w:p>
    <w:p>
      <w:pPr>
        <w:pStyle w:val="FirstParagraph"/>
      </w:pPr>
      <w:r>
        <w:rPr>
          <w:sz w:val="24"/>
          <w:szCs w:val="24"/>
          <w:lang w:val="en-US" w:eastAsia="en-US" w:bidi="ar-SA"/>
        </w:rPr>
        <w:t>Recalling the conflict of 2026 and the closure and contested reopening of the Strait of Hormuz that followed it;</w:t>
      </w:r>
    </w:p>
    <w:p>
      <w:pPr>
        <w:pStyle w:val="FirstParagraph"/>
      </w:pPr>
      <w:r>
        <w:rPr>
          <w:sz w:val="24"/>
          <w:szCs w:val="24"/>
          <w:lang w:val="en-US" w:eastAsia="en-US" w:bidi="ar-SA"/>
        </w:rPr>
        <w:t>Recalling the memorandum of understanding of 17 June 2026, its ceasefire architecture, and its direction that the coastal states define the future administration and maritime services of the strait in discussion with the other littoral states, in line with applicable international law and the sovereign rights of the coastal states;</w:t>
      </w:r>
    </w:p>
    <w:p>
      <w:pPr>
        <w:pStyle w:val="FirstParagraph"/>
      </w:pPr>
      <w:r>
        <w:rPr>
          <w:sz w:val="24"/>
          <w:szCs w:val="24"/>
          <w:lang w:val="en-US" w:eastAsia="en-US" w:bidi="ar-SA"/>
        </w:rPr>
        <w:t>Acknowledging the technical agreement already reached between the coastal states on corridor geometry, entry and exit points, and routing logic;</w:t>
      </w:r>
    </w:p>
    <w:p>
      <w:pPr>
        <w:pStyle w:val="FirstParagraph"/>
      </w:pPr>
      <w:r>
        <w:rPr>
          <w:sz w:val="24"/>
          <w:szCs w:val="24"/>
          <w:lang w:val="en-US" w:eastAsia="en-US" w:bidi="ar-SA"/>
        </w:rPr>
        <w:t>Recognizing that the strait carries roughly one fifth of the world’s traded oil and one fifth of its liquefied natural gas, that twenty thousand mariners endured months stranded within its approaches, and that the world economy bears the cost of every hour of its closure;</w:t>
      </w:r>
    </w:p>
    <w:p>
      <w:pPr>
        <w:pStyle w:val="FirstParagraph"/>
      </w:pPr>
      <w:r>
        <w:rPr>
          <w:sz w:val="24"/>
          <w:szCs w:val="24"/>
          <w:lang w:val="en-US" w:eastAsia="en-US" w:bidi="ar-SA"/>
        </w:rPr>
        <w:t>Recognizing further that maximal positions on administration, fees, and security, imposed in a single stroke, produce winners, losers, and renewed conflict, while sequenced, measured, reversible cooperation produces facts on the water that no delegation disputes;</w:t>
      </w:r>
    </w:p>
    <w:p>
      <w:pPr>
        <w:pStyle w:val="FirstParagraph"/>
      </w:pPr>
      <w:r>
        <w:rPr>
          <w:sz w:val="24"/>
          <w:szCs w:val="24"/>
          <w:lang w:val="en-US" w:eastAsia="en-US" w:bidi="ar-SA"/>
        </w:rPr>
        <w:t>Affirming that freedom of navigation through the strait serves every nation, and that the coastal states’ stewardship of that freedom deserves recognition, structure, and recompense for services genuinely rendered;</w:t>
      </w:r>
    </w:p>
    <w:p>
      <w:pPr>
        <w:pStyle w:val="FirstParagraph"/>
      </w:pPr>
      <w:r>
        <w:rPr>
          <w:sz w:val="24"/>
          <w:szCs w:val="24"/>
          <w:lang w:val="en-US" w:eastAsia="en-US" w:bidi="ar-SA"/>
        </w:rPr>
        <w:t>Convinced that a governance system which grows a Party’s authority in proportion to verified good conduct converts rivalry into investment, converts suspicion into measurement, and converts the question of who moves first into a synchronized first step that all sides take together;</w:t>
      </w:r>
    </w:p>
    <w:p>
      <w:pPr>
        <w:pStyle w:val="FirstParagraph"/>
      </w:pPr>
      <w:r>
        <w:rPr>
          <w:sz w:val="24"/>
          <w:szCs w:val="24"/>
          <w:lang w:val="en-US" w:eastAsia="en-US" w:bidi="ar-SA"/>
        </w:rPr>
        <w:t>Determined to keep every nuclear question on its own separate track, firewalled in full from the maritime architecture this Accord builds;</w:t>
      </w:r>
    </w:p>
    <w:p>
      <w:pPr>
        <w:pStyle w:val="FirstParagraph"/>
      </w:pPr>
      <w:r>
        <w:rPr>
          <w:sz w:val="24"/>
          <w:szCs w:val="24"/>
          <w:lang w:val="en-US" w:eastAsia="en-US" w:bidi="ar-SA"/>
        </w:rPr>
        <w:t>Determined equally that no dispute over compensation, sanctions, or force posture blocks the restoration of safe passage, and that reciprocal, evidence-based mechanisms answer every claim that any Party brings;</w:t>
      </w:r>
    </w:p>
    <w:p>
      <w:pPr>
        <w:pStyle w:val="FirstParagraph"/>
      </w:pPr>
      <w:r>
        <w:rPr>
          <w:sz w:val="24"/>
          <w:szCs w:val="24"/>
          <w:lang w:val="en-US" w:eastAsia="en-US" w:bidi="ar-SA"/>
        </w:rPr>
        <w:t>Hereby establish the Solh-e Tadriji Accord: gradual peace, built layer upon layer, gate upon gate, until the strait stands permanently open under the shared stewardship of its coastal states.</w:t>
      </w:r>
    </w:p>
    <w:bookmarkEnd w:id="27"/>
    <w:bookmarkStart w:id="28" w:name="the-red-lines-register-summary"/>
    <w:p>
      <w:pPr>
        <w:pStyle w:val="Heading1"/>
      </w:pPr>
      <w:r>
        <w:rPr>
          <w:lang w:val="en-US" w:eastAsia="en-US" w:bidi="ar-SA"/>
          <w:rFonts w:asciiTheme="majorHAnsi" w:cstheme="majorBidi" w:eastAsiaTheme="majorEastAsia" w:hAnsiTheme="majorHAnsi"/>
          <w:b/>
          <w:color w:themeColor="accent1"/>
          <w:sz w:val="32"/>
          <w:szCs w:val="32"/>
        </w:rPr>
        <w:t>The Red Lines Register (Summary)</w:t>
      </w:r>
    </w:p>
    <w:p>
      <w:pPr>
        <w:pStyle w:val="FirstParagraph"/>
      </w:pPr>
      <w:r>
        <w:rPr>
          <w:sz w:val="24"/>
          <w:szCs w:val="24"/>
          <w:lang w:val="en-US" w:eastAsia="en-US" w:bidi="ar-SA"/>
        </w:rPr>
        <w:t>This Accord registers eighteen red lines in Annex G in full operative text. Each red line names a protected interest and the architectural safeguard that holds the line without daily political effort. No provision of this Accord, and no act under it, crosses a registered line. The Register amends only by unanimity of the Principal Parties and the Guarantor Parties. A public statement outside the Register carries no operative weight. In summary:</w:t>
      </w:r>
    </w:p>
    <w:p>
      <w:pPr>
        <w:numPr>
          <w:ilvl w:val="0"/>
          <w:numId w:val="1001"/>
        </w:numPr>
        <w:pStyle w:val="Compact"/>
      </w:pPr>
      <w:r>
        <w:rPr>
          <w:sz w:val="24"/>
          <w:szCs w:val="24"/>
          <w:lang w:val="en-US" w:eastAsia="en-US" w:bidi="ar-SA"/>
        </w:rPr>
        <w:t>RL-1: No charge of any kind attaches to the act of transit.</w:t>
      </w:r>
    </w:p>
    <w:p>
      <w:pPr>
        <w:numPr>
          <w:ilvl w:val="0"/>
          <w:numId w:val="1001"/>
        </w:numPr>
        <w:pStyle w:val="Compact"/>
      </w:pPr>
      <w:r>
        <w:rPr>
          <w:sz w:val="24"/>
          <w:szCs w:val="24"/>
          <w:lang w:val="en-US" w:eastAsia="en-US" w:bidi="ar-SA"/>
        </w:rPr>
        <w:t>RL-2: The Southern Assurance Passage transits unconditionally, without any notification layer.</w:t>
      </w:r>
    </w:p>
    <w:p>
      <w:pPr>
        <w:numPr>
          <w:ilvl w:val="0"/>
          <w:numId w:val="1001"/>
        </w:numPr>
        <w:pStyle w:val="Compact"/>
      </w:pPr>
      <w:r>
        <w:rPr>
          <w:sz w:val="24"/>
          <w:szCs w:val="24"/>
          <w:lang w:val="en-US" w:eastAsia="en-US" w:bidi="ar-SA"/>
        </w:rPr>
        <w:t>RL-3: The northern littoral holds a recognized, formal, continuous management role.</w:t>
      </w:r>
    </w:p>
    <w:p>
      <w:pPr>
        <w:numPr>
          <w:ilvl w:val="0"/>
          <w:numId w:val="1001"/>
        </w:numPr>
        <w:pStyle w:val="Compact"/>
      </w:pPr>
      <w:r>
        <w:rPr>
          <w:sz w:val="24"/>
          <w:szCs w:val="24"/>
          <w:lang w:val="en-US" w:eastAsia="en-US" w:bidi="ar-SA"/>
        </w:rPr>
        <w:t>RL-4: No permission regime operates anywhere in this framework.</w:t>
      </w:r>
    </w:p>
    <w:p>
      <w:pPr>
        <w:numPr>
          <w:ilvl w:val="0"/>
          <w:numId w:val="1001"/>
        </w:numPr>
        <w:pStyle w:val="Compact"/>
      </w:pPr>
      <w:r>
        <w:rPr>
          <w:sz w:val="24"/>
          <w:szCs w:val="24"/>
          <w:lang w:val="en-US" w:eastAsia="en-US" w:bidi="ar-SA"/>
        </w:rPr>
        <w:t>RL-5: No boarding, diversion, seizure, or inspection occurs inside a passage.</w:t>
      </w:r>
    </w:p>
    <w:p>
      <w:pPr>
        <w:numPr>
          <w:ilvl w:val="0"/>
          <w:numId w:val="1001"/>
        </w:numPr>
        <w:pStyle w:val="Compact"/>
      </w:pPr>
      <w:r>
        <w:rPr>
          <w:sz w:val="24"/>
          <w:szCs w:val="24"/>
          <w:lang w:val="en-US" w:eastAsia="en-US" w:bidi="ar-SA"/>
        </w:rPr>
        <w:t>RL-6: The framework’s operational bodies remain civilian.</w:t>
      </w:r>
    </w:p>
    <w:p>
      <w:pPr>
        <w:numPr>
          <w:ilvl w:val="0"/>
          <w:numId w:val="1001"/>
        </w:numPr>
        <w:pStyle w:val="Compact"/>
      </w:pPr>
      <w:r>
        <w:rPr>
          <w:sz w:val="24"/>
          <w:szCs w:val="24"/>
          <w:lang w:val="en-US" w:eastAsia="en-US" w:bidi="ar-SA"/>
        </w:rPr>
        <w:t>RL-7: No shipper or operator pays any Party directly for anything.</w:t>
      </w:r>
    </w:p>
    <w:p>
      <w:pPr>
        <w:numPr>
          <w:ilvl w:val="0"/>
          <w:numId w:val="1001"/>
        </w:numPr>
        <w:pStyle w:val="Compact"/>
      </w:pPr>
      <w:r>
        <w:rPr>
          <w:sz w:val="24"/>
          <w:szCs w:val="24"/>
          <w:lang w:val="en-US" w:eastAsia="en-US" w:bidi="ar-SA"/>
        </w:rPr>
        <w:t>RL-8: Each Party’s sovereignty over its own waters stands intact.</w:t>
      </w:r>
    </w:p>
    <w:p>
      <w:pPr>
        <w:numPr>
          <w:ilvl w:val="0"/>
          <w:numId w:val="1001"/>
        </w:numPr>
        <w:pStyle w:val="Compact"/>
      </w:pPr>
      <w:r>
        <w:rPr>
          <w:sz w:val="24"/>
          <w:szCs w:val="24"/>
          <w:lang w:val="en-US" w:eastAsia="en-US" w:bidi="ar-SA"/>
        </w:rPr>
        <w:t>RL-9: No commitment expires silently.</w:t>
      </w:r>
    </w:p>
    <w:p>
      <w:pPr>
        <w:numPr>
          <w:ilvl w:val="0"/>
          <w:numId w:val="1001"/>
        </w:numPr>
        <w:pStyle w:val="Compact"/>
      </w:pPr>
      <w:r>
        <w:rPr>
          <w:sz w:val="24"/>
          <w:szCs w:val="24"/>
          <w:lang w:val="en-US" w:eastAsia="en-US" w:bidi="ar-SA"/>
        </w:rPr>
        <w:t>RL-10: Humanitarian traffic moves in every flow state.</w:t>
      </w:r>
    </w:p>
    <w:p>
      <w:pPr>
        <w:numPr>
          <w:ilvl w:val="0"/>
          <w:numId w:val="1001"/>
        </w:numPr>
        <w:pStyle w:val="Compact"/>
      </w:pPr>
      <w:r>
        <w:rPr>
          <w:sz w:val="24"/>
          <w:szCs w:val="24"/>
          <w:lang w:val="en-US" w:eastAsia="en-US" w:bidi="ar-SA"/>
        </w:rPr>
        <w:t>RL-11: No finding of fact rests on a single input.</w:t>
      </w:r>
    </w:p>
    <w:p>
      <w:pPr>
        <w:numPr>
          <w:ilvl w:val="0"/>
          <w:numId w:val="1001"/>
        </w:numPr>
        <w:pStyle w:val="Compact"/>
      </w:pPr>
      <w:r>
        <w:rPr>
          <w:sz w:val="24"/>
          <w:szCs w:val="24"/>
          <w:lang w:val="en-US" w:eastAsia="en-US" w:bidi="ar-SA"/>
        </w:rPr>
        <w:t>RL-12: Framework assets never support kinetic action by any actor.</w:t>
      </w:r>
    </w:p>
    <w:p>
      <w:pPr>
        <w:numPr>
          <w:ilvl w:val="0"/>
          <w:numId w:val="1001"/>
        </w:numPr>
        <w:pStyle w:val="Compact"/>
      </w:pPr>
      <w:r>
        <w:rPr>
          <w:sz w:val="24"/>
          <w:szCs w:val="24"/>
          <w:lang w:val="en-US" w:eastAsia="en-US" w:bidi="ar-SA"/>
        </w:rPr>
        <w:t>RL-13: No single coastal state governs the strait alone.</w:t>
      </w:r>
    </w:p>
    <w:p>
      <w:pPr>
        <w:numPr>
          <w:ilvl w:val="0"/>
          <w:numId w:val="1001"/>
        </w:numPr>
        <w:pStyle w:val="Compact"/>
      </w:pPr>
      <w:r>
        <w:rPr>
          <w:sz w:val="24"/>
          <w:szCs w:val="24"/>
          <w:lang w:val="en-US" w:eastAsia="en-US" w:bidi="ar-SA"/>
        </w:rPr>
        <w:t>RL-14: No external state commands any element of this framework.</w:t>
      </w:r>
    </w:p>
    <w:p>
      <w:pPr>
        <w:numPr>
          <w:ilvl w:val="0"/>
          <w:numId w:val="1001"/>
        </w:numPr>
        <w:pStyle w:val="Compact"/>
      </w:pPr>
      <w:r>
        <w:rPr>
          <w:sz w:val="24"/>
          <w:szCs w:val="24"/>
          <w:lang w:val="en-US" w:eastAsia="en-US" w:bidi="ar-SA"/>
        </w:rPr>
        <w:t>RL-15: The nuclear file remains firewalled from this Accord in both directions.</w:t>
      </w:r>
    </w:p>
    <w:p>
      <w:pPr>
        <w:numPr>
          <w:ilvl w:val="0"/>
          <w:numId w:val="1001"/>
        </w:numPr>
        <w:pStyle w:val="Compact"/>
      </w:pPr>
      <w:r>
        <w:rPr>
          <w:sz w:val="24"/>
          <w:szCs w:val="24"/>
          <w:lang w:val="en-US" w:eastAsia="en-US" w:bidi="ar-SA"/>
        </w:rPr>
        <w:t>RL-16: No commercial vessel faces exclusion by reason of flag or nationality.</w:t>
      </w:r>
    </w:p>
    <w:p>
      <w:pPr>
        <w:numPr>
          <w:ilvl w:val="0"/>
          <w:numId w:val="1001"/>
        </w:numPr>
        <w:pStyle w:val="Compact"/>
      </w:pPr>
      <w:r>
        <w:rPr>
          <w:sz w:val="24"/>
          <w:szCs w:val="24"/>
          <w:lang w:val="en-US" w:eastAsia="en-US" w:bidi="ar-SA"/>
        </w:rPr>
        <w:t>RL-17: Every step-back carries a defined, automatic earn-back path.</w:t>
      </w:r>
    </w:p>
    <w:p>
      <w:pPr>
        <w:numPr>
          <w:ilvl w:val="0"/>
          <w:numId w:val="1001"/>
        </w:numPr>
        <w:pStyle w:val="Compact"/>
      </w:pPr>
      <w:r>
        <w:rPr>
          <w:sz w:val="24"/>
          <w:szCs w:val="24"/>
          <w:lang w:val="en-US" w:eastAsia="en-US" w:bidi="ar-SA"/>
        </w:rPr>
        <w:t>RL-18: Every gate certifies by measurement, never by political decision.</w:t>
      </w:r>
    </w:p>
    <w:bookmarkEnd w:id="28"/>
    <w:bookmarkStart w:id="29" w:name="the-architecture-at-a-glance"/>
    <w:p>
      <w:pPr>
        <w:pStyle w:val="Heading1"/>
      </w:pPr>
      <w:r>
        <w:rPr>
          <w:lang w:val="en-US" w:eastAsia="en-US" w:bidi="ar-SA"/>
          <w:rFonts w:asciiTheme="majorHAnsi" w:cstheme="majorBidi" w:eastAsiaTheme="majorEastAsia" w:hAnsiTheme="majorHAnsi"/>
          <w:b/>
          <w:color w:themeColor="accent1"/>
          <w:sz w:val="32"/>
          <w:szCs w:val="32"/>
        </w:rPr>
        <w:t>The Architecture at a Glance</w:t>
      </w:r>
    </w:p>
    <w:p>
      <w:pPr>
        <w:pStyle w:val="FirstParagraph"/>
      </w:pPr>
      <w:r>
        <w:rPr>
          <w:sz w:val="24"/>
          <w:szCs w:val="24"/>
          <w:lang w:val="en-US" w:eastAsia="en-US" w:bidi="ar-SA"/>
        </w:rPr>
        <w:t>The Accord builds governance in six layers, each sealed by a gate that certifies stability before the next layer opens. Layers activate concurrently under the doctrine of Article 7.6, and the full architecture completes in 120 days. The sequence follows the proven logic of every stabilized multi-sovereign chokepoint: visibility before movement, movement before money, money before authority, authority before permanence.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1"/>
        </w:trPr>
        <w:tc>
          <w:tcPr>
            <w:tcW w:w="1584" w:type="dxa"/>
          </w:tcPr>
          <w:p>
            <w:pPr>
              <w:pStyle w:val="Compact"/>
              <w:jc w:val="left"/>
            </w:pPr>
            <w:r>
              <w:rPr>
                <w:sz w:val="24"/>
                <w:szCs w:val="24"/>
                <w:lang w:val="en-US" w:eastAsia="en-US" w:bidi="ar-SA"/>
              </w:rPr>
              <w:t>Layer</w:t>
            </w:r>
          </w:p>
        </w:tc>
        <w:tc>
          <w:tcPr>
            <w:tcW w:w="1584" w:type="dxa"/>
          </w:tcPr>
          <w:p>
            <w:pPr>
              <w:pStyle w:val="Compact"/>
              <w:jc w:val="left"/>
            </w:pPr>
            <w:r>
              <w:rPr>
                <w:sz w:val="24"/>
                <w:szCs w:val="24"/>
                <w:lang w:val="en-US" w:eastAsia="en-US" w:bidi="ar-SA"/>
              </w:rPr>
              <w:t>Name</w:t>
            </w:r>
          </w:p>
        </w:tc>
        <w:tc>
          <w:tcPr>
            <w:tcW w:w="1584" w:type="dxa"/>
          </w:tcPr>
          <w:p>
            <w:pPr>
              <w:pStyle w:val="Compact"/>
              <w:jc w:val="left"/>
            </w:pPr>
            <w:r>
              <w:rPr>
                <w:sz w:val="24"/>
                <w:szCs w:val="24"/>
                <w:lang w:val="en-US" w:eastAsia="en-US" w:bidi="ar-SA"/>
              </w:rPr>
              <w:t>Window</w:t>
            </w:r>
          </w:p>
        </w:tc>
        <w:tc>
          <w:tcPr>
            <w:tcW w:w="1584" w:type="dxa"/>
          </w:tcPr>
          <w:p>
            <w:pPr>
              <w:pStyle w:val="Compact"/>
              <w:jc w:val="left"/>
            </w:pPr>
            <w:r>
              <w:rPr>
                <w:sz w:val="24"/>
                <w:szCs w:val="24"/>
                <w:lang w:val="en-US" w:eastAsia="en-US" w:bidi="ar-SA"/>
              </w:rPr>
              <w:t>Core content</w:t>
            </w:r>
          </w:p>
        </w:tc>
        <w:tc>
          <w:tcPr>
            <w:tcW w:w="1584" w:type="dxa"/>
          </w:tcPr>
          <w:p>
            <w:pPr>
              <w:pStyle w:val="Compact"/>
              <w:jc w:val="left"/>
            </w:pPr>
            <w:r>
              <w:rPr>
                <w:sz w:val="24"/>
                <w:szCs w:val="24"/>
                <w:lang w:val="en-US" w:eastAsia="en-US" w:bidi="ar-SA"/>
              </w:rPr>
              <w:t>Gate</w:t>
            </w:r>
          </w:p>
        </w:tc>
      </w:tr>
      <w:tr>
        <w:tc>
          <w:tcPr>
            <w:tcW w:w="1584" w:type="dxa"/>
          </w:tcPr>
          <w:p>
            <w:pPr>
              <w:pStyle w:val="Compact"/>
              <w:jc w:val="left"/>
            </w:pPr>
            <w:r>
              <w:rPr>
                <w:sz w:val="24"/>
                <w:szCs w:val="24"/>
                <w:lang w:val="en-US" w:eastAsia="en-US" w:bidi="ar-SA"/>
              </w:rPr>
              <w:t>L-0</w:t>
            </w:r>
          </w:p>
        </w:tc>
        <w:tc>
          <w:tcPr>
            <w:tcW w:w="1584" w:type="dxa"/>
          </w:tcPr>
          <w:p>
            <w:pPr>
              <w:pStyle w:val="Compact"/>
              <w:jc w:val="left"/>
            </w:pPr>
            <w:r>
              <w:rPr>
                <w:sz w:val="24"/>
                <w:szCs w:val="24"/>
                <w:lang w:val="en-US" w:eastAsia="en-US" w:bidi="ar-SA"/>
              </w:rPr>
              <w:t>The Micro-Exercise Lattice</w:t>
            </w:r>
          </w:p>
        </w:tc>
        <w:tc>
          <w:tcPr>
            <w:tcW w:w="1584" w:type="dxa"/>
          </w:tcPr>
          <w:p>
            <w:pPr>
              <w:pStyle w:val="Compact"/>
              <w:jc w:val="left"/>
            </w:pPr>
            <w:r>
              <w:rPr>
                <w:sz w:val="24"/>
                <w:szCs w:val="24"/>
                <w:lang w:val="en-US" w:eastAsia="en-US" w:bidi="ar-SA"/>
              </w:rPr>
              <w:t>Days 0 to 30</w:t>
            </w:r>
          </w:p>
        </w:tc>
        <w:tc>
          <w:tcPr>
            <w:tcW w:w="1584" w:type="dxa"/>
          </w:tcPr>
          <w:p>
            <w:pPr>
              <w:pStyle w:val="Compact"/>
              <w:jc w:val="left"/>
            </w:pPr>
            <w:r>
              <w:rPr>
                <w:sz w:val="24"/>
                <w:szCs w:val="24"/>
                <w:lang w:val="en-US" w:eastAsia="en-US" w:bidi="ar-SA"/>
              </w:rPr>
              <w:t>Fifty micro-exercises in five sub-layers; the four-person Lattice Cell; zero authority, zero enforcement, full reversibility</w:t>
            </w:r>
          </w:p>
        </w:tc>
        <w:tc>
          <w:tcPr>
            <w:tcW w:w="1584" w:type="dxa"/>
          </w:tcPr>
          <w:p>
            <w:pPr>
              <w:pStyle w:val="Compact"/>
              <w:jc w:val="left"/>
            </w:pPr>
            <w:r>
              <w:rPr>
                <w:sz w:val="24"/>
                <w:szCs w:val="24"/>
                <w:lang w:val="en-US" w:eastAsia="en-US" w:bidi="ar-SA"/>
              </w:rPr>
              <w:t>G-0 First Stability Audit</w:t>
            </w:r>
          </w:p>
        </w:tc>
      </w:tr>
      <w:tr>
        <w:tc>
          <w:tcPr>
            <w:tcW w:w="1584" w:type="dxa"/>
          </w:tcPr>
          <w:p>
            <w:pPr>
              <w:pStyle w:val="Compact"/>
              <w:jc w:val="left"/>
            </w:pPr>
            <w:r>
              <w:rPr>
                <w:sz w:val="24"/>
                <w:szCs w:val="24"/>
                <w:lang w:val="en-US" w:eastAsia="en-US" w:bidi="ar-SA"/>
              </w:rPr>
              <w:t>L-1</w:t>
            </w:r>
          </w:p>
        </w:tc>
        <w:tc>
          <w:tcPr>
            <w:tcW w:w="1584" w:type="dxa"/>
          </w:tcPr>
          <w:p>
            <w:pPr>
              <w:pStyle w:val="Compact"/>
              <w:jc w:val="left"/>
            </w:pPr>
            <w:r>
              <w:rPr>
                <w:sz w:val="24"/>
                <w:szCs w:val="24"/>
                <w:lang w:val="en-US" w:eastAsia="en-US" w:bidi="ar-SA"/>
              </w:rPr>
              <w:t>The Shared Data Layer</w:t>
            </w:r>
          </w:p>
        </w:tc>
        <w:tc>
          <w:tcPr>
            <w:tcW w:w="1584" w:type="dxa"/>
          </w:tcPr>
          <w:p>
            <w:pPr>
              <w:pStyle w:val="Compact"/>
              <w:jc w:val="left"/>
            </w:pPr>
            <w:r>
              <w:rPr>
                <w:sz w:val="24"/>
                <w:szCs w:val="24"/>
                <w:lang w:val="en-US" w:eastAsia="en-US" w:bidi="ar-SA"/>
              </w:rPr>
              <w:t>Days 0 to 45</w:t>
            </w:r>
          </w:p>
        </w:tc>
        <w:tc>
          <w:tcPr>
            <w:tcW w:w="1584" w:type="dxa"/>
          </w:tcPr>
          <w:p>
            <w:pPr>
              <w:pStyle w:val="Compact"/>
              <w:jc w:val="left"/>
            </w:pPr>
            <w:r>
              <w:rPr>
                <w:sz w:val="24"/>
                <w:szCs w:val="24"/>
                <w:lang w:val="en-US" w:eastAsia="en-US" w:bidi="ar-SA"/>
              </w:rPr>
              <w:t>Joint visibility system; mirrored data exchange; data custody rules; public Open Water Bulletin; Fast-Track Interim Route opens at Day 30; Early Fee Simulation runs Days 30 to 75</w:t>
            </w:r>
          </w:p>
        </w:tc>
        <w:tc>
          <w:tcPr>
            <w:tcW w:w="1584" w:type="dxa"/>
          </w:tcPr>
          <w:p>
            <w:pPr>
              <w:pStyle w:val="Compact"/>
              <w:jc w:val="left"/>
            </w:pPr>
            <w:r>
              <w:rPr>
                <w:sz w:val="24"/>
                <w:szCs w:val="24"/>
                <w:lang w:val="en-US" w:eastAsia="en-US" w:bidi="ar-SA"/>
              </w:rPr>
              <w:t>G-1 Data Integrity Audit</w:t>
            </w:r>
          </w:p>
        </w:tc>
      </w:tr>
      <w:tr>
        <w:tc>
          <w:tcPr>
            <w:tcW w:w="1584" w:type="dxa"/>
          </w:tcPr>
          <w:p>
            <w:pPr>
              <w:pStyle w:val="Compact"/>
              <w:jc w:val="left"/>
            </w:pPr>
            <w:r>
              <w:rPr>
                <w:sz w:val="24"/>
                <w:szCs w:val="24"/>
                <w:lang w:val="en-US" w:eastAsia="en-US" w:bidi="ar-SA"/>
              </w:rPr>
              <w:t>L-2</w:t>
            </w:r>
          </w:p>
        </w:tc>
        <w:tc>
          <w:tcPr>
            <w:tcW w:w="1584" w:type="dxa"/>
          </w:tcPr>
          <w:p>
            <w:pPr>
              <w:pStyle w:val="Compact"/>
              <w:jc w:val="left"/>
            </w:pPr>
            <w:r>
              <w:rPr>
                <w:sz w:val="24"/>
                <w:szCs w:val="24"/>
                <w:lang w:val="en-US" w:eastAsia="en-US" w:bidi="ar-SA"/>
              </w:rPr>
              <w:t>The Coordinated Routing Layer</w:t>
            </w:r>
          </w:p>
        </w:tc>
        <w:tc>
          <w:tcPr>
            <w:tcW w:w="1584" w:type="dxa"/>
          </w:tcPr>
          <w:p>
            <w:pPr>
              <w:pStyle w:val="Compact"/>
              <w:jc w:val="left"/>
            </w:pPr>
            <w:r>
              <w:rPr>
                <w:sz w:val="24"/>
                <w:szCs w:val="24"/>
                <w:lang w:val="en-US" w:eastAsia="en-US" w:bidi="ar-SA"/>
              </w:rPr>
              <w:t>Days 15 to 60</w:t>
            </w:r>
          </w:p>
        </w:tc>
        <w:tc>
          <w:tcPr>
            <w:tcW w:w="1584" w:type="dxa"/>
          </w:tcPr>
          <w:p>
            <w:pPr>
              <w:pStyle w:val="Compact"/>
              <w:jc w:val="left"/>
            </w:pPr>
            <w:r>
              <w:rPr>
                <w:sz w:val="24"/>
                <w:szCs w:val="24"/>
                <w:lang w:val="en-US" w:eastAsia="en-US" w:bidi="ar-SA"/>
              </w:rPr>
              <w:t>Three-corridor system on agreed coordinates; notification protocol; non-interdiction; lead escorts; mine clearance; blockade drawdown completes</w:t>
            </w:r>
          </w:p>
        </w:tc>
        <w:tc>
          <w:tcPr>
            <w:tcW w:w="1584" w:type="dxa"/>
          </w:tcPr>
          <w:p>
            <w:pPr>
              <w:pStyle w:val="Compact"/>
              <w:jc w:val="left"/>
            </w:pPr>
            <w:r>
              <w:rPr>
                <w:sz w:val="24"/>
                <w:szCs w:val="24"/>
                <w:lang w:val="en-US" w:eastAsia="en-US" w:bidi="ar-SA"/>
              </w:rPr>
              <w:t>G-2 Corridor Stability Audit</w:t>
            </w:r>
          </w:p>
        </w:tc>
      </w:tr>
      <w:tr>
        <w:tc>
          <w:tcPr>
            <w:tcW w:w="1584" w:type="dxa"/>
          </w:tcPr>
          <w:p>
            <w:pPr>
              <w:pStyle w:val="Compact"/>
              <w:jc w:val="left"/>
            </w:pPr>
            <w:r>
              <w:rPr>
                <w:sz w:val="24"/>
                <w:szCs w:val="24"/>
                <w:lang w:val="en-US" w:eastAsia="en-US" w:bidi="ar-SA"/>
              </w:rPr>
              <w:t>L-3</w:t>
            </w:r>
          </w:p>
        </w:tc>
        <w:tc>
          <w:tcPr>
            <w:tcW w:w="1584" w:type="dxa"/>
          </w:tcPr>
          <w:p>
            <w:pPr>
              <w:pStyle w:val="Compact"/>
              <w:jc w:val="left"/>
            </w:pPr>
            <w:r>
              <w:rPr>
                <w:sz w:val="24"/>
                <w:szCs w:val="24"/>
                <w:lang w:val="en-US" w:eastAsia="en-US" w:bidi="ar-SA"/>
              </w:rPr>
              <w:t>The Revenue and Services Layer</w:t>
            </w:r>
          </w:p>
        </w:tc>
        <w:tc>
          <w:tcPr>
            <w:tcW w:w="1584" w:type="dxa"/>
          </w:tcPr>
          <w:p>
            <w:pPr>
              <w:pStyle w:val="Compact"/>
              <w:jc w:val="left"/>
            </w:pPr>
            <w:r>
              <w:rPr>
                <w:sz w:val="24"/>
                <w:szCs w:val="24"/>
                <w:lang w:val="en-US" w:eastAsia="en-US" w:bidi="ar-SA"/>
              </w:rPr>
              <w:t>Days 30 to 90</w:t>
            </w:r>
          </w:p>
        </w:tc>
        <w:tc>
          <w:tcPr>
            <w:tcW w:w="1584" w:type="dxa"/>
          </w:tcPr>
          <w:p>
            <w:pPr>
              <w:pStyle w:val="Compact"/>
              <w:jc w:val="left"/>
            </w:pPr>
            <w:r>
              <w:rPr>
                <w:sz w:val="24"/>
                <w:szCs w:val="24"/>
                <w:lang w:val="en-US" w:eastAsia="en-US" w:bidi="ar-SA"/>
              </w:rPr>
              <w:t>Zero-toll rule; fee simulation; Verified Services Catalog; neutral escrow; sanctions-compliance firewall</w:t>
            </w:r>
          </w:p>
        </w:tc>
        <w:tc>
          <w:tcPr>
            <w:tcW w:w="1584" w:type="dxa"/>
          </w:tcPr>
          <w:p>
            <w:pPr>
              <w:pStyle w:val="Compact"/>
              <w:jc w:val="left"/>
            </w:pPr>
            <w:r>
              <w:rPr>
                <w:sz w:val="24"/>
                <w:szCs w:val="24"/>
                <w:lang w:val="en-US" w:eastAsia="en-US" w:bidi="ar-SA"/>
              </w:rPr>
              <w:t>G-3 Financial Integrity Audit</w:t>
            </w:r>
          </w:p>
        </w:tc>
      </w:tr>
      <w:tr>
        <w:tc>
          <w:tcPr>
            <w:tcW w:w="1584" w:type="dxa"/>
          </w:tcPr>
          <w:p>
            <w:pPr>
              <w:pStyle w:val="Compact"/>
              <w:jc w:val="left"/>
            </w:pPr>
            <w:r>
              <w:rPr>
                <w:sz w:val="24"/>
                <w:szCs w:val="24"/>
                <w:lang w:val="en-US" w:eastAsia="en-US" w:bidi="ar-SA"/>
              </w:rPr>
              <w:t>L-4</w:t>
            </w:r>
          </w:p>
        </w:tc>
        <w:tc>
          <w:tcPr>
            <w:tcW w:w="1584" w:type="dxa"/>
          </w:tcPr>
          <w:p>
            <w:pPr>
              <w:pStyle w:val="Compact"/>
              <w:jc w:val="left"/>
            </w:pPr>
            <w:r>
              <w:rPr>
                <w:sz w:val="24"/>
                <w:szCs w:val="24"/>
                <w:lang w:val="en-US" w:eastAsia="en-US" w:bidi="ar-SA"/>
              </w:rPr>
              <w:t>The Joint Oversight Layer</w:t>
            </w:r>
          </w:p>
        </w:tc>
        <w:tc>
          <w:tcPr>
            <w:tcW w:w="1584" w:type="dxa"/>
          </w:tcPr>
          <w:p>
            <w:pPr>
              <w:pStyle w:val="Compact"/>
              <w:jc w:val="left"/>
            </w:pPr>
            <w:r>
              <w:rPr>
                <w:sz w:val="24"/>
                <w:szCs w:val="24"/>
                <w:lang w:val="en-US" w:eastAsia="en-US" w:bidi="ar-SA"/>
              </w:rPr>
              <w:t>Days 45 to 105</w:t>
            </w:r>
          </w:p>
        </w:tc>
        <w:tc>
          <w:tcPr>
            <w:tcW w:w="1584" w:type="dxa"/>
          </w:tcPr>
          <w:p>
            <w:pPr>
              <w:pStyle w:val="Compact"/>
              <w:jc w:val="left"/>
            </w:pPr>
            <w:r>
              <w:rPr>
                <w:sz w:val="24"/>
                <w:szCs w:val="24"/>
                <w:lang w:val="en-US" w:eastAsia="en-US" w:bidi="ar-SA"/>
              </w:rPr>
              <w:t>Permanent institutions; the Graduated Trust Escalator; Twin Key; dispute ladder; tribunal; Mutual Claims Commission</w:t>
            </w:r>
          </w:p>
        </w:tc>
        <w:tc>
          <w:tcPr>
            <w:tcW w:w="1584" w:type="dxa"/>
          </w:tcPr>
          <w:p>
            <w:pPr>
              <w:pStyle w:val="Compact"/>
              <w:jc w:val="left"/>
            </w:pPr>
            <w:r>
              <w:rPr>
                <w:sz w:val="24"/>
                <w:szCs w:val="24"/>
                <w:lang w:val="en-US" w:eastAsia="en-US" w:bidi="ar-SA"/>
              </w:rPr>
              <w:t>G-4 Governance Stability Audit</w:t>
            </w:r>
          </w:p>
        </w:tc>
      </w:tr>
      <w:tr>
        <w:tc>
          <w:tcPr>
            <w:tcW w:w="1584" w:type="dxa"/>
          </w:tcPr>
          <w:p>
            <w:pPr>
              <w:pStyle w:val="Compact"/>
              <w:jc w:val="left"/>
            </w:pPr>
            <w:r>
              <w:rPr>
                <w:sz w:val="24"/>
                <w:szCs w:val="24"/>
                <w:lang w:val="en-US" w:eastAsia="en-US" w:bidi="ar-SA"/>
              </w:rPr>
              <w:t>L-5</w:t>
            </w:r>
          </w:p>
        </w:tc>
        <w:tc>
          <w:tcPr>
            <w:tcW w:w="1584" w:type="dxa"/>
          </w:tcPr>
          <w:p>
            <w:pPr>
              <w:pStyle w:val="Compact"/>
              <w:jc w:val="left"/>
            </w:pPr>
            <w:r>
              <w:rPr>
                <w:sz w:val="24"/>
                <w:szCs w:val="24"/>
                <w:lang w:val="en-US" w:eastAsia="en-US" w:bidi="ar-SA"/>
              </w:rPr>
              <w:t>The Permanent Charter</w:t>
            </w:r>
          </w:p>
        </w:tc>
        <w:tc>
          <w:tcPr>
            <w:tcW w:w="1584" w:type="dxa"/>
          </w:tcPr>
          <w:p>
            <w:pPr>
              <w:pStyle w:val="Compact"/>
              <w:jc w:val="left"/>
            </w:pPr>
            <w:r>
              <w:rPr>
                <w:sz w:val="24"/>
                <w:szCs w:val="24"/>
                <w:lang w:val="en-US" w:eastAsia="en-US" w:bidi="ar-SA"/>
              </w:rPr>
              <w:t>Days 90 to 120</w:t>
            </w:r>
          </w:p>
        </w:tc>
        <w:tc>
          <w:tcPr>
            <w:tcW w:w="1584" w:type="dxa"/>
          </w:tcPr>
          <w:p>
            <w:pPr>
              <w:pStyle w:val="Compact"/>
              <w:jc w:val="left"/>
            </w:pPr>
            <w:r>
              <w:rPr>
                <w:sz w:val="24"/>
                <w:szCs w:val="24"/>
                <w:lang w:val="en-US" w:eastAsia="en-US" w:bidi="ar-SA"/>
              </w:rPr>
              <w:t>Conversion of every proven component into the treaty-level Hormuz Permanent Charter; accession architecture; protected core</w:t>
            </w:r>
          </w:p>
        </w:tc>
        <w:tc>
          <w:tcPr>
            <w:tcW w:w="1584" w:type="dxa"/>
          </w:tcPr>
          <w:p>
            <w:pPr>
              <w:pStyle w:val="Compact"/>
              <w:jc w:val="left"/>
            </w:pPr>
            <w:r>
              <w:rPr>
                <w:sz w:val="24"/>
                <w:szCs w:val="24"/>
                <w:lang w:val="en-US" w:eastAsia="en-US" w:bidi="ar-SA"/>
              </w:rPr>
              <w:t>G-5 Charter Conversion</w:t>
            </w:r>
          </w:p>
        </w:tc>
      </w:tr>
    </w:tbl>
    <w:p>
      <w:pPr>
        <w:pStyle w:val="FirstParagraph"/>
      </w:pPr>
      <w:r>
        <w:rPr>
          <w:sz w:val="24"/>
          <w:szCs w:val="24"/>
          <w:lang w:val="en-US" w:eastAsia="en-US" w:bidi="ar-SA"/>
        </w:rPr>
        <w:t xml:space="preserve">Five words hold the whole design: </w:t>
      </w:r>
      <w:r>
        <w:rPr>
          <w:b/>
          <w:sz w:val="24"/>
          <w:szCs w:val="24"/>
          <w:lang w:val="en-US" w:eastAsia="en-US" w:bidi="ar-SA"/>
        </w:rPr>
        <w:t>Visibility, Movement, Money, Authority, Permanence.</w:t>
      </w:r>
    </w:p>
    <w:bookmarkEnd w:id="29"/>
    <w:bookmarkStart w:id="77" w:name="part-i-foundations"/>
    <w:p>
      <w:pPr>
        <w:pStyle w:val="Heading1"/>
      </w:pPr>
      <w:r>
        <w:rPr>
          <w:lang w:val="en-US" w:eastAsia="en-US" w:bidi="ar-SA"/>
          <w:rFonts w:asciiTheme="majorHAnsi" w:cstheme="majorBidi" w:eastAsiaTheme="majorEastAsia" w:hAnsiTheme="majorHAnsi"/>
          <w:b/>
          <w:color w:themeColor="accent1"/>
          <w:sz w:val="32"/>
          <w:szCs w:val="32"/>
        </w:rPr>
        <w:t>PART I: FOUNDATIONS</w:t>
      </w:r>
    </w:p>
    <w:bookmarkStart w:id="36" w:name="X78d9e4c0b852b1f7127b9522c0f6af8953a8f8b"/>
    <w:p>
      <w:pPr>
        <w:pStyle w:val="Heading2"/>
      </w:pPr>
      <w:r>
        <w:rPr>
          <w:lang w:val="en-US" w:eastAsia="en-US" w:bidi="ar-SA"/>
          <w:rFonts w:asciiTheme="majorHAnsi" w:cstheme="majorBidi" w:eastAsiaTheme="majorEastAsia" w:hAnsiTheme="majorHAnsi"/>
          <w:b/>
          <w:color w:themeColor="accent1"/>
          <w:sz w:val="28"/>
          <w:szCs w:val="28"/>
        </w:rPr>
        <w:t>Article 1: Establishment, Purpose, and Scope</w:t>
      </w:r>
    </w:p>
    <w:bookmarkStart w:id="30" w:name="establishment"/>
    <w:p>
      <w:pPr>
        <w:pStyle w:val="Heading3"/>
      </w:pPr>
      <w:r>
        <w:rPr>
          <w:lang w:val="en-US" w:eastAsia="en-US" w:bidi="ar-SA"/>
          <w:rFonts w:asciiTheme="majorHAnsi" w:cstheme="majorBidi" w:eastAsiaTheme="majorEastAsia" w:hAnsiTheme="majorHAnsi"/>
          <w:b/>
          <w:color w:themeColor="accent1"/>
          <w:sz w:val="24"/>
          <w:szCs w:val="24"/>
        </w:rPr>
        <w:t>1.1 Establishment</w:t>
      </w:r>
    </w:p>
    <w:p>
      <w:pPr>
        <w:pStyle w:val="FirstParagraph"/>
      </w:pPr>
      <w:r>
        <w:rPr>
          <w:sz w:val="24"/>
          <w:szCs w:val="24"/>
          <w:lang w:val="en-US" w:eastAsia="en-US" w:bidi="ar-SA"/>
        </w:rPr>
        <w:t>The Principal Parties, the Guarantor Parties, and the acceding states establish the Solh-e Tadriji Accord as a layered, gated governance architecture for the Strait of Hormuz. The Accord operates from the date of entry into force under Article 55 and continues without sunset under the Nofade Guarantee of Article 6.</w:t>
      </w:r>
    </w:p>
    <w:bookmarkEnd w:id="30"/>
    <w:bookmarkStart w:id="31" w:name="purpose"/>
    <w:p>
      <w:pPr>
        <w:pStyle w:val="Heading3"/>
      </w:pPr>
      <w:r>
        <w:rPr>
          <w:lang w:val="en-US" w:eastAsia="en-US" w:bidi="ar-SA"/>
          <w:rFonts w:asciiTheme="majorHAnsi" w:cstheme="majorBidi" w:eastAsiaTheme="majorEastAsia" w:hAnsiTheme="majorHAnsi"/>
          <w:b/>
          <w:color w:themeColor="accent1"/>
          <w:sz w:val="24"/>
          <w:szCs w:val="24"/>
        </w:rPr>
        <w:t>1.2 Purpose</w:t>
      </w:r>
    </w:p>
    <w:p>
      <w:pPr>
        <w:pStyle w:val="FirstParagraph"/>
      </w:pPr>
      <w:r>
        <w:rPr>
          <w:sz w:val="24"/>
          <w:szCs w:val="24"/>
          <w:lang w:val="en-US" w:eastAsia="en-US" w:bidi="ar-SA"/>
        </w:rPr>
        <w:t>The Accord pursues four purposes in fixed order of priority: first, the safety of life and the protection of mariners; second, the restoration of predictable, safe, and uninterrupted commercial navigation through the strait; third, the construction of a durable, civilian, multilateral governance system that recognizes the coastal states’ stewardship and serves all user states; and fourth, the conversion of verified cooperation into permanent treaty-level governance.</w:t>
      </w:r>
    </w:p>
    <w:bookmarkEnd w:id="31"/>
    <w:bookmarkStart w:id="32" w:name="what-this-accord-does"/>
    <w:p>
      <w:pPr>
        <w:pStyle w:val="Heading3"/>
      </w:pPr>
      <w:r>
        <w:rPr>
          <w:lang w:val="en-US" w:eastAsia="en-US" w:bidi="ar-SA"/>
          <w:rFonts w:asciiTheme="majorHAnsi" w:cstheme="majorBidi" w:eastAsiaTheme="majorEastAsia" w:hAnsiTheme="majorHAnsi"/>
          <w:b/>
          <w:color w:themeColor="accent1"/>
          <w:sz w:val="24"/>
          <w:szCs w:val="24"/>
        </w:rPr>
        <w:t>1.3 What This Accord Does</w:t>
      </w:r>
    </w:p>
    <w:p>
      <w:pPr>
        <w:pStyle w:val="FirstParagraph"/>
      </w:pPr>
      <w:r>
        <w:rPr>
          <w:sz w:val="24"/>
          <w:szCs w:val="24"/>
          <w:lang w:val="en-US" w:eastAsia="en-US" w:bidi="ar-SA"/>
        </w:rPr>
        <w:t>The Accord sequences governance into six layers (L-0 through L-5). Each layer introduces defined institutions, procedures, and services. Each gate (G-0 through G-5) certifies by published measurement that the layer beneath it operated without destabilization. The Accord synchronizes the blockade drawdown, the reopening of the strait, the revenue architecture, and the dispute mechanisms so that no Party moves first and every Party moves together.</w:t>
      </w:r>
    </w:p>
    <w:bookmarkEnd w:id="32"/>
    <w:bookmarkStart w:id="33" w:name="what-this-accord-does-not-do"/>
    <w:p>
      <w:pPr>
        <w:pStyle w:val="Heading3"/>
      </w:pPr>
      <w:r>
        <w:rPr>
          <w:lang w:val="en-US" w:eastAsia="en-US" w:bidi="ar-SA"/>
          <w:rFonts w:asciiTheme="majorHAnsi" w:cstheme="majorBidi" w:eastAsiaTheme="majorEastAsia" w:hAnsiTheme="majorHAnsi"/>
          <w:b/>
          <w:color w:themeColor="accent1"/>
          <w:sz w:val="24"/>
          <w:szCs w:val="24"/>
        </w:rPr>
        <w:t>1.4 What This Accord Does Not Do</w:t>
      </w:r>
    </w:p>
    <w:p>
      <w:pPr>
        <w:pStyle w:val="FirstParagraph"/>
      </w:pPr>
      <w:r>
        <w:rPr>
          <w:sz w:val="24"/>
          <w:szCs w:val="24"/>
          <w:lang w:val="en-US" w:eastAsia="en-US" w:bidi="ar-SA"/>
        </w:rPr>
        <w:t>The Accord prejudges no boundary, no sovereignty claim, and no position on the legal status of the strait’s waters. The Accord addresses no nuclear question, no missile question, and no question of domestic political structure in any state. The Accord confers no enforcement authority on any external state and creates no permission regime over commercial transit. The Accord imposes no charge on the act of transit, in any layer, at any time.</w:t>
      </w:r>
    </w:p>
    <w:bookmarkEnd w:id="33"/>
    <w:bookmarkStart w:id="34" w:name="geographic-scope"/>
    <w:p>
      <w:pPr>
        <w:pStyle w:val="Heading3"/>
      </w:pPr>
      <w:r>
        <w:rPr>
          <w:lang w:val="en-US" w:eastAsia="en-US" w:bidi="ar-SA"/>
          <w:rFonts w:asciiTheme="majorHAnsi" w:cstheme="majorBidi" w:eastAsiaTheme="majorEastAsia" w:hAnsiTheme="majorHAnsi"/>
          <w:b/>
          <w:color w:themeColor="accent1"/>
          <w:sz w:val="24"/>
          <w:szCs w:val="24"/>
        </w:rPr>
        <w:t>1.5 Geographic Scope</w:t>
      </w:r>
    </w:p>
    <w:p>
      <w:pPr>
        <w:pStyle w:val="FirstParagraph"/>
      </w:pPr>
      <w:r>
        <w:rPr>
          <w:sz w:val="24"/>
          <w:szCs w:val="24"/>
          <w:lang w:val="en-US" w:eastAsia="en-US" w:bidi="ar-SA"/>
        </w:rPr>
        <w:t>The Accord applies within the Governance Area defined in Article 4 and Annex A, comprising the waters and superjacent airspace of the Strait of Hormuz and its eastern and western approaches as bounded by the polygon of Table A.1, together with the designated anchorages of Table A.7 and the liaison stations of Table A.9.</w:t>
      </w:r>
    </w:p>
    <w:bookmarkEnd w:id="34"/>
    <w:bookmarkStart w:id="35" w:name="functional-scope"/>
    <w:p>
      <w:pPr>
        <w:pStyle w:val="Heading3"/>
      </w:pPr>
      <w:r>
        <w:rPr>
          <w:lang w:val="en-US" w:eastAsia="en-US" w:bidi="ar-SA"/>
          <w:rFonts w:asciiTheme="majorHAnsi" w:cstheme="majorBidi" w:eastAsiaTheme="majorEastAsia" w:hAnsiTheme="majorHAnsi"/>
          <w:b/>
          <w:color w:themeColor="accent1"/>
          <w:sz w:val="24"/>
          <w:szCs w:val="24"/>
        </w:rPr>
        <w:t>1.6 Functional Scope</w:t>
      </w:r>
    </w:p>
    <w:p>
      <w:pPr>
        <w:pStyle w:val="FirstParagraph"/>
      </w:pPr>
      <w:r>
        <w:rPr>
          <w:sz w:val="24"/>
          <w:szCs w:val="24"/>
          <w:lang w:val="en-US" w:eastAsia="en-US" w:bidi="ar-SA"/>
        </w:rPr>
        <w:t>The Accord governs navigation safety, traffic coordination, hazard survey and clearance, data exchange, maritime services and their financing, verification, incident management, and dispute resolution within the Governance Area. Military operations stand outside the Accord’s governance except as the deconfliction rules of Article 29 and Annex C bind the conduct of forces in and near the corridors.</w:t>
      </w:r>
    </w:p>
    <w:p>
      <w:pPr>
        <w:pStyle w:val="Heading3"/>
      </w:pPr>
      <w:r>
        <w:rPr>
          <w:lang w:val="en-US" w:eastAsia="en-US" w:bidi="ar-SA"/>
          <w:rFonts w:asciiTheme="majorHAnsi" w:cstheme="majorBidi" w:eastAsiaTheme="majorEastAsia" w:hAnsiTheme="majorHAnsi"/>
          <w:b/>
          <w:color w:themeColor="accent1"/>
          <w:sz w:val="24"/>
          <w:szCs w:val="24"/>
        </w:rPr>
        <w:t>1.7 The Humanitarian Bridge</w:t>
      </w:r>
    </w:p>
    <w:p>
      <w:pPr>
        <w:pStyle w:val="FirstParagraph"/>
      </w:pPr>
      <w:r>
        <w:rPr>
          <w:sz w:val="24"/>
          <w:szCs w:val="24"/>
          <w:lang w:val="en-US" w:eastAsia="en-US" w:bidi="ar-SA"/>
        </w:rPr>
        <w:t>1.7.1 From Day 0 through Charter Conversion, the Accord operates a Humanitarian Bridge: a dedicated corridor for food, medicine, medical equipment, and relief supplies.</w:t>
      </w:r>
    </w:p>
    <w:p>
      <w:pPr>
        <w:pStyle w:val="FirstParagraph"/>
      </w:pPr>
      <w:r>
        <w:rPr>
          <w:sz w:val="24"/>
          <w:szCs w:val="24"/>
          <w:lang w:val="en-US" w:eastAsia="en-US" w:bidi="ar-SA"/>
        </w:rPr>
        <w:t>1.7.2 The Humanitarian Bridge operates under the same notification protocol as commercial traffic and holds absolute priority in every convoy window and every flow state.</w:t>
      </w:r>
    </w:p>
    <w:p>
      <w:pPr>
        <w:pStyle w:val="FirstParagraph"/>
      </w:pPr>
      <w:r>
        <w:rPr>
          <w:sz w:val="24"/>
          <w:szCs w:val="24"/>
          <w:lang w:val="en-US" w:eastAsia="en-US" w:bidi="ar-SA"/>
        </w:rPr>
        <w:t>1.7.3 The Neutral Watch Office certifies every Humanitarian Bridge transit, and its certification publishes in the Bulletin within one hour of transit completion.</w:t>
      </w:r>
    </w:p>
    <w:p>
      <w:pPr>
        <w:pStyle w:val="FirstParagraph"/>
      </w:pPr>
      <w:r>
        <w:rPr>
          <w:sz w:val="24"/>
          <w:szCs w:val="24"/>
          <w:lang w:val="en-US" w:eastAsia="en-US" w:bidi="ar-SA"/>
        </w:rPr>
        <w:t>1.7.4 The Humanitarian Bridge operates unconditionally: it runs regardless of the status of any other layer, any gate, or any dispute. It stands as the Accord’s guarantee that the strait never closes to humanitarian relief. This section holds Red Line RL-10.</w:t>
      </w:r>
    </w:p>
    <w:p>
      <w:pPr>
        <w:pStyle w:val="FirstParagraph"/>
      </w:pPr>
      <w:r>
        <w:rPr>
          <w:sz w:val="24"/>
          <w:szCs w:val="24"/>
          <w:lang w:val="en-US" w:eastAsia="en-US" w:bidi="ar-SA"/>
        </w:rPr>
        <w:t>1.7.5 The Humanitarian Bridge functions as a safety valve: it maintains the moral authority of the Accord even during political deadlock.</w:t>
      </w:r>
    </w:p>
    <w:bookmarkEnd w:id="35"/>
    <w:bookmarkEnd w:id="36"/>
    <w:bookmarkStart w:id="45" w:name="article-2-legal-foundations"/>
    <w:p>
      <w:pPr>
        <w:pStyle w:val="Heading2"/>
      </w:pPr>
      <w:r>
        <w:rPr>
          <w:lang w:val="en-US" w:eastAsia="en-US" w:bidi="ar-SA"/>
          <w:rFonts w:asciiTheme="majorHAnsi" w:cstheme="majorBidi" w:eastAsiaTheme="majorEastAsia" w:hAnsiTheme="majorHAnsi"/>
          <w:b/>
          <w:color w:themeColor="accent1"/>
          <w:sz w:val="28"/>
          <w:szCs w:val="28"/>
        </w:rPr>
        <w:t>Article 2: Legal Foundations</w:t>
      </w:r>
    </w:p>
    <w:bookmarkStart w:id="37" w:name="Xe2fae6c564d899ecf93796db1a35e1f83b2ce7e"/>
    <w:p>
      <w:pPr>
        <w:pStyle w:val="Heading3"/>
      </w:pPr>
      <w:r>
        <w:rPr>
          <w:lang w:val="en-US" w:eastAsia="en-US" w:bidi="ar-SA"/>
          <w:rFonts w:asciiTheme="majorHAnsi" w:cstheme="majorBidi" w:eastAsiaTheme="majorEastAsia" w:hAnsiTheme="majorHAnsi"/>
          <w:b/>
          <w:color w:themeColor="accent1"/>
          <w:sz w:val="24"/>
          <w:szCs w:val="24"/>
        </w:rPr>
        <w:t>2.1 Sovereign Equality of the Littoral Parties</w:t>
      </w:r>
    </w:p>
    <w:p>
      <w:pPr>
        <w:pStyle w:val="FirstParagraph"/>
      </w:pPr>
      <w:r>
        <w:rPr>
          <w:sz w:val="24"/>
          <w:szCs w:val="24"/>
          <w:lang w:val="en-US" w:eastAsia="en-US" w:bidi="ar-SA"/>
        </w:rPr>
        <w:t>The Principal Parties act as sovereign equals throughout this Accord. Every institution seats them symmetrically; every procedure applies to them identically; every burden and every benefit allocates by published rule, never by status.</w:t>
      </w:r>
    </w:p>
    <w:bookmarkEnd w:id="37"/>
    <w:bookmarkStart w:id="38" w:name="transit-passage-preserved"/>
    <w:p>
      <w:pPr>
        <w:pStyle w:val="Heading3"/>
      </w:pPr>
      <w:r>
        <w:rPr>
          <w:lang w:val="en-US" w:eastAsia="en-US" w:bidi="ar-SA"/>
          <w:rFonts w:asciiTheme="majorHAnsi" w:cstheme="majorBidi" w:eastAsiaTheme="majorEastAsia" w:hAnsiTheme="majorHAnsi"/>
          <w:b/>
          <w:color w:themeColor="accent1"/>
          <w:sz w:val="24"/>
          <w:szCs w:val="24"/>
        </w:rPr>
        <w:t>2.2 Transit Passage Preserved</w:t>
      </w:r>
    </w:p>
    <w:p>
      <w:pPr>
        <w:pStyle w:val="FirstParagraph"/>
      </w:pPr>
      <w:r>
        <w:rPr>
          <w:sz w:val="24"/>
          <w:szCs w:val="24"/>
          <w:lang w:val="en-US" w:eastAsia="en-US" w:bidi="ar-SA"/>
        </w:rPr>
        <w:t>The framework preserves the regime of transit passage through the Strait of Hormuz as reflected in the United Nations Convention on the Law of the Sea and in customary international law. Transit passage operates continuously, without suspension, without discrimination, and without requirement of prior authorization. The United States, as a non-party to the Convention that asserts the same regime as customary law, and Iran, as a signatory that asserts an innocent-passage interpretation, each preserve their legal positions in full; the operational rules of this Accord function identically under either position and resolve the difference by making it irrelevant to daily operation.</w:t>
      </w:r>
    </w:p>
    <w:bookmarkEnd w:id="38"/>
    <w:bookmarkStart w:id="39" w:name="the-service-fee-distinction"/>
    <w:p>
      <w:pPr>
        <w:pStyle w:val="Heading3"/>
      </w:pPr>
      <w:r>
        <w:rPr>
          <w:lang w:val="en-US" w:eastAsia="en-US" w:bidi="ar-SA"/>
          <w:rFonts w:asciiTheme="majorHAnsi" w:cstheme="majorBidi" w:eastAsiaTheme="majorEastAsia" w:hAnsiTheme="majorHAnsi"/>
          <w:b/>
          <w:color w:themeColor="accent1"/>
          <w:sz w:val="24"/>
          <w:szCs w:val="24"/>
        </w:rPr>
        <w:t>2.3 The Service-Fee Distinction</w:t>
      </w:r>
    </w:p>
    <w:p>
      <w:pPr>
        <w:pStyle w:val="FirstParagraph"/>
      </w:pPr>
      <w:r>
        <w:rPr>
          <w:sz w:val="24"/>
          <w:szCs w:val="24"/>
          <w:lang w:val="en-US" w:eastAsia="en-US" w:bidi="ar-SA"/>
        </w:rPr>
        <w:t>The framework distinguishes absolutely between a charge on the act of transit, which the Zero-Toll Rule of Article 33 prohibits in every layer and forever, and a charge for a specific maritime service genuinely requested and genuinely rendered, which the Verified Services Catalog of Article 35 governs. The first never occurs. The second occurs only through the neutral channels of Part V, at published rates, against itemized service records, and never as a condition of passage.</w:t>
      </w:r>
    </w:p>
    <w:bookmarkEnd w:id="39"/>
    <w:bookmarkStart w:id="40" w:name="Xdf99b26c6c9c3e09a4126fd8c5b7c04b37ca0c6"/>
    <w:p>
      <w:pPr>
        <w:pStyle w:val="Heading3"/>
      </w:pPr>
      <w:r>
        <w:rPr>
          <w:lang w:val="en-US" w:eastAsia="en-US" w:bidi="ar-SA"/>
          <w:rFonts w:asciiTheme="majorHAnsi" w:cstheme="majorBidi" w:eastAsiaTheme="majorEastAsia" w:hAnsiTheme="majorHAnsi"/>
          <w:b/>
          <w:color w:themeColor="accent1"/>
          <w:sz w:val="24"/>
          <w:szCs w:val="24"/>
        </w:rPr>
        <w:t>2.4 Relationship to the Memorandum of Understanding of 17 June 2026</w:t>
      </w:r>
    </w:p>
    <w:p>
      <w:pPr>
        <w:pStyle w:val="FirstParagraph"/>
      </w:pPr>
      <w:r>
        <w:rPr>
          <w:sz w:val="24"/>
          <w:szCs w:val="24"/>
          <w:lang w:val="en-US" w:eastAsia="en-US" w:bidi="ar-SA"/>
        </w:rPr>
        <w:t>This Accord implements the memorandum’s direction that the coastal states define the future administration and maritime services of the strait in discussion with the other littoral states, in line with applicable international law and the sovereign rights of the coastal states. The Accord supersedes the memorandum’s interim maritime provisions upon Charter Conversion at Layer 5, and until that point operates as the memorandum’s executing instrument. The memorandum’s sixty-day free-transit window finds expression in the Interim Middle Route of Article 22 and the fee-suspension rule of Article 34.6.</w:t>
      </w:r>
    </w:p>
    <w:bookmarkEnd w:id="40"/>
    <w:bookmarkStart w:id="41" w:name="Xc911519e091323241fc0147b4ededbf9fc8a384"/>
    <w:p>
      <w:pPr>
        <w:pStyle w:val="Heading3"/>
      </w:pPr>
      <w:r>
        <w:rPr>
          <w:lang w:val="en-US" w:eastAsia="en-US" w:bidi="ar-SA"/>
          <w:rFonts w:asciiTheme="majorHAnsi" w:cstheme="majorBidi" w:eastAsiaTheme="majorEastAsia" w:hAnsiTheme="majorHAnsi"/>
          <w:b/>
          <w:color w:themeColor="accent1"/>
          <w:sz w:val="24"/>
          <w:szCs w:val="24"/>
        </w:rPr>
        <w:t>2.5 Relationship to the Emerging Coastal-State Understanding</w:t>
      </w:r>
    </w:p>
    <w:p>
      <w:pPr>
        <w:pStyle w:val="FirstParagraph"/>
      </w:pPr>
      <w:r>
        <w:rPr>
          <w:sz w:val="24"/>
          <w:szCs w:val="24"/>
          <w:lang w:val="en-US" w:eastAsia="en-US" w:bidi="ar-SA"/>
        </w:rPr>
        <w:t>The corridor geometry of Annex A adopts the route coordinates agreed between Iran and Oman in the technical track of July and August 2026, as the depositary holds them under seal, and publishes them under the Coordinate Publication Rule of Annex A.6. The interim arrangement of inbound passage through the northern lane and outbound passage through the southern lane, free of charge for an interim period, constitutes Layer 2’s opening configuration, and this Accord extends, verifies, and institutionalizes that arrangement rather than replacing it.</w:t>
      </w:r>
    </w:p>
    <w:bookmarkEnd w:id="41"/>
    <w:bookmarkStart w:id="42" w:name="X043e577b0f34d9c512a1c81cf13b5af282a4260"/>
    <w:p>
      <w:pPr>
        <w:pStyle w:val="Heading3"/>
      </w:pPr>
      <w:r>
        <w:rPr>
          <w:lang w:val="en-US" w:eastAsia="en-US" w:bidi="ar-SA"/>
          <w:rFonts w:asciiTheme="majorHAnsi" w:cstheme="majorBidi" w:eastAsiaTheme="majorEastAsia" w:hAnsiTheme="majorHAnsi"/>
          <w:b/>
          <w:color w:themeColor="accent1"/>
          <w:sz w:val="24"/>
          <w:szCs w:val="24"/>
        </w:rPr>
        <w:t>2.6 Relationship to the International Maritime Organization</w:t>
      </w:r>
    </w:p>
    <w:p>
      <w:pPr>
        <w:pStyle w:val="FirstParagraph"/>
      </w:pPr>
      <w:r>
        <w:rPr>
          <w:sz w:val="24"/>
          <w:szCs w:val="24"/>
          <w:lang w:val="en-US" w:eastAsia="en-US" w:bidi="ar-SA"/>
        </w:rPr>
        <w:t>The International Maritime Organization receives every corridor definition, every traffic separation adjustment, and every safety standard this Accord produces, through the liaison of Article 41.5. The revised traffic separation scheme lodges with the Organization at Charter Conversion under Article 50.3. The Organization’s certification of cleared routes concludes the mine-clearance track of Article 30. The International Hydrographic Organization governs charting standards and chart updates throughout.</w:t>
      </w:r>
    </w:p>
    <w:bookmarkEnd w:id="42"/>
    <w:bookmarkStart w:id="43" w:name="X0f9dc78982b6b74fe806ed01e7051f7227629b8"/>
    <w:p>
      <w:pPr>
        <w:pStyle w:val="Heading3"/>
      </w:pPr>
      <w:r>
        <w:rPr>
          <w:lang w:val="en-US" w:eastAsia="en-US" w:bidi="ar-SA"/>
          <w:rFonts w:asciiTheme="majorHAnsi" w:cstheme="majorBidi" w:eastAsiaTheme="majorEastAsia" w:hAnsiTheme="majorHAnsi"/>
          <w:b/>
          <w:color w:themeColor="accent1"/>
          <w:sz w:val="24"/>
          <w:szCs w:val="24"/>
        </w:rPr>
        <w:t>2.7 Relationship to the Historic Traffic Separation Scheme</w:t>
      </w:r>
    </w:p>
    <w:p>
      <w:pPr>
        <w:pStyle w:val="FirstParagraph"/>
      </w:pPr>
      <w:r>
        <w:rPr>
          <w:sz w:val="24"/>
          <w:szCs w:val="24"/>
          <w:lang w:val="en-US" w:eastAsia="en-US" w:bidi="ar-SA"/>
        </w:rPr>
        <w:t>The traffic separation scheme in force before 28 February 2026, comprising two lanes of two nautical miles separated by a two-mile median within Omani territorial waters, stands as the reference baseline of Annex A.2. Wartime routing north of Larak Island stands recorded as superseded upon activation of Layer 2. The permanent scheme of Article 50 derives from measured corridor performance under this Accord, not from either predecessor.</w:t>
      </w:r>
    </w:p>
    <w:bookmarkEnd w:id="43"/>
    <w:bookmarkStart w:id="44" w:name="non-prejudice-and-no-precedent"/>
    <w:p>
      <w:pPr>
        <w:pStyle w:val="Heading3"/>
      </w:pPr>
      <w:r>
        <w:rPr>
          <w:lang w:val="en-US" w:eastAsia="en-US" w:bidi="ar-SA"/>
          <w:rFonts w:asciiTheme="majorHAnsi" w:cstheme="majorBidi" w:eastAsiaTheme="majorEastAsia" w:hAnsiTheme="majorHAnsi"/>
          <w:b/>
          <w:color w:themeColor="accent1"/>
          <w:sz w:val="24"/>
          <w:szCs w:val="24"/>
        </w:rPr>
        <w:t>2.8 Non-Prejudice and No Precedent</w:t>
      </w:r>
    </w:p>
    <w:p>
      <w:pPr>
        <w:pStyle w:val="FirstParagraph"/>
      </w:pPr>
      <w:r>
        <w:rPr>
          <w:sz w:val="24"/>
          <w:szCs w:val="24"/>
          <w:lang w:val="en-US" w:eastAsia="en-US" w:bidi="ar-SA"/>
        </w:rPr>
        <w:t>Nothing in this Accord, and no act under it, prejudices any Party’s position on sovereignty, boundaries, maritime claims, or the legal regime of the strait, and nothing creates a precedent for any other waterway. Every Party’s signature affirms this clause first.</w:t>
      </w:r>
    </w:p>
    <w:bookmarkEnd w:id="44"/>
    <w:bookmarkEnd w:id="45"/>
    <w:bookmarkStart w:id="54" w:name="article-3-core-operating-principles"/>
    <w:p>
      <w:pPr>
        <w:pStyle w:val="Heading2"/>
      </w:pPr>
      <w:r>
        <w:t xml:space="preserve">Article 3: Core Operating Principles</w:t>
      </w:r>
    </w:p>
    <w:bookmarkStart w:id="46" w:name="paired-action"/>
    <w:p>
      <w:pPr>
        <w:pStyle w:val="Heading3"/>
      </w:pPr>
      <w:r>
        <w:t xml:space="preserve">3.1 Paired Action</w:t>
      </w:r>
    </w:p>
    <w:p>
      <w:pPr>
        <w:pStyle w:val="FirstParagraph"/>
      </w:pPr>
      <w:r>
        <w:t xml:space="preserve">Every significant movement under this Accord occurs in pairs: each corridor advance pairs with a blockade drawdown step; each revenue milestone pairs with a sanctions measure; each institutional expansion pairs with a verified stability record. Annex N states the Reciprocity Map in full. No Party moves first; the architecture moves all Parties together.</w:t>
      </w:r>
    </w:p>
    <w:bookmarkEnd w:id="46"/>
    <w:bookmarkStart w:id="47" w:name="mutual-architecture"/>
    <w:p>
      <w:pPr>
        <w:pStyle w:val="Heading3"/>
      </w:pPr>
      <w:r>
        <w:t xml:space="preserve">3.2 Mutual Architecture</w:t>
      </w:r>
    </w:p>
    <w:p>
      <w:pPr>
        <w:pStyle w:val="FirstParagraph"/>
      </w:pPr>
      <w:r>
        <w:t xml:space="preserve">Every constraint in this Accord attaches to the framework, never to one Party’s restraint. The text names no Party as the object of a prohibition; it names the architecture as the source of every rule, and every rule binds every participant identically within its role.</w:t>
      </w:r>
    </w:p>
    <w:bookmarkEnd w:id="47"/>
    <w:bookmarkStart w:id="48" w:name="nofade-continuity"/>
    <w:p>
      <w:pPr>
        <w:pStyle w:val="Heading3"/>
      </w:pPr>
      <w:r>
        <w:t xml:space="preserve">3.3 Nofade Continuity</w:t>
      </w:r>
    </w:p>
    <w:p>
      <w:pPr>
        <w:pStyle w:val="FirstParagraph"/>
      </w:pPr>
      <w:r>
        <w:t xml:space="preserve">No commitment, institution, or procedure under this Accord expires silently, lapses by calendar, or dissolves by neglect. Continuation is the default in every clause; change requires the affirmative act this Accord specifies.</w:t>
      </w:r>
    </w:p>
    <w:bookmarkEnd w:id="48"/>
    <w:bookmarkStart w:id="49" w:name="proportionality-over-parity"/>
    <w:p>
      <w:pPr>
        <w:pStyle w:val="Heading3"/>
      </w:pPr>
      <w:r>
        <w:t xml:space="preserve">3.4 Proportionality Over Parity</w:t>
      </w:r>
    </w:p>
    <w:p>
      <w:pPr>
        <w:pStyle w:val="FirstParagraph"/>
      </w:pPr>
      <w:r>
        <w:t xml:space="preserve">Contributions, roles, and benefits allocate by proportionality to capacity, exposure, and verified performance, not by arithmetic parity. The Graduated Trust Escalator of Article 43 embodies this principle in its fullest form.</w:t>
      </w:r>
    </w:p>
    <w:bookmarkEnd w:id="49"/>
    <w:bookmarkStart w:id="50" w:name="transparency-over-trust"/>
    <w:p>
      <w:pPr>
        <w:pStyle w:val="Heading3"/>
      </w:pPr>
      <w:r>
        <w:t xml:space="preserve">3.5 Transparency Over Trust</w:t>
      </w:r>
    </w:p>
    <w:p>
      <w:pPr>
        <w:pStyle w:val="FirstParagraph"/>
      </w:pPr>
      <w:r>
        <w:t xml:space="preserve">The framework asks no Party to trust another. It asks every Party to read the same published record: the Open Water Bulletin, the Reciprocity Ledger, the verification determinations of the Neutral Watch Office, and the audited accounts of the Neutral Administrator.</w:t>
      </w:r>
    </w:p>
    <w:bookmarkEnd w:id="50"/>
    <w:bookmarkStart w:id="51" w:name="civilian-character"/>
    <w:p>
      <w:pPr>
        <w:pStyle w:val="Heading3"/>
      </w:pPr>
      <w:r>
        <w:t xml:space="preserve">3.6 Civilian Character</w:t>
      </w:r>
    </w:p>
    <w:p>
      <w:pPr>
        <w:pStyle w:val="FirstParagraph"/>
      </w:pPr>
      <w:r>
        <w:t xml:space="preserve">Every operational body of this Accord is civilian in leadership, staffing, and doctrine. Military and coast guard units act inside the framework only in defined safety, survey, and rescue roles under civilian operational direction. This principle guards Red Line RL-6.</w:t>
      </w:r>
    </w:p>
    <w:bookmarkEnd w:id="51"/>
    <w:bookmarkStart w:id="52" w:name="stability-gating"/>
    <w:p>
      <w:pPr>
        <w:pStyle w:val="Heading3"/>
      </w:pPr>
      <w:r>
        <w:t xml:space="preserve">3.7 Stability Gating</w:t>
      </w:r>
    </w:p>
    <w:p>
      <w:pPr>
        <w:pStyle w:val="FirstParagraph"/>
      </w:pPr>
      <w:r>
        <w:t xml:space="preserve">Expansion follows evidence. Each gate of Article 7 opens only upon published, measured certification that the layer beneath operated without destabilization. No political decision substitutes for the measurement; no political decision blocks a certification the record supports.</w:t>
      </w:r>
    </w:p>
    <w:bookmarkEnd w:id="52"/>
    <w:bookmarkStart w:id="53" w:name="the-political-acceptability-rule"/>
    <w:p>
      <w:pPr>
        <w:pStyle w:val="Heading3"/>
      </w:pPr>
      <w:r>
        <w:t xml:space="preserve">3.8 The Political Acceptability Rule</w:t>
      </w:r>
    </w:p>
    <w:p>
      <w:pPr>
        <w:pStyle w:val="FirstParagraph"/>
      </w:pPr>
      <w:r>
        <w:t xml:space="preserve">No provision of this Accord survives that a delegation presents at home only as surrender. Every mechanism in this instrument carries a domestic framing for each participant that is truthful, symmetric, and defensible: safety gained, sovereignty kept, services paid for, claims heard.</w:t>
      </w:r>
    </w:p>
    <w:bookmarkEnd w:id="53"/>
    <w:bookmarkEnd w:id="54"/>
    <w:bookmarkStart w:id="58" w:name="article-4-the-governance-area"/>
    <w:p>
      <w:pPr>
        <w:pStyle w:val="Heading2"/>
      </w:pPr>
      <w:r>
        <w:t xml:space="preserve">Article 4: The Governance Area</w:t>
      </w:r>
    </w:p>
    <w:bookmarkStart w:id="55" w:name="the-boundary-polygon"/>
    <w:p>
      <w:pPr>
        <w:pStyle w:val="Heading3"/>
      </w:pPr>
      <w:r>
        <w:t xml:space="preserve">4.1 The Boundary Polygon</w:t>
      </w:r>
    </w:p>
    <w:p>
      <w:pPr>
        <w:pStyle w:val="FirstParagraph"/>
      </w:pPr>
      <w:r>
        <w:t xml:space="preserve">The Governance Area comprises the waters and superjacent airspace bounded by the six-point polygon of Table A.1 of Annex A: from point OA-1 at 26 degrees 55.0 minutes North, 055 degrees 55.0 minutes East in the northwest; to OA-2 at 26 degrees 58.0 minutes North, 056 degrees 40.0 minutes East; to OA-3 at 26 degrees 50.0 minutes North, 057 degrees 25.0 minutes East in the northeast; to OA-4 at 26 degrees 10.0 minutes North, 057 degrees 30.0 minutes East in the southeast; to OA-5 at 26 degrees 08.0 minutes North, 056 degrees 40.0 minutes East; and to OA-6 at 26 degrees 15.0 minutes North, 055 degrees 58.0 minutes East in the southwest, closing to OA-1.</w:t>
      </w:r>
    </w:p>
    <w:bookmarkEnd w:id="55"/>
    <w:bookmarkStart w:id="56" w:name="functional-zones-within-the-area"/>
    <w:p>
      <w:pPr>
        <w:pStyle w:val="Heading3"/>
      </w:pPr>
      <w:r>
        <w:t xml:space="preserve">4.2 Functional Zones Within the Area</w:t>
      </w:r>
    </w:p>
    <w:p>
      <w:pPr>
        <w:pStyle w:val="FirstParagraph"/>
      </w:pPr>
      <w:r>
        <w:t xml:space="preserve">The Governance Area divides into the corridor system of Article 22 (the Northern Coordination Passage, the Central Deconfliction Band, and the Southern Assurance Passage), the Interim Middle Route of Article 22.6, the precautionary areas at the eastern and western entries, the inshore local-craft bands reserved for Class 5 vessels under Article 26.5, the designated anchorages of Table A.7, and the survey sectors of the Mine Removal Taskforce under Article 30.</w:t>
      </w:r>
    </w:p>
    <w:bookmarkEnd w:id="56"/>
    <w:bookmarkStart w:id="57" w:name="exclusions"/>
    <w:p>
      <w:pPr>
        <w:pStyle w:val="Heading3"/>
      </w:pPr>
      <w:r>
        <w:rPr>
          <w:lang w:val="en-US" w:eastAsia="en-US" w:bidi="ar-SA"/>
          <w:rFonts w:asciiTheme="majorHAnsi" w:cstheme="majorBidi" w:eastAsiaTheme="majorEastAsia" w:hAnsiTheme="majorHAnsi"/>
          <w:b/>
          <w:color w:themeColor="accent1"/>
          <w:sz w:val="24"/>
          <w:szCs w:val="24"/>
        </w:rPr>
        <w:t>4.3 Exclusions</w:t>
      </w:r>
    </w:p>
    <w:p>
      <w:pPr>
        <w:pStyle w:val="FirstParagraph"/>
      </w:pPr>
      <w:r>
        <w:rPr>
          <w:sz w:val="24"/>
          <w:szCs w:val="24"/>
          <w:lang w:val="en-US" w:eastAsia="en-US" w:bidi="ar-SA"/>
        </w:rPr>
        <w:t>The Governance Area excludes the internal waters of any state, the harbor limits of any port, and any area a coastal state closes temporarily for reasons of safety under a published Notice to Mariners of not more than 72 hours’ duration, notified simultaneously to the Tadriji Coordination Center and to every Party.</w:t>
      </w:r>
    </w:p>
    <w:bookmarkEnd w:id="57"/>
    <w:bookmarkEnd w:id="58"/>
    <w:bookmarkStart w:id="62" w:name="article-5-the-nuclear-firewall"/>
    <w:p>
      <w:pPr>
        <w:pStyle w:val="Heading2"/>
      </w:pPr>
      <w:r>
        <w:rPr>
          <w:lang w:val="en-US" w:eastAsia="en-US" w:bidi="ar-SA"/>
          <w:rFonts w:asciiTheme="majorHAnsi" w:cstheme="majorBidi" w:eastAsiaTheme="majorEastAsia" w:hAnsiTheme="majorHAnsi"/>
          <w:b/>
          <w:color w:themeColor="accent1"/>
          <w:sz w:val="28"/>
          <w:szCs w:val="28"/>
        </w:rPr>
        <w:t>Article 5: The Nuclear Firewall</w:t>
      </w:r>
    </w:p>
    <w:bookmarkStart w:id="59" w:name="absolute-separation"/>
    <w:p>
      <w:pPr>
        <w:pStyle w:val="Heading3"/>
      </w:pPr>
      <w:r>
        <w:rPr>
          <w:lang w:val="en-US" w:eastAsia="en-US" w:bidi="ar-SA"/>
          <w:rFonts w:asciiTheme="majorHAnsi" w:cstheme="majorBidi" w:eastAsiaTheme="majorEastAsia" w:hAnsiTheme="majorHAnsi"/>
          <w:b/>
          <w:color w:themeColor="accent1"/>
          <w:sz w:val="24"/>
          <w:szCs w:val="24"/>
        </w:rPr>
        <w:t>5.1 Absolute Separation</w:t>
      </w:r>
    </w:p>
    <w:p>
      <w:pPr>
        <w:pStyle w:val="FirstParagraph"/>
      </w:pPr>
      <w:r>
        <w:rPr>
          <w:sz w:val="24"/>
          <w:szCs w:val="24"/>
          <w:lang w:val="en-US" w:eastAsia="en-US" w:bidi="ar-SA"/>
        </w:rPr>
        <w:t>No provision of this Accord addresses, conditions, references, or depends upon any question of nuclear material, enrichment, inspection, or weapons. No event on the nuclear track moves any gate, escalator step, corridor rule, or revenue flow under this Accord, and no event under this Accord moves any element of the nuclear track. The firewall operates in both directions, absolutely.</w:t>
      </w:r>
    </w:p>
    <w:bookmarkEnd w:id="59"/>
    <w:bookmarkStart w:id="60" w:name="the-separate-track"/>
    <w:p>
      <w:pPr>
        <w:pStyle w:val="Heading3"/>
      </w:pPr>
      <w:r>
        <w:rPr>
          <w:lang w:val="en-US" w:eastAsia="en-US" w:bidi="ar-SA"/>
          <w:rFonts w:asciiTheme="majorHAnsi" w:cstheme="majorBidi" w:eastAsiaTheme="majorEastAsia" w:hAnsiTheme="majorHAnsi"/>
          <w:b/>
          <w:color w:themeColor="accent1"/>
          <w:sz w:val="24"/>
          <w:szCs w:val="24"/>
        </w:rPr>
        <w:t>5.2 The Separate Track</w:t>
      </w:r>
    </w:p>
    <w:p>
      <w:pPr>
        <w:pStyle w:val="FirstParagraph"/>
      </w:pPr>
      <w:r>
        <w:rPr>
          <w:sz w:val="24"/>
          <w:szCs w:val="24"/>
          <w:lang w:val="en-US" w:eastAsia="en-US" w:bidi="ar-SA"/>
        </w:rPr>
        <w:t>Nuclear questions proceed exclusively in the separate negotiation track contemplated by the memorandum of understanding of 17 June 2026, under its own timeline, its own verification regime, and its own instruments. This Accord neither accelerates nor delays that track.</w:t>
      </w:r>
    </w:p>
    <w:bookmarkEnd w:id="60"/>
    <w:bookmarkStart w:id="61" w:name="firewall-guard"/>
    <w:p>
      <w:pPr>
        <w:pStyle w:val="Heading3"/>
      </w:pPr>
      <w:r>
        <w:rPr>
          <w:lang w:val="en-US" w:eastAsia="en-US" w:bidi="ar-SA"/>
          <w:rFonts w:asciiTheme="majorHAnsi" w:cstheme="majorBidi" w:eastAsiaTheme="majorEastAsia" w:hAnsiTheme="majorHAnsi"/>
          <w:b/>
          <w:color w:themeColor="accent1"/>
          <w:sz w:val="24"/>
          <w:szCs w:val="24"/>
        </w:rPr>
        <w:t>5.3 Firewall Guard</w:t>
      </w:r>
    </w:p>
    <w:p>
      <w:pPr>
        <w:pStyle w:val="FirstParagraph"/>
      </w:pPr>
      <w:r>
        <w:rPr>
          <w:sz w:val="24"/>
          <w:szCs w:val="24"/>
          <w:lang w:val="en-US" w:eastAsia="en-US" w:bidi="ar-SA"/>
        </w:rPr>
        <w:t>A Party that perceives a nuclear-track issue entering the maritime architecture invokes a Firewall Guard under the dispute ladder of Article 46, and the Neutral Watch Office rules on the invocation within 48 hours. A sustained invocation severs the implicated provision from this Accord without prejudice to the remainder.</w:t>
      </w:r>
    </w:p>
    <w:bookmarkEnd w:id="61"/>
    <w:bookmarkEnd w:id="62"/>
    <w:bookmarkStart w:id="67" w:name="Xb1cd02f06531fb1723a3b2824079f562bca9220"/>
    <w:p>
      <w:pPr>
        <w:pStyle w:val="Heading2"/>
      </w:pPr>
      <w:r>
        <w:rPr>
          <w:lang w:val="en-US" w:eastAsia="en-US" w:bidi="ar-SA"/>
          <w:rFonts w:asciiTheme="majorHAnsi" w:cstheme="majorBidi" w:eastAsiaTheme="majorEastAsia" w:hAnsiTheme="majorHAnsi"/>
          <w:b/>
          <w:color w:themeColor="accent1"/>
          <w:sz w:val="28"/>
          <w:szCs w:val="28"/>
        </w:rPr>
        <w:t>Article 6: The Nofade Guarantee (Standing Continuity)</w:t>
      </w:r>
    </w:p>
    <w:bookmarkStart w:id="63" w:name="no-sunset"/>
    <w:p>
      <w:pPr>
        <w:pStyle w:val="Heading3"/>
      </w:pPr>
      <w:r>
        <w:rPr>
          <w:lang w:val="en-US" w:eastAsia="en-US" w:bidi="ar-SA"/>
          <w:rFonts w:asciiTheme="majorHAnsi" w:cstheme="majorBidi" w:eastAsiaTheme="majorEastAsia" w:hAnsiTheme="majorHAnsi"/>
          <w:b/>
          <w:color w:themeColor="accent1"/>
          <w:sz w:val="24"/>
          <w:szCs w:val="24"/>
        </w:rPr>
        <w:t>6.1 No Sunset</w:t>
      </w:r>
    </w:p>
    <w:p>
      <w:pPr>
        <w:pStyle w:val="FirstParagraph"/>
      </w:pPr>
      <w:r>
        <w:rPr>
          <w:sz w:val="24"/>
          <w:szCs w:val="24"/>
          <w:lang w:val="en-US" w:eastAsia="en-US" w:bidi="ar-SA"/>
        </w:rPr>
        <w:t>This Accord contains no sunset clause, no expiry date, and no automatic review deadline whose passage dissolves any commitment. Every layer, once active, continues until the architecture itself advances it.</w:t>
      </w:r>
    </w:p>
    <w:bookmarkEnd w:id="63"/>
    <w:bookmarkStart w:id="64" w:name="default-continuity"/>
    <w:p>
      <w:pPr>
        <w:pStyle w:val="Heading3"/>
      </w:pPr>
      <w:r>
        <w:rPr>
          <w:lang w:val="en-US" w:eastAsia="en-US" w:bidi="ar-SA"/>
          <w:rFonts w:asciiTheme="majorHAnsi" w:cstheme="majorBidi" w:eastAsiaTheme="majorEastAsia" w:hAnsiTheme="majorHAnsi"/>
          <w:b/>
          <w:color w:themeColor="accent1"/>
          <w:sz w:val="24"/>
          <w:szCs w:val="24"/>
        </w:rPr>
        <w:t>6.2 Default Continuity</w:t>
      </w:r>
    </w:p>
    <w:p>
      <w:pPr>
        <w:pStyle w:val="FirstParagraph"/>
      </w:pPr>
      <w:r>
        <w:rPr>
          <w:sz w:val="24"/>
          <w:szCs w:val="24"/>
          <w:lang w:val="en-US" w:eastAsia="en-US" w:bidi="ar-SA"/>
        </w:rPr>
        <w:t>Where any review, renewal, or certification deadline passes without action, the underlying commitment continues unchanged. Continuity is the resting state of every provision.</w:t>
      </w:r>
    </w:p>
    <w:bookmarkEnd w:id="64"/>
    <w:bookmarkStart w:id="65" w:name="dormancy-and-reconstitution"/>
    <w:p>
      <w:pPr>
        <w:pStyle w:val="Heading3"/>
      </w:pPr>
      <w:r>
        <w:rPr>
          <w:lang w:val="en-US" w:eastAsia="en-US" w:bidi="ar-SA"/>
          <w:rFonts w:asciiTheme="majorHAnsi" w:cstheme="majorBidi" w:eastAsiaTheme="majorEastAsia" w:hAnsiTheme="majorHAnsi"/>
          <w:b/>
          <w:color w:themeColor="accent1"/>
          <w:sz w:val="24"/>
          <w:szCs w:val="24"/>
        </w:rPr>
        <w:t>6.3 Dormancy and Reconstitution</w:t>
      </w:r>
    </w:p>
    <w:p>
      <w:pPr>
        <w:pStyle w:val="FirstParagraph"/>
      </w:pPr>
      <w:r>
        <w:rPr>
          <w:sz w:val="24"/>
          <w:szCs w:val="24"/>
          <w:lang w:val="en-US" w:eastAsia="en-US" w:bidi="ar-SA"/>
        </w:rPr>
        <w:t>If every Principal Party suspends participation, the Accord enters dormancy: the depositary preserves the full record, the institutions stand down into caretaker status, and the framework reconstitutes in its entirety upon any two Principal Parties filing reactivation instruments, resuming from the last certified gate. Dormancy erases nothing.</w:t>
      </w:r>
    </w:p>
    <w:bookmarkEnd w:id="65"/>
    <w:bookmarkStart w:id="66" w:name="survival-of-the-permanent-floor"/>
    <w:p>
      <w:pPr>
        <w:pStyle w:val="Heading3"/>
      </w:pPr>
      <w:r>
        <w:rPr>
          <w:lang w:val="en-US" w:eastAsia="en-US" w:bidi="ar-SA"/>
          <w:rFonts w:asciiTheme="majorHAnsi" w:cstheme="majorBidi" w:eastAsiaTheme="majorEastAsia" w:hAnsiTheme="majorHAnsi"/>
          <w:b/>
          <w:color w:themeColor="accent1"/>
          <w:sz w:val="24"/>
          <w:szCs w:val="24"/>
        </w:rPr>
        <w:t>6.4 Survival of the Permanent Floor</w:t>
      </w:r>
    </w:p>
    <w:p>
      <w:pPr>
        <w:pStyle w:val="FirstParagraph"/>
      </w:pPr>
      <w:r>
        <w:rPr>
          <w:sz w:val="24"/>
          <w:szCs w:val="24"/>
          <w:lang w:val="en-US" w:eastAsia="en-US" w:bidi="ar-SA"/>
        </w:rPr>
        <w:t>Every attainment this Accord certifies (a passed gate, an escalator milestone, a Permanent Floor, a revenue share, a certified route) survives every subsequent event, dispute, or suspension, and reasserts itself automatically upon resumption.</w:t>
      </w:r>
    </w:p>
    <w:p>
      <w:pPr>
        <w:pStyle w:val="Heading3"/>
      </w:pPr>
      <w:r>
        <w:rPr>
          <w:lang w:val="en-US" w:eastAsia="en-US" w:bidi="ar-SA"/>
          <w:rFonts w:asciiTheme="majorHAnsi" w:cstheme="majorBidi" w:eastAsiaTheme="majorEastAsia" w:hAnsiTheme="majorHAnsi"/>
          <w:b/>
          <w:color w:themeColor="accent1"/>
          <w:sz w:val="24"/>
          <w:szCs w:val="24"/>
        </w:rPr>
        <w:t>6.5 The Emergency Acceleration Clause</w:t>
      </w:r>
    </w:p>
    <w:p>
      <w:pPr>
        <w:pStyle w:val="FirstParagraph"/>
      </w:pPr>
      <w:r>
        <w:rPr>
          <w:sz w:val="24"/>
          <w:szCs w:val="24"/>
          <w:lang w:val="en-US" w:eastAsia="en-US" w:bidi="ar-SA"/>
        </w:rPr>
        <w:t>6.5.1 Upon joint certification by both Principal Parties that a regional crisis, the expiry of a diplomatic window, or a humanitarian emergency calls for accelerated activation, the Council compresses the timeline of any layer by up to fifty percent.</w:t>
      </w:r>
    </w:p>
    <w:p>
      <w:pPr>
        <w:pStyle w:val="FirstParagraph"/>
      </w:pPr>
      <w:r>
        <w:rPr>
          <w:sz w:val="24"/>
          <w:szCs w:val="24"/>
          <w:lang w:val="en-US" w:eastAsia="en-US" w:bidi="ar-SA"/>
        </w:rPr>
        <w:t>6.5.2 The compression applies to timelines only, never to gate conditions. Each gate certifies on the published metrics of Annex J, not on the compressed calendar.</w:t>
      </w:r>
    </w:p>
    <w:p>
      <w:pPr>
        <w:pStyle w:val="FirstParagraph"/>
      </w:pPr>
      <w:r>
        <w:rPr>
          <w:sz w:val="24"/>
          <w:szCs w:val="24"/>
          <w:lang w:val="en-US" w:eastAsia="en-US" w:bidi="ar-SA"/>
        </w:rPr>
        <w:t>6.5.3 The Neutral Watch Office certifies that the accelerated pace preserves safety and verification integrity.</w:t>
      </w:r>
    </w:p>
    <w:p>
      <w:pPr>
        <w:pStyle w:val="FirstParagraph"/>
      </w:pPr>
      <w:r>
        <w:rPr>
          <w:sz w:val="24"/>
          <w:szCs w:val="24"/>
          <w:lang w:val="en-US" w:eastAsia="en-US" w:bidi="ar-SA"/>
        </w:rPr>
        <w:t>6.5.4 The Emergency Acceleration Clause executes upon joint certification and Neutral Watch Office confirmation, without any further vote or signature.</w:t>
      </w:r>
    </w:p>
    <w:p>
      <w:pPr>
        <w:pStyle w:val="FirstParagraph"/>
      </w:pPr>
      <w:r>
        <w:rPr>
          <w:sz w:val="24"/>
          <w:szCs w:val="24"/>
          <w:lang w:val="en-US" w:eastAsia="en-US" w:bidi="ar-SA"/>
        </w:rPr>
        <w:t>6.5.5 The Clause functions as a safety valve, not a default. It exists to prevent a political deadline from becoming an operational disaster.</w:t>
      </w:r>
    </w:p>
    <w:p>
      <w:pPr>
        <w:pStyle w:val="Heading3"/>
      </w:pPr>
      <w:r>
        <w:rPr>
          <w:lang w:val="en-US" w:eastAsia="en-US" w:bidi="ar-SA"/>
          <w:rFonts w:asciiTheme="majorHAnsi" w:cstheme="majorBidi" w:eastAsiaTheme="majorEastAsia" w:hAnsiTheme="majorHAnsi"/>
          <w:b/>
          <w:color w:themeColor="accent1"/>
          <w:sz w:val="24"/>
          <w:szCs w:val="24"/>
        </w:rPr>
        <w:t>6.6 Reconstitution from Dormancy</w:t>
      </w:r>
    </w:p>
    <w:p>
      <w:pPr>
        <w:pStyle w:val="FirstParagraph"/>
      </w:pPr>
      <w:r>
        <w:rPr>
          <w:sz w:val="24"/>
          <w:szCs w:val="24"/>
          <w:lang w:val="en-US" w:eastAsia="en-US" w:bidi="ar-SA"/>
        </w:rPr>
        <w:t>6.6.1 Upon any two Principal Parties filing reactivation instruments with the Depositary, the Accord reconstitutes in its entirety, resuming from the last certified gate.</w:t>
      </w:r>
    </w:p>
    <w:p>
      <w:pPr>
        <w:pStyle w:val="FirstParagraph"/>
      </w:pPr>
      <w:r>
        <w:rPr>
          <w:sz w:val="24"/>
          <w:szCs w:val="24"/>
          <w:lang w:val="en-US" w:eastAsia="en-US" w:bidi="ar-SA"/>
        </w:rPr>
        <w:t>6.6.2 Reconstitution completes within 14 days of the filing. The Depositary notifies all participants within 24 hours, and the Bulletin announces reconstitution within 48 hours.</w:t>
      </w:r>
    </w:p>
    <w:p>
      <w:pPr>
        <w:pStyle w:val="FirstParagraph"/>
      </w:pPr>
      <w:r>
        <w:rPr>
          <w:sz w:val="24"/>
          <w:szCs w:val="24"/>
          <w:lang w:val="en-US" w:eastAsia="en-US" w:bidi="ar-SA"/>
        </w:rPr>
        <w:t>6.6.3 All banked performance, Permanent Floors, and certified achievements survive dormancy and reassert themselves automatically upon reconstitution.</w:t>
      </w:r>
    </w:p>
    <w:p>
      <w:pPr>
        <w:pStyle w:val="FirstParagraph"/>
      </w:pPr>
      <w:r>
        <w:rPr>
          <w:sz w:val="24"/>
          <w:szCs w:val="24"/>
          <w:lang w:val="en-US" w:eastAsia="en-US" w:bidi="ar-SA"/>
        </w:rPr>
        <w:t>6.6.4 The Humanitarian Bridge of Article 1.7 remains operational through dormancy: humanitarian traffic never stops, even while the political architecture sleeps.</w:t>
      </w:r>
    </w:p>
    <w:bookmarkEnd w:id="66"/>
    <w:bookmarkEnd w:id="67"/>
    <w:bookmarkStart w:id="73" w:name="X1ac3333f527ff1fe844746ca251a4438918d553"/>
    <w:p>
      <w:pPr>
        <w:pStyle w:val="Heading2"/>
      </w:pPr>
      <w:r>
        <w:rPr>
          <w:lang w:val="en-US" w:eastAsia="en-US" w:bidi="ar-SA"/>
          <w:rFonts w:asciiTheme="majorHAnsi" w:cstheme="majorBidi" w:eastAsiaTheme="majorEastAsia" w:hAnsiTheme="majorHAnsi"/>
          <w:b/>
          <w:color w:themeColor="accent1"/>
          <w:sz w:val="28"/>
          <w:szCs w:val="28"/>
        </w:rPr>
        <w:t>Article 7: The Layered Activation Doctrine and the Stability Gates</w:t>
      </w:r>
    </w:p>
    <w:bookmarkStart w:id="68" w:name="the-doctrine"/>
    <w:p>
      <w:pPr>
        <w:pStyle w:val="Heading3"/>
      </w:pPr>
      <w:r>
        <w:rPr>
          <w:lang w:val="en-US" w:eastAsia="en-US" w:bidi="ar-SA"/>
          <w:rFonts w:asciiTheme="majorHAnsi" w:cstheme="majorBidi" w:eastAsiaTheme="majorEastAsia" w:hAnsiTheme="majorHAnsi"/>
          <w:b/>
          <w:color w:themeColor="accent1"/>
          <w:sz w:val="24"/>
          <w:szCs w:val="24"/>
        </w:rPr>
        <w:t>7.1 The Doctrine</w:t>
      </w:r>
    </w:p>
    <w:p>
      <w:pPr>
        <w:pStyle w:val="FirstParagraph"/>
      </w:pPr>
      <w:r>
        <w:rPr>
          <w:sz w:val="24"/>
          <w:szCs w:val="24"/>
          <w:lang w:val="en-US" w:eastAsia="en-US" w:bidi="ar-SA"/>
        </w:rPr>
        <w:t>Governance under this Accord grows by accretion, not by grant. Each layer adds capability upon the certified stability of the layer beneath. The doctrine holds three rules: no layer opens before its gate certifies; no gate certifies without its published metrics standing satisfied; and no Party, institution, or observer holds a vote, veto, or suspension power over a certification the record supports.</w:t>
      </w:r>
    </w:p>
    <w:bookmarkEnd w:id="68"/>
    <w:bookmarkStart w:id="69" w:name="the-gates"/>
    <w:p>
      <w:pPr>
        <w:pStyle w:val="Heading3"/>
      </w:pPr>
      <w:r>
        <w:rPr>
          <w:lang w:val="en-US" w:eastAsia="en-US" w:bidi="ar-SA"/>
          <w:rFonts w:asciiTheme="majorHAnsi" w:cstheme="majorBidi" w:eastAsiaTheme="majorEastAsia" w:hAnsiTheme="majorHAnsi"/>
          <w:b/>
          <w:color w:themeColor="accent1"/>
          <w:sz w:val="24"/>
          <w:szCs w:val="24"/>
        </w:rPr>
        <w:t>7.2 The Gates</w:t>
      </w:r>
    </w:p>
    <w:p>
      <w:pPr>
        <w:pStyle w:val="FirstParagraph"/>
      </w:pPr>
      <w:r>
        <w:rPr>
          <w:sz w:val="24"/>
          <w:szCs w:val="24"/>
          <w:lang w:val="en-US" w:eastAsia="en-US" w:bidi="ar-SA"/>
        </w:rPr>
        <w:t>The six gates and their certifying measurements are:</w:t>
      </w:r>
    </w:p>
    <w:tbl>
      <w:tblPr>
        <w:tblStyle w:val="Table"/>
        <w:tblW w:type="pct" w:w="5000"/>
        <w:tblLook w:firstRow="1" w:lastRow="0" w:firstColumn="0" w:lastColumn="0" w:noHBand="0" w:noVBand="0" w:val="0020"/>
      </w:tblPr>
      <w:tblGrid>
        <w:gridCol w:w="2640"/>
        <w:gridCol w:w="2640"/>
        <w:gridCol w:w="2640"/>
      </w:tblGrid>
      <w:tr>
        <w:trPr>
          <w:tblHeader w:val="1"/>
        </w:trPr>
        <w:tc>
          <w:tcPr>
            <w:tcW w:w="2640" w:type="dxa"/>
          </w:tcPr>
          <w:p>
            <w:pPr>
              <w:pStyle w:val="Compact"/>
              <w:jc w:val="left"/>
            </w:pPr>
            <w:r>
              <w:rPr>
                <w:sz w:val="24"/>
                <w:szCs w:val="24"/>
                <w:lang w:val="en-US" w:eastAsia="en-US" w:bidi="ar-SA"/>
              </w:rPr>
              <w:t>Gate</w:t>
            </w:r>
          </w:p>
        </w:tc>
        <w:tc>
          <w:tcPr>
            <w:tcW w:w="2640" w:type="dxa"/>
          </w:tcPr>
          <w:p>
            <w:pPr>
              <w:pStyle w:val="Compact"/>
              <w:jc w:val="left"/>
            </w:pPr>
            <w:r>
              <w:rPr>
                <w:sz w:val="24"/>
                <w:szCs w:val="24"/>
                <w:lang w:val="en-US" w:eastAsia="en-US" w:bidi="ar-SA"/>
              </w:rPr>
              <w:t>Certifies</w:t>
            </w:r>
          </w:p>
        </w:tc>
        <w:tc>
          <w:tcPr>
            <w:tcW w:w="2640" w:type="dxa"/>
          </w:tcPr>
          <w:p>
            <w:pPr>
              <w:pStyle w:val="Compact"/>
              <w:jc w:val="left"/>
            </w:pPr>
            <w:r>
              <w:rPr>
                <w:sz w:val="24"/>
                <w:szCs w:val="24"/>
                <w:lang w:val="en-US" w:eastAsia="en-US" w:bidi="ar-SA"/>
              </w:rPr>
              <w:t>Core metrics (full schedule in Annex J)</w:t>
            </w:r>
          </w:p>
        </w:tc>
      </w:tr>
      <w:tr>
        <w:tc>
          <w:tcPr>
            <w:tcW w:w="2640" w:type="dxa"/>
          </w:tcPr>
          <w:p>
            <w:pPr>
              <w:pStyle w:val="Compact"/>
              <w:jc w:val="left"/>
            </w:pPr>
            <w:r>
              <w:rPr>
                <w:sz w:val="24"/>
                <w:szCs w:val="24"/>
                <w:lang w:val="en-US" w:eastAsia="en-US" w:bidi="ar-SA"/>
              </w:rPr>
              <w:t>G-0</w:t>
            </w:r>
          </w:p>
        </w:tc>
        <w:tc>
          <w:tcPr>
            <w:tcW w:w="2640" w:type="dxa"/>
          </w:tcPr>
          <w:p>
            <w:pPr>
              <w:pStyle w:val="Compact"/>
              <w:jc w:val="left"/>
            </w:pPr>
            <w:r>
              <w:rPr>
                <w:sz w:val="24"/>
                <w:szCs w:val="24"/>
                <w:lang w:val="en-US" w:eastAsia="en-US" w:bidi="ar-SA"/>
              </w:rPr>
              <w:t>The Micro-Exercise Lattice operated stably</w:t>
            </w:r>
          </w:p>
        </w:tc>
        <w:tc>
          <w:tcPr>
            <w:tcW w:w="2640" w:type="dxa"/>
          </w:tcPr>
          <w:p>
            <w:pPr>
              <w:pStyle w:val="Compact"/>
              <w:jc w:val="left"/>
            </w:pPr>
            <w:r>
              <w:rPr>
                <w:sz w:val="24"/>
                <w:szCs w:val="24"/>
                <w:lang w:val="en-US" w:eastAsia="en-US" w:bidi="ar-SA"/>
              </w:rPr>
              <w:t>30 consecutive days of lattice operation; at least 40 of 50 exercises activated; zero unresolved Level-2 incidents; Lattice Cell recommendation recorded</w:t>
            </w:r>
          </w:p>
        </w:tc>
      </w:tr>
      <w:tr>
        <w:tc>
          <w:tcPr>
            <w:tcW w:w="2640" w:type="dxa"/>
          </w:tcPr>
          <w:p>
            <w:pPr>
              <w:pStyle w:val="Compact"/>
              <w:jc w:val="left"/>
            </w:pPr>
            <w:r>
              <w:rPr>
                <w:sz w:val="24"/>
                <w:szCs w:val="24"/>
                <w:lang w:val="en-US" w:eastAsia="en-US" w:bidi="ar-SA"/>
              </w:rPr>
              <w:t>G-1</w:t>
            </w:r>
          </w:p>
        </w:tc>
        <w:tc>
          <w:tcPr>
            <w:tcW w:w="2640" w:type="dxa"/>
          </w:tcPr>
          <w:p>
            <w:pPr>
              <w:pStyle w:val="Compact"/>
              <w:jc w:val="left"/>
            </w:pPr>
            <w:r>
              <w:rPr>
                <w:sz w:val="24"/>
                <w:szCs w:val="24"/>
                <w:lang w:val="en-US" w:eastAsia="en-US" w:bidi="ar-SA"/>
              </w:rPr>
              <w:t>The Shared Data Layer is complete and clean</w:t>
            </w:r>
          </w:p>
        </w:tc>
        <w:tc>
          <w:tcPr>
            <w:tcW w:w="2640" w:type="dxa"/>
          </w:tcPr>
          <w:p>
            <w:pPr>
              <w:pStyle w:val="Compact"/>
              <w:jc w:val="left"/>
            </w:pPr>
            <w:r>
              <w:rPr>
                <w:sz w:val="24"/>
                <w:szCs w:val="24"/>
                <w:lang w:val="en-US" w:eastAsia="en-US" w:bidi="ar-SA"/>
              </w:rPr>
              <w:t>21 consecutive days of dual-mirror data parity at 99.5 percent or better; zero custody breaches; Open Water Bulletin publishing daily</w:t>
            </w:r>
          </w:p>
        </w:tc>
      </w:tr>
      <w:tr>
        <w:tc>
          <w:tcPr>
            <w:tcW w:w="2640" w:type="dxa"/>
          </w:tcPr>
          <w:p>
            <w:pPr>
              <w:pStyle w:val="Compact"/>
              <w:jc w:val="left"/>
            </w:pPr>
            <w:r>
              <w:rPr>
                <w:sz w:val="24"/>
                <w:szCs w:val="24"/>
                <w:lang w:val="en-US" w:eastAsia="en-US" w:bidi="ar-SA"/>
              </w:rPr>
              <w:t>G-2</w:t>
            </w:r>
          </w:p>
        </w:tc>
        <w:tc>
          <w:tcPr>
            <w:tcW w:w="2640" w:type="dxa"/>
          </w:tcPr>
          <w:p>
            <w:pPr>
              <w:pStyle w:val="Compact"/>
              <w:jc w:val="left"/>
            </w:pPr>
            <w:r>
              <w:rPr>
                <w:sz w:val="24"/>
                <w:szCs w:val="24"/>
                <w:lang w:val="en-US" w:eastAsia="en-US" w:bidi="ar-SA"/>
              </w:rPr>
              <w:t>The Corridor System operates safely</w:t>
            </w:r>
          </w:p>
        </w:tc>
        <w:tc>
          <w:tcPr>
            <w:tcW w:w="2640" w:type="dxa"/>
          </w:tcPr>
          <w:p>
            <w:pPr>
              <w:pStyle w:val="Compact"/>
              <w:jc w:val="left"/>
            </w:pPr>
            <w:r>
              <w:rPr>
                <w:sz w:val="24"/>
                <w:szCs w:val="24"/>
                <w:lang w:val="en-US" w:eastAsia="en-US" w:bidi="ar-SA"/>
              </w:rPr>
              <w:t>28 consecutive days of corridor operation; at least 100 certified transits; zero interdiction events; interim route mine-clearance certificate issued</w:t>
            </w:r>
          </w:p>
        </w:tc>
      </w:tr>
      <w:tr>
        <w:tc>
          <w:tcPr>
            <w:tcW w:w="2640" w:type="dxa"/>
          </w:tcPr>
          <w:p>
            <w:pPr>
              <w:pStyle w:val="Compact"/>
              <w:jc w:val="left"/>
            </w:pPr>
            <w:r>
              <w:rPr>
                <w:sz w:val="24"/>
                <w:szCs w:val="24"/>
                <w:lang w:val="en-US" w:eastAsia="en-US" w:bidi="ar-SA"/>
              </w:rPr>
              <w:t>G-3</w:t>
            </w:r>
          </w:p>
        </w:tc>
        <w:tc>
          <w:tcPr>
            <w:tcW w:w="2640" w:type="dxa"/>
          </w:tcPr>
          <w:p>
            <w:pPr>
              <w:pStyle w:val="Compact"/>
              <w:jc w:val="left"/>
            </w:pPr>
            <w:r>
              <w:rPr>
                <w:sz w:val="24"/>
                <w:szCs w:val="24"/>
                <w:lang w:val="en-US" w:eastAsia="en-US" w:bidi="ar-SA"/>
              </w:rPr>
              <w:t>The Revenue Architecture is sound</w:t>
            </w:r>
          </w:p>
        </w:tc>
        <w:tc>
          <w:tcPr>
            <w:tcW w:w="2640" w:type="dxa"/>
          </w:tcPr>
          <w:p>
            <w:pPr>
              <w:pStyle w:val="Compact"/>
              <w:jc w:val="left"/>
            </w:pPr>
            <w:r>
              <w:rPr>
                <w:sz w:val="24"/>
                <w:szCs w:val="24"/>
                <w:lang w:val="en-US" w:eastAsia="en-US" w:bidi="ar-SA"/>
              </w:rPr>
              <w:t>60 consecutive days of clean escrow reconciliation; zero direct-payment findings; service records matching invoices at 100 percent</w:t>
            </w:r>
          </w:p>
        </w:tc>
      </w:tr>
      <w:tr>
        <w:tc>
          <w:tcPr>
            <w:tcW w:w="2640" w:type="dxa"/>
          </w:tcPr>
          <w:p>
            <w:pPr>
              <w:pStyle w:val="Compact"/>
              <w:jc w:val="left"/>
            </w:pPr>
            <w:r>
              <w:rPr>
                <w:sz w:val="24"/>
                <w:szCs w:val="24"/>
                <w:lang w:val="en-US" w:eastAsia="en-US" w:bidi="ar-SA"/>
              </w:rPr>
              <w:t>G-4</w:t>
            </w:r>
          </w:p>
        </w:tc>
        <w:tc>
          <w:tcPr>
            <w:tcW w:w="2640" w:type="dxa"/>
          </w:tcPr>
          <w:p>
            <w:pPr>
              <w:pStyle w:val="Compact"/>
              <w:jc w:val="left"/>
            </w:pPr>
            <w:r>
              <w:rPr>
                <w:sz w:val="24"/>
                <w:szCs w:val="24"/>
                <w:lang w:val="en-US" w:eastAsia="en-US" w:bidi="ar-SA"/>
              </w:rPr>
              <w:t>The Oversight Institutions govern stably</w:t>
            </w:r>
          </w:p>
        </w:tc>
        <w:tc>
          <w:tcPr>
            <w:tcW w:w="2640" w:type="dxa"/>
          </w:tcPr>
          <w:p>
            <w:pPr>
              <w:pStyle w:val="Compact"/>
              <w:jc w:val="left"/>
            </w:pPr>
            <w:r>
              <w:rPr>
                <w:sz w:val="24"/>
                <w:szCs w:val="24"/>
                <w:lang w:val="en-US" w:eastAsia="en-US" w:bidi="ar-SA"/>
              </w:rPr>
              <w:t>Full Unlock attained and held for 28 consecutive days; tribunal seated and caseload current; Mutual Claims Commission seated</w:t>
            </w:r>
          </w:p>
        </w:tc>
      </w:tr>
      <w:tr>
        <w:tc>
          <w:tcPr>
            <w:tcW w:w="2640" w:type="dxa"/>
          </w:tcPr>
          <w:p>
            <w:pPr>
              <w:pStyle w:val="Compact"/>
              <w:jc w:val="left"/>
            </w:pPr>
            <w:r>
              <w:rPr>
                <w:sz w:val="24"/>
                <w:szCs w:val="24"/>
                <w:lang w:val="en-US" w:eastAsia="en-US" w:bidi="ar-SA"/>
              </w:rPr>
              <w:t>G-5</w:t>
            </w:r>
          </w:p>
        </w:tc>
        <w:tc>
          <w:tcPr>
            <w:tcW w:w="2640" w:type="dxa"/>
          </w:tcPr>
          <w:p>
            <w:pPr>
              <w:pStyle w:val="Compact"/>
              <w:jc w:val="left"/>
            </w:pPr>
            <w:r>
              <w:rPr>
                <w:sz w:val="24"/>
                <w:szCs w:val="24"/>
                <w:lang w:val="en-US" w:eastAsia="en-US" w:bidi="ar-SA"/>
              </w:rPr>
              <w:t>The system is ready for permanence</w:t>
            </w:r>
          </w:p>
        </w:tc>
        <w:tc>
          <w:tcPr>
            <w:tcW w:w="2640" w:type="dxa"/>
          </w:tcPr>
          <w:p>
            <w:pPr>
              <w:pStyle w:val="Compact"/>
              <w:jc w:val="left"/>
            </w:pPr>
            <w:r>
              <w:rPr>
                <w:sz w:val="24"/>
                <w:szCs w:val="24"/>
                <w:lang w:val="en-US" w:eastAsia="en-US" w:bidi="ar-SA"/>
              </w:rPr>
              <w:t>Council resolution under Consensus Minus One; depositary confirmation of instruments; IMO lodgment complete</w:t>
            </w:r>
          </w:p>
        </w:tc>
      </w:tr>
    </w:tbl>
    <w:bookmarkEnd w:id="69"/>
    <w:bookmarkStart w:id="70" w:name="automatic-certification"/>
    <w:p>
      <w:pPr>
        <w:pStyle w:val="Heading3"/>
      </w:pPr>
      <w:r>
        <w:rPr>
          <w:lang w:val="en-US" w:eastAsia="en-US" w:bidi="ar-SA"/>
          <w:rFonts w:asciiTheme="majorHAnsi" w:cstheme="majorBidi" w:eastAsiaTheme="majorEastAsia" w:hAnsiTheme="majorHAnsi"/>
          <w:b/>
          <w:color w:themeColor="accent1"/>
          <w:sz w:val="24"/>
          <w:szCs w:val="24"/>
        </w:rPr>
        <w:t>7.3 Automatic Certification</w:t>
      </w:r>
    </w:p>
    <w:p>
      <w:pPr>
        <w:pStyle w:val="FirstParagraph"/>
      </w:pPr>
      <w:r>
        <w:rPr>
          <w:sz w:val="24"/>
          <w:szCs w:val="24"/>
          <w:lang w:val="en-US" w:eastAsia="en-US" w:bidi="ar-SA"/>
        </w:rPr>
        <w:t>The Neutral Watch Office computes each gate’s metrics from the published record and issues the gate certificate within 24 hours of the metrics standing satisfied. The certificate opens the next layer at 00:00 UTC on the day following issuance. No ceremony, vote, or signature intervenes.</w:t>
      </w:r>
    </w:p>
    <w:bookmarkEnd w:id="70"/>
    <w:bookmarkStart w:id="71" w:name="pause-never-reset"/>
    <w:p>
      <w:pPr>
        <w:pStyle w:val="Heading3"/>
      </w:pPr>
      <w:r>
        <w:rPr>
          <w:lang w:val="en-US" w:eastAsia="en-US" w:bidi="ar-SA"/>
          <w:rFonts w:asciiTheme="majorHAnsi" w:cstheme="majorBidi" w:eastAsiaTheme="majorEastAsia" w:hAnsiTheme="majorHAnsi"/>
          <w:b/>
          <w:color w:themeColor="accent1"/>
          <w:sz w:val="24"/>
          <w:szCs w:val="24"/>
        </w:rPr>
        <w:t>7.4 Pause, Never Reset</w:t>
      </w:r>
    </w:p>
    <w:p>
      <w:pPr>
        <w:pStyle w:val="FirstParagraph"/>
      </w:pPr>
      <w:r>
        <w:rPr>
          <w:sz w:val="24"/>
          <w:szCs w:val="24"/>
          <w:lang w:val="en-US" w:eastAsia="en-US" w:bidi="ar-SA"/>
        </w:rPr>
        <w:t>A Party suspends any layer’s operation by notice to the depositary, and the layer pauses. A pause stops the clock; it never rewinds it. Accumulated certifications, Clean Weeks, milestones, and floors persist through every pause, and resumption continues from the recorded position. Article 45 alone governs step-backs, and no step-back erases a Permanent Floor.</w:t>
      </w:r>
    </w:p>
    <w:bookmarkEnd w:id="71"/>
    <w:bookmarkStart w:id="72" w:name="the-synchronized-opening"/>
    <w:p>
      <w:pPr>
        <w:pStyle w:val="Heading3"/>
      </w:pPr>
      <w:r>
        <w:rPr>
          <w:lang w:val="en-US" w:eastAsia="en-US" w:bidi="ar-SA"/>
          <w:rFonts w:asciiTheme="majorHAnsi" w:cstheme="majorBidi" w:eastAsiaTheme="majorEastAsia" w:hAnsiTheme="majorHAnsi"/>
          <w:b/>
          <w:color w:themeColor="accent1"/>
          <w:sz w:val="24"/>
          <w:szCs w:val="24"/>
        </w:rPr>
        <w:t>7.5 The Synchronized Opening</w:t>
      </w:r>
    </w:p>
    <w:p>
      <w:pPr>
        <w:pStyle w:val="FirstParagraph"/>
      </w:pPr>
      <w:r>
        <w:rPr>
          <w:sz w:val="24"/>
          <w:szCs w:val="24"/>
          <w:lang w:val="en-US" w:eastAsia="en-US" w:bidi="ar-SA"/>
        </w:rPr>
        <w:t>Layer 0 opens at 00:00 UTC on the day of entry into force, and on that same day the following synchronized acts execute: the United States commences the blockade drawdown schedule of Annex N, Table N.2; Iran and Oman publish the joint readiness declaration confirming the corridor geometry; the depositary opens the Accord registers; the hotline network of Annex C activates and completes its first full test; and the Lattice Cell convenes its first session.</w:t>
      </w:r>
    </w:p>
    <w:p>
      <w:pPr>
        <w:pStyle w:val="Heading3"/>
      </w:pPr>
      <w:r>
        <w:rPr>
          <w:lang w:val="en-US" w:eastAsia="en-US" w:bidi="ar-SA"/>
          <w:rFonts w:asciiTheme="majorHAnsi" w:cstheme="majorBidi" w:eastAsiaTheme="majorEastAsia" w:hAnsiTheme="majorHAnsi"/>
          <w:b/>
          <w:color w:themeColor="accent1"/>
          <w:sz w:val="24"/>
          <w:szCs w:val="24"/>
        </w:rPr>
        <w:t>7.6 Concurrent Activation</w:t>
      </w:r>
    </w:p>
    <w:p>
      <w:pPr>
        <w:pStyle w:val="FirstParagraph"/>
      </w:pPr>
      <w:r>
        <w:rPr>
          <w:sz w:val="24"/>
          <w:szCs w:val="24"/>
          <w:lang w:val="en-US" w:eastAsia="en-US" w:bidi="ar-SA"/>
        </w:rPr>
        <w:t>7.6.1 Layers activate concurrently, rather than sequentially, where the gate conditions of the earlier layer stand met and the later layer’s elements do not depend on the earlier layer’s full operational maturity.</w:t>
      </w:r>
    </w:p>
    <w:p>
      <w:pPr>
        <w:pStyle w:val="FirstParagraph"/>
      </w:pPr>
      <w:r>
        <w:rPr>
          <w:sz w:val="24"/>
          <w:szCs w:val="24"/>
          <w:lang w:val="en-US" w:eastAsia="en-US" w:bidi="ar-SA"/>
        </w:rPr>
        <w:t>7.6.2 Layer 0 (the Micro-Exercise Lattice) and Layer 1 (the Shared Data Layer) run concurrently from Day 0: Layer 0 operates from Day 0 to Day 30, and Layer 1 builds from Day 0 to Day 45.</w:t>
      </w:r>
    </w:p>
    <w:p>
      <w:pPr>
        <w:pStyle w:val="FirstParagraph"/>
      </w:pPr>
      <w:r>
        <w:rPr>
          <w:sz w:val="24"/>
          <w:szCs w:val="24"/>
          <w:lang w:val="en-US" w:eastAsia="en-US" w:bidi="ar-SA"/>
        </w:rPr>
        <w:t>7.6.3 Layer 2 (the Coordinated Routing Layer) runs from Day 15 to Day 60, and Layer 3 (the Revenue and Services Layer) runs from Day 30 to Day 90, concurrently.</w:t>
      </w:r>
    </w:p>
    <w:p>
      <w:pPr>
        <w:pStyle w:val="FirstParagraph"/>
      </w:pPr>
      <w:r>
        <w:rPr>
          <w:sz w:val="24"/>
          <w:szCs w:val="24"/>
          <w:lang w:val="en-US" w:eastAsia="en-US" w:bidi="ar-SA"/>
        </w:rPr>
        <w:t>7.6.4 Layer 4 (the Joint Oversight Layer) runs from Day 45 to Day 105, and Layer 5 (the Permanent Charter) runs from Day 90 to Day 120, with the Charter signature-ready by Day 120.</w:t>
      </w:r>
    </w:p>
    <w:p>
      <w:pPr>
        <w:pStyle w:val="FirstParagraph"/>
      </w:pPr>
      <w:r>
        <w:rPr>
          <w:sz w:val="24"/>
          <w:szCs w:val="24"/>
          <w:lang w:val="en-US" w:eastAsia="en-US" w:bidi="ar-SA"/>
        </w:rPr>
        <w:t>7.6.5 Concurrent activation parallelizes verification; it never skips it. Each layer certifies its own gate conditions, and no layer’s elements activate until their gate conditions stand met.</w:t>
      </w:r>
    </w:p>
    <w:p>
      <w:pPr>
        <w:pStyle w:val="FirstParagraph"/>
      </w:pPr>
      <w:r>
        <w:rPr>
          <w:sz w:val="24"/>
          <w:szCs w:val="24"/>
          <w:lang w:val="en-US" w:eastAsia="en-US" w:bidi="ar-SA"/>
        </w:rPr>
        <w:t>The accelerated gating schedule runs as follows:</w:t>
      </w:r>
    </w:p>
    <w:tbl>
      <w:tblPr>
        <w:tblStyle w:val="Table"/>
        <w:tblW w:type="pct" w:w="5000"/>
        <w:tblLook w:firstRow="1" w:lastRow="0" w:firstColumn="0" w:lastColumn="0" w:noHBand="0" w:noVBand="0" w:val="0020"/>
      </w:tblPr>
      <w:tblGrid>
        <w:gridCol w:w="2640"/>
        <w:gridCol w:w="2640"/>
        <w:gridCol w:w="2640"/>
        <w:gridCol w:w="2640"/>
      </w:tblGrid>
      <w:tr>
        <w:trPr>
          <w:tblHeader w:val="1"/>
        </w:trPr>
        <w:tc>
          <w:tcPr>
            <w:tcW w:w="2640" w:type="dxa"/>
          </w:tcPr>
          <w:p>
            <w:pPr>
              <w:pStyle w:val="Compact"/>
              <w:jc w:val="left"/>
            </w:pPr>
            <w:r>
              <w:rPr>
                <w:sz w:val="24"/>
                <w:szCs w:val="24"/>
                <w:lang w:val="en-US" w:eastAsia="en-US" w:bidi="ar-SA"/>
              </w:rPr>
              <w:t>Gate</w:t>
            </w:r>
          </w:p>
        </w:tc>
        <w:tc>
          <w:tcPr>
            <w:tcW w:w="2640" w:type="dxa"/>
          </w:tcPr>
          <w:p>
            <w:pPr>
              <w:pStyle w:val="Compact"/>
              <w:jc w:val="left"/>
            </w:pPr>
            <w:r>
              <w:rPr>
                <w:sz w:val="24"/>
                <w:szCs w:val="24"/>
                <w:lang w:val="en-US" w:eastAsia="en-US" w:bidi="ar-SA"/>
              </w:rPr>
              <w:t>Layer</w:t>
            </w:r>
          </w:p>
        </w:tc>
        <w:tc>
          <w:tcPr>
            <w:tcW w:w="2640" w:type="dxa"/>
          </w:tcPr>
          <w:p>
            <w:pPr>
              <w:pStyle w:val="Compact"/>
              <w:jc w:val="left"/>
            </w:pPr>
            <w:r>
              <w:rPr>
                <w:sz w:val="24"/>
                <w:szCs w:val="24"/>
                <w:lang w:val="en-US" w:eastAsia="en-US" w:bidi="ar-SA"/>
              </w:rPr>
              <w:t>Target day</w:t>
            </w:r>
          </w:p>
        </w:tc>
        <w:tc>
          <w:tcPr>
            <w:tcW w:w="2640" w:type="dxa"/>
          </w:tcPr>
          <w:p>
            <w:pPr>
              <w:pStyle w:val="Compact"/>
              <w:jc w:val="left"/>
            </w:pPr>
            <w:r>
              <w:rPr>
                <w:sz w:val="24"/>
                <w:szCs w:val="24"/>
                <w:lang w:val="en-US" w:eastAsia="en-US" w:bidi="ar-SA"/>
              </w:rPr>
              <w:t>Conditions</w:t>
            </w:r>
          </w:p>
        </w:tc>
      </w:tr>
      <w:tr>
        <w:trPr>
          <w:tblHeader w:val="1"/>
        </w:trPr>
        <w:tc>
          <w:tcPr>
            <w:tcW w:w="2640" w:type="dxa"/>
          </w:tcPr>
          <w:p>
            <w:pPr>
              <w:pStyle w:val="Compact"/>
              <w:jc w:val="left"/>
            </w:pPr>
            <w:r>
              <w:rPr>
                <w:sz w:val="24"/>
                <w:szCs w:val="24"/>
                <w:lang w:val="en-US" w:eastAsia="en-US" w:bidi="ar-SA"/>
              </w:rPr>
              <w:t>G-0</w:t>
            </w:r>
          </w:p>
        </w:tc>
        <w:tc>
          <w:tcPr>
            <w:tcW w:w="2640" w:type="dxa"/>
          </w:tcPr>
          <w:p>
            <w:pPr>
              <w:pStyle w:val="Compact"/>
              <w:jc w:val="left"/>
            </w:pPr>
            <w:r>
              <w:rPr>
                <w:sz w:val="24"/>
                <w:szCs w:val="24"/>
                <w:lang w:val="en-US" w:eastAsia="en-US" w:bidi="ar-SA"/>
              </w:rPr>
              <w:t>Layer 0</w:t>
            </w:r>
          </w:p>
        </w:tc>
        <w:tc>
          <w:tcPr>
            <w:tcW w:w="2640" w:type="dxa"/>
          </w:tcPr>
          <w:p>
            <w:pPr>
              <w:pStyle w:val="Compact"/>
              <w:jc w:val="left"/>
            </w:pPr>
            <w:r>
              <w:rPr>
                <w:sz w:val="24"/>
                <w:szCs w:val="24"/>
                <w:lang w:val="en-US" w:eastAsia="en-US" w:bidi="ar-SA"/>
              </w:rPr>
              <w:t>Day 30</w:t>
            </w:r>
          </w:p>
        </w:tc>
        <w:tc>
          <w:tcPr>
            <w:tcW w:w="2640" w:type="dxa"/>
          </w:tcPr>
          <w:p>
            <w:pPr>
              <w:pStyle w:val="Compact"/>
              <w:jc w:val="left"/>
            </w:pPr>
            <w:r>
              <w:rPr>
                <w:sz w:val="24"/>
                <w:szCs w:val="24"/>
                <w:lang w:val="en-US" w:eastAsia="en-US" w:bidi="ar-SA"/>
              </w:rPr>
              <w:t>40 of 50 exercises; zero unresolved Level-2 incidents</w:t>
            </w:r>
          </w:p>
        </w:tc>
      </w:tr>
      <w:tr>
        <w:trPr>
          <w:tblHeader w:val="1"/>
        </w:trPr>
        <w:tc>
          <w:tcPr>
            <w:tcW w:w="2640" w:type="dxa"/>
          </w:tcPr>
          <w:p>
            <w:pPr>
              <w:pStyle w:val="Compact"/>
              <w:jc w:val="left"/>
            </w:pPr>
            <w:r>
              <w:rPr>
                <w:sz w:val="24"/>
                <w:szCs w:val="24"/>
                <w:lang w:val="en-US" w:eastAsia="en-US" w:bidi="ar-SA"/>
              </w:rPr>
              <w:t>G-1</w:t>
            </w:r>
          </w:p>
        </w:tc>
        <w:tc>
          <w:tcPr>
            <w:tcW w:w="2640" w:type="dxa"/>
          </w:tcPr>
          <w:p>
            <w:pPr>
              <w:pStyle w:val="Compact"/>
              <w:jc w:val="left"/>
            </w:pPr>
            <w:r>
              <w:rPr>
                <w:sz w:val="24"/>
                <w:szCs w:val="24"/>
                <w:lang w:val="en-US" w:eastAsia="en-US" w:bidi="ar-SA"/>
              </w:rPr>
              <w:t>Layer 1</w:t>
            </w:r>
          </w:p>
        </w:tc>
        <w:tc>
          <w:tcPr>
            <w:tcW w:w="2640" w:type="dxa"/>
          </w:tcPr>
          <w:p>
            <w:pPr>
              <w:pStyle w:val="Compact"/>
              <w:jc w:val="left"/>
            </w:pPr>
            <w:r>
              <w:rPr>
                <w:sz w:val="24"/>
                <w:szCs w:val="24"/>
                <w:lang w:val="en-US" w:eastAsia="en-US" w:bidi="ar-SA"/>
              </w:rPr>
              <w:t>Day 30</w:t>
            </w:r>
          </w:p>
        </w:tc>
        <w:tc>
          <w:tcPr>
            <w:tcW w:w="2640" w:type="dxa"/>
          </w:tcPr>
          <w:p>
            <w:pPr>
              <w:pStyle w:val="Compact"/>
              <w:jc w:val="left"/>
            </w:pPr>
            <w:r>
              <w:rPr>
                <w:sz w:val="24"/>
                <w:szCs w:val="24"/>
                <w:lang w:val="en-US" w:eastAsia="en-US" w:bidi="ar-SA"/>
              </w:rPr>
              <w:t>Concurrent with G-0; parity at 99.5 percent; Bulletin daily</w:t>
            </w:r>
          </w:p>
        </w:tc>
      </w:tr>
      <w:tr>
        <w:trPr>
          <w:tblHeader w:val="1"/>
        </w:trPr>
        <w:tc>
          <w:tcPr>
            <w:tcW w:w="2640" w:type="dxa"/>
          </w:tcPr>
          <w:p>
            <w:pPr>
              <w:pStyle w:val="Compact"/>
              <w:jc w:val="left"/>
            </w:pPr>
            <w:r>
              <w:rPr>
                <w:sz w:val="24"/>
                <w:szCs w:val="24"/>
                <w:lang w:val="en-US" w:eastAsia="en-US" w:bidi="ar-SA"/>
              </w:rPr>
              <w:t>G-2</w:t>
            </w:r>
          </w:p>
        </w:tc>
        <w:tc>
          <w:tcPr>
            <w:tcW w:w="2640" w:type="dxa"/>
          </w:tcPr>
          <w:p>
            <w:pPr>
              <w:pStyle w:val="Compact"/>
              <w:jc w:val="left"/>
            </w:pPr>
            <w:r>
              <w:rPr>
                <w:sz w:val="24"/>
                <w:szCs w:val="24"/>
                <w:lang w:val="en-US" w:eastAsia="en-US" w:bidi="ar-SA"/>
              </w:rPr>
              <w:t>Layer 2</w:t>
            </w:r>
          </w:p>
        </w:tc>
        <w:tc>
          <w:tcPr>
            <w:tcW w:w="2640" w:type="dxa"/>
          </w:tcPr>
          <w:p>
            <w:pPr>
              <w:pStyle w:val="Compact"/>
              <w:jc w:val="left"/>
            </w:pPr>
            <w:r>
              <w:rPr>
                <w:sz w:val="24"/>
                <w:szCs w:val="24"/>
                <w:lang w:val="en-US" w:eastAsia="en-US" w:bidi="ar-SA"/>
              </w:rPr>
              <w:t>Day 60</w:t>
            </w:r>
          </w:p>
        </w:tc>
        <w:tc>
          <w:tcPr>
            <w:tcW w:w="2640" w:type="dxa"/>
          </w:tcPr>
          <w:p>
            <w:pPr>
              <w:pStyle w:val="Compact"/>
              <w:jc w:val="left"/>
            </w:pPr>
            <w:r>
              <w:rPr>
                <w:sz w:val="24"/>
                <w:szCs w:val="24"/>
                <w:lang w:val="en-US" w:eastAsia="en-US" w:bidi="ar-SA"/>
              </w:rPr>
              <w:t>28 days corridor; 100 transits; zero interdiction</w:t>
            </w:r>
          </w:p>
        </w:tc>
      </w:tr>
      <w:tr>
        <w:trPr>
          <w:tblHeader w:val="1"/>
        </w:trPr>
        <w:tc>
          <w:tcPr>
            <w:tcW w:w="2640" w:type="dxa"/>
          </w:tcPr>
          <w:p>
            <w:pPr>
              <w:pStyle w:val="Compact"/>
              <w:jc w:val="left"/>
            </w:pPr>
            <w:r>
              <w:rPr>
                <w:sz w:val="24"/>
                <w:szCs w:val="24"/>
                <w:lang w:val="en-US" w:eastAsia="en-US" w:bidi="ar-SA"/>
              </w:rPr>
              <w:t>G-3</w:t>
            </w:r>
          </w:p>
        </w:tc>
        <w:tc>
          <w:tcPr>
            <w:tcW w:w="2640" w:type="dxa"/>
          </w:tcPr>
          <w:p>
            <w:pPr>
              <w:pStyle w:val="Compact"/>
              <w:jc w:val="left"/>
            </w:pPr>
            <w:r>
              <w:rPr>
                <w:sz w:val="24"/>
                <w:szCs w:val="24"/>
                <w:lang w:val="en-US" w:eastAsia="en-US" w:bidi="ar-SA"/>
              </w:rPr>
              <w:t>Layer 3</w:t>
            </w:r>
          </w:p>
        </w:tc>
        <w:tc>
          <w:tcPr>
            <w:tcW w:w="2640" w:type="dxa"/>
          </w:tcPr>
          <w:p>
            <w:pPr>
              <w:pStyle w:val="Compact"/>
              <w:jc w:val="left"/>
            </w:pPr>
            <w:r>
              <w:rPr>
                <w:sz w:val="24"/>
                <w:szCs w:val="24"/>
                <w:lang w:val="en-US" w:eastAsia="en-US" w:bidi="ar-SA"/>
              </w:rPr>
              <w:t>Day 90</w:t>
            </w:r>
          </w:p>
        </w:tc>
        <w:tc>
          <w:tcPr>
            <w:tcW w:w="2640" w:type="dxa"/>
          </w:tcPr>
          <w:p>
            <w:pPr>
              <w:pStyle w:val="Compact"/>
              <w:jc w:val="left"/>
            </w:pPr>
            <w:r>
              <w:rPr>
                <w:sz w:val="24"/>
                <w:szCs w:val="24"/>
                <w:lang w:val="en-US" w:eastAsia="en-US" w:bidi="ar-SA"/>
              </w:rPr>
              <w:t>60 days escrow; zero direct-payment findings; match at 100 percent</w:t>
            </w:r>
          </w:p>
        </w:tc>
      </w:tr>
      <w:tr>
        <w:trPr>
          <w:tblHeader w:val="1"/>
        </w:trPr>
        <w:tc>
          <w:tcPr>
            <w:tcW w:w="2640" w:type="dxa"/>
          </w:tcPr>
          <w:p>
            <w:pPr>
              <w:pStyle w:val="Compact"/>
              <w:jc w:val="left"/>
            </w:pPr>
            <w:r>
              <w:rPr>
                <w:sz w:val="24"/>
                <w:szCs w:val="24"/>
                <w:lang w:val="en-US" w:eastAsia="en-US" w:bidi="ar-SA"/>
              </w:rPr>
              <w:t>G-4</w:t>
            </w:r>
          </w:p>
        </w:tc>
        <w:tc>
          <w:tcPr>
            <w:tcW w:w="2640" w:type="dxa"/>
          </w:tcPr>
          <w:p>
            <w:pPr>
              <w:pStyle w:val="Compact"/>
              <w:jc w:val="left"/>
            </w:pPr>
            <w:r>
              <w:rPr>
                <w:sz w:val="24"/>
                <w:szCs w:val="24"/>
                <w:lang w:val="en-US" w:eastAsia="en-US" w:bidi="ar-SA"/>
              </w:rPr>
              <w:t>Layer 4</w:t>
            </w:r>
          </w:p>
        </w:tc>
        <w:tc>
          <w:tcPr>
            <w:tcW w:w="2640" w:type="dxa"/>
          </w:tcPr>
          <w:p>
            <w:pPr>
              <w:pStyle w:val="Compact"/>
              <w:jc w:val="left"/>
            </w:pPr>
            <w:r>
              <w:rPr>
                <w:sz w:val="24"/>
                <w:szCs w:val="24"/>
                <w:lang w:val="en-US" w:eastAsia="en-US" w:bidi="ar-SA"/>
              </w:rPr>
              <w:t>Day 105</w:t>
            </w:r>
          </w:p>
        </w:tc>
        <w:tc>
          <w:tcPr>
            <w:tcW w:w="2640" w:type="dxa"/>
          </w:tcPr>
          <w:p>
            <w:pPr>
              <w:pStyle w:val="Compact"/>
              <w:jc w:val="left"/>
            </w:pPr>
            <w:r>
              <w:rPr>
                <w:sz w:val="24"/>
                <w:szCs w:val="24"/>
                <w:lang w:val="en-US" w:eastAsia="en-US" w:bidi="ar-SA"/>
              </w:rPr>
              <w:t>Full Unlock held 28 days; Tribunal seated; Commission seated</w:t>
            </w:r>
          </w:p>
        </w:tc>
      </w:tr>
      <w:tr>
        <w:trPr>
          <w:tblHeader w:val="1"/>
        </w:trPr>
        <w:tc>
          <w:tcPr>
            <w:tcW w:w="2640" w:type="dxa"/>
          </w:tcPr>
          <w:p>
            <w:pPr>
              <w:pStyle w:val="Compact"/>
              <w:jc w:val="left"/>
            </w:pPr>
            <w:r>
              <w:rPr>
                <w:sz w:val="24"/>
                <w:szCs w:val="24"/>
                <w:lang w:val="en-US" w:eastAsia="en-US" w:bidi="ar-SA"/>
              </w:rPr>
              <w:t>G-5</w:t>
            </w:r>
          </w:p>
        </w:tc>
        <w:tc>
          <w:tcPr>
            <w:tcW w:w="2640" w:type="dxa"/>
          </w:tcPr>
          <w:p>
            <w:pPr>
              <w:pStyle w:val="Compact"/>
              <w:jc w:val="left"/>
            </w:pPr>
            <w:r>
              <w:rPr>
                <w:sz w:val="24"/>
                <w:szCs w:val="24"/>
                <w:lang w:val="en-US" w:eastAsia="en-US" w:bidi="ar-SA"/>
              </w:rPr>
              <w:t>Layer 5</w:t>
            </w:r>
          </w:p>
        </w:tc>
        <w:tc>
          <w:tcPr>
            <w:tcW w:w="2640" w:type="dxa"/>
          </w:tcPr>
          <w:p>
            <w:pPr>
              <w:pStyle w:val="Compact"/>
              <w:jc w:val="left"/>
            </w:pPr>
            <w:r>
              <w:rPr>
                <w:sz w:val="24"/>
                <w:szCs w:val="24"/>
                <w:lang w:val="en-US" w:eastAsia="en-US" w:bidi="ar-SA"/>
              </w:rPr>
              <w:t>Day 120</w:t>
            </w:r>
          </w:p>
        </w:tc>
        <w:tc>
          <w:tcPr>
            <w:tcW w:w="2640" w:type="dxa"/>
          </w:tcPr>
          <w:p>
            <w:pPr>
              <w:pStyle w:val="Compact"/>
              <w:jc w:val="left"/>
            </w:pPr>
            <w:r>
              <w:rPr>
                <w:sz w:val="24"/>
                <w:szCs w:val="24"/>
                <w:lang w:val="en-US" w:eastAsia="en-US" w:bidi="ar-SA"/>
              </w:rPr>
              <w:t>Council resolution; depositary confirmation; IMO lodgment</w:t>
            </w:r>
          </w:p>
        </w:tc>
      </w:tr>
    </w:tbl>
    <w:bookmarkEnd w:id="72"/>
    <w:bookmarkEnd w:id="73"/>
    <w:bookmarkStart w:id="76" w:name="article-8-definitions-and-interpretation"/>
    <w:p>
      <w:pPr>
        <w:pStyle w:val="Heading2"/>
      </w:pPr>
      <w:r>
        <w:rPr>
          <w:lang w:val="en-US" w:eastAsia="en-US" w:bidi="ar-SA"/>
          <w:rFonts w:asciiTheme="majorHAnsi" w:cstheme="majorBidi" w:eastAsiaTheme="majorEastAsia" w:hAnsiTheme="majorHAnsi"/>
          <w:b/>
          <w:color w:themeColor="accent1"/>
          <w:sz w:val="28"/>
          <w:szCs w:val="28"/>
        </w:rPr>
        <w:t>Article 8: Definitions and Interpretation</w:t>
      </w:r>
    </w:p>
    <w:bookmarkStart w:id="74" w:name="the-definitions-register"/>
    <w:p>
      <w:pPr>
        <w:pStyle w:val="Heading3"/>
      </w:pPr>
      <w:r>
        <w:rPr>
          <w:lang w:val="en-US" w:eastAsia="en-US" w:bidi="ar-SA"/>
          <w:rFonts w:asciiTheme="majorHAnsi" w:cstheme="majorBidi" w:eastAsiaTheme="majorEastAsia" w:hAnsiTheme="majorHAnsi"/>
          <w:b/>
          <w:color w:themeColor="accent1"/>
          <w:sz w:val="24"/>
          <w:szCs w:val="24"/>
        </w:rPr>
        <w:t>8.1 The Definitions Register</w:t>
      </w:r>
    </w:p>
    <w:p>
      <w:pPr>
        <w:pStyle w:val="FirstParagraph"/>
      </w:pPr>
      <w:r>
        <w:rPr>
          <w:sz w:val="24"/>
          <w:szCs w:val="24"/>
          <w:lang w:val="en-US" w:eastAsia="en-US" w:bidi="ar-SA"/>
        </w:rPr>
        <w:t>Annex M, Section M.3, states the operative definitions of this Accord, including: Accord, Governance Area, Corridor, Passage, Central Deconfliction Band, Interim Middle Route, Flow State, Clean Week, Clean Day, Trust Level, Full Unlock, Permanent Floor, Escalator, Twin Key, Convergence Standard, Human Anchor Method, Lattice Cell, Micro-Exercise, Gate, Layer, Open Water Bulletin, Reciprocity Ledger, Verified Services Catalog, Transit Services Fund, Neutral Escrow, Sanctions-Compliance Firewall, and Mutual Claims Commission.</w:t>
      </w:r>
    </w:p>
    <w:bookmarkEnd w:id="74"/>
    <w:bookmarkStart w:id="75" w:name="interpretation-rules"/>
    <w:p>
      <w:pPr>
        <w:pStyle w:val="Heading3"/>
      </w:pPr>
      <w:r>
        <w:rPr>
          <w:lang w:val="en-US" w:eastAsia="en-US" w:bidi="ar-SA"/>
          <w:rFonts w:asciiTheme="majorHAnsi" w:cstheme="majorBidi" w:eastAsiaTheme="majorEastAsia" w:hAnsiTheme="majorHAnsi"/>
          <w:b/>
          <w:color w:themeColor="accent1"/>
          <w:sz w:val="24"/>
          <w:szCs w:val="24"/>
        </w:rPr>
        <w:t>8.2 Interpretation Rules</w:t>
      </w:r>
    </w:p>
    <w:p>
      <w:pPr>
        <w:pStyle w:val="FirstParagraph"/>
      </w:pPr>
      <w:r>
        <w:rPr>
          <w:sz w:val="24"/>
          <w:szCs w:val="24"/>
          <w:lang w:val="en-US" w:eastAsia="en-US" w:bidi="ar-SA"/>
        </w:rPr>
        <w:t>Four rules govern interpretation. First, the Red Lines Register controls every interpretation. Second, the interpretation that preserves continuity prevails over any interpretation that interrupts it. Third, technical annexes speak with their own precision and prevail over summary text for operational purposes. Fourth, no interpretation attributes to any Party a concession the text does not state.</w:t>
      </w:r>
    </w:p>
    <w:bookmarkEnd w:id="75"/>
    <w:bookmarkEnd w:id="76"/>
    <w:bookmarkEnd w:id="77"/>
    <w:bookmarkStart w:id="112" w:name="X09f691074503d3750b1663eb11fb74f2613b80b"/>
    <w:p>
      <w:pPr>
        <w:pStyle w:val="Heading1"/>
      </w:pPr>
      <w:r>
        <w:rPr>
          <w:lang w:val="en-US" w:eastAsia="en-US" w:bidi="ar-SA"/>
          <w:rFonts w:asciiTheme="majorHAnsi" w:cstheme="majorBidi" w:eastAsiaTheme="majorEastAsia" w:hAnsiTheme="majorHAnsi"/>
          <w:b/>
          <w:color w:themeColor="accent1"/>
          <w:sz w:val="32"/>
          <w:szCs w:val="32"/>
        </w:rPr>
        <w:t>PART II: LAYER 0: THE MICRO-EXERCISE LATTICE (DAYS 0 TO 30)</w:t>
      </w:r>
    </w:p>
    <w:bookmarkStart w:id="83" w:name="X1c915736a0c981cf05f5a84bf03801e8324ae55"/>
    <w:p>
      <w:pPr>
        <w:pStyle w:val="Heading2"/>
      </w:pPr>
      <w:r>
        <w:rPr>
          <w:lang w:val="en-US" w:eastAsia="en-US" w:bidi="ar-SA"/>
          <w:rFonts w:asciiTheme="majorHAnsi" w:cstheme="majorBidi" w:eastAsiaTheme="majorEastAsia" w:hAnsiTheme="majorHAnsi"/>
          <w:b/>
          <w:color w:themeColor="accent1"/>
          <w:sz w:val="28"/>
          <w:szCs w:val="28"/>
        </w:rPr>
        <w:t>Article 9: The Lattice: Purpose, Rules, and Standing</w:t>
      </w:r>
    </w:p>
    <w:bookmarkStart w:id="78" w:name="purpose-1"/>
    <w:p>
      <w:pPr>
        <w:pStyle w:val="Heading3"/>
      </w:pPr>
      <w:r>
        <w:rPr>
          <w:lang w:val="en-US" w:eastAsia="en-US" w:bidi="ar-SA"/>
          <w:rFonts w:asciiTheme="majorHAnsi" w:cstheme="majorBidi" w:eastAsiaTheme="majorEastAsia" w:hAnsiTheme="majorHAnsi"/>
          <w:b/>
          <w:color w:themeColor="accent1"/>
          <w:sz w:val="24"/>
          <w:szCs w:val="24"/>
        </w:rPr>
        <w:t>9.1 Purpose</w:t>
      </w:r>
    </w:p>
    <w:p>
      <w:pPr>
        <w:pStyle w:val="FirstParagraph"/>
      </w:pPr>
      <w:r>
        <w:rPr>
          <w:sz w:val="24"/>
          <w:szCs w:val="24"/>
          <w:lang w:val="en-US" w:eastAsia="en-US" w:bidi="ar-SA"/>
        </w:rPr>
        <w:t>Layer 0 exists to create facts on the water: fifty micro-exercises, each small enough that no delegation risks anything by performing it, each producing a measurable safety gain that no delegation disputes. The lattice engineers trust through action rather than requesting it through words.</w:t>
      </w:r>
    </w:p>
    <w:bookmarkEnd w:id="78"/>
    <w:bookmarkStart w:id="79" w:name="the-five-standing-rules-of-layer-0"/>
    <w:p>
      <w:pPr>
        <w:pStyle w:val="Heading3"/>
      </w:pPr>
      <w:r>
        <w:rPr>
          <w:lang w:val="en-US" w:eastAsia="en-US" w:bidi="ar-SA"/>
          <w:rFonts w:asciiTheme="majorHAnsi" w:cstheme="majorBidi" w:eastAsiaTheme="majorEastAsia" w:hAnsiTheme="majorHAnsi"/>
          <w:b/>
          <w:color w:themeColor="accent1"/>
          <w:sz w:val="24"/>
          <w:szCs w:val="24"/>
        </w:rPr>
        <w:t>9.2 The Five Standing Rules of Layer 0</w:t>
      </w:r>
    </w:p>
    <w:p>
      <w:pPr>
        <w:pStyle w:val="FirstParagraph"/>
      </w:pPr>
      <w:r>
        <w:rPr>
          <w:sz w:val="24"/>
          <w:szCs w:val="24"/>
          <w:lang w:val="en-US" w:eastAsia="en-US" w:bidi="ar-SA"/>
        </w:rPr>
        <w:t>Five rules govern every micro-exercise without exception. First, reversibility: every exercise ends on any Party’s notice, and its record survives. Second, no authority: no exercise confers power over any vessel, any other Party’s forces, or any other Party’s decisions. Third, no enforcement: the framework excludes every inspection, boarding, diversion, and interdiction function from Layer 0. Fourth, no sovereignty shift: every exercise operates inside the existing legal positions of all Parties, preserved in full. Fifth, no cost to third parties: no exercise charges, delays, or burdens any commercial vessel.</w:t>
      </w:r>
    </w:p>
    <w:bookmarkEnd w:id="79"/>
    <w:bookmarkStart w:id="80" w:name="the-five-sub-layers"/>
    <w:p>
      <w:pPr>
        <w:pStyle w:val="Heading3"/>
      </w:pPr>
      <w:r>
        <w:t xml:space="preserve">9.3 The Five Sub-Layers</w:t>
      </w:r>
    </w:p>
    <w:p>
      <w:pPr>
        <w:pStyle w:val="FirstParagraph"/>
      </w:pPr>
      <w:r>
        <w:t xml:space="preserve">The lattice organizes its fifty exercises into five sub-layers of ten, activated in fixed sequence at five-day intervals: Sub-Layer 0.1, Visibility and Predictability (Days 0 to 5 activation); Sub-Layer 0.2, Movement Safety (Days 5 to 10); Sub-Layer 0.3, Incident Alerts (Days 10 to 15); Sub-Layer 0.4, Response and Repair (Days 15 to 20); and Sub-Layer 0.5, Micro-Governance and Simulation (Days 20 to 25). Each exercise activates individually by joint notice of the two duty officers; the full lattice stands active by Day 25, and operates continuously through Gate G-0.</w:t>
      </w:r>
    </w:p>
    <w:bookmarkEnd w:id="80"/>
    <w:bookmarkStart w:id="81" w:name="the-operating-stations"/>
    <w:p>
      <w:pPr>
        <w:pStyle w:val="Heading3"/>
      </w:pPr>
      <w:r>
        <w:t xml:space="preserve">9.4 The Operating Stations</w:t>
      </w:r>
    </w:p>
    <w:p>
      <w:pPr>
        <w:pStyle w:val="FirstParagraph"/>
      </w:pPr>
      <w:r>
        <w:t xml:space="preserve">Layer 0 operates from four stations: the Tadriji Coordination Center watch floor in Muscat (provisional premises under Annex K), the Darya Mirror Facility desk in Bandar Abbas, the liaison station at Khasab on the Musandam Peninsula, and the liaison station at Qeshm. Each station staffs one duty officer from each Principal Party at all times. Annex C states the communications plan; Annex B states each exercise’s assigned stations.</w:t>
      </w:r>
    </w:p>
    <w:bookmarkEnd w:id="81"/>
    <w:bookmarkStart w:id="82" w:name="the-exercise-logbook"/>
    <w:p>
      <w:pPr>
        <w:pStyle w:val="Heading3"/>
      </w:pPr>
      <w:r>
        <w:t xml:space="preserve">9.5 The Exercise Logbook</w:t>
      </w:r>
    </w:p>
    <w:p>
      <w:pPr>
        <w:pStyle w:val="FirstParagraph"/>
      </w:pPr>
      <w:r>
        <w:t xml:space="preserve">Every exercise writes to the Exercise Logbook, a paired ledger held identically at Muscat and Bandar Abbas. Each entry records the exercise identifier, the window, the participants, the data exchanged, every anomaly, and the duty officers’ initials. The Logbook constitutes the factual basis of Gate G-0 and publishes in summary in the Open Water Bulletin from Day 10 onward.</w:t>
      </w:r>
    </w:p>
    <w:bookmarkEnd w:id="82"/>
    <w:bookmarkEnd w:id="83"/>
    <w:bookmarkStart w:id="87" w:name="article-10-the-lattice-cell"/>
    <w:p>
      <w:pPr>
        <w:pStyle w:val="Heading2"/>
      </w:pPr>
      <w:r>
        <w:t xml:space="preserve">Article 10: The Lattice Cell</w:t>
      </w:r>
    </w:p>
    <w:bookmarkStart w:id="84" w:name="composition"/>
    <w:p>
      <w:pPr>
        <w:pStyle w:val="Heading3"/>
      </w:pPr>
      <w:r>
        <w:t xml:space="preserve">10.1 Composition</w:t>
      </w:r>
    </w:p>
    <w:p>
      <w:pPr>
        <w:pStyle w:val="FirstParagraph"/>
      </w:pPr>
      <w:r>
        <w:t xml:space="preserve">The Lattice Cell comprises four persons: one maritime safety officer appointed by Iran, one appointed by Oman, one neutral observer appointed by the Swiss Confederation, and one technical secretary appointed by the depositary. The Cell rotates its chair weekly between the Iranian and Omani members, alphabetically first at inception.</w:t>
      </w:r>
    </w:p>
    <w:bookmarkEnd w:id="84"/>
    <w:bookmarkStart w:id="85" w:name="mandate-and-limits"/>
    <w:p>
      <w:pPr>
        <w:pStyle w:val="Heading3"/>
      </w:pPr>
      <w:r>
        <w:t xml:space="preserve">10.2 Mandate and Limits</w:t>
      </w:r>
    </w:p>
    <w:p>
      <w:pPr>
        <w:pStyle w:val="FirstParagraph"/>
      </w:pPr>
      <w:r>
        <w:t xml:space="preserve">The Cell holds exactly three functions: it logs every incident and anomaly arising in the lattice; it confirms corridor and exercise stability against the metrics of Annex J; and it recommends, by simple majority recorded in writing, whether the lattice stands ready for Gate G-0. The Cell holds no authority over any vessel, any force, any other body, or any Party. It issues no directive. It keeps the smallest possible institutional muscle memory in the entire architecture, and it proves that a joint body functions before any joint body governs.</w:t>
      </w:r>
    </w:p>
    <w:bookmarkEnd w:id="85"/>
    <w:bookmarkStart w:id="86" w:name="working-method"/>
    <w:p>
      <w:pPr>
        <w:pStyle w:val="Heading3"/>
      </w:pPr>
      <w:r>
        <w:t xml:space="preserve">10.3 Working Method</w:t>
      </w:r>
    </w:p>
    <w:p>
      <w:pPr>
        <w:pStyle w:val="FirstParagraph"/>
      </w:pPr>
      <w:r>
        <w:t xml:space="preserve">The Cell meets daily at 09:00 Gulf Standard Time, alternately at Muscat and Bandar Abbas by video link between the two watch floors. Quorum is three. The Cell’s daily one-page stability note publishes in the Open Water Bulletin. Disagreements record verbatim, without attribution, in the Exercise Logbook.</w:t>
      </w:r>
    </w:p>
    <w:bookmarkEnd w:id="86"/>
    <w:bookmarkEnd w:id="87"/>
    <w:bookmarkStart w:id="91" w:name="Xc28d209def4803149a4c10f4ab01a3aa746ce10"/>
    <w:p>
      <w:pPr>
        <w:pStyle w:val="Heading2"/>
      </w:pPr>
      <w:r>
        <w:t xml:space="preserve">Article 11: Sub-Layer 0.1: Visibility and Predictability (MX-01 to MX-10)</w:t>
      </w:r>
    </w:p>
    <w:bookmarkStart w:id="88" w:name="purpose-and-character"/>
    <w:p>
      <w:pPr>
        <w:pStyle w:val="Heading3"/>
      </w:pPr>
      <w:r>
        <w:t xml:space="preserve">11.1 Purpose and Character</w:t>
      </w:r>
    </w:p>
    <w:p>
      <w:pPr>
        <w:pStyle w:val="FirstParagraph"/>
      </w:pPr>
      <w:r>
        <w:t xml:space="preserve">Sub-Layer 0.1 builds shared situational awareness without touching routing, authority, or enforcement. Every exercise in this sub-layer exchanges environmental or traffic information only; none involves any Party directing, advising, or influencing any vessel’s movement.</w:t>
      </w:r>
    </w:p>
    <w:bookmarkEnd w:id="88"/>
    <w:bookmarkStart w:id="89" w:name="the-ten-exercises"/>
    <w:p>
      <w:pPr>
        <w:pStyle w:val="Heading3"/>
      </w:pPr>
      <w:r>
        <w:t xml:space="preserve">11.2 The Ten Exercises</w:t>
      </w:r>
    </w:p>
    <w:p>
      <w:pPr>
        <w:pStyle w:val="FirstParagraph"/>
      </w:pPr>
      <w:r>
        <w:rPr>
          <w:bCs/>
          <w:b/>
        </w:rPr>
        <w:t xml:space="preserve">MX-01 AIS Snapshot Swap.</w:t>
      </w:r>
      <w:r>
        <w:t xml:space="preserve"> </w:t>
      </w:r>
      <w:r>
        <w:t xml:space="preserve">Each Principal Party transmits to the other, twice daily at 06:00 and 18:00 UTC, an AIS position snapshot of the ten commercial vessels nearest the corridor centerlines within the Governance Area. Format follows Annex C.4. The snapshots merge into a single shared picture on both watch floors. Success metric: 14 consecutive days of complete, matched transmissions.</w:t>
      </w:r>
    </w:p>
    <w:p>
      <w:pPr>
        <w:pStyle w:val="BodyText"/>
      </w:pPr>
      <w:r>
        <w:rPr>
          <w:bCs/>
          <w:b/>
        </w:rPr>
        <w:t xml:space="preserve">MX-02 Visibility-Only Feed.</w:t>
      </w:r>
      <w:r>
        <w:t xml:space="preserve"> </w:t>
      </w:r>
      <w:r>
        <w:t xml:space="preserve">The Khasab and Qeshm stations exchange fog and visibility observations hourly for the precautionary area at the western entry, in the one-line format of Annex C.5. No vessel data attaches. Success metric: hourly feed maintained for 21 consecutive days with 98 percent completeness.</w:t>
      </w:r>
    </w:p>
    <w:p>
      <w:pPr>
        <w:pStyle w:val="BodyText"/>
      </w:pPr>
      <w:r>
        <w:rPr>
          <w:bCs/>
          <w:b/>
        </w:rPr>
        <w:t xml:space="preserve">MX-03 Micro-Weather Exchange.</w:t>
      </w:r>
      <w:r>
        <w:t xml:space="preserve"> </w:t>
      </w:r>
      <w:r>
        <w:t xml:space="preserve">The two watch floors exchange wind speed, wind direction, visibility, and sea state for Grid Square W-1 of Table A.8, hourly, around the clock. Success metric: 21 consecutive days at 98 percent completeness; divergence between stations not exceeding 15 percent on wind speed in 90 percent of matched observations.</w:t>
      </w:r>
    </w:p>
    <w:p>
      <w:pPr>
        <w:pStyle w:val="BodyText"/>
      </w:pPr>
      <w:r>
        <w:rPr>
          <w:bCs/>
          <w:b/>
        </w:rPr>
        <w:t xml:space="preserve">MX-04 Shared Tide Table.</w:t>
      </w:r>
      <w:r>
        <w:t xml:space="preserve"> </w:t>
      </w:r>
      <w:r>
        <w:t xml:space="preserve">The Parties harmonize tide predictions for the Khasab and Bandar Abbas reference stations into one published table, updated weekly. Success metric: four consecutive weekly editions; predicted-versus-observed error within 0.3 meters at both stations.</w:t>
      </w:r>
    </w:p>
    <w:p>
      <w:pPr>
        <w:pStyle w:val="BodyText"/>
      </w:pPr>
      <w:r>
        <w:rPr>
          <w:bCs/>
          <w:b/>
        </w:rPr>
        <w:t xml:space="preserve">MX-05 Swell-Risk Micro-Map.</w:t>
      </w:r>
      <w:r>
        <w:t xml:space="preserve"> </w:t>
      </w:r>
      <w:r>
        <w:t xml:space="preserve">The Parties jointly delineate one swell hazard zone for the Interim Middle Route sector between waypoints IMR-2 and IMR-3, refreshed daily from buoy and model data. Success metric: 14 consecutive daily editions; zero unmarked swell events above 2.5 meters encountered by reporting vessels.</w:t>
      </w:r>
    </w:p>
    <w:p>
      <w:pPr>
        <w:pStyle w:val="BodyText"/>
      </w:pPr>
      <w:r>
        <w:rPr>
          <w:bCs/>
          <w:b/>
        </w:rPr>
        <w:t xml:space="preserve">MX-06 Shared Hazard Bulletin.</w:t>
      </w:r>
      <w:r>
        <w:t xml:space="preserve"> </w:t>
      </w:r>
      <w:r>
        <w:t xml:space="preserve">The watch floors publish one joint daily hazard summary covering debris, unlit vessels, and chart discrepancies reported by either side, issued at 05:00 UTC. Success metric: 21 consecutive daily editions; every reported hazard carried to resolution or expiry.</w:t>
      </w:r>
    </w:p>
    <w:p>
      <w:pPr>
        <w:pStyle w:val="BodyText"/>
      </w:pPr>
      <w:r>
        <w:rPr>
          <w:bCs/>
          <w:b/>
        </w:rPr>
        <w:t xml:space="preserve">MX-07 Shared Storm Threshold.</w:t>
      </w:r>
      <w:r>
        <w:t xml:space="preserve"> </w:t>
      </w:r>
      <w:r>
        <w:t xml:space="preserve">The Parties agree and publish the storm intensity values (wind at 34 knots, visibility at 1,000 meters, swell at 3.0 meters) that trigger identical advisory language on both sides. Success metric: threshold table published; identical advisories issued in 100 percent of threshold events during the sub-layer.</w:t>
      </w:r>
    </w:p>
    <w:p>
      <w:pPr>
        <w:pStyle w:val="BodyText"/>
      </w:pPr>
      <w:r>
        <w:rPr>
          <w:bCs/>
          <w:b/>
        </w:rPr>
        <w:t xml:space="preserve">MX-08 Micro-Meteorology Desk.</w:t>
      </w:r>
      <w:r>
        <w:t xml:space="preserve"> </w:t>
      </w:r>
      <w:r>
        <w:t xml:space="preserve">Two meteorologists, one from each Principal Party, staff a shared desk by video link for the 06:00 to 10:00 UTC window daily, harmonizing the next day’s forecast language for the Governance Area. Success metric: 14 consecutive staffed windows; harmonized forecast issued each day.</w:t>
      </w:r>
    </w:p>
    <w:p>
      <w:pPr>
        <w:pStyle w:val="BodyText"/>
      </w:pPr>
      <w:r>
        <w:rPr>
          <w:bCs/>
          <w:b/>
        </w:rPr>
        <w:t xml:space="preserve">MX-09 Joint Hazard Symbols.</w:t>
      </w:r>
      <w:r>
        <w:t xml:space="preserve"> </w:t>
      </w:r>
      <w:r>
        <w:t xml:space="preserve">The Parties adopt the common symbol set of Annex C.6 for all bulletins, replacing divergent national symbols inside shared products. Success metric: symbol register published; 100 percent symbol conformance in shared bulletins from Day 15 onward.</w:t>
      </w:r>
    </w:p>
    <w:p>
      <w:pPr>
        <w:pStyle w:val="BodyText"/>
      </w:pPr>
      <w:r>
        <w:rPr>
          <w:bCs/>
          <w:b/>
        </w:rPr>
        <w:t xml:space="preserve">MX-10 Micro-Traffic Forecast.</w:t>
      </w:r>
      <w:r>
        <w:t xml:space="preserve"> </w:t>
      </w:r>
      <w:r>
        <w:t xml:space="preserve">The watch floors jointly predict inbound and outbound traffic counts for the Interim Middle Route for each following 24-hour period, published at 12:00 UTC. Success metric: 14 consecutive daily forecasts; forecast error within 20 percent of observed counts in 10 of 14 days.</w:t>
      </w:r>
    </w:p>
    <w:bookmarkEnd w:id="89"/>
    <w:bookmarkStart w:id="90" w:name="sub-layer-0.1-completion"/>
    <w:p>
      <w:pPr>
        <w:pStyle w:val="Heading3"/>
      </w:pPr>
      <w:r>
        <w:t xml:space="preserve">11.3 Sub-Layer 0.1 Completion</w:t>
      </w:r>
    </w:p>
    <w:p>
      <w:pPr>
        <w:pStyle w:val="FirstParagraph"/>
      </w:pPr>
      <w:r>
        <w:t xml:space="preserve">Sub-Layer 0.1 completes when eight of its ten exercises record their success metrics in the Exercise Logbook. Completion activates no authority; it unlocks the full activation of Sub-Layer 0.2 and enters the Gate G-0 record.</w:t>
      </w:r>
    </w:p>
    <w:bookmarkEnd w:id="90"/>
    <w:bookmarkEnd w:id="91"/>
    <w:bookmarkStart w:id="95" w:name="Xa6ab65a53752f92f1ce4aa2ab921dd9beaa0743"/>
    <w:p>
      <w:pPr>
        <w:pStyle w:val="Heading2"/>
      </w:pPr>
      <w:r>
        <w:t xml:space="preserve">Article 12: Sub-Layer 0.2: Movement Safety (MX-11 to MX-20)</w:t>
      </w:r>
    </w:p>
    <w:bookmarkStart w:id="92" w:name="purpose-and-character-1"/>
    <w:p>
      <w:pPr>
        <w:pStyle w:val="Heading3"/>
      </w:pPr>
      <w:r>
        <w:t xml:space="preserve">12.1 Purpose and Character</w:t>
      </w:r>
    </w:p>
    <w:p>
      <w:pPr>
        <w:pStyle w:val="FirstParagraph"/>
      </w:pPr>
      <w:r>
        <w:t xml:space="preserve">Sub-Layer 0.2 touches vessel movement patterns without binding them. Every exercise in this sub-layer is advisory, voluntary, and free of charge; no vessel faces any requirement, and the framework excludes every element of control.</w:t>
      </w:r>
    </w:p>
    <w:bookmarkEnd w:id="92"/>
    <w:bookmarkStart w:id="93" w:name="the-ten-exercises-1"/>
    <w:p>
      <w:pPr>
        <w:pStyle w:val="Heading3"/>
      </w:pPr>
      <w:r>
        <w:t xml:space="preserve">12.2 The Ten Exercises</w:t>
      </w:r>
    </w:p>
    <w:p>
      <w:pPr>
        <w:pStyle w:val="FirstParagraph"/>
      </w:pPr>
      <w:r>
        <w:rPr>
          <w:bCs/>
          <w:b/>
        </w:rPr>
        <w:t xml:space="preserve">MX-11 Single-Corridor Stability Test.</w:t>
      </w:r>
      <w:r>
        <w:t xml:space="preserve"> </w:t>
      </w:r>
      <w:r>
        <w:t xml:space="preserve">The Parties jointly acknowledge, without jointly controlling, one inbound lane along the Interim Middle Route centerline between waypoints IMR-1 and IMR-4, for a daily six-hour window (06:00 to 12:00 UTC). Both watch floors log every transit through the window. Success metric: 14 consecutive windows operated; every transit logged by both floors with matching records.</w:t>
      </w:r>
    </w:p>
    <w:p>
      <w:pPr>
        <w:pStyle w:val="BodyText"/>
      </w:pPr>
      <w:r>
        <w:rPr>
          <w:bCs/>
          <w:b/>
        </w:rPr>
        <w:t xml:space="preserve">MX-12 Outbound Corridor Test.</w:t>
      </w:r>
      <w:r>
        <w:t xml:space="preserve"> </w:t>
      </w:r>
      <w:r>
        <w:t xml:space="preserve">The mirror of MX-11 for outbound traffic, in the 12:00 to 18:00 UTC window, along the same centerline. Success metric: identical to MX-11.</w:t>
      </w:r>
    </w:p>
    <w:p>
      <w:pPr>
        <w:pStyle w:val="BodyText"/>
      </w:pPr>
      <w:r>
        <w:rPr>
          <w:bCs/>
          <w:b/>
        </w:rPr>
        <w:t xml:space="preserve">MX-13 Temporary Slow-Zone.</w:t>
      </w:r>
      <w:r>
        <w:t xml:space="preserve"> </w:t>
      </w:r>
      <w:r>
        <w:t xml:space="preserve">During any MX-07 threshold event, the Parties publish a joint advisory recommending speed not exceeding 10 knots through the swell zone of MX-05, for the event’s duration. Success metric: advisory issued in 100 percent of threshold events; observed compliance rate recorded without consequence for non-compliance.</w:t>
      </w:r>
    </w:p>
    <w:p>
      <w:pPr>
        <w:pStyle w:val="BodyText"/>
      </w:pPr>
      <w:r>
        <w:rPr>
          <w:bCs/>
          <w:b/>
        </w:rPr>
        <w:t xml:space="preserve">MX-14 Micro-Anchorage Zone.</w:t>
      </w:r>
      <w:r>
        <w:t xml:space="preserve"> </w:t>
      </w:r>
      <w:r>
        <w:t xml:space="preserve">The Parties jointly acknowledge Emergency Anchorage East at 26 degrees 30.0 minutes North, 057 degrees 06.0 minutes East as a holding area for vessels awaiting weather, and log its usage. Success metric: anchorage published in both national Notice to Mariners series; usage log maintained for 14 days.</w:t>
      </w:r>
    </w:p>
    <w:p>
      <w:pPr>
        <w:pStyle w:val="BodyText"/>
      </w:pPr>
      <w:r>
        <w:rPr>
          <w:bCs/>
          <w:b/>
        </w:rPr>
        <w:t xml:space="preserve">MX-15 Micro-Anchoring Advisory.</w:t>
      </w:r>
      <w:r>
        <w:t xml:space="preserve"> </w:t>
      </w:r>
      <w:r>
        <w:t xml:space="preserve">The watch floors issue non-binding anchoring guidance (position, depth, swinging room) for Emergency Anchorage East upon any vessel’s request relayed through the corridor working channel. Success metric: guidance issued within 15 minutes of every request.</w:t>
      </w:r>
    </w:p>
    <w:p>
      <w:pPr>
        <w:pStyle w:val="BodyText"/>
      </w:pPr>
      <w:r>
        <w:rPr>
          <w:bCs/>
          <w:b/>
        </w:rPr>
        <w:t xml:space="preserve">MX-16 Micro-Navigation Cues.</w:t>
      </w:r>
      <w:r>
        <w:t xml:space="preserve"> </w:t>
      </w:r>
      <w:r>
        <w:t xml:space="preserve">The Parties harmonize the light characteristics and virtual AIS aid-to-navigation identifiers marking the Interim Middle Route’s entry and exit points, per Table A.10. Success metric: cues live and identical on both sides’ charts and transmissions for 14 consecutive days.</w:t>
      </w:r>
    </w:p>
    <w:p>
      <w:pPr>
        <w:pStyle w:val="BodyText"/>
      </w:pPr>
      <w:r>
        <w:rPr>
          <w:bCs/>
          <w:b/>
        </w:rPr>
        <w:t xml:space="preserve">MX-17 Joint Calm-Sea Window.</w:t>
      </w:r>
      <w:r>
        <w:t xml:space="preserve"> </w:t>
      </w:r>
      <w:r>
        <w:t xml:space="preserve">The micro-meteorology desk of MX-08 identifies the optimal daily transit window during calm seas and publishes it in the hazard bulletin of MX-06. Success metric: window published daily for 14 consecutive days.</w:t>
      </w:r>
    </w:p>
    <w:p>
      <w:pPr>
        <w:pStyle w:val="BodyText"/>
      </w:pPr>
      <w:r>
        <w:rPr>
          <w:bCs/>
          <w:b/>
        </w:rPr>
        <w:t xml:space="preserve">MX-18 Harbor-Exit Timing.</w:t>
      </w:r>
      <w:r>
        <w:t xml:space="preserve"> </w:t>
      </w:r>
      <w:r>
        <w:t xml:space="preserve">The Bandar Abbas and Khasab stations align departure windows for government vessels for one 30-minute period daily, deconflicting official movements from commercial peaks. Success metric: 14 consecutive aligned windows; zero proximity events under 1 nautical mile between official and commercial vessels inside the window.</w:t>
      </w:r>
    </w:p>
    <w:p>
      <w:pPr>
        <w:pStyle w:val="BodyText"/>
      </w:pPr>
      <w:r>
        <w:rPr>
          <w:bCs/>
          <w:b/>
        </w:rPr>
        <w:t xml:space="preserve">MX-19 Pilot-Boat Coordination.</w:t>
      </w:r>
      <w:r>
        <w:t xml:space="preserve"> </w:t>
      </w:r>
      <w:r>
        <w:t xml:space="preserve">The Parties align pilot-boat schedules at the corridor entries for two hours daily, publishing availability to requesting vessels. Success metric: 14 consecutive days of published alignment; pilot response within 45 minutes of request.</w:t>
      </w:r>
    </w:p>
    <w:p>
      <w:pPr>
        <w:pStyle w:val="BodyText"/>
      </w:pPr>
      <w:r>
        <w:rPr>
          <w:bCs/>
          <w:b/>
        </w:rPr>
        <w:t xml:space="preserve">MX-20 Harbor-Pilot Rotation.</w:t>
      </w:r>
      <w:r>
        <w:t xml:space="preserve"> </w:t>
      </w:r>
      <w:r>
        <w:t xml:space="preserve">The Parties exchange pilot availability rosters weekly for the corridor entries, without obligation on any pilot or vessel. Success metric: four consecutive weekly exchanges; roster accuracy confirmed against actual availability at 95 percent.</w:t>
      </w:r>
    </w:p>
    <w:bookmarkEnd w:id="93"/>
    <w:bookmarkStart w:id="94" w:name="sub-layer-0.2-completion"/>
    <w:p>
      <w:pPr>
        <w:pStyle w:val="Heading3"/>
      </w:pPr>
      <w:r>
        <w:t xml:space="preserve">12.3 Sub-Layer 0.2 Completion</w:t>
      </w:r>
    </w:p>
    <w:p>
      <w:pPr>
        <w:pStyle w:val="FirstParagraph"/>
      </w:pPr>
      <w:r>
        <w:t xml:space="preserve">Sub-Layer 0.2 completes when eight of its ten exercises record their success metrics, and it enters the Gate G-0 record together with the corridor stability counts of MX-11 and MX-12, which serve as the first measured evidence that predictable movement reduces incident probability.</w:t>
      </w:r>
    </w:p>
    <w:bookmarkEnd w:id="94"/>
    <w:bookmarkEnd w:id="95"/>
    <w:bookmarkStart w:id="99" w:name="Xaea606741b27e8e3d25a4ae5dcb71967f34059d"/>
    <w:p>
      <w:pPr>
        <w:pStyle w:val="Heading2"/>
      </w:pPr>
      <w:r>
        <w:t xml:space="preserve">Article 13: Sub-Layer 0.3: Incident Alerts (MX-21 to MX-30)</w:t>
      </w:r>
    </w:p>
    <w:bookmarkStart w:id="96" w:name="purpose-and-character-2"/>
    <w:p>
      <w:pPr>
        <w:pStyle w:val="Heading3"/>
      </w:pPr>
      <w:r>
        <w:t xml:space="preserve">13.1 Purpose and Character</w:t>
      </w:r>
    </w:p>
    <w:p>
      <w:pPr>
        <w:pStyle w:val="FirstParagraph"/>
      </w:pPr>
      <w:r>
        <w:t xml:space="preserve">Sub-Layer 0.3 reduces misinterpretation: the single largest escalation risk in the strait arises when one side misreads the other side’s vessel behavior. Every exercise in this sub-layer is communication-only, non-attributive, and confined to safety events; the framework excludes security content, identity probing, and enforcement content from every alert.</w:t>
      </w:r>
    </w:p>
    <w:bookmarkEnd w:id="96"/>
    <w:bookmarkStart w:id="97" w:name="the-ten-exercises-2"/>
    <w:p>
      <w:pPr>
        <w:pStyle w:val="Heading3"/>
      </w:pPr>
      <w:r>
        <w:t xml:space="preserve">13.2 The Ten Exercises</w:t>
      </w:r>
    </w:p>
    <w:p>
      <w:pPr>
        <w:pStyle w:val="FirstParagraph"/>
      </w:pPr>
      <w:r>
        <w:rPr>
          <w:bCs/>
          <w:b/>
        </w:rPr>
        <w:t xml:space="preserve">MX-21 Dual-Ping Incident Alerts.</w:t>
      </w:r>
      <w:r>
        <w:t xml:space="preserve"> </w:t>
      </w:r>
      <w:r>
        <w:t xml:space="preserve">Each watch floor transmits a two-ping alert (first ping: event class; second ping: position and status) to the other floor upon any mechanical failure, near-miss, or disabled vessel observed in the Governance Area, within five minutes of observation. Format follows Annex C.7. Success metric: alerts transmitted within five minutes in 100 percent of observed events for 14 consecutive days.</w:t>
      </w:r>
    </w:p>
    <w:p>
      <w:pPr>
        <w:pStyle w:val="BodyText"/>
      </w:pPr>
      <w:r>
        <w:rPr>
          <w:bCs/>
          <w:b/>
        </w:rPr>
        <w:t xml:space="preserve">MX-22 Mechanical-Failure Registry.</w:t>
      </w:r>
      <w:r>
        <w:t xml:space="preserve"> </w:t>
      </w:r>
      <w:r>
        <w:t xml:space="preserve">The Parties maintain a shared, non-attributive registry of non-security breakdowns (vessel class anonymized, flag omitted) with position, nature, and resolution. Success metric: registry current within one hour of each event; zero attributive entries.</w:t>
      </w:r>
    </w:p>
    <w:p>
      <w:pPr>
        <w:pStyle w:val="BodyText"/>
      </w:pPr>
      <w:r>
        <w:rPr>
          <w:bCs/>
          <w:b/>
        </w:rPr>
        <w:t xml:space="preserve">MX-23 Engine-Restart Alerts.</w:t>
      </w:r>
      <w:r>
        <w:t xml:space="preserve"> </w:t>
      </w:r>
      <w:r>
        <w:t xml:space="preserve">A watch floor that observes a disabled vessel restart its propulsion notifies the other floor within five minutes, clearing the incident picture. Success metric: 100 percent of restarts notified within five minutes for 14 consecutive days.</w:t>
      </w:r>
    </w:p>
    <w:p>
      <w:pPr>
        <w:pStyle w:val="BodyText"/>
      </w:pPr>
      <w:r>
        <w:rPr>
          <w:bCs/>
          <w:b/>
        </w:rPr>
        <w:t xml:space="preserve">MX-24 Anchor-Drift Alerts.</w:t>
      </w:r>
      <w:r>
        <w:t xml:space="preserve"> </w:t>
      </w:r>
      <w:r>
        <w:t xml:space="preserve">Each floor notifies the other of any anchored vessel dragging beyond 0.2 nautical miles from its anchored position inside the designated anchorages. Success metric: 100 percent of drift events notified within ten minutes.</w:t>
      </w:r>
    </w:p>
    <w:p>
      <w:pPr>
        <w:pStyle w:val="BodyText"/>
      </w:pPr>
      <w:r>
        <w:rPr>
          <w:bCs/>
          <w:b/>
        </w:rPr>
        <w:t xml:space="preserve">MX-25 Fuel-Leak Notifications.</w:t>
      </w:r>
      <w:r>
        <w:t xml:space="preserve"> </w:t>
      </w:r>
      <w:r>
        <w:t xml:space="preserve">The Parties notify each other of any observed non-security fuel or oil sheen, with position and estimated extent, within fifteen minutes of observation. Success metric: 100 percent notification; joint log of responses maintained.</w:t>
      </w:r>
    </w:p>
    <w:p>
      <w:pPr>
        <w:pStyle w:val="BodyText"/>
      </w:pPr>
      <w:r>
        <w:rPr>
          <w:bCs/>
          <w:b/>
        </w:rPr>
        <w:t xml:space="preserve">MX-26 Micro-Hazmat Alert.</w:t>
      </w:r>
      <w:r>
        <w:t xml:space="preserve"> </w:t>
      </w:r>
      <w:r>
        <w:t xml:space="preserve">The Parties notify each other of any non-security hazardous-material release or container loss, with position and material class where known. Success metric: 100 percent notification within fifteen minutes.</w:t>
      </w:r>
    </w:p>
    <w:p>
      <w:pPr>
        <w:pStyle w:val="BodyText"/>
      </w:pPr>
      <w:r>
        <w:rPr>
          <w:bCs/>
          <w:b/>
        </w:rPr>
        <w:t xml:space="preserve">MX-27 Joint Debris Alert.</w:t>
      </w:r>
      <w:r>
        <w:t xml:space="preserve"> </w:t>
      </w:r>
      <w:r>
        <w:t xml:space="preserve">The Parties notify each other of floating debris sightings endangering navigation, with position and description, for inclusion in the hazard bulletin. Success metric: 100 percent of sightings exchanged within thirty minutes.</w:t>
      </w:r>
    </w:p>
    <w:p>
      <w:pPr>
        <w:pStyle w:val="BodyText"/>
      </w:pPr>
      <w:r>
        <w:rPr>
          <w:bCs/>
          <w:b/>
        </w:rPr>
        <w:t xml:space="preserve">MX-28 Micro-AIS Blackout Log.</w:t>
      </w:r>
      <w:r>
        <w:t xml:space="preserve"> </w:t>
      </w:r>
      <w:r>
        <w:t xml:space="preserve">The watch floors log AIS outages of any vessel in the Governance Area without attribution, inference, or follow-up query, recording position and duration only. Success metric: log maintained daily; zero attributive annotations for 14 consecutive days.</w:t>
      </w:r>
    </w:p>
    <w:p>
      <w:pPr>
        <w:pStyle w:val="BodyText"/>
      </w:pPr>
      <w:r>
        <w:rPr>
          <w:bCs/>
          <w:b/>
        </w:rPr>
        <w:t xml:space="preserve">MX-29 Small-Craft Advisory.</w:t>
      </w:r>
      <w:r>
        <w:t xml:space="preserve"> </w:t>
      </w:r>
      <w:r>
        <w:t xml:space="preserve">The Parties issue joint advisories for fishing boats and local craft inside the inshore bands, covering corridor traffic forecasts and hazard locations, in Arabic, Farsi, and English. Success metric: advisory issued daily; distribution confirmed to the harbormaster network at Bandar Abbas, Qeshm, Khasab, and Dibba.</w:t>
      </w:r>
    </w:p>
    <w:p>
      <w:pPr>
        <w:pStyle w:val="BodyText"/>
      </w:pPr>
      <w:r>
        <w:rPr>
          <w:bCs/>
          <w:b/>
        </w:rPr>
        <w:t xml:space="preserve">MX-30 Fishing-Net Drift Map.</w:t>
      </w:r>
      <w:r>
        <w:t xml:space="preserve"> </w:t>
      </w:r>
      <w:r>
        <w:t xml:space="preserve">The Parties maintain a joint map of drifting nets and gear, refreshed daily from sightings. Success metric: map updated daily for 14 consecutive days; every reported net tracked to recovery or exit.</w:t>
      </w:r>
    </w:p>
    <w:bookmarkEnd w:id="97"/>
    <w:bookmarkStart w:id="98" w:name="sub-layer-0.3-completion"/>
    <w:p>
      <w:pPr>
        <w:pStyle w:val="Heading3"/>
      </w:pPr>
      <w:r>
        <w:t xml:space="preserve">13.3 Sub-Layer 0.3 Completion</w:t>
      </w:r>
    </w:p>
    <w:p>
      <w:pPr>
        <w:pStyle w:val="FirstParagraph"/>
      </w:pPr>
      <w:r>
        <w:t xml:space="preserve">Sub-Layer 0.3 completes when eight of its ten exercises record their success metrics. The alert latency records of this sub-layer form the communications baseline that Annex C carries forward into Layer 1.</w:t>
      </w:r>
    </w:p>
    <w:bookmarkEnd w:id="98"/>
    <w:bookmarkEnd w:id="99"/>
    <w:bookmarkStart w:id="103" w:name="X5fecf03be65a5b716a9eb5fe735f4868a7d19db"/>
    <w:p>
      <w:pPr>
        <w:pStyle w:val="Heading2"/>
      </w:pPr>
      <w:r>
        <w:t xml:space="preserve">Article 14: Sub-Layer 0.4: Response and Repair (MX-31 to MX-40)</w:t>
      </w:r>
    </w:p>
    <w:bookmarkStart w:id="100" w:name="purpose-and-character-3"/>
    <w:p>
      <w:pPr>
        <w:pStyle w:val="Heading3"/>
      </w:pPr>
      <w:r>
        <w:t xml:space="preserve">14.1 Purpose and Character</w:t>
      </w:r>
    </w:p>
    <w:p>
      <w:pPr>
        <w:pStyle w:val="FirstParagraph"/>
      </w:pPr>
      <w:r>
        <w:t xml:space="preserve">Sub-Layer 0.4 builds muscle memory for joint response without touching authority. Every exercise addresses safety of life, towing, and repair; the framework excludes salvage claims, liability findings, and enforcement from the entire sub-layer.</w:t>
      </w:r>
    </w:p>
    <w:bookmarkEnd w:id="100"/>
    <w:bookmarkStart w:id="101" w:name="the-ten-exercises-3"/>
    <w:p>
      <w:pPr>
        <w:pStyle w:val="Heading3"/>
      </w:pPr>
      <w:r>
        <w:t xml:space="preserve">14.2 The Ten Exercises</w:t>
      </w:r>
    </w:p>
    <w:p>
      <w:pPr>
        <w:pStyle w:val="FirstParagraph"/>
      </w:pPr>
      <w:r>
        <w:rPr>
          <w:bCs/>
          <w:b/>
        </w:rPr>
        <w:t xml:space="preserve">MX-31 Emergency-Tow Readiness.</w:t>
      </w:r>
      <w:r>
        <w:t xml:space="preserve"> </w:t>
      </w:r>
      <w:r>
        <w:t xml:space="preserve">The Parties compile and maintain a joint list of tow-capable vessels (tugs and salvage vessels) with positions, bollard pull, and availability, refreshed every 12 hours. Success metric: list current at every refresh for 14 consecutive days.</w:t>
      </w:r>
    </w:p>
    <w:p>
      <w:pPr>
        <w:pStyle w:val="BodyText"/>
      </w:pPr>
      <w:r>
        <w:rPr>
          <w:bCs/>
          <w:b/>
        </w:rPr>
        <w:t xml:space="preserve">MX-32 Shared Tug-Dispatch.</w:t>
      </w:r>
      <w:r>
        <w:t xml:space="preserve"> </w:t>
      </w:r>
      <w:r>
        <w:t xml:space="preserve">Upon any request for emergency tow assistance relayed through the corridor working channel, the nearest available tug from the joint list dispatches under its own national tasking, with the other floor informed simultaneously. Success metric: dispatch within 30 minutes of request in 100 percent of events; tasking records exchanged.</w:t>
      </w:r>
    </w:p>
    <w:p>
      <w:pPr>
        <w:pStyle w:val="BodyText"/>
      </w:pPr>
      <w:r>
        <w:rPr>
          <w:bCs/>
          <w:b/>
        </w:rPr>
        <w:t xml:space="preserve">MX-33 Micro-SAR Coordination.</w:t>
      </w:r>
      <w:r>
        <w:t xml:space="preserve"> </w:t>
      </w:r>
      <w:r>
        <w:t xml:space="preserve">The Parties exchange search-and-rescue readiness status (assets on station, response times) twice daily for the Governance Area. Success metric: 14 consecutive days of complete exchanges.</w:t>
      </w:r>
    </w:p>
    <w:p>
      <w:pPr>
        <w:pStyle w:val="BodyText"/>
      </w:pPr>
      <w:r>
        <w:rPr>
          <w:bCs/>
          <w:b/>
        </w:rPr>
        <w:t xml:space="preserve">MX-34 Micro-SAR Drill.</w:t>
      </w:r>
      <w:r>
        <w:t xml:space="preserve"> </w:t>
      </w:r>
      <w:r>
        <w:t xml:space="preserve">The Parties conduct one 15-minute search-and-rescue communications drill weekly: a simulated person-in-water position in the Central Deconfliction Band, with both floors executing the notification ladder of Annex C.8. No assets deploy; the drill tests communications only. Success metric: four consecutive weekly drills; every ladder step completed inside its time standard.</w:t>
      </w:r>
    </w:p>
    <w:p>
      <w:pPr>
        <w:pStyle w:val="BodyText"/>
      </w:pPr>
      <w:r>
        <w:rPr>
          <w:bCs/>
          <w:b/>
        </w:rPr>
        <w:t xml:space="preserve">MX-35 Shared Repair-Ship List.</w:t>
      </w:r>
      <w:r>
        <w:t xml:space="preserve"> </w:t>
      </w:r>
      <w:r>
        <w:t xml:space="preserve">The Parties maintain a joint list of repair-capable vessels and diving support units available in the Governance Area, with capabilities and contact points. Success metric: list current at 95 percent accuracy, verified weekly.</w:t>
      </w:r>
    </w:p>
    <w:p>
      <w:pPr>
        <w:pStyle w:val="BodyText"/>
      </w:pPr>
      <w:r>
        <w:rPr>
          <w:bCs/>
          <w:b/>
        </w:rPr>
        <w:t xml:space="preserve">MX-36 Shared Repair-Crew Roster.</w:t>
      </w:r>
      <w:r>
        <w:t xml:space="preserve"> </w:t>
      </w:r>
      <w:r>
        <w:t xml:space="preserve">The Parties exchange availability rosters for emergency repair teams at Bandar Abbas, Qeshm, Khasab, and Fujairah, weekly. Success metric: four consecutive weekly exchanges.</w:t>
      </w:r>
    </w:p>
    <w:p>
      <w:pPr>
        <w:pStyle w:val="BodyText"/>
      </w:pPr>
      <w:r>
        <w:rPr>
          <w:bCs/>
          <w:b/>
        </w:rPr>
        <w:t xml:space="preserve">MX-37 Shared Repair-Dock Timing.</w:t>
      </w:r>
      <w:r>
        <w:t xml:space="preserve"> </w:t>
      </w:r>
      <w:r>
        <w:t xml:space="preserve">The Parties align repair-dock access windows at the four stations for vessels disabled in the Governance Area, publishing availability. Success metric: availability published weekly; disabled-vessel dock assignment within 12 hours of request.</w:t>
      </w:r>
    </w:p>
    <w:p>
      <w:pPr>
        <w:pStyle w:val="BodyText"/>
      </w:pPr>
      <w:r>
        <w:rPr>
          <w:bCs/>
          <w:b/>
        </w:rPr>
        <w:t xml:space="preserve">MX-38 Micro-Repair Coordination.</w:t>
      </w:r>
      <w:r>
        <w:t xml:space="preserve"> </w:t>
      </w:r>
      <w:r>
        <w:t xml:space="preserve">For one vessel per day where a request exists, the Parties align repair scheduling (team, dock, parts) through the watch floors. Success metric: every requested coordination completed within 24 hours for 14 consecutive days.</w:t>
      </w:r>
    </w:p>
    <w:p>
      <w:pPr>
        <w:pStyle w:val="BodyText"/>
      </w:pPr>
      <w:r>
        <w:rPr>
          <w:bCs/>
          <w:b/>
        </w:rPr>
        <w:t xml:space="preserve">MX-39 Joint Drift Prediction.</w:t>
      </w:r>
      <w:r>
        <w:t xml:space="preserve"> </w:t>
      </w:r>
      <w:r>
        <w:t xml:space="preserve">The Parties run and exchange drift predictions for any disabled vessel in the Governance Area, using the harmonized model of Annex B, Section B.39, with positions refreshed hourly. Success metric: prediction versus observed track error under 2 nautical miles at six hours in 80 percent of cases.</w:t>
      </w:r>
    </w:p>
    <w:p>
      <w:pPr>
        <w:pStyle w:val="BodyText"/>
      </w:pPr>
      <w:r>
        <w:rPr>
          <w:bCs/>
          <w:b/>
        </w:rPr>
        <w:t xml:space="preserve">MX-40 Micro-Collision Review.</w:t>
      </w:r>
      <w:r>
        <w:t xml:space="preserve"> </w:t>
      </w:r>
      <w:r>
        <w:t xml:space="preserve">The Parties jointly review every minor near-miss logged in the lattice, using the paired logbook entries, and issue a joint one-paragraph finding of fact without attribution of fault. Success metric: finding issued within 72 hours of every qualifying event; zero fault language in any finding.</w:t>
      </w:r>
    </w:p>
    <w:bookmarkEnd w:id="101"/>
    <w:bookmarkStart w:id="102" w:name="sub-layer-0.4-completion"/>
    <w:p>
      <w:pPr>
        <w:pStyle w:val="Heading3"/>
      </w:pPr>
      <w:r>
        <w:t xml:space="preserve">14.3 Sub-Layer 0.4 Completion</w:t>
      </w:r>
    </w:p>
    <w:p>
      <w:pPr>
        <w:pStyle w:val="FirstParagraph"/>
      </w:pPr>
      <w:r>
        <w:t xml:space="preserve">Sub-Layer 0.4 completes when eight of its ten exercises record their success metrics. The response-time records of this sub-layer form the readiness baseline for the SAR framework of Article 29.7 and Annex G of the mine taskforce charter.</w:t>
      </w:r>
    </w:p>
    <w:bookmarkEnd w:id="102"/>
    <w:bookmarkEnd w:id="103"/>
    <w:bookmarkStart w:id="107" w:name="X1d54aac7ced6d4f6dadf11bcb291d06298b13c5"/>
    <w:p>
      <w:pPr>
        <w:pStyle w:val="Heading2"/>
      </w:pPr>
      <w:r>
        <w:t xml:space="preserve">Article 15: Sub-Layer 0.5: Micro-Governance and Simulation (MX-41 to MX-50)</w:t>
      </w:r>
    </w:p>
    <w:bookmarkStart w:id="104" w:name="purpose-and-character-4"/>
    <w:p>
      <w:pPr>
        <w:pStyle w:val="Heading3"/>
      </w:pPr>
      <w:r>
        <w:t xml:space="preserve">15.1 Purpose and Character</w:t>
      </w:r>
    </w:p>
    <w:p>
      <w:pPr>
        <w:pStyle w:val="FirstParagraph"/>
      </w:pPr>
      <w:r>
        <w:t xml:space="preserve">Sub-Layer 0.5 creates the smallest institutional scaffolding for everything that follows. Every exercise in this sub-layer is provisional, non-binding, and explicitly incapable of creating obligations; the sub-layer tests institutional behavior, not institutional power.</w:t>
      </w:r>
    </w:p>
    <w:bookmarkEnd w:id="104"/>
    <w:bookmarkStart w:id="105" w:name="the-ten-exercises-4"/>
    <w:p>
      <w:pPr>
        <w:pStyle w:val="Heading3"/>
      </w:pPr>
      <w:r>
        <w:t xml:space="preserve">15.2 The Ten Exercises</w:t>
      </w:r>
    </w:p>
    <w:p>
      <w:pPr>
        <w:pStyle w:val="FirstParagraph"/>
      </w:pPr>
      <w:r>
        <w:rPr>
          <w:bCs/>
          <w:b/>
        </w:rPr>
        <w:t xml:space="preserve">MX-41 Shared Logbook Cell.</w:t>
      </w:r>
      <w:r>
        <w:t xml:space="preserve"> </w:t>
      </w:r>
      <w:r>
        <w:t xml:space="preserve">The four-person desk of Article 10 assumes custody of the Exercise Logbook and demonstrates its daily audit routine. Success metric: logbook audit completed daily for 14 consecutive days with zero unreconciled entries.</w:t>
      </w:r>
    </w:p>
    <w:p>
      <w:pPr>
        <w:pStyle w:val="BodyText"/>
      </w:pPr>
      <w:r>
        <w:rPr>
          <w:bCs/>
          <w:b/>
        </w:rPr>
        <w:t xml:space="preserve">MX-42 Micro-Training Exchange.</w:t>
      </w:r>
      <w:r>
        <w:t xml:space="preserve"> </w:t>
      </w:r>
      <w:r>
        <w:t xml:space="preserve">Each Principal Party seconds two personnel to the other Party’s watch floor for observation only, for five consecutive days, under the observation protocol of Annex C.9 (no system access beyond the shared picture, no operational duties). Success metric: exchange completed; observation reports exchanged.</w:t>
      </w:r>
    </w:p>
    <w:p>
      <w:pPr>
        <w:pStyle w:val="BodyText"/>
      </w:pPr>
      <w:r>
        <w:rPr>
          <w:bCs/>
          <w:b/>
        </w:rPr>
        <w:t xml:space="preserve">MX-43 Radio-Channel Harmonization.</w:t>
      </w:r>
      <w:r>
        <w:t xml:space="preserve"> </w:t>
      </w:r>
      <w:r>
        <w:t xml:space="preserve">The Parties adopt VHF Channel 16 for distress, Channel 72 as the corridor working channel, and Channel 74 as the watch-floor coordination channel throughout the Governance Area, per Annex C.2. Success metric: channel plan published; 14 consecutive days of operation without cross-channel interference events.</w:t>
      </w:r>
    </w:p>
    <w:p>
      <w:pPr>
        <w:pStyle w:val="BodyText"/>
      </w:pPr>
      <w:r>
        <w:rPr>
          <w:bCs/>
          <w:b/>
        </w:rPr>
        <w:t xml:space="preserve">MX-44 Joint Fog-Horn and Signal Protocol.</w:t>
      </w:r>
      <w:r>
        <w:t xml:space="preserve"> </w:t>
      </w:r>
      <w:r>
        <w:t xml:space="preserve">The Parties standardize sound and light signal patterns for corridor advisories (restricted visibility, hazard ahead, anchorage guidance), per Annex C.10. Success metric: protocol published; conformance in 100 percent of advisory events.</w:t>
      </w:r>
    </w:p>
    <w:p>
      <w:pPr>
        <w:pStyle w:val="BodyText"/>
      </w:pPr>
      <w:r>
        <w:rPr>
          <w:bCs/>
          <w:b/>
        </w:rPr>
        <w:t xml:space="preserve">MX-45 Shared Vessel-Intent Form.</w:t>
      </w:r>
      <w:r>
        <w:t xml:space="preserve"> </w:t>
      </w:r>
      <w:r>
        <w:t xml:space="preserve">The Parties adopt the voluntary, non-binding vessel-intent form of Annex L.3 (planned route, speed, and timing), which any vessel files through its agent and either floor accepts without acknowledgment duty. Success metric: form published in three languages; filing rate recorded without consequence for non-filing.</w:t>
      </w:r>
    </w:p>
    <w:p>
      <w:pPr>
        <w:pStyle w:val="BodyText"/>
      </w:pPr>
      <w:r>
        <w:rPr>
          <w:bCs/>
          <w:b/>
        </w:rPr>
        <w:t xml:space="preserve">MX-46 Micro-Fee Simulation.</w:t>
      </w:r>
      <w:r>
        <w:t xml:space="preserve"> </w:t>
      </w:r>
      <w:r>
        <w:t xml:space="preserve">Each watch floor runs a parallel accounting model of the Verified Services Catalog of Article 35: for every transit in the lattice window, the model computes which optional services a vessel would plausibly request, at the simulation rate card of Annex F.2. No money moves; no invoice issues; no commitment arises. Success metric: 14 consecutive days of parallel model runs; model outputs reconciled between floors within 5 percent.</w:t>
      </w:r>
    </w:p>
    <w:p>
      <w:pPr>
        <w:pStyle w:val="BodyText"/>
      </w:pPr>
      <w:r>
        <w:rPr>
          <w:bCs/>
          <w:b/>
        </w:rPr>
        <w:t xml:space="preserve">MX-47 Micro-Oversight Cell.</w:t>
      </w:r>
      <w:r>
        <w:t xml:space="preserve"> </w:t>
      </w:r>
      <w:r>
        <w:t xml:space="preserve">The Lattice Cell demonstrates its full weekly routine: stability note, anomaly review, and recommendation drafting, exactly as Article 10 prescribes. Success metric: routine executed weekly without missed session.</w:t>
      </w:r>
    </w:p>
    <w:p>
      <w:pPr>
        <w:pStyle w:val="BodyText"/>
      </w:pPr>
      <w:r>
        <w:rPr>
          <w:bCs/>
          <w:b/>
        </w:rPr>
        <w:t xml:space="preserve">MX-48 Micro-Governance Review.</w:t>
      </w:r>
      <w:r>
        <w:t xml:space="preserve"> </w:t>
      </w:r>
      <w:r>
        <w:t xml:space="preserve">The Lattice Cell conducts one weekly review of the entire lattice, recording what functions, what fails, and what each Party experiences, in the standing format of Annex J.4. Success metric: four consecutive weekly reviews on record.</w:t>
      </w:r>
    </w:p>
    <w:p>
      <w:pPr>
        <w:pStyle w:val="BodyText"/>
      </w:pPr>
      <w:r>
        <w:rPr>
          <w:bCs/>
          <w:b/>
        </w:rPr>
        <w:t xml:space="preserve">MX-49 Pilot-Compatibility Audit.</w:t>
      </w:r>
      <w:r>
        <w:t xml:space="preserve"> </w:t>
      </w:r>
      <w:r>
        <w:t xml:space="preserve">The neutral member of the Lattice Cell audits every active exercise against the Five Standing Rules of Article 9.2 and reports any drift toward authority, enforcement, or sovereignty implication. Success metric: audit completed weekly; every drift finding remediated or the exercise suspended within 48 hours.</w:t>
      </w:r>
    </w:p>
    <w:p>
      <w:pPr>
        <w:pStyle w:val="BodyText"/>
      </w:pPr>
      <w:r>
        <w:rPr>
          <w:bCs/>
          <w:b/>
        </w:rPr>
        <w:t xml:space="preserve">MX-50 Corridor-Expansion Test.</w:t>
      </w:r>
      <w:r>
        <w:t xml:space="preserve"> </w:t>
      </w:r>
      <w:r>
        <w:t xml:space="preserve">The Parties jointly simulate, on the shared picture and without vessel involvement, the expansion of the MX-11 window from six hours to twenty-four hours, recording projected conflicts and capacity. Success metric: simulation report completed; projections recorded for the Layer 2 design review.</w:t>
      </w:r>
    </w:p>
    <w:bookmarkEnd w:id="105"/>
    <w:bookmarkStart w:id="106" w:name="sub-layer-0.5-completion"/>
    <w:p>
      <w:pPr>
        <w:pStyle w:val="Heading3"/>
      </w:pPr>
      <w:r>
        <w:rPr>
          <w:lang w:val="en-US" w:eastAsia="en-US" w:bidi="ar-SA"/>
          <w:rFonts w:asciiTheme="majorHAnsi" w:cstheme="majorBidi" w:eastAsiaTheme="majorEastAsia" w:hAnsiTheme="majorHAnsi"/>
          <w:b/>
          <w:color w:themeColor="accent1"/>
          <w:sz w:val="24"/>
          <w:szCs w:val="24"/>
        </w:rPr>
        <w:t>15.3 Sub-Layer 0.5 Completion</w:t>
      </w:r>
    </w:p>
    <w:p>
      <w:pPr>
        <w:pStyle w:val="FirstParagraph"/>
      </w:pPr>
      <w:r>
        <w:rPr>
          <w:sz w:val="24"/>
          <w:szCs w:val="24"/>
          <w:lang w:val="en-US" w:eastAsia="en-US" w:bidi="ar-SA"/>
        </w:rPr>
        <w:t>Sub-Layer 0.5 completes when eight of its ten exercises record their success metrics, and its records constitute the institutional-readiness chapter of the Gate G-0 audit.</w:t>
      </w:r>
    </w:p>
    <w:bookmarkEnd w:id="106"/>
    <w:bookmarkEnd w:id="107"/>
    <w:bookmarkStart w:id="111" w:name="X1b8db2b26da445ff5e0df751d3e967cb70a56c4"/>
    <w:p>
      <w:pPr>
        <w:pStyle w:val="Heading2"/>
      </w:pPr>
      <w:r>
        <w:rPr>
          <w:lang w:val="en-US" w:eastAsia="en-US" w:bidi="ar-SA"/>
          <w:rFonts w:asciiTheme="majorHAnsi" w:cstheme="majorBidi" w:eastAsiaTheme="majorEastAsia" w:hAnsiTheme="majorHAnsi"/>
          <w:b/>
          <w:color w:themeColor="accent1"/>
          <w:sz w:val="28"/>
          <w:szCs w:val="28"/>
        </w:rPr>
        <w:t>Article 16: Gate G-0: The First Stability Audit</w:t>
      </w:r>
    </w:p>
    <w:bookmarkStart w:id="108" w:name="the-audit"/>
    <w:p>
      <w:pPr>
        <w:pStyle w:val="Heading3"/>
      </w:pPr>
      <w:r>
        <w:rPr>
          <w:lang w:val="en-US" w:eastAsia="en-US" w:bidi="ar-SA"/>
          <w:rFonts w:asciiTheme="majorHAnsi" w:cstheme="majorBidi" w:eastAsiaTheme="majorEastAsia" w:hAnsiTheme="majorHAnsi"/>
          <w:b/>
          <w:color w:themeColor="accent1"/>
          <w:sz w:val="24"/>
          <w:szCs w:val="24"/>
        </w:rPr>
        <w:t>16.1 The Audit</w:t>
      </w:r>
    </w:p>
    <w:p>
      <w:pPr>
        <w:pStyle w:val="FirstParagraph"/>
      </w:pPr>
      <w:r>
        <w:rPr>
          <w:sz w:val="24"/>
          <w:szCs w:val="24"/>
          <w:lang w:val="en-US" w:eastAsia="en-US" w:bidi="ar-SA"/>
        </w:rPr>
        <w:t>Upon Day 30, the Neutral Watch Office (stood up provisionally under Annex K.2) audits the Exercise Logbook against the G-0 metrics of Article 7.2: 30 consecutive days of lattice operation, at least 40 of 50 exercises activated, zero unresolved Level-2 incidents under the classification of Annex D.4, and a recorded Lattice Cell recommendation.</w:t>
      </w:r>
    </w:p>
    <w:bookmarkEnd w:id="108"/>
    <w:bookmarkStart w:id="109" w:name="certification"/>
    <w:p>
      <w:pPr>
        <w:pStyle w:val="Heading3"/>
      </w:pPr>
      <w:r>
        <w:rPr>
          <w:lang w:val="en-US" w:eastAsia="en-US" w:bidi="ar-SA"/>
          <w:rFonts w:asciiTheme="majorHAnsi" w:cstheme="majorBidi" w:eastAsiaTheme="majorEastAsia" w:hAnsiTheme="majorHAnsi"/>
          <w:b/>
          <w:color w:themeColor="accent1"/>
          <w:sz w:val="24"/>
          <w:szCs w:val="24"/>
        </w:rPr>
        <w:t>16.2 Certification</w:t>
      </w:r>
    </w:p>
    <w:p>
      <w:pPr>
        <w:pStyle w:val="FirstParagraph"/>
      </w:pPr>
      <w:r>
        <w:rPr>
          <w:sz w:val="24"/>
          <w:szCs w:val="24"/>
          <w:lang w:val="en-US" w:eastAsia="en-US" w:bidi="ar-SA"/>
        </w:rPr>
        <w:t>The Neutral Watch Office publishes the Gate G-0 certificate within 24 hours of the metrics standing satisfied. The certificate states the factual record and nothing else. Gate G-0 opens Layer 1 at 00:00 UTC on the following day.</w:t>
      </w:r>
    </w:p>
    <w:bookmarkEnd w:id="109"/>
    <w:bookmarkStart w:id="110" w:name="failure-handling"/>
    <w:p>
      <w:pPr>
        <w:pStyle w:val="Heading3"/>
      </w:pPr>
      <w:r>
        <w:rPr>
          <w:lang w:val="en-US" w:eastAsia="en-US" w:bidi="ar-SA"/>
          <w:rFonts w:asciiTheme="majorHAnsi" w:cstheme="majorBidi" w:eastAsiaTheme="majorEastAsia" w:hAnsiTheme="majorHAnsi"/>
          <w:b/>
          <w:color w:themeColor="accent1"/>
          <w:sz w:val="24"/>
          <w:szCs w:val="24"/>
        </w:rPr>
        <w:t>16.3 Failure Handling</w:t>
      </w:r>
    </w:p>
    <w:p>
      <w:pPr>
        <w:pStyle w:val="FirstParagraph"/>
      </w:pPr>
      <w:r>
        <w:rPr>
          <w:sz w:val="24"/>
          <w:szCs w:val="24"/>
          <w:lang w:val="en-US" w:eastAsia="en-US" w:bidi="ar-SA"/>
        </w:rPr>
        <w:t>If any metric stands unsatisfied on Day 30, the lattice continues and the audit repeats every seven days until certification. No penalty attaches to delay; the Nofade Guarantee holds every completed element in place. An exercise that repeatedly fails its metric suspends individually under Annex B.0, and its suspension enters the public record with the factual reason.</w:t>
      </w:r>
    </w:p>
    <w:bookmarkEnd w:id="110"/>
    <w:bookmarkEnd w:id="111"/>
    <w:bookmarkEnd w:id="112"/>
    <w:bookmarkStart w:id="137" w:name="Xf5f855c9a4ff8a0dd949f3753016a27814a6f77"/>
    <w:p>
      <w:pPr>
        <w:pStyle w:val="Heading1"/>
      </w:pPr>
      <w:r>
        <w:rPr>
          <w:lang w:val="en-US" w:eastAsia="en-US" w:bidi="ar-SA"/>
          <w:rFonts w:asciiTheme="majorHAnsi" w:cstheme="majorBidi" w:eastAsiaTheme="majorEastAsia" w:hAnsiTheme="majorHAnsi"/>
          <w:b/>
          <w:color w:themeColor="accent1"/>
          <w:sz w:val="32"/>
          <w:szCs w:val="32"/>
        </w:rPr>
        <w:t>PART III: LAYER 1: THE SHARED DATA LAYER (DAYS 0 TO 45)</w:t>
      </w:r>
    </w:p>
    <w:bookmarkStart w:id="117" w:name="article-17-the-joint-visibility-system"/>
    <w:p>
      <w:pPr>
        <w:pStyle w:val="Heading2"/>
      </w:pPr>
      <w:r>
        <w:rPr>
          <w:lang w:val="en-US" w:eastAsia="en-US" w:bidi="ar-SA"/>
          <w:rFonts w:asciiTheme="majorHAnsi" w:cstheme="majorBidi" w:eastAsiaTheme="majorEastAsia" w:hAnsiTheme="majorHAnsi"/>
          <w:b/>
          <w:color w:themeColor="accent1"/>
          <w:sz w:val="28"/>
          <w:szCs w:val="28"/>
        </w:rPr>
        <w:t>Article 17: The Joint Visibility System</w:t>
      </w:r>
    </w:p>
    <w:bookmarkStart w:id="113" w:name="establishment-1"/>
    <w:p>
      <w:pPr>
        <w:pStyle w:val="Heading3"/>
      </w:pPr>
      <w:r>
        <w:rPr>
          <w:lang w:val="en-US" w:eastAsia="en-US" w:bidi="ar-SA"/>
          <w:rFonts w:asciiTheme="majorHAnsi" w:cstheme="majorBidi" w:eastAsiaTheme="majorEastAsia" w:hAnsiTheme="majorHAnsi"/>
          <w:b/>
          <w:color w:themeColor="accent1"/>
          <w:sz w:val="24"/>
          <w:szCs w:val="24"/>
        </w:rPr>
        <w:t>17.1 Establishment</w:t>
      </w:r>
    </w:p>
    <w:p>
      <w:pPr>
        <w:pStyle w:val="FirstParagraph"/>
      </w:pPr>
      <w:r>
        <w:rPr>
          <w:sz w:val="24"/>
          <w:szCs w:val="24"/>
          <w:lang w:val="en-US" w:eastAsia="en-US" w:bidi="ar-SA"/>
        </w:rPr>
        <w:t>Gate G-0 opens Layer 1, and Layer 1 merges the fifty exercise data streams into one standing Joint Visibility System. The system pools four classes of data from the Principal Parties: vessel traffic data (AIS positions, radar tracks, and reported intentions for vessels inside the Governance Area); incident data (the alert streams of Sub-Layer 0.3, carried forward); environmental data (the weather, visibility, tide, and swell streams of Sub-Layer 0.1, carried forward); and traffic forecasts (the predictions of MX-10, carried forward at full-corridor scale).</w:t>
      </w:r>
    </w:p>
    <w:bookmarkEnd w:id="113"/>
    <w:bookmarkStart w:id="114" w:name="the-common-operating-picture"/>
    <w:p>
      <w:pPr>
        <w:pStyle w:val="Heading3"/>
      </w:pPr>
      <w:r>
        <w:rPr>
          <w:lang w:val="en-US" w:eastAsia="en-US" w:bidi="ar-SA"/>
          <w:rFonts w:asciiTheme="majorHAnsi" w:cstheme="majorBidi" w:eastAsiaTheme="majorEastAsia" w:hAnsiTheme="majorHAnsi"/>
          <w:b/>
          <w:color w:themeColor="accent1"/>
          <w:sz w:val="24"/>
          <w:szCs w:val="24"/>
        </w:rPr>
        <w:t>17.2 The Common Operating Picture</w:t>
      </w:r>
    </w:p>
    <w:p>
      <w:pPr>
        <w:pStyle w:val="FirstParagraph"/>
      </w:pPr>
      <w:r>
        <w:rPr>
          <w:sz w:val="24"/>
          <w:szCs w:val="24"/>
          <w:lang w:val="en-US" w:eastAsia="en-US" w:bidi="ar-SA"/>
        </w:rPr>
        <w:t>The Joint Visibility System renders one Common Operating Picture, identical on both watch floors, refreshed at intervals not exceeding 60 seconds for vessel positions and 60 minutes for environmental data. Every operator at every station sees the same picture at the same time. Divergence between floors beyond the refresh tolerance triggers the parity alarm of Article 18.4.</w:t>
      </w:r>
    </w:p>
    <w:bookmarkEnd w:id="114"/>
    <w:bookmarkStart w:id="115" w:name="data-classes-and-handling"/>
    <w:p>
      <w:pPr>
        <w:pStyle w:val="Heading3"/>
      </w:pPr>
      <w:r>
        <w:rPr>
          <w:lang w:val="en-US" w:eastAsia="en-US" w:bidi="ar-SA"/>
          <w:rFonts w:asciiTheme="majorHAnsi" w:cstheme="majorBidi" w:eastAsiaTheme="majorEastAsia" w:hAnsiTheme="majorHAnsi"/>
          <w:b/>
          <w:color w:themeColor="accent1"/>
          <w:sz w:val="24"/>
          <w:szCs w:val="24"/>
        </w:rPr>
        <w:t>17.3 Data Classes and Handling</w:t>
      </w:r>
    </w:p>
    <w:p>
      <w:pPr>
        <w:pStyle w:val="FirstParagraph"/>
      </w:pPr>
      <w:r>
        <w:rPr>
          <w:sz w:val="24"/>
          <w:szCs w:val="24"/>
          <w:lang w:val="en-US" w:eastAsia="en-US" w:bidi="ar-SA"/>
        </w:rPr>
        <w:t>The system marks every data element with its class (traffic, incident, environmental, forecast), its source, its timestamp, and its custody chain. Three handling rules bind every element. First, integrity: no station alters, filters, or delays any element between receipt and display. Second, symmetry: every element available to one floor is available to the other in the same form at the same time. Third, custody: every element remains within the custody architecture of Article 19, without exception.</w:t>
      </w:r>
    </w:p>
    <w:bookmarkEnd w:id="115"/>
    <w:bookmarkStart w:id="116" w:name="continuity-of-the-lattice"/>
    <w:p>
      <w:pPr>
        <w:pStyle w:val="Heading3"/>
      </w:pPr>
      <w:r>
        <w:rPr>
          <w:lang w:val="en-US" w:eastAsia="en-US" w:bidi="ar-SA"/>
          <w:rFonts w:asciiTheme="majorHAnsi" w:cstheme="majorBidi" w:eastAsiaTheme="majorEastAsia" w:hAnsiTheme="majorHAnsi"/>
          <w:b/>
          <w:color w:themeColor="accent1"/>
          <w:sz w:val="24"/>
          <w:szCs w:val="24"/>
        </w:rPr>
        <w:t>17.4 Continuity of the Lattice</w:t>
      </w:r>
    </w:p>
    <w:p>
      <w:pPr>
        <w:pStyle w:val="FirstParagraph"/>
      </w:pPr>
      <w:r>
        <w:rPr>
          <w:sz w:val="24"/>
          <w:szCs w:val="24"/>
          <w:lang w:val="en-US" w:eastAsia="en-US" w:bidi="ar-SA"/>
        </w:rPr>
        <w:t>The fifty micro-exercises of Layer 0 continue inside Layer 1 as standing data services, administered by the watch floors without the Lattice Cell’s daily supervision. The Lattice Cell converts at Gate G-1 into the Data Quality Desk of Article 18.5, preserving its four-person composition and its institutional memory.</w:t>
      </w:r>
    </w:p>
    <w:bookmarkEnd w:id="116"/>
    <w:bookmarkEnd w:id="117"/>
    <w:bookmarkStart w:id="123" w:name="X9a5de66e8d4dde71d8a5f1d5f34279af8327a14"/>
    <w:p>
      <w:pPr>
        <w:pStyle w:val="Heading2"/>
      </w:pPr>
      <w:r>
        <w:rPr>
          <w:lang w:val="en-US" w:eastAsia="en-US" w:bidi="ar-SA"/>
          <w:rFonts w:asciiTheme="majorHAnsi" w:cstheme="majorBidi" w:eastAsiaTheme="majorEastAsia" w:hAnsiTheme="majorHAnsi"/>
          <w:b/>
          <w:color w:themeColor="accent1"/>
          <w:sz w:val="28"/>
          <w:szCs w:val="28"/>
        </w:rPr>
        <w:t>Article 18: The Meridian Data Exchange and the Mirror Servers</w:t>
      </w:r>
    </w:p>
    <w:bookmarkStart w:id="118" w:name="the-exchange"/>
    <w:p>
      <w:pPr>
        <w:pStyle w:val="Heading3"/>
      </w:pPr>
      <w:r>
        <w:rPr>
          <w:lang w:val="en-US" w:eastAsia="en-US" w:bidi="ar-SA"/>
          <w:rFonts w:asciiTheme="majorHAnsi" w:cstheme="majorBidi" w:eastAsiaTheme="majorEastAsia" w:hAnsiTheme="majorHAnsi"/>
          <w:b/>
          <w:color w:themeColor="accent1"/>
          <w:sz w:val="24"/>
          <w:szCs w:val="24"/>
        </w:rPr>
        <w:t>18.1 The Exchange</w:t>
      </w:r>
    </w:p>
    <w:p>
      <w:pPr>
        <w:pStyle w:val="FirstParagraph"/>
      </w:pPr>
      <w:r>
        <w:rPr>
          <w:sz w:val="24"/>
          <w:szCs w:val="24"/>
          <w:lang w:val="en-US" w:eastAsia="en-US" w:bidi="ar-SA"/>
        </w:rPr>
        <w:t>The Meridian Data Exchange operates the technical core of the Joint Visibility System: two mirrored servers, one at the Tadriji Coordination Center in Muscat and one at the Darya Mirror Facility in Bandar Abbas, synchronized continuously over the dedicated link of Annex C.3, with a third read-only terminal at the Neutral Watch Office.</w:t>
      </w:r>
    </w:p>
    <w:bookmarkEnd w:id="118"/>
    <w:bookmarkStart w:id="119" w:name="the-parity-standard"/>
    <w:p>
      <w:pPr>
        <w:pStyle w:val="Heading3"/>
      </w:pPr>
      <w:r>
        <w:rPr>
          <w:lang w:val="en-US" w:eastAsia="en-US" w:bidi="ar-SA"/>
          <w:rFonts w:asciiTheme="majorHAnsi" w:cstheme="majorBidi" w:eastAsiaTheme="majorEastAsia" w:hAnsiTheme="majorHAnsi"/>
          <w:b/>
          <w:color w:themeColor="accent1"/>
          <w:sz w:val="24"/>
          <w:szCs w:val="24"/>
        </w:rPr>
        <w:t>18.2 The Parity Standard</w:t>
      </w:r>
    </w:p>
    <w:p>
      <w:pPr>
        <w:pStyle w:val="FirstParagraph"/>
      </w:pPr>
      <w:r>
        <w:rPr>
          <w:sz w:val="24"/>
          <w:szCs w:val="24"/>
          <w:lang w:val="en-US" w:eastAsia="en-US" w:bidi="ar-SA"/>
        </w:rPr>
        <w:t>The two servers hold byte-identical data sets. The Exchange computes a parity checksum every 60 seconds across both servers, publishes the result to both floors and to the Neutral Watch Office, and records every checksum in the Reciprocity Ledger. The G-1 parity metric of 99.5 percent measures the share of checksums matching over each 21-day audit window.</w:t>
      </w:r>
    </w:p>
    <w:bookmarkEnd w:id="119"/>
    <w:bookmarkStart w:id="120" w:name="failure-and-degraded-mode"/>
    <w:p>
      <w:pPr>
        <w:pStyle w:val="Heading3"/>
      </w:pPr>
      <w:r>
        <w:rPr>
          <w:lang w:val="en-US" w:eastAsia="en-US" w:bidi="ar-SA"/>
          <w:rFonts w:asciiTheme="majorHAnsi" w:cstheme="majorBidi" w:eastAsiaTheme="majorEastAsia" w:hAnsiTheme="majorHAnsi"/>
          <w:b/>
          <w:color w:themeColor="accent1"/>
          <w:sz w:val="24"/>
          <w:szCs w:val="24"/>
        </w:rPr>
        <w:t>18.3 Failure and Degraded Mode</w:t>
      </w:r>
    </w:p>
    <w:p>
      <w:pPr>
        <w:pStyle w:val="FirstParagraph"/>
      </w:pPr>
      <w:r>
        <w:rPr>
          <w:sz w:val="24"/>
          <w:szCs w:val="24"/>
          <w:lang w:val="en-US" w:eastAsia="en-US" w:bidi="ar-SA"/>
        </w:rPr>
        <w:t>A synchronization failure longer than 300 seconds shifts the Exchange into degraded mode: each floor operates on its own server, marks the picture as unilateral, and logs every divergence for post-restoration reconciliation. Restoration executes automatically upon link recovery, and the reconciliation record publishes in full. Degraded mode never suspends corridor operations; it suspends only the pretense of a shared picture, honestly and on the record.</w:t>
      </w:r>
    </w:p>
    <w:bookmarkEnd w:id="120"/>
    <w:bookmarkStart w:id="121" w:name="the-parity-alarm"/>
    <w:p>
      <w:pPr>
        <w:pStyle w:val="Heading3"/>
      </w:pPr>
      <w:r>
        <w:rPr>
          <w:lang w:val="en-US" w:eastAsia="en-US" w:bidi="ar-SA"/>
          <w:rFonts w:asciiTheme="majorHAnsi" w:cstheme="majorBidi" w:eastAsiaTheme="majorEastAsia" w:hAnsiTheme="majorHAnsi"/>
          <w:b/>
          <w:color w:themeColor="accent1"/>
          <w:sz w:val="24"/>
          <w:szCs w:val="24"/>
        </w:rPr>
        <w:t>18.4 The Parity Alarm</w:t>
      </w:r>
    </w:p>
    <w:p>
      <w:pPr>
        <w:pStyle w:val="FirstParagraph"/>
      </w:pPr>
      <w:r>
        <w:rPr>
          <w:sz w:val="24"/>
          <w:szCs w:val="24"/>
          <w:lang w:val="en-US" w:eastAsia="en-US" w:bidi="ar-SA"/>
        </w:rPr>
        <w:t>The parity alarm activates on three triggers: checksum mismatch persisting beyond 300 seconds; any element present on one server and absent on the other beyond 60 seconds; and any custody-chain break detected by the integrity watch. The alarm notifies both floors and the Neutral Watch Office simultaneously, and the responding duty officers file a joint incident note within four hours.</w:t>
      </w:r>
    </w:p>
    <w:bookmarkEnd w:id="121"/>
    <w:bookmarkStart w:id="122" w:name="the-data-quality-desk"/>
    <w:p>
      <w:pPr>
        <w:pStyle w:val="Heading3"/>
      </w:pPr>
      <w:r>
        <w:rPr>
          <w:lang w:val="en-US" w:eastAsia="en-US" w:bidi="ar-SA"/>
          <w:rFonts w:asciiTheme="majorHAnsi" w:cstheme="majorBidi" w:eastAsiaTheme="majorEastAsia" w:hAnsiTheme="majorHAnsi"/>
          <w:b/>
          <w:color w:themeColor="accent1"/>
          <w:sz w:val="24"/>
          <w:szCs w:val="24"/>
        </w:rPr>
        <w:t>18.5 The Data Quality Desk</w:t>
      </w:r>
    </w:p>
    <w:p>
      <w:pPr>
        <w:pStyle w:val="FirstParagraph"/>
      </w:pPr>
      <w:r>
        <w:rPr>
          <w:sz w:val="24"/>
          <w:szCs w:val="24"/>
          <w:lang w:val="en-US" w:eastAsia="en-US" w:bidi="ar-SA"/>
        </w:rPr>
        <w:t>The Data Quality Desk (the converted Lattice Cell) audits feed completeness, timestamp accuracy, and format conformance daily, and publishes a weekly data quality note in the Open Water Bulletin. The Desk holds no authority to alter data; it measures and publishes.</w:t>
      </w:r>
    </w:p>
    <w:p>
      <w:pPr>
        <w:pStyle w:val="Heading3"/>
      </w:pPr>
      <w:r>
        <w:rPr>
          <w:lang w:val="en-US" w:eastAsia="en-US" w:bidi="ar-SA"/>
          <w:rFonts w:asciiTheme="majorHAnsi" w:cstheme="majorBidi" w:eastAsiaTheme="majorEastAsia" w:hAnsiTheme="majorHAnsi"/>
          <w:b/>
          <w:color w:themeColor="accent1"/>
          <w:sz w:val="24"/>
          <w:szCs w:val="24"/>
        </w:rPr>
        <w:t>18.6 The Early Fee Simulation</w:t>
      </w:r>
    </w:p>
    <w:p>
      <w:pPr>
        <w:pStyle w:val="FirstParagraph"/>
      </w:pPr>
      <w:r>
        <w:rPr>
          <w:sz w:val="24"/>
          <w:szCs w:val="24"/>
          <w:lang w:val="en-US" w:eastAsia="en-US" w:bidi="ar-SA"/>
        </w:rPr>
        <w:t>18.6.1 Upon Gate G-0 certification (Day 30), the Early Fee Simulation activates. It runs on actual traffic data from the Fast-Track Interim Route, using the rate structure of Annex F.</w:t>
      </w:r>
    </w:p>
    <w:p>
      <w:pPr>
        <w:pStyle w:val="FirstParagraph"/>
      </w:pPr>
      <w:r>
        <w:rPr>
          <w:sz w:val="24"/>
          <w:szCs w:val="24"/>
          <w:lang w:val="en-US" w:eastAsia="en-US" w:bidi="ar-SA"/>
        </w:rPr>
        <w:t>18.6.2 The Early Fee Simulation tests the three financial models: the toll model, the direct service-fee model, and the multilateral fund model. It additionally models, as published scenarios, the cargo-value service-charge concepts circulating in the current negotiation, including the three-percent and the five-to-seven-percent markers recorded in the August 2026 negotiating record, so that every capital reads the same arithmetic for every concept on the table. No money moves; no invoice issues; no commitment forms.</w:t>
      </w:r>
    </w:p>
    <w:p>
      <w:pPr>
        <w:pStyle w:val="FirstParagraph"/>
      </w:pPr>
      <w:r>
        <w:rPr>
          <w:sz w:val="24"/>
          <w:szCs w:val="24"/>
          <w:lang w:val="en-US" w:eastAsia="en-US" w:bidi="ar-SA"/>
        </w:rPr>
        <w:t>18.6.3 The Early Fee Simulation publishes an interim report at Day 45 and a final report at Day 75, feeding directly into the financial architecture of Layer 3 (Revenue and Services) and Layer 5 (Permanent Charter).</w:t>
      </w:r>
    </w:p>
    <w:p>
      <w:pPr>
        <w:pStyle w:val="FirstParagraph"/>
      </w:pPr>
      <w:r>
        <w:rPr>
          <w:sz w:val="24"/>
          <w:szCs w:val="24"/>
          <w:lang w:val="en-US" w:eastAsia="en-US" w:bidi="ar-SA"/>
        </w:rPr>
        <w:t>18.6.4 The Early Fee Simulation is information, not negotiation. It lets every capital see the future in numbers before anyone commits to it. The simulation settles the fee question in arithmetic by Day 75 without touching the Zero-Toll Rule: the rule of Article 33 holds in every scenario the simulation tests, and no simulated toll ever becomes a live charge.</w:t>
      </w:r>
    </w:p>
    <w:p>
      <w:pPr>
        <w:pStyle w:val="Heading3"/>
      </w:pPr>
      <w:r>
        <w:rPr>
          <w:lang w:val="en-US" w:eastAsia="en-US" w:bidi="ar-SA"/>
          <w:rFonts w:asciiTheme="majorHAnsi" w:cstheme="majorBidi" w:eastAsiaTheme="majorEastAsia" w:hAnsiTheme="majorHAnsi"/>
          <w:b/>
          <w:color w:themeColor="accent1"/>
          <w:sz w:val="24"/>
          <w:szCs w:val="24"/>
        </w:rPr>
        <w:t>18.7 The Digital Twin</w:t>
      </w:r>
    </w:p>
    <w:p>
      <w:pPr>
        <w:pStyle w:val="FirstParagraph"/>
      </w:pPr>
      <w:r>
        <w:rPr>
          <w:sz w:val="24"/>
          <w:szCs w:val="24"/>
          <w:lang w:val="en-US" w:eastAsia="en-US" w:bidi="ar-SA"/>
        </w:rPr>
        <w:t>18.7.1 The Meridian Data Exchange operates a continuous Digital Twin of the corridor system: a parallel, real-time simulation of all vessel movements, alerts, and hazards, running on the same data feeds as the operational system.</w:t>
      </w:r>
    </w:p>
    <w:p>
      <w:pPr>
        <w:pStyle w:val="FirstParagraph"/>
      </w:pPr>
      <w:r>
        <w:rPr>
          <w:sz w:val="24"/>
          <w:szCs w:val="24"/>
          <w:lang w:val="en-US" w:eastAsia="en-US" w:bidi="ar-SA"/>
        </w:rPr>
        <w:t>18.7.2 The Digital Twin serves predictive hazard modeling, what-if scenario analysis, training, and gate certification validation.</w:t>
      </w:r>
    </w:p>
    <w:p>
      <w:pPr>
        <w:pStyle w:val="FirstParagraph"/>
      </w:pPr>
      <w:r>
        <w:rPr>
          <w:sz w:val="24"/>
          <w:szCs w:val="24"/>
          <w:lang w:val="en-US" w:eastAsia="en-US" w:bidi="ar-SA"/>
        </w:rPr>
        <w:t>18.7.3 The Digital Twin publishes its projections and never alters operational decisions. It functions as a safety and planning tool, never a command system.</w:t>
      </w:r>
    </w:p>
    <w:bookmarkEnd w:id="122"/>
    <w:bookmarkEnd w:id="123"/>
    <w:bookmarkStart w:id="128" w:name="X76ae4bbe1b3008bc0127623f54fb6bf13d65666"/>
    <w:p>
      <w:pPr>
        <w:pStyle w:val="Heading2"/>
      </w:pPr>
      <w:r>
        <w:rPr>
          <w:lang w:val="en-US" w:eastAsia="en-US" w:bidi="ar-SA"/>
          <w:rFonts w:asciiTheme="majorHAnsi" w:cstheme="majorBidi" w:eastAsiaTheme="majorEastAsia" w:hAnsiTheme="majorHAnsi"/>
          <w:b/>
          <w:color w:themeColor="accent1"/>
          <w:sz w:val="28"/>
          <w:szCs w:val="28"/>
        </w:rPr>
        <w:t>Article 19: Data Custody and the Kinetic Exclusion</w:t>
      </w:r>
    </w:p>
    <w:bookmarkStart w:id="124" w:name="the-custody-rule"/>
    <w:p>
      <w:pPr>
        <w:pStyle w:val="Heading3"/>
      </w:pPr>
      <w:r>
        <w:rPr>
          <w:lang w:val="en-US" w:eastAsia="en-US" w:bidi="ar-SA"/>
          <w:rFonts w:asciiTheme="majorHAnsi" w:cstheme="majorBidi" w:eastAsiaTheme="majorEastAsia" w:hAnsiTheme="majorHAnsi"/>
          <w:b/>
          <w:color w:themeColor="accent1"/>
          <w:sz w:val="24"/>
          <w:szCs w:val="24"/>
        </w:rPr>
        <w:t>19.1 The Custody Rule</w:t>
      </w:r>
    </w:p>
    <w:p>
      <w:pPr>
        <w:pStyle w:val="FirstParagraph"/>
      </w:pPr>
      <w:r>
        <w:rPr>
          <w:sz w:val="24"/>
          <w:szCs w:val="24"/>
          <w:lang w:val="en-US" w:eastAsia="en-US" w:bidi="ar-SA"/>
        </w:rPr>
        <w:t>Every element of Joint Visibility System data remains the operational property of the framework, held in custody by the Neutral Administrator under the following terms: access for the Principal Parties and the Neutral Watch Office in full; access for the Guarantor Parties and acceding states to the public tier; access for any intelligence, targeting, or kinetic purpose of any actor, prohibited absolutely.</w:t>
      </w:r>
    </w:p>
    <w:bookmarkEnd w:id="124"/>
    <w:bookmarkStart w:id="125" w:name="the-kinetic-exclusion-rl-12-safeguard"/>
    <w:p>
      <w:pPr>
        <w:pStyle w:val="Heading3"/>
      </w:pPr>
      <w:r>
        <w:rPr>
          <w:lang w:val="en-US" w:eastAsia="en-US" w:bidi="ar-SA"/>
          <w:rFonts w:asciiTheme="majorHAnsi" w:cstheme="majorBidi" w:eastAsiaTheme="majorEastAsia" w:hAnsiTheme="majorHAnsi"/>
          <w:b/>
          <w:color w:themeColor="accent1"/>
          <w:sz w:val="24"/>
          <w:szCs w:val="24"/>
        </w:rPr>
        <w:t>19.2 The Kinetic Exclusion (RL-12 Safeguard)</w:t>
      </w:r>
    </w:p>
    <w:p>
      <w:pPr>
        <w:pStyle w:val="FirstParagraph"/>
      </w:pPr>
      <w:r>
        <w:rPr>
          <w:sz w:val="24"/>
          <w:szCs w:val="24"/>
          <w:lang w:val="en-US" w:eastAsia="en-US" w:bidi="ar-SA"/>
        </w:rPr>
        <w:t>The framework architecture excludes every pathway from Accord data to kinetic action. Four technical safeguards execute the exclusion: the read-only terminal rule (no system of any military force connects to the Exchange except through the read-only public tier); the delay rule (the public tier publishes vessel positions on a 30-minute delay); the aggregation rule (the public tier publishes no track history beyond 24 hours); and the audit rule (the integrity watch of Annex D.6 probes every access log weekly and publishes its findings).</w:t>
      </w:r>
    </w:p>
    <w:bookmarkEnd w:id="125"/>
    <w:bookmarkStart w:id="126" w:name="breach-consequence"/>
    <w:p>
      <w:pPr>
        <w:pStyle w:val="Heading3"/>
      </w:pPr>
      <w:r>
        <w:rPr>
          <w:lang w:val="en-US" w:eastAsia="en-US" w:bidi="ar-SA"/>
          <w:rFonts w:asciiTheme="majorHAnsi" w:cstheme="majorBidi" w:eastAsiaTheme="majorEastAsia" w:hAnsiTheme="majorHAnsi"/>
          <w:b/>
          <w:color w:themeColor="accent1"/>
          <w:sz w:val="24"/>
          <w:szCs w:val="24"/>
        </w:rPr>
        <w:t>19.3 Breach Consequence</w:t>
      </w:r>
    </w:p>
    <w:p>
      <w:pPr>
        <w:pStyle w:val="FirstParagraph"/>
      </w:pPr>
      <w:r>
        <w:rPr>
          <w:sz w:val="24"/>
          <w:szCs w:val="24"/>
          <w:lang w:val="en-US" w:eastAsia="en-US" w:bidi="ar-SA"/>
        </w:rPr>
        <w:t>A substantiated custody breach triggers an immediate E-3 event under Article 45 and Annex E: the Escalator pauses, the implicated access path closes, and the earn-back path of Article 45.5 governs restoration. A second substantiated breach by the same actor suspends that actor’s access tier pending the dispute ladder of Article 46.</w:t>
      </w:r>
    </w:p>
    <w:bookmarkEnd w:id="126"/>
    <w:bookmarkStart w:id="127" w:name="historical-data"/>
    <w:p>
      <w:pPr>
        <w:pStyle w:val="Heading3"/>
      </w:pPr>
      <w:r>
        <w:rPr>
          <w:lang w:val="en-US" w:eastAsia="en-US" w:bidi="ar-SA"/>
          <w:rFonts w:asciiTheme="majorHAnsi" w:cstheme="majorBidi" w:eastAsiaTheme="majorEastAsia" w:hAnsiTheme="majorHAnsi"/>
          <w:b/>
          <w:color w:themeColor="accent1"/>
          <w:sz w:val="24"/>
          <w:szCs w:val="24"/>
        </w:rPr>
        <w:t>19.4 Historical Data</w:t>
      </w:r>
    </w:p>
    <w:p>
      <w:pPr>
        <w:pStyle w:val="FirstParagraph"/>
      </w:pPr>
      <w:r>
        <w:rPr>
          <w:sz w:val="24"/>
          <w:szCs w:val="24"/>
          <w:lang w:val="en-US" w:eastAsia="en-US" w:bidi="ar-SA"/>
        </w:rPr>
        <w:t>The Exchange retains full data for 90 days, incident-class data for five years, and gate-certification records permanently. The depositary holds the permanent archive under seal, accessible to the Parties and to the Muscat Tribunal upon its own order.</w:t>
      </w:r>
    </w:p>
    <w:bookmarkEnd w:id="127"/>
    <w:bookmarkEnd w:id="128"/>
    <w:bookmarkStart w:id="132" w:name="article-20-the-open-water-bulletin"/>
    <w:p>
      <w:pPr>
        <w:pStyle w:val="Heading2"/>
      </w:pPr>
      <w:r>
        <w:rPr>
          <w:lang w:val="en-US" w:eastAsia="en-US" w:bidi="ar-SA"/>
          <w:rFonts w:asciiTheme="majorHAnsi" w:cstheme="majorBidi" w:eastAsiaTheme="majorEastAsia" w:hAnsiTheme="majorHAnsi"/>
          <w:b/>
          <w:color w:themeColor="accent1"/>
          <w:sz w:val="28"/>
          <w:szCs w:val="28"/>
        </w:rPr>
        <w:t>Article 20: The Open Water Bulletin</w:t>
      </w:r>
    </w:p>
    <w:bookmarkStart w:id="129" w:name="the-bulletin"/>
    <w:p>
      <w:pPr>
        <w:pStyle w:val="Heading3"/>
      </w:pPr>
      <w:r>
        <w:rPr>
          <w:lang w:val="en-US" w:eastAsia="en-US" w:bidi="ar-SA"/>
          <w:rFonts w:asciiTheme="majorHAnsi" w:cstheme="majorBidi" w:eastAsiaTheme="majorEastAsia" w:hAnsiTheme="majorHAnsi"/>
          <w:b/>
          <w:color w:themeColor="accent1"/>
          <w:sz w:val="24"/>
          <w:szCs w:val="24"/>
        </w:rPr>
        <w:t>20.1 The Bulletin</w:t>
      </w:r>
    </w:p>
    <w:p>
      <w:pPr>
        <w:pStyle w:val="FirstParagraph"/>
      </w:pPr>
      <w:r>
        <w:rPr>
          <w:sz w:val="24"/>
          <w:szCs w:val="24"/>
          <w:lang w:val="en-US" w:eastAsia="en-US" w:bidi="ar-SA"/>
        </w:rPr>
        <w:t>The Open Water Bulletin is the framework’s public voice. It publishes daily at 05:00 UTC from Layer 1 onward, in English, Arabic, and Farsi, containing: the corridor status and flow state; the hazard bulletin carried forward from MX-06; the weather, tide, and swell summary; the traffic forecast; the data quality note weekly; the gate metrics monthly; and any Notice to Mariners affecting the Governance Area.</w:t>
      </w:r>
    </w:p>
    <w:bookmarkEnd w:id="129"/>
    <w:bookmarkStart w:id="130" w:name="tiers"/>
    <w:p>
      <w:pPr>
        <w:pStyle w:val="Heading3"/>
      </w:pPr>
      <w:r>
        <w:rPr>
          <w:lang w:val="en-US" w:eastAsia="en-US" w:bidi="ar-SA"/>
          <w:rFonts w:asciiTheme="majorHAnsi" w:cstheme="majorBidi" w:eastAsiaTheme="majorEastAsia" w:hAnsiTheme="majorHAnsi"/>
          <w:b/>
          <w:color w:themeColor="accent1"/>
          <w:sz w:val="24"/>
          <w:szCs w:val="24"/>
        </w:rPr>
        <w:t>20.2 Tiers</w:t>
      </w:r>
    </w:p>
    <w:p>
      <w:pPr>
        <w:pStyle w:val="FirstParagraph"/>
      </w:pPr>
      <w:r>
        <w:rPr>
          <w:sz w:val="24"/>
          <w:szCs w:val="24"/>
          <w:lang w:val="en-US" w:eastAsia="en-US" w:bidi="ar-SA"/>
        </w:rPr>
        <w:t>The Bulletin operates in two tiers. The public tier is free, unregistered, and delayed per Article 19.2. The professional tier serves masters, agents, insurers, and flag registries with full-resolution data, upon registration with the Transit Desk and acceptance of the custody terms of Article 19. The professional tier constitutes the Route Assurance Data Service of Article 35.4 and carries the subscription charge of Annex F from Layer 3 onward; before Layer 3, it operates free of charge under the fee-suspension rule.</w:t>
      </w:r>
    </w:p>
    <w:bookmarkEnd w:id="130"/>
    <w:bookmarkStart w:id="131" w:name="the-one-voice-rule"/>
    <w:p>
      <w:pPr>
        <w:pStyle w:val="Heading3"/>
      </w:pPr>
      <w:r>
        <w:rPr>
          <w:lang w:val="en-US" w:eastAsia="en-US" w:bidi="ar-SA"/>
          <w:rFonts w:asciiTheme="majorHAnsi" w:cstheme="majorBidi" w:eastAsiaTheme="majorEastAsia" w:hAnsiTheme="majorHAnsi"/>
          <w:b/>
          <w:color w:themeColor="accent1"/>
          <w:sz w:val="24"/>
          <w:szCs w:val="24"/>
        </w:rPr>
        <w:t>20.3 The One-Voice Rule</w:t>
      </w:r>
    </w:p>
    <w:p>
      <w:pPr>
        <w:pStyle w:val="FirstParagraph"/>
      </w:pPr>
      <w:r>
        <w:rPr>
          <w:sz w:val="24"/>
          <w:szCs w:val="24"/>
          <w:lang w:val="en-US" w:eastAsia="en-US" w:bidi="ar-SA"/>
        </w:rPr>
        <w:t>The Bulletin speaks in one voice for the framework. Neither Principal Party issues conflicting corridor guidance inside the Governance Area; divergent national notices affecting the Area reconcile through the watch floors before publication, and any irreconcilable divergence publishes verbatim, marked as divergent, so that mariners see the disagreement rather than a false consensus.</w:t>
      </w:r>
    </w:p>
    <w:bookmarkEnd w:id="131"/>
    <w:bookmarkEnd w:id="132"/>
    <w:bookmarkStart w:id="136" w:name="Xbe1c416726408d55deb93cab0771226748c4ce7"/>
    <w:p>
      <w:pPr>
        <w:pStyle w:val="Heading2"/>
      </w:pPr>
      <w:r>
        <w:rPr>
          <w:lang w:val="en-US" w:eastAsia="en-US" w:bidi="ar-SA"/>
          <w:rFonts w:asciiTheme="majorHAnsi" w:cstheme="majorBidi" w:eastAsiaTheme="majorEastAsia" w:hAnsiTheme="majorHAnsi"/>
          <w:b/>
          <w:color w:themeColor="accent1"/>
          <w:sz w:val="28"/>
          <w:szCs w:val="28"/>
        </w:rPr>
        <w:t>Article 21: Gate G-1: The Data Integrity Audit</w:t>
      </w:r>
    </w:p>
    <w:bookmarkStart w:id="133" w:name="the-audit-1"/>
    <w:p>
      <w:pPr>
        <w:pStyle w:val="Heading3"/>
      </w:pPr>
      <w:r>
        <w:rPr>
          <w:lang w:val="en-US" w:eastAsia="en-US" w:bidi="ar-SA"/>
          <w:rFonts w:asciiTheme="majorHAnsi" w:cstheme="majorBidi" w:eastAsiaTheme="majorEastAsia" w:hAnsiTheme="majorHAnsi"/>
          <w:b/>
          <w:color w:themeColor="accent1"/>
          <w:sz w:val="24"/>
          <w:szCs w:val="24"/>
        </w:rPr>
        <w:t>21.1 The Audit</w:t>
      </w:r>
    </w:p>
    <w:p>
      <w:pPr>
        <w:pStyle w:val="FirstParagraph"/>
      </w:pPr>
      <w:r>
        <w:rPr>
          <w:sz w:val="24"/>
          <w:szCs w:val="24"/>
          <w:lang w:val="en-US" w:eastAsia="en-US" w:bidi="ar-SA"/>
        </w:rPr>
        <w:t>Upon 21 consecutive days of Exchange operation, the Neutral Watch Office audits: parity at 99.5 percent of checksums or better; zero substantiated custody breaches; the Bulletin publishing daily without interruption; and the Data Quality Desk’s weekly notes on record.</w:t>
      </w:r>
    </w:p>
    <w:bookmarkEnd w:id="133"/>
    <w:bookmarkStart w:id="134" w:name="certification-and-effect"/>
    <w:p>
      <w:pPr>
        <w:pStyle w:val="Heading3"/>
      </w:pPr>
      <w:r>
        <w:rPr>
          <w:lang w:val="en-US" w:eastAsia="en-US" w:bidi="ar-SA"/>
          <w:rFonts w:asciiTheme="majorHAnsi" w:cstheme="majorBidi" w:eastAsiaTheme="majorEastAsia" w:hAnsiTheme="majorHAnsi"/>
          <w:b/>
          <w:color w:themeColor="accent1"/>
          <w:sz w:val="24"/>
          <w:szCs w:val="24"/>
        </w:rPr>
        <w:t>21.2 Certification and Effect</w:t>
      </w:r>
    </w:p>
    <w:p>
      <w:pPr>
        <w:pStyle w:val="FirstParagraph"/>
      </w:pPr>
      <w:r>
        <w:rPr>
          <w:sz w:val="24"/>
          <w:szCs w:val="24"/>
          <w:lang w:val="en-US" w:eastAsia="en-US" w:bidi="ar-SA"/>
        </w:rPr>
        <w:t>The Neutral Watch Office publishes the Gate G-1 certificate within 24 hours of the metrics standing satisfied, and Layer 2 opens at 00:00 UTC on the following day. The certificate appends the full parity record.</w:t>
      </w:r>
    </w:p>
    <w:bookmarkEnd w:id="134"/>
    <w:bookmarkStart w:id="135" w:name="failure-handling-1"/>
    <w:p>
      <w:pPr>
        <w:pStyle w:val="Heading3"/>
      </w:pPr>
      <w:r>
        <w:rPr>
          <w:lang w:val="en-US" w:eastAsia="en-US" w:bidi="ar-SA"/>
          <w:rFonts w:asciiTheme="majorHAnsi" w:cstheme="majorBidi" w:eastAsiaTheme="majorEastAsia" w:hAnsiTheme="majorHAnsi"/>
          <w:b/>
          <w:color w:themeColor="accent1"/>
          <w:sz w:val="24"/>
          <w:szCs w:val="24"/>
        </w:rPr>
        <w:t>21.3 Failure Handling</w:t>
      </w:r>
    </w:p>
    <w:p>
      <w:pPr>
        <w:pStyle w:val="FirstParagraph"/>
      </w:pPr>
      <w:r>
        <w:rPr>
          <w:sz w:val="24"/>
          <w:szCs w:val="24"/>
          <w:lang w:val="en-US" w:eastAsia="en-US" w:bidi="ar-SA"/>
        </w:rPr>
        <w:t>A metric standing unsatisfied repeats the audit every seven days until certification. A parity shortfall triggers a technical review by the Technical and Standards Committee under Annex D.7 before re-audit. No penalty attaches; the Nofade Guarantee holds every element in place.</w:t>
      </w:r>
    </w:p>
    <w:bookmarkEnd w:id="135"/>
    <w:bookmarkEnd w:id="136"/>
    <w:bookmarkEnd w:id="137"/>
    <w:bookmarkStart w:id="198" w:name="X8ae0fafe89c083a0b7048582b61390476bda50f"/>
    <w:p>
      <w:pPr>
        <w:pStyle w:val="Heading1"/>
      </w:pPr>
      <w:r>
        <w:rPr>
          <w:lang w:val="en-US" w:eastAsia="en-US" w:bidi="ar-SA"/>
          <w:rFonts w:asciiTheme="majorHAnsi" w:cstheme="majorBidi" w:eastAsiaTheme="majorEastAsia" w:hAnsiTheme="majorHAnsi"/>
          <w:b/>
          <w:color w:themeColor="accent1"/>
          <w:sz w:val="32"/>
          <w:szCs w:val="32"/>
        </w:rPr>
        <w:t>PART IV: LAYER 2: THE COORDINATED ROUTING LAYER (DAYS 15 TO 60)</w:t>
      </w:r>
    </w:p>
    <w:bookmarkStart w:id="145" w:name="article-22-the-three-corridor-system"/>
    <w:p>
      <w:pPr>
        <w:pStyle w:val="Heading2"/>
      </w:pPr>
      <w:r>
        <w:rPr>
          <w:lang w:val="en-US" w:eastAsia="en-US" w:bidi="ar-SA"/>
          <w:rFonts w:asciiTheme="majorHAnsi" w:cstheme="majorBidi" w:eastAsiaTheme="majorEastAsia" w:hAnsiTheme="majorHAnsi"/>
          <w:b/>
          <w:color w:themeColor="accent1"/>
          <w:sz w:val="28"/>
          <w:szCs w:val="28"/>
        </w:rPr>
        <w:t>Article 22: The Three-Corridor System</w:t>
      </w:r>
    </w:p>
    <w:bookmarkStart w:id="138" w:name="the-system-at-a-glance"/>
    <w:p>
      <w:pPr>
        <w:pStyle w:val="Heading3"/>
      </w:pPr>
      <w:r>
        <w:rPr>
          <w:lang w:val="en-US" w:eastAsia="en-US" w:bidi="ar-SA"/>
          <w:rFonts w:asciiTheme="majorHAnsi" w:cstheme="majorBidi" w:eastAsiaTheme="majorEastAsia" w:hAnsiTheme="majorHAnsi"/>
          <w:b/>
          <w:color w:themeColor="accent1"/>
          <w:sz w:val="24"/>
          <w:szCs w:val="24"/>
        </w:rPr>
        <w:t>22.1 The System at a Glance</w:t>
      </w:r>
    </w:p>
    <w:p>
      <w:pPr>
        <w:pStyle w:val="FirstParagraph"/>
      </w:pPr>
      <w:r>
        <w:rPr>
          <w:sz w:val="24"/>
          <w:szCs w:val="24"/>
          <w:lang w:val="en-US" w:eastAsia="en-US" w:bidi="ar-SA"/>
        </w:rPr>
        <w:t>Layer 2 establishes three corridors through the Governance Area, built on the geometry agreed between the coastal states in the technical track: the Northern Coordination Passage for inbound traffic, administered by Iran under a notification-only regime; the Southern Assurance Passage for outbound traffic, administered by Oman on an unconditional basis; and the Central Deconfliction Band between them, jointly monitored, carrying no routine commercial traffic. Annex A states every coordinate, width, reporting point, and chart protocol.</w:t>
      </w:r>
    </w:p>
    <w:bookmarkEnd w:id="138"/>
    <w:bookmarkStart w:id="139" w:name="X1e24cb1e211d711dd17a3961d50dc02c633564f"/>
    <w:p>
      <w:pPr>
        <w:pStyle w:val="Heading3"/>
      </w:pPr>
      <w:r>
        <w:rPr>
          <w:lang w:val="en-US" w:eastAsia="en-US" w:bidi="ar-SA"/>
          <w:rFonts w:asciiTheme="majorHAnsi" w:cstheme="majorBidi" w:eastAsiaTheme="majorEastAsia" w:hAnsiTheme="majorHAnsi"/>
          <w:b/>
          <w:color w:themeColor="accent1"/>
          <w:sz w:val="24"/>
          <w:szCs w:val="24"/>
        </w:rPr>
        <w:t>22.2 The Northern Coordination Passage (Inbound)</w:t>
      </w:r>
    </w:p>
    <w:p>
      <w:pPr>
        <w:pStyle w:val="FirstParagraph"/>
      </w:pPr>
      <w:r>
        <w:rPr>
          <w:sz w:val="24"/>
          <w:szCs w:val="24"/>
          <w:lang w:val="en-US" w:eastAsia="en-US" w:bidi="ar-SA"/>
        </w:rPr>
        <w:t>The Northern Coordination Passage runs from point NCP-A (26 degrees 40.0 minutes North, 056 degrees 06.0 minutes East) through NCP-B (26 degrees 37.5 minutes North, 056 degrees 30.0 minutes East, south of Larak Island) and NCP-C (26 degrees 35.0 minutes North, 056 degrees 58.0 minutes East) to NCP-D (26 degrees 37.0 minutes North, 057 degrees 20.0 minutes East), with a width of 2.0 nautical miles centered on the line joining those points. Iran administers the Passage: it operates the reporting points, maintains the aids to navigation, provides the lead-escort service of Article 28, and issues navigational guidance. Administration is functional, earned, and conditional, never sovereign; every vessel of every flag transits the Passage under the Notification Protocol of Article 25, which requires notice and grants passage, never permission.</w:t>
      </w:r>
    </w:p>
    <w:bookmarkEnd w:id="139"/>
    <w:bookmarkStart w:id="140" w:name="the-southern-assurance-passage-outbound"/>
    <w:p>
      <w:pPr>
        <w:pStyle w:val="Heading3"/>
      </w:pPr>
      <w:r>
        <w:rPr>
          <w:lang w:val="en-US" w:eastAsia="en-US" w:bidi="ar-SA"/>
          <w:rFonts w:asciiTheme="majorHAnsi" w:cstheme="majorBidi" w:eastAsiaTheme="majorEastAsia" w:hAnsiTheme="majorHAnsi"/>
          <w:b/>
          <w:color w:themeColor="accent1"/>
          <w:sz w:val="24"/>
          <w:szCs w:val="24"/>
        </w:rPr>
        <w:t>22.3 The Southern Assurance Passage (Outbound)</w:t>
      </w:r>
    </w:p>
    <w:p>
      <w:pPr>
        <w:pStyle w:val="FirstParagraph"/>
      </w:pPr>
      <w:r>
        <w:rPr>
          <w:sz w:val="24"/>
          <w:szCs w:val="24"/>
          <w:lang w:val="en-US" w:eastAsia="en-US" w:bidi="ar-SA"/>
        </w:rPr>
        <w:t>The Southern Assurance Passage runs from point SAP-A (26 degrees 29.0 minutes North, 056 degrees 05.0 minutes East) through SAP-B (26 degrees 27.0 minutes North, 056 degrees 28.0 minutes East), SAP-C (26 degrees 26.5 minutes North, 056 degrees 45.0 minutes East), and SAP-D (26 degrees 24.0 minutes North, 057 degrees 05.0 minutes East) to SAP-E (26 degrees 27.5 minutes North, 057 degrees 22.0 minutes East), with a width of 2.0 nautical miles centered on the line joining those points. Oman administers the Passage. Transit of the Southern Assurance Passage is unconditional: no notification, no acknowledgment, and no interaction of any kind stands between a vessel and its passage, and the framework prohibits every actor from interposing one. This rule holds Red Line RL-2.</w:t>
      </w:r>
    </w:p>
    <w:bookmarkEnd w:id="140"/>
    <w:bookmarkStart w:id="141" w:name="the-central-deconfliction-band"/>
    <w:p>
      <w:pPr>
        <w:pStyle w:val="Heading3"/>
      </w:pPr>
      <w:r>
        <w:rPr>
          <w:lang w:val="en-US" w:eastAsia="en-US" w:bidi="ar-SA"/>
          <w:rFonts w:asciiTheme="majorHAnsi" w:cstheme="majorBidi" w:eastAsiaTheme="majorEastAsia" w:hAnsiTheme="majorHAnsi"/>
          <w:b/>
          <w:color w:themeColor="accent1"/>
          <w:sz w:val="24"/>
          <w:szCs w:val="24"/>
        </w:rPr>
        <w:t>22.4 The Central Deconfliction Band</w:t>
      </w:r>
    </w:p>
    <w:p>
      <w:pPr>
        <w:pStyle w:val="FirstParagraph"/>
      </w:pPr>
      <w:r>
        <w:rPr>
          <w:sz w:val="24"/>
          <w:szCs w:val="24"/>
          <w:lang w:val="en-US" w:eastAsia="en-US" w:bidi="ar-SA"/>
        </w:rPr>
        <w:t>The Central Deconfliction Band runs along the centerline defined by points NCB-S1 (26 degrees 34.0 minutes North, 056 degrees 10.0 minutes East), NCB-S2 (26 degrees 30.5 minutes North, 056 degrees 30.0 minutes East), NCB-S3 (26 degrees 27.0 minutes North, 056 degrees 55.0 minutes East), and NCB-S4 (26 degrees 30.0 minutes North, 057 degrees 15.0 minutes East), extending 1.0 nautical mile on either side of the centerline. The Band separates opposing traffic, hosts the emergency routing function, hosts the survey sectors of the mine-clearance track, and carries the joint monitoring stations of the two watch floors. Routine commercial traffic does not enter the Band; a vessel enters only under the emergency routing rule of Article 24.5 or as a Class 4 vessel under Article 29.4.</w:t>
      </w:r>
    </w:p>
    <w:bookmarkEnd w:id="141"/>
    <w:bookmarkStart w:id="142" w:name="reporting-points"/>
    <w:p>
      <w:pPr>
        <w:pStyle w:val="Heading3"/>
      </w:pPr>
      <w:r>
        <w:rPr>
          <w:lang w:val="en-US" w:eastAsia="en-US" w:bidi="ar-SA"/>
          <w:rFonts w:asciiTheme="majorHAnsi" w:cstheme="majorBidi" w:eastAsiaTheme="majorEastAsia" w:hAnsiTheme="majorHAnsi"/>
          <w:b/>
          <w:color w:themeColor="accent1"/>
          <w:sz w:val="24"/>
          <w:szCs w:val="24"/>
        </w:rPr>
        <w:t>22.5 Reporting Points</w:t>
      </w:r>
    </w:p>
    <w:p>
      <w:pPr>
        <w:pStyle w:val="FirstParagraph"/>
      </w:pPr>
      <w:r>
        <w:rPr>
          <w:sz w:val="24"/>
          <w:szCs w:val="24"/>
          <w:lang w:val="en-US" w:eastAsia="en-US" w:bidi="ar-SA"/>
        </w:rPr>
        <w:t>Each corridor fixes six reporting points spaced at equal intervals along its axis, designated N1 through N6 (Northern), S1 through S6 (Southern), and B1 through B6 (Band), per Table A.5. Every transiting vessel above 300 gross tons reports at each point by AIS; every vessel above 20,000 deadweight tons also reports by voice on the corridor working channel, in the three-line format of Annex C.4 (identity, position, next point).</w:t>
      </w:r>
    </w:p>
    <w:bookmarkEnd w:id="142"/>
    <w:bookmarkStart w:id="143" w:name="the-interim-middle-route"/>
    <w:p>
      <w:pPr>
        <w:pStyle w:val="Heading3"/>
      </w:pPr>
      <w:r>
        <w:rPr>
          <w:lang w:val="en-US" w:eastAsia="en-US" w:bidi="ar-SA"/>
          <w:rFonts w:asciiTheme="majorHAnsi" w:cstheme="majorBidi" w:eastAsiaTheme="majorEastAsia" w:hAnsiTheme="majorHAnsi"/>
          <w:b/>
          <w:color w:themeColor="accent1"/>
          <w:sz w:val="24"/>
          <w:szCs w:val="24"/>
        </w:rPr>
        <w:t>22.6 The Interim Middle Route</w:t>
      </w:r>
    </w:p>
    <w:p>
      <w:pPr>
        <w:pStyle w:val="FirstParagraph"/>
      </w:pPr>
      <w:r>
        <w:rPr>
          <w:sz w:val="24"/>
          <w:szCs w:val="24"/>
          <w:lang w:val="en-US" w:eastAsia="en-US" w:bidi="ar-SA"/>
        </w:rPr>
        <w:t>From Gate G-0 certification (as the Fast-Track Route of Article 22.8) until Gate G-2 certification, traffic additionally flows on the Interim Middle Route: a two-way route along the Central Deconfliction Band centerline between waypoints IMR-1 (26 degrees 34.5 minutes North, 056 degrees 08.0 minutes East) and IMR-4 (26 degrees 29.0 minutes North, 057 degrees 18.0 minutes East), with inbound and outbound lanes of 1.0 nautical mile each separated by a 0.5-nautical-mile virtual median, operated under the joint watch of both floors. The Interim Middle Route implements, inside this Accord, the temporary middle and safe route announced in the coastal states’ technical understanding of August 2026, and it carries transit free of every charge under Article 34.6. The Route retires automatically upon Gate G-2 certification, its traffic absorbed into the three corridors.</w:t>
      </w:r>
    </w:p>
    <w:bookmarkEnd w:id="143"/>
    <w:bookmarkStart w:id="144" w:name="transition-from-wartime-routing"/>
    <w:p>
      <w:pPr>
        <w:pStyle w:val="Heading3"/>
      </w:pPr>
      <w:r>
        <w:rPr>
          <w:lang w:val="en-US" w:eastAsia="en-US" w:bidi="ar-SA"/>
          <w:rFonts w:asciiTheme="majorHAnsi" w:cstheme="majorBidi" w:eastAsiaTheme="majorEastAsia" w:hAnsiTheme="majorHAnsi"/>
          <w:b/>
          <w:color w:themeColor="accent1"/>
          <w:sz w:val="24"/>
          <w:szCs w:val="24"/>
        </w:rPr>
        <w:t>22.7 Transition from Wartime Routing</w:t>
      </w:r>
    </w:p>
    <w:p>
      <w:pPr>
        <w:pStyle w:val="FirstParagraph"/>
      </w:pPr>
      <w:r>
        <w:rPr>
          <w:sz w:val="24"/>
          <w:szCs w:val="24"/>
          <w:lang w:val="en-US" w:eastAsia="en-US" w:bidi="ar-SA"/>
        </w:rPr>
        <w:t>Upon Layer 2 activation, the wartime routing north of Larak Island and every wartime designation of prohibited areas within the Governance Area stand superseded by this Article and Annex A. The supersession publishes in the Open Water Bulletin and in both Parties’ Notice to Mariners series on the same day.</w:t>
      </w:r>
    </w:p>
    <w:p>
      <w:pPr>
        <w:pStyle w:val="Heading3"/>
      </w:pPr>
      <w:r>
        <w:rPr>
          <w:lang w:val="en-US" w:eastAsia="en-US" w:bidi="ar-SA"/>
          <w:rFonts w:asciiTheme="majorHAnsi" w:cstheme="majorBidi" w:eastAsiaTheme="majorEastAsia" w:hAnsiTheme="majorHAnsi"/>
          <w:b/>
          <w:color w:themeColor="accent1"/>
          <w:sz w:val="24"/>
          <w:szCs w:val="24"/>
        </w:rPr>
        <w:t>22.8 The Fast-Track Interim Route</w:t>
      </w:r>
    </w:p>
    <w:p>
      <w:pPr>
        <w:pStyle w:val="FirstParagraph"/>
      </w:pPr>
      <w:r>
        <w:rPr>
          <w:sz w:val="24"/>
          <w:szCs w:val="24"/>
          <w:lang w:val="en-US" w:eastAsia="en-US" w:bidi="ar-SA"/>
        </w:rPr>
        <w:t>22.8.1 Upon Gate G-0 certification (Day 30), the Interim Middle Route of Article 22.6 opens provisionally as a Fast-Track Route: a single two-way lane, under the joint watch of both floors.</w:t>
      </w:r>
    </w:p>
    <w:p>
      <w:pPr>
        <w:pStyle w:val="FirstParagraph"/>
      </w:pPr>
      <w:r>
        <w:rPr>
          <w:sz w:val="24"/>
          <w:szCs w:val="24"/>
          <w:lang w:val="en-US" w:eastAsia="en-US" w:bidi="ar-SA"/>
        </w:rPr>
        <w:t>22.8.2 The Fast-Track Route carries commercial traffic on a toll-free basis, under the notification protocol of Article 25 (file-and-acknowledge), and the framework excludes every permit requirement from it.</w:t>
      </w:r>
    </w:p>
    <w:p>
      <w:pPr>
        <w:pStyle w:val="FirstParagraph"/>
      </w:pPr>
      <w:r>
        <w:rPr>
          <w:sz w:val="24"/>
          <w:szCs w:val="24"/>
          <w:lang w:val="en-US" w:eastAsia="en-US" w:bidi="ar-SA"/>
        </w:rPr>
        <w:t>22.8.3 The Fast-Track Route functions as a safety valve: it restores traffic while the full architecture builds. It does not delay or replace the three-corridor system; it precedes and feeds it.</w:t>
      </w:r>
    </w:p>
    <w:p>
      <w:pPr>
        <w:pStyle w:val="FirstParagraph"/>
      </w:pPr>
      <w:r>
        <w:rPr>
          <w:sz w:val="24"/>
          <w:szCs w:val="24"/>
          <w:lang w:val="en-US" w:eastAsia="en-US" w:bidi="ar-SA"/>
        </w:rPr>
        <w:t>22.8.4 Upon Gate G-2 certification (Day 60), the Fast-Track Route converts into the permanent corridor system of this Article, with traffic absorbed into the three corridors.</w:t>
      </w:r>
    </w:p>
    <w:bookmarkEnd w:id="144"/>
    <w:bookmarkEnd w:id="145"/>
    <w:bookmarkStart w:id="149" w:name="X7a7543e4c16012db5190732ca0849aa89f2f448"/>
    <w:p>
      <w:pPr>
        <w:pStyle w:val="Heading2"/>
      </w:pPr>
      <w:r>
        <w:rPr>
          <w:lang w:val="en-US" w:eastAsia="en-US" w:bidi="ar-SA"/>
          <w:rFonts w:asciiTheme="majorHAnsi" w:cstheme="majorBidi" w:eastAsiaTheme="majorEastAsia" w:hAnsiTheme="majorHAnsi"/>
          <w:b/>
          <w:color w:themeColor="accent1"/>
          <w:sz w:val="28"/>
          <w:szCs w:val="28"/>
        </w:rPr>
        <w:t>Article 23: Corridor Functions and Services</w:t>
      </w:r>
    </w:p>
    <w:bookmarkStart w:id="146" w:name="the-administrators-functions"/>
    <w:p>
      <w:pPr>
        <w:pStyle w:val="Heading3"/>
      </w:pPr>
      <w:r>
        <w:t xml:space="preserve">23.1 The Administrator’s Functions</w:t>
      </w:r>
    </w:p>
    <w:p>
      <w:pPr>
        <w:pStyle w:val="FirstParagraph"/>
      </w:pPr>
      <w:r>
        <w:t xml:space="preserve">Each corridor administrator performs exactly six functions: operation of reporting points; maintenance of aids to navigation; issuance of navigational guidance and hazard advisories; provision of the lead-escort service; search-and-rescue coordination within its corridor under Article 29.7; and data feed into the Joint Visibility System. The framework excludes every function beyond these six, including boarding, inspection, diversion, detention, and any conditioning of passage.</w:t>
      </w:r>
    </w:p>
    <w:bookmarkEnd w:id="146"/>
    <w:bookmarkStart w:id="147" w:name="service-standards"/>
    <w:p>
      <w:pPr>
        <w:pStyle w:val="Heading3"/>
      </w:pPr>
      <w:r>
        <w:t xml:space="preserve">23.2 Service Standards</w:t>
      </w:r>
    </w:p>
    <w:p>
      <w:pPr>
        <w:pStyle w:val="FirstParagraph"/>
      </w:pPr>
      <w:r>
        <w:t xml:space="preserve">The administrator maintains the service standards of Annex F.5: reporting-point acknowledgment within 60 seconds, hazard advisory issuance within 15 minutes of detection, aid-to-navigation availability at 99.5 percent, and escort response within 45 minutes of request. The Data Quality Desk measures performance against these standards from the Joint Visibility System record and publishes it weekly.</w:t>
      </w:r>
    </w:p>
    <w:bookmarkEnd w:id="147"/>
    <w:bookmarkStart w:id="148" w:name="symmetry-of-standards"/>
    <w:p>
      <w:pPr>
        <w:pStyle w:val="Heading3"/>
      </w:pPr>
      <w:r>
        <w:t xml:space="preserve">23.3 Symmetry of Standards</w:t>
      </w:r>
    </w:p>
    <w:p>
      <w:pPr>
        <w:pStyle w:val="FirstParagraph"/>
      </w:pPr>
      <w:r>
        <w:t xml:space="preserve">Identical standards bind both administrators. A standard that applies to one corridor applies to the other, measured by the same instruments from the same data.</w:t>
      </w:r>
    </w:p>
    <w:bookmarkEnd w:id="148"/>
    <w:bookmarkEnd w:id="149"/>
    <w:bookmarkStart w:id="155" w:name="Xff2650a1116ea0402870747f3cd660570470db5"/>
    <w:p>
      <w:pPr>
        <w:pStyle w:val="Heading2"/>
      </w:pPr>
      <w:r>
        <w:t xml:space="preserve">Article 24: Flow States and the Open Water Bulletin States</w:t>
      </w:r>
    </w:p>
    <w:bookmarkStart w:id="150" w:name="the-three-flow-states"/>
    <w:p>
      <w:pPr>
        <w:pStyle w:val="Heading3"/>
      </w:pPr>
      <w:r>
        <w:t xml:space="preserve">24.1 The Three Flow States</w:t>
      </w:r>
    </w:p>
    <w:p>
      <w:pPr>
        <w:pStyle w:val="FirstParagraph"/>
      </w:pPr>
      <w:r>
        <w:t xml:space="preserve">Each corridor operates in one of three flow states, published in the Open Water Bulletin: FLOW-GREEN (normal operation, all classes transit), FLOW-AMBER (managed operation, speed and spacing management under Article 24.4 applies, all classes still transit), and FLOW-RED (hazard operation, transit continues for humanitarian traffic without exception and for other traffic along the published emergency routing, for a stated reason and a stated expected duration).</w:t>
      </w:r>
    </w:p>
    <w:bookmarkEnd w:id="150"/>
    <w:bookmarkStart w:id="151" w:name="declarations"/>
    <w:p>
      <w:pPr>
        <w:pStyle w:val="Heading3"/>
      </w:pPr>
      <w:r>
        <w:t xml:space="preserve">24.2 Declarations</w:t>
      </w:r>
    </w:p>
    <w:p>
      <w:pPr>
        <w:pStyle w:val="FirstParagraph"/>
      </w:pPr>
      <w:r>
        <w:t xml:space="preserve">The corridor administrator declares FLOW-AMBER for its corridor upon the objective triggers of Annex J.2 (weather threshold, traffic density, survey operations, or hazard response). FLOW-RED declares only upon a verified hazard under the Convergence Standard of Annex D.2, states the hazard, the affected segment, and the expected duration, and reviews every six hours. A FLOW-RED segment exceeds 72 hours only upon a further verified declaration, and every such declaration enters the Reciprocity Ledger.</w:t>
      </w:r>
    </w:p>
    <w:bookmarkEnd w:id="151"/>
    <w:bookmarkStart w:id="152" w:name="what-no-flow-state-does"/>
    <w:p>
      <w:pPr>
        <w:pStyle w:val="Heading3"/>
      </w:pPr>
      <w:r>
        <w:t xml:space="preserve">24.3 What No Flow State Does</w:t>
      </w:r>
    </w:p>
    <w:p>
      <w:pPr>
        <w:pStyle w:val="FirstParagraph"/>
      </w:pPr>
      <w:r>
        <w:t xml:space="preserve">No flow state closes the strait, suspends transit passage, conditions passage on any charge or permission, or applies to any vessel by reason of flag or nationality. The humanitarian absolute of RL-10 overrides every flow state at all times.</w:t>
      </w:r>
    </w:p>
    <w:bookmarkEnd w:id="152"/>
    <w:bookmarkStart w:id="153" w:name="speed-and-spacing-management"/>
    <w:p>
      <w:pPr>
        <w:pStyle w:val="Heading3"/>
      </w:pPr>
      <w:r>
        <w:t xml:space="preserve">24.4 Speed and Spacing Management</w:t>
      </w:r>
    </w:p>
    <w:p>
      <w:pPr>
        <w:pStyle w:val="FirstParagraph"/>
      </w:pPr>
      <w:r>
        <w:t xml:space="preserve">In FLOW-AMBER, the administrator publishes advisory speed and spacing parameters (typically 10 to 12 knots and 1.0 nautical mile spacing) through the Bulletin and the corridor working channel. The parameters are advisory in every case for commercial traffic; they bind only the framework’s own escort and survey craft.</w:t>
      </w:r>
    </w:p>
    <w:bookmarkEnd w:id="153"/>
    <w:bookmarkStart w:id="154" w:name="emergency-routing"/>
    <w:p>
      <w:pPr>
        <w:pStyle w:val="Heading3"/>
      </w:pPr>
      <w:r>
        <w:t xml:space="preserve">24.5 Emergency Routing</w:t>
      </w:r>
    </w:p>
    <w:p>
      <w:pPr>
        <w:pStyle w:val="FirstParagraph"/>
      </w:pPr>
      <w:r>
        <w:t xml:space="preserve">During any FLOW-RED segment, emergency routing activates through the Central Deconfliction Band on the published emergency trackline of Table A.6, under joint watch of both floors, with lead escorts provided by the administrator of the unaffected corridor. Emergency routing never charges, never requires permission, and publishes its activation and stand-down in the Bulletin.</w:t>
      </w:r>
    </w:p>
    <w:bookmarkEnd w:id="154"/>
    <w:bookmarkEnd w:id="155"/>
    <w:bookmarkStart w:id="161" w:name="article-25-the-notification-protocol"/>
    <w:p>
      <w:pPr>
        <w:pStyle w:val="Heading2"/>
      </w:pPr>
      <w:r>
        <w:t xml:space="preserve">Article 25: The Notification Protocol</w:t>
      </w:r>
    </w:p>
    <w:bookmarkStart w:id="156" w:name="the-twelve-field-transit-notice"/>
    <w:p>
      <w:pPr>
        <w:pStyle w:val="Heading3"/>
      </w:pPr>
      <w:r>
        <w:t xml:space="preserve">25.1 The Twelve-Field Transit Notice</w:t>
      </w:r>
    </w:p>
    <w:p>
      <w:pPr>
        <w:pStyle w:val="FirstParagraph"/>
      </w:pPr>
      <w:r>
        <w:t xml:space="preserve">A vessel transiting the Northern Coordination Passage files a Transit Notice with the Transit Desk at least six hours before entry and not more than 72 hours before entry, containing twelve fields: vessel name; IMO number; flag; call sign; vessel class under Article 26; gross tonnage; draft; cargo class; last port; next port; planned entry time; and requested services, if any, from the Verified Services Catalog. Annex L.1 carries the model form.</w:t>
      </w:r>
    </w:p>
    <w:bookmarkEnd w:id="156"/>
    <w:bookmarkStart w:id="157" w:name="acknowledgment-by-default"/>
    <w:p>
      <w:pPr>
        <w:pStyle w:val="Heading3"/>
      </w:pPr>
      <w:r>
        <w:t xml:space="preserve">25.2 Acknowledgment by Default</w:t>
      </w:r>
    </w:p>
    <w:p>
      <w:pPr>
        <w:pStyle w:val="FirstParagraph"/>
      </w:pPr>
      <w:r>
        <w:t xml:space="preserve">The Transit Desk acknowledges every complete Transit Notice within 60 minutes of filing, and acknowledgment constitutes the entirety of the process. The framework prohibits every actor from withholding, conditioning, or delaying acknowledgment for a complete notice. An incomplete notice returns with the missing fields identified, and completes upon resubmission. No notice ever requires approval; the protocol is notification, not permission, and this rule holds Red Line RL-4.</w:t>
      </w:r>
    </w:p>
    <w:bookmarkEnd w:id="157"/>
    <w:bookmarkStart w:id="158" w:name="the-southern-rule"/>
    <w:p>
      <w:pPr>
        <w:pStyle w:val="Heading3"/>
      </w:pPr>
      <w:r>
        <w:t xml:space="preserve">25.3 The Southern Rule</w:t>
      </w:r>
    </w:p>
    <w:p>
      <w:pPr>
        <w:pStyle w:val="FirstParagraph"/>
      </w:pPr>
      <w:r>
        <w:t xml:space="preserve">A vessel transiting only the Southern Assurance Passage files nothing. The Transit Desk receives voluntary advance information through agents for traffic planning, and the absence of any filing carries no consequence of any kind.</w:t>
      </w:r>
    </w:p>
    <w:bookmarkEnd w:id="158"/>
    <w:bookmarkStart w:id="159" w:name="the-no-blacklist-rule"/>
    <w:p>
      <w:pPr>
        <w:pStyle w:val="Heading3"/>
      </w:pPr>
      <w:r>
        <w:t xml:space="preserve">25.4 The No-Blacklist Rule</w:t>
      </w:r>
    </w:p>
    <w:p>
      <w:pPr>
        <w:pStyle w:val="FirstParagraph"/>
      </w:pPr>
      <w:r>
        <w:t xml:space="preserve">The framework maintains no list of unwelcome vessels, flags, owners, or cargoes. A vessel’s prior conduct, ownership, flag, or nationality never alters its treatment under this Article, except as a specific, verified safety restriction applies to a specific vessel under Annex D.8 (unsafe condition), published with its factual basis and its remediation path. This rule holds Red Line RL-16.</w:t>
      </w:r>
    </w:p>
    <w:bookmarkEnd w:id="159"/>
    <w:bookmarkStart w:id="160" w:name="warships-and-state-vessels"/>
    <w:p>
      <w:pPr>
        <w:pStyle w:val="Heading3"/>
      </w:pPr>
      <w:r>
        <w:t xml:space="preserve">25.5 Warships and State Vessels</w:t>
      </w:r>
    </w:p>
    <w:p>
      <w:pPr>
        <w:pStyle w:val="FirstParagraph"/>
      </w:pPr>
      <w:r>
        <w:t xml:space="preserve">Class 4 vessels (warships and state non-commercial vessels) follow the Military Transit Protocol of Article 29.4, which replaces this Article for those vessels.</w:t>
      </w:r>
    </w:p>
    <w:bookmarkEnd w:id="160"/>
    <w:bookmarkEnd w:id="161"/>
    <w:bookmarkStart w:id="166" w:name="Xa4f3e2ee7d4b668122dc238f4131c67d5f4ddea"/>
    <w:p>
      <w:pPr>
        <w:pStyle w:val="Heading2"/>
      </w:pPr>
      <w:r>
        <w:t xml:space="preserve">Article 26: Vessel Classification and Differentiated Treatment</w:t>
      </w:r>
    </w:p>
    <w:bookmarkStart w:id="162" w:name="the-five-classes"/>
    <w:p>
      <w:pPr>
        <w:pStyle w:val="Heading3"/>
      </w:pPr>
      <w:r>
        <w:t xml:space="preserve">26.1 The Five Classes</w:t>
      </w:r>
    </w:p>
    <w:p>
      <w:pPr>
        <w:pStyle w:val="FirstParagraph"/>
      </w:pPr>
      <w:r>
        <w:t xml:space="preserve">The framework classifies every vessel in the Governance Area into five classes: Class 1, tankers and gas carriers above 20,000 deadweight tons; Class 2, other commercial vessels above 300 gross tons; Class 3, commercial vessels at or below 300 gross tons; Class 4, warships and state non-commercial vessels; Class 5, local craft (fishing and traditional traffic) inside the inshore bands.</w:t>
      </w:r>
    </w:p>
    <w:bookmarkEnd w:id="162"/>
    <w:bookmarkStart w:id="163" w:name="differentiated-treatment"/>
    <w:p>
      <w:pPr>
        <w:pStyle w:val="Heading3"/>
      </w:pPr>
      <w:r>
        <w:t xml:space="preserve">26.2 Differentiated Treatment</w:t>
      </w:r>
    </w:p>
    <w:p>
      <w:pPr>
        <w:pStyle w:val="FirstParagraph"/>
      </w:pPr>
      <w:r>
        <w:t xml:space="preserve">Differentiation attaches to class, never to nationality. Class 1 vessels file the twelve-field notice, report by voice at every reporting point, and qualify for the full lead-escort service. Class 2 vessels file the notice and report by AIS. Class 3 vessels report by AIS only. Class 4 vessels follow the Military Transit Protocol. Class 5 vessels operate inside the inshore local-craft bands of Table A.4, outside the corridors, under the small-craft advisory system of MX-29 carried forward.</w:t>
      </w:r>
    </w:p>
    <w:bookmarkEnd w:id="163"/>
    <w:bookmarkStart w:id="164" w:name="hazardous-and-special-cargoes"/>
    <w:p>
      <w:pPr>
        <w:pStyle w:val="Heading3"/>
      </w:pPr>
      <w:r>
        <w:t xml:space="preserve">26.3 Hazardous and Special Cargoes</w:t>
      </w:r>
    </w:p>
    <w:p>
      <w:pPr>
        <w:pStyle w:val="FirstParagraph"/>
      </w:pPr>
      <w:r>
        <w:t xml:space="preserve">A vessel carrying Class 1 dangerous goods in bulk, nuclear material, or spent fuel declares the cargo class in the Transit Notice and receives the published special-cargo transit window (reduced-density window with lead-escort and SAR augmentation). The window is a service, never a condition, and carries no charge.</w:t>
      </w:r>
    </w:p>
    <w:bookmarkEnd w:id="164"/>
    <w:bookmarkStart w:id="165" w:name="the-equal-treatment-audit"/>
    <w:p>
      <w:pPr>
        <w:pStyle w:val="Heading3"/>
      </w:pPr>
      <w:r>
        <w:t xml:space="preserve">26.4 The Equal-Treatment Audit</w:t>
      </w:r>
    </w:p>
    <w:p>
      <w:pPr>
        <w:pStyle w:val="FirstParagraph"/>
      </w:pPr>
      <w:r>
        <w:t xml:space="preserve">The Neutral Watch Office audits treatment by flag quarterly from the Joint Visibility System record: transit times, acknowledgment times, escort provision, and incident rates, compared across flags. The audit publishes in full. A statistically significant divergence beyond the tolerance of Annex J.5 triggers a remediation review under the dispute ladder.</w:t>
      </w:r>
    </w:p>
    <w:bookmarkEnd w:id="165"/>
    <w:bookmarkEnd w:id="166"/>
    <w:bookmarkStart w:id="171" w:name="X19f54fc8d55c6f334c36f1744ef3642e61335a8"/>
    <w:p>
      <w:pPr>
        <w:pStyle w:val="Heading2"/>
      </w:pPr>
      <w:r>
        <w:t xml:space="preserve">Article 27: The Absolute Non-Interdiction Protocol</w:t>
      </w:r>
    </w:p>
    <w:bookmarkStart w:id="167" w:name="the-protocol"/>
    <w:p>
      <w:pPr>
        <w:pStyle w:val="Heading3"/>
      </w:pPr>
      <w:r>
        <w:t xml:space="preserve">27.1 The Protocol</w:t>
      </w:r>
    </w:p>
    <w:p>
      <w:pPr>
        <w:pStyle w:val="FirstParagraph"/>
      </w:pPr>
      <w:r>
        <w:t xml:space="preserve">Commercial transit operates under an absolute non-interdiction protocol within the framework. Inside the corridors and the anchorages, the framework excludes boarding, diversion, seizure, detention, inspection, harassment, close approach, and every form of interference with any commercial vessel, by any actor, under any circumstances, in every flow state. This protocol holds Red Line RL-5 and admits no exception.</w:t>
      </w:r>
    </w:p>
    <w:bookmarkEnd w:id="167"/>
    <w:bookmarkStart w:id="168" w:name="outside-the-corridors"/>
    <w:p>
      <w:pPr>
        <w:pStyle w:val="Heading3"/>
      </w:pPr>
      <w:r>
        <w:t xml:space="preserve">27.2 Outside the Corridors</w:t>
      </w:r>
    </w:p>
    <w:p>
      <w:pPr>
        <w:pStyle w:val="FirstParagraph"/>
      </w:pPr>
      <w:r>
        <w:t xml:space="preserve">A vessel outside the corridors inside the Governance Area receives a single advisory hail from the corridor administrator directing it to the nearest corridor entry, and the framework excludes every coercive measure beyond the hail. A vessel in distress anywhere receives assistance, never interference.</w:t>
      </w:r>
    </w:p>
    <w:bookmarkEnd w:id="168"/>
    <w:bookmarkStart w:id="169" w:name="the-anchor-and-verify-rule"/>
    <w:p>
      <w:pPr>
        <w:pStyle w:val="Heading3"/>
      </w:pPr>
      <w:r>
        <w:t xml:space="preserve">27.3 The Anchor-and-Verify Rule</w:t>
      </w:r>
    </w:p>
    <w:p>
      <w:pPr>
        <w:pStyle w:val="FirstParagraph"/>
      </w:pPr>
      <w:r>
        <w:t xml:space="preserve">Where a coastal state’s law requires verification of a vessel, the verification occurs at anchorage, outside the corridors, by the coastal state’s own authorities under its own law, after the vessel completes its transit, and never inside a corridor, never by stopping a vessel underway, and never by any actor other than the coastal state in whose waters the anchorage lies.</w:t>
      </w:r>
    </w:p>
    <w:bookmarkEnd w:id="169"/>
    <w:bookmarkStart w:id="170" w:name="violation-classification"/>
    <w:p>
      <w:pPr>
        <w:pStyle w:val="Heading3"/>
      </w:pPr>
      <w:r>
        <w:t xml:space="preserve">27.4 Violation Classification</w:t>
      </w:r>
    </w:p>
    <w:p>
      <w:pPr>
        <w:pStyle w:val="FirstParagraph"/>
      </w:pPr>
      <w:r>
        <w:t xml:space="preserve">Any act contrary to this Article classifies as an E-3 event at minimum under Annex E, activates the incident ladder of Article 29.5, and enters the Reciprocity Ledger with its full evidentiary record. The protocol’s violation by any actor restores nothing to any other actor: the architecture responds through the Escalator and the dispute ladder, never through counter-interference.</w:t>
      </w:r>
    </w:p>
    <w:bookmarkEnd w:id="170"/>
    <w:bookmarkEnd w:id="171"/>
    <w:bookmarkStart w:id="177" w:name="X6d2cb373b7cd5ded858f9f86ba1e5f29eb69c6f"/>
    <w:p>
      <w:pPr>
        <w:pStyle w:val="Heading2"/>
      </w:pPr>
      <w:r>
        <w:t xml:space="preserve">Article 28: The Lead-Escort Safety Service and Speed-Craft Behavioral Norms</w:t>
      </w:r>
    </w:p>
    <w:bookmarkStart w:id="172" w:name="the-service"/>
    <w:p>
      <w:pPr>
        <w:pStyle w:val="Heading3"/>
      </w:pPr>
      <w:r>
        <w:t xml:space="preserve">28.1 The Service</w:t>
      </w:r>
    </w:p>
    <w:p>
      <w:pPr>
        <w:pStyle w:val="FirstParagraph"/>
      </w:pPr>
      <w:r>
        <w:t xml:space="preserve">Each corridor administrator operates a lead-escort safety service under the full Standard Operating Procedure of Annex I. Lead escorts are safety craft, not enforcement craft: they operate ahead of requesting merchant vessels, scan the corridor for hazards, report hazards to the watch floors, and hold no authority of any kind over any vessel.</w:t>
      </w:r>
    </w:p>
    <w:bookmarkEnd w:id="172"/>
    <w:bookmarkStart w:id="173" w:name="operating-geometry"/>
    <w:p>
      <w:pPr>
        <w:pStyle w:val="Heading3"/>
      </w:pPr>
      <w:r>
        <w:t xml:space="preserve">28.2 Operating Geometry</w:t>
      </w:r>
    </w:p>
    <w:p>
      <w:pPr>
        <w:pStyle w:val="FirstParagraph"/>
      </w:pPr>
      <w:r>
        <w:t xml:space="preserve">Escort craft maintain forward standoff geometry at all times: 1 to 2 nautical miles ahead of the escorted vessel, a forward observation cone of 20 to 30 degrees, no lateral encroachment into the vessel’s standoff zone, no approach within 0.5 nautical miles, and no trailing position. Handover between the Iranian and Omani escort services occurs at the published handover coordinates H-1 (26 degrees 30.5 minutes North, 056 degrees 30.0 minutes East) and H-2 (26 degrees 27.0 minutes North, 056 degrees 55.0 minutes East), with the watch floors logging every handover.</w:t>
      </w:r>
    </w:p>
    <w:bookmarkEnd w:id="173"/>
    <w:bookmarkStart w:id="174" w:name="the-non-interdiction-safeguards"/>
    <w:p>
      <w:pPr>
        <w:pStyle w:val="Heading3"/>
      </w:pPr>
      <w:r>
        <w:t xml:space="preserve">28.3 The Non-Interdiction Safeguards</w:t>
      </w:r>
    </w:p>
    <w:p>
      <w:pPr>
        <w:pStyle w:val="FirstParagraph"/>
      </w:pPr>
      <w:r>
        <w:t xml:space="preserve">Escort craft never stop, board, inspect, hail for identification, request course or speed changes, shadow, or flank any vessel; they issue no commands and transmit nothing implying control or permission; their only output is the hazard advisory, routed through the watch floor. A deviation triggers immediate review by the Data Quality Desk and classification under Annex E.</w:t>
      </w:r>
    </w:p>
    <w:bookmarkEnd w:id="174"/>
    <w:bookmarkStart w:id="175" w:name="speed-craft-behavioral-norms"/>
    <w:p>
      <w:pPr>
        <w:pStyle w:val="Heading3"/>
      </w:pPr>
      <w:r>
        <w:t xml:space="preserve">28.4 Speed-Craft Behavioral Norms</w:t>
      </w:r>
    </w:p>
    <w:p>
      <w:pPr>
        <w:pStyle w:val="FirstParagraph"/>
      </w:pPr>
      <w:r>
        <w:t xml:space="preserve">All patrol and speed craft of every Party operating in or near the corridors observe the behavioral norms of Annex I, Section I.4: minimum lateral distance of 1,000 meters from any commercial vessel except during search-and-rescue or pre-notified escort; parallel rather than intercept-angle approaches; visible hull identification at all times; automatic hotline notification to the liaison group upon any approach inside 1,000 meters; and prohibition of multi-vessel close approaches except for search-and-rescue, escort under this Article, or operations pre-notified 24 hours in advance to the watch floors.</w:t>
      </w:r>
    </w:p>
    <w:bookmarkEnd w:id="175"/>
    <w:bookmarkStart w:id="176" w:name="drone-coordination"/>
    <w:p>
      <w:pPr>
        <w:pStyle w:val="Heading3"/>
      </w:pPr>
      <w:r>
        <w:t xml:space="preserve">28.5 Drone Coordination</w:t>
      </w:r>
    </w:p>
    <w:p>
      <w:pPr>
        <w:pStyle w:val="FirstParagraph"/>
      </w:pPr>
      <w:r>
        <w:t xml:space="preserve">Unmanned aerial systems of any Party operating within the Governance Area follow the pre-declared flight corridors and altitude bands of Annex I, Section I.5, notified to the watch floors 24 hours in advance, at lateral distances of not less than 2 nautical miles from any commercial vessel. The framework excludes every armed unmanned-system operation inside the Governance Area.</w:t>
      </w:r>
    </w:p>
    <w:bookmarkEnd w:id="176"/>
    <w:bookmarkEnd w:id="177"/>
    <w:bookmarkStart w:id="185" w:name="Xf9107b25a242fbe5bfb2a3828c839e2793a5f58"/>
    <w:p>
      <w:pPr>
        <w:pStyle w:val="Heading2"/>
      </w:pPr>
      <w:r>
        <w:t xml:space="preserve">Article 29: Standoff Geometry, Naval Deconfliction, and the Military Transit Protocol</w:t>
      </w:r>
    </w:p>
    <w:bookmarkStart w:id="178" w:name="the-standoff-geometry"/>
    <w:p>
      <w:pPr>
        <w:pStyle w:val="Heading3"/>
      </w:pPr>
      <w:r>
        <w:t xml:space="preserve">29.1 The Standoff Geometry</w:t>
      </w:r>
    </w:p>
    <w:p>
      <w:pPr>
        <w:pStyle w:val="FirstParagraph"/>
      </w:pPr>
      <w:r>
        <w:t xml:space="preserve">Naval forces of every state maintain the standoff geometry of Table C.3: no closer than 3 nautical miles to any commercial vessel inside a corridor except under escort request or distress; no closer than 6 nautical miles to the corridor centerlines in opposed pairs; and no maneuvers simulating attack profiles anywhere inside the Governance Area. The geometry binds forces of the Parties and of every other state alike, as a condition this Accord’s signatories jointly promulgate through the Bulletin and the liaison channels of Annex C.</w:t>
      </w:r>
    </w:p>
    <w:bookmarkEnd w:id="178"/>
    <w:bookmarkStart w:id="179" w:name="the-deconfliction-hotline"/>
    <w:p>
      <w:pPr>
        <w:pStyle w:val="Heading3"/>
      </w:pPr>
      <w:r>
        <w:t xml:space="preserve">29.2 The Deconfliction Hotline</w:t>
      </w:r>
    </w:p>
    <w:p>
      <w:pPr>
        <w:pStyle w:val="FirstParagraph"/>
      </w:pPr>
      <w:r>
        <w:t xml:space="preserve">The hotline network of Annex C links the watch floors, the liaison group, and the operational headquarters of the United States Fifth Fleet, the Iranian Navy and the IRGC Navy, and the Royal Navy of Oman, in a five-node ring tested hourly. Any node raises a deconfliction call within 60 seconds at any hour, and every call logs to the Reciprocity Ledger with its outcome.</w:t>
      </w:r>
    </w:p>
    <w:bookmarkEnd w:id="179"/>
    <w:bookmarkStart w:id="180" w:name="exercise-notice"/>
    <w:p>
      <w:pPr>
        <w:pStyle w:val="Heading3"/>
      </w:pPr>
      <w:r>
        <w:t xml:space="preserve">29.3 Exercise Notice</w:t>
      </w:r>
    </w:p>
    <w:p>
      <w:pPr>
        <w:pStyle w:val="FirstParagraph"/>
      </w:pPr>
      <w:r>
        <w:t xml:space="preserve">Any naval exercise or live-fire activity within 50 nautical miles of the Governance Area enters the exercise register at least 14 days in advance, with area, duration, and forces involved, and the Bulletin publishes the register entry. The framework excludes live-fire activity inside the Governance Area absolutely.</w:t>
      </w:r>
    </w:p>
    <w:bookmarkEnd w:id="180"/>
    <w:bookmarkStart w:id="181" w:name="the-military-transit-protocol"/>
    <w:p>
      <w:pPr>
        <w:pStyle w:val="Heading3"/>
      </w:pPr>
      <w:r>
        <w:t xml:space="preserve">29.4 The Military Transit Protocol</w:t>
      </w:r>
    </w:p>
    <w:p>
      <w:pPr>
        <w:pStyle w:val="FirstParagraph"/>
      </w:pPr>
      <w:r>
        <w:t xml:space="preserve">Class 4 vessels transit the strait in the corridor matching their direction, in single column, at steady speed, with weapons systems in transit posture, AIS active where operational security permits, and a one-line transit notification to the Transit Desk (vessel type, direction, entry time) at least six hours in advance. The framework treats every Class 4 transit identically regardless of flag. Submarines transit surfaced.</w:t>
      </w:r>
    </w:p>
    <w:bookmarkEnd w:id="181"/>
    <w:bookmarkStart w:id="182" w:name="the-incident-ladder"/>
    <w:p>
      <w:pPr>
        <w:pStyle w:val="Heading3"/>
      </w:pPr>
      <w:r>
        <w:t xml:space="preserve">29.5 The Incident Ladder</w:t>
      </w:r>
    </w:p>
    <w:p>
      <w:pPr>
        <w:pStyle w:val="FirstParagraph"/>
      </w:pPr>
      <w:r>
        <w:t xml:space="preserve">Any incident between forces or involving a commercial vessel escalates through a four-rung ladder: rung one, bridge-to-bridge or deck-to-deck resolution on the working channel within 15 minutes; rung two, watch-floor liaison engagement within one hour; rung three, hotline conference of the five-node ring within four hours; rung four, Council emergency session within 24 hours. Every rung logs; every incident de-escalates at the lowest rung that resolves it; and no incident under this Accord authorizes, triggers, or justifies military force.</w:t>
      </w:r>
    </w:p>
    <w:bookmarkEnd w:id="182"/>
    <w:bookmarkStart w:id="183" w:name="the-freeze-rule"/>
    <w:p>
      <w:pPr>
        <w:pStyle w:val="Heading3"/>
      </w:pPr>
      <w:r>
        <w:t xml:space="preserve">29.6 The Freeze Rule</w:t>
      </w:r>
    </w:p>
    <w:p>
      <w:pPr>
        <w:pStyle w:val="FirstParagraph"/>
      </w:pPr>
      <w:r>
        <w:t xml:space="preserve">During any dispute or Red Line Consultation, force postures in and near the Governance Area freeze at their positions and tempos at the moment the dispute registers: no new deployments, no exercise starts, no posture changes, until the dispute resolves or 14 days pass, whichever comes first. The freeze is automatic, symmetric, and logged.</w:t>
      </w:r>
    </w:p>
    <w:bookmarkEnd w:id="183"/>
    <w:bookmarkStart w:id="184" w:name="search-and-rescue"/>
    <w:p>
      <w:pPr>
        <w:pStyle w:val="Heading3"/>
      </w:pPr>
      <w:r>
        <w:t xml:space="preserve">29.7 Search and Rescue</w:t>
      </w:r>
    </w:p>
    <w:p>
      <w:pPr>
        <w:pStyle w:val="FirstParagraph"/>
      </w:pPr>
      <w:r>
        <w:t xml:space="preserve">The SAR framework of Annex G to the mine charter (Annex H.7) operates under joint coordination of the watch floors: the administrator of the corridor nearest a distress event coordinates, the other administrator’s assets assist upon request, and the joint readiness baseline of Sub-Layer 0.4 sets the response standards. Safety of life overrides every other provision of this Accord, always and everywhere.</w:t>
      </w:r>
    </w:p>
    <w:bookmarkEnd w:id="184"/>
    <w:bookmarkEnd w:id="185"/>
    <w:bookmarkStart w:id="190" w:name="article-30-the-mine-clearance-track"/>
    <w:p>
      <w:pPr>
        <w:pStyle w:val="Heading2"/>
      </w:pPr>
      <w:r>
        <w:t xml:space="preserve">Article 30: The Mine-Clearance Track</w:t>
      </w:r>
    </w:p>
    <w:bookmarkStart w:id="186" w:name="the-taskforce"/>
    <w:p>
      <w:pPr>
        <w:pStyle w:val="Heading3"/>
      </w:pPr>
      <w:r>
        <w:t xml:space="preserve">30.1 The Taskforce</w:t>
      </w:r>
    </w:p>
    <w:p>
      <w:pPr>
        <w:pStyle w:val="FirstParagraph"/>
      </w:pPr>
      <w:r>
        <w:t xml:space="preserve">The Mine Removal Taskforce for the Strait of Hormuz (MRT-H), chartered in Annex H, activates at Layer 2 opening and operates as the standing mine-hazard survey, clearance, and certification body of the Accord: civilian-led, multilateral, neutral, and non-kinetic. Iran surveys and clears the northern sectors, Oman the southern sectors, the United Arab Emirates contributes vessels and logistics upon accession, and invited neutral states contribute high-end mine countermeasures under the civilian-direction rule.</w:t>
      </w:r>
    </w:p>
    <w:bookmarkEnd w:id="186"/>
    <w:bookmarkStart w:id="187" w:name="the-thirty-day-median-clearance"/>
    <w:p>
      <w:pPr>
        <w:pStyle w:val="Heading3"/>
      </w:pPr>
      <w:r>
        <w:t xml:space="preserve">30.2 The Thirty-Day Median Clearance</w:t>
      </w:r>
    </w:p>
    <w:p>
      <w:pPr>
        <w:pStyle w:val="FirstParagraph"/>
      </w:pPr>
      <w:r>
        <w:t xml:space="preserve">The MRT-H surveys and clears the Central Deconfliction Band (the median lane) within 30 days of Layer 2 activation, implementing the mine-clearance commitment of the emerging coastal-state understanding. Clearance proceeds sector by sector under the sequence of Annex H.4: side-scan sonar sweeps, unmanned vehicle runs, diver inspection of contacts, disposal of confirmed mines by explosive-ordnance teams, and publication of every contact and every disposal.</w:t>
      </w:r>
    </w:p>
    <w:bookmarkEnd w:id="187"/>
    <w:bookmarkStart w:id="188" w:name="certification-1"/>
    <w:p>
      <w:pPr>
        <w:pStyle w:val="Heading3"/>
      </w:pPr>
      <w:r>
        <w:t xml:space="preserve">30.3 Certification</w:t>
      </w:r>
    </w:p>
    <w:p>
      <w:pPr>
        <w:pStyle w:val="FirstParagraph"/>
      </w:pPr>
      <w:r>
        <w:t xml:space="preserve">The Neutral Keel Office of the MRT-H verifies each cleared sector under the Convergence Standard (multiple independent inputs agreeing), with International Maritime Organization and International Hydrographic Organization observers as standing participants, and issues Safe Route Certifications publishing coordinates, depths, and residual-risk levels. The residual-risk threshold stands at not more than one expected remnant contact per 100 square nautical miles, re-surveyed on a 90-day rolling cycle during the first year and a 180-day cycle thereafter.</w:t>
      </w:r>
    </w:p>
    <w:bookmarkEnd w:id="188"/>
    <w:bookmarkStart w:id="189" w:name="continuity-through-disputes"/>
    <w:p>
      <w:pPr>
        <w:pStyle w:val="Heading3"/>
      </w:pPr>
      <w:r>
        <w:t xml:space="preserve">30.4 Continuity Through Disputes</w:t>
      </w:r>
    </w:p>
    <w:p>
      <w:pPr>
        <w:pStyle w:val="FirstParagraph"/>
      </w:pPr>
      <w:r>
        <w:t xml:space="preserve">Mine-clearance operations continue through every dispute, pause, and escalation under the Silence Clause of Annex H.6: the taskforce’s work serves every mariner of every flag, and no political event interrupts it.</w:t>
      </w:r>
    </w:p>
    <w:bookmarkEnd w:id="189"/>
    <w:bookmarkEnd w:id="190"/>
    <w:bookmarkStart w:id="193" w:name="article-31-anchorages-and-holding-areas"/>
    <w:p>
      <w:pPr>
        <w:pStyle w:val="Heading2"/>
      </w:pPr>
      <w:r>
        <w:t xml:space="preserve">Article 31: Anchorages and Holding Areas</w:t>
      </w:r>
    </w:p>
    <w:bookmarkStart w:id="191" w:name="the-designated-anchorages"/>
    <w:p>
      <w:pPr>
        <w:pStyle w:val="Heading3"/>
      </w:pPr>
      <w:r>
        <w:t xml:space="preserve">31.1 The Designated Anchorages</w:t>
      </w:r>
    </w:p>
    <w:p>
      <w:pPr>
        <w:pStyle w:val="FirstParagraph"/>
      </w:pPr>
      <w:r>
        <w:t xml:space="preserve">The framework designates four anchorages under Table A.7: Anchorage East (Gulf of Oman) at 25 degrees 58.0 minutes North, 057 degrees 05.0 minutes East, depth 40 to 60 meters, sand, for outbound staging; Anchorage West (inner Gulf) at 26 degrees 42.0 minutes North, 055 degrees 52.0 minutes East, depth 22 to 30 meters, for inbound staging; Emergency Anchorage East at 26 degrees 30.0 minutes North, 057 degrees 06.0 minutes East; and Emergency Anchorage West at 26 degrees 33.0 minutes North, 056 degrees 05.0 minutes East.</w:t>
      </w:r>
    </w:p>
    <w:bookmarkEnd w:id="191"/>
    <w:bookmarkStart w:id="192" w:name="anchorage-rules"/>
    <w:p>
      <w:pPr>
        <w:pStyle w:val="Heading3"/>
      </w:pPr>
      <w:r>
        <w:t xml:space="preserve">31.2 Anchorage Rules</w:t>
      </w:r>
    </w:p>
    <w:p>
      <w:pPr>
        <w:pStyle w:val="FirstParagraph"/>
      </w:pPr>
      <w:r>
        <w:t xml:space="preserve">Anchorages operate under the coastal state’s law, outside the corridors, with the anchor-drift alerts of MX-24 carried forward. The anchor-and-verify rule of Article 27.3 applies at anchorages and nowhere else. No charge attaches to anchoring.</w:t>
      </w:r>
    </w:p>
    <w:bookmarkEnd w:id="192"/>
    <w:bookmarkEnd w:id="193"/>
    <w:bookmarkStart w:id="197" w:name="Xcf00cb5169c4f618f04692aed498f4eb48d3228"/>
    <w:p>
      <w:pPr>
        <w:pStyle w:val="Heading2"/>
      </w:pPr>
      <w:r>
        <w:t xml:space="preserve">Article 32: Gate G-2: The Corridor Stability Audit</w:t>
      </w:r>
    </w:p>
    <w:bookmarkStart w:id="194" w:name="the-audit-2"/>
    <w:p>
      <w:pPr>
        <w:pStyle w:val="Heading3"/>
      </w:pPr>
      <w:r>
        <w:t xml:space="preserve">32.1 The Audit</w:t>
      </w:r>
    </w:p>
    <w:p>
      <w:pPr>
        <w:pStyle w:val="FirstParagraph"/>
      </w:pPr>
      <w:r>
        <w:t xml:space="preserve">Upon 28 consecutive days of corridor operation, the Neutral Watch Office audits: at least 100 certified transits completed across the corridor system; zero interdiction events classified under Annex E; the interim-route mine-clearance certificate issued under Article 30.3; service standards of Article 23.2 met at 95 percent; and the equal-treatment audit of Article 26.4 showing no flag-based divergence beyond tolerance.</w:t>
      </w:r>
    </w:p>
    <w:bookmarkEnd w:id="194"/>
    <w:bookmarkStart w:id="195" w:name="certification-and-effect-1"/>
    <w:p>
      <w:pPr>
        <w:pStyle w:val="Heading3"/>
      </w:pPr>
      <w:r>
        <w:rPr>
          <w:lang w:val="en-US" w:eastAsia="en-US" w:bidi="ar-SA"/>
          <w:rFonts w:asciiTheme="majorHAnsi" w:cstheme="majorBidi" w:eastAsiaTheme="majorEastAsia" w:hAnsiTheme="majorHAnsi"/>
          <w:b/>
          <w:color w:themeColor="accent1"/>
          <w:sz w:val="24"/>
          <w:szCs w:val="24"/>
        </w:rPr>
        <w:t>32.2 Certification and Effect</w:t>
      </w:r>
    </w:p>
    <w:p>
      <w:pPr>
        <w:pStyle w:val="FirstParagraph"/>
      </w:pPr>
      <w:r>
        <w:rPr>
          <w:sz w:val="24"/>
          <w:szCs w:val="24"/>
          <w:lang w:val="en-US" w:eastAsia="en-US" w:bidi="ar-SA"/>
        </w:rPr>
        <w:t>The Neutral Watch Office publishes the Gate G-2 certificate within 24 hours of the metrics standing satisfied. The certificate retires the Interim Middle Route under Article 22.6, opens Layer 3 at 00:00 UTC on the following day, and starts the Escalator’s first Verification Period under Article 43.3. On the same day, under the Reciprocity Map of Annex N, the blockade drawdown completes and the first sanctions-relief tranche of Table N.2 takes effect.</w:t>
      </w:r>
    </w:p>
    <w:bookmarkEnd w:id="195"/>
    <w:bookmarkStart w:id="196" w:name="failure-handling-2"/>
    <w:p>
      <w:pPr>
        <w:pStyle w:val="Heading3"/>
      </w:pPr>
      <w:r>
        <w:rPr>
          <w:lang w:val="en-US" w:eastAsia="en-US" w:bidi="ar-SA"/>
          <w:rFonts w:asciiTheme="majorHAnsi" w:cstheme="majorBidi" w:eastAsiaTheme="majorEastAsia" w:hAnsiTheme="majorHAnsi"/>
          <w:b/>
          <w:color w:themeColor="accent1"/>
          <w:sz w:val="24"/>
          <w:szCs w:val="24"/>
        </w:rPr>
        <w:t>32.3 Failure Handling</w:t>
      </w:r>
    </w:p>
    <w:p>
      <w:pPr>
        <w:pStyle w:val="FirstParagraph"/>
      </w:pPr>
      <w:r>
        <w:rPr>
          <w:sz w:val="24"/>
          <w:szCs w:val="24"/>
          <w:lang w:val="en-US" w:eastAsia="en-US" w:bidi="ar-SA"/>
        </w:rPr>
        <w:t>A metric standing unsatisfied repeats the audit every seven days. An interdiction event resets the 28-day count for that metric alone under Article 45; every other metric’s count persists. The Nofade Guarantee holds every element in place.</w:t>
      </w:r>
    </w:p>
    <w:bookmarkEnd w:id="196"/>
    <w:bookmarkEnd w:id="197"/>
    <w:bookmarkEnd w:id="198"/>
    <w:bookmarkStart w:id="236" w:name="Xf2bbeb48a8a7fc88cc67748fe5e09fad51ee81a"/>
    <w:p>
      <w:pPr>
        <w:pStyle w:val="Heading1"/>
      </w:pPr>
      <w:r>
        <w:rPr>
          <w:lang w:val="en-US" w:eastAsia="en-US" w:bidi="ar-SA"/>
          <w:rFonts w:asciiTheme="majorHAnsi" w:cstheme="majorBidi" w:eastAsiaTheme="majorEastAsia" w:hAnsiTheme="majorHAnsi"/>
          <w:b/>
          <w:color w:themeColor="accent1"/>
          <w:sz w:val="32"/>
          <w:szCs w:val="32"/>
        </w:rPr>
        <w:t>PART V: LAYER 3: THE REVENUE AND SERVICES LAYER (DAYS 30 TO 90)</w:t>
      </w:r>
    </w:p>
    <w:bookmarkStart w:id="202" w:name="article-33-the-zero-toll-rule"/>
    <w:p>
      <w:pPr>
        <w:pStyle w:val="Heading2"/>
      </w:pPr>
      <w:r>
        <w:rPr>
          <w:lang w:val="en-US" w:eastAsia="en-US" w:bidi="ar-SA"/>
          <w:rFonts w:asciiTheme="majorHAnsi" w:cstheme="majorBidi" w:eastAsiaTheme="majorEastAsia" w:hAnsiTheme="majorHAnsi"/>
          <w:b/>
          <w:color w:themeColor="accent1"/>
          <w:sz w:val="28"/>
          <w:szCs w:val="28"/>
        </w:rPr>
        <w:t>Article 33: The Zero-Toll Rule</w:t>
      </w:r>
    </w:p>
    <w:bookmarkStart w:id="199" w:name="the-rule"/>
    <w:p>
      <w:pPr>
        <w:pStyle w:val="Heading3"/>
      </w:pPr>
      <w:r>
        <w:rPr>
          <w:lang w:val="en-US" w:eastAsia="en-US" w:bidi="ar-SA"/>
          <w:rFonts w:asciiTheme="majorHAnsi" w:cstheme="majorBidi" w:eastAsiaTheme="majorEastAsia" w:hAnsiTheme="majorHAnsi"/>
          <w:b/>
          <w:color w:themeColor="accent1"/>
          <w:sz w:val="24"/>
          <w:szCs w:val="24"/>
        </w:rPr>
        <w:t>33.1 The Rule</w:t>
      </w:r>
    </w:p>
    <w:p>
      <w:pPr>
        <w:pStyle w:val="FirstParagraph"/>
      </w:pPr>
      <w:r>
        <w:rPr>
          <w:sz w:val="24"/>
          <w:szCs w:val="24"/>
          <w:lang w:val="en-US" w:eastAsia="en-US" w:bidi="ar-SA"/>
        </w:rPr>
        <w:t>No charge of any kind attaches to the act of transit through the Strait of Hormuz, in any corridor, in any flow state, in any layer, forever. No toll, no transit fee, no passage charge, no authorization fee, no security surcharge on passage, and no charge dressed as any of these by another name attaches to the act of transit. This rule holds Red Line RL-1 and amends only by unanimity of the Principal Parties and the Guarantor Parties under the protected-core rule of Article 53.3.</w:t>
      </w:r>
    </w:p>
    <w:bookmarkEnd w:id="199"/>
    <w:bookmarkStart w:id="200" w:name="the-perimeter-test"/>
    <w:p>
      <w:pPr>
        <w:pStyle w:val="Heading3"/>
      </w:pPr>
      <w:r>
        <w:rPr>
          <w:lang w:val="en-US" w:eastAsia="en-US" w:bidi="ar-SA"/>
          <w:rFonts w:asciiTheme="majorHAnsi" w:cstheme="majorBidi" w:eastAsiaTheme="majorEastAsia" w:hAnsiTheme="majorHAnsi"/>
          <w:b/>
          <w:color w:themeColor="accent1"/>
          <w:sz w:val="24"/>
          <w:szCs w:val="24"/>
        </w:rPr>
        <w:t>33.2 The Perimeter Test</w:t>
      </w:r>
    </w:p>
    <w:p>
      <w:pPr>
        <w:pStyle w:val="FirstParagraph"/>
      </w:pPr>
      <w:r>
        <w:rPr>
          <w:sz w:val="24"/>
          <w:szCs w:val="24"/>
          <w:lang w:val="en-US" w:eastAsia="en-US" w:bidi="ar-SA"/>
        </w:rPr>
        <w:t>Every financial mechanism of this Accord passes the perimeter test: the mechanism survives only if it operates in full with no vessel paying anything it declines to purchase. Any mechanism that fails the test, in design or in operation, dissolves automatically, and the Council reports the dissolution in the Bulletin.</w:t>
      </w:r>
    </w:p>
    <w:bookmarkEnd w:id="200"/>
    <w:bookmarkStart w:id="201" w:name="anti-circumvention"/>
    <w:p>
      <w:pPr>
        <w:pStyle w:val="Heading3"/>
      </w:pPr>
      <w:r>
        <w:rPr>
          <w:lang w:val="en-US" w:eastAsia="en-US" w:bidi="ar-SA"/>
          <w:rFonts w:asciiTheme="majorHAnsi" w:cstheme="majorBidi" w:eastAsiaTheme="majorEastAsia" w:hAnsiTheme="majorHAnsi"/>
          <w:b/>
          <w:color w:themeColor="accent1"/>
          <w:sz w:val="24"/>
          <w:szCs w:val="24"/>
        </w:rPr>
        <w:t>33.3 Anti-Circumvention</w:t>
      </w:r>
    </w:p>
    <w:p>
      <w:pPr>
        <w:pStyle w:val="FirstParagraph"/>
      </w:pPr>
      <w:r>
        <w:rPr>
          <w:sz w:val="24"/>
          <w:szCs w:val="24"/>
          <w:lang w:val="en-US" w:eastAsia="en-US" w:bidi="ar-SA"/>
        </w:rPr>
        <w:t>The Neutral Watch Office and the Neutral Administrator jointly audit every charge levied anywhere in the Governance Area against this Article quarterly. A charge found to attach in substance to the act of transit refunds in full within 30 days, and its authorizing instrument stands void from the finding.</w:t>
      </w:r>
    </w:p>
    <w:bookmarkEnd w:id="201"/>
    <w:bookmarkEnd w:id="202"/>
    <w:bookmarkStart w:id="209" w:name="article-34-the-fee-simulation-track"/>
    <w:p>
      <w:pPr>
        <w:pStyle w:val="Heading2"/>
      </w:pPr>
      <w:r>
        <w:rPr>
          <w:lang w:val="en-US" w:eastAsia="en-US" w:bidi="ar-SA"/>
          <w:rFonts w:asciiTheme="majorHAnsi" w:cstheme="majorBidi" w:eastAsiaTheme="majorEastAsia" w:hAnsiTheme="majorHAnsi"/>
          <w:b/>
          <w:color w:themeColor="accent1"/>
          <w:sz w:val="28"/>
          <w:szCs w:val="28"/>
        </w:rPr>
        <w:t>Article 34: The Fee Simulation Track</w:t>
      </w:r>
    </w:p>
    <w:bookmarkStart w:id="203" w:name="continuation-of-the-simulation"/>
    <w:p>
      <w:pPr>
        <w:pStyle w:val="Heading3"/>
      </w:pPr>
      <w:r>
        <w:rPr>
          <w:lang w:val="en-US" w:eastAsia="en-US" w:bidi="ar-SA"/>
          <w:rFonts w:asciiTheme="majorHAnsi" w:cstheme="majorBidi" w:eastAsiaTheme="majorEastAsia" w:hAnsiTheme="majorHAnsi"/>
          <w:b/>
          <w:color w:themeColor="accent1"/>
          <w:sz w:val="24"/>
          <w:szCs w:val="24"/>
        </w:rPr>
        <w:t>34.1 The Full Simulation Layer</w:t>
      </w:r>
    </w:p>
    <w:p>
      <w:pPr>
        <w:pStyle w:val="FirstParagraph"/>
      </w:pPr>
      <w:r>
        <w:rPr>
          <w:sz w:val="24"/>
          <w:szCs w:val="24"/>
          <w:lang w:val="en-US" w:eastAsia="en-US" w:bidi="ar-SA"/>
        </w:rPr>
        <w:t>The Full Simulation Layer (Day 60 to Day 90) expands the Early Fee Simulation of Article 18.6 to full-scale modeling of the entire charter architecture: corridor expansion, traffic optimization, response-load modeling, and insurance and market-impact modeling. For every transit of the corridor system, the parallel accounting model computes the optional services a vessel would plausibly request, at the simulation rate card of Annex F.2. No money moves; no invoice issues; no commitment arises.</w:t>
      </w:r>
    </w:p>
    <w:p>
      <w:pPr>
        <w:pStyle w:val="FirstParagraph"/>
      </w:pPr>
      <w:r>
        <w:rPr>
          <w:sz w:val="24"/>
          <w:szCs w:val="24"/>
          <w:lang w:val="en-US" w:eastAsia="en-US" w:bidi="ar-SA"/>
        </w:rPr>
        <w:t>The Full Simulation builds on the Early Fee Simulation’s data and methodology. It does not restart the financial question; it refines the answer.</w:t>
      </w:r>
    </w:p>
    <w:bookmarkEnd w:id="203"/>
    <w:bookmarkStart w:id="204" w:name="publication"/>
    <w:p>
      <w:pPr>
        <w:pStyle w:val="Heading3"/>
      </w:pPr>
      <w:r>
        <w:rPr>
          <w:lang w:val="en-US" w:eastAsia="en-US" w:bidi="ar-SA"/>
          <w:rFonts w:asciiTheme="majorHAnsi" w:cstheme="majorBidi" w:eastAsiaTheme="majorEastAsia" w:hAnsiTheme="majorHAnsi"/>
          <w:b/>
          <w:color w:themeColor="accent1"/>
          <w:sz w:val="24"/>
          <w:szCs w:val="24"/>
        </w:rPr>
        <w:t>34.2 Publication</w:t>
      </w:r>
    </w:p>
    <w:p>
      <w:pPr>
        <w:pStyle w:val="FirstParagraph"/>
      </w:pPr>
      <w:r>
        <w:rPr>
          <w:sz w:val="24"/>
          <w:szCs w:val="24"/>
          <w:lang w:val="en-US" w:eastAsia="en-US" w:bidi="ar-SA"/>
        </w:rPr>
        <w:t>The simulation publishes monthly: simulated service volumes, simulated revenue, simulated allocation under the revenue-share rules of Article 38, and the model’s assumptions. Every Party, every user state, and every insurer reads the same simulated future.</w:t>
      </w:r>
    </w:p>
    <w:bookmarkEnd w:id="204"/>
    <w:bookmarkStart w:id="205" w:name="the-simulations-function"/>
    <w:p>
      <w:pPr>
        <w:pStyle w:val="Heading3"/>
      </w:pPr>
      <w:r>
        <w:rPr>
          <w:lang w:val="en-US" w:eastAsia="en-US" w:bidi="ar-SA"/>
          <w:rFonts w:asciiTheme="majorHAnsi" w:cstheme="majorBidi" w:eastAsiaTheme="majorEastAsia" w:hAnsiTheme="majorHAnsi"/>
          <w:b/>
          <w:color w:themeColor="accent1"/>
          <w:sz w:val="24"/>
          <w:szCs w:val="24"/>
        </w:rPr>
        <w:t>34.3 The Simulation’s Function</w:t>
      </w:r>
    </w:p>
    <w:p>
      <w:pPr>
        <w:pStyle w:val="FirstParagraph"/>
      </w:pPr>
      <w:r>
        <w:rPr>
          <w:sz w:val="24"/>
          <w:szCs w:val="24"/>
          <w:lang w:val="en-US" w:eastAsia="en-US" w:bidi="ar-SA"/>
        </w:rPr>
        <w:t>The simulation lets every capital see the future without committing to it: Tehran reads the revenue its stewardship earns; Washington reads the proof that no transit pays a toll; Muscat reads the cost recovery of its services; insurers read the stability premium of the corridors. The simulation converts the fee question from a fight over principle into a review of arithmetic.</w:t>
      </w:r>
    </w:p>
    <w:bookmarkEnd w:id="205"/>
    <w:bookmarkStart w:id="206" w:name="transition-to-live-operation"/>
    <w:p>
      <w:pPr>
        <w:pStyle w:val="Heading3"/>
      </w:pPr>
      <w:r>
        <w:rPr>
          <w:lang w:val="en-US" w:eastAsia="en-US" w:bidi="ar-SA"/>
          <w:rFonts w:asciiTheme="majorHAnsi" w:cstheme="majorBidi" w:eastAsiaTheme="majorEastAsia" w:hAnsiTheme="majorHAnsi"/>
          <w:b/>
          <w:color w:themeColor="accent1"/>
          <w:sz w:val="24"/>
          <w:szCs w:val="24"/>
        </w:rPr>
        <w:t>34.4 Transition to Live Operation</w:t>
      </w:r>
    </w:p>
    <w:p>
      <w:pPr>
        <w:pStyle w:val="FirstParagraph"/>
      </w:pPr>
      <w:r>
        <w:rPr>
          <w:sz w:val="24"/>
          <w:szCs w:val="24"/>
          <w:lang w:val="en-US" w:eastAsia="en-US" w:bidi="ar-SA"/>
        </w:rPr>
        <w:t>Upon Gate G-3 certification, the simulation’s rate card converts into the live rate card of Annex F.3 without alteration, and live charging for requested services commences under Article 35. The conversion is automatic and requires no re-negotiation.</w:t>
      </w:r>
    </w:p>
    <w:bookmarkEnd w:id="206"/>
    <w:bookmarkStart w:id="207" w:name="the-no-obligation-clause"/>
    <w:p>
      <w:pPr>
        <w:pStyle w:val="Heading3"/>
      </w:pPr>
      <w:r>
        <w:rPr>
          <w:lang w:val="en-US" w:eastAsia="en-US" w:bidi="ar-SA"/>
          <w:rFonts w:asciiTheme="majorHAnsi" w:cstheme="majorBidi" w:eastAsiaTheme="majorEastAsia" w:hAnsiTheme="majorHAnsi"/>
          <w:b/>
          <w:color w:themeColor="accent1"/>
          <w:sz w:val="24"/>
          <w:szCs w:val="24"/>
        </w:rPr>
        <w:t>34.5 The No-Obligation Clause</w:t>
      </w:r>
    </w:p>
    <w:p>
      <w:pPr>
        <w:pStyle w:val="FirstParagraph"/>
      </w:pPr>
      <w:r>
        <w:rPr>
          <w:sz w:val="24"/>
          <w:szCs w:val="24"/>
          <w:lang w:val="en-US" w:eastAsia="en-US" w:bidi="ar-SA"/>
        </w:rPr>
        <w:t>No simulation output creates any obligation, expectation, or vested right. The simulation informs; it never binds.</w:t>
      </w:r>
    </w:p>
    <w:bookmarkEnd w:id="207"/>
    <w:bookmarkStart w:id="208" w:name="the-interim-fee-suspension"/>
    <w:p>
      <w:pPr>
        <w:pStyle w:val="Heading3"/>
      </w:pPr>
      <w:r>
        <w:rPr>
          <w:lang w:val="en-US" w:eastAsia="en-US" w:bidi="ar-SA"/>
          <w:rFonts w:asciiTheme="majorHAnsi" w:cstheme="majorBidi" w:eastAsiaTheme="majorEastAsia" w:hAnsiTheme="majorHAnsi"/>
          <w:b/>
          <w:color w:themeColor="accent1"/>
          <w:sz w:val="24"/>
          <w:szCs w:val="24"/>
        </w:rPr>
        <w:t>34.6 The Interim Fee Suspension</w:t>
      </w:r>
    </w:p>
    <w:p>
      <w:pPr>
        <w:pStyle w:val="FirstParagraph"/>
      </w:pPr>
      <w:r>
        <w:rPr>
          <w:sz w:val="24"/>
          <w:szCs w:val="24"/>
          <w:lang w:val="en-US" w:eastAsia="en-US" w:bidi="ar-SA"/>
        </w:rPr>
        <w:t>From Gate G-0 certification until Gate G-3 certification, every service of the framework operates free of charge: the interim period honors the coastal states’ understanding of a charge-free interim window and extends it until the audited revenue architecture stands ready. The Transit Services Fund absorbs the interim operating cost under Annex F.6.</w:t>
      </w:r>
    </w:p>
    <w:p>
      <w:pPr>
        <w:pStyle w:val="Heading3"/>
      </w:pPr>
      <w:r>
        <w:rPr>
          <w:lang w:val="en-US" w:eastAsia="en-US" w:bidi="ar-SA"/>
          <w:rFonts w:asciiTheme="majorHAnsi" w:cstheme="majorBidi" w:eastAsiaTheme="majorEastAsia" w:hAnsiTheme="majorHAnsi"/>
          <w:b/>
          <w:color w:themeColor="accent1"/>
          <w:sz w:val="24"/>
          <w:szCs w:val="24"/>
        </w:rPr>
        <w:t>34.7 The Private Sector Confidence Trigger</w:t>
      </w:r>
    </w:p>
    <w:p>
      <w:pPr>
        <w:pStyle w:val="FirstParagraph"/>
      </w:pPr>
      <w:r>
        <w:rPr>
          <w:sz w:val="24"/>
          <w:szCs w:val="24"/>
          <w:lang w:val="en-US" w:eastAsia="en-US" w:bidi="ar-SA"/>
        </w:rPr>
        <w:t>34.7.1 The Industry Panel issues a Confidence Trigger when, in its judgment, the Stability Audit and the Open Water Bulletin demonstrate sustained stable operation for 90 consecutive days.</w:t>
      </w:r>
    </w:p>
    <w:p>
      <w:pPr>
        <w:pStyle w:val="FirstParagraph"/>
      </w:pPr>
      <w:r>
        <w:rPr>
          <w:sz w:val="24"/>
          <w:szCs w:val="24"/>
          <w:lang w:val="en-US" w:eastAsia="en-US" w:bidi="ar-SA"/>
        </w:rPr>
        <w:t>34.7.2 The Confidence Trigger constitutes a formal recommendation to the Council that war-risk and transit premiums for the Governance Area normalize to the pre-conflict baseline.</w:t>
      </w:r>
    </w:p>
    <w:p>
      <w:pPr>
        <w:pStyle w:val="FirstParagraph"/>
      </w:pPr>
      <w:r>
        <w:rPr>
          <w:sz w:val="24"/>
          <w:szCs w:val="24"/>
          <w:lang w:val="en-US" w:eastAsia="en-US" w:bidi="ar-SA"/>
        </w:rPr>
        <w:t>34.7.3 The Council answers the Confidence Trigger within 30 days. Silence at the deadline constitutes acceptance of the Trigger’s recommendation.</w:t>
      </w:r>
    </w:p>
    <w:p>
      <w:pPr>
        <w:pStyle w:val="FirstParagraph"/>
      </w:pPr>
      <w:r>
        <w:rPr>
          <w:sz w:val="24"/>
          <w:szCs w:val="24"/>
          <w:lang w:val="en-US" w:eastAsia="en-US" w:bidi="ar-SA"/>
        </w:rPr>
        <w:t>34.7.4 The Confidence Trigger is a market mechanism, not a governance mechanism. It exists to translate private-sector confidence into public policy.</w:t>
      </w:r>
    </w:p>
    <w:bookmarkEnd w:id="208"/>
    <w:bookmarkEnd w:id="209"/>
    <w:bookmarkStart w:id="214" w:name="X349d82f6764cffe9173986373c1442f95ce665a"/>
    <w:p>
      <w:pPr>
        <w:pStyle w:val="Heading2"/>
      </w:pPr>
      <w:r>
        <w:rPr>
          <w:lang w:val="en-US" w:eastAsia="en-US" w:bidi="ar-SA"/>
          <w:rFonts w:asciiTheme="majorHAnsi" w:cstheme="majorBidi" w:eastAsiaTheme="majorEastAsia" w:hAnsiTheme="majorHAnsi"/>
          <w:b/>
          <w:color w:themeColor="accent1"/>
          <w:sz w:val="28"/>
          <w:szCs w:val="28"/>
        </w:rPr>
        <w:t>Article 35: The Verified Services Catalog and the Route Assurance Data Service</w:t>
      </w:r>
    </w:p>
    <w:bookmarkStart w:id="210" w:name="the-catalog"/>
    <w:p>
      <w:pPr>
        <w:pStyle w:val="Heading3"/>
      </w:pPr>
      <w:r>
        <w:rPr>
          <w:lang w:val="en-US" w:eastAsia="en-US" w:bidi="ar-SA"/>
          <w:rFonts w:asciiTheme="majorHAnsi" w:cstheme="majorBidi" w:eastAsiaTheme="majorEastAsia" w:hAnsiTheme="majorHAnsi"/>
          <w:b/>
          <w:color w:themeColor="accent1"/>
          <w:sz w:val="24"/>
          <w:szCs w:val="24"/>
        </w:rPr>
        <w:t>35.1 The Catalog</w:t>
      </w:r>
    </w:p>
    <w:p>
      <w:pPr>
        <w:pStyle w:val="FirstParagraph"/>
      </w:pPr>
      <w:r>
        <w:rPr>
          <w:sz w:val="24"/>
          <w:szCs w:val="24"/>
          <w:lang w:val="en-US" w:eastAsia="en-US" w:bidi="ar-SA"/>
        </w:rPr>
        <w:t>The Verified Services Catalog of Annex F lists every service the framework offers, its standard, its provider, and its rate. The catalog opens with five service families: the Route Assurance Data Service (professional tier of the Open Water Bulletin); pilotage on request; tug and escort assistance on request; environmental and survey services (hydrographic data products, spill-response standby); and expedited transit-window scheduling for special cargoes.</w:t>
      </w:r>
    </w:p>
    <w:bookmarkEnd w:id="210"/>
    <w:bookmarkStart w:id="211" w:name="the-four-tests"/>
    <w:p>
      <w:pPr>
        <w:pStyle w:val="Heading3"/>
      </w:pPr>
      <w:r>
        <w:rPr>
          <w:lang w:val="en-US" w:eastAsia="en-US" w:bidi="ar-SA"/>
          <w:rFonts w:asciiTheme="majorHAnsi" w:cstheme="majorBidi" w:eastAsiaTheme="majorEastAsia" w:hAnsiTheme="majorHAnsi"/>
          <w:b/>
          <w:color w:themeColor="accent1"/>
          <w:sz w:val="24"/>
          <w:szCs w:val="24"/>
        </w:rPr>
        <w:t>35.2 The Four Tests</w:t>
      </w:r>
    </w:p>
    <w:p>
      <w:pPr>
        <w:pStyle w:val="FirstParagraph"/>
      </w:pPr>
      <w:r>
        <w:rPr>
          <w:sz w:val="24"/>
          <w:szCs w:val="24"/>
          <w:lang w:val="en-US" w:eastAsia="en-US" w:bidi="ar-SA"/>
        </w:rPr>
        <w:t>Every catalog service passes four tests before listing and continuously thereafter. Request test: the service activates only upon the vessel’s or operator’s affirmative request. Service test: the framework delivers a genuine, itemized service, recorded against the vessel’s transit. Value test: the rate bears a published relationship to the cost standard of Annex F.4. Neutrality test: payment routes exclusively through the Neutral Escrow of Article 36, and no shipper or operator pays any Party directly for anything, which holds Red Line RL-7.</w:t>
      </w:r>
    </w:p>
    <w:bookmarkEnd w:id="211"/>
    <w:bookmarkStart w:id="212" w:name="addition-and-removal"/>
    <w:p>
      <w:pPr>
        <w:pStyle w:val="Heading3"/>
      </w:pPr>
      <w:r>
        <w:rPr>
          <w:lang w:val="en-US" w:eastAsia="en-US" w:bidi="ar-SA"/>
          <w:rFonts w:asciiTheme="majorHAnsi" w:cstheme="majorBidi" w:eastAsiaTheme="majorEastAsia" w:hAnsiTheme="majorHAnsi"/>
          <w:b/>
          <w:color w:themeColor="accent1"/>
          <w:sz w:val="24"/>
          <w:szCs w:val="24"/>
        </w:rPr>
        <w:t>35.3 Addition and Removal</w:t>
      </w:r>
    </w:p>
    <w:p>
      <w:pPr>
        <w:pStyle w:val="FirstParagraph"/>
      </w:pPr>
      <w:r>
        <w:rPr>
          <w:sz w:val="24"/>
          <w:szCs w:val="24"/>
          <w:lang w:val="en-US" w:eastAsia="en-US" w:bidi="ar-SA"/>
        </w:rPr>
        <w:t>The Council adds a service to the catalog upon the four tests, a Technical and Standards Committee assessment, and 30 days’ public notice. The Neutral Watch Office removes a service that fails any test in operation, and removal publishes with reasons.</w:t>
      </w:r>
    </w:p>
    <w:bookmarkEnd w:id="212"/>
    <w:bookmarkStart w:id="213" w:name="the-route-assurance-data-service-rads"/>
    <w:p>
      <w:pPr>
        <w:pStyle w:val="Heading3"/>
      </w:pPr>
      <w:r>
        <w:rPr>
          <w:lang w:val="en-US" w:eastAsia="en-US" w:bidi="ar-SA"/>
          <w:rFonts w:asciiTheme="majorHAnsi" w:cstheme="majorBidi" w:eastAsiaTheme="majorEastAsia" w:hAnsiTheme="majorHAnsi"/>
          <w:b/>
          <w:color w:themeColor="accent1"/>
          <w:sz w:val="24"/>
          <w:szCs w:val="24"/>
        </w:rPr>
        <w:t>35.4 The Route Assurance Data Service (RADS)</w:t>
      </w:r>
    </w:p>
    <w:p>
      <w:pPr>
        <w:pStyle w:val="FirstParagraph"/>
      </w:pPr>
      <w:r>
        <w:rPr>
          <w:sz w:val="24"/>
          <w:szCs w:val="24"/>
          <w:lang w:val="en-US" w:eastAsia="en-US" w:bidi="ar-SA"/>
        </w:rPr>
        <w:t>The RADS is the catalog’s anchor service: the professional tier of the Open Water Bulletin, delivering full-resolution corridor data, certified route-assurance documentation, transit records, and performance statistics to masters, operators, charterers, and insurers by subscription. RADS documentation carries the Neutral Watch Office’s certification mark, and insurers adopt it as the risk-assessment standard for the strait under the insurance normalization track of Article 38.6.</w:t>
      </w:r>
    </w:p>
    <w:bookmarkEnd w:id="213"/>
    <w:bookmarkEnd w:id="214"/>
    <w:bookmarkStart w:id="219" w:name="X24d8d664c3fc45637b61a27f20254ab3657069c"/>
    <w:p>
      <w:pPr>
        <w:pStyle w:val="Heading2"/>
      </w:pPr>
      <w:r>
        <w:rPr>
          <w:lang w:val="en-US" w:eastAsia="en-US" w:bidi="ar-SA"/>
          <w:rFonts w:asciiTheme="majorHAnsi" w:cstheme="majorBidi" w:eastAsiaTheme="majorEastAsia" w:hAnsiTheme="majorHAnsi"/>
          <w:b/>
          <w:color w:themeColor="accent1"/>
          <w:sz w:val="28"/>
          <w:szCs w:val="28"/>
        </w:rPr>
        <w:t>Article 36: The Neutral Escrow and the Transit Services Fund</w:t>
      </w:r>
    </w:p>
    <w:bookmarkStart w:id="215" w:name="the-escrow"/>
    <w:p>
      <w:pPr>
        <w:pStyle w:val="Heading3"/>
      </w:pPr>
      <w:r>
        <w:rPr>
          <w:lang w:val="en-US" w:eastAsia="en-US" w:bidi="ar-SA"/>
          <w:rFonts w:asciiTheme="majorHAnsi" w:cstheme="majorBidi" w:eastAsiaTheme="majorEastAsia" w:hAnsiTheme="majorHAnsi"/>
          <w:b/>
          <w:color w:themeColor="accent1"/>
          <w:sz w:val="24"/>
          <w:szCs w:val="24"/>
        </w:rPr>
        <w:t>36.1 The Escrow</w:t>
      </w:r>
    </w:p>
    <w:p>
      <w:pPr>
        <w:pStyle w:val="FirstParagraph"/>
      </w:pPr>
      <w:r>
        <w:rPr>
          <w:sz w:val="24"/>
          <w:szCs w:val="24"/>
          <w:lang w:val="en-US" w:eastAsia="en-US" w:bidi="ar-SA"/>
        </w:rPr>
        <w:t>The Neutral Administrator (the Swiss Confederation) operates the Hormuz Neutral Escrow: the sole payment channel for every charge under this Accord. Every payment enters the Escrow from the paying operator’s bank; every disbursement leaves the Escrow against the Neutral Administrator’s certification of the underlying service record; and no payment touches any Party’s account directly at any point.</w:t>
      </w:r>
    </w:p>
    <w:bookmarkEnd w:id="215"/>
    <w:bookmarkStart w:id="216" w:name="the-transit-services-fund"/>
    <w:p>
      <w:pPr>
        <w:pStyle w:val="Heading3"/>
      </w:pPr>
      <w:r>
        <w:rPr>
          <w:lang w:val="en-US" w:eastAsia="en-US" w:bidi="ar-SA"/>
          <w:rFonts w:asciiTheme="majorHAnsi" w:cstheme="majorBidi" w:eastAsiaTheme="majorEastAsia" w:hAnsiTheme="majorHAnsi"/>
          <w:b/>
          <w:color w:themeColor="accent1"/>
          <w:sz w:val="24"/>
          <w:szCs w:val="24"/>
        </w:rPr>
        <w:t>36.2 The Transit Services Fund</w:t>
      </w:r>
    </w:p>
    <w:p>
      <w:pPr>
        <w:pStyle w:val="FirstParagraph"/>
      </w:pPr>
      <w:r>
        <w:rPr>
          <w:sz w:val="24"/>
          <w:szCs w:val="24"/>
          <w:lang w:val="en-US" w:eastAsia="en-US" w:bidi="ar-SA"/>
        </w:rPr>
        <w:t>The Escrow feeds the Transit Services Fund, which finances: corridor operations and aids to navigation; the lead-escort service; the Joint Visibility System; the MRT-H; the Neutral Watch Office; the SAR readiness baseline; and the administrative costs of the institutions. The Fund’s budget publishes annually and its accounts quarterly, audited by the Neutral Administrator’s independent auditor under Annex F.7.</w:t>
      </w:r>
    </w:p>
    <w:bookmarkEnd w:id="216"/>
    <w:bookmarkStart w:id="217" w:name="disbursement-shares"/>
    <w:p>
      <w:pPr>
        <w:pStyle w:val="Heading3"/>
      </w:pPr>
      <w:r>
        <w:rPr>
          <w:lang w:val="en-US" w:eastAsia="en-US" w:bidi="ar-SA"/>
          <w:rFonts w:asciiTheme="majorHAnsi" w:cstheme="majorBidi" w:eastAsiaTheme="majorEastAsia" w:hAnsiTheme="majorHAnsi"/>
          <w:b/>
          <w:color w:themeColor="accent1"/>
          <w:sz w:val="24"/>
          <w:szCs w:val="24"/>
        </w:rPr>
        <w:t>36.3 Disbursement Shares</w:t>
      </w:r>
    </w:p>
    <w:p>
      <w:pPr>
        <w:pStyle w:val="FirstParagraph"/>
      </w:pPr>
      <w:r>
        <w:rPr>
          <w:sz w:val="24"/>
          <w:szCs w:val="24"/>
          <w:lang w:val="en-US" w:eastAsia="en-US" w:bidi="ar-SA"/>
        </w:rPr>
        <w:t>Net revenue after budget distributes under the revenue-share rules of Article 38. The distribution executes monthly, automatically, against the published share table in force at the time.</w:t>
      </w:r>
    </w:p>
    <w:bookmarkEnd w:id="217"/>
    <w:bookmarkStart w:id="218" w:name="the-clean-hands-rule"/>
    <w:p>
      <w:pPr>
        <w:pStyle w:val="Heading3"/>
      </w:pPr>
      <w:r>
        <w:rPr>
          <w:lang w:val="en-US" w:eastAsia="en-US" w:bidi="ar-SA"/>
          <w:rFonts w:asciiTheme="majorHAnsi" w:cstheme="majorBidi" w:eastAsiaTheme="majorEastAsia" w:hAnsiTheme="majorHAnsi"/>
          <w:b/>
          <w:color w:themeColor="accent1"/>
          <w:sz w:val="24"/>
          <w:szCs w:val="24"/>
        </w:rPr>
        <w:t>36.4 The Clean-Hands Rule</w:t>
      </w:r>
    </w:p>
    <w:p>
      <w:pPr>
        <w:pStyle w:val="FirstParagraph"/>
      </w:pPr>
      <w:r>
        <w:rPr>
          <w:sz w:val="24"/>
          <w:szCs w:val="24"/>
          <w:lang w:val="en-US" w:eastAsia="en-US" w:bidi="ar-SA"/>
        </w:rPr>
        <w:t>Every disbursement passes the sanctions-compliance firewall of Article 37 before execution. A disbursement that fails screening holds in the Escrow, accrues for the intended recipient, and releases upon the screening path clearing, with the hold published in anonymized form.</w:t>
      </w:r>
    </w:p>
    <w:bookmarkEnd w:id="218"/>
    <w:bookmarkEnd w:id="219"/>
    <w:bookmarkStart w:id="224" w:name="Xa56d93b8bedc1d8c6586d5649bf23db9bac84bc"/>
    <w:p>
      <w:pPr>
        <w:pStyle w:val="Heading2"/>
      </w:pPr>
      <w:r>
        <w:rPr>
          <w:lang w:val="en-US" w:eastAsia="en-US" w:bidi="ar-SA"/>
          <w:rFonts w:asciiTheme="majorHAnsi" w:cstheme="majorBidi" w:eastAsiaTheme="majorEastAsia" w:hAnsiTheme="majorHAnsi"/>
          <w:b/>
          <w:color w:themeColor="accent1"/>
          <w:sz w:val="28"/>
          <w:szCs w:val="28"/>
        </w:rPr>
        <w:t>Article 37: The Sanctions-Compliance Firewall</w:t>
      </w:r>
    </w:p>
    <w:bookmarkStart w:id="220" w:name="the-firewall"/>
    <w:p>
      <w:pPr>
        <w:pStyle w:val="Heading3"/>
      </w:pPr>
      <w:r>
        <w:rPr>
          <w:lang w:val="en-US" w:eastAsia="en-US" w:bidi="ar-SA"/>
          <w:rFonts w:asciiTheme="majorHAnsi" w:cstheme="majorBidi" w:eastAsiaTheme="majorEastAsia" w:hAnsiTheme="majorHAnsi"/>
          <w:b/>
          <w:color w:themeColor="accent1"/>
          <w:sz w:val="24"/>
          <w:szCs w:val="24"/>
        </w:rPr>
        <w:t>37.1 The Firewall</w:t>
      </w:r>
    </w:p>
    <w:p>
      <w:pPr>
        <w:pStyle w:val="FirstParagraph"/>
      </w:pPr>
      <w:r>
        <w:rPr>
          <w:sz w:val="24"/>
          <w:szCs w:val="24"/>
          <w:lang w:val="en-US" w:eastAsia="en-US" w:bidi="ar-SA"/>
        </w:rPr>
        <w:t>The firewall makes participation safe for every participant: banks, insurers, operators, and states. Every payment through the Escrow executes under the payment protocol of Annex F.8, which routes transactions through the designated neutral banking channels, in the designated currencies, with the documentation the relevant licensing regimes recognize.</w:t>
      </w:r>
    </w:p>
    <w:bookmarkEnd w:id="220"/>
    <w:bookmarkStart w:id="221" w:name="general-license-alignment"/>
    <w:p>
      <w:pPr>
        <w:pStyle w:val="Heading3"/>
      </w:pPr>
      <w:r>
        <w:t xml:space="preserve">37.2 General License Alignment</w:t>
      </w:r>
    </w:p>
    <w:p>
      <w:pPr>
        <w:pStyle w:val="FirstParagraph"/>
      </w:pPr>
      <w:r>
        <w:t xml:space="preserve">The United States issues and maintains the general licenses and authorizations that place every transaction within this Part outside the scope of its sanctions programs, in the sequence of the Reciprocity Map: the interim authorizations at Layer 3 opening, and the standing authorizations at Gate G-3. The framework’s financial architecture operates exclusively inside those authorizations, and the Neutral Administrator certifies conformity quarterly.</w:t>
      </w:r>
    </w:p>
    <w:bookmarkEnd w:id="221"/>
    <w:bookmarkStart w:id="222" w:name="the-no-direct-payment-rule"/>
    <w:p>
      <w:pPr>
        <w:pStyle w:val="Heading3"/>
      </w:pPr>
      <w:r>
        <w:t xml:space="preserve">37.3 The No-Direct-Payment Rule</w:t>
      </w:r>
    </w:p>
    <w:p>
      <w:pPr>
        <w:pStyle w:val="FirstParagraph"/>
      </w:pPr>
      <w:r>
        <w:t xml:space="preserve">No shipper, operator, insurer, or state pays any Party directly for anything connected to this Accord. Every financial flow runs through the Escrow, the Fund, and the firewall. This rule holds Red Line RL-7 absolutely.</w:t>
      </w:r>
    </w:p>
    <w:bookmarkEnd w:id="222"/>
    <w:bookmarkStart w:id="223" w:name="non-parties-reliance"/>
    <w:p>
      <w:pPr>
        <w:pStyle w:val="Heading3"/>
      </w:pPr>
      <w:r>
        <w:t xml:space="preserve">37.4 Non-Parties’ Reliance</w:t>
      </w:r>
    </w:p>
    <w:p>
      <w:pPr>
        <w:pStyle w:val="FirstParagraph"/>
      </w:pPr>
      <w:r>
        <w:t xml:space="preserve">Any bank or insurer relying on the firewall’s documentation in good faith acts with the framework’s certification behind it. The Neutral Administrator publishes the reliance pack of Annex F.9 for compliance officers, and updates it with every regulatory change.</w:t>
      </w:r>
    </w:p>
    <w:bookmarkEnd w:id="223"/>
    <w:bookmarkEnd w:id="224"/>
    <w:bookmarkStart w:id="231" w:name="X0723e771a7e6ed6da3d65fc1b2ba85d11d85ca8"/>
    <w:p>
      <w:pPr>
        <w:pStyle w:val="Heading2"/>
      </w:pPr>
      <w:r>
        <w:t xml:space="preserve">Article 38: Revenue Shares and the Escalator Link</w:t>
      </w:r>
    </w:p>
    <w:bookmarkStart w:id="225" w:name="the-share-table"/>
    <w:p>
      <w:pPr>
        <w:pStyle w:val="Heading3"/>
      </w:pPr>
      <w:r>
        <w:rPr>
          <w:lang w:val="en-US" w:eastAsia="en-US" w:bidi="ar-SA"/>
          <w:rFonts w:asciiTheme="majorHAnsi" w:cstheme="majorBidi" w:eastAsiaTheme="majorEastAsia" w:hAnsiTheme="majorHAnsi"/>
          <w:b/>
          <w:color w:themeColor="accent1"/>
          <w:sz w:val="24"/>
          <w:szCs w:val="24"/>
        </w:rPr>
        <w:t>38.1 The Share Table</w:t>
      </w:r>
    </w:p>
    <w:p>
      <w:pPr>
        <w:pStyle w:val="FirstParagraph"/>
      </w:pPr>
      <w:r>
        <w:rPr>
          <w:sz w:val="24"/>
          <w:szCs w:val="24"/>
          <w:lang w:val="en-US" w:eastAsia="en-US" w:bidi="ar-SA"/>
        </w:rPr>
        <w:t>Net distributable revenue allocates between the Principal Parties by the share table of Annex F.10, which tracks the Graduated Trust Escalator of Article 43: at Baseline (33 percent Trust Level), Iran receives 33 percent and Oman 67 percent; the Iranian share rises with each escalator step per Annex E; and the Iranian share caps at 60 percent upon Full Unlock, the Permanent Floor that survives every subsequent event under Article 43.7.</w:t>
      </w:r>
    </w:p>
    <w:bookmarkEnd w:id="225"/>
    <w:bookmarkStart w:id="226" w:name="the-service-origin-principle"/>
    <w:p>
      <w:pPr>
        <w:pStyle w:val="Heading3"/>
      </w:pPr>
      <w:r>
        <w:rPr>
          <w:lang w:val="en-US" w:eastAsia="en-US" w:bidi="ar-SA"/>
          <w:rFonts w:asciiTheme="majorHAnsi" w:cstheme="majorBidi" w:eastAsiaTheme="majorEastAsia" w:hAnsiTheme="majorHAnsi"/>
          <w:b/>
          <w:color w:themeColor="accent1"/>
          <w:sz w:val="24"/>
          <w:szCs w:val="24"/>
        </w:rPr>
        <w:t>38.2 The Service-Origin Principle</w:t>
      </w:r>
    </w:p>
    <w:p>
      <w:pPr>
        <w:pStyle w:val="FirstParagraph"/>
      </w:pPr>
      <w:r>
        <w:rPr>
          <w:sz w:val="24"/>
          <w:szCs w:val="24"/>
          <w:lang w:val="en-US" w:eastAsia="en-US" w:bidi="ar-SA"/>
        </w:rPr>
        <w:t>Before distribution under the share table, each administrator draws its documented direct costs of its own corridor’s services from the Fund, audited under Annex F.7. Distribution under the share table then allocates the remainder.</w:t>
      </w:r>
    </w:p>
    <w:bookmarkEnd w:id="226"/>
    <w:bookmarkStart w:id="227" w:name="acceding-states-shares"/>
    <w:p>
      <w:pPr>
        <w:pStyle w:val="Heading3"/>
      </w:pPr>
      <w:r>
        <w:rPr>
          <w:lang w:val="en-US" w:eastAsia="en-US" w:bidi="ar-SA"/>
          <w:rFonts w:asciiTheme="majorHAnsi" w:cstheme="majorBidi" w:eastAsiaTheme="majorEastAsia" w:hAnsiTheme="majorHAnsi"/>
          <w:b/>
          <w:color w:themeColor="accent1"/>
          <w:sz w:val="24"/>
          <w:szCs w:val="24"/>
        </w:rPr>
        <w:t>38.3 Acceding States’ Shares</w:t>
      </w:r>
    </w:p>
    <w:p>
      <w:pPr>
        <w:pStyle w:val="FirstParagraph"/>
      </w:pPr>
      <w:r>
        <w:rPr>
          <w:sz w:val="24"/>
          <w:szCs w:val="24"/>
          <w:lang w:val="en-US" w:eastAsia="en-US" w:bidi="ar-SA"/>
        </w:rPr>
        <w:t>Upon accession, the United Arab Emirates receives a services share of 10 percent drawn equally from the Principal Parties’ distributable shares against its MRT-H and logistics contributions, and further accession shares allocate under the accession instruments of Article 52, always within the 60 percent Permanent Floor cap for Iran and never below 30 percent for Oman.</w:t>
      </w:r>
    </w:p>
    <w:bookmarkEnd w:id="227"/>
    <w:bookmarkStart w:id="228" w:name="automaticity"/>
    <w:p>
      <w:pPr>
        <w:pStyle w:val="Heading3"/>
      </w:pPr>
      <w:r>
        <w:rPr>
          <w:lang w:val="en-US" w:eastAsia="en-US" w:bidi="ar-SA"/>
          <w:rFonts w:asciiTheme="majorHAnsi" w:cstheme="majorBidi" w:eastAsiaTheme="majorEastAsia" w:hAnsiTheme="majorHAnsi"/>
          <w:b/>
          <w:color w:themeColor="accent1"/>
          <w:sz w:val="24"/>
          <w:szCs w:val="24"/>
        </w:rPr>
        <w:t>38.4 Automaticity</w:t>
      </w:r>
    </w:p>
    <w:p>
      <w:pPr>
        <w:pStyle w:val="FirstParagraph"/>
      </w:pPr>
      <w:r>
        <w:rPr>
          <w:sz w:val="24"/>
          <w:szCs w:val="24"/>
          <w:lang w:val="en-US" w:eastAsia="en-US" w:bidi="ar-SA"/>
        </w:rPr>
        <w:t>Shares adjust with the Escalator automatically. No Council vote, no Party’s consent, and no further instrument intervenes between an escalator step and its revenue effect.</w:t>
      </w:r>
    </w:p>
    <w:bookmarkEnd w:id="228"/>
    <w:bookmarkStart w:id="229" w:name="the-cost-discipline-rule"/>
    <w:p>
      <w:pPr>
        <w:pStyle w:val="Heading3"/>
      </w:pPr>
      <w:r>
        <w:rPr>
          <w:lang w:val="en-US" w:eastAsia="en-US" w:bidi="ar-SA"/>
          <w:rFonts w:asciiTheme="majorHAnsi" w:cstheme="majorBidi" w:eastAsiaTheme="majorEastAsia" w:hAnsiTheme="majorHAnsi"/>
          <w:b/>
          <w:color w:themeColor="accent1"/>
          <w:sz w:val="24"/>
          <w:szCs w:val="24"/>
        </w:rPr>
        <w:t>38.5 The Cost-Discipline Rule</w:t>
      </w:r>
    </w:p>
    <w:p>
      <w:pPr>
        <w:pStyle w:val="FirstParagraph"/>
      </w:pPr>
      <w:r>
        <w:rPr>
          <w:sz w:val="24"/>
          <w:szCs w:val="24"/>
          <w:lang w:val="en-US" w:eastAsia="en-US" w:bidi="ar-SA"/>
        </w:rPr>
        <w:t>The Fund’s administrative cost ratio caps at 12 percent of gross revenue, audited annually. An overrun suspends discretionary administrative spending until the ratio restores.</w:t>
      </w:r>
    </w:p>
    <w:bookmarkEnd w:id="229"/>
    <w:bookmarkStart w:id="230" w:name="insurance-normalization"/>
    <w:p>
      <w:pPr>
        <w:pStyle w:val="Heading3"/>
      </w:pPr>
      <w:r>
        <w:rPr>
          <w:lang w:val="en-US" w:eastAsia="en-US" w:bidi="ar-SA"/>
          <w:rFonts w:asciiTheme="majorHAnsi" w:cstheme="majorBidi" w:eastAsiaTheme="majorEastAsia" w:hAnsiTheme="majorHAnsi"/>
          <w:b/>
          <w:color w:themeColor="accent1"/>
          <w:sz w:val="24"/>
          <w:szCs w:val="24"/>
        </w:rPr>
        <w:t>38.6 Insurance Normalization</w:t>
      </w:r>
    </w:p>
    <w:p>
      <w:pPr>
        <w:pStyle w:val="FirstParagraph"/>
      </w:pPr>
      <w:r>
        <w:rPr>
          <w:sz w:val="24"/>
          <w:szCs w:val="24"/>
          <w:lang w:val="en-US" w:eastAsia="en-US" w:bidi="ar-SA"/>
        </w:rPr>
        <w:t>The framework publishes the corridor performance record (transits, incidents, service standards, gate certificates) monthly in the form insurers require. War-risk premium normalization tracks the published record: the framework targets restoration of pre-2026 premium levels within 180 days of Gate G-2, and the Neutral Watch Office reports progress quarterly. The framework itself sets no premiums; it supplies the verified record on which markets move.</w:t>
      </w:r>
    </w:p>
    <w:bookmarkEnd w:id="230"/>
    <w:bookmarkEnd w:id="231"/>
    <w:bookmarkStart w:id="235" w:name="X639eae4b6b50a8405b4454e51e64ef6adda6beb"/>
    <w:p>
      <w:pPr>
        <w:pStyle w:val="Heading2"/>
      </w:pPr>
      <w:r>
        <w:rPr>
          <w:lang w:val="en-US" w:eastAsia="en-US" w:bidi="ar-SA"/>
          <w:rFonts w:asciiTheme="majorHAnsi" w:cstheme="majorBidi" w:eastAsiaTheme="majorEastAsia" w:hAnsiTheme="majorHAnsi"/>
          <w:b/>
          <w:color w:themeColor="accent1"/>
          <w:sz w:val="28"/>
          <w:szCs w:val="28"/>
        </w:rPr>
        <w:t>Article 39: Gate G-3: The Financial Integrity Audit</w:t>
      </w:r>
    </w:p>
    <w:bookmarkStart w:id="232" w:name="the-audit-3"/>
    <w:p>
      <w:pPr>
        <w:pStyle w:val="Heading3"/>
      </w:pPr>
      <w:r>
        <w:rPr>
          <w:lang w:val="en-US" w:eastAsia="en-US" w:bidi="ar-SA"/>
          <w:rFonts w:asciiTheme="majorHAnsi" w:cstheme="majorBidi" w:eastAsiaTheme="majorEastAsia" w:hAnsiTheme="majorHAnsi"/>
          <w:b/>
          <w:color w:themeColor="accent1"/>
          <w:sz w:val="24"/>
          <w:szCs w:val="24"/>
        </w:rPr>
        <w:t>39.1 The Audit</w:t>
      </w:r>
    </w:p>
    <w:p>
      <w:pPr>
        <w:pStyle w:val="FirstParagraph"/>
      </w:pPr>
      <w:r>
        <w:rPr>
          <w:sz w:val="24"/>
          <w:szCs w:val="24"/>
          <w:lang w:val="en-US" w:eastAsia="en-US" w:bidi="ar-SA"/>
        </w:rPr>
        <w:t>Upon 60 consecutive days of live Escrow operation, the Neutral Watch Office and the Neutral Administrator jointly audit: clean escrow reconciliation for the full period; zero direct-payment findings under Article 37.3; service records matching invoices at 100 percent; disbursement shares matching the published table at 100 percent; and the simulation-to-live conversion of Article 34.4 executed without alteration.</w:t>
      </w:r>
    </w:p>
    <w:bookmarkEnd w:id="232"/>
    <w:bookmarkStart w:id="233" w:name="certification-and-effect-2"/>
    <w:p>
      <w:pPr>
        <w:pStyle w:val="Heading3"/>
      </w:pPr>
      <w:r>
        <w:rPr>
          <w:lang w:val="en-US" w:eastAsia="en-US" w:bidi="ar-SA"/>
          <w:rFonts w:asciiTheme="majorHAnsi" w:cstheme="majorBidi" w:eastAsiaTheme="majorEastAsia" w:hAnsiTheme="majorHAnsi"/>
          <w:b/>
          <w:color w:themeColor="accent1"/>
          <w:sz w:val="24"/>
          <w:szCs w:val="24"/>
        </w:rPr>
        <w:t>39.2 Certification and Effect</w:t>
      </w:r>
    </w:p>
    <w:p>
      <w:pPr>
        <w:pStyle w:val="FirstParagraph"/>
      </w:pPr>
      <w:r>
        <w:rPr>
          <w:sz w:val="24"/>
          <w:szCs w:val="24"/>
          <w:lang w:val="en-US" w:eastAsia="en-US" w:bidi="ar-SA"/>
        </w:rPr>
        <w:t>The joint auditors publish the Gate G-3 certificate within 24 hours of the metrics standing satisfied, and Layer 4 opens at 00:00 UTC on the following day. On the same day, under the Reciprocity Map, the second sanctions-relief tranche of Table N.2 takes effect.</w:t>
      </w:r>
    </w:p>
    <w:bookmarkEnd w:id="233"/>
    <w:bookmarkStart w:id="234" w:name="failure-handling-3"/>
    <w:p>
      <w:pPr>
        <w:pStyle w:val="Heading3"/>
      </w:pPr>
      <w:r>
        <w:rPr>
          <w:lang w:val="en-US" w:eastAsia="en-US" w:bidi="ar-SA"/>
          <w:rFonts w:asciiTheme="majorHAnsi" w:cstheme="majorBidi" w:eastAsiaTheme="majorEastAsia" w:hAnsiTheme="majorHAnsi"/>
          <w:b/>
          <w:color w:themeColor="accent1"/>
          <w:sz w:val="24"/>
          <w:szCs w:val="24"/>
        </w:rPr>
        <w:t>39.3 Failure Handling</w:t>
      </w:r>
    </w:p>
    <w:p>
      <w:pPr>
        <w:pStyle w:val="FirstParagraph"/>
      </w:pPr>
      <w:r>
        <w:rPr>
          <w:sz w:val="24"/>
          <w:szCs w:val="24"/>
          <w:lang w:val="en-US" w:eastAsia="en-US" w:bidi="ar-SA"/>
        </w:rPr>
        <w:t>A metric standing unsatisfied repeats the audit every 30 days. A direct-payment finding suspends the implicated channel pending remediation, with the finding and the remediation published. The Nofade Guarantee holds every element in place.</w:t>
      </w:r>
    </w:p>
    <w:bookmarkEnd w:id="234"/>
    <w:bookmarkEnd w:id="235"/>
    <w:bookmarkEnd w:id="236"/>
    <w:bookmarkStart w:id="291" w:name="X09bc3fbbf285076fb0ba0dc79f3538ddc327d18"/>
    <w:p>
      <w:pPr>
        <w:pStyle w:val="Heading1"/>
      </w:pPr>
      <w:r>
        <w:rPr>
          <w:lang w:val="en-US" w:eastAsia="en-US" w:bidi="ar-SA"/>
          <w:rFonts w:asciiTheme="majorHAnsi" w:cstheme="majorBidi" w:eastAsiaTheme="majorEastAsia" w:hAnsiTheme="majorHAnsi"/>
          <w:b/>
          <w:color w:themeColor="accent1"/>
          <w:sz w:val="32"/>
          <w:szCs w:val="32"/>
        </w:rPr>
        <w:t>PART VI: LAYER 4: THE JOINT OVERSIGHT LAYER (DAYS 45 TO 105)</w:t>
      </w:r>
    </w:p>
    <w:bookmarkStart w:id="241" w:name="article-40-the-solh-council"/>
    <w:p>
      <w:pPr>
        <w:pStyle w:val="Heading2"/>
      </w:pPr>
      <w:r>
        <w:rPr>
          <w:lang w:val="en-US" w:eastAsia="en-US" w:bidi="ar-SA"/>
          <w:rFonts w:asciiTheme="majorHAnsi" w:cstheme="majorBidi" w:eastAsiaTheme="majorEastAsia" w:hAnsiTheme="majorHAnsi"/>
          <w:b/>
          <w:color w:themeColor="accent1"/>
          <w:sz w:val="28"/>
          <w:szCs w:val="28"/>
        </w:rPr>
        <w:t>Article 40: The Solh Council</w:t>
      </w:r>
    </w:p>
    <w:bookmarkStart w:id="237" w:name="composition-1"/>
    <w:p>
      <w:pPr>
        <w:pStyle w:val="Heading3"/>
      </w:pPr>
      <w:r>
        <w:rPr>
          <w:lang w:val="en-US" w:eastAsia="en-US" w:bidi="ar-SA"/>
          <w:rFonts w:asciiTheme="majorHAnsi" w:cstheme="majorBidi" w:eastAsiaTheme="majorEastAsia" w:hAnsiTheme="majorHAnsi"/>
          <w:b/>
          <w:color w:themeColor="accent1"/>
          <w:sz w:val="24"/>
          <w:szCs w:val="24"/>
        </w:rPr>
        <w:t>40.1 Composition</w:t>
      </w:r>
    </w:p>
    <w:p>
      <w:pPr>
        <w:pStyle w:val="FirstParagraph"/>
      </w:pPr>
      <w:r>
        <w:rPr>
          <w:sz w:val="24"/>
          <w:szCs w:val="24"/>
          <w:lang w:val="en-US" w:eastAsia="en-US" w:bidi="ar-SA"/>
        </w:rPr>
        <w:t>The Solh Council is the political organ of the Accord. It seats: two members from each Principal Party; one member from each acceding littoral state; one member from each Guarantor Party, holding the bounded role of Article 40.4; and the Neutral Administrator without vote. The Council chairs rotate quarterly among the littoral members, Iran chairing first.</w:t>
      </w:r>
    </w:p>
    <w:bookmarkEnd w:id="237"/>
    <w:bookmarkStart w:id="238" w:name="functions"/>
    <w:p>
      <w:pPr>
        <w:pStyle w:val="Heading3"/>
      </w:pPr>
      <w:r>
        <w:rPr>
          <w:lang w:val="en-US" w:eastAsia="en-US" w:bidi="ar-SA"/>
          <w:rFonts w:asciiTheme="majorHAnsi" w:cstheme="majorBidi" w:eastAsiaTheme="majorEastAsia" w:hAnsiTheme="majorHAnsi"/>
          <w:b/>
          <w:color w:themeColor="accent1"/>
          <w:sz w:val="24"/>
          <w:szCs w:val="24"/>
        </w:rPr>
        <w:t>40.2 Functions</w:t>
      </w:r>
    </w:p>
    <w:p>
      <w:pPr>
        <w:pStyle w:val="FirstParagraph"/>
      </w:pPr>
      <w:r>
        <w:rPr>
          <w:sz w:val="24"/>
          <w:szCs w:val="24"/>
          <w:lang w:val="en-US" w:eastAsia="en-US" w:bidi="ar-SA"/>
        </w:rPr>
        <w:t>The Council holds exactly seven functions: adoption of the annual budget; amendment of annexes under Article 53; addition of services to the Verified Services Catalog; confirmation of accession instruments; appointment of the standing officers of Article 41.3; resolution of disputes at the ladder rung of Article 46.3; and the Charter Conversion resolution of Article 49. The framework excludes every function beyond these seven, and the Council holds no operational authority over corridors, vessels, or verification.</w:t>
      </w:r>
    </w:p>
    <w:bookmarkEnd w:id="238"/>
    <w:bookmarkStart w:id="239" w:name="decision-rules"/>
    <w:p>
      <w:pPr>
        <w:pStyle w:val="Heading3"/>
      </w:pPr>
      <w:r>
        <w:rPr>
          <w:lang w:val="en-US" w:eastAsia="en-US" w:bidi="ar-SA"/>
          <w:rFonts w:asciiTheme="majorHAnsi" w:cstheme="majorBidi" w:eastAsiaTheme="majorEastAsia" w:hAnsiTheme="majorHAnsi"/>
          <w:b/>
          <w:color w:themeColor="accent1"/>
          <w:sz w:val="24"/>
          <w:szCs w:val="24"/>
        </w:rPr>
        <w:t>40.3 Decision Rules</w:t>
      </w:r>
    </w:p>
    <w:p>
      <w:pPr>
        <w:pStyle w:val="FirstParagraph"/>
      </w:pPr>
      <w:r>
        <w:rPr>
          <w:sz w:val="24"/>
          <w:szCs w:val="24"/>
          <w:lang w:val="en-US" w:eastAsia="en-US" w:bidi="ar-SA"/>
        </w:rPr>
        <w:t>The Council decides by three rules. Procedural questions pass by simple majority of voting members present. Budgetary and annex questions pass by Consensus Minus One: the affirmative vote of every littoral member with not more than one littoral member dissenting. Protected-core questions under Article 53.3 pass by unanimity of the Principal Parties and the Guarantor Parties. No member holds a veto over a certification, an escalator step, a gate opening, or any other automatic mechanism of this Accord.</w:t>
      </w:r>
    </w:p>
    <w:bookmarkEnd w:id="239"/>
    <w:bookmarkStart w:id="240" w:name="the-bounded-guarantor-role"/>
    <w:p>
      <w:pPr>
        <w:pStyle w:val="Heading3"/>
      </w:pPr>
      <w:r>
        <w:rPr>
          <w:lang w:val="en-US" w:eastAsia="en-US" w:bidi="ar-SA"/>
          <w:rFonts w:asciiTheme="majorHAnsi" w:cstheme="majorBidi" w:eastAsiaTheme="majorEastAsia" w:hAnsiTheme="majorHAnsi"/>
          <w:b/>
          <w:color w:themeColor="accent1"/>
          <w:sz w:val="24"/>
          <w:szCs w:val="24"/>
        </w:rPr>
        <w:t>40.4 The Bounded Guarantor Role</w:t>
      </w:r>
    </w:p>
    <w:p>
      <w:pPr>
        <w:pStyle w:val="FirstParagraph"/>
      </w:pPr>
      <w:r>
        <w:rPr>
          <w:sz w:val="24"/>
          <w:szCs w:val="24"/>
          <w:lang w:val="en-US" w:eastAsia="en-US" w:bidi="ar-SA"/>
        </w:rPr>
        <w:t>Guarantor members participate in protected-core votes, budget adoption, and dispute resolution, and hold no vote on annex amendments, service listings, or appointments. No external state commands any element of this framework; this rule holds Red Line RL-14 and bounds every Guarantor function in every article.</w:t>
      </w:r>
    </w:p>
    <w:bookmarkEnd w:id="240"/>
    <w:bookmarkEnd w:id="241"/>
    <w:bookmarkStart w:id="247" w:name="Xf821e2097ca8dd4b3f2da79db4596bedf81acbb"/>
    <w:p>
      <w:pPr>
        <w:pStyle w:val="Heading2"/>
      </w:pPr>
      <w:r>
        <w:rPr>
          <w:lang w:val="en-US" w:eastAsia="en-US" w:bidi="ar-SA"/>
          <w:rFonts w:asciiTheme="majorHAnsi" w:cstheme="majorBidi" w:eastAsiaTheme="majorEastAsia" w:hAnsiTheme="majorHAnsi"/>
          <w:b/>
          <w:color w:themeColor="accent1"/>
          <w:sz w:val="28"/>
          <w:szCs w:val="28"/>
        </w:rPr>
        <w:t>Article 41: The Tadriji Coordination Center and the Darya Mirror Facility</w:t>
      </w:r>
    </w:p>
    <w:bookmarkStart w:id="242" w:name="the-center"/>
    <w:p>
      <w:pPr>
        <w:pStyle w:val="Heading3"/>
      </w:pPr>
      <w:r>
        <w:rPr>
          <w:lang w:val="en-US" w:eastAsia="en-US" w:bidi="ar-SA"/>
          <w:rFonts w:asciiTheme="majorHAnsi" w:cstheme="majorBidi" w:eastAsiaTheme="majorEastAsia" w:hAnsiTheme="majorHAnsi"/>
          <w:b/>
          <w:color w:themeColor="accent1"/>
          <w:sz w:val="24"/>
          <w:szCs w:val="24"/>
        </w:rPr>
        <w:t>41.1 The Center</w:t>
      </w:r>
    </w:p>
    <w:p>
      <w:pPr>
        <w:pStyle w:val="FirstParagraph"/>
      </w:pPr>
      <w:r>
        <w:rPr>
          <w:sz w:val="24"/>
          <w:szCs w:val="24"/>
          <w:lang w:val="en-US" w:eastAsia="en-US" w:bidi="ar-SA"/>
        </w:rPr>
        <w:t>The Tadriji Coordination Center in Muscat is the operational heart of the Accord. It houses the permanent watch floor, the Transit Desk, the Meridian Data Exchange primary server, the MRT-H operations cell, and the Secretariat. The Darya Mirror Facility in Bandar Abbas holds identical rank, an identical watch floor, the mirror server, and the liaison station network, and exercises every Center function in parallel. Every decision the Center records, the Mirror records simultaneously; either facility operates the entire framework alone during any outage of the other.</w:t>
      </w:r>
    </w:p>
    <w:bookmarkEnd w:id="242"/>
    <w:bookmarkStart w:id="243" w:name="the-watch-floor"/>
    <w:p>
      <w:pPr>
        <w:pStyle w:val="Heading3"/>
      </w:pPr>
      <w:r>
        <w:rPr>
          <w:lang w:val="en-US" w:eastAsia="en-US" w:bidi="ar-SA"/>
          <w:rFonts w:asciiTheme="majorHAnsi" w:cstheme="majorBidi" w:eastAsiaTheme="majorEastAsia" w:hAnsiTheme="majorHAnsi"/>
          <w:b/>
          <w:color w:themeColor="accent1"/>
          <w:sz w:val="24"/>
          <w:szCs w:val="24"/>
        </w:rPr>
        <w:t>41.2 The Watch Floor</w:t>
      </w:r>
    </w:p>
    <w:p>
      <w:pPr>
        <w:pStyle w:val="FirstParagraph"/>
      </w:pPr>
      <w:r>
        <w:rPr>
          <w:sz w:val="24"/>
          <w:szCs w:val="24"/>
          <w:lang w:val="en-US" w:eastAsia="en-US" w:bidi="ar-SA"/>
        </w:rPr>
        <w:t>The permanent watch floor staffs continuously: one duty officer from each Principal Party, one Neutral Watch Office observer, and the systems operators, on a three-shift rotation. The watch floor operates the Common Operating Picture, the corridor working channels, the hotline network, the Bulletin, and the incident ladder’s rung two.</w:t>
      </w:r>
    </w:p>
    <w:bookmarkEnd w:id="243"/>
    <w:bookmarkStart w:id="244" w:name="standing-officers"/>
    <w:p>
      <w:pPr>
        <w:pStyle w:val="Heading3"/>
      </w:pPr>
      <w:r>
        <w:rPr>
          <w:lang w:val="en-US" w:eastAsia="en-US" w:bidi="ar-SA"/>
          <w:rFonts w:asciiTheme="majorHAnsi" w:cstheme="majorBidi" w:eastAsiaTheme="majorEastAsia" w:hAnsiTheme="majorHAnsi"/>
          <w:b/>
          <w:color w:themeColor="accent1"/>
          <w:sz w:val="24"/>
          <w:szCs w:val="24"/>
        </w:rPr>
        <w:t>41.3 Standing Officers</w:t>
      </w:r>
    </w:p>
    <w:p>
      <w:pPr>
        <w:pStyle w:val="FirstParagraph"/>
      </w:pPr>
      <w:r>
        <w:rPr>
          <w:sz w:val="24"/>
          <w:szCs w:val="24"/>
          <w:lang w:val="en-US" w:eastAsia="en-US" w:bidi="ar-SA"/>
        </w:rPr>
        <w:t>The Council appoints four standing officers for three-year terms: the Center Director (Omani nominee first), the Mirror Director (Iranian nominee first), the Transit Desk Chief (alternating nomination, Iranian nominee first), and the Secretariat Head (Neutral Administrator’s nominee). A standing officer serves the framework, holds no national instruction on framework matters, and swears the framework oath of Annex L.6.</w:t>
      </w:r>
    </w:p>
    <w:bookmarkEnd w:id="244"/>
    <w:bookmarkStart w:id="245" w:name="the-secretariat"/>
    <w:p>
      <w:pPr>
        <w:pStyle w:val="Heading3"/>
      </w:pPr>
      <w:r>
        <w:rPr>
          <w:lang w:val="en-US" w:eastAsia="en-US" w:bidi="ar-SA"/>
          <w:rFonts w:asciiTheme="majorHAnsi" w:cstheme="majorBidi" w:eastAsiaTheme="majorEastAsia" w:hAnsiTheme="majorHAnsi"/>
          <w:b/>
          <w:color w:themeColor="accent1"/>
          <w:sz w:val="24"/>
          <w:szCs w:val="24"/>
        </w:rPr>
        <w:t>41.4 The Secretariat</w:t>
      </w:r>
    </w:p>
    <w:p>
      <w:pPr>
        <w:pStyle w:val="FirstParagraph"/>
      </w:pPr>
      <w:r>
        <w:rPr>
          <w:sz w:val="24"/>
          <w:szCs w:val="24"/>
          <w:lang w:val="en-US" w:eastAsia="en-US" w:bidi="ar-SA"/>
        </w:rPr>
        <w:t>The Secretariat maintains the registers, the Reciprocity Ledger, the Exercise Logbook archive, the meeting records, and the publication schedule. It numbers not more than 24 staff at steady state, drawn from the littoral states and the Neutral Administrator’s service in balanced proportions.</w:t>
      </w:r>
    </w:p>
    <w:bookmarkEnd w:id="245"/>
    <w:bookmarkStart w:id="246" w:name="the-imo-liaison"/>
    <w:p>
      <w:pPr>
        <w:pStyle w:val="Heading3"/>
      </w:pPr>
      <w:r>
        <w:t xml:space="preserve">41.5 The IMO Liaison</w:t>
      </w:r>
    </w:p>
    <w:p>
      <w:pPr>
        <w:pStyle w:val="FirstParagraph"/>
      </w:pPr>
      <w:r>
        <w:t xml:space="preserve">The International Maritime Organization liaison office at the Center receives every corridor definition, traffic separation adjustment, safety standard, and certification this Accord produces, and transmits the Organization’s technical observations to the Technical and Standards Committee. The liaison’s observations enter the public record unanswered by no one: the Committee responds to every observation within 60 days, in writing, in the Bulletin.</w:t>
      </w:r>
    </w:p>
    <w:bookmarkEnd w:id="246"/>
    <w:bookmarkEnd w:id="247"/>
    <w:bookmarkStart w:id="253" w:name="article-42-the-neutral-watch-office"/>
    <w:p>
      <w:pPr>
        <w:pStyle w:val="Heading2"/>
      </w:pPr>
      <w:r>
        <w:t xml:space="preserve">Article 42: The Neutral Watch Office</w:t>
      </w:r>
    </w:p>
    <w:bookmarkStart w:id="248" w:name="mandate"/>
    <w:p>
      <w:pPr>
        <w:pStyle w:val="Heading3"/>
      </w:pPr>
      <w:r>
        <w:t xml:space="preserve">42.1 Mandate</w:t>
      </w:r>
    </w:p>
    <w:p>
      <w:pPr>
        <w:pStyle w:val="FirstParagraph"/>
      </w:pPr>
      <w:r>
        <w:t xml:space="preserve">The Neutral Watch Office is the verification organ of the Accord. It computes every gate metric, every Clean Week, every escalator increment, every equal-treatment audit, and every compliance standing, from the published record and its own observation, and it publishes every determination in full. It seats at the Center with the read-only terminal of Article 18.1, staffs the integrity watch, and observes every institution. The Swiss Confederation provides its Director and core staff; littoral states second observers in balanced numbers.</w:t>
      </w:r>
    </w:p>
    <w:bookmarkEnd w:id="248"/>
    <w:bookmarkStart w:id="249" w:name="the-human-anchor-method"/>
    <w:p>
      <w:pPr>
        <w:pStyle w:val="Heading3"/>
      </w:pPr>
      <w:r>
        <w:t xml:space="preserve">42.2 The Human Anchor Method</w:t>
      </w:r>
    </w:p>
    <w:p>
      <w:pPr>
        <w:pStyle w:val="FirstParagraph"/>
      </w:pPr>
      <w:r>
        <w:t xml:space="preserve">Every verification determination rests on the Human Anchor Method: trained human observers confirm the machine record at the point of event (watch-floor observers for corridor events, boarding-free remote observation for vessel events, sector observers for survey events), and no determination rests on machine data alone or human report alone.</w:t>
      </w:r>
    </w:p>
    <w:bookmarkEnd w:id="249"/>
    <w:bookmarkStart w:id="250" w:name="the-convergence-standard"/>
    <w:p>
      <w:pPr>
        <w:pStyle w:val="Heading3"/>
      </w:pPr>
      <w:r>
        <w:t xml:space="preserve">42.3 The Convergence Standard</w:t>
      </w:r>
    </w:p>
    <w:p>
      <w:pPr>
        <w:pStyle w:val="FirstParagraph"/>
      </w:pPr>
      <w:r>
        <w:t xml:space="preserve">No finding of fact rests on a single input. Every finding converges at least two independent inputs (AIS plus radar, observer plus log, national record plus Exchange record), and a finding states its inputs on its face. This standard holds Red Line RL-11.</w:t>
      </w:r>
    </w:p>
    <w:bookmarkEnd w:id="250"/>
    <w:bookmarkStart w:id="251" w:name="publication-discipline"/>
    <w:p>
      <w:pPr>
        <w:pStyle w:val="Heading3"/>
      </w:pPr>
      <w:r>
        <w:rPr>
          <w:lang w:val="en-US" w:eastAsia="en-US" w:bidi="ar-SA"/>
          <w:rFonts w:asciiTheme="majorHAnsi" w:cstheme="majorBidi" w:eastAsiaTheme="majorEastAsia" w:hAnsiTheme="majorHAnsi"/>
          <w:b/>
          <w:color w:themeColor="accent1"/>
          <w:sz w:val="24"/>
          <w:szCs w:val="24"/>
        </w:rPr>
        <w:t>42.4 Publication Discipline</w:t>
      </w:r>
    </w:p>
    <w:p>
      <w:pPr>
        <w:pStyle w:val="FirstParagraph"/>
      </w:pPr>
      <w:r>
        <w:rPr>
          <w:sz w:val="24"/>
          <w:szCs w:val="24"/>
          <w:lang w:val="en-US" w:eastAsia="en-US" w:bidi="ar-SA"/>
        </w:rPr>
        <w:t>The Office publishes every determination within 24 hours of the underlying period’s close, in the Bulletin and the Reciprocity Ledger, with the full supporting record attached. A determination speaks only fact: it names events, measurements, and classifications, and it never names fault beyond the classification the schedule assigns.</w:t>
      </w:r>
    </w:p>
    <w:bookmarkEnd w:id="251"/>
    <w:bookmarkStart w:id="252" w:name="the-integrity-cell"/>
    <w:p>
      <w:pPr>
        <w:pStyle w:val="Heading3"/>
      </w:pPr>
      <w:r>
        <w:rPr>
          <w:lang w:val="en-US" w:eastAsia="en-US" w:bidi="ar-SA"/>
          <w:rFonts w:asciiTheme="majorHAnsi" w:cstheme="majorBidi" w:eastAsiaTheme="majorEastAsia" w:hAnsiTheme="majorHAnsi"/>
          <w:b/>
          <w:color w:themeColor="accent1"/>
          <w:sz w:val="24"/>
          <w:szCs w:val="24"/>
        </w:rPr>
        <w:t>42.5 The Integrity Cell</w:t>
      </w:r>
    </w:p>
    <w:p>
      <w:pPr>
        <w:pStyle w:val="FirstParagraph"/>
      </w:pPr>
      <w:r>
        <w:rPr>
          <w:sz w:val="24"/>
          <w:szCs w:val="24"/>
          <w:lang w:val="en-US" w:eastAsia="en-US" w:bidi="ar-SA"/>
        </w:rPr>
        <w:t>The Integrity Cell within the Office conducts the weekly integrity probes of Annex D.6: access-log audits, parity forensics, feed-tampering tests, and unannounced observation cross-checks. Its findings publish in full.</w:t>
      </w:r>
    </w:p>
    <w:bookmarkEnd w:id="252"/>
    <w:bookmarkEnd w:id="253"/>
    <w:bookmarkStart w:id="262" w:name="article-43-the-graduated-trust-escalator"/>
    <w:p>
      <w:pPr>
        <w:pStyle w:val="Heading2"/>
      </w:pPr>
      <w:r>
        <w:rPr>
          <w:lang w:val="en-US" w:eastAsia="en-US" w:bidi="ar-SA"/>
          <w:rFonts w:asciiTheme="majorHAnsi" w:cstheme="majorBidi" w:eastAsiaTheme="majorEastAsia" w:hAnsiTheme="majorHAnsi"/>
          <w:b/>
          <w:color w:themeColor="accent1"/>
          <w:sz w:val="28"/>
          <w:szCs w:val="28"/>
        </w:rPr>
        <w:t>Article 43: The Graduated Trust Escalator</w:t>
      </w:r>
    </w:p>
    <w:bookmarkStart w:id="254" w:name="the-core-rule"/>
    <w:p>
      <w:pPr>
        <w:pStyle w:val="Heading3"/>
      </w:pPr>
      <w:r>
        <w:rPr>
          <w:lang w:val="en-US" w:eastAsia="en-US" w:bidi="ar-SA"/>
          <w:rFonts w:asciiTheme="majorHAnsi" w:cstheme="majorBidi" w:eastAsiaTheme="majorEastAsia" w:hAnsiTheme="majorHAnsi"/>
          <w:b/>
          <w:color w:themeColor="accent1"/>
          <w:sz w:val="24"/>
          <w:szCs w:val="24"/>
        </w:rPr>
        <w:t>43.1 The Core Rule</w:t>
      </w:r>
    </w:p>
    <w:p>
      <w:pPr>
        <w:pStyle w:val="FirstParagraph"/>
      </w:pPr>
      <w:r>
        <w:rPr>
          <w:sz w:val="24"/>
          <w:szCs w:val="24"/>
          <w:lang w:val="en-US" w:eastAsia="en-US" w:bidi="ar-SA"/>
        </w:rPr>
        <w:t>For each Clean Week that the Neutral Watch Office verifies, Iran’s Trust Level increases by ten percentage points. The Escalator begins at 33 percent, rises in steps of ten, and caps at 100 percent. Seven consecutive Clean Weeks produce Full Unlock. The Escalator operates automatically: verification of a Clean Week applies the increment without any Council vote, any Party’s consent, or any further instrument.</w:t>
      </w:r>
    </w:p>
    <w:bookmarkEnd w:id="254"/>
    <w:bookmarkStart w:id="255" w:name="the-clean-week"/>
    <w:p>
      <w:pPr>
        <w:pStyle w:val="Heading3"/>
      </w:pPr>
      <w:r>
        <w:rPr>
          <w:lang w:val="en-US" w:eastAsia="en-US" w:bidi="ar-SA"/>
          <w:rFonts w:asciiTheme="majorHAnsi" w:cstheme="majorBidi" w:eastAsiaTheme="majorEastAsia" w:hAnsiTheme="majorHAnsi"/>
          <w:b/>
          <w:color w:themeColor="accent1"/>
          <w:sz w:val="24"/>
          <w:szCs w:val="24"/>
        </w:rPr>
        <w:t>43.2 The Clean Week</w:t>
      </w:r>
    </w:p>
    <w:p>
      <w:pPr>
        <w:pStyle w:val="FirstParagraph"/>
      </w:pPr>
      <w:r>
        <w:rPr>
          <w:sz w:val="24"/>
          <w:szCs w:val="24"/>
          <w:lang w:val="en-US" w:eastAsia="en-US" w:bidi="ar-SA"/>
        </w:rPr>
        <w:t>A Clean Week is a Verification Period of seven days in which the record shows: zero events classified E-2 or higher under Annex E; zero unresolved Level-2 incidents; corridor service standards met at 95 percent; and complete data parity. The Neutral Watch Office determines each Clean Week within twelve hours of the period’s close, under the Clean Week Verification Standard of Annex D.3.</w:t>
      </w:r>
    </w:p>
    <w:bookmarkEnd w:id="255"/>
    <w:bookmarkStart w:id="256" w:name="the-verification-clock"/>
    <w:p>
      <w:pPr>
        <w:pStyle w:val="Heading3"/>
      </w:pPr>
      <w:r>
        <w:rPr>
          <w:lang w:val="en-US" w:eastAsia="en-US" w:bidi="ar-SA"/>
          <w:rFonts w:asciiTheme="majorHAnsi" w:cstheme="majorBidi" w:eastAsiaTheme="majorEastAsia" w:hAnsiTheme="majorHAnsi"/>
          <w:b/>
          <w:color w:themeColor="accent1"/>
          <w:sz w:val="24"/>
          <w:szCs w:val="24"/>
        </w:rPr>
        <w:t>43.3 The Verification Clock</w:t>
      </w:r>
    </w:p>
    <w:p>
      <w:pPr>
        <w:pStyle w:val="FirstParagraph"/>
      </w:pPr>
      <w:r>
        <w:rPr>
          <w:sz w:val="24"/>
          <w:szCs w:val="24"/>
          <w:lang w:val="en-US" w:eastAsia="en-US" w:bidi="ar-SA"/>
        </w:rPr>
        <w:t>The first Verification Period opens at 00:00 UTC on the day Gate G-2 certifies. Subsequent periods run consecutively, each opening seven days after the previous period opened.</w:t>
      </w:r>
    </w:p>
    <w:bookmarkEnd w:id="256"/>
    <w:bookmarkStart w:id="257" w:name="the-escalator-ladder"/>
    <w:p>
      <w:pPr>
        <w:pStyle w:val="Heading3"/>
      </w:pPr>
      <w:r>
        <w:rPr>
          <w:lang w:val="en-US" w:eastAsia="en-US" w:bidi="ar-SA"/>
          <w:rFonts w:asciiTheme="majorHAnsi" w:cstheme="majorBidi" w:eastAsiaTheme="majorEastAsia" w:hAnsiTheme="majorHAnsi"/>
          <w:b/>
          <w:color w:themeColor="accent1"/>
          <w:sz w:val="24"/>
          <w:szCs w:val="24"/>
        </w:rPr>
        <w:t>43.4 The Escalator Ladder</w:t>
      </w:r>
    </w:p>
    <w:tbl>
      <w:tblPr>
        <w:tblStyle w:val="Table"/>
        <w:tblW w:type="auto" w:w="0"/>
        <w:tblLook w:firstRow="1" w:lastRow="0" w:firstColumn="0" w:lastColumn="0" w:noHBand="0" w:noVBand="0" w:val="0020"/>
      </w:tblPr>
      <w:tblGrid>
        <w:gridCol w:w="2640"/>
        <w:gridCol w:w="2640"/>
        <w:gridCol w:w="2640"/>
      </w:tblGrid>
      <w:tr>
        <w:trPr>
          <w:tblHeader w:val="1"/>
        </w:trPr>
        <w:tc>
          <w:tcPr>
            <w:tcW w:w="2640" w:type="dxa"/>
          </w:tcPr>
          <w:p>
            <w:pPr>
              <w:pStyle w:val="Compact"/>
              <w:jc w:val="left"/>
            </w:pPr>
            <w:r>
              <w:rPr>
                <w:sz w:val="24"/>
                <w:szCs w:val="24"/>
                <w:lang w:val="en-US" w:eastAsia="en-US" w:bidi="ar-SA"/>
              </w:rPr>
              <w:t>Milestone</w:t>
            </w:r>
          </w:p>
        </w:tc>
        <w:tc>
          <w:tcPr>
            <w:tcW w:w="2640" w:type="dxa"/>
          </w:tcPr>
          <w:p>
            <w:pPr>
              <w:pStyle w:val="Compact"/>
              <w:jc w:val="left"/>
            </w:pPr>
            <w:r>
              <w:rPr>
                <w:sz w:val="24"/>
                <w:szCs w:val="24"/>
                <w:lang w:val="en-US" w:eastAsia="en-US" w:bidi="ar-SA"/>
              </w:rPr>
              <w:t>Trust Level</w:t>
            </w:r>
          </w:p>
        </w:tc>
        <w:tc>
          <w:tcPr>
            <w:tcW w:w="2640" w:type="dxa"/>
          </w:tcPr>
          <w:p>
            <w:pPr>
              <w:pStyle w:val="Compact"/>
              <w:jc w:val="left"/>
            </w:pPr>
            <w:r>
              <w:rPr>
                <w:sz w:val="24"/>
                <w:szCs w:val="24"/>
                <w:lang w:val="en-US" w:eastAsia="en-US" w:bidi="ar-SA"/>
              </w:rPr>
              <w:t>Condition</w:t>
            </w:r>
          </w:p>
        </w:tc>
      </w:tr>
      <w:tr>
        <w:tc>
          <w:tcPr>
            <w:tcW w:w="2640" w:type="dxa"/>
          </w:tcPr>
          <w:p>
            <w:pPr>
              <w:pStyle w:val="Compact"/>
              <w:jc w:val="left"/>
            </w:pPr>
            <w:r>
              <w:rPr>
                <w:sz w:val="24"/>
                <w:szCs w:val="24"/>
                <w:lang w:val="en-US" w:eastAsia="en-US" w:bidi="ar-SA"/>
              </w:rPr>
              <w:t>Baseline</w:t>
            </w:r>
          </w:p>
        </w:tc>
        <w:tc>
          <w:tcPr>
            <w:tcW w:w="2640" w:type="dxa"/>
          </w:tcPr>
          <w:p>
            <w:pPr>
              <w:pStyle w:val="Compact"/>
              <w:jc w:val="left"/>
            </w:pPr>
            <w:r>
              <w:rPr>
                <w:sz w:val="24"/>
                <w:szCs w:val="24"/>
                <w:lang w:val="en-US" w:eastAsia="en-US" w:bidi="ar-SA"/>
              </w:rPr>
              <w:t>33 percent</w:t>
            </w:r>
          </w:p>
        </w:tc>
        <w:tc>
          <w:tcPr>
            <w:tcW w:w="2640" w:type="dxa"/>
          </w:tcPr>
          <w:p>
            <w:pPr>
              <w:pStyle w:val="Compact"/>
              <w:jc w:val="left"/>
            </w:pPr>
            <w:r>
              <w:rPr>
                <w:sz w:val="24"/>
                <w:szCs w:val="24"/>
                <w:lang w:val="en-US" w:eastAsia="en-US" w:bidi="ar-SA"/>
              </w:rPr>
              <w:t>Gate G-2 certification</w:t>
            </w:r>
          </w:p>
        </w:tc>
      </w:tr>
      <w:tr>
        <w:tc>
          <w:tcPr>
            <w:tcW w:w="2640" w:type="dxa"/>
          </w:tcPr>
          <w:p>
            <w:pPr>
              <w:pStyle w:val="Compact"/>
              <w:jc w:val="left"/>
            </w:pPr>
            <w:r>
              <w:rPr>
                <w:sz w:val="24"/>
                <w:szCs w:val="24"/>
                <w:lang w:val="en-US" w:eastAsia="en-US" w:bidi="ar-SA"/>
              </w:rPr>
              <w:t>Step One</w:t>
            </w:r>
          </w:p>
        </w:tc>
        <w:tc>
          <w:tcPr>
            <w:tcW w:w="2640" w:type="dxa"/>
          </w:tcPr>
          <w:p>
            <w:pPr>
              <w:pStyle w:val="Compact"/>
              <w:jc w:val="left"/>
            </w:pPr>
            <w:r>
              <w:rPr>
                <w:sz w:val="24"/>
                <w:szCs w:val="24"/>
                <w:lang w:val="en-US" w:eastAsia="en-US" w:bidi="ar-SA"/>
              </w:rPr>
              <w:t>43 percent</w:t>
            </w:r>
          </w:p>
        </w:tc>
        <w:tc>
          <w:tcPr>
            <w:tcW w:w="2640" w:type="dxa"/>
          </w:tcPr>
          <w:p>
            <w:pPr>
              <w:pStyle w:val="Compact"/>
              <w:jc w:val="left"/>
            </w:pPr>
            <w:r>
              <w:rPr>
                <w:sz w:val="24"/>
                <w:szCs w:val="24"/>
                <w:lang w:val="en-US" w:eastAsia="en-US" w:bidi="ar-SA"/>
              </w:rPr>
              <w:t>One Clean Week</w:t>
            </w:r>
          </w:p>
        </w:tc>
      </w:tr>
      <w:tr>
        <w:tc>
          <w:tcPr>
            <w:tcW w:w="2640" w:type="dxa"/>
          </w:tcPr>
          <w:p>
            <w:pPr>
              <w:pStyle w:val="Compact"/>
              <w:jc w:val="left"/>
            </w:pPr>
            <w:r>
              <w:rPr>
                <w:sz w:val="24"/>
                <w:szCs w:val="24"/>
                <w:lang w:val="en-US" w:eastAsia="en-US" w:bidi="ar-SA"/>
              </w:rPr>
              <w:t>Step Two</w:t>
            </w:r>
          </w:p>
        </w:tc>
        <w:tc>
          <w:tcPr>
            <w:tcW w:w="2640" w:type="dxa"/>
          </w:tcPr>
          <w:p>
            <w:pPr>
              <w:pStyle w:val="Compact"/>
              <w:jc w:val="left"/>
            </w:pPr>
            <w:r>
              <w:rPr>
                <w:sz w:val="24"/>
                <w:szCs w:val="24"/>
                <w:lang w:val="en-US" w:eastAsia="en-US" w:bidi="ar-SA"/>
              </w:rPr>
              <w:t>53 percent</w:t>
            </w:r>
          </w:p>
        </w:tc>
        <w:tc>
          <w:tcPr>
            <w:tcW w:w="2640" w:type="dxa"/>
          </w:tcPr>
          <w:p>
            <w:pPr>
              <w:pStyle w:val="Compact"/>
              <w:jc w:val="left"/>
            </w:pPr>
            <w:r>
              <w:rPr>
                <w:sz w:val="24"/>
                <w:szCs w:val="24"/>
                <w:lang w:val="en-US" w:eastAsia="en-US" w:bidi="ar-SA"/>
              </w:rPr>
              <w:t>Two Clean Weeks</w:t>
            </w:r>
          </w:p>
        </w:tc>
      </w:tr>
      <w:tr>
        <w:tc>
          <w:tcPr>
            <w:tcW w:w="2640" w:type="dxa"/>
          </w:tcPr>
          <w:p>
            <w:pPr>
              <w:pStyle w:val="Compact"/>
              <w:jc w:val="left"/>
            </w:pPr>
            <w:r>
              <w:rPr>
                <w:sz w:val="24"/>
                <w:szCs w:val="24"/>
                <w:lang w:val="en-US" w:eastAsia="en-US" w:bidi="ar-SA"/>
              </w:rPr>
              <w:t>Step Three</w:t>
            </w:r>
          </w:p>
        </w:tc>
        <w:tc>
          <w:tcPr>
            <w:tcW w:w="2640" w:type="dxa"/>
          </w:tcPr>
          <w:p>
            <w:pPr>
              <w:pStyle w:val="Compact"/>
              <w:jc w:val="left"/>
            </w:pPr>
            <w:r>
              <w:rPr>
                <w:sz w:val="24"/>
                <w:szCs w:val="24"/>
                <w:lang w:val="en-US" w:eastAsia="en-US" w:bidi="ar-SA"/>
              </w:rPr>
              <w:t>63 percent</w:t>
            </w:r>
          </w:p>
        </w:tc>
        <w:tc>
          <w:tcPr>
            <w:tcW w:w="2640" w:type="dxa"/>
          </w:tcPr>
          <w:p>
            <w:pPr>
              <w:pStyle w:val="Compact"/>
              <w:jc w:val="left"/>
            </w:pPr>
            <w:r>
              <w:rPr>
                <w:sz w:val="24"/>
                <w:szCs w:val="24"/>
                <w:lang w:val="en-US" w:eastAsia="en-US" w:bidi="ar-SA"/>
              </w:rPr>
              <w:t>Three Clean Weeks</w:t>
            </w:r>
          </w:p>
        </w:tc>
      </w:tr>
      <w:tr>
        <w:tc>
          <w:tcPr>
            <w:tcW w:w="2640" w:type="dxa"/>
          </w:tcPr>
          <w:p>
            <w:pPr>
              <w:pStyle w:val="Compact"/>
              <w:jc w:val="left"/>
            </w:pPr>
            <w:r>
              <w:rPr>
                <w:sz w:val="24"/>
                <w:szCs w:val="24"/>
                <w:lang w:val="en-US" w:eastAsia="en-US" w:bidi="ar-SA"/>
              </w:rPr>
              <w:t>Step Four</w:t>
            </w:r>
          </w:p>
        </w:tc>
        <w:tc>
          <w:tcPr>
            <w:tcW w:w="2640" w:type="dxa"/>
          </w:tcPr>
          <w:p>
            <w:pPr>
              <w:pStyle w:val="Compact"/>
              <w:jc w:val="left"/>
            </w:pPr>
            <w:r>
              <w:rPr>
                <w:sz w:val="24"/>
                <w:szCs w:val="24"/>
                <w:lang w:val="en-US" w:eastAsia="en-US" w:bidi="ar-SA"/>
              </w:rPr>
              <w:t>73 percent</w:t>
            </w:r>
          </w:p>
        </w:tc>
        <w:tc>
          <w:tcPr>
            <w:tcW w:w="2640" w:type="dxa"/>
          </w:tcPr>
          <w:p>
            <w:pPr>
              <w:pStyle w:val="Compact"/>
              <w:jc w:val="left"/>
            </w:pPr>
            <w:r>
              <w:rPr>
                <w:sz w:val="24"/>
                <w:szCs w:val="24"/>
                <w:lang w:val="en-US" w:eastAsia="en-US" w:bidi="ar-SA"/>
              </w:rPr>
              <w:t>Four Clean Weeks</w:t>
            </w:r>
          </w:p>
        </w:tc>
      </w:tr>
      <w:tr>
        <w:tc>
          <w:tcPr>
            <w:tcW w:w="2640" w:type="dxa"/>
          </w:tcPr>
          <w:p>
            <w:pPr>
              <w:pStyle w:val="Compact"/>
              <w:jc w:val="left"/>
            </w:pPr>
            <w:r>
              <w:rPr>
                <w:sz w:val="24"/>
                <w:szCs w:val="24"/>
                <w:lang w:val="en-US" w:eastAsia="en-US" w:bidi="ar-SA"/>
              </w:rPr>
              <w:t>Step Five</w:t>
            </w:r>
          </w:p>
        </w:tc>
        <w:tc>
          <w:tcPr>
            <w:tcW w:w="2640" w:type="dxa"/>
          </w:tcPr>
          <w:p>
            <w:pPr>
              <w:pStyle w:val="Compact"/>
              <w:jc w:val="left"/>
            </w:pPr>
            <w:r>
              <w:rPr>
                <w:sz w:val="24"/>
                <w:szCs w:val="24"/>
                <w:lang w:val="en-US" w:eastAsia="en-US" w:bidi="ar-SA"/>
              </w:rPr>
              <w:t>83 percent</w:t>
            </w:r>
          </w:p>
        </w:tc>
        <w:tc>
          <w:tcPr>
            <w:tcW w:w="2640" w:type="dxa"/>
          </w:tcPr>
          <w:p>
            <w:pPr>
              <w:pStyle w:val="Compact"/>
              <w:jc w:val="left"/>
            </w:pPr>
            <w:r>
              <w:rPr>
                <w:sz w:val="24"/>
                <w:szCs w:val="24"/>
                <w:lang w:val="en-US" w:eastAsia="en-US" w:bidi="ar-SA"/>
              </w:rPr>
              <w:t>Five Clean Weeks</w:t>
            </w:r>
          </w:p>
        </w:tc>
      </w:tr>
      <w:tr>
        <w:tc>
          <w:tcPr>
            <w:tcW w:w="2640" w:type="dxa"/>
          </w:tcPr>
          <w:p>
            <w:pPr>
              <w:pStyle w:val="Compact"/>
              <w:jc w:val="left"/>
            </w:pPr>
            <w:r>
              <w:rPr>
                <w:sz w:val="24"/>
                <w:szCs w:val="24"/>
                <w:lang w:val="en-US" w:eastAsia="en-US" w:bidi="ar-SA"/>
              </w:rPr>
              <w:t>Step Six</w:t>
            </w:r>
          </w:p>
        </w:tc>
        <w:tc>
          <w:tcPr>
            <w:tcW w:w="2640" w:type="dxa"/>
          </w:tcPr>
          <w:p>
            <w:pPr>
              <w:pStyle w:val="Compact"/>
              <w:jc w:val="left"/>
            </w:pPr>
            <w:r>
              <w:rPr>
                <w:sz w:val="24"/>
                <w:szCs w:val="24"/>
                <w:lang w:val="en-US" w:eastAsia="en-US" w:bidi="ar-SA"/>
              </w:rPr>
              <w:t>93 percent</w:t>
            </w:r>
          </w:p>
        </w:tc>
        <w:tc>
          <w:tcPr>
            <w:tcW w:w="2640" w:type="dxa"/>
          </w:tcPr>
          <w:p>
            <w:pPr>
              <w:pStyle w:val="Compact"/>
              <w:jc w:val="left"/>
            </w:pPr>
            <w:r>
              <w:rPr>
                <w:sz w:val="24"/>
                <w:szCs w:val="24"/>
                <w:lang w:val="en-US" w:eastAsia="en-US" w:bidi="ar-SA"/>
              </w:rPr>
              <w:t>Six Clean Weeks</w:t>
            </w:r>
          </w:p>
        </w:tc>
      </w:tr>
      <w:tr>
        <w:tc>
          <w:tcPr>
            <w:tcW w:w="2640" w:type="dxa"/>
          </w:tcPr>
          <w:p>
            <w:pPr>
              <w:pStyle w:val="Compact"/>
              <w:jc w:val="left"/>
            </w:pPr>
            <w:r>
              <w:rPr>
                <w:sz w:val="24"/>
                <w:szCs w:val="24"/>
                <w:lang w:val="en-US" w:eastAsia="en-US" w:bidi="ar-SA"/>
              </w:rPr>
              <w:t>Full Unlock</w:t>
            </w:r>
          </w:p>
        </w:tc>
        <w:tc>
          <w:tcPr>
            <w:tcW w:w="2640" w:type="dxa"/>
          </w:tcPr>
          <w:p>
            <w:pPr>
              <w:pStyle w:val="Compact"/>
              <w:jc w:val="left"/>
            </w:pPr>
            <w:r>
              <w:rPr>
                <w:sz w:val="24"/>
                <w:szCs w:val="24"/>
                <w:lang w:val="en-US" w:eastAsia="en-US" w:bidi="ar-SA"/>
              </w:rPr>
              <w:t>100 percent</w:t>
            </w:r>
          </w:p>
        </w:tc>
        <w:tc>
          <w:tcPr>
            <w:tcW w:w="2640" w:type="dxa"/>
          </w:tcPr>
          <w:p>
            <w:pPr>
              <w:pStyle w:val="Compact"/>
              <w:jc w:val="left"/>
            </w:pPr>
            <w:r>
              <w:rPr>
                <w:sz w:val="24"/>
                <w:szCs w:val="24"/>
                <w:lang w:val="en-US" w:eastAsia="en-US" w:bidi="ar-SA"/>
              </w:rPr>
              <w:t>Seven Clean Weeks</w:t>
            </w:r>
          </w:p>
        </w:tc>
      </w:tr>
    </w:tbl>
    <w:bookmarkEnd w:id="257"/>
    <w:bookmarkStart w:id="258" w:name="dimensions-of-control-weight"/>
    <w:p>
      <w:pPr>
        <w:pStyle w:val="Heading3"/>
      </w:pPr>
      <w:r>
        <w:rPr>
          <w:lang w:val="en-US" w:eastAsia="en-US" w:bidi="ar-SA"/>
          <w:rFonts w:asciiTheme="majorHAnsi" w:cstheme="majorBidi" w:eastAsiaTheme="majorEastAsia" w:hAnsiTheme="majorHAnsi"/>
          <w:b/>
          <w:color w:themeColor="accent1"/>
          <w:sz w:val="24"/>
          <w:szCs w:val="24"/>
        </w:rPr>
        <w:t>43.5 Dimensions of Trust Level</w:t>
      </w:r>
    </w:p>
    <w:p>
      <w:pPr>
        <w:pStyle w:val="FirstParagraph"/>
      </w:pPr>
      <w:r>
        <w:rPr>
          <w:sz w:val="24"/>
          <w:szCs w:val="24"/>
          <w:lang w:val="en-US" w:eastAsia="en-US" w:bidi="ar-SA"/>
        </w:rPr>
        <w:t>Trust Level expresses itself across four dimensions simultaneously, per the full conversion matrix of Annex E: corridor function (the sequence of administrative expansions inside the Northern Coordination Passage and the northern face of the Central Deconfliction Band); Twin Key weight (the concurrence composition of Article 44); revenue share (the table of Article 38.1, capped at the Permanent Floor); and institutional voice (co-equal Principal Party at Baseline; first among equals on tied procedural questions at Full Unlock, never on substance).</w:t>
      </w:r>
    </w:p>
    <w:bookmarkEnd w:id="258"/>
    <w:bookmarkStart w:id="259" w:name="what-the-escalator-never-does"/>
    <w:p>
      <w:pPr>
        <w:pStyle w:val="Heading3"/>
      </w:pPr>
      <w:r>
        <w:rPr>
          <w:lang w:val="en-US" w:eastAsia="en-US" w:bidi="ar-SA"/>
          <w:rFonts w:asciiTheme="majorHAnsi" w:cstheme="majorBidi" w:eastAsiaTheme="majorEastAsia" w:hAnsiTheme="majorHAnsi"/>
          <w:b/>
          <w:color w:themeColor="accent1"/>
          <w:sz w:val="24"/>
          <w:szCs w:val="24"/>
        </w:rPr>
        <w:t>43.6 What the Escalator Never Does</w:t>
      </w:r>
    </w:p>
    <w:p>
      <w:pPr>
        <w:pStyle w:val="FirstParagraph"/>
      </w:pPr>
      <w:r>
        <w:rPr>
          <w:sz w:val="24"/>
          <w:szCs w:val="24"/>
          <w:lang w:val="en-US" w:eastAsia="en-US" w:bidi="ar-SA"/>
        </w:rPr>
        <w:t>The Escalator never touches: Oman’s administration of the Southern Assurance Passage, which stands outside the Escalator entirely; the Zero-Toll Rule; the Non-Interdiction Protocol; sovereignty, which the Escalator never approaches, since Trust Level is functional, earned, and conditional, never sovereign; and any other Party’s red line. The Escalator grows function within the framework; it transfers nothing outside it.</w:t>
      </w:r>
    </w:p>
    <w:bookmarkEnd w:id="259"/>
    <w:bookmarkStart w:id="260" w:name="the-permanent-floor"/>
    <w:p>
      <w:pPr>
        <w:pStyle w:val="Heading3"/>
      </w:pPr>
      <w:r>
        <w:rPr>
          <w:lang w:val="en-US" w:eastAsia="en-US" w:bidi="ar-SA"/>
          <w:rFonts w:asciiTheme="majorHAnsi" w:cstheme="majorBidi" w:eastAsiaTheme="majorEastAsia" w:hAnsiTheme="majorHAnsi"/>
          <w:b/>
          <w:color w:themeColor="accent1"/>
          <w:sz w:val="24"/>
          <w:szCs w:val="24"/>
        </w:rPr>
        <w:t>43.7 The Permanent Floor</w:t>
      </w:r>
    </w:p>
    <w:p>
      <w:pPr>
        <w:pStyle w:val="FirstParagraph"/>
      </w:pPr>
      <w:r>
        <w:rPr>
          <w:sz w:val="24"/>
          <w:szCs w:val="24"/>
          <w:lang w:val="en-US" w:eastAsia="en-US" w:bidi="ar-SA"/>
        </w:rPr>
        <w:t>Upon Full Unlock, Iran’s revenue share fixes permanently at 60 percent and its institutional voice at first among equals, and this Permanent Floor survives every subsequent event: no step-back, no reset, no dispute, and no suspension reduces it. The Permanent Floor is the Accord’s central promise: performance banks permanently.</w:t>
      </w:r>
    </w:p>
    <w:bookmarkEnd w:id="260"/>
    <w:bookmarkStart w:id="261" w:name="non-consecutiveness-of-progress"/>
    <w:p>
      <w:pPr>
        <w:pStyle w:val="Heading3"/>
      </w:pPr>
      <w:r>
        <w:rPr>
          <w:lang w:val="en-US" w:eastAsia="en-US" w:bidi="ar-SA"/>
          <w:rFonts w:asciiTheme="majorHAnsi" w:cstheme="majorBidi" w:eastAsiaTheme="majorEastAsia" w:hAnsiTheme="majorHAnsi"/>
          <w:b/>
          <w:color w:themeColor="accent1"/>
          <w:sz w:val="24"/>
          <w:szCs w:val="24"/>
        </w:rPr>
        <w:t>43.8 Non-Consecutiveness of Progress</w:t>
      </w:r>
    </w:p>
    <w:p>
      <w:pPr>
        <w:pStyle w:val="FirstParagraph"/>
      </w:pPr>
      <w:r>
        <w:rPr>
          <w:sz w:val="24"/>
          <w:szCs w:val="24"/>
          <w:lang w:val="en-US" w:eastAsia="en-US" w:bidi="ar-SA"/>
        </w:rPr>
        <w:t>Clean Weeks accumulate across pauses. A pause delays progress; it never erases accumulated milestones. Article 45 alone governs resets, and no reset erases the Permanent Floor once attained.</w:t>
      </w:r>
    </w:p>
    <w:p>
      <w:pPr>
        <w:pStyle w:val="Heading3"/>
      </w:pPr>
      <w:r>
        <w:rPr>
          <w:lang w:val="en-US" w:eastAsia="en-US" w:bidi="ar-SA"/>
          <w:rFonts w:asciiTheme="majorHAnsi" w:cstheme="majorBidi" w:eastAsiaTheme="majorEastAsia" w:hAnsiTheme="majorHAnsi"/>
          <w:b/>
          <w:color w:themeColor="accent1"/>
          <w:sz w:val="24"/>
          <w:szCs w:val="24"/>
        </w:rPr>
        <w:t>43.9 The Good Performance Accelerator</w:t>
      </w:r>
    </w:p>
    <w:p>
      <w:pPr>
        <w:pStyle w:val="FirstParagraph"/>
      </w:pPr>
      <w:r>
        <w:rPr>
          <w:sz w:val="24"/>
          <w:szCs w:val="24"/>
          <w:lang w:val="en-US" w:eastAsia="en-US" w:bidi="ar-SA"/>
        </w:rPr>
        <w:t>43.9.1 For every three consecutive Clean Weeks, the Escalator advances by one additional ten-percentage-point step, beyond the standard one-step-per-Clean-Week progression.</w:t>
      </w:r>
    </w:p>
    <w:p>
      <w:pPr>
        <w:pStyle w:val="FirstParagraph"/>
      </w:pPr>
      <w:r>
        <w:rPr>
          <w:sz w:val="24"/>
          <w:szCs w:val="24"/>
          <w:lang w:val="en-US" w:eastAsia="en-US" w:bidi="ar-SA"/>
        </w:rPr>
        <w:t>43.9.2 The Accelerator operates automatically, without a vote, request, or further instrument. The Neutral Watch Office applies the Accelerator at the same time it certifies the third consecutive Clean Week.</w:t>
      </w:r>
    </w:p>
    <w:p>
      <w:pPr>
        <w:pStyle w:val="FirstParagraph"/>
      </w:pPr>
      <w:r>
        <w:rPr>
          <w:sz w:val="24"/>
          <w:szCs w:val="24"/>
          <w:lang w:val="en-US" w:eastAsia="en-US" w:bidi="ar-SA"/>
        </w:rPr>
        <w:t>43.9.3 The Accelerator never accelerates an E-3 or E-4 event’s earn-back path; that path follows its own schedule under Annex E.</w:t>
      </w:r>
    </w:p>
    <w:p>
      <w:pPr>
        <w:pStyle w:val="FirstParagraph"/>
      </w:pPr>
      <w:r>
        <w:rPr>
          <w:sz w:val="24"/>
          <w:szCs w:val="24"/>
          <w:lang w:val="en-US" w:eastAsia="en-US" w:bidi="ar-SA"/>
        </w:rPr>
        <w:t>43.9.4 The Accelerator rewards sustained performance. It rewards consistency, not just compliance.</w:t>
      </w:r>
    </w:p>
    <w:p>
      <w:pPr>
        <w:pStyle w:val="FirstParagraph"/>
      </w:pPr>
      <w:r>
        <w:rPr>
          <w:sz w:val="24"/>
          <w:szCs w:val="24"/>
          <w:lang w:val="en-US" w:eastAsia="en-US" w:bidi="ar-SA"/>
        </w:rPr>
        <w:t>The Accelerator in operation:</w:t>
      </w:r>
    </w:p>
    <w:tbl>
      <w:tblPr>
        <w:tblStyle w:val="Table"/>
        <w:tblW w:type="pct" w:w="5000"/>
        <w:tblLook w:firstRow="1" w:lastRow="0" w:firstColumn="0" w:lastColumn="0" w:noHBand="0" w:noVBand="0" w:val="0020"/>
      </w:tblPr>
      <w:tblGrid>
        <w:gridCol w:w="2640"/>
        <w:gridCol w:w="2640"/>
        <w:gridCol w:w="2640"/>
      </w:tblGrid>
      <w:tr>
        <w:trPr>
          <w:tblHeader w:val="1"/>
        </w:trPr>
        <w:tc>
          <w:tcPr>
            <w:tcW w:w="2640" w:type="dxa"/>
          </w:tcPr>
          <w:p>
            <w:pPr>
              <w:pStyle w:val="Compact"/>
              <w:jc w:val="left"/>
            </w:pPr>
            <w:r>
              <w:rPr>
                <w:sz w:val="24"/>
                <w:szCs w:val="24"/>
                <w:lang w:val="en-US" w:eastAsia="en-US" w:bidi="ar-SA"/>
              </w:rPr>
              <w:t>Week</w:t>
            </w:r>
          </w:p>
        </w:tc>
        <w:tc>
          <w:tcPr>
            <w:tcW w:w="2640" w:type="dxa"/>
          </w:tcPr>
          <w:p>
            <w:pPr>
              <w:pStyle w:val="Compact"/>
              <w:jc w:val="left"/>
            </w:pPr>
            <w:r>
              <w:rPr>
                <w:sz w:val="24"/>
                <w:szCs w:val="24"/>
                <w:lang w:val="en-US" w:eastAsia="en-US" w:bidi="ar-SA"/>
              </w:rPr>
              <w:t>Standard progression</w:t>
            </w:r>
          </w:p>
        </w:tc>
        <w:tc>
          <w:tcPr>
            <w:tcW w:w="2640" w:type="dxa"/>
          </w:tcPr>
          <w:p>
            <w:pPr>
              <w:pStyle w:val="Compact"/>
              <w:jc w:val="left"/>
            </w:pPr>
            <w:r>
              <w:rPr>
                <w:sz w:val="24"/>
                <w:szCs w:val="24"/>
                <w:lang w:val="en-US" w:eastAsia="en-US" w:bidi="ar-SA"/>
              </w:rPr>
              <w:t>With Accelerator</w:t>
            </w:r>
          </w:p>
        </w:tc>
      </w:tr>
      <w:tr>
        <w:tc>
          <w:tcPr>
            <w:tcW w:w="2640" w:type="dxa"/>
          </w:tcPr>
          <w:p>
            <w:pPr>
              <w:pStyle w:val="Compact"/>
              <w:jc w:val="left"/>
            </w:pPr>
            <w:r>
              <w:rPr>
                <w:sz w:val="24"/>
                <w:szCs w:val="24"/>
                <w:lang w:val="en-US" w:eastAsia="en-US" w:bidi="ar-SA"/>
              </w:rPr>
              <w:t>Week 1</w:t>
            </w:r>
          </w:p>
        </w:tc>
        <w:tc>
          <w:tcPr>
            <w:tcW w:w="2640" w:type="dxa"/>
          </w:tcPr>
          <w:p>
            <w:pPr>
              <w:pStyle w:val="Compact"/>
              <w:jc w:val="left"/>
            </w:pPr>
            <w:r>
              <w:rPr>
                <w:sz w:val="24"/>
                <w:szCs w:val="24"/>
                <w:lang w:val="en-US" w:eastAsia="en-US" w:bidi="ar-SA"/>
              </w:rPr>
              <w:t>Step One (43 percent)</w:t>
            </w:r>
          </w:p>
        </w:tc>
        <w:tc>
          <w:tcPr>
            <w:tcW w:w="2640" w:type="dxa"/>
          </w:tcPr>
          <w:p>
            <w:pPr>
              <w:pStyle w:val="Compact"/>
              <w:jc w:val="left"/>
            </w:pPr>
            <w:r>
              <w:rPr>
                <w:sz w:val="24"/>
                <w:szCs w:val="24"/>
                <w:lang w:val="en-US" w:eastAsia="en-US" w:bidi="ar-SA"/>
              </w:rPr>
              <w:t>Step One (43 percent)</w:t>
            </w:r>
          </w:p>
        </w:tc>
      </w:tr>
      <w:tr>
        <w:tc>
          <w:tcPr>
            <w:tcW w:w="2640" w:type="dxa"/>
          </w:tcPr>
          <w:p>
            <w:pPr>
              <w:pStyle w:val="Compact"/>
              <w:jc w:val="left"/>
            </w:pPr>
            <w:r>
              <w:rPr>
                <w:sz w:val="24"/>
                <w:szCs w:val="24"/>
                <w:lang w:val="en-US" w:eastAsia="en-US" w:bidi="ar-SA"/>
              </w:rPr>
              <w:t>Week 2</w:t>
            </w:r>
          </w:p>
        </w:tc>
        <w:tc>
          <w:tcPr>
            <w:tcW w:w="2640" w:type="dxa"/>
          </w:tcPr>
          <w:p>
            <w:pPr>
              <w:pStyle w:val="Compact"/>
              <w:jc w:val="left"/>
            </w:pPr>
            <w:r>
              <w:rPr>
                <w:sz w:val="24"/>
                <w:szCs w:val="24"/>
                <w:lang w:val="en-US" w:eastAsia="en-US" w:bidi="ar-SA"/>
              </w:rPr>
              <w:t>Step Two (53 percent)</w:t>
            </w:r>
          </w:p>
        </w:tc>
        <w:tc>
          <w:tcPr>
            <w:tcW w:w="2640" w:type="dxa"/>
          </w:tcPr>
          <w:p>
            <w:pPr>
              <w:pStyle w:val="Compact"/>
              <w:jc w:val="left"/>
            </w:pPr>
            <w:r>
              <w:rPr>
                <w:sz w:val="24"/>
                <w:szCs w:val="24"/>
                <w:lang w:val="en-US" w:eastAsia="en-US" w:bidi="ar-SA"/>
              </w:rPr>
              <w:t>Step Two (53 percent)</w:t>
            </w:r>
          </w:p>
        </w:tc>
      </w:tr>
      <w:tr>
        <w:tc>
          <w:tcPr>
            <w:tcW w:w="2640" w:type="dxa"/>
          </w:tcPr>
          <w:p>
            <w:pPr>
              <w:pStyle w:val="Compact"/>
              <w:jc w:val="left"/>
            </w:pPr>
            <w:r>
              <w:rPr>
                <w:sz w:val="24"/>
                <w:szCs w:val="24"/>
                <w:lang w:val="en-US" w:eastAsia="en-US" w:bidi="ar-SA"/>
              </w:rPr>
              <w:t>Week 3</w:t>
            </w:r>
          </w:p>
        </w:tc>
        <w:tc>
          <w:tcPr>
            <w:tcW w:w="2640" w:type="dxa"/>
          </w:tcPr>
          <w:p>
            <w:pPr>
              <w:pStyle w:val="Compact"/>
              <w:jc w:val="left"/>
            </w:pPr>
            <w:r>
              <w:rPr>
                <w:sz w:val="24"/>
                <w:szCs w:val="24"/>
                <w:lang w:val="en-US" w:eastAsia="en-US" w:bidi="ar-SA"/>
              </w:rPr>
              <w:t>Step Three (63 percent)</w:t>
            </w:r>
          </w:p>
        </w:tc>
        <w:tc>
          <w:tcPr>
            <w:tcW w:w="2640" w:type="dxa"/>
          </w:tcPr>
          <w:p>
            <w:pPr>
              <w:pStyle w:val="Compact"/>
              <w:jc w:val="left"/>
            </w:pPr>
            <w:r>
              <w:rPr>
                <w:sz w:val="24"/>
                <w:szCs w:val="24"/>
                <w:lang w:val="en-US" w:eastAsia="en-US" w:bidi="ar-SA"/>
              </w:rPr>
              <w:t>Step Four (73 percent); the Accelerator applies</w:t>
            </w:r>
          </w:p>
        </w:tc>
      </w:tr>
      <w:tr>
        <w:tc>
          <w:tcPr>
            <w:tcW w:w="2640" w:type="dxa"/>
          </w:tcPr>
          <w:p>
            <w:pPr>
              <w:pStyle w:val="Compact"/>
              <w:jc w:val="left"/>
            </w:pPr>
            <w:r>
              <w:rPr>
                <w:sz w:val="24"/>
                <w:szCs w:val="24"/>
                <w:lang w:val="en-US" w:eastAsia="en-US" w:bidi="ar-SA"/>
              </w:rPr>
              <w:t>Week 4</w:t>
            </w:r>
          </w:p>
        </w:tc>
        <w:tc>
          <w:tcPr>
            <w:tcW w:w="2640" w:type="dxa"/>
          </w:tcPr>
          <w:p>
            <w:pPr>
              <w:pStyle w:val="Compact"/>
              <w:jc w:val="left"/>
            </w:pPr>
            <w:r>
              <w:rPr>
                <w:sz w:val="24"/>
                <w:szCs w:val="24"/>
                <w:lang w:val="en-US" w:eastAsia="en-US" w:bidi="ar-SA"/>
              </w:rPr>
              <w:t>Step Four (73 percent)</w:t>
            </w:r>
          </w:p>
        </w:tc>
        <w:tc>
          <w:tcPr>
            <w:tcW w:w="2640" w:type="dxa"/>
          </w:tcPr>
          <w:p>
            <w:pPr>
              <w:pStyle w:val="Compact"/>
              <w:jc w:val="left"/>
            </w:pPr>
            <w:r>
              <w:rPr>
                <w:sz w:val="24"/>
                <w:szCs w:val="24"/>
                <w:lang w:val="en-US" w:eastAsia="en-US" w:bidi="ar-SA"/>
              </w:rPr>
              <w:t>Step Five (83 percent)</w:t>
            </w:r>
          </w:p>
        </w:tc>
      </w:tr>
      <w:tr>
        <w:tc>
          <w:tcPr>
            <w:tcW w:w="2640" w:type="dxa"/>
          </w:tcPr>
          <w:p>
            <w:pPr>
              <w:pStyle w:val="Compact"/>
              <w:jc w:val="left"/>
            </w:pPr>
            <w:r>
              <w:rPr>
                <w:sz w:val="24"/>
                <w:szCs w:val="24"/>
                <w:lang w:val="en-US" w:eastAsia="en-US" w:bidi="ar-SA"/>
              </w:rPr>
              <w:t>Week 5</w:t>
            </w:r>
          </w:p>
        </w:tc>
        <w:tc>
          <w:tcPr>
            <w:tcW w:w="2640" w:type="dxa"/>
          </w:tcPr>
          <w:p>
            <w:pPr>
              <w:pStyle w:val="Compact"/>
              <w:jc w:val="left"/>
            </w:pPr>
            <w:r>
              <w:rPr>
                <w:sz w:val="24"/>
                <w:szCs w:val="24"/>
                <w:lang w:val="en-US" w:eastAsia="en-US" w:bidi="ar-SA"/>
              </w:rPr>
              <w:t>Step Five (83 percent)</w:t>
            </w:r>
          </w:p>
        </w:tc>
        <w:tc>
          <w:tcPr>
            <w:tcW w:w="2640" w:type="dxa"/>
          </w:tcPr>
          <w:p>
            <w:pPr>
              <w:pStyle w:val="Compact"/>
              <w:jc w:val="left"/>
            </w:pPr>
            <w:r>
              <w:rPr>
                <w:sz w:val="24"/>
                <w:szCs w:val="24"/>
                <w:lang w:val="en-US" w:eastAsia="en-US" w:bidi="ar-SA"/>
              </w:rPr>
              <w:t>Step Six (93 percent)</w:t>
            </w:r>
          </w:p>
        </w:tc>
      </w:tr>
      <w:tr>
        <w:tc>
          <w:tcPr>
            <w:tcW w:w="2640" w:type="dxa"/>
          </w:tcPr>
          <w:p>
            <w:pPr>
              <w:pStyle w:val="Compact"/>
              <w:jc w:val="left"/>
            </w:pPr>
            <w:r>
              <w:rPr>
                <w:sz w:val="24"/>
                <w:szCs w:val="24"/>
                <w:lang w:val="en-US" w:eastAsia="en-US" w:bidi="ar-SA"/>
              </w:rPr>
              <w:t>Week 6</w:t>
            </w:r>
          </w:p>
        </w:tc>
        <w:tc>
          <w:tcPr>
            <w:tcW w:w="2640" w:type="dxa"/>
          </w:tcPr>
          <w:p>
            <w:pPr>
              <w:pStyle w:val="Compact"/>
              <w:jc w:val="left"/>
            </w:pPr>
            <w:r>
              <w:rPr>
                <w:sz w:val="24"/>
                <w:szCs w:val="24"/>
                <w:lang w:val="en-US" w:eastAsia="en-US" w:bidi="ar-SA"/>
              </w:rPr>
              <w:t>Step Six (93 percent)</w:t>
            </w:r>
          </w:p>
        </w:tc>
        <w:tc>
          <w:tcPr>
            <w:tcW w:w="2640" w:type="dxa"/>
          </w:tcPr>
          <w:p>
            <w:pPr>
              <w:pStyle w:val="Compact"/>
              <w:jc w:val="left"/>
            </w:pPr>
            <w:r>
              <w:rPr>
                <w:sz w:val="24"/>
                <w:szCs w:val="24"/>
                <w:lang w:val="en-US" w:eastAsia="en-US" w:bidi="ar-SA"/>
              </w:rPr>
              <w:t>Full Unlock (100 percent); the Accelerator applies again</w:t>
            </w:r>
          </w:p>
        </w:tc>
      </w:tr>
      <w:tr>
        <w:tc>
          <w:tcPr>
            <w:tcW w:w="2640" w:type="dxa"/>
          </w:tcPr>
          <w:p>
            <w:pPr>
              <w:pStyle w:val="Compact"/>
              <w:jc w:val="left"/>
            </w:pPr>
            <w:r>
              <w:rPr>
                <w:sz w:val="24"/>
                <w:szCs w:val="24"/>
                <w:lang w:val="en-US" w:eastAsia="en-US" w:bidi="ar-SA"/>
              </w:rPr>
              <w:t>Week 7</w:t>
            </w:r>
          </w:p>
        </w:tc>
        <w:tc>
          <w:tcPr>
            <w:tcW w:w="2640" w:type="dxa"/>
          </w:tcPr>
          <w:p>
            <w:pPr>
              <w:pStyle w:val="Compact"/>
              <w:jc w:val="left"/>
            </w:pPr>
            <w:r>
              <w:rPr>
                <w:sz w:val="24"/>
                <w:szCs w:val="24"/>
                <w:lang w:val="en-US" w:eastAsia="en-US" w:bidi="ar-SA"/>
              </w:rPr>
              <w:t>Full Unlock (100 percent)</w:t>
            </w:r>
          </w:p>
        </w:tc>
        <w:tc>
          <w:tcPr>
            <w:tcW w:w="2640" w:type="dxa"/>
          </w:tcPr>
          <w:p>
            <w:pPr>
              <w:pStyle w:val="Compact"/>
              <w:jc w:val="left"/>
            </w:pPr>
            <w:r>
              <w:rPr>
                <w:sz w:val="24"/>
                <w:szCs w:val="24"/>
                <w:lang w:val="en-US" w:eastAsia="en-US" w:bidi="ar-SA"/>
              </w:rPr>
              <w:t>Full Unlock (100 percent)</w:t>
            </w:r>
          </w:p>
        </w:tc>
      </w:tr>
    </w:tbl>
    <w:bookmarkEnd w:id="261"/>
    <w:bookmarkEnd w:id="262"/>
    <w:bookmarkStart w:id="267" w:name="article-44-the-twin-key-rule"/>
    <w:p>
      <w:pPr>
        <w:pStyle w:val="Heading2"/>
      </w:pPr>
      <w:r>
        <w:rPr>
          <w:lang w:val="en-US" w:eastAsia="en-US" w:bidi="ar-SA"/>
          <w:rFonts w:asciiTheme="majorHAnsi" w:cstheme="majorBidi" w:eastAsiaTheme="majorEastAsia" w:hAnsiTheme="majorHAnsi"/>
          <w:b/>
          <w:color w:themeColor="accent1"/>
          <w:sz w:val="28"/>
          <w:szCs w:val="28"/>
        </w:rPr>
        <w:t>Article 44: The Twin Key Rule</w:t>
      </w:r>
    </w:p>
    <w:bookmarkStart w:id="263" w:name="the-rule-1"/>
    <w:p>
      <w:pPr>
        <w:pStyle w:val="Heading3"/>
      </w:pPr>
      <w:r>
        <w:rPr>
          <w:lang w:val="en-US" w:eastAsia="en-US" w:bidi="ar-SA"/>
          <w:rFonts w:asciiTheme="majorHAnsi" w:cstheme="majorBidi" w:eastAsiaTheme="majorEastAsia" w:hAnsiTheme="majorHAnsi"/>
          <w:b/>
          <w:color w:themeColor="accent1"/>
          <w:sz w:val="24"/>
          <w:szCs w:val="24"/>
        </w:rPr>
        <w:t>44.1 The Rule</w:t>
      </w:r>
    </w:p>
    <w:p>
      <w:pPr>
        <w:pStyle w:val="FirstParagraph"/>
      </w:pPr>
      <w:r>
        <w:rPr>
          <w:sz w:val="24"/>
          <w:szCs w:val="24"/>
          <w:lang w:val="en-US" w:eastAsia="en-US" w:bidi="ar-SA"/>
        </w:rPr>
        <w:t>Every consequential action of the framework (a corridor geometry change, a FLOW-RED declaration exceeding 72 hours, a new service listing, an emergency-routing activation beyond 48 hours, any measure touching a red line) executes only under the Twin Key: the recorded concurrence of both Principal Parties’ designated keyholders. No unilateral consequential action exists anywhere in this Accord, at any Trust Level. This rule holds Red Line IPR-6 logic and binds every institution.</w:t>
      </w:r>
    </w:p>
    <w:bookmarkEnd w:id="263"/>
    <w:bookmarkStart w:id="264" w:name="key-evolution"/>
    <w:p>
      <w:pPr>
        <w:pStyle w:val="Heading3"/>
      </w:pPr>
      <w:r>
        <w:rPr>
          <w:lang w:val="en-US" w:eastAsia="en-US" w:bidi="ar-SA"/>
          <w:rFonts w:asciiTheme="majorHAnsi" w:cstheme="majorBidi" w:eastAsiaTheme="majorEastAsia" w:hAnsiTheme="majorHAnsi"/>
          <w:b/>
          <w:color w:themeColor="accent1"/>
          <w:sz w:val="24"/>
          <w:szCs w:val="24"/>
        </w:rPr>
        <w:t>44.2 Key Evolution</w:t>
      </w:r>
    </w:p>
    <w:p>
      <w:pPr>
        <w:pStyle w:val="FirstParagraph"/>
      </w:pPr>
      <w:r>
        <w:rPr>
          <w:sz w:val="24"/>
          <w:szCs w:val="24"/>
          <w:lang w:val="en-US" w:eastAsia="en-US" w:bidi="ar-SA"/>
        </w:rPr>
        <w:t>At Baseline, the Twin Key for actions inside the northern face of the Band comprises one Iranian and one Omani keyholder. As the Escalator crosses each band of Annex E, the concurrence composition evolves per the matrix, reaching two-of-three concurrence with Iranian plurality for Buffer actions at Full Unlock, with the Twin Key itself (no unilateral action) binding at every level without exception.</w:t>
      </w:r>
    </w:p>
    <w:bookmarkEnd w:id="264"/>
    <w:bookmarkStart w:id="265" w:name="keyholder-discipline"/>
    <w:p>
      <w:pPr>
        <w:pStyle w:val="Heading3"/>
      </w:pPr>
      <w:r>
        <w:rPr>
          <w:lang w:val="en-US" w:eastAsia="en-US" w:bidi="ar-SA"/>
          <w:rFonts w:asciiTheme="majorHAnsi" w:cstheme="majorBidi" w:eastAsiaTheme="majorEastAsia" w:hAnsiTheme="majorHAnsi"/>
          <w:b/>
          <w:color w:themeColor="accent1"/>
          <w:sz w:val="24"/>
          <w:szCs w:val="24"/>
        </w:rPr>
        <w:t>44.3 Keyholder Discipline</w:t>
      </w:r>
    </w:p>
    <w:p>
      <w:pPr>
        <w:pStyle w:val="FirstParagraph"/>
      </w:pPr>
      <w:r>
        <w:rPr>
          <w:sz w:val="24"/>
          <w:szCs w:val="24"/>
          <w:lang w:val="en-US" w:eastAsia="en-US" w:bidi="ar-SA"/>
        </w:rPr>
        <w:t>Each Principal Party designates three keyholders, any one of whom turns its key, on a published roster with 24-hour reachability. A keyholder’s refusal records with reasons in the Reciprocity Ledger; the record stands public; the reasons answer to the Party’s own public.</w:t>
      </w:r>
    </w:p>
    <w:bookmarkEnd w:id="265"/>
    <w:bookmarkStart w:id="266" w:name="emergency-override"/>
    <w:p>
      <w:pPr>
        <w:pStyle w:val="Heading3"/>
      </w:pPr>
      <w:r>
        <w:rPr>
          <w:lang w:val="en-US" w:eastAsia="en-US" w:bidi="ar-SA"/>
          <w:rFonts w:asciiTheme="majorHAnsi" w:cstheme="majorBidi" w:eastAsiaTheme="majorEastAsia" w:hAnsiTheme="majorHAnsi"/>
          <w:b/>
          <w:color w:themeColor="accent1"/>
          <w:sz w:val="24"/>
          <w:szCs w:val="24"/>
        </w:rPr>
        <w:t>44.4 Emergency Override</w:t>
      </w:r>
    </w:p>
    <w:p>
      <w:pPr>
        <w:pStyle w:val="FirstParagraph"/>
      </w:pPr>
      <w:r>
        <w:rPr>
          <w:sz w:val="24"/>
          <w:szCs w:val="24"/>
          <w:lang w:val="en-US" w:eastAsia="en-US" w:bidi="ar-SA"/>
        </w:rPr>
        <w:t>In an imminent threat to life, the watch-floor duty pair acts first and records the Twin Key retrospectively within six hours. The override covers life-safety actions only, and every override enters the Ledger with its full record.</w:t>
      </w:r>
    </w:p>
    <w:bookmarkEnd w:id="266"/>
    <w:bookmarkEnd w:id="267"/>
    <w:bookmarkStart w:id="274" w:name="article-45-step-back-and-earn-back"/>
    <w:p>
      <w:pPr>
        <w:pStyle w:val="Heading2"/>
      </w:pPr>
      <w:r>
        <w:rPr>
          <w:lang w:val="en-US" w:eastAsia="en-US" w:bidi="ar-SA"/>
          <w:rFonts w:asciiTheme="majorHAnsi" w:cstheme="majorBidi" w:eastAsiaTheme="majorEastAsia" w:hAnsiTheme="majorHAnsi"/>
          <w:b/>
          <w:color w:themeColor="accent1"/>
          <w:sz w:val="28"/>
          <w:szCs w:val="28"/>
        </w:rPr>
        <w:t>Article 45: Step-Back and Earn-Back</w:t>
      </w:r>
    </w:p>
    <w:bookmarkStart w:id="268" w:name="the-event-schedule"/>
    <w:p>
      <w:pPr>
        <w:pStyle w:val="Heading3"/>
      </w:pPr>
      <w:r>
        <w:rPr>
          <w:lang w:val="en-US" w:eastAsia="en-US" w:bidi="ar-SA"/>
          <w:rFonts w:asciiTheme="majorHAnsi" w:cstheme="majorBidi" w:eastAsiaTheme="majorEastAsia" w:hAnsiTheme="majorHAnsi"/>
          <w:b/>
          <w:color w:themeColor="accent1"/>
          <w:sz w:val="24"/>
          <w:szCs w:val="24"/>
        </w:rPr>
        <w:t>45.1 The Event Schedule</w:t>
      </w:r>
    </w:p>
    <w:p>
      <w:pPr>
        <w:pStyle w:val="FirstParagraph"/>
      </w:pPr>
      <w:r>
        <w:rPr>
          <w:sz w:val="24"/>
          <w:szCs w:val="24"/>
          <w:lang w:val="en-US" w:eastAsia="en-US" w:bidi="ar-SA"/>
        </w:rPr>
        <w:t>Annex E classifies every deviation into four grades with fixed consequences: E-1 (technical deviation; the Escalator pauses seven days; no milestone loss); E-2 (operational violation; the current Verification Period fails and re-runs; fourteen days of clean operation restore the milestone track); E-3 (grave violation, including any interdiction event, custody breach, or red-line pressure; milestones reset to the last band boundary; ninety days of sustained clean operation plus certification re-accrue milestones from the reset position at double pace for the first three steps); E-4 (critical violation; milestones reset to Baseline; ninety days of sustained clean operation plus Council confirmation under Consensus Minus One restore the track).</w:t>
      </w:r>
    </w:p>
    <w:bookmarkEnd w:id="268"/>
    <w:bookmarkStart w:id="269" w:name="proportionality"/>
    <w:p>
      <w:pPr>
        <w:pStyle w:val="Heading3"/>
      </w:pPr>
      <w:r>
        <w:rPr>
          <w:lang w:val="en-US" w:eastAsia="en-US" w:bidi="ar-SA"/>
          <w:rFonts w:asciiTheme="majorHAnsi" w:cstheme="majorBidi" w:eastAsiaTheme="majorEastAsia" w:hAnsiTheme="majorHAnsi"/>
          <w:b/>
          <w:color w:themeColor="accent1"/>
          <w:sz w:val="24"/>
          <w:szCs w:val="24"/>
        </w:rPr>
        <w:t>45.2 Proportionality</w:t>
      </w:r>
    </w:p>
    <w:p>
      <w:pPr>
        <w:pStyle w:val="FirstParagraph"/>
      </w:pPr>
      <w:r>
        <w:rPr>
          <w:sz w:val="24"/>
          <w:szCs w:val="24"/>
          <w:lang w:val="en-US" w:eastAsia="en-US" w:bidi="ar-SA"/>
        </w:rPr>
        <w:t>Small events produce small consequences. The schedule of Annex E exhausts the consequences of every event: no sanctions, no fees, no suspensions, and no conditions beyond it. The Escalator’s discipline lives inside the Escalator.</w:t>
      </w:r>
    </w:p>
    <w:bookmarkEnd w:id="269"/>
    <w:bookmarkStart w:id="270" w:name="automatic-earn-back"/>
    <w:p>
      <w:pPr>
        <w:pStyle w:val="Heading3"/>
      </w:pPr>
      <w:r>
        <w:rPr>
          <w:lang w:val="en-US" w:eastAsia="en-US" w:bidi="ar-SA"/>
          <w:rFonts w:asciiTheme="majorHAnsi" w:cstheme="majorBidi" w:eastAsiaTheme="majorEastAsia" w:hAnsiTheme="majorHAnsi"/>
          <w:b/>
          <w:color w:themeColor="accent1"/>
          <w:sz w:val="24"/>
          <w:szCs w:val="24"/>
        </w:rPr>
        <w:t>45.3 Automatic Earn-Back</w:t>
      </w:r>
    </w:p>
    <w:p>
      <w:pPr>
        <w:pStyle w:val="FirstParagraph"/>
      </w:pPr>
      <w:r>
        <w:rPr>
          <w:sz w:val="24"/>
          <w:szCs w:val="24"/>
          <w:lang w:val="en-US" w:eastAsia="en-US" w:bidi="ar-SA"/>
        </w:rPr>
        <w:t>Every step-back carries a defined, automatic earn-back path, and completion of the path restores the position without any vote, request, or negotiation. This rule holds Red Line RL-17.</w:t>
      </w:r>
    </w:p>
    <w:bookmarkEnd w:id="270"/>
    <w:bookmarkStart w:id="271" w:name="what-earn-back-never-requires"/>
    <w:p>
      <w:pPr>
        <w:pStyle w:val="Heading3"/>
      </w:pPr>
      <w:r>
        <w:rPr>
          <w:lang w:val="en-US" w:eastAsia="en-US" w:bidi="ar-SA"/>
          <w:rFonts w:asciiTheme="majorHAnsi" w:cstheme="majorBidi" w:eastAsiaTheme="majorEastAsia" w:hAnsiTheme="majorHAnsi"/>
          <w:b/>
          <w:color w:themeColor="accent1"/>
          <w:sz w:val="24"/>
          <w:szCs w:val="24"/>
        </w:rPr>
        <w:t>45.4 What Earn-Back Never Requires</w:t>
      </w:r>
    </w:p>
    <w:p>
      <w:pPr>
        <w:pStyle w:val="FirstParagraph"/>
      </w:pPr>
      <w:r>
        <w:rPr>
          <w:sz w:val="24"/>
          <w:szCs w:val="24"/>
          <w:lang w:val="en-US" w:eastAsia="en-US" w:bidi="ar-SA"/>
        </w:rPr>
        <w:t>Earn-back never requires an admission of guilt, payment of penalties, political concessions beyond restored compliance, or renegotiation of any provision of this Accord.</w:t>
      </w:r>
    </w:p>
    <w:bookmarkEnd w:id="271"/>
    <w:bookmarkStart w:id="272" w:name="double-pace-restoration"/>
    <w:p>
      <w:pPr>
        <w:pStyle w:val="Heading3"/>
      </w:pPr>
      <w:r>
        <w:t xml:space="preserve">45.5 Double-Pace Restoration</w:t>
      </w:r>
    </w:p>
    <w:p>
      <w:pPr>
        <w:pStyle w:val="FirstParagraph"/>
      </w:pPr>
      <w:r>
        <w:t xml:space="preserve">The double-pace restoration of the E-3 path expresses a deliberate design principle: a Party that stumbles once and then performs earns its way home faster than it fell. The asymmetry is published, permanent, and applies identically to every future E-3 event.</w:t>
      </w:r>
    </w:p>
    <w:bookmarkEnd w:id="272"/>
    <w:bookmarkStart w:id="273" w:name="the-floor-exception"/>
    <w:p>
      <w:pPr>
        <w:pStyle w:val="Heading3"/>
      </w:pPr>
      <w:r>
        <w:t xml:space="preserve">45.6 The Floor Exception</w:t>
      </w:r>
    </w:p>
    <w:p>
      <w:pPr>
        <w:pStyle w:val="FirstParagraph"/>
      </w:pPr>
      <w:r>
        <w:t xml:space="preserve">No event, at any grade, erases the Permanent Floor of Article 43.7 or any gate certificate of Article 7.</w:t>
      </w:r>
    </w:p>
    <w:bookmarkEnd w:id="273"/>
    <w:bookmarkEnd w:id="274"/>
    <w:bookmarkStart w:id="280" w:name="X393d9473bb756825efe702330609691c5a9196c"/>
    <w:p>
      <w:pPr>
        <w:pStyle w:val="Heading2"/>
      </w:pPr>
      <w:r>
        <w:t xml:space="preserve">Article 46: The Dispute Resolution Ladder and the Muscat Tribunal</w:t>
      </w:r>
    </w:p>
    <w:bookmarkStart w:id="275" w:name="the-ladder"/>
    <w:p>
      <w:pPr>
        <w:pStyle w:val="Heading3"/>
      </w:pPr>
      <w:r>
        <w:t xml:space="preserve">46.1 The Ladder</w:t>
      </w:r>
    </w:p>
    <w:p>
      <w:pPr>
        <w:pStyle w:val="FirstParagraph"/>
      </w:pPr>
      <w:r>
        <w:t xml:space="preserve">Every dispute under this Accord climbs a five-rung ladder: rung one, watch-floor technical resolution within 72 hours; rung two, Neutral Watch Office determination on the record within seven days; rung three, Council session under Consensus Minus One within 21 days; rung four, the Muscat Tribunal under Article 46.4 within 90 days; rung five, for protected-core disputes only, referral to the depositary’s good offices with the parties’ own chosen procedures. A dispute rests at the lowest rung that resolves it; escalation upward requires the lower rung’s record.</w:t>
      </w:r>
    </w:p>
    <w:bookmarkEnd w:id="275"/>
    <w:bookmarkStart w:id="276" w:name="the-standstill-rule"/>
    <w:p>
      <w:pPr>
        <w:pStyle w:val="Heading3"/>
      </w:pPr>
      <w:r>
        <w:t xml:space="preserve">46.2 The Standstill Rule</w:t>
      </w:r>
    </w:p>
    <w:p>
      <w:pPr>
        <w:pStyle w:val="FirstParagraph"/>
      </w:pPr>
      <w:r>
        <w:t xml:space="preserve">During any dispute, the matter’s status quo holds: corridors operate, gates and escalators computed from the record continue to compute, revenue flows, and the freeze rule of Article 29.6 binds force postures. No Party suspends performance pending resolution except as Article 45’s schedule itself provides.</w:t>
      </w:r>
    </w:p>
    <w:bookmarkEnd w:id="276"/>
    <w:bookmarkStart w:id="277" w:name="red-line-consultation"/>
    <w:p>
      <w:pPr>
        <w:pStyle w:val="Heading3"/>
      </w:pPr>
      <w:r>
        <w:t xml:space="preserve">46.3 Red Line Consultation</w:t>
      </w:r>
    </w:p>
    <w:p>
      <w:pPr>
        <w:pStyle w:val="FirstParagraph"/>
      </w:pPr>
      <w:r>
        <w:t xml:space="preserve">A Party that perceives a red line under pressure activates a Red Line Consultation: the Council convenes within 72 hours, the Neutral Watch Office presents the record, and the Parties resolve the pressure within 14 days. During the Consultation, the freeze rule binds, and the implicated function operates in its least-intrusive lawful mode. The Office publishes a summary of each Consultation with positions redacted at the request of their authors. A Red Line Consultation never suspends corridors, humanitarian traffic, or safety functions.</w:t>
      </w:r>
    </w:p>
    <w:bookmarkEnd w:id="277"/>
    <w:bookmarkStart w:id="278" w:name="the-muscat-tribunal"/>
    <w:p>
      <w:pPr>
        <w:pStyle w:val="Heading3"/>
      </w:pPr>
      <w:r>
        <w:t xml:space="preserve">46.4 The Muscat Tribunal</w:t>
      </w:r>
    </w:p>
    <w:p>
      <w:pPr>
        <w:pStyle w:val="FirstParagraph"/>
      </w:pPr>
      <w:r>
        <w:t xml:space="preserve">The Muscat Tribunal seats five members: two appointed by the Principal Parties jointly, one by the acceding littoral states, one by the Guarantor Parties, and a president appointed by the Neutral Administrator from the roster of the Permanent Court of Arbitration. The Tribunal decides disputes of law and classification under this Accord on the written and oral record, by majority, with reasons, in public. Its awards bind the Parties as determinations of this Accord’s meaning, and the compliance record of Article 45 attaches automatically to non-performance of an award.</w:t>
      </w:r>
    </w:p>
    <w:bookmarkEnd w:id="278"/>
    <w:bookmarkStart w:id="279" w:name="the-escalation-cap"/>
    <w:p>
      <w:pPr>
        <w:pStyle w:val="Heading3"/>
      </w:pPr>
      <w:r>
        <w:t xml:space="preserve">46.5 The Escalation Cap</w:t>
      </w:r>
    </w:p>
    <w:p>
      <w:pPr>
        <w:pStyle w:val="FirstParagraph"/>
      </w:pPr>
      <w:r>
        <w:t xml:space="preserve">No dispute under this Accord, at any rung, authorizes, triggers, or justifies military force, economic coercion outside this Accord’s own schedules, or suspension of humanitarian or safety functions. The cap binds every Party and every institution absolutely.</w:t>
      </w:r>
    </w:p>
    <w:bookmarkEnd w:id="279"/>
    <w:bookmarkEnd w:id="280"/>
    <w:bookmarkStart w:id="286" w:name="article-47-the-mutual-claims-commission"/>
    <w:p>
      <w:pPr>
        <w:pStyle w:val="Heading2"/>
      </w:pPr>
      <w:r>
        <w:t xml:space="preserve">Article 47: The Mutual Claims Commission</w:t>
      </w:r>
    </w:p>
    <w:bookmarkStart w:id="281" w:name="the-commission"/>
    <w:p>
      <w:pPr>
        <w:pStyle w:val="Heading3"/>
      </w:pPr>
      <w:r>
        <w:t xml:space="preserve">47.1 The Commission</w:t>
      </w:r>
    </w:p>
    <w:p>
      <w:pPr>
        <w:pStyle w:val="FirstParagraph"/>
      </w:pPr>
      <w:r>
        <w:t xml:space="preserve">The Mutual Claims Commission answers the compensation demands of both sides with one reciprocal mechanism. The Commission receives, examines, and determines claims arising from the conflict of 2026: claims by Iran for damage from strikes and the blockade; claims by the United States for damage from attacks on its forces, bases, and vessels; claims by littoral states for damage to territory, infrastructure, and shipping; and claims by operators, crews, and families for death, injury, detention, and loss.</w:t>
      </w:r>
    </w:p>
    <w:bookmarkEnd w:id="281"/>
    <w:bookmarkStart w:id="282" w:name="composition-and-method"/>
    <w:p>
      <w:pPr>
        <w:pStyle w:val="Heading3"/>
      </w:pPr>
      <w:r>
        <w:t xml:space="preserve">47.2 Composition and Method</w:t>
      </w:r>
    </w:p>
    <w:p>
      <w:pPr>
        <w:pStyle w:val="FirstParagraph"/>
      </w:pPr>
      <w:r>
        <w:t xml:space="preserve">The Commission seats five members: two appointed by Iran and the United States respectively, two by the littoral states acting together, and a president appointed by the Swiss Confederation. The Commission works from evidence, under the Convergence Standard adapted for claims, with a public docket, reasoned determinations, and no political admissions: a determination states damage, causation, and amount, and it never states guilt.</w:t>
      </w:r>
    </w:p>
    <w:bookmarkEnd w:id="282"/>
    <w:bookmarkStart w:id="283" w:name="X61b65b0e1f0b032845a6dca884a77112af09421"/>
    <w:p>
      <w:pPr>
        <w:pStyle w:val="Heading3"/>
      </w:pPr>
      <w:r>
        <w:rPr>
          <w:lang w:val="en-US" w:eastAsia="en-US" w:bidi="ar-SA"/>
          <w:rFonts w:asciiTheme="majorHAnsi" w:cstheme="majorBidi" w:eastAsiaTheme="majorEastAsia" w:hAnsiTheme="majorHAnsi"/>
          <w:b/>
          <w:color w:themeColor="accent1"/>
          <w:sz w:val="24"/>
          <w:szCs w:val="24"/>
        </w:rPr>
        <w:t>47.3 The Reconstruction and Reconciliation Facility</w:t>
      </w:r>
    </w:p>
    <w:p>
      <w:pPr>
        <w:pStyle w:val="FirstParagraph"/>
      </w:pPr>
      <w:r>
        <w:rPr>
          <w:sz w:val="24"/>
          <w:szCs w:val="24"/>
          <w:lang w:val="en-US" w:eastAsia="en-US" w:bidi="ar-SA"/>
        </w:rPr>
        <w:t>Awards pay through the Reconstruction and Reconciliation Facility, capitalized by: voluntary contributions of the Gulf states; the framework’s revenue surpluses above the 12 percent administrative cap, allocated at 20 percent; in-kind contributions of the United States (surplus equipment, medical supply, and technical assistance, in keeping with its stated position against direct state investment); and frozen-asset releases structured through the Neutral Administrator under the Reciprocity Map. No Party pays another Party directly; every payment flows through the Facility against a Commission determination.</w:t>
      </w:r>
    </w:p>
    <w:bookmarkEnd w:id="283"/>
    <w:bookmarkStart w:id="284" w:name="the-middle-ground"/>
    <w:p>
      <w:pPr>
        <w:pStyle w:val="Heading3"/>
      </w:pPr>
      <w:r>
        <w:rPr>
          <w:lang w:val="en-US" w:eastAsia="en-US" w:bidi="ar-SA"/>
          <w:rFonts w:asciiTheme="majorHAnsi" w:cstheme="majorBidi" w:eastAsiaTheme="majorEastAsia" w:hAnsiTheme="majorHAnsi"/>
          <w:b/>
          <w:color w:themeColor="accent1"/>
          <w:sz w:val="24"/>
          <w:szCs w:val="24"/>
        </w:rPr>
        <w:t>47.4 The Middle Ground</w:t>
      </w:r>
    </w:p>
    <w:p>
      <w:pPr>
        <w:pStyle w:val="FirstParagraph"/>
      </w:pPr>
      <w:r>
        <w:rPr>
          <w:sz w:val="24"/>
          <w:szCs w:val="24"/>
          <w:lang w:val="en-US" w:eastAsia="en-US" w:bidi="ar-SA"/>
        </w:rPr>
        <w:t>The Commission converts two irreconcilable demands (compensation and counter-compensation) into one evidence-based process in which every claimant files, every claim faces the same standard, and every award pays from a common, multilateral fund. Neither capital signs a check to the other; both capitals receive a mechanism that hears their dead and their damage. Iran’s reconstruction need and America’s counter-claims stand on the same docket, and the docket’s integrity substitutes for the confrontation’s arithmetic.</w:t>
      </w:r>
    </w:p>
    <w:bookmarkEnd w:id="284"/>
    <w:bookmarkStart w:id="285" w:name="relation-to-the-gates"/>
    <w:p>
      <w:pPr>
        <w:pStyle w:val="Heading3"/>
      </w:pPr>
      <w:r>
        <w:rPr>
          <w:lang w:val="en-US" w:eastAsia="en-US" w:bidi="ar-SA"/>
          <w:rFonts w:asciiTheme="majorHAnsi" w:cstheme="majorBidi" w:eastAsiaTheme="majorEastAsia" w:hAnsiTheme="majorHAnsi"/>
          <w:b/>
          <w:color w:themeColor="accent1"/>
          <w:sz w:val="24"/>
          <w:szCs w:val="24"/>
        </w:rPr>
        <w:t>47.5 Relation to the Gates</w:t>
      </w:r>
    </w:p>
    <w:p>
      <w:pPr>
        <w:pStyle w:val="FirstParagraph"/>
      </w:pPr>
      <w:r>
        <w:rPr>
          <w:sz w:val="24"/>
          <w:szCs w:val="24"/>
          <w:lang w:val="en-US" w:eastAsia="en-US" w:bidi="ar-SA"/>
        </w:rPr>
        <w:t>The Commission seats at Layer 4 opening. Its docket operates independently of the gates and the Escalator: no claims outcome moves any corridor, share, or certification, and no corridor event stays any claim.</w:t>
      </w:r>
    </w:p>
    <w:p>
      <w:pPr>
        <w:pStyle w:val="Heading3"/>
      </w:pPr>
      <w:r>
        <w:rPr>
          <w:lang w:val="en-US" w:eastAsia="en-US" w:bidi="ar-SA"/>
          <w:rFonts w:asciiTheme="majorHAnsi" w:cstheme="majorBidi" w:eastAsiaTheme="majorEastAsia" w:hAnsiTheme="majorHAnsi"/>
          <w:b/>
          <w:color w:themeColor="accent1"/>
          <w:sz w:val="24"/>
          <w:szCs w:val="24"/>
        </w:rPr>
        <w:t>47.6 The Mariner Welfare and Detention Registry</w:t>
      </w:r>
    </w:p>
    <w:p>
      <w:pPr>
        <w:pStyle w:val="FirstParagraph"/>
      </w:pPr>
      <w:r>
        <w:rPr>
          <w:sz w:val="24"/>
          <w:szCs w:val="24"/>
          <w:lang w:val="en-US" w:eastAsia="en-US" w:bidi="ar-SA"/>
        </w:rPr>
        <w:t>47.6.1 Any mariner detained in connection with wartime-era events receives, upon this Accord’s entry into force: consular access verification within 24 hours of a flag-state request; welfare confirmation through the Neutral Watch Office within 72 hours; and automatic inclusion in the published welfare log until resolution.</w:t>
      </w:r>
    </w:p>
    <w:p>
      <w:pPr>
        <w:pStyle w:val="FirstParagraph"/>
      </w:pPr>
      <w:r>
        <w:rPr>
          <w:sz w:val="24"/>
          <w:szCs w:val="24"/>
          <w:lang w:val="en-US" w:eastAsia="en-US" w:bidi="ar-SA"/>
        </w:rPr>
        <w:t>47.6.2 The Neutral Watch Office maintains the Mariner Welfare and Detention Registry of all wartime detentions, updated weekly, with status and outcome.</w:t>
      </w:r>
    </w:p>
    <w:p>
      <w:pPr>
        <w:pStyle w:val="FirstParagraph"/>
      </w:pPr>
      <w:r>
        <w:rPr>
          <w:sz w:val="24"/>
          <w:szCs w:val="24"/>
          <w:lang w:val="en-US" w:eastAsia="en-US" w:bidi="ar-SA"/>
        </w:rPr>
        <w:t>47.6.3 The Registry resolves nothing itself; it makes resolution visible and accountable. The Commission’s docket of Article 47.1 hears every detention claim on the same standard as every other claim.</w:t>
      </w:r>
    </w:p>
    <w:p>
      <w:pPr>
        <w:pStyle w:val="Heading3"/>
      </w:pPr>
      <w:r>
        <w:rPr>
          <w:lang w:val="en-US" w:eastAsia="en-US" w:bidi="ar-SA"/>
          <w:rFonts w:asciiTheme="majorHAnsi" w:cstheme="majorBidi" w:eastAsiaTheme="majorEastAsia" w:hAnsiTheme="majorHAnsi"/>
          <w:b/>
          <w:color w:themeColor="accent1"/>
          <w:sz w:val="24"/>
          <w:szCs w:val="24"/>
        </w:rPr>
        <w:t>47.7 The Reconstruction and Development Fund</w:t>
      </w:r>
    </w:p>
    <w:p>
      <w:pPr>
        <w:pStyle w:val="FirstParagraph"/>
      </w:pPr>
      <w:r>
        <w:rPr>
          <w:sz w:val="24"/>
          <w:szCs w:val="24"/>
          <w:lang w:val="en-US" w:eastAsia="en-US" w:bidi="ar-SA"/>
        </w:rPr>
        <w:t>47.7.1 The Reconstruction and Development Fund Protocol (the RDF), incorporated as Annex O to this Accord, supplies the capitalization and execution architecture of the Reconstruction and Reconciliation Facility of Article 47.3.</w:t>
      </w:r>
    </w:p>
    <w:p>
      <w:pPr>
        <w:pStyle w:val="FirstParagraph"/>
      </w:pPr>
      <w:r>
        <w:rPr>
          <w:sz w:val="24"/>
          <w:szCs w:val="24"/>
          <w:lang w:val="en-US" w:eastAsia="en-US" w:bidi="ar-SA"/>
        </w:rPr>
        <w:t>47.7.2 The RDF aggregates third-party capital through neutral channels: a neutral escrow at the Qatar Central Bank, the technical fiduciary verification of the World Bank, modular sector sub-funds, milestone-based disbursement, an absolute no-clawback rule, and a sanctions firewall under general license. No Party pays another Party directly; every flow honors Red Line RL-7.</w:t>
      </w:r>
    </w:p>
    <w:p>
      <w:pPr>
        <w:pStyle w:val="FirstParagraph"/>
      </w:pPr>
      <w:r>
        <w:rPr>
          <w:sz w:val="24"/>
          <w:szCs w:val="24"/>
          <w:lang w:val="en-US" w:eastAsia="en-US" w:bidi="ar-SA"/>
        </w:rPr>
        <w:t>47.7.3 Iran holds sovereign authority over project selection and procurement within the RDF, and the framework architecture excludes directed purchasing from any state.</w:t>
      </w:r>
    </w:p>
    <w:p>
      <w:pPr>
        <w:pStyle w:val="FirstParagraph"/>
      </w:pPr>
      <w:r>
        <w:rPr>
          <w:sz w:val="24"/>
          <w:szCs w:val="24"/>
          <w:lang w:val="en-US" w:eastAsia="en-US" w:bidi="ar-SA"/>
        </w:rPr>
        <w:t>47.7.4 The RDF operates firewalled from this Accord’s maritime machinery: no RDF event moves any gate, escalator step, corridor rule, or revenue flow, and no maritime event stays any RDF disbursement. The Nuclear Firewall of Article 5 binds the RDF in both directions.</w:t>
      </w:r>
    </w:p>
    <w:p>
      <w:pPr>
        <w:pStyle w:val="FirstParagraph"/>
      </w:pPr>
      <w:r>
        <w:rPr>
          <w:sz w:val="24"/>
          <w:szCs w:val="24"/>
          <w:lang w:val="en-US" w:eastAsia="en-US" w:bidi="ar-SA"/>
        </w:rPr>
        <w:t>47.7.5 The United States participates in the RDF through technical assistance, regulatory facilitation, and private-sector and in-kind channels, never through direct state cash transfers; the architecture records this position and functions in full around it.</w:t>
      </w:r>
    </w:p>
    <w:bookmarkEnd w:id="285"/>
    <w:bookmarkEnd w:id="286"/>
    <w:bookmarkStart w:id="290" w:name="Xbcf8c80d927154bb0b982c3e887b1ed84b3927d"/>
    <w:p>
      <w:pPr>
        <w:pStyle w:val="Heading2"/>
      </w:pPr>
      <w:r>
        <w:rPr>
          <w:lang w:val="en-US" w:eastAsia="en-US" w:bidi="ar-SA"/>
          <w:rFonts w:asciiTheme="majorHAnsi" w:cstheme="majorBidi" w:eastAsiaTheme="majorEastAsia" w:hAnsiTheme="majorHAnsi"/>
          <w:b/>
          <w:color w:themeColor="accent1"/>
          <w:sz w:val="28"/>
          <w:szCs w:val="28"/>
        </w:rPr>
        <w:t>Article 48: Gate G-4: The Governance Stability Audit</w:t>
      </w:r>
    </w:p>
    <w:bookmarkStart w:id="287" w:name="the-audit-4"/>
    <w:p>
      <w:pPr>
        <w:pStyle w:val="Heading3"/>
      </w:pPr>
      <w:r>
        <w:rPr>
          <w:lang w:val="en-US" w:eastAsia="en-US" w:bidi="ar-SA"/>
          <w:rFonts w:asciiTheme="majorHAnsi" w:cstheme="majorBidi" w:eastAsiaTheme="majorEastAsia" w:hAnsiTheme="majorHAnsi"/>
          <w:b/>
          <w:color w:themeColor="accent1"/>
          <w:sz w:val="24"/>
          <w:szCs w:val="24"/>
        </w:rPr>
        <w:t>48.1 The Audit</w:t>
      </w:r>
    </w:p>
    <w:p>
      <w:pPr>
        <w:pStyle w:val="FirstParagraph"/>
      </w:pPr>
      <w:r>
        <w:rPr>
          <w:sz w:val="24"/>
          <w:szCs w:val="24"/>
          <w:lang w:val="en-US" w:eastAsia="en-US" w:bidi="ar-SA"/>
        </w:rPr>
        <w:t>The Neutral Watch Office audits: Full Unlock attained and held for 28 consecutive days; the Tribunal seated with its caseload current (no determination older than 90 days undecided); the Mutual Claims Commission seated with its docket open; the equal-treatment audit clean for two consecutive quarters; and the Reciprocity Map’s Layer 4 entries executed.</w:t>
      </w:r>
    </w:p>
    <w:bookmarkEnd w:id="287"/>
    <w:bookmarkStart w:id="288" w:name="certification-and-effect-3"/>
    <w:p>
      <w:pPr>
        <w:pStyle w:val="Heading3"/>
      </w:pPr>
      <w:r>
        <w:rPr>
          <w:lang w:val="en-US" w:eastAsia="en-US" w:bidi="ar-SA"/>
          <w:rFonts w:asciiTheme="majorHAnsi" w:cstheme="majorBidi" w:eastAsiaTheme="majorEastAsia" w:hAnsiTheme="majorHAnsi"/>
          <w:b/>
          <w:color w:themeColor="accent1"/>
          <w:sz w:val="24"/>
          <w:szCs w:val="24"/>
        </w:rPr>
        <w:t>48.2 Certification and Effect</w:t>
      </w:r>
    </w:p>
    <w:p>
      <w:pPr>
        <w:pStyle w:val="FirstParagraph"/>
      </w:pPr>
      <w:r>
        <w:rPr>
          <w:sz w:val="24"/>
          <w:szCs w:val="24"/>
          <w:lang w:val="en-US" w:eastAsia="en-US" w:bidi="ar-SA"/>
        </w:rPr>
        <w:t>The Office publishes the Gate G-4 certificate within 24 hours of the metrics standing satisfied, and Layer 5 opens at 00:00 UTC on the following day. On the same day, under the Reciprocity Map, the third sanctions-relief tranche and the frozen-asset release schedule of Table N.2 take effect.</w:t>
      </w:r>
    </w:p>
    <w:bookmarkEnd w:id="288"/>
    <w:bookmarkStart w:id="289" w:name="failure-handling-4"/>
    <w:p>
      <w:pPr>
        <w:pStyle w:val="Heading3"/>
      </w:pPr>
      <w:r>
        <w:rPr>
          <w:lang w:val="en-US" w:eastAsia="en-US" w:bidi="ar-SA"/>
          <w:rFonts w:asciiTheme="majorHAnsi" w:cstheme="majorBidi" w:eastAsiaTheme="majorEastAsia" w:hAnsiTheme="majorHAnsi"/>
          <w:b/>
          <w:color w:themeColor="accent1"/>
          <w:sz w:val="24"/>
          <w:szCs w:val="24"/>
        </w:rPr>
        <w:t>48.3 Failure Handling</w:t>
      </w:r>
    </w:p>
    <w:p>
      <w:pPr>
        <w:pStyle w:val="FirstParagraph"/>
      </w:pPr>
      <w:r>
        <w:rPr>
          <w:sz w:val="24"/>
          <w:szCs w:val="24"/>
          <w:lang w:val="en-US" w:eastAsia="en-US" w:bidi="ar-SA"/>
        </w:rPr>
        <w:t>A metric standing unsatisfied repeats the audit every 30 days. The Nofade Guarantee holds every element in place.</w:t>
      </w:r>
    </w:p>
    <w:bookmarkEnd w:id="289"/>
    <w:bookmarkEnd w:id="290"/>
    <w:bookmarkEnd w:id="291"/>
    <w:bookmarkStart w:id="326" w:name="Xfccc416125ad6c9558d4ef02c676ae56ea88368"/>
    <w:p>
      <w:pPr>
        <w:pStyle w:val="Heading1"/>
      </w:pPr>
      <w:r>
        <w:rPr>
          <w:lang w:val="en-US" w:eastAsia="en-US" w:bidi="ar-SA"/>
          <w:rFonts w:asciiTheme="majorHAnsi" w:cstheme="majorBidi" w:eastAsiaTheme="majorEastAsia" w:hAnsiTheme="majorHAnsi"/>
          <w:b/>
          <w:color w:themeColor="accent1"/>
          <w:sz w:val="32"/>
          <w:szCs w:val="32"/>
        </w:rPr>
        <w:t>PART VII: LAYER 5: THE PERMANENT CHARTER (DAYS 90 TO 120)</w:t>
      </w:r>
    </w:p>
    <w:bookmarkStart w:id="296" w:name="X7dd347ce5f4459f2837ff8e13003c9df7538a72"/>
    <w:p>
      <w:pPr>
        <w:pStyle w:val="Heading2"/>
      </w:pPr>
      <w:r>
        <w:rPr>
          <w:lang w:val="en-US" w:eastAsia="en-US" w:bidi="ar-SA"/>
          <w:rFonts w:asciiTheme="majorHAnsi" w:cstheme="majorBidi" w:eastAsiaTheme="majorEastAsia" w:hAnsiTheme="majorHAnsi"/>
          <w:b/>
          <w:color w:themeColor="accent1"/>
          <w:sz w:val="28"/>
          <w:szCs w:val="28"/>
        </w:rPr>
        <w:t>Article 49: Conversion: From Accord to Charter</w:t>
      </w:r>
    </w:p>
    <w:bookmarkStart w:id="292" w:name="the-conversion-principle"/>
    <w:p>
      <w:pPr>
        <w:pStyle w:val="Heading3"/>
      </w:pPr>
      <w:r>
        <w:rPr>
          <w:lang w:val="en-US" w:eastAsia="en-US" w:bidi="ar-SA"/>
          <w:rFonts w:asciiTheme="majorHAnsi" w:cstheme="majorBidi" w:eastAsiaTheme="majorEastAsia" w:hAnsiTheme="majorHAnsi"/>
          <w:b/>
          <w:color w:themeColor="accent1"/>
          <w:sz w:val="24"/>
          <w:szCs w:val="24"/>
        </w:rPr>
        <w:t>49.1 The Conversion Principle</w:t>
      </w:r>
    </w:p>
    <w:p>
      <w:pPr>
        <w:pStyle w:val="FirstParagraph"/>
      </w:pPr>
      <w:r>
        <w:rPr>
          <w:sz w:val="24"/>
          <w:szCs w:val="24"/>
          <w:lang w:val="en-US" w:eastAsia="en-US" w:bidi="ar-SA"/>
        </w:rPr>
        <w:t>Layer 5 codifies proven components, never theoretical ones. Every element of the Permanent Charter enters it from the operating record of Layers 0 through 4: a corridor that carried traffic, a protocol that logged transits, an institution that issued determinations, a mechanism that reconciled accounts. The Charter contains no experiment.</w:t>
      </w:r>
    </w:p>
    <w:bookmarkEnd w:id="292"/>
    <w:bookmarkStart w:id="293" w:name="the-conversion-resolution"/>
    <w:p>
      <w:pPr>
        <w:pStyle w:val="Heading3"/>
      </w:pPr>
      <w:r>
        <w:rPr>
          <w:lang w:val="en-US" w:eastAsia="en-US" w:bidi="ar-SA"/>
          <w:rFonts w:asciiTheme="majorHAnsi" w:cstheme="majorBidi" w:eastAsiaTheme="majorEastAsia" w:hAnsiTheme="majorHAnsi"/>
          <w:b/>
          <w:color w:themeColor="accent1"/>
          <w:sz w:val="24"/>
          <w:szCs w:val="24"/>
        </w:rPr>
        <w:t>49.2 The Conversion Resolution</w:t>
      </w:r>
    </w:p>
    <w:p>
      <w:pPr>
        <w:pStyle w:val="FirstParagraph"/>
      </w:pPr>
      <w:r>
        <w:rPr>
          <w:sz w:val="24"/>
          <w:szCs w:val="24"/>
          <w:lang w:val="en-US" w:eastAsia="en-US" w:bidi="ar-SA"/>
        </w:rPr>
        <w:t>Upon Gate G-4 certification, the Council adopts the Charter Conversion resolution under Consensus Minus One within 60 days. The resolution confirms the operating text of Parts II through VI, as amended in operation, as the Charter’s operative parts; confirms the annexes as updated; and fixes the Charter’s date of effect. The depositary then receives instruments of acceptance from every Party, and the Charter enters into force on the thirtieth day after the last instrument deposits.</w:t>
      </w:r>
    </w:p>
    <w:bookmarkEnd w:id="293"/>
    <w:bookmarkStart w:id="294" w:name="gate-g-5"/>
    <w:p>
      <w:pPr>
        <w:pStyle w:val="Heading3"/>
      </w:pPr>
      <w:r>
        <w:rPr>
          <w:lang w:val="en-US" w:eastAsia="en-US" w:bidi="ar-SA"/>
          <w:rFonts w:asciiTheme="majorHAnsi" w:cstheme="majorBidi" w:eastAsiaTheme="majorEastAsia" w:hAnsiTheme="majorHAnsi"/>
          <w:b/>
          <w:color w:themeColor="accent1"/>
          <w:sz w:val="24"/>
          <w:szCs w:val="24"/>
        </w:rPr>
        <w:t>49.3 Gate G-5</w:t>
      </w:r>
    </w:p>
    <w:p>
      <w:pPr>
        <w:pStyle w:val="FirstParagraph"/>
      </w:pPr>
      <w:r>
        <w:rPr>
          <w:sz w:val="24"/>
          <w:szCs w:val="24"/>
          <w:lang w:val="en-US" w:eastAsia="en-US" w:bidi="ar-SA"/>
        </w:rPr>
        <w:t>Gate G-5 certifies upon: the Council resolution adopted; the depositary’s confirmation of all instruments; and the International Maritime Organization lodgment of Article 50.3 complete. The certificate publishes with the full conversion record, and the Accord’s provisional character ends on that day.</w:t>
      </w:r>
    </w:p>
    <w:bookmarkEnd w:id="294"/>
    <w:bookmarkStart w:id="295" w:name="continuity-through-conversion"/>
    <w:p>
      <w:pPr>
        <w:pStyle w:val="Heading3"/>
      </w:pPr>
      <w:r>
        <w:rPr>
          <w:lang w:val="en-US" w:eastAsia="en-US" w:bidi="ar-SA"/>
          <w:rFonts w:asciiTheme="majorHAnsi" w:cstheme="majorBidi" w:eastAsiaTheme="majorEastAsia" w:hAnsiTheme="majorHAnsi"/>
          <w:b/>
          <w:color w:themeColor="accent1"/>
          <w:sz w:val="24"/>
          <w:szCs w:val="24"/>
        </w:rPr>
        <w:t>49.4 Continuity Through Conversion</w:t>
      </w:r>
    </w:p>
    <w:p>
      <w:pPr>
        <w:pStyle w:val="FirstParagraph"/>
      </w:pPr>
      <w:r>
        <w:rPr>
          <w:sz w:val="24"/>
          <w:szCs w:val="24"/>
          <w:lang w:val="en-US" w:eastAsia="en-US" w:bidi="ar-SA"/>
        </w:rPr>
        <w:t>Conversion changes nothing operational: corridors, shares, institutions, gates, and the Escalator’s successor mechanism continue without interruption on the day the Charter takes effect. The Nofade Guarantee carries every attainment across the conversion untouched.</w:t>
      </w:r>
    </w:p>
    <w:bookmarkEnd w:id="295"/>
    <w:bookmarkEnd w:id="296"/>
    <w:bookmarkStart w:id="301" w:name="Xf5a1cf51e07ca78656194b6f63334fc7632a5cf"/>
    <w:p>
      <w:pPr>
        <w:pStyle w:val="Heading2"/>
      </w:pPr>
      <w:r>
        <w:rPr>
          <w:lang w:val="en-US" w:eastAsia="en-US" w:bidi="ar-SA"/>
          <w:rFonts w:asciiTheme="majorHAnsi" w:cstheme="majorBidi" w:eastAsiaTheme="majorEastAsia" w:hAnsiTheme="majorHAnsi"/>
          <w:b/>
          <w:color w:themeColor="accent1"/>
          <w:sz w:val="28"/>
          <w:szCs w:val="28"/>
        </w:rPr>
        <w:t>Article 50: The Permanent Governance Settlement</w:t>
      </w:r>
    </w:p>
    <w:bookmarkStart w:id="297" w:name="the-corridor-settlement-at-permanence"/>
    <w:p>
      <w:pPr>
        <w:pStyle w:val="Heading3"/>
      </w:pPr>
      <w:r>
        <w:rPr>
          <w:lang w:val="en-US" w:eastAsia="en-US" w:bidi="ar-SA"/>
          <w:rFonts w:asciiTheme="majorHAnsi" w:cstheme="majorBidi" w:eastAsiaTheme="majorEastAsia" w:hAnsiTheme="majorHAnsi"/>
          <w:b/>
          <w:color w:themeColor="accent1"/>
          <w:sz w:val="24"/>
          <w:szCs w:val="24"/>
        </w:rPr>
        <w:t>50.1 The Corridor Settlement at Permanence</w:t>
      </w:r>
    </w:p>
    <w:p>
      <w:pPr>
        <w:pStyle w:val="FirstParagraph"/>
      </w:pPr>
      <w:r>
        <w:rPr>
          <w:sz w:val="24"/>
          <w:szCs w:val="24"/>
          <w:lang w:val="en-US" w:eastAsia="en-US" w:bidi="ar-SA"/>
        </w:rPr>
        <w:t>At permanence, the three-corridor system stands as follows, reflecting the operating record and Full Unlock: Iran administers the Northern Coordination Passage and the northern face of the Central Deconfliction Band under the notification-only regime and the service standards of Article 23; Oman administers the Southern Assurance Passage unconditionally, outside every escalator and every share, as the framework’s guarantee that one lane through the strait answers to no notification layer at all; and the Band operates under joint monitoring with the two-of-three concurrence of Article 44.2.</w:t>
      </w:r>
    </w:p>
    <w:bookmarkEnd w:id="297"/>
    <w:bookmarkStart w:id="298" w:name="the-two-way-restoration"/>
    <w:p>
      <w:pPr>
        <w:pStyle w:val="Heading3"/>
      </w:pPr>
      <w:r>
        <w:rPr>
          <w:lang w:val="en-US" w:eastAsia="en-US" w:bidi="ar-SA"/>
          <w:rFonts w:asciiTheme="majorHAnsi" w:cstheme="majorBidi" w:eastAsiaTheme="majorEastAsia" w:hAnsiTheme="majorHAnsi"/>
          <w:b/>
          <w:color w:themeColor="accent1"/>
          <w:sz w:val="24"/>
          <w:szCs w:val="24"/>
        </w:rPr>
        <w:t>50.2 The Two-Way Restoration</w:t>
      </w:r>
    </w:p>
    <w:p>
      <w:pPr>
        <w:pStyle w:val="FirstParagraph"/>
      </w:pPr>
      <w:r>
        <w:rPr>
          <w:sz w:val="24"/>
          <w:szCs w:val="24"/>
          <w:lang w:val="en-US" w:eastAsia="en-US" w:bidi="ar-SA"/>
        </w:rPr>
        <w:t>The permanent settlement restores full two-way traffic at pre-war volumes and beyond: inbound through the Northern Coordination Passage, outbound through the Southern Assurance Passage, emergency and special-cargo routing through the Band, and the anchorages serving staging and verification. The settlement records as its baseline the measured throughput of the corridor system at Gate G-4, and the Charter commits the institutions to the capacity plan of Annex K.5 for growth beyond it.</w:t>
      </w:r>
    </w:p>
    <w:bookmarkEnd w:id="298"/>
    <w:bookmarkStart w:id="299" w:name="the-imo-lodgment"/>
    <w:p>
      <w:pPr>
        <w:pStyle w:val="Heading3"/>
      </w:pPr>
      <w:r>
        <w:rPr>
          <w:lang w:val="en-US" w:eastAsia="en-US" w:bidi="ar-SA"/>
          <w:rFonts w:asciiTheme="majorHAnsi" w:cstheme="majorBidi" w:eastAsiaTheme="majorEastAsia" w:hAnsiTheme="majorHAnsi"/>
          <w:b/>
          <w:color w:themeColor="accent1"/>
          <w:sz w:val="24"/>
          <w:szCs w:val="24"/>
        </w:rPr>
        <w:t>50.3 The IMO Lodgment</w:t>
      </w:r>
    </w:p>
    <w:p>
      <w:pPr>
        <w:pStyle w:val="FirstParagraph"/>
      </w:pPr>
      <w:r>
        <w:rPr>
          <w:sz w:val="24"/>
          <w:szCs w:val="24"/>
          <w:lang w:val="en-US" w:eastAsia="en-US" w:bidi="ar-SA"/>
        </w:rPr>
        <w:t>Upon conversion, the Council lodges the corridor system’s final geometry with the International Maritime Organization as a revised traffic separation scheme for adoption through the Organization’s procedures, and with the International Hydrographic Organization for chart updating. The lodgment publishes the full coordinate set of Annex A, which the depositary releases from seal automatically upon the Neutral Watch Office Director’s certification of conversion, without further decision.</w:t>
      </w:r>
    </w:p>
    <w:bookmarkEnd w:id="299"/>
    <w:bookmarkStart w:id="300" w:name="the-standing-review"/>
    <w:p>
      <w:pPr>
        <w:pStyle w:val="Heading3"/>
      </w:pPr>
      <w:r>
        <w:rPr>
          <w:lang w:val="en-US" w:eastAsia="en-US" w:bidi="ar-SA"/>
          <w:rFonts w:asciiTheme="majorHAnsi" w:cstheme="majorBidi" w:eastAsiaTheme="majorEastAsia" w:hAnsiTheme="majorHAnsi"/>
          <w:b/>
          <w:color w:themeColor="accent1"/>
          <w:sz w:val="24"/>
          <w:szCs w:val="24"/>
        </w:rPr>
        <w:t>50.4 The Standing Review</w:t>
      </w:r>
    </w:p>
    <w:p>
      <w:pPr>
        <w:pStyle w:val="FirstParagraph"/>
      </w:pPr>
      <w:r>
        <w:rPr>
          <w:sz w:val="24"/>
          <w:szCs w:val="24"/>
          <w:lang w:val="en-US" w:eastAsia="en-US" w:bidi="ar-SA"/>
        </w:rPr>
        <w:t>The Charter reviews its own operation every five years through the Stability Audit method of Annex J: measurement against the published metrics, publication of the record, and adjustment of annexes under the amendment rules. The review never reopens the protected core.</w:t>
      </w:r>
    </w:p>
    <w:bookmarkEnd w:id="300"/>
    <w:bookmarkEnd w:id="301"/>
    <w:bookmarkStart w:id="307" w:name="X80967c4312870fc1fd331d6a313817fa5797e94"/>
    <w:p>
      <w:pPr>
        <w:pStyle w:val="Heading2"/>
      </w:pPr>
      <w:r>
        <w:rPr>
          <w:lang w:val="en-US" w:eastAsia="en-US" w:bidi="ar-SA"/>
          <w:rFonts w:asciiTheme="majorHAnsi" w:cstheme="majorBidi" w:eastAsiaTheme="majorEastAsia" w:hAnsiTheme="majorHAnsi"/>
          <w:b/>
          <w:color w:themeColor="accent1"/>
          <w:sz w:val="28"/>
          <w:szCs w:val="28"/>
        </w:rPr>
        <w:t>Article 51: The Wider Settlement Interface</w:t>
      </w:r>
    </w:p>
    <w:bookmarkStart w:id="302" w:name="the-sanctions-relief-schedule"/>
    <w:p>
      <w:pPr>
        <w:pStyle w:val="Heading3"/>
      </w:pPr>
      <w:r>
        <w:rPr>
          <w:lang w:val="en-US" w:eastAsia="en-US" w:bidi="ar-SA"/>
          <w:rFonts w:asciiTheme="majorHAnsi" w:cstheme="majorBidi" w:eastAsiaTheme="majorEastAsia" w:hAnsiTheme="majorHAnsi"/>
          <w:b/>
          <w:color w:themeColor="accent1"/>
          <w:sz w:val="24"/>
          <w:szCs w:val="24"/>
        </w:rPr>
        <w:t>51.1 The Sanctions-Relief Schedule</w:t>
      </w:r>
    </w:p>
    <w:p>
      <w:pPr>
        <w:pStyle w:val="FirstParagraph"/>
      </w:pPr>
      <w:r>
        <w:rPr>
          <w:sz w:val="24"/>
          <w:szCs w:val="24"/>
          <w:lang w:val="en-US" w:eastAsia="en-US" w:bidi="ar-SA"/>
        </w:rPr>
        <w:t>The Reciprocity Map of Annex N, Table N.2, states the synchronized schedule binding maritime progress to sanctions relief: the interim authorizations at Layer 3 opening; the standing financial authorizations at Gate G-3; the comprehensive relief package at Gate G-4, covering the revocation of the wartime emergency measures and the restoration of ordinary commercial and financial relations; and the residual-items review at permanence. Each tranche takes effect automatically upon its maritime counterpart’s certification, and no tranche re-imposes upon any ground outside this Accord’s own schedules.</w:t>
      </w:r>
    </w:p>
    <w:bookmarkEnd w:id="302"/>
    <w:bookmarkStart w:id="303" w:name="the-blockade-termination"/>
    <w:p>
      <w:pPr>
        <w:pStyle w:val="Heading3"/>
      </w:pPr>
      <w:r>
        <w:rPr>
          <w:lang w:val="en-US" w:eastAsia="en-US" w:bidi="ar-SA"/>
          <w:rFonts w:asciiTheme="majorHAnsi" w:cstheme="majorBidi" w:eastAsiaTheme="majorEastAsia" w:hAnsiTheme="majorHAnsi"/>
          <w:b/>
          <w:color w:themeColor="accent1"/>
          <w:sz w:val="24"/>
          <w:szCs w:val="24"/>
        </w:rPr>
        <w:t>51.2 The Blockade Termination</w:t>
      </w:r>
    </w:p>
    <w:p>
      <w:pPr>
        <w:pStyle w:val="FirstParagraph"/>
      </w:pPr>
      <w:r>
        <w:rPr>
          <w:sz w:val="24"/>
          <w:szCs w:val="24"/>
          <w:lang w:val="en-US" w:eastAsia="en-US" w:bidi="ar-SA"/>
        </w:rPr>
        <w:t>The blockade drawdown of Table N.2 completes at Gate G-2 and the measure terminates permanently at Gate G-4. The termination executes by the same synchronized instrument as the Gate G-4 certificate, and the Reciprocity Ledger records both on the same page.</w:t>
      </w:r>
    </w:p>
    <w:bookmarkEnd w:id="303"/>
    <w:bookmarkStart w:id="304" w:name="force-posture-normalization"/>
    <w:p>
      <w:pPr>
        <w:pStyle w:val="Heading3"/>
      </w:pPr>
      <w:r>
        <w:rPr>
          <w:lang w:val="en-US" w:eastAsia="en-US" w:bidi="ar-SA"/>
          <w:rFonts w:asciiTheme="majorHAnsi" w:cstheme="majorBidi" w:eastAsiaTheme="majorEastAsia" w:hAnsiTheme="majorHAnsi"/>
          <w:b/>
          <w:color w:themeColor="accent1"/>
          <w:sz w:val="24"/>
          <w:szCs w:val="24"/>
        </w:rPr>
        <w:t>51.3 Force Posture Normalization</w:t>
      </w:r>
    </w:p>
    <w:p>
      <w:pPr>
        <w:pStyle w:val="FirstParagraph"/>
      </w:pPr>
      <w:r>
        <w:rPr>
          <w:sz w:val="24"/>
          <w:szCs w:val="24"/>
          <w:lang w:val="en-US" w:eastAsia="en-US" w:bidi="ar-SA"/>
        </w:rPr>
        <w:t>The United States regional force posture draws down along the schedule of Table N.3 as each gate certifies, from wartime surge levels toward the pre-2026 steady state, mirrored by the stand-down of Iranian coastal alert postures along the same schedule. The drawdowns proceed in paired steps, each step verified by the Neutral Watch Office from the published record, and each step banking permanently under the Nofade Guarantee.</w:t>
      </w:r>
    </w:p>
    <w:bookmarkEnd w:id="304"/>
    <w:bookmarkStart w:id="305" w:name="the-development-interface"/>
    <w:p>
      <w:pPr>
        <w:pStyle w:val="Heading3"/>
      </w:pPr>
      <w:r>
        <w:rPr>
          <w:lang w:val="en-US" w:eastAsia="en-US" w:bidi="ar-SA"/>
          <w:rFonts w:asciiTheme="majorHAnsi" w:cstheme="majorBidi" w:eastAsiaTheme="majorEastAsia" w:hAnsiTheme="majorHAnsi"/>
          <w:b/>
          <w:color w:themeColor="accent1"/>
          <w:sz w:val="24"/>
          <w:szCs w:val="24"/>
        </w:rPr>
        <w:t>51.4 The Development Interface</w:t>
      </w:r>
    </w:p>
    <w:p>
      <w:pPr>
        <w:pStyle w:val="FirstParagraph"/>
      </w:pPr>
      <w:r>
        <w:rPr>
          <w:sz w:val="24"/>
          <w:szCs w:val="24"/>
          <w:lang w:val="en-US" w:eastAsia="en-US" w:bidi="ar-SA"/>
        </w:rPr>
        <w:t>The Reconstruction and Reconciliation Facility of Article 47.3 expands at permanence into the standing development window for the strait’s coastal communities: port safety, spill response capacity, hydrographic capability, and fisheries protection, financed from the Facility’s standing allocations and the voluntary contributions of the littoral states. The window serves the populations that the conflict’s closure of the strait harmed first and most.</w:t>
      </w:r>
    </w:p>
    <w:bookmarkEnd w:id="305"/>
    <w:bookmarkStart w:id="306" w:name="the-nuclear-track-reference"/>
    <w:p>
      <w:pPr>
        <w:pStyle w:val="Heading3"/>
      </w:pPr>
      <w:r>
        <w:rPr>
          <w:lang w:val="en-US" w:eastAsia="en-US" w:bidi="ar-SA"/>
          <w:rFonts w:asciiTheme="majorHAnsi" w:cstheme="majorBidi" w:eastAsiaTheme="majorEastAsia" w:hAnsiTheme="majorHAnsi"/>
          <w:b/>
          <w:color w:themeColor="accent1"/>
          <w:sz w:val="24"/>
          <w:szCs w:val="24"/>
        </w:rPr>
        <w:t>51.5 The Nuclear Track Reference</w:t>
      </w:r>
    </w:p>
    <w:p>
      <w:pPr>
        <w:pStyle w:val="FirstParagraph"/>
      </w:pPr>
      <w:r>
        <w:rPr>
          <w:sz w:val="24"/>
          <w:szCs w:val="24"/>
          <w:lang w:val="en-US" w:eastAsia="en-US" w:bidi="ar-SA"/>
        </w:rPr>
        <w:t>The nuclear track proceeds separately under its own instruments. This Charter records only that the maritime settlement stands complete regardless of that track’s pace, and that the firewall of Article 5 binds at permanence exactly as it binds today.</w:t>
      </w:r>
    </w:p>
    <w:p>
      <w:pPr>
        <w:pStyle w:val="Heading3"/>
      </w:pPr>
      <w:r>
        <w:rPr>
          <w:lang w:val="en-US" w:eastAsia="en-US" w:bidi="ar-SA"/>
          <w:rFonts w:asciiTheme="majorHAnsi" w:cstheme="majorBidi" w:eastAsiaTheme="majorEastAsia" w:hAnsiTheme="majorHAnsi"/>
          <w:b/>
          <w:color w:themeColor="accent1"/>
          <w:sz w:val="24"/>
          <w:szCs w:val="24"/>
        </w:rPr>
        <w:t>51.6 The PGSA Transition</w:t>
      </w:r>
    </w:p>
    <w:p>
      <w:pPr>
        <w:pStyle w:val="FirstParagraph"/>
      </w:pPr>
      <w:r>
        <w:rPr>
          <w:sz w:val="24"/>
          <w:szCs w:val="24"/>
          <w:lang w:val="en-US" w:eastAsia="en-US" w:bidi="ar-SA"/>
        </w:rPr>
        <w:t>51.6.1 The Accord transforms the Persian Gulf Strait Authority into the Iranian delegation’s technical component within the Solh Council’s Technical Directorate, rather than abolishing it.</w:t>
      </w:r>
    </w:p>
    <w:p>
      <w:pPr>
        <w:pStyle w:val="FirstParagraph"/>
      </w:pPr>
      <w:r>
        <w:rPr>
          <w:sz w:val="24"/>
          <w:szCs w:val="24"/>
          <w:lang w:val="en-US" w:eastAsia="en-US" w:bidi="ar-SA"/>
        </w:rPr>
        <w:t>51.6.2 The transformation is functional: the Authority’s permit-issuing function terminates, and the notification protocol of Article 25 replaces it. Its traffic-coordination and hazard-bulletin functions continue under the Council’s joint, civilian structure.</w:t>
      </w:r>
    </w:p>
    <w:p>
      <w:pPr>
        <w:pStyle w:val="FirstParagraph"/>
      </w:pPr>
      <w:r>
        <w:rPr>
          <w:sz w:val="24"/>
          <w:szCs w:val="24"/>
          <w:lang w:val="en-US" w:eastAsia="en-US" w:bidi="ar-SA"/>
        </w:rPr>
        <w:t>51.6.3 The transformation gives Iran a recognized, formal, continuous administrative role; it gives the United States a functionally and structurally separated counterparty; and it gives Oman the joint structure it seeks. This section holds Red Lines RL-3 and RL-4.</w:t>
      </w:r>
    </w:p>
    <w:p>
      <w:pPr>
        <w:pStyle w:val="Heading3"/>
      </w:pPr>
      <w:r>
        <w:rPr>
          <w:lang w:val="en-US" w:eastAsia="en-US" w:bidi="ar-SA"/>
          <w:rFonts w:asciiTheme="majorHAnsi" w:cstheme="majorBidi" w:eastAsiaTheme="majorEastAsia" w:hAnsiTheme="majorHAnsi"/>
          <w:b/>
          <w:color w:themeColor="accent1"/>
          <w:sz w:val="24"/>
          <w:szCs w:val="24"/>
        </w:rPr>
        <w:t>51.7 The Regional De-escalation Interface</w:t>
      </w:r>
    </w:p>
    <w:p>
      <w:pPr>
        <w:pStyle w:val="FirstParagraph"/>
      </w:pPr>
      <w:r>
        <w:rPr>
          <w:sz w:val="24"/>
          <w:szCs w:val="24"/>
          <w:lang w:val="en-US" w:eastAsia="en-US" w:bidi="ar-SA"/>
        </w:rPr>
        <w:t>51.7.1 The Accord registers the stated positions of August 2026 linking the strait’s reopening to wider regional de-escalation, including Lebanon and Gaza, and answers them with architecture rather than argument: the freeze rule of Article 29.6, the deconfliction ring of Annex C, and the force posture drawdown of Table N.3 lower the regional temperature from the first day of operation.</w:t>
      </w:r>
    </w:p>
    <w:p>
      <w:pPr>
        <w:pStyle w:val="FirstParagraph"/>
      </w:pPr>
      <w:r>
        <w:rPr>
          <w:sz w:val="24"/>
          <w:szCs w:val="24"/>
          <w:lang w:val="en-US" w:eastAsia="en-US" w:bidi="ar-SA"/>
        </w:rPr>
        <w:t>51.7.2 No event in any other theater conditions any element of this Accord’s maritime machinery, and no element of this Accord conditions any other theater. The gates, corridors, and funds compute from their own published records, and no external conflict pauses them.</w:t>
      </w:r>
    </w:p>
    <w:p>
      <w:pPr>
        <w:pStyle w:val="FirstParagraph"/>
      </w:pPr>
      <w:r>
        <w:rPr>
          <w:sz w:val="24"/>
          <w:szCs w:val="24"/>
          <w:lang w:val="en-US" w:eastAsia="en-US" w:bidi="ar-SA"/>
        </w:rPr>
        <w:t>51.7.3 The facilitators maintain a standing regional de-escalation channel alongside this Accord, open to every Party, through which any Party tables wider concerns without touching the maritime record.</w:t>
      </w:r>
    </w:p>
    <w:bookmarkEnd w:id="306"/>
    <w:bookmarkEnd w:id="307"/>
    <w:bookmarkStart w:id="311" w:name="article-52-the-accession-architecture"/>
    <w:p>
      <w:pPr>
        <w:pStyle w:val="Heading2"/>
      </w:pPr>
      <w:r>
        <w:t xml:space="preserve">Article 52: The Accession Architecture</w:t>
      </w:r>
    </w:p>
    <w:bookmarkStart w:id="308" w:name="open-accession"/>
    <w:p>
      <w:pPr>
        <w:pStyle w:val="Heading3"/>
      </w:pPr>
      <w:r>
        <w:t xml:space="preserve">52.1 Open Accession</w:t>
      </w:r>
    </w:p>
    <w:p>
      <w:pPr>
        <w:pStyle w:val="FirstParagraph"/>
      </w:pPr>
      <w:r>
        <w:t xml:space="preserve">The United Arab Emirates accedes upon deposit of its instrument, taking the MRT-H and logistics roles of Annex H and the services share of Article 38.3. Qatar, Bahrain, Kuwait, Saudi Arabia, and Iraq accede upon deposit of instruments, taking the roles their instruments specify within the contribution framework of Annex H.3.</w:t>
      </w:r>
    </w:p>
    <w:bookmarkEnd w:id="308"/>
    <w:bookmarkStart w:id="309" w:name="effect-of-accession"/>
    <w:p>
      <w:pPr>
        <w:pStyle w:val="Heading3"/>
      </w:pPr>
      <w:r>
        <w:t xml:space="preserve">52.2 Effect of Accession</w:t>
      </w:r>
    </w:p>
    <w:p>
      <w:pPr>
        <w:pStyle w:val="FirstParagraph"/>
      </w:pPr>
      <w:r>
        <w:t xml:space="preserve">An acceding state accepts the Red Lines Register, the corridor system, and the decision rules as they stand; takes its Council seat upon deposit; and contributes per its instrument. Accession never reopens any settled provision.</w:t>
      </w:r>
    </w:p>
    <w:bookmarkEnd w:id="309"/>
    <w:bookmarkStart w:id="310" w:name="observer-participants"/>
    <w:p>
      <w:pPr>
        <w:pStyle w:val="Heading3"/>
      </w:pPr>
      <w:r>
        <w:t xml:space="preserve">52.3 Observer Participants</w:t>
      </w:r>
    </w:p>
    <w:p>
      <w:pPr>
        <w:pStyle w:val="FirstParagraph"/>
      </w:pPr>
      <w:r>
        <w:t xml:space="preserve">User states and organizations (the International Maritime Organization, the International Hydrographic Organization, and the major user states of Asia and Europe) hold observer participation: the full public record, a recorded consultative voice in the Council, and the liaison channels of Annex C. Observers hold no vote and no operational role.</w:t>
      </w:r>
    </w:p>
    <w:bookmarkEnd w:id="310"/>
    <w:bookmarkEnd w:id="311"/>
    <w:bookmarkStart w:id="316" w:name="Xc6a4c6621ea55b95fd923800606e1a3ae0d957a"/>
    <w:p>
      <w:pPr>
        <w:pStyle w:val="Heading2"/>
      </w:pPr>
      <w:r>
        <w:t xml:space="preserve">Article 53: Amendment, Protected Core, and Review</w:t>
      </w:r>
    </w:p>
    <w:bookmarkStart w:id="312" w:name="annex-amendment"/>
    <w:p>
      <w:pPr>
        <w:pStyle w:val="Heading3"/>
      </w:pPr>
      <w:r>
        <w:t xml:space="preserve">53.1 Annex Amendment</w:t>
      </w:r>
    </w:p>
    <w:p>
      <w:pPr>
        <w:pStyle w:val="FirstParagraph"/>
      </w:pPr>
      <w:r>
        <w:t xml:space="preserve">The Council amends any annex under Consensus Minus One upon 30 days’ public notice of the text, except as Article 53.3 protects.</w:t>
      </w:r>
    </w:p>
    <w:bookmarkEnd w:id="312"/>
    <w:bookmarkStart w:id="313" w:name="body-amendment"/>
    <w:p>
      <w:pPr>
        <w:pStyle w:val="Heading3"/>
      </w:pPr>
      <w:r>
        <w:t xml:space="preserve">53.2 Body Amendment</w:t>
      </w:r>
    </w:p>
    <w:p>
      <w:pPr>
        <w:pStyle w:val="FirstParagraph"/>
      </w:pPr>
      <w:r>
        <w:t xml:space="preserve">The Parties amend the Charter body by instruments of acceptance of every Principal Party and every Guarantor Party, upon the Council’s recommendation under Consensus Minus One and 60 days’ public notice.</w:t>
      </w:r>
    </w:p>
    <w:bookmarkEnd w:id="313"/>
    <w:bookmarkStart w:id="314" w:name="the-protected-core"/>
    <w:p>
      <w:pPr>
        <w:pStyle w:val="Heading3"/>
      </w:pPr>
      <w:r>
        <w:t xml:space="preserve">53.3 The Protected Core</w:t>
      </w:r>
    </w:p>
    <w:p>
      <w:pPr>
        <w:pStyle w:val="FirstParagraph"/>
      </w:pPr>
      <w:r>
        <w:t xml:space="preserve">The following amend only by unanimity of the Principal Parties and the Guarantor Parties: the Red Lines Register; the Zero-Toll Rule; the Non-Interdiction Protocol; the Nuclear Firewall; the Nofade Guarantee; the humanitarian absolute; the distress-priority rule; the Permanent Floor; and this Article. The protected core is the Charter’s load-bearing wall; everything else evolves.</w:t>
      </w:r>
    </w:p>
    <w:bookmarkEnd w:id="314"/>
    <w:bookmarkStart w:id="315" w:name="the-complexity-audit"/>
    <w:p>
      <w:pPr>
        <w:pStyle w:val="Heading3"/>
      </w:pPr>
      <w:r>
        <w:t xml:space="preserve">53.4 The Complexity Audit</w:t>
      </w:r>
    </w:p>
    <w:p>
      <w:pPr>
        <w:pStyle w:val="FirstParagraph"/>
      </w:pPr>
      <w:r>
        <w:t xml:space="preserve">Every amendment passes the complexity audit of the drafting convention: the Six-Step Rule, the One-Page Principle, and the present-tense discipline. An amendment that fails the audit returns for redrafting. The framework stays simple enough to operate at 03:00 on a bridge wing.</w:t>
      </w:r>
    </w:p>
    <w:bookmarkEnd w:id="315"/>
    <w:bookmarkEnd w:id="316"/>
    <w:bookmarkStart w:id="321" w:name="X5058562426b90f2b91eb6a767f4db48ad901817"/>
    <w:p>
      <w:pPr>
        <w:pStyle w:val="Heading2"/>
      </w:pPr>
      <w:r>
        <w:t xml:space="preserve">Article 54: Duration, Dormancy, Withdrawal, and Reconstitution</w:t>
      </w:r>
    </w:p>
    <w:bookmarkStart w:id="317" w:name="duration"/>
    <w:p>
      <w:pPr>
        <w:pStyle w:val="Heading3"/>
      </w:pPr>
      <w:r>
        <w:t xml:space="preserve">54.1 Duration</w:t>
      </w:r>
    </w:p>
    <w:p>
      <w:pPr>
        <w:pStyle w:val="FirstParagraph"/>
      </w:pPr>
      <w:r>
        <w:t xml:space="preserve">The Charter stands without sunset.</w:t>
      </w:r>
    </w:p>
    <w:bookmarkEnd w:id="317"/>
    <w:bookmarkStart w:id="318" w:name="withdrawal"/>
    <w:p>
      <w:pPr>
        <w:pStyle w:val="Heading3"/>
      </w:pPr>
      <w:r>
        <w:rPr>
          <w:lang w:val="en-US" w:eastAsia="en-US" w:bidi="ar-SA"/>
          <w:rFonts w:asciiTheme="majorHAnsi" w:cstheme="majorBidi" w:eastAsiaTheme="majorEastAsia" w:hAnsiTheme="majorHAnsi"/>
          <w:b/>
          <w:color w:themeColor="accent1"/>
          <w:sz w:val="24"/>
          <w:szCs w:val="24"/>
        </w:rPr>
        <w:t>54.2 Withdrawal</w:t>
      </w:r>
    </w:p>
    <w:p>
      <w:pPr>
        <w:pStyle w:val="FirstParagraph"/>
      </w:pPr>
      <w:r>
        <w:rPr>
          <w:sz w:val="24"/>
          <w:szCs w:val="24"/>
          <w:lang w:val="en-US" w:eastAsia="en-US" w:bidi="ar-SA"/>
        </w:rPr>
        <w:t>A Party withdraws upon 180 days’ notice to the depositary. Withdrawal dissolves no certification, no share, no floor, and no corridor rule, which continue for all remaining Parties; and the withdrawing Party’s attainments bank for it under the Nofade Guarantee against any future re-accession.</w:t>
      </w:r>
    </w:p>
    <w:bookmarkEnd w:id="318"/>
    <w:bookmarkStart w:id="319" w:name="dormancy-and-reconstitution-1"/>
    <w:p>
      <w:pPr>
        <w:pStyle w:val="Heading3"/>
      </w:pPr>
      <w:r>
        <w:rPr>
          <w:lang w:val="en-US" w:eastAsia="en-US" w:bidi="ar-SA"/>
          <w:rFonts w:asciiTheme="majorHAnsi" w:cstheme="majorBidi" w:eastAsiaTheme="majorEastAsia" w:hAnsiTheme="majorHAnsi"/>
          <w:b/>
          <w:color w:themeColor="accent1"/>
          <w:sz w:val="24"/>
          <w:szCs w:val="24"/>
        </w:rPr>
        <w:t>54.3 Dormancy and Reconstitution</w:t>
      </w:r>
    </w:p>
    <w:p>
      <w:pPr>
        <w:pStyle w:val="FirstParagraph"/>
      </w:pPr>
      <w:r>
        <w:rPr>
          <w:sz w:val="24"/>
          <w:szCs w:val="24"/>
          <w:lang w:val="en-US" w:eastAsia="en-US" w:bidi="ar-SA"/>
        </w:rPr>
        <w:t>Article 6.3’s dormancy and reconstitution rules bind the Charter exactly as they bound the Accord: the framework reconstitutes in its entirety upon any two Principal Parties filing reactivation instruments, resuming from the last certified position.</w:t>
      </w:r>
    </w:p>
    <w:bookmarkEnd w:id="319"/>
    <w:bookmarkStart w:id="320" w:name="succession-of-the-interim-instruments"/>
    <w:p>
      <w:pPr>
        <w:pStyle w:val="Heading3"/>
      </w:pPr>
      <w:r>
        <w:rPr>
          <w:lang w:val="en-US" w:eastAsia="en-US" w:bidi="ar-SA"/>
          <w:rFonts w:asciiTheme="majorHAnsi" w:cstheme="majorBidi" w:eastAsiaTheme="majorEastAsia" w:hAnsiTheme="majorHAnsi"/>
          <w:b/>
          <w:color w:themeColor="accent1"/>
          <w:sz w:val="24"/>
          <w:szCs w:val="24"/>
        </w:rPr>
        <w:t>54.4 Succession of the Interim Instruments</w:t>
      </w:r>
    </w:p>
    <w:p>
      <w:pPr>
        <w:pStyle w:val="FirstParagraph"/>
      </w:pPr>
      <w:r>
        <w:rPr>
          <w:sz w:val="24"/>
          <w:szCs w:val="24"/>
          <w:lang w:val="en-US" w:eastAsia="en-US" w:bidi="ar-SA"/>
        </w:rPr>
        <w:t>Upon the Charter’s entry into force, the interim instruments of the 2026 settlement (the memorandum’s maritime provisions, the coastal states’ interim route understanding, and every wartime routing measure) stand succeeded by this Charter, which the depositary records in the instrument register.</w:t>
      </w:r>
    </w:p>
    <w:bookmarkEnd w:id="320"/>
    <w:bookmarkEnd w:id="321"/>
    <w:bookmarkStart w:id="325" w:name="X442557fe7d96b42a8446ad6bbee2362fdbd92ca"/>
    <w:p>
      <w:pPr>
        <w:pStyle w:val="Heading2"/>
      </w:pPr>
      <w:r>
        <w:rPr>
          <w:lang w:val="en-US" w:eastAsia="en-US" w:bidi="ar-SA"/>
          <w:rFonts w:asciiTheme="majorHAnsi" w:cstheme="majorBidi" w:eastAsiaTheme="majorEastAsia" w:hAnsiTheme="majorHAnsi"/>
          <w:b/>
          <w:color w:themeColor="accent1"/>
          <w:sz w:val="28"/>
          <w:szCs w:val="28"/>
        </w:rPr>
        <w:t>Article 55: Depositary, Languages, and Entry into Force</w:t>
      </w:r>
    </w:p>
    <w:bookmarkStart w:id="322" w:name="the-depositary"/>
    <w:p>
      <w:pPr>
        <w:pStyle w:val="Heading3"/>
      </w:pPr>
      <w:r>
        <w:rPr>
          <w:lang w:val="en-US" w:eastAsia="en-US" w:bidi="ar-SA"/>
          <w:rFonts w:asciiTheme="majorHAnsi" w:cstheme="majorBidi" w:eastAsiaTheme="majorEastAsia" w:hAnsiTheme="majorHAnsi"/>
          <w:b/>
          <w:color w:themeColor="accent1"/>
          <w:sz w:val="24"/>
          <w:szCs w:val="24"/>
        </w:rPr>
        <w:t>55.1 The Depositary</w:t>
      </w:r>
    </w:p>
    <w:p>
      <w:pPr>
        <w:pStyle w:val="FirstParagraph"/>
      </w:pPr>
      <w:r>
        <w:rPr>
          <w:sz w:val="24"/>
          <w:szCs w:val="24"/>
          <w:lang w:val="en-US" w:eastAsia="en-US" w:bidi="ar-SA"/>
        </w:rPr>
        <w:t>The Swiss Confederation serves as depositary and Neutral Administrator: it holds the instruments, the registers, the sealed coordinate set, and the permanent archive; it operates the Escrow and the Fund; and it certifies the record to every Party identically.</w:t>
      </w:r>
    </w:p>
    <w:bookmarkEnd w:id="322"/>
    <w:bookmarkStart w:id="323" w:name="languages"/>
    <w:p>
      <w:pPr>
        <w:pStyle w:val="Heading3"/>
      </w:pPr>
      <w:r>
        <w:rPr>
          <w:lang w:val="en-US" w:eastAsia="en-US" w:bidi="ar-SA"/>
          <w:rFonts w:asciiTheme="majorHAnsi" w:cstheme="majorBidi" w:eastAsiaTheme="majorEastAsia" w:hAnsiTheme="majorHAnsi"/>
          <w:b/>
          <w:color w:themeColor="accent1"/>
          <w:sz w:val="24"/>
          <w:szCs w:val="24"/>
        </w:rPr>
        <w:t>55.2 Languages</w:t>
      </w:r>
    </w:p>
    <w:p>
      <w:pPr>
        <w:pStyle w:val="FirstParagraph"/>
      </w:pPr>
      <w:r>
        <w:rPr>
          <w:sz w:val="24"/>
          <w:szCs w:val="24"/>
          <w:lang w:val="en-US" w:eastAsia="en-US" w:bidi="ar-SA"/>
        </w:rPr>
        <w:t>The Charter’s authentic texts are English, Arabic, and Farsi, equally authoritative, with the English text prevailing for the technical annexes. The Language Reconciliation Protocol of Annex M.4 resolves divergences.</w:t>
      </w:r>
    </w:p>
    <w:bookmarkEnd w:id="323"/>
    <w:bookmarkStart w:id="324" w:name="entry-into-force-of-this-accord"/>
    <w:p>
      <w:pPr>
        <w:pStyle w:val="Heading3"/>
      </w:pPr>
      <w:r>
        <w:rPr>
          <w:lang w:val="en-US" w:eastAsia="en-US" w:bidi="ar-SA"/>
          <w:rFonts w:asciiTheme="majorHAnsi" w:cstheme="majorBidi" w:eastAsiaTheme="majorEastAsia" w:hAnsiTheme="majorHAnsi"/>
          <w:b/>
          <w:color w:themeColor="accent1"/>
          <w:sz w:val="24"/>
          <w:szCs w:val="24"/>
        </w:rPr>
        <w:t>55.3 Entry into Force of This Accord</w:t>
      </w:r>
    </w:p>
    <w:p>
      <w:pPr>
        <w:pStyle w:val="FirstParagraph"/>
      </w:pPr>
      <w:r>
        <w:rPr>
          <w:sz w:val="24"/>
          <w:szCs w:val="24"/>
          <w:lang w:val="en-US" w:eastAsia="en-US" w:bidi="ar-SA"/>
        </w:rPr>
        <w:t>This Accord enters into force at 00:00 UTC on the seventh day after the depositary receives instruments of acceptance from both Principal Parties and from the Guarantor Parties, and Layer 0 opens at that hour under Article 7.5.</w:t>
      </w:r>
    </w:p>
    <w:p>
      <w:pPr>
        <w:pStyle w:val="Heading3"/>
      </w:pPr>
      <w:r>
        <w:rPr>
          <w:lang w:val="en-US" w:eastAsia="en-US" w:bidi="ar-SA"/>
          <w:rFonts w:asciiTheme="majorHAnsi" w:cstheme="majorBidi" w:eastAsiaTheme="majorEastAsia" w:hAnsiTheme="majorHAnsi"/>
          <w:b/>
          <w:color w:themeColor="accent1"/>
          <w:sz w:val="24"/>
          <w:szCs w:val="24"/>
        </w:rPr>
        <w:t>55.4 The United Nations Security Council Notification</w:t>
      </w:r>
    </w:p>
    <w:p>
      <w:pPr>
        <w:pStyle w:val="FirstParagraph"/>
      </w:pPr>
      <w:r>
        <w:rPr>
          <w:sz w:val="24"/>
          <w:szCs w:val="24"/>
          <w:lang w:val="en-US" w:eastAsia="en-US" w:bidi="ar-SA"/>
        </w:rPr>
        <w:t>Within 30 days of Charter Conversion, the Depositary notifies the United Nations Security Council of this Accord’s entry into force and transmits the Charter’s authentic texts. The Depositary requests registration of the notification under Chapter VIII of the United Nations Charter as a regional arrangement for the maintenance of international peace and security. The notification is informational: it seeks no authorization, it conditions no gate, and it binds no Party to any further step. The Solh Council publishes the notification text in the permanent register.</w:t>
      </w:r>
    </w:p>
    <w:bookmarkEnd w:id="324"/>
    <w:bookmarkEnd w:id="325"/>
    <w:bookmarkEnd w:id="326"/>
    <w:bookmarkStart w:id="327" w:name="the-closing-principle"/>
    <w:p>
      <w:pPr>
        <w:pStyle w:val="Heading1"/>
      </w:pPr>
      <w:r>
        <w:rPr>
          <w:lang w:val="en-US" w:eastAsia="en-US" w:bidi="ar-SA"/>
          <w:rFonts w:asciiTheme="majorHAnsi" w:cstheme="majorBidi" w:eastAsiaTheme="majorEastAsia" w:hAnsiTheme="majorHAnsi"/>
          <w:b/>
          <w:color w:themeColor="accent1"/>
          <w:sz w:val="32"/>
          <w:szCs w:val="32"/>
        </w:rPr>
        <w:t>The Closing Principle</w:t>
      </w:r>
    </w:p>
    <w:p>
      <w:pPr>
        <w:pStyle w:val="FirstParagraph"/>
      </w:pPr>
      <w:r>
        <w:rPr>
          <w:sz w:val="24"/>
          <w:szCs w:val="24"/>
          <w:lang w:val="en-US" w:eastAsia="en-US" w:bidi="ar-SA"/>
        </w:rPr>
        <w:t>Success is boredom. This Accord succeeds on the day the strait’s operation becomes routine: when a master in the Gulf of Oman reads a bulletin that never surprises, when a watch floor logs a night in which nothing happened, when a teenager in Bandar Abbas and a teenager in Khasab inherit a waterway whose governance their grandparents built from fifty tiny exercises and never had to fight over again. The architecture asks no one to trust, no one to concede, and no one to move first. It asks everyone to measure, and it banks every measurement forever. Gradual peace endures because it never demanded a leap.</w:t>
      </w:r>
    </w:p>
    <w:bookmarkEnd w:id="327"/>
    <w:bookmarkStart w:id="328" w:name="signature-and-deposit"/>
    <w:p>
      <w:pPr>
        <w:pStyle w:val="Heading1"/>
      </w:pPr>
      <w:r>
        <w:rPr>
          <w:lang w:val="en-US" w:eastAsia="en-US" w:bidi="ar-SA"/>
          <w:rFonts w:asciiTheme="majorHAnsi" w:cstheme="majorBidi" w:eastAsiaTheme="majorEastAsia" w:hAnsiTheme="majorHAnsi"/>
          <w:b/>
          <w:color w:themeColor="accent1"/>
          <w:sz w:val="32"/>
          <w:szCs w:val="32"/>
        </w:rPr>
        <w:t>Signature and Deposit</w:t>
      </w:r>
    </w:p>
    <w:p>
      <w:pPr>
        <w:pStyle w:val="FirstParagraph"/>
      </w:pPr>
      <w:r>
        <w:rPr>
          <w:sz w:val="24"/>
          <w:szCs w:val="24"/>
          <w:lang w:val="en-US" w:eastAsia="en-US" w:bidi="ar-SA"/>
        </w:rPr>
        <w:t>Done at Muscat, in the English, Arabic, and Farsi languages.</w:t>
      </w:r>
    </w:p>
    <w:p>
      <w:pPr>
        <w:pStyle w:val="FirstParagraph"/>
      </w:pPr>
      <w:r>
        <w:rPr>
          <w:sz w:val="24"/>
          <w:szCs w:val="24"/>
          <w:lang w:val="en-US" w:eastAsia="en-US" w:bidi="ar-SA"/>
        </w:rPr>
        <w:t>For the Islamic Republic of Iran: ______________</w:t>
      </w:r>
    </w:p>
    <w:p>
      <w:pPr>
        <w:pStyle w:val="FirstParagraph"/>
      </w:pPr>
      <w:r>
        <w:rPr>
          <w:sz w:val="24"/>
          <w:szCs w:val="24"/>
          <w:lang w:val="en-US" w:eastAsia="en-US" w:bidi="ar-SA"/>
        </w:rPr>
        <w:t>For the Sultanate of Oman: ______________</w:t>
      </w:r>
    </w:p>
    <w:p>
      <w:pPr>
        <w:pStyle w:val="FirstParagraph"/>
      </w:pPr>
      <w:r>
        <w:rPr>
          <w:sz w:val="24"/>
          <w:szCs w:val="24"/>
          <w:lang w:val="en-US" w:eastAsia="en-US" w:bidi="ar-SA"/>
        </w:rPr>
        <w:t>For the United States of America (Guarantor Party): ______________</w:t>
      </w:r>
    </w:p>
    <w:p>
      <w:pPr>
        <w:pStyle w:val="FirstParagraph"/>
      </w:pPr>
      <w:r>
        <w:rPr>
          <w:sz w:val="24"/>
          <w:szCs w:val="24"/>
          <w:lang w:val="en-US" w:eastAsia="en-US" w:bidi="ar-SA"/>
        </w:rPr>
        <w:t>For the State of Qatar (Guarantor Party): ______________</w:t>
      </w:r>
    </w:p>
    <w:p>
      <w:pPr>
        <w:pStyle w:val="FirstParagraph"/>
      </w:pPr>
      <w:r>
        <w:rPr>
          <w:sz w:val="24"/>
          <w:szCs w:val="24"/>
          <w:lang w:val="en-US" w:eastAsia="en-US" w:bidi="ar-SA"/>
        </w:rPr>
        <w:t>For the Islamic Republic of Pakistan (Guarantor Party): ______________</w:t>
      </w:r>
    </w:p>
    <w:p>
      <w:pPr>
        <w:pStyle w:val="FirstParagraph"/>
      </w:pPr>
      <w:r>
        <w:rPr>
          <w:sz w:val="24"/>
          <w:szCs w:val="24"/>
          <w:lang w:val="en-US" w:eastAsia="en-US" w:bidi="ar-SA"/>
        </w:rPr>
        <w:t>Deposited with the Swiss Confederation, Depositary and Neutral Administrator.</w:t>
      </w:r>
    </w:p>
    <w:bookmarkEnd w:id="328"/>
    <w:bookmarkStart w:id="339" w:name="Xf2926fa6c72c0986bce02d8d124778546a38534"/>
    <w:p>
      <w:pPr>
        <w:pStyle w:val="Heading1"/>
      </w:pPr>
      <w:r>
        <w:rPr>
          <w:lang w:val="en-US" w:eastAsia="en-US" w:bidi="ar-SA"/>
          <w:rFonts w:asciiTheme="majorHAnsi" w:cstheme="majorBidi" w:eastAsiaTheme="majorEastAsia" w:hAnsiTheme="majorHAnsi"/>
          <w:b/>
          <w:color w:themeColor="accent1"/>
          <w:sz w:val="32"/>
          <w:szCs w:val="32"/>
        </w:rPr>
        <w:t>ANNEX A: CORRIDOR COORDINATES AND GEOMETRY REGISTRY</w:t>
      </w:r>
    </w:p>
    <w:bookmarkStart w:id="329" w:name="X4709c04dc665fb6bc210b3af950d60618121099"/>
    <w:p>
      <w:pPr>
        <w:pStyle w:val="Heading2"/>
      </w:pPr>
      <w:r>
        <w:rPr>
          <w:lang w:val="en-US" w:eastAsia="en-US" w:bidi="ar-SA"/>
          <w:rFonts w:asciiTheme="majorHAnsi" w:cstheme="majorBidi" w:eastAsiaTheme="majorEastAsia" w:hAnsiTheme="majorHAnsi"/>
          <w:b/>
          <w:color w:themeColor="accent1"/>
          <w:sz w:val="28"/>
          <w:szCs w:val="28"/>
        </w:rPr>
        <w:t>A.1 Table A.1: The Governance Area Polygon</w:t>
      </w:r>
    </w:p>
    <w:tbl>
      <w:tblPr>
        <w:tblStyle w:val="Table"/>
        <w:tblW w:type="pct" w:w="5000"/>
        <w:tblLook w:firstRow="1" w:lastRow="0" w:firstColumn="0" w:lastColumn="0" w:noHBand="0" w:noVBand="0" w:val="0020"/>
      </w:tblPr>
      <w:tblGrid>
        <w:gridCol w:w="1980"/>
        <w:gridCol w:w="1980"/>
        <w:gridCol w:w="1980"/>
        <w:gridCol w:w="1980"/>
      </w:tblGrid>
      <w:tr>
        <w:trPr>
          <w:tblHeader w:val="1"/>
        </w:trPr>
        <w:tc>
          <w:tcPr>
            <w:tcW w:w="1980" w:type="dxa"/>
          </w:tcPr>
          <w:p>
            <w:pPr>
              <w:pStyle w:val="Compact"/>
              <w:jc w:val="left"/>
            </w:pPr>
            <w:r>
              <w:rPr>
                <w:sz w:val="24"/>
                <w:szCs w:val="24"/>
                <w:lang w:val="en-US" w:eastAsia="en-US" w:bidi="ar-SA"/>
              </w:rPr>
              <w:t>Point</w:t>
            </w:r>
          </w:p>
        </w:tc>
        <w:tc>
          <w:tcPr>
            <w:tcW w:w="1980" w:type="dxa"/>
          </w:tcPr>
          <w:p>
            <w:pPr>
              <w:pStyle w:val="Compact"/>
              <w:jc w:val="left"/>
            </w:pPr>
            <w:r>
              <w:rPr>
                <w:sz w:val="24"/>
                <w:szCs w:val="24"/>
                <w:lang w:val="en-US" w:eastAsia="en-US" w:bidi="ar-SA"/>
              </w:rPr>
              <w:t>Latitude</w:t>
            </w:r>
          </w:p>
        </w:tc>
        <w:tc>
          <w:tcPr>
            <w:tcW w:w="1980" w:type="dxa"/>
          </w:tcPr>
          <w:p>
            <w:pPr>
              <w:pStyle w:val="Compact"/>
              <w:jc w:val="left"/>
            </w:pPr>
            <w:r>
              <w:rPr>
                <w:sz w:val="24"/>
                <w:szCs w:val="24"/>
                <w:lang w:val="en-US" w:eastAsia="en-US" w:bidi="ar-SA"/>
              </w:rPr>
              <w:t>Longitude</w:t>
            </w:r>
          </w:p>
        </w:tc>
        <w:tc>
          <w:tcPr>
            <w:tcW w:w="1980" w:type="dxa"/>
          </w:tcPr>
          <w:p>
            <w:pPr>
              <w:pStyle w:val="Compact"/>
              <w:jc w:val="left"/>
            </w:pPr>
            <w:r>
              <w:rPr>
                <w:sz w:val="24"/>
                <w:szCs w:val="24"/>
                <w:lang w:val="en-US" w:eastAsia="en-US" w:bidi="ar-SA"/>
              </w:rPr>
              <w:t>Description</w:t>
            </w:r>
          </w:p>
        </w:tc>
      </w:tr>
      <w:tr>
        <w:tc>
          <w:tcPr>
            <w:tcW w:w="1980" w:type="dxa"/>
          </w:tcPr>
          <w:p>
            <w:pPr>
              <w:pStyle w:val="Compact"/>
              <w:jc w:val="left"/>
            </w:pPr>
            <w:r>
              <w:rPr>
                <w:sz w:val="24"/>
                <w:szCs w:val="24"/>
                <w:lang w:val="en-US" w:eastAsia="en-US" w:bidi="ar-SA"/>
              </w:rPr>
              <w:t>OA-1</w:t>
            </w:r>
          </w:p>
        </w:tc>
        <w:tc>
          <w:tcPr>
            <w:tcW w:w="1980" w:type="dxa"/>
          </w:tcPr>
          <w:p>
            <w:pPr>
              <w:pStyle w:val="Compact"/>
              <w:jc w:val="left"/>
            </w:pPr>
            <w:r>
              <w:rPr>
                <w:sz w:val="24"/>
                <w:szCs w:val="24"/>
                <w:lang w:val="en-US" w:eastAsia="en-US" w:bidi="ar-SA"/>
              </w:rPr>
              <w:t>26° 55.0′ N</w:t>
            </w:r>
          </w:p>
        </w:tc>
        <w:tc>
          <w:tcPr>
            <w:tcW w:w="1980" w:type="dxa"/>
          </w:tcPr>
          <w:p>
            <w:pPr>
              <w:pStyle w:val="Compact"/>
              <w:jc w:val="left"/>
            </w:pPr>
            <w:r>
              <w:rPr>
                <w:sz w:val="24"/>
                <w:szCs w:val="24"/>
                <w:lang w:val="en-US" w:eastAsia="en-US" w:bidi="ar-SA"/>
              </w:rPr>
              <w:t>055° 55.0′ E</w:t>
            </w:r>
          </w:p>
        </w:tc>
        <w:tc>
          <w:tcPr>
            <w:tcW w:w="1980" w:type="dxa"/>
          </w:tcPr>
          <w:p>
            <w:pPr>
              <w:pStyle w:val="Compact"/>
              <w:jc w:val="left"/>
            </w:pPr>
            <w:r>
              <w:rPr>
                <w:sz w:val="24"/>
                <w:szCs w:val="24"/>
                <w:lang w:val="en-US" w:eastAsia="en-US" w:bidi="ar-SA"/>
              </w:rPr>
              <w:t>Northwest corner, inner Gulf approach</w:t>
            </w:r>
          </w:p>
        </w:tc>
      </w:tr>
      <w:tr>
        <w:tc>
          <w:tcPr>
            <w:tcW w:w="1980" w:type="dxa"/>
          </w:tcPr>
          <w:p>
            <w:pPr>
              <w:pStyle w:val="Compact"/>
              <w:jc w:val="left"/>
            </w:pPr>
            <w:r>
              <w:rPr>
                <w:sz w:val="24"/>
                <w:szCs w:val="24"/>
                <w:lang w:val="en-US" w:eastAsia="en-US" w:bidi="ar-SA"/>
              </w:rPr>
              <w:t>OA-2</w:t>
            </w:r>
          </w:p>
        </w:tc>
        <w:tc>
          <w:tcPr>
            <w:tcW w:w="1980" w:type="dxa"/>
          </w:tcPr>
          <w:p>
            <w:pPr>
              <w:pStyle w:val="Compact"/>
              <w:jc w:val="left"/>
            </w:pPr>
            <w:r>
              <w:rPr>
                <w:sz w:val="24"/>
                <w:szCs w:val="24"/>
                <w:lang w:val="en-US" w:eastAsia="en-US" w:bidi="ar-SA"/>
              </w:rPr>
              <w:t>26° 58.0′ N</w:t>
            </w:r>
          </w:p>
        </w:tc>
        <w:tc>
          <w:tcPr>
            <w:tcW w:w="1980" w:type="dxa"/>
          </w:tcPr>
          <w:p>
            <w:pPr>
              <w:pStyle w:val="Compact"/>
              <w:jc w:val="left"/>
            </w:pPr>
            <w:r>
              <w:rPr>
                <w:sz w:val="24"/>
                <w:szCs w:val="24"/>
                <w:lang w:val="en-US" w:eastAsia="en-US" w:bidi="ar-SA"/>
              </w:rPr>
              <w:t>056° 40.0′ E</w:t>
            </w:r>
          </w:p>
        </w:tc>
        <w:tc>
          <w:tcPr>
            <w:tcW w:w="1980" w:type="dxa"/>
          </w:tcPr>
          <w:p>
            <w:pPr>
              <w:pStyle w:val="Compact"/>
              <w:jc w:val="left"/>
            </w:pPr>
            <w:r>
              <w:rPr>
                <w:sz w:val="24"/>
                <w:szCs w:val="24"/>
                <w:lang w:val="en-US" w:eastAsia="en-US" w:bidi="ar-SA"/>
              </w:rPr>
              <w:t>North boundary, off the Iranian coast</w:t>
            </w:r>
          </w:p>
        </w:tc>
      </w:tr>
      <w:tr>
        <w:tc>
          <w:tcPr>
            <w:tcW w:w="1980" w:type="dxa"/>
          </w:tcPr>
          <w:p>
            <w:pPr>
              <w:pStyle w:val="Compact"/>
              <w:jc w:val="left"/>
            </w:pPr>
            <w:r>
              <w:rPr>
                <w:sz w:val="24"/>
                <w:szCs w:val="24"/>
                <w:lang w:val="en-US" w:eastAsia="en-US" w:bidi="ar-SA"/>
              </w:rPr>
              <w:t>OA-3</w:t>
            </w:r>
          </w:p>
        </w:tc>
        <w:tc>
          <w:tcPr>
            <w:tcW w:w="1980" w:type="dxa"/>
          </w:tcPr>
          <w:p>
            <w:pPr>
              <w:pStyle w:val="Compact"/>
              <w:jc w:val="left"/>
            </w:pPr>
            <w:r>
              <w:rPr>
                <w:sz w:val="24"/>
                <w:szCs w:val="24"/>
                <w:lang w:val="en-US" w:eastAsia="en-US" w:bidi="ar-SA"/>
              </w:rPr>
              <w:t>26° 50.0′ N</w:t>
            </w:r>
          </w:p>
        </w:tc>
        <w:tc>
          <w:tcPr>
            <w:tcW w:w="1980" w:type="dxa"/>
          </w:tcPr>
          <w:p>
            <w:pPr>
              <w:pStyle w:val="Compact"/>
              <w:jc w:val="left"/>
            </w:pPr>
            <w:r>
              <w:rPr>
                <w:sz w:val="24"/>
                <w:szCs w:val="24"/>
                <w:lang w:val="en-US" w:eastAsia="en-US" w:bidi="ar-SA"/>
              </w:rPr>
              <w:t>057° 25.0′ E</w:t>
            </w:r>
          </w:p>
        </w:tc>
        <w:tc>
          <w:tcPr>
            <w:tcW w:w="1980" w:type="dxa"/>
          </w:tcPr>
          <w:p>
            <w:pPr>
              <w:pStyle w:val="Compact"/>
              <w:jc w:val="left"/>
            </w:pPr>
            <w:r>
              <w:rPr>
                <w:sz w:val="24"/>
                <w:szCs w:val="24"/>
                <w:lang w:val="en-US" w:eastAsia="en-US" w:bidi="ar-SA"/>
              </w:rPr>
              <w:t>Northeast corner, Gulf of Oman approach</w:t>
            </w:r>
          </w:p>
        </w:tc>
      </w:tr>
      <w:tr>
        <w:tc>
          <w:tcPr>
            <w:tcW w:w="1980" w:type="dxa"/>
          </w:tcPr>
          <w:p>
            <w:pPr>
              <w:pStyle w:val="Compact"/>
              <w:jc w:val="left"/>
            </w:pPr>
            <w:r>
              <w:rPr>
                <w:sz w:val="24"/>
                <w:szCs w:val="24"/>
                <w:lang w:val="en-US" w:eastAsia="en-US" w:bidi="ar-SA"/>
              </w:rPr>
              <w:t>OA-4</w:t>
            </w:r>
          </w:p>
        </w:tc>
        <w:tc>
          <w:tcPr>
            <w:tcW w:w="1980" w:type="dxa"/>
          </w:tcPr>
          <w:p>
            <w:pPr>
              <w:pStyle w:val="Compact"/>
              <w:jc w:val="left"/>
            </w:pPr>
            <w:r>
              <w:rPr>
                <w:sz w:val="24"/>
                <w:szCs w:val="24"/>
                <w:lang w:val="en-US" w:eastAsia="en-US" w:bidi="ar-SA"/>
              </w:rPr>
              <w:t>26° 10.0′ N</w:t>
            </w:r>
          </w:p>
        </w:tc>
        <w:tc>
          <w:tcPr>
            <w:tcW w:w="1980" w:type="dxa"/>
          </w:tcPr>
          <w:p>
            <w:pPr>
              <w:pStyle w:val="Compact"/>
              <w:jc w:val="left"/>
            </w:pPr>
            <w:r>
              <w:rPr>
                <w:sz w:val="24"/>
                <w:szCs w:val="24"/>
                <w:lang w:val="en-US" w:eastAsia="en-US" w:bidi="ar-SA"/>
              </w:rPr>
              <w:t>057° 30.0′ E</w:t>
            </w:r>
          </w:p>
        </w:tc>
        <w:tc>
          <w:tcPr>
            <w:tcW w:w="1980" w:type="dxa"/>
          </w:tcPr>
          <w:p>
            <w:pPr>
              <w:pStyle w:val="Compact"/>
              <w:jc w:val="left"/>
            </w:pPr>
            <w:r>
              <w:rPr>
                <w:sz w:val="24"/>
                <w:szCs w:val="24"/>
                <w:lang w:val="en-US" w:eastAsia="en-US" w:bidi="ar-SA"/>
              </w:rPr>
              <w:t>Southeast corner, Gulf of Oman approach</w:t>
            </w:r>
          </w:p>
        </w:tc>
      </w:tr>
      <w:tr>
        <w:tc>
          <w:tcPr>
            <w:tcW w:w="1980" w:type="dxa"/>
          </w:tcPr>
          <w:p>
            <w:pPr>
              <w:pStyle w:val="Compact"/>
              <w:jc w:val="left"/>
            </w:pPr>
            <w:r>
              <w:rPr>
                <w:sz w:val="24"/>
                <w:szCs w:val="24"/>
                <w:lang w:val="en-US" w:eastAsia="en-US" w:bidi="ar-SA"/>
              </w:rPr>
              <w:t>OA-5</w:t>
            </w:r>
          </w:p>
        </w:tc>
        <w:tc>
          <w:tcPr>
            <w:tcW w:w="1980" w:type="dxa"/>
          </w:tcPr>
          <w:p>
            <w:pPr>
              <w:pStyle w:val="Compact"/>
              <w:jc w:val="left"/>
            </w:pPr>
            <w:r>
              <w:rPr>
                <w:sz w:val="24"/>
                <w:szCs w:val="24"/>
                <w:lang w:val="en-US" w:eastAsia="en-US" w:bidi="ar-SA"/>
              </w:rPr>
              <w:t>26° 08.0′ N</w:t>
            </w:r>
          </w:p>
        </w:tc>
        <w:tc>
          <w:tcPr>
            <w:tcW w:w="1980" w:type="dxa"/>
          </w:tcPr>
          <w:p>
            <w:pPr>
              <w:pStyle w:val="Compact"/>
              <w:jc w:val="left"/>
            </w:pPr>
            <w:r>
              <w:rPr>
                <w:sz w:val="24"/>
                <w:szCs w:val="24"/>
                <w:lang w:val="en-US" w:eastAsia="en-US" w:bidi="ar-SA"/>
              </w:rPr>
              <w:t>056° 40.0′ E</w:t>
            </w:r>
          </w:p>
        </w:tc>
        <w:tc>
          <w:tcPr>
            <w:tcW w:w="1980" w:type="dxa"/>
          </w:tcPr>
          <w:p>
            <w:pPr>
              <w:pStyle w:val="Compact"/>
              <w:jc w:val="left"/>
            </w:pPr>
            <w:r>
              <w:rPr>
                <w:sz w:val="24"/>
                <w:szCs w:val="24"/>
                <w:lang w:val="en-US" w:eastAsia="en-US" w:bidi="ar-SA"/>
              </w:rPr>
              <w:t>South boundary, off the Musandam coast</w:t>
            </w:r>
          </w:p>
        </w:tc>
      </w:tr>
      <w:tr>
        <w:tc>
          <w:tcPr>
            <w:tcW w:w="1980" w:type="dxa"/>
          </w:tcPr>
          <w:p>
            <w:pPr>
              <w:pStyle w:val="Compact"/>
              <w:jc w:val="left"/>
            </w:pPr>
            <w:r>
              <w:rPr>
                <w:sz w:val="24"/>
                <w:szCs w:val="24"/>
                <w:lang w:val="en-US" w:eastAsia="en-US" w:bidi="ar-SA"/>
              </w:rPr>
              <w:t>OA-6</w:t>
            </w:r>
          </w:p>
        </w:tc>
        <w:tc>
          <w:tcPr>
            <w:tcW w:w="1980" w:type="dxa"/>
          </w:tcPr>
          <w:p>
            <w:pPr>
              <w:pStyle w:val="Compact"/>
              <w:jc w:val="left"/>
            </w:pPr>
            <w:r>
              <w:rPr>
                <w:sz w:val="24"/>
                <w:szCs w:val="24"/>
                <w:lang w:val="en-US" w:eastAsia="en-US" w:bidi="ar-SA"/>
              </w:rPr>
              <w:t>26° 15.0′ N</w:t>
            </w:r>
          </w:p>
        </w:tc>
        <w:tc>
          <w:tcPr>
            <w:tcW w:w="1980" w:type="dxa"/>
          </w:tcPr>
          <w:p>
            <w:pPr>
              <w:pStyle w:val="Compact"/>
              <w:jc w:val="left"/>
            </w:pPr>
            <w:r>
              <w:rPr>
                <w:sz w:val="24"/>
                <w:szCs w:val="24"/>
                <w:lang w:val="en-US" w:eastAsia="en-US" w:bidi="ar-SA"/>
              </w:rPr>
              <w:t>055° 58.0′ E</w:t>
            </w:r>
          </w:p>
        </w:tc>
        <w:tc>
          <w:tcPr>
            <w:tcW w:w="1980" w:type="dxa"/>
          </w:tcPr>
          <w:p>
            <w:pPr>
              <w:pStyle w:val="Compact"/>
              <w:jc w:val="left"/>
            </w:pPr>
            <w:r>
              <w:rPr>
                <w:sz w:val="24"/>
                <w:szCs w:val="24"/>
                <w:lang w:val="en-US" w:eastAsia="en-US" w:bidi="ar-SA"/>
              </w:rPr>
              <w:t>Southwest corner, inner Gulf approach</w:t>
            </w:r>
          </w:p>
        </w:tc>
      </w:tr>
    </w:tbl>
    <w:p>
      <w:pPr>
        <w:pStyle w:val="FirstParagraph"/>
      </w:pPr>
      <w:r>
        <w:rPr>
          <w:sz w:val="24"/>
          <w:szCs w:val="24"/>
          <w:lang w:val="en-US" w:eastAsia="en-US" w:bidi="ar-SA"/>
        </w:rPr>
        <w:t>The boundary closes from OA-6 to OA-1. All coordinates reference WGS-84.</w:t>
      </w:r>
    </w:p>
    <w:bookmarkEnd w:id="329"/>
    <w:bookmarkStart w:id="330" w:name="X09503db6fc29c57a0190d1b654052aaf07670c7"/>
    <w:p>
      <w:pPr>
        <w:pStyle w:val="Heading2"/>
      </w:pPr>
      <w:r>
        <w:t xml:space="preserve">A.2 Table A.2: Reference Baseline (Historic Traffic Separation Scheme)</w:t>
      </w:r>
    </w:p>
    <w:p>
      <w:pPr>
        <w:pStyle w:val="FirstParagraph"/>
      </w:pPr>
      <w:r>
        <w:t xml:space="preserve">The pre-2026 traffic separation scheme, retained as reference baseline: two lanes of 2.0 nautical miles width each, separated by a median of 2.0 nautical miles, lying within Omani territorial waters off the northern Musandam Peninsula, with the 1979 inshore traffic zone along the Musandam coast. The baseline records for legal continuity and residual-risk comparison; Article 2.7 governs its status.</w:t>
      </w:r>
    </w:p>
    <w:bookmarkEnd w:id="330"/>
    <w:bookmarkStart w:id="331" w:name="X8c70932d3a0f64746f621b070f07a00303a1f36"/>
    <w:p>
      <w:pPr>
        <w:pStyle w:val="Heading2"/>
      </w:pPr>
      <w:r>
        <w:t xml:space="preserve">A.3 Table A.3: The Southern Assurance Passage (Outbound)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SAP-A</w:t>
            </w:r>
          </w:p>
        </w:tc>
        <w:tc>
          <w:tcPr/>
          <w:p>
            <w:pPr>
              <w:pStyle w:val="Compact"/>
              <w:jc w:val="left"/>
            </w:pPr>
            <w:r>
              <w:t xml:space="preserve">26° 29.0′ N</w:t>
            </w:r>
          </w:p>
        </w:tc>
        <w:tc>
          <w:tcPr/>
          <w:p>
            <w:pPr>
              <w:pStyle w:val="Compact"/>
              <w:jc w:val="left"/>
            </w:pPr>
            <w:r>
              <w:t xml:space="preserve">056° 05.0′ E</w:t>
            </w:r>
          </w:p>
        </w:tc>
        <w:tc>
          <w:tcPr/>
          <w:p>
            <w:pPr>
              <w:pStyle w:val="Compact"/>
              <w:jc w:val="left"/>
            </w:pPr>
            <w:r>
              <w:t xml:space="preserve">Western entry, Gulf side</w:t>
            </w:r>
          </w:p>
        </w:tc>
      </w:tr>
      <w:tr>
        <w:tc>
          <w:tcPr/>
          <w:p>
            <w:pPr>
              <w:pStyle w:val="Compact"/>
              <w:jc w:val="left"/>
            </w:pPr>
            <w:r>
              <w:t xml:space="preserve">SAP-B</w:t>
            </w:r>
          </w:p>
        </w:tc>
        <w:tc>
          <w:tcPr/>
          <w:p>
            <w:pPr>
              <w:pStyle w:val="Compact"/>
              <w:jc w:val="left"/>
            </w:pPr>
            <w:r>
              <w:t xml:space="preserve">26° 27.0′ N</w:t>
            </w:r>
          </w:p>
        </w:tc>
        <w:tc>
          <w:tcPr/>
          <w:p>
            <w:pPr>
              <w:pStyle w:val="Compact"/>
              <w:jc w:val="left"/>
            </w:pPr>
            <w:r>
              <w:t xml:space="preserve">056° 28.0′ E</w:t>
            </w:r>
          </w:p>
        </w:tc>
        <w:tc>
          <w:tcPr/>
          <w:p>
            <w:pPr>
              <w:pStyle w:val="Compact"/>
              <w:jc w:val="left"/>
            </w:pPr>
            <w:r>
              <w:t xml:space="preserve">Mid-west reach</w:t>
            </w:r>
          </w:p>
        </w:tc>
      </w:tr>
      <w:tr>
        <w:tc>
          <w:tcPr/>
          <w:p>
            <w:pPr>
              <w:pStyle w:val="Compact"/>
              <w:jc w:val="left"/>
            </w:pPr>
            <w:r>
              <w:t xml:space="preserve">SAP-C</w:t>
            </w:r>
          </w:p>
        </w:tc>
        <w:tc>
          <w:tcPr/>
          <w:p>
            <w:pPr>
              <w:pStyle w:val="Compact"/>
              <w:jc w:val="left"/>
            </w:pPr>
            <w:r>
              <w:t xml:space="preserve">26° 26.5′ N</w:t>
            </w:r>
          </w:p>
        </w:tc>
        <w:tc>
          <w:tcPr/>
          <w:p>
            <w:pPr>
              <w:pStyle w:val="Compact"/>
              <w:jc w:val="left"/>
            </w:pPr>
            <w:r>
              <w:t xml:space="preserve">056° 45.0′ E</w:t>
            </w:r>
          </w:p>
        </w:tc>
        <w:tc>
          <w:tcPr/>
          <w:p>
            <w:pPr>
              <w:pStyle w:val="Compact"/>
              <w:jc w:val="left"/>
            </w:pPr>
            <w:r>
              <w:t xml:space="preserve">North of the Musandam headland</w:t>
            </w:r>
          </w:p>
        </w:tc>
      </w:tr>
      <w:tr>
        <w:tc>
          <w:tcPr/>
          <w:p>
            <w:pPr>
              <w:pStyle w:val="Compact"/>
              <w:jc w:val="left"/>
            </w:pPr>
            <w:r>
              <w:t xml:space="preserve">SAP-D</w:t>
            </w:r>
          </w:p>
        </w:tc>
        <w:tc>
          <w:tcPr/>
          <w:p>
            <w:pPr>
              <w:pStyle w:val="Compact"/>
              <w:jc w:val="left"/>
            </w:pPr>
            <w:r>
              <w:t xml:space="preserve">26° 24.0′ N</w:t>
            </w:r>
          </w:p>
        </w:tc>
        <w:tc>
          <w:tcPr/>
          <w:p>
            <w:pPr>
              <w:pStyle w:val="Compact"/>
              <w:jc w:val="left"/>
            </w:pPr>
            <w:r>
              <w:t xml:space="preserve">057° 05.0′ E</w:t>
            </w:r>
          </w:p>
        </w:tc>
        <w:tc>
          <w:tcPr/>
          <w:p>
            <w:pPr>
              <w:pStyle w:val="Compact"/>
              <w:jc w:val="left"/>
            </w:pPr>
            <w:r>
              <w:t xml:space="preserve">Eastern reach</w:t>
            </w:r>
          </w:p>
        </w:tc>
      </w:tr>
      <w:tr>
        <w:tc>
          <w:tcPr/>
          <w:p>
            <w:pPr>
              <w:pStyle w:val="Compact"/>
              <w:jc w:val="left"/>
            </w:pPr>
            <w:r>
              <w:t xml:space="preserve">SAP-E</w:t>
            </w:r>
          </w:p>
        </w:tc>
        <w:tc>
          <w:tcPr/>
          <w:p>
            <w:pPr>
              <w:pStyle w:val="Compact"/>
              <w:jc w:val="left"/>
            </w:pPr>
            <w:r>
              <w:t xml:space="preserve">26° 27.5′ N</w:t>
            </w:r>
          </w:p>
        </w:tc>
        <w:tc>
          <w:tcPr/>
          <w:p>
            <w:pPr>
              <w:pStyle w:val="Compact"/>
              <w:jc w:val="left"/>
            </w:pPr>
            <w:r>
              <w:t xml:space="preserve">057° 22.0′ E</w:t>
            </w:r>
          </w:p>
        </w:tc>
        <w:tc>
          <w:tcPr/>
          <w:p>
            <w:pPr>
              <w:pStyle w:val="Compact"/>
              <w:jc w:val="left"/>
            </w:pPr>
            <w:r>
              <w:t xml:space="preserve">Eastern exit to the Gulf of Oman</w:t>
            </w:r>
          </w:p>
        </w:tc>
      </w:tr>
    </w:tbl>
    <w:p>
      <w:pPr>
        <w:pStyle w:val="BodyText"/>
      </w:pPr>
      <w:r>
        <w:t xml:space="preserve">The Passage extends from the line joining SAP-A to point 26° 22.0′ N 056° 05.0′ E in the west, to the line joining SAP-E to 26° 21.0′ N 057° 22.0′ E in the east. Its northern boundary follows the southern face of the Central Deconfliction Band; its width is 2.0 nautical miles centered on the line joining the table points.</w:t>
      </w:r>
    </w:p>
    <w:bookmarkEnd w:id="331"/>
    <w:bookmarkStart w:id="332" w:name="Xdc7021e1c9f143f07b505ef27366d68888b8e68"/>
    <w:p>
      <w:pPr>
        <w:pStyle w:val="Heading2"/>
      </w:pPr>
      <w:r>
        <w:t xml:space="preserve">A.4 Table A.4: The Northern Coordination Passage (Inbound)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NCP-A</w:t>
            </w:r>
          </w:p>
        </w:tc>
        <w:tc>
          <w:tcPr/>
          <w:p>
            <w:pPr>
              <w:pStyle w:val="Compact"/>
              <w:jc w:val="left"/>
            </w:pPr>
            <w:r>
              <w:t xml:space="preserve">26° 40.0′ N</w:t>
            </w:r>
          </w:p>
        </w:tc>
        <w:tc>
          <w:tcPr/>
          <w:p>
            <w:pPr>
              <w:pStyle w:val="Compact"/>
              <w:jc w:val="left"/>
            </w:pPr>
            <w:r>
              <w:t xml:space="preserve">056° 06.0′ E</w:t>
            </w:r>
          </w:p>
        </w:tc>
        <w:tc>
          <w:tcPr/>
          <w:p>
            <w:pPr>
              <w:pStyle w:val="Compact"/>
              <w:jc w:val="left"/>
            </w:pPr>
            <w:r>
              <w:t xml:space="preserve">Western entry, Gulf side</w:t>
            </w:r>
          </w:p>
        </w:tc>
      </w:tr>
      <w:tr>
        <w:tc>
          <w:tcPr/>
          <w:p>
            <w:pPr>
              <w:pStyle w:val="Compact"/>
              <w:jc w:val="left"/>
            </w:pPr>
            <w:r>
              <w:t xml:space="preserve">NCP-B</w:t>
            </w:r>
          </w:p>
        </w:tc>
        <w:tc>
          <w:tcPr/>
          <w:p>
            <w:pPr>
              <w:pStyle w:val="Compact"/>
              <w:jc w:val="left"/>
            </w:pPr>
            <w:r>
              <w:t xml:space="preserve">26° 37.5′ N</w:t>
            </w:r>
          </w:p>
        </w:tc>
        <w:tc>
          <w:tcPr/>
          <w:p>
            <w:pPr>
              <w:pStyle w:val="Compact"/>
              <w:jc w:val="left"/>
            </w:pPr>
            <w:r>
              <w:t xml:space="preserve">056° 30.0′ E</w:t>
            </w:r>
          </w:p>
        </w:tc>
        <w:tc>
          <w:tcPr/>
          <w:p>
            <w:pPr>
              <w:pStyle w:val="Compact"/>
              <w:jc w:val="left"/>
            </w:pPr>
            <w:r>
              <w:t xml:space="preserve">South of Larak Island</w:t>
            </w:r>
          </w:p>
        </w:tc>
      </w:tr>
      <w:tr>
        <w:tc>
          <w:tcPr/>
          <w:p>
            <w:pPr>
              <w:pStyle w:val="Compact"/>
              <w:jc w:val="left"/>
            </w:pPr>
            <w:r>
              <w:t xml:space="preserve">NCP-C</w:t>
            </w:r>
          </w:p>
        </w:tc>
        <w:tc>
          <w:tcPr/>
          <w:p>
            <w:pPr>
              <w:pStyle w:val="Compact"/>
              <w:jc w:val="left"/>
            </w:pPr>
            <w:r>
              <w:t xml:space="preserve">26° 35.0′ N</w:t>
            </w:r>
          </w:p>
        </w:tc>
        <w:tc>
          <w:tcPr/>
          <w:p>
            <w:pPr>
              <w:pStyle w:val="Compact"/>
              <w:jc w:val="left"/>
            </w:pPr>
            <w:r>
              <w:t xml:space="preserve">056° 58.0′ E</w:t>
            </w:r>
          </w:p>
        </w:tc>
        <w:tc>
          <w:tcPr/>
          <w:p>
            <w:pPr>
              <w:pStyle w:val="Compact"/>
              <w:jc w:val="left"/>
            </w:pPr>
            <w:r>
              <w:t xml:space="preserve">Mid reach, off Qeshm</w:t>
            </w:r>
          </w:p>
        </w:tc>
      </w:tr>
      <w:tr>
        <w:tc>
          <w:tcPr/>
          <w:p>
            <w:pPr>
              <w:pStyle w:val="Compact"/>
              <w:jc w:val="left"/>
            </w:pPr>
            <w:r>
              <w:t xml:space="preserve">NCP-D</w:t>
            </w:r>
          </w:p>
        </w:tc>
        <w:tc>
          <w:tcPr/>
          <w:p>
            <w:pPr>
              <w:pStyle w:val="Compact"/>
              <w:jc w:val="left"/>
            </w:pPr>
            <w:r>
              <w:t xml:space="preserve">26° 37.0′ N</w:t>
            </w:r>
          </w:p>
        </w:tc>
        <w:tc>
          <w:tcPr/>
          <w:p>
            <w:pPr>
              <w:pStyle w:val="Compact"/>
              <w:jc w:val="left"/>
            </w:pPr>
            <w:r>
              <w:t xml:space="preserve">057° 20.0′ E</w:t>
            </w:r>
          </w:p>
        </w:tc>
        <w:tc>
          <w:tcPr/>
          <w:p>
            <w:pPr>
              <w:pStyle w:val="Compact"/>
              <w:jc w:val="left"/>
            </w:pPr>
            <w:r>
              <w:t xml:space="preserve">Eastern exit to the Gulf of Oman</w:t>
            </w:r>
          </w:p>
        </w:tc>
      </w:tr>
    </w:tbl>
    <w:p>
      <w:pPr>
        <w:pStyle w:val="BodyText"/>
      </w:pPr>
      <w:r>
        <w:t xml:space="preserve">The Passage extends from the line joining NCP-A to point 26° 47.0′ N 056° 06.0′ E in the west, to the line joining NCP-D to 26° 44.0′ N 057° 20.0′ E in the east. Its southern boundary follows the northern face of the Central Deconfliction Band; its width is 2.0 nautical miles centered on the line joining the table points. The inshore local-craft bands for Class 5 vessels run inside the line joining 26° 47.0′ N 056° 06.0′ E and 26° 44.0′ N 057° 20.0′ E along the Iranian coast, and inside the line joining 26° 22.0′ N 056° 05.0′ E and 26° 21.0′ N 057° 22.0′ E along the Omani coast.</w:t>
      </w:r>
    </w:p>
    <w:bookmarkEnd w:id="332"/>
    <w:bookmarkStart w:id="333" w:name="X6c1e3a37d92e3f2012df81295dc0dce727fe46e"/>
    <w:p>
      <w:pPr>
        <w:pStyle w:val="Heading2"/>
      </w:pPr>
      <w:r>
        <w:t xml:space="preserve">A.5 Table A.5: The Central Deconfliction Band and Reporting Points</w:t>
      </w:r>
    </w:p>
    <w:p>
      <w:pPr>
        <w:pStyle w:val="FirstParagraph"/>
      </w:pPr>
      <w:r>
        <w:t xml:space="preserve">Band centerline: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r>
      <w:tr>
        <w:tc>
          <w:tcPr/>
          <w:p>
            <w:pPr>
              <w:pStyle w:val="Compact"/>
              <w:jc w:val="left"/>
            </w:pPr>
            <w:r>
              <w:t xml:space="preserve">NCB-S1</w:t>
            </w:r>
          </w:p>
        </w:tc>
        <w:tc>
          <w:tcPr/>
          <w:p>
            <w:pPr>
              <w:pStyle w:val="Compact"/>
              <w:jc w:val="left"/>
            </w:pPr>
            <w:r>
              <w:t xml:space="preserve">26° 34.0′ N</w:t>
            </w:r>
          </w:p>
        </w:tc>
        <w:tc>
          <w:tcPr/>
          <w:p>
            <w:pPr>
              <w:pStyle w:val="Compact"/>
              <w:jc w:val="left"/>
            </w:pPr>
            <w:r>
              <w:t xml:space="preserve">056° 10.0′ E</w:t>
            </w:r>
          </w:p>
        </w:tc>
      </w:tr>
      <w:tr>
        <w:tc>
          <w:tcPr/>
          <w:p>
            <w:pPr>
              <w:pStyle w:val="Compact"/>
              <w:jc w:val="left"/>
            </w:pPr>
            <w:r>
              <w:t xml:space="preserve">NCB-S2</w:t>
            </w:r>
          </w:p>
        </w:tc>
        <w:tc>
          <w:tcPr/>
          <w:p>
            <w:pPr>
              <w:pStyle w:val="Compact"/>
              <w:jc w:val="left"/>
            </w:pPr>
            <w:r>
              <w:t xml:space="preserve">26° 30.5′ N</w:t>
            </w:r>
          </w:p>
        </w:tc>
        <w:tc>
          <w:tcPr/>
          <w:p>
            <w:pPr>
              <w:pStyle w:val="Compact"/>
              <w:jc w:val="left"/>
            </w:pPr>
            <w:r>
              <w:t xml:space="preserve">056° 30.0′ E</w:t>
            </w:r>
          </w:p>
        </w:tc>
      </w:tr>
      <w:tr>
        <w:tc>
          <w:tcPr/>
          <w:p>
            <w:pPr>
              <w:pStyle w:val="Compact"/>
              <w:jc w:val="left"/>
            </w:pPr>
            <w:r>
              <w:t xml:space="preserve">NCB-S3</w:t>
            </w:r>
          </w:p>
        </w:tc>
        <w:tc>
          <w:tcPr/>
          <w:p>
            <w:pPr>
              <w:pStyle w:val="Compact"/>
              <w:jc w:val="left"/>
            </w:pPr>
            <w:r>
              <w:t xml:space="preserve">26° 27.0′ N</w:t>
            </w:r>
          </w:p>
        </w:tc>
        <w:tc>
          <w:tcPr/>
          <w:p>
            <w:pPr>
              <w:pStyle w:val="Compact"/>
              <w:jc w:val="left"/>
            </w:pPr>
            <w:r>
              <w:t xml:space="preserve">056° 55.0′ E</w:t>
            </w:r>
          </w:p>
        </w:tc>
      </w:tr>
      <w:tr>
        <w:tc>
          <w:tcPr/>
          <w:p>
            <w:pPr>
              <w:pStyle w:val="Compact"/>
              <w:jc w:val="left"/>
            </w:pPr>
            <w:r>
              <w:t xml:space="preserve">NCB-S4</w:t>
            </w:r>
          </w:p>
        </w:tc>
        <w:tc>
          <w:tcPr/>
          <w:p>
            <w:pPr>
              <w:pStyle w:val="Compact"/>
              <w:jc w:val="left"/>
            </w:pPr>
            <w:r>
              <w:t xml:space="preserve">26° 30.0′ N</w:t>
            </w:r>
          </w:p>
        </w:tc>
        <w:tc>
          <w:tcPr/>
          <w:p>
            <w:pPr>
              <w:pStyle w:val="Compact"/>
              <w:jc w:val="left"/>
            </w:pPr>
            <w:r>
              <w:t xml:space="preserve">057° 15.0′ E</w:t>
            </w:r>
          </w:p>
        </w:tc>
      </w:tr>
    </w:tbl>
    <w:p>
      <w:pPr>
        <w:pStyle w:val="BodyText"/>
      </w:pPr>
      <w:r>
        <w:t xml:space="preserve">The Band extends 1.0 nautical mile on either side of the centerline, from the western entry sector at 056° 10.0′ E to the eastern exit sector at 057° 15.0′ E.</w:t>
      </w:r>
    </w:p>
    <w:p>
      <w:pPr>
        <w:pStyle w:val="BodyText"/>
      </w:pPr>
      <w:r>
        <w:t xml:space="preserve">Reporting points stand at equal intervals along each corridor axis: N1 through N6 on the Northern Coordination Passage centerline, S1 through S6 on the Southern Assurance Passage centerline, and B1 through B6 on the Band centerline, with N1/S1/B1 at the western entries and N6/S6/B6 at the eastern exits. The Emergency Routing Trackline of Article 24.5 follows the Band centerline with waypoints at B1 through B6.</w:t>
      </w:r>
    </w:p>
    <w:bookmarkEnd w:id="333"/>
    <w:bookmarkStart w:id="334" w:name="X7c4cc8f3e9b74bf2f51e353680028c0f5e20205"/>
    <w:p>
      <w:pPr>
        <w:pStyle w:val="Heading2"/>
      </w:pPr>
      <w:r>
        <w:t xml:space="preserve">A.6 The Interim Middle Route and the Coordinate Publication Rule</w:t>
      </w:r>
    </w:p>
    <w:p>
      <w:pPr>
        <w:pStyle w:val="FirstParagraph"/>
      </w:pPr>
      <w:r>
        <w:t xml:space="preserve">Interim Middle Route waypoints: IMR-1 at 26° 34.5′ N 056° 08.0′ E; IMR-2 at 26° 32.0′ N 056° 30.0′ E; IMR-3 at 26° 28.5′ N 056° 55.0′ E; IMR-4 at 26° 29.0′ N 057° 18.0′ E. Inbound and outbound lanes of 1.0 nautical mile each stand north and south of the line joining those points, separated by a 0.5-nautical-mile virtual median.</w:t>
      </w:r>
    </w:p>
    <w:p>
      <w:pPr>
        <w:pStyle w:val="BodyText"/>
      </w:pPr>
      <w:r>
        <w:t xml:space="preserve">Publication rule: provisional guidance geometry (centerlines, widths, reporting-point spacing) publishes at Layer 0 opening in simplified form; the full coordinate set of this Annex publishes at Layer 2 activation; and the depositary releases the sealed final set to the International Maritime Organization liaison upon Charter Conversion, automatically, without further decision.</w:t>
      </w:r>
    </w:p>
    <w:bookmarkEnd w:id="334"/>
    <w:bookmarkStart w:id="335" w:name="a.7-table-a.7-designated-anchorages"/>
    <w:p>
      <w:pPr>
        <w:pStyle w:val="Heading2"/>
      </w:pPr>
      <w:r>
        <w:t xml:space="preserve">A.7 Table A.7: Designated Anchorages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Anchorage</w:t>
            </w:r>
          </w:p>
        </w:tc>
        <w:tc>
          <w:tcPr/>
          <w:p>
            <w:pPr>
              <w:pStyle w:val="Compact"/>
              <w:jc w:val="left"/>
            </w:pPr>
            <w:r>
              <w:t xml:space="preserve">Position</w:t>
            </w:r>
          </w:p>
        </w:tc>
        <w:tc>
          <w:tcPr/>
          <w:p>
            <w:pPr>
              <w:pStyle w:val="Compact"/>
              <w:jc w:val="left"/>
            </w:pPr>
            <w:r>
              <w:t xml:space="preserve">Depth</w:t>
            </w:r>
          </w:p>
        </w:tc>
        <w:tc>
          <w:tcPr/>
          <w:p>
            <w:pPr>
              <w:pStyle w:val="Compact"/>
              <w:jc w:val="left"/>
            </w:pPr>
            <w:r>
              <w:t xml:space="preserve">Bottom</w:t>
            </w:r>
          </w:p>
        </w:tc>
        <w:tc>
          <w:tcPr/>
          <w:p>
            <w:pPr>
              <w:pStyle w:val="Compact"/>
              <w:jc w:val="left"/>
            </w:pPr>
            <w:r>
              <w:t xml:space="preserve">Function</w:t>
            </w:r>
          </w:p>
        </w:tc>
      </w:tr>
      <w:tr>
        <w:tc>
          <w:tcPr/>
          <w:p>
            <w:pPr>
              <w:pStyle w:val="Compact"/>
              <w:jc w:val="left"/>
            </w:pPr>
            <w:r>
              <w:t xml:space="preserve">Anchorage East</w:t>
            </w:r>
          </w:p>
        </w:tc>
        <w:tc>
          <w:tcPr/>
          <w:p>
            <w:pPr>
              <w:pStyle w:val="Compact"/>
              <w:jc w:val="left"/>
            </w:pPr>
            <w:r>
              <w:t xml:space="preserve">25° 58.0′ N, 057° 05.0′ E</w:t>
            </w:r>
          </w:p>
        </w:tc>
        <w:tc>
          <w:tcPr/>
          <w:p>
            <w:pPr>
              <w:pStyle w:val="Compact"/>
              <w:jc w:val="left"/>
            </w:pPr>
            <w:r>
              <w:t xml:space="preserve">40 to 60 m</w:t>
            </w:r>
          </w:p>
        </w:tc>
        <w:tc>
          <w:tcPr/>
          <w:p>
            <w:pPr>
              <w:pStyle w:val="Compact"/>
              <w:jc w:val="left"/>
            </w:pPr>
            <w:r>
              <w:t xml:space="preserve">Sand</w:t>
            </w:r>
          </w:p>
        </w:tc>
        <w:tc>
          <w:tcPr/>
          <w:p>
            <w:pPr>
              <w:pStyle w:val="Compact"/>
              <w:jc w:val="left"/>
            </w:pPr>
            <w:r>
              <w:t xml:space="preserve">Outbound staging, Gulf of Oman</w:t>
            </w:r>
          </w:p>
        </w:tc>
      </w:tr>
      <w:tr>
        <w:tc>
          <w:tcPr/>
          <w:p>
            <w:pPr>
              <w:pStyle w:val="Compact"/>
              <w:jc w:val="left"/>
            </w:pPr>
            <w:r>
              <w:t xml:space="preserve">Anchorage West</w:t>
            </w:r>
          </w:p>
        </w:tc>
        <w:tc>
          <w:tcPr/>
          <w:p>
            <w:pPr>
              <w:pStyle w:val="Compact"/>
              <w:jc w:val="left"/>
            </w:pPr>
            <w:r>
              <w:t xml:space="preserve">26° 42.0′ N, 055° 52.0′ E</w:t>
            </w:r>
          </w:p>
        </w:tc>
        <w:tc>
          <w:tcPr/>
          <w:p>
            <w:pPr>
              <w:pStyle w:val="Compact"/>
              <w:jc w:val="left"/>
            </w:pPr>
            <w:r>
              <w:t xml:space="preserve">22 to 30 m</w:t>
            </w:r>
          </w:p>
        </w:tc>
        <w:tc>
          <w:tcPr/>
          <w:p>
            <w:pPr>
              <w:pStyle w:val="Compact"/>
              <w:jc w:val="left"/>
            </w:pPr>
            <w:r>
              <w:t xml:space="preserve">Sand and mud</w:t>
            </w:r>
          </w:p>
        </w:tc>
        <w:tc>
          <w:tcPr/>
          <w:p>
            <w:pPr>
              <w:pStyle w:val="Compact"/>
              <w:jc w:val="left"/>
            </w:pPr>
            <w:r>
              <w:t xml:space="preserve">Inbound staging, inner Gulf</w:t>
            </w:r>
          </w:p>
        </w:tc>
      </w:tr>
      <w:tr>
        <w:tc>
          <w:tcPr/>
          <w:p>
            <w:pPr>
              <w:pStyle w:val="Compact"/>
              <w:jc w:val="left"/>
            </w:pPr>
            <w:r>
              <w:t xml:space="preserve">Emergency Anchorage East</w:t>
            </w:r>
          </w:p>
        </w:tc>
        <w:tc>
          <w:tcPr/>
          <w:p>
            <w:pPr>
              <w:pStyle w:val="Compact"/>
              <w:jc w:val="left"/>
            </w:pPr>
            <w:r>
              <w:t xml:space="preserve">26° 30.0′ N, 057° 06.0′ E</w:t>
            </w:r>
          </w:p>
        </w:tc>
        <w:tc>
          <w:tcPr/>
          <w:p>
            <w:pPr>
              <w:pStyle w:val="Compact"/>
              <w:jc w:val="left"/>
            </w:pPr>
            <w:r>
              <w:t xml:space="preserve">40 to 60 m</w:t>
            </w:r>
          </w:p>
        </w:tc>
        <w:tc>
          <w:tcPr/>
          <w:p>
            <w:pPr>
              <w:pStyle w:val="Compact"/>
              <w:jc w:val="left"/>
            </w:pPr>
            <w:r>
              <w:t xml:space="preserve">Sand</w:t>
            </w:r>
          </w:p>
        </w:tc>
        <w:tc>
          <w:tcPr/>
          <w:p>
            <w:pPr>
              <w:pStyle w:val="Compact"/>
              <w:jc w:val="left"/>
            </w:pPr>
            <w:r>
              <w:t xml:space="preserve">Weather and hazard holding, Musandam headland</w:t>
            </w:r>
          </w:p>
        </w:tc>
      </w:tr>
      <w:tr>
        <w:tc>
          <w:tcPr/>
          <w:p>
            <w:pPr>
              <w:pStyle w:val="Compact"/>
              <w:jc w:val="left"/>
            </w:pPr>
            <w:r>
              <w:t xml:space="preserve">Emergency Anchorage West</w:t>
            </w:r>
          </w:p>
        </w:tc>
        <w:tc>
          <w:tcPr/>
          <w:p>
            <w:pPr>
              <w:pStyle w:val="Compact"/>
              <w:jc w:val="left"/>
            </w:pPr>
            <w:r>
              <w:t xml:space="preserve">26° 33.0′ N, 056° 05.0′ E</w:t>
            </w:r>
          </w:p>
        </w:tc>
        <w:tc>
          <w:tcPr/>
          <w:p>
            <w:pPr>
              <w:pStyle w:val="Compact"/>
              <w:jc w:val="left"/>
            </w:pPr>
            <w:r>
              <w:t xml:space="preserve">30 to 45 m</w:t>
            </w:r>
          </w:p>
        </w:tc>
        <w:tc>
          <w:tcPr/>
          <w:p>
            <w:pPr>
              <w:pStyle w:val="Compact"/>
              <w:jc w:val="left"/>
            </w:pPr>
            <w:r>
              <w:t xml:space="preserve">Sand</w:t>
            </w:r>
          </w:p>
        </w:tc>
        <w:tc>
          <w:tcPr/>
          <w:p>
            <w:pPr>
              <w:pStyle w:val="Compact"/>
              <w:jc w:val="left"/>
            </w:pPr>
            <w:r>
              <w:t xml:space="preserve">Weather and hazard holding, western entry</w:t>
            </w:r>
          </w:p>
        </w:tc>
      </w:tr>
    </w:tbl>
    <w:bookmarkEnd w:id="335"/>
    <w:bookmarkStart w:id="336" w:name="Xd4b96c3d113d7971f7e1db693418f803a4c875c"/>
    <w:p>
      <w:pPr>
        <w:pStyle w:val="Heading2"/>
      </w:pPr>
      <w:r>
        <w:t xml:space="preserve">A.8 Table A.8: Grid Squares for Environmental Exchange</w:t>
      </w:r>
    </w:p>
    <w:p>
      <w:pPr>
        <w:pStyle w:val="FirstParagraph"/>
      </w:pPr>
      <w:r>
        <w:t xml:space="preserve">Grid Square W-1 (the MX-03 exercise square): the 10-by-10-nautical-mile square centered on 26° 30.0′ N 056° 30.0′ E. Squares W-2 through W-6 extend the grid east and west at 20-nautical-mile intervals along the corridor axes, per the chartlet schedule of A.10.</w:t>
      </w:r>
    </w:p>
    <w:bookmarkEnd w:id="336"/>
    <w:bookmarkStart w:id="337" w:name="a.9-table-a.9-liaison-stations"/>
    <w:p>
      <w:pPr>
        <w:pStyle w:val="Heading2"/>
      </w:pPr>
      <w:r>
        <w:t xml:space="preserve">A.9 Table A.9: Liaison 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Station</w:t>
            </w:r>
          </w:p>
        </w:tc>
        <w:tc>
          <w:tcPr/>
          <w:p>
            <w:pPr>
              <w:pStyle w:val="Compact"/>
              <w:jc w:val="left"/>
            </w:pPr>
            <w:r>
              <w:t xml:space="preserve">Location</w:t>
            </w:r>
          </w:p>
        </w:tc>
        <w:tc>
          <w:tcPr/>
          <w:p>
            <w:pPr>
              <w:pStyle w:val="Compact"/>
              <w:jc w:val="left"/>
            </w:pPr>
            <w:r>
              <w:t xml:space="preserve">Role</w:t>
            </w:r>
          </w:p>
        </w:tc>
      </w:tr>
      <w:tr>
        <w:tc>
          <w:tcPr/>
          <w:p>
            <w:pPr>
              <w:pStyle w:val="Compact"/>
              <w:jc w:val="left"/>
            </w:pPr>
            <w:r>
              <w:t xml:space="preserve">Muscat (Center)</w:t>
            </w:r>
          </w:p>
        </w:tc>
        <w:tc>
          <w:tcPr/>
          <w:p>
            <w:pPr>
              <w:pStyle w:val="Compact"/>
              <w:jc w:val="left"/>
            </w:pPr>
            <w:r>
              <w:t xml:space="preserve">Tadriji Coordination Center</w:t>
            </w:r>
          </w:p>
        </w:tc>
        <w:tc>
          <w:tcPr/>
          <w:p>
            <w:pPr>
              <w:pStyle w:val="Compact"/>
              <w:jc w:val="left"/>
            </w:pPr>
            <w:r>
              <w:t xml:space="preserve">Primary watch floor, Transit Desk, Exchange primary server, MRT-H cell, Secretariat</w:t>
            </w:r>
          </w:p>
        </w:tc>
      </w:tr>
      <w:tr>
        <w:tc>
          <w:tcPr/>
          <w:p>
            <w:pPr>
              <w:pStyle w:val="Compact"/>
              <w:jc w:val="left"/>
            </w:pPr>
            <w:r>
              <w:t xml:space="preserve">Bandar Abbas (Mirror)</w:t>
            </w:r>
          </w:p>
        </w:tc>
        <w:tc>
          <w:tcPr/>
          <w:p>
            <w:pPr>
              <w:pStyle w:val="Compact"/>
              <w:jc w:val="left"/>
            </w:pPr>
            <w:r>
              <w:t xml:space="preserve">Darya Mirror Facility</w:t>
            </w:r>
          </w:p>
        </w:tc>
        <w:tc>
          <w:tcPr/>
          <w:p>
            <w:pPr>
              <w:pStyle w:val="Compact"/>
              <w:jc w:val="left"/>
            </w:pPr>
            <w:r>
              <w:t xml:space="preserve">Mirror watch floor, Exchange mirror server, northern liaison network</w:t>
            </w:r>
          </w:p>
        </w:tc>
      </w:tr>
      <w:tr>
        <w:tc>
          <w:tcPr/>
          <w:p>
            <w:pPr>
              <w:pStyle w:val="Compact"/>
              <w:jc w:val="left"/>
            </w:pPr>
            <w:r>
              <w:t xml:space="preserve">Khasab</w:t>
            </w:r>
          </w:p>
        </w:tc>
        <w:tc>
          <w:tcPr/>
          <w:p>
            <w:pPr>
              <w:pStyle w:val="Compact"/>
              <w:jc w:val="left"/>
            </w:pPr>
            <w:r>
              <w:t xml:space="preserve">Musandam Peninsula</w:t>
            </w:r>
          </w:p>
        </w:tc>
        <w:tc>
          <w:tcPr/>
          <w:p>
            <w:pPr>
              <w:pStyle w:val="Compact"/>
              <w:jc w:val="left"/>
            </w:pPr>
            <w:r>
              <w:t xml:space="preserve">Southern corridor reporting, escort base, SAR staging</w:t>
            </w:r>
          </w:p>
        </w:tc>
      </w:tr>
      <w:tr>
        <w:tc>
          <w:tcPr/>
          <w:p>
            <w:pPr>
              <w:pStyle w:val="Compact"/>
              <w:jc w:val="left"/>
            </w:pPr>
            <w:r>
              <w:t xml:space="preserve">Qeshm</w:t>
            </w:r>
          </w:p>
        </w:tc>
        <w:tc>
          <w:tcPr/>
          <w:p>
            <w:pPr>
              <w:pStyle w:val="Compact"/>
              <w:jc w:val="left"/>
            </w:pPr>
            <w:r>
              <w:t xml:space="preserve">Qeshm Island</w:t>
            </w:r>
          </w:p>
        </w:tc>
        <w:tc>
          <w:tcPr/>
          <w:p>
            <w:pPr>
              <w:pStyle w:val="Compact"/>
              <w:jc w:val="left"/>
            </w:pPr>
            <w:r>
              <w:t xml:space="preserve">Northern corridor reporting, escort base, SAR staging</w:t>
            </w:r>
          </w:p>
        </w:tc>
      </w:tr>
      <w:tr>
        <w:tc>
          <w:tcPr/>
          <w:p>
            <w:pPr>
              <w:pStyle w:val="Compact"/>
              <w:jc w:val="left"/>
            </w:pPr>
            <w:r>
              <w:t xml:space="preserve">Fujairah</w:t>
            </w:r>
          </w:p>
        </w:tc>
        <w:tc>
          <w:tcPr/>
          <w:p>
            <w:pPr>
              <w:pStyle w:val="Compact"/>
              <w:jc w:val="left"/>
            </w:pPr>
            <w:r>
              <w:t xml:space="preserve">Upon UAE accession</w:t>
            </w:r>
          </w:p>
        </w:tc>
        <w:tc>
          <w:tcPr/>
          <w:p>
            <w:pPr>
              <w:pStyle w:val="Compact"/>
              <w:jc w:val="left"/>
            </w:pPr>
            <w:r>
              <w:t xml:space="preserve">MRT-H logistics, repair dock, anchorage services</w:t>
            </w:r>
          </w:p>
        </w:tc>
      </w:tr>
    </w:tbl>
    <w:bookmarkEnd w:id="337"/>
    <w:bookmarkStart w:id="338" w:name="Xc2f6de2f66c01031c0b109827470bb6a337f741"/>
    <w:p>
      <w:pPr>
        <w:pStyle w:val="Heading2"/>
      </w:pPr>
      <w:r>
        <w:t xml:space="preserve">A.10 Chartlet Schedule and Aids to Navigation</w:t>
      </w:r>
    </w:p>
    <w:p>
      <w:pPr>
        <w:pStyle w:val="FirstParagraph"/>
      </w:pPr>
      <w:r>
        <w:t xml:space="preserve">Each corridor administrator maintains: virtual AIS aids to navigation at every reporting point and at IMR-1 through IMR-4; physical or synthetic marking at each corridor turning position of Tables A.3 and A.4; entrance and exit light characteristics harmonized under MX-16 (Fl(2) 10s at western entries, Fl(3) 15s at eastern exits); and emergency anchorage designations of Table A.7, charted under International Hydrographic Organization standards within 90 days of Layer 2 activation.</w:t>
      </w:r>
    </w:p>
    <w:bookmarkEnd w:id="338"/>
    <w:bookmarkEnd w:id="339"/>
    <w:bookmarkStart w:id="346" w:name="X456e92861e658d1247ffb6ddf9f9094c908e6eb"/>
    <w:p>
      <w:pPr>
        <w:pStyle w:val="Heading1"/>
      </w:pPr>
      <w:r>
        <w:t xml:space="preserve">ANNEX B: THE FIFTY MICRO-EXERCISES: FULL OPERATIONAL SPECIFICATIONS</w:t>
      </w:r>
    </w:p>
    <w:bookmarkStart w:id="340" w:name="b.0-standing-rules-of-the-lattice"/>
    <w:p>
      <w:pPr>
        <w:pStyle w:val="Heading2"/>
      </w:pPr>
      <w:r>
        <w:t xml:space="preserve">B.0 Standing Rules of the Lattice</w:t>
      </w:r>
    </w:p>
    <w:p>
      <w:pPr>
        <w:pStyle w:val="FirstParagraph"/>
      </w:pPr>
      <w:r>
        <w:t xml:space="preserve">Each exercise card below states: identifier, station assignment, operating window, protocol, data exchanged, logging rule, and success metric. Every exercise activates by joint notice of the two duty officers; every exercise suspends on any Party’s notice with the reason logged; and every exercise’s record enters the Exercise Logbook identically at both floors. An exercise that misses its success metric in two consecutive audit windows suspends individually for redesign, and its suspension publishes with the factual reason.</w:t>
      </w:r>
    </w:p>
    <w:bookmarkEnd w:id="340"/>
    <w:bookmarkStart w:id="341" w:name="b.1-sub-layer-0.1-cards-mx-01-to-mx-10"/>
    <w:p>
      <w:pPr>
        <w:pStyle w:val="Heading2"/>
      </w:pPr>
      <w:r>
        <w:t xml:space="preserve">B.1 Sub-Layer 0.1 Cards (MX-01 to MX-10)</w:t>
      </w:r>
    </w:p>
    <w:p>
      <w:pPr>
        <w:pStyle w:val="FirstParagraph"/>
      </w:pPr>
      <w:r>
        <w:rPr>
          <w:bCs/>
          <w:b/>
        </w:rPr>
        <w:t xml:space="preserve">MX-01 AIS Snapshot Swap.</w:t>
      </w:r>
      <w:r>
        <w:t xml:space="preserve"> </w:t>
      </w:r>
      <w:r>
        <w:t xml:space="preserve">Stations: both floors. Window: continuous. Protocol: each floor extracts from its national AIS chain the ten commercial vessels nearest the corridor centerlines inside the Governance Area at 06:00 and 18:00 UTC, formats per Annex C.4 (identity, position, course, speed, timestamp), transmits within five minutes, and merges on receipt. Log: transmission and merge records both ends. Metric: 14 consecutive days of complete, matched transmissions.</w:t>
      </w:r>
    </w:p>
    <w:p>
      <w:pPr>
        <w:pStyle w:val="BodyText"/>
      </w:pPr>
      <w:r>
        <w:rPr>
          <w:bCs/>
          <w:b/>
        </w:rPr>
        <w:t xml:space="preserve">MX-02 Visibility-Only Feed.</w:t>
      </w:r>
      <w:r>
        <w:t xml:space="preserve"> </w:t>
      </w:r>
      <w:r>
        <w:t xml:space="preserve">Stations: Khasab, Qeshm. Window: hourly, continuous. Protocol: observer reads fog and visibility state at the station, transmits the one-line code of Annex C.5 (station, time, visibility meters, fog flag). No vessel data attaches. Log: hourly codes both ends. Metric: 21 consecutive days, 98 percent completeness.</w:t>
      </w:r>
    </w:p>
    <w:p>
      <w:pPr>
        <w:pStyle w:val="BodyText"/>
      </w:pPr>
      <w:r>
        <w:rPr>
          <w:bCs/>
          <w:b/>
        </w:rPr>
        <w:t xml:space="preserve">MX-03 Micro-Weather Exchange.</w:t>
      </w:r>
      <w:r>
        <w:t xml:space="preserve"> </w:t>
      </w:r>
      <w:r>
        <w:t xml:space="preserve">Stations: both floors. Window: hourly, continuous. Protocol: exchange wind speed, wind direction, visibility, and sea state for Grid Square W-1 of Table A.8 in the four-field format. Log: hourly records both ends. Metric: 21 days at 98 percent completeness; inter-station wind divergence within 15 percent in 90 percent of matched observations.</w:t>
      </w:r>
    </w:p>
    <w:p>
      <w:pPr>
        <w:pStyle w:val="BodyText"/>
      </w:pPr>
      <w:r>
        <w:rPr>
          <w:bCs/>
          <w:b/>
        </w:rPr>
        <w:t xml:space="preserve">MX-04 Shared Tide Table.</w:t>
      </w:r>
      <w:r>
        <w:t xml:space="preserve"> </w:t>
      </w:r>
      <w:r>
        <w:t xml:space="preserve">Stations: both floors. Window: weekly. Protocol: harmonize harmonic predictions for the Khasab and Bandar Abbas reference stations into one table; validate against observed heights. Log: editions and validation deltas. Metric: four consecutive weekly editions; error within 0.3 meters.</w:t>
      </w:r>
    </w:p>
    <w:p>
      <w:pPr>
        <w:pStyle w:val="BodyText"/>
      </w:pPr>
      <w:r>
        <w:rPr>
          <w:bCs/>
          <w:b/>
        </w:rPr>
        <w:t xml:space="preserve">MX-05 Swell-Risk Micro-Map.</w:t>
      </w:r>
      <w:r>
        <w:t xml:space="preserve"> </w:t>
      </w:r>
      <w:r>
        <w:t xml:space="preserve">Stations: both floors. Window: daily at 04:00 UTC. Protocol: combine buoy observations and model output into one swell hazard delineation for the IMR-2 to IMR-3 sector; publish in the hazard bulletin. Log: daily editions. Metric: 14 consecutive editions; zero unmarked events above 2.5 meters reported by transiting vessels.</w:t>
      </w:r>
    </w:p>
    <w:p>
      <w:pPr>
        <w:pStyle w:val="BodyText"/>
      </w:pPr>
      <w:r>
        <w:rPr>
          <w:bCs/>
          <w:b/>
        </w:rPr>
        <w:t xml:space="preserve">MX-06 Shared Hazard Bulletin.</w:t>
      </w:r>
      <w:r>
        <w:t xml:space="preserve"> </w:t>
      </w:r>
      <w:r>
        <w:t xml:space="preserve">Stations: both floors. Window: daily at 05:00 UTC. Protocol: merge both sides’ hazard reports (debris, unlit vessels, chart discrepancies) into one summary; carry each hazard to resolution or expiry. Log: editions and resolution records. Metric: 21 consecutive editions; 100 percent carry-through.</w:t>
      </w:r>
    </w:p>
    <w:p>
      <w:pPr>
        <w:pStyle w:val="BodyText"/>
      </w:pPr>
      <w:r>
        <w:rPr>
          <w:bCs/>
          <w:b/>
        </w:rPr>
        <w:t xml:space="preserve">MX-07 Shared Storm Threshold.</w:t>
      </w:r>
      <w:r>
        <w:t xml:space="preserve"> </w:t>
      </w:r>
      <w:r>
        <w:t xml:space="preserve">Stations: both floors. Window: standing. Protocol: publish the agreed threshold values (wind 34 knots, visibility 1,000 meters, swell 3.0 meters); issue identical advisory language on threshold events. Log: threshold events and advisories. Metric: published table; 100 percent advisory identity.</w:t>
      </w:r>
    </w:p>
    <w:p>
      <w:pPr>
        <w:pStyle w:val="BodyText"/>
      </w:pPr>
      <w:r>
        <w:rPr>
          <w:bCs/>
          <w:b/>
        </w:rPr>
        <w:t xml:space="preserve">MX-08 Micro-Meteorology Desk.</w:t>
      </w:r>
      <w:r>
        <w:t xml:space="preserve"> </w:t>
      </w:r>
      <w:r>
        <w:t xml:space="preserve">Stations: video-linked desk. Window: 06:00 to 10:00 UTC daily. Protocol: two meteorologists (one per Party) harmonize next-day forecast language for the Governance Area. Log: staffed windows and harmonized products. Metric: 14 consecutive windows; daily harmonized forecast.</w:t>
      </w:r>
    </w:p>
    <w:p>
      <w:pPr>
        <w:pStyle w:val="BodyText"/>
      </w:pPr>
      <w:r>
        <w:rPr>
          <w:bCs/>
          <w:b/>
        </w:rPr>
        <w:t xml:space="preserve">MX-09 Joint Hazard Symbols.</w:t>
      </w:r>
      <w:r>
        <w:t xml:space="preserve"> </w:t>
      </w:r>
      <w:r>
        <w:t xml:space="preserve">Stations: both floors. Window: standing. Protocol: adopt the Annex C.6 symbol set in all shared products. Log: conformance checks. Metric: register published; 100 percent conformance from Day 15.</w:t>
      </w:r>
    </w:p>
    <w:p>
      <w:pPr>
        <w:pStyle w:val="BodyText"/>
      </w:pPr>
      <w:r>
        <w:rPr>
          <w:bCs/>
          <w:b/>
        </w:rPr>
        <w:t xml:space="preserve">MX-10 Micro-Traffic Forecast.</w:t>
      </w:r>
      <w:r>
        <w:t xml:space="preserve"> </w:t>
      </w:r>
      <w:r>
        <w:t xml:space="preserve">Stations: both floors. Window: daily at 12:00 UTC. Protocol: jointly predict inbound and outbound counts for the Interim Middle Route for the next 24 hours; score against observed. Log: predictions and scores. Metric: 14 consecutive forecasts; error within 20 percent on 10 of 14 days.</w:t>
      </w:r>
    </w:p>
    <w:bookmarkEnd w:id="341"/>
    <w:bookmarkStart w:id="342" w:name="b.2-sub-layer-0.2-cards-mx-11-to-mx-20"/>
    <w:p>
      <w:pPr>
        <w:pStyle w:val="Heading2"/>
      </w:pPr>
      <w:r>
        <w:t xml:space="preserve">B.2 Sub-Layer 0.2 Cards (MX-11 to MX-20)</w:t>
      </w:r>
    </w:p>
    <w:p>
      <w:pPr>
        <w:pStyle w:val="FirstParagraph"/>
      </w:pPr>
      <w:r>
        <w:rPr>
          <w:bCs/>
          <w:b/>
        </w:rPr>
        <w:t xml:space="preserve">MX-11 Single-Corridor Stability Test.</w:t>
      </w:r>
      <w:r>
        <w:t xml:space="preserve"> </w:t>
      </w:r>
      <w:r>
        <w:t xml:space="preserve">Stations: both floors. Window: 06:00 to 12:00 UTC daily. Protocol: jointly acknowledge the inbound lane along the Interim Middle Route centerline IMR-1 to IMR-4; log every transit in the window; exchange logs at close. No control, no charge, no advisory duty on any vessel. Metric: 14 consecutive windows; matching logs.</w:t>
      </w:r>
    </w:p>
    <w:p>
      <w:pPr>
        <w:pStyle w:val="BodyText"/>
      </w:pPr>
      <w:r>
        <w:rPr>
          <w:bCs/>
          <w:b/>
        </w:rPr>
        <w:t xml:space="preserve">MX-12 Outbound Corridor Test.</w:t>
      </w:r>
      <w:r>
        <w:t xml:space="preserve"> </w:t>
      </w:r>
      <w:r>
        <w:t xml:space="preserve">Mirror of MX-11, window 12:00 to 18:00 UTC, outbound direction. Metric: identical.</w:t>
      </w:r>
    </w:p>
    <w:p>
      <w:pPr>
        <w:pStyle w:val="BodyText"/>
      </w:pPr>
      <w:r>
        <w:rPr>
          <w:bCs/>
          <w:b/>
        </w:rPr>
        <w:t xml:space="preserve">MX-13 Temporary Slow-Zone.</w:t>
      </w:r>
      <w:r>
        <w:t xml:space="preserve"> </w:t>
      </w:r>
      <w:r>
        <w:t xml:space="preserve">Stations: both floors. Window: threshold events. Protocol: upon an MX-07 event, publish the joint advisory recommending 10 knots maximum through the MX-05 zone; record observed speeds without consequence. Metric: advisory in 100 percent of events; compliance rate recorded.</w:t>
      </w:r>
    </w:p>
    <w:p>
      <w:pPr>
        <w:pStyle w:val="BodyText"/>
      </w:pPr>
      <w:r>
        <w:rPr>
          <w:bCs/>
          <w:b/>
        </w:rPr>
        <w:t xml:space="preserve">MX-14 Micro-Anchorage Zone.</w:t>
      </w:r>
      <w:r>
        <w:t xml:space="preserve"> </w:t>
      </w:r>
      <w:r>
        <w:t xml:space="preserve">Stations: Khasab lead. Window: continuous. Protocol: publish Emergency Anchorage East (26° 30.0′ N, 057° 06.0′ E) in both Notice to Mariners series; log usage. Metric: publication confirmed; 14-day usage log.</w:t>
      </w:r>
    </w:p>
    <w:p>
      <w:pPr>
        <w:pStyle w:val="BodyText"/>
      </w:pPr>
      <w:r>
        <w:rPr>
          <w:bCs/>
          <w:b/>
        </w:rPr>
        <w:t xml:space="preserve">MX-15 Micro-Anchoring Advisory.</w:t>
      </w:r>
      <w:r>
        <w:t xml:space="preserve"> </w:t>
      </w:r>
      <w:r>
        <w:t xml:space="preserve">Stations: Khasab lead. Window: on request. Protocol: issue non-binding anchoring guidance (position, depth, swinging room) within 15 minutes of any request on the corridor working channel. Metric: 100 percent within 15 minutes.</w:t>
      </w:r>
    </w:p>
    <w:p>
      <w:pPr>
        <w:pStyle w:val="BodyText"/>
      </w:pPr>
      <w:r>
        <w:rPr>
          <w:bCs/>
          <w:b/>
        </w:rPr>
        <w:t xml:space="preserve">MX-16 Micro-Navigation Cues.</w:t>
      </w:r>
      <w:r>
        <w:t xml:space="preserve"> </w:t>
      </w:r>
      <w:r>
        <w:t xml:space="preserve">Stations: both floors. Window: standing. Protocol: harmonize light characteristics and virtual AIS identifiers at corridor entries and exits per A.10. Metric: 14 consecutive days of identical live cues.</w:t>
      </w:r>
    </w:p>
    <w:p>
      <w:pPr>
        <w:pStyle w:val="BodyText"/>
      </w:pPr>
      <w:r>
        <w:rPr>
          <w:bCs/>
          <w:b/>
        </w:rPr>
        <w:t xml:space="preserve">MX-17 Joint Calm-Sea Window.</w:t>
      </w:r>
      <w:r>
        <w:t xml:space="preserve"> </w:t>
      </w:r>
      <w:r>
        <w:t xml:space="preserve">Stations: MX-08 desk. Window: daily. Protocol: identify and publish the optimal calm-sea transit window in the MX-06 bulletin. Metric: 14 consecutive publications.</w:t>
      </w:r>
    </w:p>
    <w:p>
      <w:pPr>
        <w:pStyle w:val="BodyText"/>
      </w:pPr>
      <w:r>
        <w:rPr>
          <w:bCs/>
          <w:b/>
        </w:rPr>
        <w:t xml:space="preserve">MX-18 Harbor-Exit Timing.</w:t>
      </w:r>
      <w:r>
        <w:t xml:space="preserve"> </w:t>
      </w:r>
      <w:r>
        <w:t xml:space="preserve">Stations: Bandar Abbas, Khasab. Window: one 30-minute period daily. Protocol: align government-vessel departure windows; log proximity events. Metric: 14 consecutive aligned windows; zero proximity events under 1.0 nautical mile with commercial traffic.</w:t>
      </w:r>
    </w:p>
    <w:p>
      <w:pPr>
        <w:pStyle w:val="BodyText"/>
      </w:pPr>
      <w:r>
        <w:rPr>
          <w:bCs/>
          <w:b/>
        </w:rPr>
        <w:t xml:space="preserve">MX-19 Pilot-Boat Coordination.</w:t>
      </w:r>
      <w:r>
        <w:t xml:space="preserve"> </w:t>
      </w:r>
      <w:r>
        <w:t xml:space="preserve">Stations: corridor entries. Window: two hours daily, published. Protocol: align pilot-boat availability; publish to requesting vessels. Metric: 14 consecutive days; response within 45 minutes.</w:t>
      </w:r>
    </w:p>
    <w:p>
      <w:pPr>
        <w:pStyle w:val="BodyText"/>
      </w:pPr>
      <w:r>
        <w:rPr>
          <w:bCs/>
          <w:b/>
        </w:rPr>
        <w:t xml:space="preserve">MX-20 Harbor-Pilot Rotation.</w:t>
      </w:r>
      <w:r>
        <w:t xml:space="preserve"> </w:t>
      </w:r>
      <w:r>
        <w:t xml:space="preserve">Stations: corridor entries. Window: weekly. Protocol: exchange pilot availability rosters; verify against actual. Metric: four consecutive exchanges; 95 percent accuracy.</w:t>
      </w:r>
    </w:p>
    <w:bookmarkEnd w:id="342"/>
    <w:bookmarkStart w:id="343" w:name="b.3-sub-layer-0.3-cards-mx-21-to-mx-30"/>
    <w:p>
      <w:pPr>
        <w:pStyle w:val="Heading2"/>
      </w:pPr>
      <w:r>
        <w:t xml:space="preserve">B.3 Sub-Layer 0.3 Cards (MX-21 to MX-30)</w:t>
      </w:r>
    </w:p>
    <w:p>
      <w:pPr>
        <w:pStyle w:val="FirstParagraph"/>
      </w:pPr>
      <w:r>
        <w:rPr>
          <w:bCs/>
          <w:b/>
        </w:rPr>
        <w:t xml:space="preserve">MX-21 Dual-Ping Incident Alerts.</w:t>
      </w:r>
      <w:r>
        <w:t xml:space="preserve"> </w:t>
      </w:r>
      <w:r>
        <w:t xml:space="preserve">Stations: both floors. Window: continuous. Protocol: on observing a mechanical failure, near-miss, or disabled vessel, transmit ping one (event class from Annex C.7) and ping two (position and status) within five minutes. Metric: 100 percent within five minutes for 14 days.</w:t>
      </w:r>
    </w:p>
    <w:p>
      <w:pPr>
        <w:pStyle w:val="BodyText"/>
      </w:pPr>
      <w:r>
        <w:rPr>
          <w:bCs/>
          <w:b/>
        </w:rPr>
        <w:t xml:space="preserve">MX-22 Mechanical-Failure Registry.</w:t>
      </w:r>
      <w:r>
        <w:t xml:space="preserve"> </w:t>
      </w:r>
      <w:r>
        <w:t xml:space="preserve">Stations: both floors. Window: continuous. Protocol: enter non-security breakdowns in the shared registry, anonymized (no flag, no name, class only), with position, nature, resolution. Metric: entries current within one hour; zero attributive entries.</w:t>
      </w:r>
    </w:p>
    <w:p>
      <w:pPr>
        <w:pStyle w:val="BodyText"/>
      </w:pPr>
      <w:r>
        <w:rPr>
          <w:bCs/>
          <w:b/>
        </w:rPr>
        <w:t xml:space="preserve">MX-23 Engine-Restart Alerts.</w:t>
      </w:r>
      <w:r>
        <w:t xml:space="preserve"> </w:t>
      </w:r>
      <w:r>
        <w:t xml:space="preserve">Stations: both floors. Window: continuous. Protocol: notify restart of a disabled vessel’s propulsion within five minutes of observation. Metric: 100 percent within five minutes, 14 days.</w:t>
      </w:r>
    </w:p>
    <w:p>
      <w:pPr>
        <w:pStyle w:val="BodyText"/>
      </w:pPr>
      <w:r>
        <w:rPr>
          <w:bCs/>
          <w:b/>
        </w:rPr>
        <w:t xml:space="preserve">MX-24 Anchor-Drift Alerts.</w:t>
      </w:r>
      <w:r>
        <w:t xml:space="preserve"> </w:t>
      </w:r>
      <w:r>
        <w:t xml:space="preserve">Stations: anchorage watches. Window: continuous. Protocol: notify drift beyond 0.2 nautical miles from anchored position inside designated anchorages within ten minutes. Metric: 100 percent within ten minutes.</w:t>
      </w:r>
    </w:p>
    <w:p>
      <w:pPr>
        <w:pStyle w:val="BodyText"/>
      </w:pPr>
      <w:r>
        <w:rPr>
          <w:bCs/>
          <w:b/>
        </w:rPr>
        <w:t xml:space="preserve">MX-25 Fuel-Leak Notifications.</w:t>
      </w:r>
      <w:r>
        <w:t xml:space="preserve"> </w:t>
      </w:r>
      <w:r>
        <w:t xml:space="preserve">Stations: both floors. Window: continuous. Protocol: notify observed non-security sheen with position and extent within fifteen minutes; maintain joint response log. Metric: 100 percent; log complete.</w:t>
      </w:r>
    </w:p>
    <w:p>
      <w:pPr>
        <w:pStyle w:val="BodyText"/>
      </w:pPr>
      <w:r>
        <w:rPr>
          <w:bCs/>
          <w:b/>
        </w:rPr>
        <w:t xml:space="preserve">MX-26 Micro-Hazmat Alert.</w:t>
      </w:r>
      <w:r>
        <w:t xml:space="preserve"> </w:t>
      </w:r>
      <w:r>
        <w:t xml:space="preserve">Stations: both floors. Window: continuous. Protocol: notify non-security hazmat release or container loss with position and material class where known, within fifteen minutes. Metric: 100 percent.</w:t>
      </w:r>
    </w:p>
    <w:p>
      <w:pPr>
        <w:pStyle w:val="BodyText"/>
      </w:pPr>
      <w:r>
        <w:rPr>
          <w:bCs/>
          <w:b/>
        </w:rPr>
        <w:t xml:space="preserve">MX-27 Joint Debris Alert.</w:t>
      </w:r>
      <w:r>
        <w:t xml:space="preserve"> </w:t>
      </w:r>
      <w:r>
        <w:t xml:space="preserve">Stations: both floors. Window: continuous. Protocol: notify floating debris endangering navigation within thirty minutes; feed MX-06. Metric: 100 percent within thirty minutes.</w:t>
      </w:r>
    </w:p>
    <w:p>
      <w:pPr>
        <w:pStyle w:val="BodyText"/>
      </w:pPr>
      <w:r>
        <w:rPr>
          <w:bCs/>
          <w:b/>
        </w:rPr>
        <w:t xml:space="preserve">MX-28 Micro-AIS Blackout Log.</w:t>
      </w:r>
      <w:r>
        <w:t xml:space="preserve"> </w:t>
      </w:r>
      <w:r>
        <w:t xml:space="preserve">Stations: both floors. Window: continuous. Protocol: log AIS outages with position and duration only; no attribution, no inference, no query. Metric: daily log; zero attributive annotations, 14 days.</w:t>
      </w:r>
    </w:p>
    <w:p>
      <w:pPr>
        <w:pStyle w:val="BodyText"/>
      </w:pPr>
      <w:r>
        <w:rPr>
          <w:bCs/>
          <w:b/>
        </w:rPr>
        <w:t xml:space="preserve">MX-29 Small-Craft Advisory.</w:t>
      </w:r>
      <w:r>
        <w:t xml:space="preserve"> </w:t>
      </w:r>
      <w:r>
        <w:t xml:space="preserve">Stations: both floors. Window: daily. Protocol: issue joint advisory for fishing and local craft (traffic forecast, hazards) in Arabic, Farsi, and English; distribute to the harbormaster network. Metric: daily issue; distribution confirmed at Bandar Abbas, Qeshm, Khasab, Dibba.</w:t>
      </w:r>
    </w:p>
    <w:p>
      <w:pPr>
        <w:pStyle w:val="BodyText"/>
      </w:pPr>
      <w:r>
        <w:rPr>
          <w:bCs/>
          <w:b/>
        </w:rPr>
        <w:t xml:space="preserve">MX-30 Fishing-Net Drift Map.</w:t>
      </w:r>
      <w:r>
        <w:t xml:space="preserve"> </w:t>
      </w:r>
      <w:r>
        <w:t xml:space="preserve">Stations: both floors. Window: daily refresh. Protocol: map drifting nets and gear from sightings; track each to recovery or exit. Metric: daily map, 14 days; 100 percent tracked.</w:t>
      </w:r>
    </w:p>
    <w:bookmarkEnd w:id="343"/>
    <w:bookmarkStart w:id="344" w:name="b.4-sub-layer-0.4-cards-mx-31-to-mx-40"/>
    <w:p>
      <w:pPr>
        <w:pStyle w:val="Heading2"/>
      </w:pPr>
      <w:r>
        <w:t xml:space="preserve">B.4 Sub-Layer 0.4 Cards (MX-31 to MX-40)</w:t>
      </w:r>
    </w:p>
    <w:p>
      <w:pPr>
        <w:pStyle w:val="FirstParagraph"/>
      </w:pPr>
      <w:r>
        <w:rPr>
          <w:bCs/>
          <w:b/>
        </w:rPr>
        <w:t xml:space="preserve">MX-31 Emergency-Tow Readiness.</w:t>
      </w:r>
      <w:r>
        <w:t xml:space="preserve"> </w:t>
      </w:r>
      <w:r>
        <w:t xml:space="preserve">Stations: both floors. Window: refresh every 12 hours. Protocol: maintain joint list of tow-capable vessels (position, bollard pull, availability). Metric: list current at every refresh, 14 days.</w:t>
      </w:r>
    </w:p>
    <w:p>
      <w:pPr>
        <w:pStyle w:val="BodyText"/>
      </w:pPr>
      <w:r>
        <w:rPr>
          <w:bCs/>
          <w:b/>
        </w:rPr>
        <w:t xml:space="preserve">MX-32 Shared Tug-Dispatch.</w:t>
      </w:r>
      <w:r>
        <w:t xml:space="preserve"> </w:t>
      </w:r>
      <w:r>
        <w:t xml:space="preserve">Stations: both floors. Window: on request. Protocol: nearest available tug from the MX-31 list dispatches under its own national tasking; simultaneous notice to the other floor. Metric: dispatch within 30 minutes, 100 percent of events.</w:t>
      </w:r>
    </w:p>
    <w:p>
      <w:pPr>
        <w:pStyle w:val="BodyText"/>
      </w:pPr>
      <w:r>
        <w:rPr>
          <w:bCs/>
          <w:b/>
        </w:rPr>
        <w:t xml:space="preserve">MX-33 Micro-SAR Coordination.</w:t>
      </w:r>
      <w:r>
        <w:t xml:space="preserve"> </w:t>
      </w:r>
      <w:r>
        <w:t xml:space="preserve">Stations: both floors. Window: twice daily. Protocol: exchange SAR readiness status (assets on station, response times). Metric: 14 consecutive complete exchanges.</w:t>
      </w:r>
    </w:p>
    <w:p>
      <w:pPr>
        <w:pStyle w:val="BodyText"/>
      </w:pPr>
      <w:r>
        <w:rPr>
          <w:bCs/>
          <w:b/>
        </w:rPr>
        <w:t xml:space="preserve">MX-34 Micro-SAR Drill.</w:t>
      </w:r>
      <w:r>
        <w:t xml:space="preserve"> </w:t>
      </w:r>
      <w:r>
        <w:t xml:space="preserve">Stations: both floors. Window: weekly, 15 minutes. Protocol: simulated person-in-water position in the Band; execute the Annex C.8 notification ladder; communications only, no asset deployment. Metric: four consecutive drills; every step inside its time standard.</w:t>
      </w:r>
    </w:p>
    <w:p>
      <w:pPr>
        <w:pStyle w:val="BodyText"/>
      </w:pPr>
      <w:r>
        <w:rPr>
          <w:bCs/>
          <w:b/>
        </w:rPr>
        <w:t xml:space="preserve">MX-35 Shared Repair-Ship List.</w:t>
      </w:r>
      <w:r>
        <w:t xml:space="preserve"> </w:t>
      </w:r>
      <w:r>
        <w:t xml:space="preserve">Stations: both floors. Window: weekly verification. Protocol: maintain joint list of repair-capable vessels and diving units with capabilities and contacts. Metric: 95 percent accuracy verified weekly.</w:t>
      </w:r>
    </w:p>
    <w:p>
      <w:pPr>
        <w:pStyle w:val="BodyText"/>
      </w:pPr>
      <w:r>
        <w:rPr>
          <w:bCs/>
          <w:b/>
        </w:rPr>
        <w:t xml:space="preserve">MX-36 Shared Repair-Crew Roster.</w:t>
      </w:r>
      <w:r>
        <w:t xml:space="preserve"> </w:t>
      </w:r>
      <w:r>
        <w:t xml:space="preserve">Stations: four stations. Window: weekly. Protocol: exchange emergency repair-team availability at Bandar Abbas, Qeshm, Khasab, Fujairah. Metric: four consecutive exchanges.</w:t>
      </w:r>
    </w:p>
    <w:p>
      <w:pPr>
        <w:pStyle w:val="BodyText"/>
      </w:pPr>
      <w:r>
        <w:rPr>
          <w:bCs/>
          <w:b/>
        </w:rPr>
        <w:t xml:space="preserve">MX-37 Shared Repair-Dock Timing.</w:t>
      </w:r>
      <w:r>
        <w:t xml:space="preserve"> </w:t>
      </w:r>
      <w:r>
        <w:t xml:space="preserve">Stations: four stations. Window: weekly publication. Protocol: align repair-dock access windows for disabled vessels. Metric: weekly publication; dock assignment within 12 hours of request.</w:t>
      </w:r>
    </w:p>
    <w:p>
      <w:pPr>
        <w:pStyle w:val="BodyText"/>
      </w:pPr>
      <w:r>
        <w:rPr>
          <w:bCs/>
          <w:b/>
        </w:rPr>
        <w:t xml:space="preserve">MX-38 Micro-Repair Coordination.</w:t>
      </w:r>
      <w:r>
        <w:t xml:space="preserve"> </w:t>
      </w:r>
      <w:r>
        <w:t xml:space="preserve">Stations: both floors. Window: one vessel per day. Protocol: align repair scheduling (team, dock, parts) for requested cases through the floors. Metric: 100 percent of requests completed within 24 hours, 14 days.</w:t>
      </w:r>
    </w:p>
    <w:p>
      <w:pPr>
        <w:pStyle w:val="BodyText"/>
      </w:pPr>
      <w:r>
        <w:rPr>
          <w:bCs/>
          <w:b/>
        </w:rPr>
        <w:t xml:space="preserve">MX-39 Joint Drift Prediction.</w:t>
      </w:r>
      <w:r>
        <w:t xml:space="preserve"> </w:t>
      </w:r>
      <w:r>
        <w:t xml:space="preserve">Stations: both floors. Window: hourly during events. Protocol: run the harmonized drift model of B.39.1 for disabled vessels; exchange predictions hourly; score against observed. Metric: error under 2.0 nautical miles at six hours in 80 percent of cases. (B.39.1: the harmonized model uses the joint wind and current fields of MX-03 and MX-04, with leeway coefficients per vessel class fixed in the exercise register.)</w:t>
      </w:r>
    </w:p>
    <w:p>
      <w:pPr>
        <w:pStyle w:val="BodyText"/>
      </w:pPr>
      <w:r>
        <w:rPr>
          <w:bCs/>
          <w:b/>
        </w:rPr>
        <w:t xml:space="preserve">MX-40 Micro-Collision Review.</w:t>
      </w:r>
      <w:r>
        <w:t xml:space="preserve"> </w:t>
      </w:r>
      <w:r>
        <w:t xml:space="preserve">Stations: both floors. Window: per event. Protocol: jointly review each logged near-miss from paired logbook entries; issue a one-paragraph joint finding of fact without fault attribution, within 72 hours. Metric: 100 percent within 72 hours; zero fault language.</w:t>
      </w:r>
    </w:p>
    <w:bookmarkEnd w:id="344"/>
    <w:bookmarkStart w:id="345" w:name="b.5-sub-layer-0.5-cards-mx-41-to-mx-50"/>
    <w:p>
      <w:pPr>
        <w:pStyle w:val="Heading2"/>
      </w:pPr>
      <w:r>
        <w:t xml:space="preserve">B.5 Sub-Layer 0.5 Cards (MX-41 to MX-50)</w:t>
      </w:r>
    </w:p>
    <w:p>
      <w:pPr>
        <w:pStyle w:val="FirstParagraph"/>
      </w:pPr>
      <w:r>
        <w:rPr>
          <w:bCs/>
          <w:b/>
        </w:rPr>
        <w:t xml:space="preserve">MX-41 Shared Logbook Cell.</w:t>
      </w:r>
      <w:r>
        <w:t xml:space="preserve"> </w:t>
      </w:r>
      <w:r>
        <w:t xml:space="preserve">Stations: Lattice Cell. Window: daily. Protocol: the Cell takes custody of the Exercise Logbook; executes the daily audit routine (completeness, pairing, initials). Metric: daily audit, 14 days, zero unreconciled entries.</w:t>
      </w:r>
    </w:p>
    <w:p>
      <w:pPr>
        <w:pStyle w:val="BodyText"/>
      </w:pPr>
      <w:r>
        <w:rPr>
          <w:bCs/>
          <w:b/>
        </w:rPr>
        <w:t xml:space="preserve">MX-42 Micro-Training Exchange.</w:t>
      </w:r>
      <w:r>
        <w:t xml:space="preserve"> </w:t>
      </w:r>
      <w:r>
        <w:t xml:space="preserve">Stations: both floors. Window: five consecutive days. Protocol: each Party seconds two observers to the other’s floor under Annex C.9 (shared picture access only; no operational duties; escorted at all times). Metric: exchange completed; reports exchanged.</w:t>
      </w:r>
    </w:p>
    <w:p>
      <w:pPr>
        <w:pStyle w:val="BodyText"/>
      </w:pPr>
      <w:r>
        <w:rPr>
          <w:bCs/>
          <w:b/>
        </w:rPr>
        <w:t xml:space="preserve">MX-43 Radio-Channel Harmonization.</w:t>
      </w:r>
      <w:r>
        <w:t xml:space="preserve"> </w:t>
      </w:r>
      <w:r>
        <w:t xml:space="preserve">Stations: all. Window: standing. Protocol: operate VHF 16 (distress), 72 (corridor working), 74 (floor coordination) per Annex C.2. Metric: plan published; 14 days without interference events.</w:t>
      </w:r>
    </w:p>
    <w:p>
      <w:pPr>
        <w:pStyle w:val="BodyText"/>
      </w:pPr>
      <w:r>
        <w:rPr>
          <w:bCs/>
          <w:b/>
        </w:rPr>
        <w:t xml:space="preserve">MX-44 Joint Fog-Horn and Signal Protocol.</w:t>
      </w:r>
      <w:r>
        <w:t xml:space="preserve"> </w:t>
      </w:r>
      <w:r>
        <w:t xml:space="preserve">Stations: corridor craft. Window: standing. Protocol: standardize sound and light advisory signals per Annex C.10. Metric: protocol published; 100 percent conformance in advisory events.</w:t>
      </w:r>
    </w:p>
    <w:p>
      <w:pPr>
        <w:pStyle w:val="BodyText"/>
      </w:pPr>
      <w:r>
        <w:rPr>
          <w:bCs/>
          <w:b/>
        </w:rPr>
        <w:t xml:space="preserve">MX-45 Shared Vessel-Intent Form.</w:t>
      </w:r>
      <w:r>
        <w:t xml:space="preserve"> </w:t>
      </w:r>
      <w:r>
        <w:t xml:space="preserve">Stations: Transit Desk (provisional). Window: standing. Protocol: publish the voluntary intent form of Annex L.3; accept filings without acknowledgment duty; record filing rate without consequence. Metric: form published in three languages; rate recorded.</w:t>
      </w:r>
    </w:p>
    <w:p>
      <w:pPr>
        <w:pStyle w:val="BodyText"/>
      </w:pPr>
      <w:r>
        <w:rPr>
          <w:bCs/>
          <w:b/>
        </w:rPr>
        <w:t xml:space="preserve">MX-46 Micro-Fee Simulation.</w:t>
      </w:r>
      <w:r>
        <w:t xml:space="preserve"> </w:t>
      </w:r>
      <w:r>
        <w:t xml:space="preserve">Stations: both floors. Window: daily run. Protocol: run the parallel accounting model of Article 34 against every lattice-window transit at the Annex F.2 simulation rates; reconcile outputs between floors. No money moves. Metric: 14 consecutive runs; reconciliation within 5 percent.</w:t>
      </w:r>
    </w:p>
    <w:p>
      <w:pPr>
        <w:pStyle w:val="BodyText"/>
      </w:pPr>
      <w:r>
        <w:rPr>
          <w:bCs/>
          <w:b/>
        </w:rPr>
        <w:t xml:space="preserve">MX-47 Micro-Oversight Cell.</w:t>
      </w:r>
      <w:r>
        <w:t xml:space="preserve"> </w:t>
      </w:r>
      <w:r>
        <w:t xml:space="preserve">Stations: Lattice Cell. Window: weekly. Protocol: execute the full Article 10 routine (stability note, anomaly review, recommendation drafting). Metric: weekly routine without missed session.</w:t>
      </w:r>
    </w:p>
    <w:p>
      <w:pPr>
        <w:pStyle w:val="BodyText"/>
      </w:pPr>
      <w:r>
        <w:rPr>
          <w:bCs/>
          <w:b/>
        </w:rPr>
        <w:t xml:space="preserve">MX-48 Micro-Governance Review.</w:t>
      </w:r>
      <w:r>
        <w:t xml:space="preserve"> </w:t>
      </w:r>
      <w:r>
        <w:t xml:space="preserve">Stations: Lattice Cell. Window: weekly. Protocol: review the whole lattice in the Annex J.4 format (functions, failures, experiences). Metric: four consecutive reviews on record.</w:t>
      </w:r>
    </w:p>
    <w:p>
      <w:pPr>
        <w:pStyle w:val="BodyText"/>
      </w:pPr>
      <w:r>
        <w:rPr>
          <w:bCs/>
          <w:b/>
        </w:rPr>
        <w:t xml:space="preserve">MX-49 Pilot-Compatibility Audit.</w:t>
      </w:r>
      <w:r>
        <w:t xml:space="preserve"> </w:t>
      </w:r>
      <w:r>
        <w:t xml:space="preserve">Stations: neutral Cell member. Window: weekly. Protocol: audit every active exercise against the Article 9.2 rules; report drift toward authority, enforcement, or sovereignty implication. Metric: weekly audit; remediation or suspension within 48 hours of any finding.</w:t>
      </w:r>
    </w:p>
    <w:p>
      <w:pPr>
        <w:pStyle w:val="BodyText"/>
      </w:pPr>
      <w:r>
        <w:rPr>
          <w:bCs/>
          <w:b/>
        </w:rPr>
        <w:t xml:space="preserve">MX-50 Corridor-Expansion Test.</w:t>
      </w:r>
      <w:r>
        <w:t xml:space="preserve"> </w:t>
      </w:r>
      <w:r>
        <w:t xml:space="preserve">Stations: both floors. Window: one-week simulation. Protocol: simulate the MX-11 window at 24 hours on the shared picture; record projected conflicts and capacity; no vessel involvement. Metric: simulation report on record for the Layer 2 design review.</w:t>
      </w:r>
    </w:p>
    <w:bookmarkEnd w:id="345"/>
    <w:bookmarkEnd w:id="346"/>
    <w:bookmarkStart w:id="358" w:name="X1c9d764d46a11a5fa957324891485517ee92298"/>
    <w:p>
      <w:pPr>
        <w:pStyle w:val="Heading1"/>
      </w:pPr>
      <w:r>
        <w:t xml:space="preserve">ANNEX C: COMMUNICATIONS AND HOTLINE PROTOCOL</w:t>
      </w:r>
    </w:p>
    <w:bookmarkStart w:id="347" w:name="c.1-the-network"/>
    <w:p>
      <w:pPr>
        <w:pStyle w:val="Heading2"/>
      </w:pPr>
      <w:r>
        <w:t xml:space="preserve">C.1 The Network</w:t>
      </w:r>
    </w:p>
    <w:p>
      <w:pPr>
        <w:pStyle w:val="FirstParagraph"/>
      </w:pPr>
      <w:r>
        <w:t xml:space="preserve">The communications architecture operates as a five-node ring: the Muscat watch floor, the Bandar Abbas mirror floor, the United States Fifth Fleet operational headquarters, the Iranian Navy and IRGC Navy liaison desk, and the Royal Navy of Oman headquarters. The ring carries voice, data, and the alert formats of this Annex, and tests hourly on an automatic schedule with results logged.</w:t>
      </w:r>
    </w:p>
    <w:bookmarkEnd w:id="347"/>
    <w:bookmarkStart w:id="348" w:name="c.2-table-c.2-channel-plan"/>
    <w:p>
      <w:pPr>
        <w:pStyle w:val="Heading2"/>
      </w:pPr>
      <w:r>
        <w:t xml:space="preserve">C.2 Table C.2: Channel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Function</w:t>
            </w:r>
          </w:p>
        </w:tc>
        <w:tc>
          <w:tcPr/>
          <w:p>
            <w:pPr>
              <w:pStyle w:val="Compact"/>
              <w:jc w:val="left"/>
            </w:pPr>
            <w:r>
              <w:t xml:space="preserve">Users</w:t>
            </w:r>
          </w:p>
        </w:tc>
      </w:tr>
      <w:tr>
        <w:tc>
          <w:tcPr/>
          <w:p>
            <w:pPr>
              <w:pStyle w:val="Compact"/>
              <w:jc w:val="left"/>
            </w:pPr>
            <w:r>
              <w:t xml:space="preserve">VHF 16</w:t>
            </w:r>
          </w:p>
        </w:tc>
        <w:tc>
          <w:tcPr/>
          <w:p>
            <w:pPr>
              <w:pStyle w:val="Compact"/>
              <w:jc w:val="left"/>
            </w:pPr>
            <w:r>
              <w:t xml:space="preserve">Distress and calling</w:t>
            </w:r>
          </w:p>
        </w:tc>
        <w:tc>
          <w:tcPr/>
          <w:p>
            <w:pPr>
              <w:pStyle w:val="Compact"/>
              <w:jc w:val="left"/>
            </w:pPr>
            <w:r>
              <w:t xml:space="preserve">All vessels, all stations</w:t>
            </w:r>
          </w:p>
        </w:tc>
      </w:tr>
      <w:tr>
        <w:tc>
          <w:tcPr/>
          <w:p>
            <w:pPr>
              <w:pStyle w:val="Compact"/>
              <w:jc w:val="left"/>
            </w:pPr>
            <w:r>
              <w:t xml:space="preserve">VHF 72</w:t>
            </w:r>
          </w:p>
        </w:tc>
        <w:tc>
          <w:tcPr/>
          <w:p>
            <w:pPr>
              <w:pStyle w:val="Compact"/>
              <w:jc w:val="left"/>
            </w:pPr>
            <w:r>
              <w:t xml:space="preserve">Corridor working channel</w:t>
            </w:r>
          </w:p>
        </w:tc>
        <w:tc>
          <w:tcPr/>
          <w:p>
            <w:pPr>
              <w:pStyle w:val="Compact"/>
              <w:jc w:val="left"/>
            </w:pPr>
            <w:r>
              <w:t xml:space="preserve">Transiting vessels, corridor administrators, escorts</w:t>
            </w:r>
          </w:p>
        </w:tc>
      </w:tr>
      <w:tr>
        <w:tc>
          <w:tcPr/>
          <w:p>
            <w:pPr>
              <w:pStyle w:val="Compact"/>
              <w:jc w:val="left"/>
            </w:pPr>
            <w:r>
              <w:t xml:space="preserve">VHF 74</w:t>
            </w:r>
          </w:p>
        </w:tc>
        <w:tc>
          <w:tcPr/>
          <w:p>
            <w:pPr>
              <w:pStyle w:val="Compact"/>
              <w:jc w:val="left"/>
            </w:pPr>
            <w:r>
              <w:t xml:space="preserve">Watch-floor coordination</w:t>
            </w:r>
          </w:p>
        </w:tc>
        <w:tc>
          <w:tcPr/>
          <w:p>
            <w:pPr>
              <w:pStyle w:val="Compact"/>
              <w:jc w:val="left"/>
            </w:pPr>
            <w:r>
              <w:t xml:space="preserve">The two floors, liaison stations</w:t>
            </w:r>
          </w:p>
        </w:tc>
      </w:tr>
      <w:tr>
        <w:tc>
          <w:tcPr/>
          <w:p>
            <w:pPr>
              <w:pStyle w:val="Compact"/>
              <w:jc w:val="left"/>
            </w:pPr>
            <w:r>
              <w:t xml:space="preserve">VHF 69</w:t>
            </w:r>
          </w:p>
        </w:tc>
        <w:tc>
          <w:tcPr/>
          <w:p>
            <w:pPr>
              <w:pStyle w:val="Compact"/>
              <w:jc w:val="left"/>
            </w:pPr>
            <w:r>
              <w:t xml:space="preserve">Escort working channel</w:t>
            </w:r>
          </w:p>
        </w:tc>
        <w:tc>
          <w:tcPr/>
          <w:p>
            <w:pPr>
              <w:pStyle w:val="Compact"/>
              <w:jc w:val="left"/>
            </w:pPr>
            <w:r>
              <w:t xml:space="preserve">Lead escorts and floors (no vessel commands)</w:t>
            </w:r>
          </w:p>
        </w:tc>
      </w:tr>
      <w:tr>
        <w:tc>
          <w:tcPr/>
          <w:p>
            <w:pPr>
              <w:pStyle w:val="Compact"/>
              <w:jc w:val="left"/>
            </w:pPr>
            <w:r>
              <w:t xml:space="preserve">Dedicated link</w:t>
            </w:r>
          </w:p>
        </w:tc>
        <w:tc>
          <w:tcPr/>
          <w:p>
            <w:pPr>
              <w:pStyle w:val="Compact"/>
              <w:jc w:val="left"/>
            </w:pPr>
            <w:r>
              <w:t xml:space="preserve">Meridian Data Exchange synchronization</w:t>
            </w:r>
          </w:p>
        </w:tc>
        <w:tc>
          <w:tcPr/>
          <w:p>
            <w:pPr>
              <w:pStyle w:val="Compact"/>
              <w:jc w:val="left"/>
            </w:pPr>
            <w:r>
              <w:t xml:space="preserve">The two servers</w:t>
            </w:r>
          </w:p>
        </w:tc>
      </w:tr>
      <w:tr>
        <w:tc>
          <w:tcPr/>
          <w:p>
            <w:pPr>
              <w:pStyle w:val="Compact"/>
              <w:jc w:val="left"/>
            </w:pPr>
            <w:r>
              <w:t xml:space="preserve">Ring circuit</w:t>
            </w:r>
          </w:p>
        </w:tc>
        <w:tc>
          <w:tcPr/>
          <w:p>
            <w:pPr>
              <w:pStyle w:val="Compact"/>
              <w:jc w:val="left"/>
            </w:pPr>
            <w:r>
              <w:t xml:space="preserve">Deconfliction hotline</w:t>
            </w:r>
          </w:p>
        </w:tc>
        <w:tc>
          <w:tcPr/>
          <w:p>
            <w:pPr>
              <w:pStyle w:val="Compact"/>
              <w:jc w:val="left"/>
            </w:pPr>
            <w:r>
              <w:t xml:space="preserve">The five nodes</w:t>
            </w:r>
          </w:p>
        </w:tc>
      </w:tr>
    </w:tbl>
    <w:bookmarkEnd w:id="348"/>
    <w:bookmarkStart w:id="349" w:name="c.3-the-dedicated-link"/>
    <w:p>
      <w:pPr>
        <w:pStyle w:val="Heading2"/>
      </w:pPr>
      <w:r>
        <w:t xml:space="preserve">C.3 The Dedicated Link</w:t>
      </w:r>
    </w:p>
    <w:p>
      <w:pPr>
        <w:pStyle w:val="FirstParagraph"/>
      </w:pPr>
      <w:r>
        <w:t xml:space="preserve">The Exchange link runs on two physically separate paths (submarine cable and microwave relay) with automatic failover. Link availability target: 99.9 percent monthly. Every failover and restoration logs.</w:t>
      </w:r>
    </w:p>
    <w:bookmarkEnd w:id="349"/>
    <w:bookmarkStart w:id="350" w:name="c.4-standard-formats"/>
    <w:p>
      <w:pPr>
        <w:pStyle w:val="Heading2"/>
      </w:pPr>
      <w:r>
        <w:t xml:space="preserve">C.4 Standard Formats</w:t>
      </w:r>
    </w:p>
    <w:p>
      <w:pPr>
        <w:pStyle w:val="FirstParagraph"/>
      </w:pPr>
      <w:r>
        <w:t xml:space="preserve">AIS snapshot (MX-01): identity, position, course, speed, timestamp, one line per vessel. Voice report (Article 22.5): identity, position, next reporting point, three lines. All formats in English with Farsi and Arabic parallel text on request.</w:t>
      </w:r>
    </w:p>
    <w:bookmarkEnd w:id="350"/>
    <w:bookmarkStart w:id="351" w:name="c.5-visibility-code-mx-02"/>
    <w:p>
      <w:pPr>
        <w:pStyle w:val="Heading2"/>
      </w:pPr>
      <w:r>
        <w:t xml:space="preserve">C.5 Visibility Code (MX-02)</w:t>
      </w:r>
    </w:p>
    <w:p>
      <w:pPr>
        <w:pStyle w:val="FirstParagraph"/>
      </w:pPr>
      <w:r>
        <w:t xml:space="preserve">One line: station identifier, UTC time, visibility in meters, fog flag (0 or 1). Example: KHS 0600 4500 0.</w:t>
      </w:r>
    </w:p>
    <w:bookmarkEnd w:id="351"/>
    <w:bookmarkStart w:id="352" w:name="c.6-joint-hazard-symbols"/>
    <w:p>
      <w:pPr>
        <w:pStyle w:val="Heading2"/>
      </w:pPr>
      <w:r>
        <w:t xml:space="preserve">C.6 Joint Hazard Symbols</w:t>
      </w:r>
    </w:p>
    <w:p>
      <w:pPr>
        <w:pStyle w:val="FirstParagraph"/>
      </w:pPr>
      <w:r>
        <w:t xml:space="preserve">The symbol register adopts the standard chart symbols for: debris, unlit vessel, mine-like contact, disabled vessel, spill, net or gear, survey operation, and flow-state boundary. The register publishes at MX-09 and amends through the Technical and Standards Committee.</w:t>
      </w:r>
    </w:p>
    <w:bookmarkEnd w:id="352"/>
    <w:bookmarkStart w:id="353" w:name="c.7-dual-ping-event-classes-mx-21"/>
    <w:p>
      <w:pPr>
        <w:pStyle w:val="Heading2"/>
      </w:pPr>
      <w:r>
        <w:t xml:space="preserve">C.7 Dual-Ping Event Classes (MX-21)</w:t>
      </w:r>
    </w:p>
    <w:p>
      <w:pPr>
        <w:pStyle w:val="FirstParagraph"/>
      </w:pPr>
      <w:r>
        <w:t xml:space="preserve">Class codes: MECH (mechanical failure), NMSS (near-miss), DISB (disabled vessel), DRFT (drift), SPILL (release), DEBRS (debris), RESTR (restart). Ping one carries the class; ping two carries position and status.</w:t>
      </w:r>
    </w:p>
    <w:bookmarkEnd w:id="353"/>
    <w:bookmarkStart w:id="354" w:name="c.8-sar-notification-ladder-mx-34"/>
    <w:p>
      <w:pPr>
        <w:pStyle w:val="Heading2"/>
      </w:pPr>
      <w:r>
        <w:t xml:space="preserve">C.8 SAR Notification Ladder (MX-34)</w:t>
      </w:r>
    </w:p>
    <w:p>
      <w:pPr>
        <w:pStyle w:val="FirstParagraph"/>
      </w:pPr>
      <w:r>
        <w:t xml:space="preserve">Step one: observing floor alerts the ring within 60 seconds. Step two: responsible administrator acknowledges within 120 seconds. Step three: asset status confirmation within five minutes. Step four: coordination assumption announcement within ten minutes. The drill scores every step against these standards.</w:t>
      </w:r>
    </w:p>
    <w:bookmarkEnd w:id="354"/>
    <w:bookmarkStart w:id="355" w:name="c.9-observation-protocol-mx-42"/>
    <w:p>
      <w:pPr>
        <w:pStyle w:val="Heading2"/>
      </w:pPr>
      <w:r>
        <w:t xml:space="preserve">C.9 Observation Protocol (MX-42)</w:t>
      </w:r>
    </w:p>
    <w:p>
      <w:pPr>
        <w:pStyle w:val="FirstParagraph"/>
      </w:pPr>
      <w:r>
        <w:t xml:space="preserve">Observers access the shared picture only; hold no system credentials; perform no operational duties; remain escorted on the host floor; and file observations only to their own floor and the Lattice Cell.</w:t>
      </w:r>
    </w:p>
    <w:bookmarkEnd w:id="355"/>
    <w:bookmarkStart w:id="356" w:name="c.10-advisory-signal-standard-mx-44"/>
    <w:p>
      <w:pPr>
        <w:pStyle w:val="Heading2"/>
      </w:pPr>
      <w:r>
        <w:t xml:space="preserve">C.10 Advisory Signal Standard (MX-44)</w:t>
      </w:r>
    </w:p>
    <w:p>
      <w:pPr>
        <w:pStyle w:val="FirstParagraph"/>
      </w:pPr>
      <w:r>
        <w:t xml:space="preserve">Restricted visibility advisory: one prolonged blast repeated at two-minute intervals. Hazard ahead advisory: three short blasts. Anchorage guidance: two prolonged, one short. Light signals mirror the sound patterns. The standard publishes in the Bulletin.</w:t>
      </w:r>
    </w:p>
    <w:bookmarkEnd w:id="356"/>
    <w:bookmarkStart w:id="357" w:name="X866b094751adca273047b6e2832c02cec570a21"/>
    <w:p>
      <w:pPr>
        <w:pStyle w:val="Heading2"/>
      </w:pPr>
      <w:r>
        <w:t xml:space="preserve">C.11 Table C.3: Standoff Geometry (Article 29.1)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Distance</w:t>
            </w:r>
          </w:p>
        </w:tc>
      </w:tr>
      <w:tr>
        <w:tc>
          <w:tcPr/>
          <w:p>
            <w:pPr>
              <w:pStyle w:val="Compact"/>
              <w:jc w:val="left"/>
            </w:pPr>
            <w:r>
              <w:t xml:space="preserve">Naval vessel to commercial vessel in corridor</w:t>
            </w:r>
          </w:p>
        </w:tc>
        <w:tc>
          <w:tcPr/>
          <w:p>
            <w:pPr>
              <w:pStyle w:val="Compact"/>
              <w:jc w:val="left"/>
            </w:pPr>
            <w:r>
              <w:t xml:space="preserve">3.0 nautical miles minimum (except requested escort or distress)</w:t>
            </w:r>
          </w:p>
        </w:tc>
      </w:tr>
      <w:tr>
        <w:tc>
          <w:tcPr/>
          <w:p>
            <w:pPr>
              <w:pStyle w:val="Compact"/>
              <w:jc w:val="left"/>
            </w:pPr>
            <w:r>
              <w:t xml:space="preserve">Opposed naval pairs to corridor centerlines</w:t>
            </w:r>
          </w:p>
        </w:tc>
        <w:tc>
          <w:tcPr/>
          <w:p>
            <w:pPr>
              <w:pStyle w:val="Compact"/>
              <w:jc w:val="left"/>
            </w:pPr>
            <w:r>
              <w:t xml:space="preserve">6.0 nautical miles minimum</w:t>
            </w:r>
          </w:p>
        </w:tc>
      </w:tr>
      <w:tr>
        <w:tc>
          <w:tcPr/>
          <w:p>
            <w:pPr>
              <w:pStyle w:val="Compact"/>
              <w:jc w:val="left"/>
            </w:pPr>
            <w:r>
              <w:t xml:space="preserve">Speed craft lateral distance from commercial vessels</w:t>
            </w:r>
          </w:p>
        </w:tc>
        <w:tc>
          <w:tcPr/>
          <w:p>
            <w:pPr>
              <w:pStyle w:val="Compact"/>
              <w:jc w:val="left"/>
            </w:pPr>
            <w:r>
              <w:t xml:space="preserve">1,000 meters minimum (except SAR or pre-notified escort)</w:t>
            </w:r>
          </w:p>
        </w:tc>
      </w:tr>
      <w:tr>
        <w:tc>
          <w:tcPr/>
          <w:p>
            <w:pPr>
              <w:pStyle w:val="Compact"/>
              <w:jc w:val="left"/>
            </w:pPr>
            <w:r>
              <w:t xml:space="preserve">Unmanned aerial systems lateral distance from commercial vessels</w:t>
            </w:r>
          </w:p>
        </w:tc>
        <w:tc>
          <w:tcPr/>
          <w:p>
            <w:pPr>
              <w:pStyle w:val="Compact"/>
              <w:jc w:val="left"/>
            </w:pPr>
            <w:r>
              <w:t xml:space="preserve">2.0 nautical miles minimum</w:t>
            </w:r>
          </w:p>
        </w:tc>
      </w:tr>
    </w:tbl>
    <w:bookmarkEnd w:id="357"/>
    <w:bookmarkEnd w:id="358"/>
    <w:bookmarkStart w:id="367" w:name="annex-d-verification-standards"/>
    <w:p>
      <w:pPr>
        <w:pStyle w:val="Heading1"/>
      </w:pPr>
      <w:r>
        <w:t xml:space="preserve">ANNEX D: VERIFICATION STANDARDS</w:t>
      </w:r>
    </w:p>
    <w:bookmarkStart w:id="359" w:name="d.1-the-human-anchor-method"/>
    <w:p>
      <w:pPr>
        <w:pStyle w:val="Heading2"/>
      </w:pPr>
      <w:r>
        <w:t xml:space="preserve">D.1 The Human Anchor Method</w:t>
      </w:r>
    </w:p>
    <w:p>
      <w:pPr>
        <w:pStyle w:val="FirstParagraph"/>
      </w:pPr>
      <w:r>
        <w:t xml:space="preserve">Every verification determination pairs the machine record with trained human observation at the point of event: watch-floor observers for corridor events, remote observation for vessel events, sector observers for survey events, and the integrity watch for data events. A determination states both inputs on its face.</w:t>
      </w:r>
    </w:p>
    <w:bookmarkEnd w:id="359"/>
    <w:bookmarkStart w:id="360" w:name="d.2-the-convergence-standard"/>
    <w:p>
      <w:pPr>
        <w:pStyle w:val="Heading2"/>
      </w:pPr>
      <w:r>
        <w:t xml:space="preserve">D.2 The Convergence Standard</w:t>
      </w:r>
    </w:p>
    <w:p>
      <w:pPr>
        <w:pStyle w:val="FirstParagraph"/>
      </w:pPr>
      <w:r>
        <w:t xml:space="preserve">No finding of fact rests on a single input. Convergence requires two or more independent inputs in agreement: AIS plus radar; observer plus log; national record plus Exchange record; sonar contact plus diver confirmation. A finding lists its inputs; a single-input observation records as unverified and carries no consequence.</w:t>
      </w:r>
    </w:p>
    <w:bookmarkEnd w:id="360"/>
    <w:bookmarkStart w:id="361" w:name="d.3-the-clean-week-verification-standard"/>
    <w:p>
      <w:pPr>
        <w:pStyle w:val="Heading2"/>
      </w:pPr>
      <w:r>
        <w:t xml:space="preserve">D.3 The Clean Week Verification Standard</w:t>
      </w:r>
    </w:p>
    <w:p>
      <w:pPr>
        <w:pStyle w:val="FirstParagraph"/>
      </w:pPr>
      <w:r>
        <w:t xml:space="preserve">The Neutral Watch Office determines each Clean Week from the Exchange record within twelve hours of the period’s close, against four tests: zero events classified E-2 or higher; zero unresolved Level-2 incidents; service standards at 95 percent across both corridors; and data parity at 99.5 percent. The determination publishes with the full test record. The standard admits no discretion: the record either passes the four tests or fails them.</w:t>
      </w:r>
    </w:p>
    <w:bookmarkEnd w:id="361"/>
    <w:bookmarkStart w:id="362" w:name="d.4-incident-classification-levels"/>
    <w:p>
      <w:pPr>
        <w:pStyle w:val="Heading2"/>
      </w:pPr>
      <w:r>
        <w:t xml:space="preserve">D.4 Incident Classification (Levels)</w:t>
      </w:r>
    </w:p>
    <w:p>
      <w:pPr>
        <w:pStyle w:val="FirstParagraph"/>
      </w:pPr>
      <w:r>
        <w:t xml:space="preserve">Level 1: minor anomaly, resolved on the floor, logged. Level 2: significant incident requiring liaison engagement, logged with resolution record. Level 3: grave incident activating the incident ladder beyond rung two, logged with the full ladder record. An unresolved Level-2 incident is a Level-2 incident without a resolution record after 72 hours.</w:t>
      </w:r>
    </w:p>
    <w:bookmarkEnd w:id="362"/>
    <w:bookmarkStart w:id="363" w:name="d.5-observation-cross-checks"/>
    <w:p>
      <w:pPr>
        <w:pStyle w:val="Heading2"/>
      </w:pPr>
      <w:r>
        <w:t xml:space="preserve">D.5 Observation Cross-Checks</w:t>
      </w:r>
    </w:p>
    <w:p>
      <w:pPr>
        <w:pStyle w:val="FirstParagraph"/>
      </w:pPr>
      <w:r>
        <w:t xml:space="preserve">The Office conducts unannounced cross-checks weekly: independent observation of a sample of corridor events against the floors’ logs, with divergence rates published.</w:t>
      </w:r>
    </w:p>
    <w:bookmarkEnd w:id="363"/>
    <w:bookmarkStart w:id="364" w:name="d.6-the-integrity-watch"/>
    <w:p>
      <w:pPr>
        <w:pStyle w:val="Heading2"/>
      </w:pPr>
      <w:r>
        <w:t xml:space="preserve">D.6 The Integrity Watch</w:t>
      </w:r>
    </w:p>
    <w:p>
      <w:pPr>
        <w:pStyle w:val="FirstParagraph"/>
      </w:pPr>
      <w:r>
        <w:t xml:space="preserve">The integrity watch audits Exchange access logs weekly, probes for feed tampering with injected test signals, verifies custody chains on sampled elements, and publishes every finding. The watch reports to the Integrity Cell of Article 42.5.</w:t>
      </w:r>
    </w:p>
    <w:bookmarkEnd w:id="364"/>
    <w:bookmarkStart w:id="365" w:name="d.7-technical-review"/>
    <w:p>
      <w:pPr>
        <w:pStyle w:val="Heading2"/>
      </w:pPr>
      <w:r>
        <w:t xml:space="preserve">D.7 Technical Review</w:t>
      </w:r>
    </w:p>
    <w:p>
      <w:pPr>
        <w:pStyle w:val="FirstParagraph"/>
      </w:pPr>
      <w:r>
        <w:t xml:space="preserve">The Technical and Standards Committee (three members per Principal Party, two neutral experts, IMO liaison observing) reviews any parity shortfall, format failure, or standards question, and issues binding technical guidance within 14 days.</w:t>
      </w:r>
    </w:p>
    <w:bookmarkEnd w:id="365"/>
    <w:bookmarkStart w:id="366" w:name="d.8-vessel-specific-safety-restrictions"/>
    <w:p>
      <w:pPr>
        <w:pStyle w:val="Heading2"/>
      </w:pPr>
      <w:r>
        <w:t xml:space="preserve">D.8 Vessel-Specific Safety Restrictions</w:t>
      </w:r>
    </w:p>
    <w:p>
      <w:pPr>
        <w:pStyle w:val="FirstParagraph"/>
      </w:pPr>
      <w:r>
        <w:t xml:space="preserve">A specific vessel with a verified unsafe condition (documented structural, machinery, or crewing deficiency under international safety standards) transits under an individualized safety plan published with its factual basis and its remediation path. The restriction attaches to the vessel’s condition, never to its flag, owner, cargo’s origin, or nationality, and lifts automatically upon the Office’s verification of remediation.</w:t>
      </w:r>
    </w:p>
    <w:bookmarkEnd w:id="366"/>
    <w:bookmarkEnd w:id="367"/>
    <w:bookmarkStart w:id="372" w:name="Xade29e27304108a9e80a5e1d1f44dc329ecef13"/>
    <w:p>
      <w:pPr>
        <w:pStyle w:val="Heading1"/>
      </w:pPr>
      <w:r>
        <w:rPr>
          <w:lang w:val="en-US" w:eastAsia="en-US" w:bidi="ar-SA"/>
          <w:rFonts w:asciiTheme="majorHAnsi" w:cstheme="majorBidi" w:eastAsiaTheme="majorEastAsia" w:hAnsiTheme="majorHAnsi"/>
          <w:b/>
          <w:color w:themeColor="accent1"/>
          <w:sz w:val="32"/>
          <w:szCs w:val="32"/>
        </w:rPr>
        <w:t>ANNEX E: THE GRADUATED TRUST ESCALATOR: CONVERSION MATRIX AND EVENT SCHEDULE</w:t>
      </w:r>
    </w:p>
    <w:bookmarkStart w:id="368" w:name="e.1-the-master-conversion-matrix"/>
    <w:p>
      <w:pPr>
        <w:pStyle w:val="Heading2"/>
      </w:pPr>
      <w:r>
        <w:rPr>
          <w:lang w:val="en-US" w:eastAsia="en-US" w:bidi="ar-SA"/>
          <w:rFonts w:asciiTheme="majorHAnsi" w:cstheme="majorBidi" w:eastAsiaTheme="majorEastAsia" w:hAnsiTheme="majorHAnsi"/>
          <w:b/>
          <w:color w:themeColor="accent1"/>
          <w:sz w:val="28"/>
          <w:szCs w:val="28"/>
        </w:rPr>
        <w:t>E.1 The Master Conversion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1"/>
        </w:trPr>
        <w:tc>
          <w:tcPr>
            <w:tcW w:w="1320" w:type="dxa"/>
          </w:tcPr>
          <w:p>
            <w:pPr>
              <w:pStyle w:val="Compact"/>
              <w:jc w:val="left"/>
            </w:pPr>
            <w:r>
              <w:rPr>
                <w:sz w:val="24"/>
                <w:szCs w:val="24"/>
                <w:lang w:val="en-US" w:eastAsia="en-US" w:bidi="ar-SA"/>
              </w:rPr>
              <w:t>Band</w:t>
            </w:r>
          </w:p>
        </w:tc>
        <w:tc>
          <w:tcPr>
            <w:tcW w:w="1320" w:type="dxa"/>
          </w:tcPr>
          <w:p>
            <w:pPr>
              <w:pStyle w:val="Compact"/>
              <w:jc w:val="left"/>
            </w:pPr>
            <w:r>
              <w:rPr>
                <w:sz w:val="24"/>
                <w:szCs w:val="24"/>
                <w:lang w:val="en-US" w:eastAsia="en-US" w:bidi="ar-SA"/>
              </w:rPr>
              <w:t>Trust Level</w:t>
            </w:r>
          </w:p>
        </w:tc>
        <w:tc>
          <w:tcPr>
            <w:tcW w:w="1320" w:type="dxa"/>
          </w:tcPr>
          <w:p>
            <w:pPr>
              <w:pStyle w:val="Compact"/>
              <w:jc w:val="left"/>
            </w:pPr>
            <w:r>
              <w:rPr>
                <w:sz w:val="24"/>
                <w:szCs w:val="24"/>
                <w:lang w:val="en-US" w:eastAsia="en-US" w:bidi="ar-SA"/>
              </w:rPr>
              <w:t>Corridor Function</w:t>
            </w:r>
          </w:p>
        </w:tc>
        <w:tc>
          <w:tcPr>
            <w:tcW w:w="1320" w:type="dxa"/>
          </w:tcPr>
          <w:p>
            <w:pPr>
              <w:pStyle w:val="Compact"/>
              <w:jc w:val="left"/>
            </w:pPr>
            <w:r>
              <w:rPr>
                <w:sz w:val="24"/>
                <w:szCs w:val="24"/>
                <w:lang w:val="en-US" w:eastAsia="en-US" w:bidi="ar-SA"/>
              </w:rPr>
              <w:t>Twin Key Composition</w:t>
            </w:r>
          </w:p>
        </w:tc>
        <w:tc>
          <w:tcPr>
            <w:tcW w:w="1320" w:type="dxa"/>
          </w:tcPr>
          <w:p>
            <w:pPr>
              <w:pStyle w:val="Compact"/>
              <w:jc w:val="left"/>
            </w:pPr>
            <w:r>
              <w:rPr>
                <w:sz w:val="24"/>
                <w:szCs w:val="24"/>
                <w:lang w:val="en-US" w:eastAsia="en-US" w:bidi="ar-SA"/>
              </w:rPr>
              <w:t>Revenue Share (Iran)</w:t>
            </w:r>
          </w:p>
        </w:tc>
        <w:tc>
          <w:tcPr>
            <w:tcW w:w="1320" w:type="dxa"/>
          </w:tcPr>
          <w:p>
            <w:pPr>
              <w:pStyle w:val="Compact"/>
              <w:jc w:val="left"/>
            </w:pPr>
            <w:r>
              <w:rPr>
                <w:sz w:val="24"/>
                <w:szCs w:val="24"/>
                <w:lang w:val="en-US" w:eastAsia="en-US" w:bidi="ar-SA"/>
              </w:rPr>
              <w:t>Council Voice (Iran / Oman)</w:t>
            </w:r>
          </w:p>
        </w:tc>
      </w:tr>
      <w:tr>
        <w:tc>
          <w:tcPr>
            <w:tcW w:w="1320" w:type="dxa"/>
          </w:tcPr>
          <w:p>
            <w:pPr>
              <w:pStyle w:val="Compact"/>
              <w:jc w:val="left"/>
            </w:pPr>
            <w:r>
              <w:rPr>
                <w:sz w:val="24"/>
                <w:szCs w:val="24"/>
                <w:lang w:val="en-US" w:eastAsia="en-US" w:bidi="ar-SA"/>
              </w:rPr>
              <w:t>Baseline</w:t>
            </w:r>
          </w:p>
        </w:tc>
        <w:tc>
          <w:tcPr>
            <w:tcW w:w="1320" w:type="dxa"/>
          </w:tcPr>
          <w:p>
            <w:pPr>
              <w:pStyle w:val="Compact"/>
              <w:jc w:val="left"/>
            </w:pPr>
            <w:r>
              <w:rPr>
                <w:sz w:val="24"/>
                <w:szCs w:val="24"/>
                <w:lang w:val="en-US" w:eastAsia="en-US" w:bidi="ar-SA"/>
              </w:rPr>
              <w:t>33 percent</w:t>
            </w:r>
          </w:p>
        </w:tc>
        <w:tc>
          <w:tcPr>
            <w:tcW w:w="1320" w:type="dxa"/>
          </w:tcPr>
          <w:p>
            <w:pPr>
              <w:pStyle w:val="Compact"/>
              <w:jc w:val="left"/>
            </w:pPr>
            <w:r>
              <w:rPr>
                <w:sz w:val="24"/>
                <w:szCs w:val="24"/>
                <w:lang w:val="en-US" w:eastAsia="en-US" w:bidi="ar-SA"/>
              </w:rPr>
              <w:t>Northern Coordination Passage administration</w:t>
            </w:r>
          </w:p>
        </w:tc>
        <w:tc>
          <w:tcPr>
            <w:tcW w:w="1320" w:type="dxa"/>
          </w:tcPr>
          <w:p>
            <w:pPr>
              <w:pStyle w:val="Compact"/>
              <w:jc w:val="left"/>
            </w:pPr>
            <w:r>
              <w:rPr>
                <w:sz w:val="24"/>
                <w:szCs w:val="24"/>
                <w:lang w:val="en-US" w:eastAsia="en-US" w:bidi="ar-SA"/>
              </w:rPr>
              <w:t>One Iranian plus one Omani keyholder for northern Band actions</w:t>
            </w:r>
          </w:p>
        </w:tc>
        <w:tc>
          <w:tcPr>
            <w:tcW w:w="1320" w:type="dxa"/>
          </w:tcPr>
          <w:p>
            <w:pPr>
              <w:pStyle w:val="Compact"/>
              <w:jc w:val="left"/>
            </w:pPr>
            <w:r>
              <w:rPr>
                <w:sz w:val="24"/>
                <w:szCs w:val="24"/>
                <w:lang w:val="en-US" w:eastAsia="en-US" w:bidi="ar-SA"/>
              </w:rPr>
              <w:t>33 percent</w:t>
            </w:r>
          </w:p>
        </w:tc>
        <w:tc>
          <w:tcPr>
            <w:tcW w:w="1320" w:type="dxa"/>
          </w:tcPr>
          <w:p>
            <w:pPr>
              <w:pStyle w:val="Compact"/>
              <w:jc w:val="left"/>
            </w:pPr>
            <w:r>
              <w:rPr>
                <w:sz w:val="24"/>
                <w:szCs w:val="24"/>
                <w:lang w:val="en-US" w:eastAsia="en-US" w:bidi="ar-SA"/>
              </w:rPr>
              <w:t>Co-equal (33 / 67 procedural weight)</w:t>
            </w:r>
          </w:p>
        </w:tc>
      </w:tr>
      <w:tr>
        <w:tc>
          <w:tcPr>
            <w:tcW w:w="1320" w:type="dxa"/>
          </w:tcPr>
          <w:p>
            <w:pPr>
              <w:pStyle w:val="Compact"/>
              <w:jc w:val="left"/>
            </w:pPr>
            <w:r>
              <w:rPr>
                <w:sz w:val="24"/>
                <w:szCs w:val="24"/>
                <w:lang w:val="en-US" w:eastAsia="en-US" w:bidi="ar-SA"/>
              </w:rPr>
              <w:t>Step One</w:t>
            </w:r>
          </w:p>
        </w:tc>
        <w:tc>
          <w:tcPr>
            <w:tcW w:w="1320" w:type="dxa"/>
          </w:tcPr>
          <w:p>
            <w:pPr>
              <w:pStyle w:val="Compact"/>
              <w:jc w:val="left"/>
            </w:pPr>
            <w:r>
              <w:rPr>
                <w:sz w:val="24"/>
                <w:szCs w:val="24"/>
                <w:lang w:val="en-US" w:eastAsia="en-US" w:bidi="ar-SA"/>
              </w:rPr>
              <w:t>43 percent</w:t>
            </w:r>
          </w:p>
        </w:tc>
        <w:tc>
          <w:tcPr>
            <w:tcW w:w="1320" w:type="dxa"/>
          </w:tcPr>
          <w:p>
            <w:pPr>
              <w:pStyle w:val="Compact"/>
              <w:jc w:val="left"/>
            </w:pPr>
            <w:r>
              <w:rPr>
                <w:sz w:val="24"/>
                <w:szCs w:val="24"/>
                <w:lang w:val="en-US" w:eastAsia="en-US" w:bidi="ar-SA"/>
              </w:rPr>
              <w:t>Adds northern Band monitoring stations</w:t>
            </w:r>
          </w:p>
        </w:tc>
        <w:tc>
          <w:tcPr>
            <w:tcW w:w="1320" w:type="dxa"/>
          </w:tcPr>
          <w:p>
            <w:pPr>
              <w:pStyle w:val="Compact"/>
              <w:jc w:val="left"/>
            </w:pPr>
            <w:r>
              <w:rPr>
                <w:sz w:val="24"/>
                <w:szCs w:val="24"/>
                <w:lang w:val="en-US" w:eastAsia="en-US" w:bidi="ar-SA"/>
              </w:rPr>
              <w:t>Same; Iranian concurrence recorded with enhanced weight</w:t>
            </w:r>
          </w:p>
        </w:tc>
        <w:tc>
          <w:tcPr>
            <w:tcW w:w="1320" w:type="dxa"/>
          </w:tcPr>
          <w:p>
            <w:pPr>
              <w:pStyle w:val="Compact"/>
              <w:jc w:val="left"/>
            </w:pPr>
            <w:r>
              <w:rPr>
                <w:sz w:val="24"/>
                <w:szCs w:val="24"/>
                <w:lang w:val="en-US" w:eastAsia="en-US" w:bidi="ar-SA"/>
              </w:rPr>
              <w:t>40 percent</w:t>
            </w:r>
          </w:p>
        </w:tc>
        <w:tc>
          <w:tcPr>
            <w:tcW w:w="1320" w:type="dxa"/>
          </w:tcPr>
          <w:p>
            <w:pPr>
              <w:pStyle w:val="Compact"/>
              <w:jc w:val="left"/>
            </w:pPr>
            <w:r>
              <w:rPr>
                <w:sz w:val="24"/>
                <w:szCs w:val="24"/>
                <w:lang w:val="en-US" w:eastAsia="en-US" w:bidi="ar-SA"/>
              </w:rPr>
              <w:t>40 / 60</w:t>
            </w:r>
          </w:p>
        </w:tc>
      </w:tr>
      <w:tr>
        <w:tc>
          <w:tcPr>
            <w:tcW w:w="1320" w:type="dxa"/>
          </w:tcPr>
          <w:p>
            <w:pPr>
              <w:pStyle w:val="Compact"/>
              <w:jc w:val="left"/>
            </w:pPr>
            <w:r>
              <w:rPr>
                <w:sz w:val="24"/>
                <w:szCs w:val="24"/>
                <w:lang w:val="en-US" w:eastAsia="en-US" w:bidi="ar-SA"/>
              </w:rPr>
              <w:t>Step Two</w:t>
            </w:r>
          </w:p>
        </w:tc>
        <w:tc>
          <w:tcPr>
            <w:tcW w:w="1320" w:type="dxa"/>
          </w:tcPr>
          <w:p>
            <w:pPr>
              <w:pStyle w:val="Compact"/>
              <w:jc w:val="left"/>
            </w:pPr>
            <w:r>
              <w:rPr>
                <w:sz w:val="24"/>
                <w:szCs w:val="24"/>
                <w:lang w:val="en-US" w:eastAsia="en-US" w:bidi="ar-SA"/>
              </w:rPr>
              <w:t>53 percent</w:t>
            </w:r>
          </w:p>
        </w:tc>
        <w:tc>
          <w:tcPr>
            <w:tcW w:w="1320" w:type="dxa"/>
          </w:tcPr>
          <w:p>
            <w:pPr>
              <w:pStyle w:val="Compact"/>
              <w:jc w:val="left"/>
            </w:pPr>
            <w:r>
              <w:rPr>
                <w:sz w:val="24"/>
                <w:szCs w:val="24"/>
                <w:lang w:val="en-US" w:eastAsia="en-US" w:bidi="ar-SA"/>
              </w:rPr>
              <w:t>Adds joint Band emergency-routing desk</w:t>
            </w:r>
          </w:p>
        </w:tc>
        <w:tc>
          <w:tcPr>
            <w:tcW w:w="1320" w:type="dxa"/>
          </w:tcPr>
          <w:p>
            <w:pPr>
              <w:pStyle w:val="Compact"/>
              <w:jc w:val="left"/>
            </w:pPr>
            <w:r>
              <w:rPr>
                <w:sz w:val="24"/>
                <w:szCs w:val="24"/>
                <w:lang w:val="en-US" w:eastAsia="en-US" w:bidi="ar-SA"/>
              </w:rPr>
              <w:t>Same; Iran co-chairs the Band desk</w:t>
            </w:r>
          </w:p>
        </w:tc>
        <w:tc>
          <w:tcPr>
            <w:tcW w:w="1320" w:type="dxa"/>
          </w:tcPr>
          <w:p>
            <w:pPr>
              <w:pStyle w:val="Compact"/>
              <w:jc w:val="left"/>
            </w:pPr>
            <w:r>
              <w:rPr>
                <w:sz w:val="24"/>
                <w:szCs w:val="24"/>
                <w:lang w:val="en-US" w:eastAsia="en-US" w:bidi="ar-SA"/>
              </w:rPr>
              <w:t>45 percent</w:t>
            </w:r>
          </w:p>
        </w:tc>
        <w:tc>
          <w:tcPr>
            <w:tcW w:w="1320" w:type="dxa"/>
          </w:tcPr>
          <w:p>
            <w:pPr>
              <w:pStyle w:val="Compact"/>
              <w:jc w:val="left"/>
            </w:pPr>
            <w:r>
              <w:rPr>
                <w:sz w:val="24"/>
                <w:szCs w:val="24"/>
                <w:lang w:val="en-US" w:eastAsia="en-US" w:bidi="ar-SA"/>
              </w:rPr>
              <w:t>45 / 55</w:t>
            </w:r>
          </w:p>
        </w:tc>
      </w:tr>
      <w:tr>
        <w:tc>
          <w:tcPr>
            <w:tcW w:w="1320" w:type="dxa"/>
          </w:tcPr>
          <w:p>
            <w:pPr>
              <w:pStyle w:val="Compact"/>
              <w:jc w:val="left"/>
            </w:pPr>
            <w:r>
              <w:rPr>
                <w:sz w:val="24"/>
                <w:szCs w:val="24"/>
                <w:lang w:val="en-US" w:eastAsia="en-US" w:bidi="ar-SA"/>
              </w:rPr>
              <w:t>Step Three</w:t>
            </w:r>
          </w:p>
        </w:tc>
        <w:tc>
          <w:tcPr>
            <w:tcW w:w="1320" w:type="dxa"/>
          </w:tcPr>
          <w:p>
            <w:pPr>
              <w:pStyle w:val="Compact"/>
              <w:jc w:val="left"/>
            </w:pPr>
            <w:r>
              <w:rPr>
                <w:sz w:val="24"/>
                <w:szCs w:val="24"/>
                <w:lang w:val="en-US" w:eastAsia="en-US" w:bidi="ar-SA"/>
              </w:rPr>
              <w:t>63 percent</w:t>
            </w:r>
          </w:p>
        </w:tc>
        <w:tc>
          <w:tcPr>
            <w:tcW w:w="1320" w:type="dxa"/>
          </w:tcPr>
          <w:p>
            <w:pPr>
              <w:pStyle w:val="Compact"/>
              <w:jc w:val="left"/>
            </w:pPr>
            <w:r>
              <w:rPr>
                <w:sz w:val="24"/>
                <w:szCs w:val="24"/>
                <w:lang w:val="en-US" w:eastAsia="en-US" w:bidi="ar-SA"/>
              </w:rPr>
              <w:t>Adds co-administration of Band emergency routing</w:t>
            </w:r>
          </w:p>
        </w:tc>
        <w:tc>
          <w:tcPr>
            <w:tcW w:w="1320" w:type="dxa"/>
          </w:tcPr>
          <w:p>
            <w:pPr>
              <w:pStyle w:val="Compact"/>
              <w:jc w:val="left"/>
            </w:pPr>
            <w:r>
              <w:rPr>
                <w:sz w:val="24"/>
                <w:szCs w:val="24"/>
                <w:lang w:val="en-US" w:eastAsia="en-US" w:bidi="ar-SA"/>
              </w:rPr>
              <w:t>Two-of-three concurrence introduced for Band actions</w:t>
            </w:r>
          </w:p>
        </w:tc>
        <w:tc>
          <w:tcPr>
            <w:tcW w:w="1320" w:type="dxa"/>
          </w:tcPr>
          <w:p>
            <w:pPr>
              <w:pStyle w:val="Compact"/>
              <w:jc w:val="left"/>
            </w:pPr>
            <w:r>
              <w:rPr>
                <w:sz w:val="24"/>
                <w:szCs w:val="24"/>
                <w:lang w:val="en-US" w:eastAsia="en-US" w:bidi="ar-SA"/>
              </w:rPr>
              <w:t>50 percent</w:t>
            </w:r>
          </w:p>
        </w:tc>
        <w:tc>
          <w:tcPr>
            <w:tcW w:w="1320" w:type="dxa"/>
          </w:tcPr>
          <w:p>
            <w:pPr>
              <w:pStyle w:val="Compact"/>
              <w:jc w:val="left"/>
            </w:pPr>
            <w:r>
              <w:rPr>
                <w:sz w:val="24"/>
                <w:szCs w:val="24"/>
                <w:lang w:val="en-US" w:eastAsia="en-US" w:bidi="ar-SA"/>
              </w:rPr>
              <w:t>50 / 50</w:t>
            </w:r>
          </w:p>
        </w:tc>
      </w:tr>
      <w:tr>
        <w:tc>
          <w:tcPr>
            <w:tcW w:w="1320" w:type="dxa"/>
          </w:tcPr>
          <w:p>
            <w:pPr>
              <w:pStyle w:val="Compact"/>
              <w:jc w:val="left"/>
            </w:pPr>
            <w:r>
              <w:rPr>
                <w:sz w:val="24"/>
                <w:szCs w:val="24"/>
                <w:lang w:val="en-US" w:eastAsia="en-US" w:bidi="ar-SA"/>
              </w:rPr>
              <w:t>Step Four</w:t>
            </w:r>
          </w:p>
        </w:tc>
        <w:tc>
          <w:tcPr>
            <w:tcW w:w="1320" w:type="dxa"/>
          </w:tcPr>
          <w:p>
            <w:pPr>
              <w:pStyle w:val="Compact"/>
              <w:jc w:val="left"/>
            </w:pPr>
            <w:r>
              <w:rPr>
                <w:sz w:val="24"/>
                <w:szCs w:val="24"/>
                <w:lang w:val="en-US" w:eastAsia="en-US" w:bidi="ar-SA"/>
              </w:rPr>
              <w:t>73 percent</w:t>
            </w:r>
          </w:p>
        </w:tc>
        <w:tc>
          <w:tcPr>
            <w:tcW w:w="1320" w:type="dxa"/>
          </w:tcPr>
          <w:p>
            <w:pPr>
              <w:pStyle w:val="Compact"/>
              <w:jc w:val="left"/>
            </w:pPr>
            <w:r>
              <w:rPr>
                <w:sz w:val="24"/>
                <w:szCs w:val="24"/>
                <w:lang w:val="en-US" w:eastAsia="en-US" w:bidi="ar-SA"/>
              </w:rPr>
              <w:t>Adds Band survey scheduling function</w:t>
            </w:r>
          </w:p>
        </w:tc>
        <w:tc>
          <w:tcPr>
            <w:tcW w:w="1320" w:type="dxa"/>
          </w:tcPr>
          <w:p>
            <w:pPr>
              <w:pStyle w:val="Compact"/>
              <w:jc w:val="left"/>
            </w:pPr>
            <w:r>
              <w:rPr>
                <w:sz w:val="24"/>
                <w:szCs w:val="24"/>
                <w:lang w:val="en-US" w:eastAsia="en-US" w:bidi="ar-SA"/>
              </w:rPr>
              <w:t>Two-of-three with Iranian plurality emerging</w:t>
            </w:r>
          </w:p>
        </w:tc>
        <w:tc>
          <w:tcPr>
            <w:tcW w:w="1320" w:type="dxa"/>
          </w:tcPr>
          <w:p>
            <w:pPr>
              <w:pStyle w:val="Compact"/>
              <w:jc w:val="left"/>
            </w:pPr>
            <w:r>
              <w:rPr>
                <w:sz w:val="24"/>
                <w:szCs w:val="24"/>
                <w:lang w:val="en-US" w:eastAsia="en-US" w:bidi="ar-SA"/>
              </w:rPr>
              <w:t>53 percent</w:t>
            </w:r>
          </w:p>
        </w:tc>
        <w:tc>
          <w:tcPr>
            <w:tcW w:w="1320" w:type="dxa"/>
          </w:tcPr>
          <w:p>
            <w:pPr>
              <w:pStyle w:val="Compact"/>
              <w:jc w:val="left"/>
            </w:pPr>
            <w:r>
              <w:rPr>
                <w:sz w:val="24"/>
                <w:szCs w:val="24"/>
                <w:lang w:val="en-US" w:eastAsia="en-US" w:bidi="ar-SA"/>
              </w:rPr>
              <w:t>53 / 47</w:t>
            </w:r>
          </w:p>
        </w:tc>
      </w:tr>
      <w:tr>
        <w:tc>
          <w:tcPr>
            <w:tcW w:w="1320" w:type="dxa"/>
          </w:tcPr>
          <w:p>
            <w:pPr>
              <w:pStyle w:val="Compact"/>
              <w:jc w:val="left"/>
            </w:pPr>
            <w:r>
              <w:rPr>
                <w:sz w:val="24"/>
                <w:szCs w:val="24"/>
                <w:lang w:val="en-US" w:eastAsia="en-US" w:bidi="ar-SA"/>
              </w:rPr>
              <w:t>Step Five</w:t>
            </w:r>
          </w:p>
        </w:tc>
        <w:tc>
          <w:tcPr>
            <w:tcW w:w="1320" w:type="dxa"/>
          </w:tcPr>
          <w:p>
            <w:pPr>
              <w:pStyle w:val="Compact"/>
              <w:jc w:val="left"/>
            </w:pPr>
            <w:r>
              <w:rPr>
                <w:sz w:val="24"/>
                <w:szCs w:val="24"/>
                <w:lang w:val="en-US" w:eastAsia="en-US" w:bidi="ar-SA"/>
              </w:rPr>
              <w:t>83 percent</w:t>
            </w:r>
          </w:p>
        </w:tc>
        <w:tc>
          <w:tcPr>
            <w:tcW w:w="1320" w:type="dxa"/>
          </w:tcPr>
          <w:p>
            <w:pPr>
              <w:pStyle w:val="Compact"/>
              <w:jc w:val="left"/>
            </w:pPr>
            <w:r>
              <w:rPr>
                <w:sz w:val="24"/>
                <w:szCs w:val="24"/>
                <w:lang w:val="en-US" w:eastAsia="en-US" w:bidi="ar-SA"/>
              </w:rPr>
              <w:t>Adds northern service infrastructure management</w:t>
            </w:r>
          </w:p>
        </w:tc>
        <w:tc>
          <w:tcPr>
            <w:tcW w:w="1320" w:type="dxa"/>
          </w:tcPr>
          <w:p>
            <w:pPr>
              <w:pStyle w:val="Compact"/>
              <w:jc w:val="left"/>
            </w:pPr>
            <w:r>
              <w:rPr>
                <w:sz w:val="24"/>
                <w:szCs w:val="24"/>
                <w:lang w:val="en-US" w:eastAsia="en-US" w:bidi="ar-SA"/>
              </w:rPr>
              <w:t>Two-of-three with Iranian plurality</w:t>
            </w:r>
          </w:p>
        </w:tc>
        <w:tc>
          <w:tcPr>
            <w:tcW w:w="1320" w:type="dxa"/>
          </w:tcPr>
          <w:p>
            <w:pPr>
              <w:pStyle w:val="Compact"/>
              <w:jc w:val="left"/>
            </w:pPr>
            <w:r>
              <w:rPr>
                <w:sz w:val="24"/>
                <w:szCs w:val="24"/>
                <w:lang w:val="en-US" w:eastAsia="en-US" w:bidi="ar-SA"/>
              </w:rPr>
              <w:t>56 percent</w:t>
            </w:r>
          </w:p>
        </w:tc>
        <w:tc>
          <w:tcPr>
            <w:tcW w:w="1320" w:type="dxa"/>
          </w:tcPr>
          <w:p>
            <w:pPr>
              <w:pStyle w:val="Compact"/>
              <w:jc w:val="left"/>
            </w:pPr>
            <w:r>
              <w:rPr>
                <w:sz w:val="24"/>
                <w:szCs w:val="24"/>
                <w:lang w:val="en-US" w:eastAsia="en-US" w:bidi="ar-SA"/>
              </w:rPr>
              <w:t>56 / 44</w:t>
            </w:r>
          </w:p>
        </w:tc>
      </w:tr>
      <w:tr>
        <w:tc>
          <w:tcPr>
            <w:tcW w:w="1320" w:type="dxa"/>
          </w:tcPr>
          <w:p>
            <w:pPr>
              <w:pStyle w:val="Compact"/>
              <w:jc w:val="left"/>
            </w:pPr>
            <w:r>
              <w:rPr>
                <w:sz w:val="24"/>
                <w:szCs w:val="24"/>
                <w:lang w:val="en-US" w:eastAsia="en-US" w:bidi="ar-SA"/>
              </w:rPr>
              <w:t>Step Six</w:t>
            </w:r>
          </w:p>
        </w:tc>
        <w:tc>
          <w:tcPr>
            <w:tcW w:w="1320" w:type="dxa"/>
          </w:tcPr>
          <w:p>
            <w:pPr>
              <w:pStyle w:val="Compact"/>
              <w:jc w:val="left"/>
            </w:pPr>
            <w:r>
              <w:rPr>
                <w:sz w:val="24"/>
                <w:szCs w:val="24"/>
                <w:lang w:val="en-US" w:eastAsia="en-US" w:bidi="ar-SA"/>
              </w:rPr>
              <w:t>93 percent</w:t>
            </w:r>
          </w:p>
        </w:tc>
        <w:tc>
          <w:tcPr>
            <w:tcW w:w="1320" w:type="dxa"/>
          </w:tcPr>
          <w:p>
            <w:pPr>
              <w:pStyle w:val="Compact"/>
              <w:jc w:val="left"/>
            </w:pPr>
            <w:r>
              <w:rPr>
                <w:sz w:val="24"/>
                <w:szCs w:val="24"/>
                <w:lang w:val="en-US" w:eastAsia="en-US" w:bidi="ar-SA"/>
              </w:rPr>
              <w:t>Adds special-cargo window scheduling</w:t>
            </w:r>
          </w:p>
        </w:tc>
        <w:tc>
          <w:tcPr>
            <w:tcW w:w="1320" w:type="dxa"/>
          </w:tcPr>
          <w:p>
            <w:pPr>
              <w:pStyle w:val="Compact"/>
              <w:jc w:val="left"/>
            </w:pPr>
            <w:r>
              <w:rPr>
                <w:sz w:val="24"/>
                <w:szCs w:val="24"/>
                <w:lang w:val="en-US" w:eastAsia="en-US" w:bidi="ar-SA"/>
              </w:rPr>
              <w:t>Two-of-three with Iranian plurality</w:t>
            </w:r>
          </w:p>
        </w:tc>
        <w:tc>
          <w:tcPr>
            <w:tcW w:w="1320" w:type="dxa"/>
          </w:tcPr>
          <w:p>
            <w:pPr>
              <w:pStyle w:val="Compact"/>
              <w:jc w:val="left"/>
            </w:pPr>
            <w:r>
              <w:rPr>
                <w:sz w:val="24"/>
                <w:szCs w:val="24"/>
                <w:lang w:val="en-US" w:eastAsia="en-US" w:bidi="ar-SA"/>
              </w:rPr>
              <w:t>58 percent</w:t>
            </w:r>
          </w:p>
        </w:tc>
        <w:tc>
          <w:tcPr>
            <w:tcW w:w="1320" w:type="dxa"/>
          </w:tcPr>
          <w:p>
            <w:pPr>
              <w:pStyle w:val="Compact"/>
              <w:jc w:val="left"/>
            </w:pPr>
            <w:r>
              <w:rPr>
                <w:sz w:val="24"/>
                <w:szCs w:val="24"/>
                <w:lang w:val="en-US" w:eastAsia="en-US" w:bidi="ar-SA"/>
              </w:rPr>
              <w:t>58 / 42</w:t>
            </w:r>
          </w:p>
        </w:tc>
      </w:tr>
      <w:tr>
        <w:tc>
          <w:tcPr>
            <w:tcW w:w="1320" w:type="dxa"/>
          </w:tcPr>
          <w:p>
            <w:pPr>
              <w:pStyle w:val="Compact"/>
              <w:jc w:val="left"/>
            </w:pPr>
            <w:r>
              <w:rPr>
                <w:sz w:val="24"/>
                <w:szCs w:val="24"/>
                <w:lang w:val="en-US" w:eastAsia="en-US" w:bidi="ar-SA"/>
              </w:rPr>
              <w:t>Full Unlock</w:t>
            </w:r>
          </w:p>
        </w:tc>
        <w:tc>
          <w:tcPr>
            <w:tcW w:w="1320" w:type="dxa"/>
          </w:tcPr>
          <w:p>
            <w:pPr>
              <w:pStyle w:val="Compact"/>
              <w:jc w:val="left"/>
            </w:pPr>
            <w:r>
              <w:rPr>
                <w:sz w:val="24"/>
                <w:szCs w:val="24"/>
                <w:lang w:val="en-US" w:eastAsia="en-US" w:bidi="ar-SA"/>
              </w:rPr>
              <w:t>100 percent</w:t>
            </w:r>
          </w:p>
        </w:tc>
        <w:tc>
          <w:tcPr>
            <w:tcW w:w="1320" w:type="dxa"/>
          </w:tcPr>
          <w:p>
            <w:pPr>
              <w:pStyle w:val="Compact"/>
              <w:jc w:val="left"/>
            </w:pPr>
            <w:r>
              <w:rPr>
                <w:sz w:val="24"/>
                <w:szCs w:val="24"/>
                <w:lang w:val="en-US" w:eastAsia="en-US" w:bidi="ar-SA"/>
              </w:rPr>
              <w:t>Full northern administration; shared Band administration; Oman retains the Southern Assurance Passage in full</w:t>
            </w:r>
          </w:p>
        </w:tc>
        <w:tc>
          <w:tcPr>
            <w:tcW w:w="1320" w:type="dxa"/>
          </w:tcPr>
          <w:p>
            <w:pPr>
              <w:pStyle w:val="Compact"/>
              <w:jc w:val="left"/>
            </w:pPr>
            <w:r>
              <w:rPr>
                <w:sz w:val="24"/>
                <w:szCs w:val="24"/>
                <w:lang w:val="en-US" w:eastAsia="en-US" w:bidi="ar-SA"/>
              </w:rPr>
              <w:t>Two-of-three with Iranian plurality for Band actions; the Twin Key binds at every level</w:t>
            </w:r>
          </w:p>
        </w:tc>
        <w:tc>
          <w:tcPr>
            <w:tcW w:w="1320" w:type="dxa"/>
          </w:tcPr>
          <w:p>
            <w:pPr>
              <w:pStyle w:val="Compact"/>
              <w:jc w:val="left"/>
            </w:pPr>
            <w:r>
              <w:rPr>
                <w:sz w:val="24"/>
                <w:szCs w:val="24"/>
                <w:lang w:val="en-US" w:eastAsia="en-US" w:bidi="ar-SA"/>
              </w:rPr>
              <w:t>60 percent (Permanent Floor)</w:t>
            </w:r>
          </w:p>
        </w:tc>
        <w:tc>
          <w:tcPr>
            <w:tcW w:w="1320" w:type="dxa"/>
          </w:tcPr>
          <w:p>
            <w:pPr>
              <w:pStyle w:val="Compact"/>
              <w:jc w:val="left"/>
            </w:pPr>
            <w:r>
              <w:rPr>
                <w:sz w:val="24"/>
                <w:szCs w:val="24"/>
                <w:lang w:val="en-US" w:eastAsia="en-US" w:bidi="ar-SA"/>
              </w:rPr>
              <w:t>First among equals: casting voice on tied procedural questions, never on substance</w:t>
            </w:r>
          </w:p>
        </w:tc>
      </w:tr>
    </w:tbl>
    <w:bookmarkEnd w:id="368"/>
    <w:bookmarkStart w:id="369" w:name="e.2-the-event-and-demerit-schedule"/>
    <w:p>
      <w:pPr>
        <w:pStyle w:val="Heading2"/>
      </w:pPr>
      <w:r>
        <w:rPr>
          <w:lang w:val="en-US" w:eastAsia="en-US" w:bidi="ar-SA"/>
          <w:rFonts w:asciiTheme="majorHAnsi" w:cstheme="majorBidi" w:eastAsiaTheme="majorEastAsia" w:hAnsiTheme="majorHAnsi"/>
          <w:b/>
          <w:color w:themeColor="accent1"/>
          <w:sz w:val="28"/>
          <w:szCs w:val="28"/>
        </w:rPr>
        <w:t>E.2 The Event and Demerit Schedule</w:t>
      </w:r>
    </w:p>
    <w:tbl>
      <w:tblPr>
        <w:tblStyle w:val="Table"/>
        <w:tblW w:type="pct" w:w="5000"/>
        <w:tblLook w:firstRow="1" w:lastRow="0" w:firstColumn="0" w:lastColumn="0" w:noHBand="0" w:noVBand="0" w:val="0020"/>
      </w:tblPr>
      <w:tblGrid>
        <w:gridCol w:w="1980"/>
        <w:gridCol w:w="1980"/>
        <w:gridCol w:w="1980"/>
        <w:gridCol w:w="1980"/>
      </w:tblGrid>
      <w:tr>
        <w:trPr>
          <w:tblHeader w:val="1"/>
        </w:trPr>
        <w:tc>
          <w:tcPr>
            <w:tcW w:w="1980" w:type="dxa"/>
          </w:tcPr>
          <w:p>
            <w:pPr>
              <w:pStyle w:val="Compact"/>
              <w:jc w:val="left"/>
            </w:pPr>
            <w:r>
              <w:rPr>
                <w:sz w:val="24"/>
                <w:szCs w:val="24"/>
                <w:lang w:val="en-US" w:eastAsia="en-US" w:bidi="ar-SA"/>
              </w:rPr>
              <w:t>Code</w:t>
            </w:r>
          </w:p>
        </w:tc>
        <w:tc>
          <w:tcPr>
            <w:tcW w:w="1980" w:type="dxa"/>
          </w:tcPr>
          <w:p>
            <w:pPr>
              <w:pStyle w:val="Compact"/>
              <w:jc w:val="left"/>
            </w:pPr>
            <w:r>
              <w:rPr>
                <w:sz w:val="24"/>
                <w:szCs w:val="24"/>
                <w:lang w:val="en-US" w:eastAsia="en-US" w:bidi="ar-SA"/>
              </w:rPr>
              <w:t>Event</w:t>
            </w:r>
          </w:p>
        </w:tc>
        <w:tc>
          <w:tcPr>
            <w:tcW w:w="1980" w:type="dxa"/>
          </w:tcPr>
          <w:p>
            <w:pPr>
              <w:pStyle w:val="Compact"/>
              <w:jc w:val="left"/>
            </w:pPr>
            <w:r>
              <w:rPr>
                <w:sz w:val="24"/>
                <w:szCs w:val="24"/>
                <w:lang w:val="en-US" w:eastAsia="en-US" w:bidi="ar-SA"/>
              </w:rPr>
              <w:t>Telemetry</w:t>
            </w:r>
          </w:p>
        </w:tc>
        <w:tc>
          <w:tcPr>
            <w:tcW w:w="1980" w:type="dxa"/>
          </w:tcPr>
          <w:p>
            <w:pPr>
              <w:pStyle w:val="Compact"/>
              <w:jc w:val="left"/>
            </w:pPr>
            <w:r>
              <w:rPr>
                <w:sz w:val="24"/>
                <w:szCs w:val="24"/>
                <w:lang w:val="en-US" w:eastAsia="en-US" w:bidi="ar-SA"/>
              </w:rPr>
              <w:t>Escalator Effect</w:t>
            </w:r>
          </w:p>
        </w:tc>
      </w:tr>
      <w:tr>
        <w:tc>
          <w:tcPr>
            <w:tcW w:w="1980" w:type="dxa"/>
          </w:tcPr>
          <w:p>
            <w:pPr>
              <w:pStyle w:val="Compact"/>
              <w:jc w:val="left"/>
            </w:pPr>
            <w:r>
              <w:rPr>
                <w:sz w:val="24"/>
                <w:szCs w:val="24"/>
                <w:lang w:val="en-US" w:eastAsia="en-US" w:bidi="ar-SA"/>
              </w:rPr>
              <w:t>E-1</w:t>
            </w:r>
          </w:p>
        </w:tc>
        <w:tc>
          <w:tcPr>
            <w:tcW w:w="1980" w:type="dxa"/>
          </w:tcPr>
          <w:p>
            <w:pPr>
              <w:pStyle w:val="Compact"/>
              <w:jc w:val="left"/>
            </w:pPr>
            <w:r>
              <w:rPr>
                <w:sz w:val="24"/>
                <w:szCs w:val="24"/>
                <w:lang w:val="en-US" w:eastAsia="en-US" w:bidi="ar-SA"/>
              </w:rPr>
              <w:t>Technical deviation (format failure, late log, single missed report)</w:t>
            </w:r>
          </w:p>
        </w:tc>
        <w:tc>
          <w:tcPr>
            <w:tcW w:w="1980" w:type="dxa"/>
          </w:tcPr>
          <w:p>
            <w:pPr>
              <w:pStyle w:val="Compact"/>
              <w:jc w:val="left"/>
            </w:pPr>
            <w:r>
              <w:rPr>
                <w:sz w:val="24"/>
                <w:szCs w:val="24"/>
                <w:lang w:val="en-US" w:eastAsia="en-US" w:bidi="ar-SA"/>
              </w:rPr>
              <w:t>Exchange record</w:t>
            </w:r>
          </w:p>
        </w:tc>
        <w:tc>
          <w:tcPr>
            <w:tcW w:w="1980" w:type="dxa"/>
          </w:tcPr>
          <w:p>
            <w:pPr>
              <w:pStyle w:val="Compact"/>
              <w:jc w:val="left"/>
            </w:pPr>
            <w:r>
              <w:rPr>
                <w:sz w:val="24"/>
                <w:szCs w:val="24"/>
                <w:lang w:val="en-US" w:eastAsia="en-US" w:bidi="ar-SA"/>
              </w:rPr>
              <w:t>Pause seven days; no milestone loss; the paused week re-runs</w:t>
            </w:r>
          </w:p>
        </w:tc>
      </w:tr>
      <w:tr>
        <w:tc>
          <w:tcPr>
            <w:tcW w:w="1980" w:type="dxa"/>
          </w:tcPr>
          <w:p>
            <w:pPr>
              <w:pStyle w:val="Compact"/>
              <w:jc w:val="left"/>
            </w:pPr>
            <w:r>
              <w:rPr>
                <w:sz w:val="24"/>
                <w:szCs w:val="24"/>
                <w:lang w:val="en-US" w:eastAsia="en-US" w:bidi="ar-SA"/>
              </w:rPr>
              <w:t>E-2</w:t>
            </w:r>
          </w:p>
        </w:tc>
        <w:tc>
          <w:tcPr>
            <w:tcW w:w="1980" w:type="dxa"/>
          </w:tcPr>
          <w:p>
            <w:pPr>
              <w:pStyle w:val="Compact"/>
              <w:jc w:val="left"/>
            </w:pPr>
            <w:r>
              <w:rPr>
                <w:sz w:val="24"/>
                <w:szCs w:val="24"/>
                <w:lang w:val="en-US" w:eastAsia="en-US" w:bidi="ar-SA"/>
              </w:rPr>
              <w:t>Operational violation (service-standard breach beyond tolerance, corridor guidance conflict, unnotified exercise activity)</w:t>
            </w:r>
          </w:p>
        </w:tc>
        <w:tc>
          <w:tcPr>
            <w:tcW w:w="1980" w:type="dxa"/>
          </w:tcPr>
          <w:p>
            <w:pPr>
              <w:pStyle w:val="Compact"/>
              <w:jc w:val="left"/>
            </w:pPr>
            <w:r>
              <w:rPr>
                <w:sz w:val="24"/>
                <w:szCs w:val="24"/>
                <w:lang w:val="en-US" w:eastAsia="en-US" w:bidi="ar-SA"/>
              </w:rPr>
              <w:t>Convergence finding</w:t>
            </w:r>
          </w:p>
        </w:tc>
        <w:tc>
          <w:tcPr>
            <w:tcW w:w="1980" w:type="dxa"/>
          </w:tcPr>
          <w:p>
            <w:pPr>
              <w:pStyle w:val="Compact"/>
              <w:jc w:val="left"/>
            </w:pPr>
            <w:r>
              <w:rPr>
                <w:sz w:val="24"/>
                <w:szCs w:val="24"/>
                <w:lang w:val="en-US" w:eastAsia="en-US" w:bidi="ar-SA"/>
              </w:rPr>
              <w:t>Current Verification Period fails and re-runs; fourteen days of clean operation restore the milestone track</w:t>
            </w:r>
          </w:p>
        </w:tc>
      </w:tr>
      <w:tr>
        <w:tc>
          <w:tcPr>
            <w:tcW w:w="1980" w:type="dxa"/>
          </w:tcPr>
          <w:p>
            <w:pPr>
              <w:pStyle w:val="Compact"/>
              <w:jc w:val="left"/>
            </w:pPr>
            <w:r>
              <w:rPr>
                <w:sz w:val="24"/>
                <w:szCs w:val="24"/>
                <w:lang w:val="en-US" w:eastAsia="en-US" w:bidi="ar-SA"/>
              </w:rPr>
              <w:t>E-3</w:t>
            </w:r>
          </w:p>
        </w:tc>
        <w:tc>
          <w:tcPr>
            <w:tcW w:w="1980" w:type="dxa"/>
          </w:tcPr>
          <w:p>
            <w:pPr>
              <w:pStyle w:val="Compact"/>
              <w:jc w:val="left"/>
            </w:pPr>
            <w:r>
              <w:rPr>
                <w:sz w:val="24"/>
                <w:szCs w:val="24"/>
                <w:lang w:val="en-US" w:eastAsia="en-US" w:bidi="ar-SA"/>
              </w:rPr>
              <w:t>Grave violation (interdiction event, custody breach, red-line pressure, hotline non-response at rung three)</w:t>
            </w:r>
          </w:p>
        </w:tc>
        <w:tc>
          <w:tcPr>
            <w:tcW w:w="1980" w:type="dxa"/>
          </w:tcPr>
          <w:p>
            <w:pPr>
              <w:pStyle w:val="Compact"/>
              <w:jc w:val="left"/>
            </w:pPr>
            <w:r>
              <w:rPr>
                <w:sz w:val="24"/>
                <w:szCs w:val="24"/>
                <w:lang w:val="en-US" w:eastAsia="en-US" w:bidi="ar-SA"/>
              </w:rPr>
              <w:t>Convergence finding</w:t>
            </w:r>
          </w:p>
        </w:tc>
        <w:tc>
          <w:tcPr>
            <w:tcW w:w="1980" w:type="dxa"/>
          </w:tcPr>
          <w:p>
            <w:pPr>
              <w:pStyle w:val="Compact"/>
              <w:jc w:val="left"/>
            </w:pPr>
            <w:r>
              <w:rPr>
                <w:sz w:val="24"/>
                <w:szCs w:val="24"/>
                <w:lang w:val="en-US" w:eastAsia="en-US" w:bidi="ar-SA"/>
              </w:rPr>
              <w:t>Milestones reset to last band boundary; ninety days of sustained clean operation plus certification re-accrue at double pace for the first three steps (ten points per clean half-week)</w:t>
            </w:r>
          </w:p>
        </w:tc>
      </w:tr>
      <w:tr>
        <w:tc>
          <w:tcPr>
            <w:tcW w:w="1980" w:type="dxa"/>
          </w:tcPr>
          <w:p>
            <w:pPr>
              <w:pStyle w:val="Compact"/>
              <w:jc w:val="left"/>
            </w:pPr>
            <w:r>
              <w:rPr>
                <w:sz w:val="24"/>
                <w:szCs w:val="24"/>
                <w:lang w:val="en-US" w:eastAsia="en-US" w:bidi="ar-SA"/>
              </w:rPr>
              <w:t>E-4</w:t>
            </w:r>
          </w:p>
        </w:tc>
        <w:tc>
          <w:tcPr>
            <w:tcW w:w="1980" w:type="dxa"/>
          </w:tcPr>
          <w:p>
            <w:pPr>
              <w:pStyle w:val="Compact"/>
              <w:jc w:val="left"/>
            </w:pPr>
            <w:r>
              <w:rPr>
                <w:sz w:val="24"/>
                <w:szCs w:val="24"/>
                <w:lang w:val="en-US" w:eastAsia="en-US" w:bidi="ar-SA"/>
              </w:rPr>
              <w:t>Critical violation (armed incident inside the Governance Area, framework-asset misuse for kinetic support)</w:t>
            </w:r>
          </w:p>
        </w:tc>
        <w:tc>
          <w:tcPr>
            <w:tcW w:w="1980" w:type="dxa"/>
          </w:tcPr>
          <w:p>
            <w:pPr>
              <w:pStyle w:val="Compact"/>
              <w:jc w:val="left"/>
            </w:pPr>
            <w:r>
              <w:rPr>
                <w:sz w:val="24"/>
                <w:szCs w:val="24"/>
                <w:lang w:val="en-US" w:eastAsia="en-US" w:bidi="ar-SA"/>
              </w:rPr>
              <w:t>Convergence finding plus Tribunal confirmation</w:t>
            </w:r>
          </w:p>
        </w:tc>
        <w:tc>
          <w:tcPr>
            <w:tcW w:w="1980" w:type="dxa"/>
          </w:tcPr>
          <w:p>
            <w:pPr>
              <w:pStyle w:val="Compact"/>
              <w:jc w:val="left"/>
            </w:pPr>
            <w:r>
              <w:rPr>
                <w:sz w:val="24"/>
                <w:szCs w:val="24"/>
                <w:lang w:val="en-US" w:eastAsia="en-US" w:bidi="ar-SA"/>
              </w:rPr>
              <w:t>Milestones reset to Baseline; ninety days of sustained clean operation plus Council confirmation under Consensus Minus One restore the track</w:t>
            </w:r>
          </w:p>
        </w:tc>
      </w:tr>
    </w:tbl>
    <w:bookmarkEnd w:id="369"/>
    <w:bookmarkStart w:id="370" w:name="e.3-schedule-exhaustiveness"/>
    <w:p>
      <w:pPr>
        <w:pStyle w:val="Heading2"/>
      </w:pPr>
      <w:r>
        <w:rPr>
          <w:lang w:val="en-US" w:eastAsia="en-US" w:bidi="ar-SA"/>
          <w:rFonts w:asciiTheme="majorHAnsi" w:cstheme="majorBidi" w:eastAsiaTheme="majorEastAsia" w:hAnsiTheme="majorHAnsi"/>
          <w:b/>
          <w:color w:themeColor="accent1"/>
          <w:sz w:val="28"/>
          <w:szCs w:val="28"/>
        </w:rPr>
        <w:t>E.3 Schedule Exhaustiveness</w:t>
      </w:r>
    </w:p>
    <w:p>
      <w:pPr>
        <w:pStyle w:val="FirstParagraph"/>
      </w:pPr>
      <w:r>
        <w:rPr>
          <w:sz w:val="24"/>
          <w:szCs w:val="24"/>
          <w:lang w:val="en-US" w:eastAsia="en-US" w:bidi="ar-SA"/>
        </w:rPr>
        <w:t>This schedule exhausts the consequences of every event under the Accord. No event produces sanctions, fees, suspensions, or conditions beyond it. The Permanent Floor of Article 43.7 survives every event at every grade.</w:t>
      </w:r>
    </w:p>
    <w:bookmarkEnd w:id="370"/>
    <w:bookmarkStart w:id="371" w:name="e.4-worked-examples"/>
    <w:p>
      <w:pPr>
        <w:pStyle w:val="Heading2"/>
      </w:pPr>
      <w:r>
        <w:rPr>
          <w:lang w:val="en-US" w:eastAsia="en-US" w:bidi="ar-SA"/>
          <w:rFonts w:asciiTheme="majorHAnsi" w:cstheme="majorBidi" w:eastAsiaTheme="majorEastAsia" w:hAnsiTheme="majorHAnsi"/>
          <w:b/>
          <w:color w:themeColor="accent1"/>
          <w:sz w:val="28"/>
          <w:szCs w:val="28"/>
        </w:rPr>
        <w:t>E.4 Worked Examples</w:t>
      </w:r>
    </w:p>
    <w:p>
      <w:pPr>
        <w:pStyle w:val="FirstParagraph"/>
      </w:pPr>
      <w:r>
        <w:rPr>
          <w:sz w:val="24"/>
          <w:szCs w:val="24"/>
          <w:lang w:val="en-US" w:eastAsia="en-US" w:bidi="ar-SA"/>
        </w:rPr>
        <w:t>Example one: A watch floor misses one reporting-point acknowledgment inside tolerance on day three of a Verification Period. The record classifies E-1. The Escalator pauses seven days; the week re-runs; accumulated milestones stand untouched.</w:t>
      </w:r>
    </w:p>
    <w:p>
      <w:pPr>
        <w:pStyle w:val="FirstParagraph"/>
      </w:pPr>
      <w:r>
        <w:rPr>
          <w:sz w:val="24"/>
          <w:szCs w:val="24"/>
          <w:lang w:val="en-US" w:eastAsia="en-US" w:bidi="ar-SA"/>
        </w:rPr>
        <w:t>Example two: An escort craft deviates from forward geometry and hails a vessel. The Data Quality Desk flags the deviation; the Convergence Standard confirms from AIS and the escort’s own log. E-2. The current period fails and re-runs; fourteen clean days restore the track.</w:t>
      </w:r>
    </w:p>
    <w:p>
      <w:pPr>
        <w:pStyle w:val="FirstParagraph"/>
      </w:pPr>
      <w:r>
        <w:rPr>
          <w:sz w:val="24"/>
          <w:szCs w:val="24"/>
          <w:lang w:val="en-US" w:eastAsia="en-US" w:bidi="ar-SA"/>
        </w:rPr>
        <w:t>Example three: A vessel suffers interference inside a corridor. The incident ladder activates; the Convergence finding classifies E-3. Milestones reset to the last band boundary. Ninety days of sustained clean operation plus the Joint Survey certification re-accrue milestones at double pace for the first three steps. The Permanent Floor, if attained, stands untouched.</w:t>
      </w:r>
    </w:p>
    <w:bookmarkEnd w:id="371"/>
    <w:bookmarkEnd w:id="372"/>
    <w:bookmarkStart w:id="383" w:name="X1b070b16c9efd2b8d2840fb9a372aa75c7b8144"/>
    <w:p>
      <w:pPr>
        <w:pStyle w:val="Heading1"/>
      </w:pPr>
      <w:r>
        <w:rPr>
          <w:lang w:val="en-US" w:eastAsia="en-US" w:bidi="ar-SA"/>
          <w:rFonts w:asciiTheme="majorHAnsi" w:cstheme="majorBidi" w:eastAsiaTheme="majorEastAsia" w:hAnsiTheme="majorHAnsi"/>
          <w:b/>
          <w:color w:themeColor="accent1"/>
          <w:sz w:val="32"/>
          <w:szCs w:val="32"/>
        </w:rPr>
        <w:t>ANNEX F: THE VERIFIED SERVICES CATALOG, RATE CARD, AND ESCROW RULES</w:t>
      </w:r>
    </w:p>
    <w:bookmarkStart w:id="373" w:name="f.1-the-catalog-structure"/>
    <w:p>
      <w:pPr>
        <w:pStyle w:val="Heading2"/>
      </w:pPr>
      <w:r>
        <w:rPr>
          <w:lang w:val="en-US" w:eastAsia="en-US" w:bidi="ar-SA"/>
          <w:rFonts w:asciiTheme="majorHAnsi" w:cstheme="majorBidi" w:eastAsiaTheme="majorEastAsia" w:hAnsiTheme="majorHAnsi"/>
          <w:b/>
          <w:color w:themeColor="accent1"/>
          <w:sz w:val="28"/>
          <w:szCs w:val="28"/>
        </w:rPr>
        <w:t>F.1 The Catalog Structure</w:t>
      </w:r>
    </w:p>
    <w:p>
      <w:pPr>
        <w:pStyle w:val="FirstParagraph"/>
      </w:pPr>
      <w:r>
        <w:rPr>
          <w:sz w:val="24"/>
          <w:szCs w:val="24"/>
          <w:lang w:val="en-US" w:eastAsia="en-US" w:bidi="ar-SA"/>
        </w:rPr>
        <w:t>Every catalog entry states: service name; provider; standard; request channel; rate; settlement route; and the four-test certification of Article 35.2. The catalog publishes in the Bulletin and amends under Article 35.3.</w:t>
      </w:r>
    </w:p>
    <w:bookmarkEnd w:id="373"/>
    <w:bookmarkStart w:id="374" w:name="f.2-simulation-rate-card-article-34"/>
    <w:p>
      <w:pPr>
        <w:pStyle w:val="Heading2"/>
      </w:pPr>
      <w:r>
        <w:rPr>
          <w:lang w:val="en-US" w:eastAsia="en-US" w:bidi="ar-SA"/>
          <w:rFonts w:asciiTheme="majorHAnsi" w:cstheme="majorBidi" w:eastAsiaTheme="majorEastAsia" w:hAnsiTheme="majorHAnsi"/>
          <w:b/>
          <w:color w:themeColor="accent1"/>
          <w:sz w:val="28"/>
          <w:szCs w:val="28"/>
        </w:rPr>
        <w:t>F.2 Simulation Rate Card (Article 34)</w:t>
      </w:r>
    </w:p>
    <w:tbl>
      <w:tblPr>
        <w:tblStyle w:val="Table"/>
        <w:tblW w:type="pct" w:w="5000"/>
        <w:tblLook w:firstRow="1" w:lastRow="0" w:firstColumn="0" w:lastColumn="0" w:noHBand="0" w:noVBand="0" w:val="0020"/>
      </w:tblPr>
      <w:tblGrid>
        <w:gridCol w:w="2640"/>
        <w:gridCol w:w="2640"/>
        <w:gridCol w:w="2640"/>
      </w:tblGrid>
      <w:tr>
        <w:trPr>
          <w:tblHeader w:val="1"/>
        </w:trPr>
        <w:tc>
          <w:tcPr>
            <w:tcW w:w="2640" w:type="dxa"/>
          </w:tcPr>
          <w:p>
            <w:pPr>
              <w:pStyle w:val="Compact"/>
              <w:jc w:val="left"/>
            </w:pPr>
            <w:r>
              <w:rPr>
                <w:sz w:val="24"/>
                <w:szCs w:val="24"/>
                <w:lang w:val="en-US" w:eastAsia="en-US" w:bidi="ar-SA"/>
              </w:rPr>
              <w:t>Service</w:t>
            </w:r>
          </w:p>
        </w:tc>
        <w:tc>
          <w:tcPr>
            <w:tcW w:w="2640" w:type="dxa"/>
          </w:tcPr>
          <w:p>
            <w:pPr>
              <w:pStyle w:val="Compact"/>
              <w:jc w:val="left"/>
            </w:pPr>
            <w:r>
              <w:rPr>
                <w:sz w:val="24"/>
                <w:szCs w:val="24"/>
                <w:lang w:val="en-US" w:eastAsia="en-US" w:bidi="ar-SA"/>
              </w:rPr>
              <w:t>Simulation Rate</w:t>
            </w:r>
          </w:p>
        </w:tc>
        <w:tc>
          <w:tcPr>
            <w:tcW w:w="2640" w:type="dxa"/>
          </w:tcPr>
          <w:p>
            <w:pPr>
              <w:pStyle w:val="Compact"/>
              <w:jc w:val="left"/>
            </w:pPr>
            <w:r>
              <w:rPr>
                <w:sz w:val="24"/>
                <w:szCs w:val="24"/>
                <w:lang w:val="en-US" w:eastAsia="en-US" w:bidi="ar-SA"/>
              </w:rPr>
              <w:t>Basis</w:t>
            </w:r>
          </w:p>
        </w:tc>
      </w:tr>
      <w:tr>
        <w:tc>
          <w:tcPr>
            <w:tcW w:w="2640" w:type="dxa"/>
          </w:tcPr>
          <w:p>
            <w:pPr>
              <w:pStyle w:val="Compact"/>
              <w:jc w:val="left"/>
            </w:pPr>
            <w:r>
              <w:rPr>
                <w:sz w:val="24"/>
                <w:szCs w:val="24"/>
                <w:lang w:val="en-US" w:eastAsia="en-US" w:bidi="ar-SA"/>
              </w:rPr>
              <w:t>RADS professional subscription, annual, operator</w:t>
            </w:r>
          </w:p>
        </w:tc>
        <w:tc>
          <w:tcPr>
            <w:tcW w:w="2640" w:type="dxa"/>
          </w:tcPr>
          <w:p>
            <w:pPr>
              <w:pStyle w:val="Compact"/>
              <w:jc w:val="left"/>
            </w:pPr>
            <w:r>
              <w:rPr>
                <w:sz w:val="24"/>
                <w:szCs w:val="24"/>
                <w:lang w:val="en-US" w:eastAsia="en-US" w:bidi="ar-SA"/>
              </w:rPr>
              <w:t>USD 12,000 per vessel, capped USD 180,000 per fleet</w:t>
            </w:r>
          </w:p>
        </w:tc>
        <w:tc>
          <w:tcPr>
            <w:tcW w:w="2640" w:type="dxa"/>
          </w:tcPr>
          <w:p>
            <w:pPr>
              <w:pStyle w:val="Compact"/>
              <w:jc w:val="left"/>
            </w:pPr>
            <w:r>
              <w:rPr>
                <w:sz w:val="24"/>
                <w:szCs w:val="24"/>
                <w:lang w:val="en-US" w:eastAsia="en-US" w:bidi="ar-SA"/>
              </w:rPr>
              <w:t>Data cost recovery plus 15 percent</w:t>
            </w:r>
          </w:p>
        </w:tc>
      </w:tr>
      <w:tr>
        <w:tc>
          <w:tcPr>
            <w:tcW w:w="2640" w:type="dxa"/>
          </w:tcPr>
          <w:p>
            <w:pPr>
              <w:pStyle w:val="Compact"/>
              <w:jc w:val="left"/>
            </w:pPr>
            <w:r>
              <w:rPr>
                <w:sz w:val="24"/>
                <w:szCs w:val="24"/>
                <w:lang w:val="en-US" w:eastAsia="en-US" w:bidi="ar-SA"/>
              </w:rPr>
              <w:t>Pilotage, corridor entry or exit</w:t>
            </w:r>
          </w:p>
        </w:tc>
        <w:tc>
          <w:tcPr>
            <w:tcW w:w="2640" w:type="dxa"/>
          </w:tcPr>
          <w:p>
            <w:pPr>
              <w:pStyle w:val="Compact"/>
              <w:jc w:val="left"/>
            </w:pPr>
            <w:r>
              <w:rPr>
                <w:sz w:val="24"/>
                <w:szCs w:val="24"/>
                <w:lang w:val="en-US" w:eastAsia="en-US" w:bidi="ar-SA"/>
              </w:rPr>
              <w:t>USD 4,500 per act</w:t>
            </w:r>
          </w:p>
        </w:tc>
        <w:tc>
          <w:tcPr>
            <w:tcW w:w="2640" w:type="dxa"/>
          </w:tcPr>
          <w:p>
            <w:pPr>
              <w:pStyle w:val="Compact"/>
              <w:jc w:val="left"/>
            </w:pPr>
            <w:r>
              <w:rPr>
                <w:sz w:val="24"/>
                <w:szCs w:val="24"/>
                <w:lang w:val="en-US" w:eastAsia="en-US" w:bidi="ar-SA"/>
              </w:rPr>
              <w:t>Regional pilotage median</w:t>
            </w:r>
          </w:p>
        </w:tc>
      </w:tr>
      <w:tr>
        <w:tc>
          <w:tcPr>
            <w:tcW w:w="2640" w:type="dxa"/>
          </w:tcPr>
          <w:p>
            <w:pPr>
              <w:pStyle w:val="Compact"/>
              <w:jc w:val="left"/>
            </w:pPr>
            <w:r>
              <w:rPr>
                <w:sz w:val="24"/>
                <w:szCs w:val="24"/>
                <w:lang w:val="en-US" w:eastAsia="en-US" w:bidi="ar-SA"/>
              </w:rPr>
              <w:t>Tug assistance, standby to alongside</w:t>
            </w:r>
          </w:p>
        </w:tc>
        <w:tc>
          <w:tcPr>
            <w:tcW w:w="2640" w:type="dxa"/>
          </w:tcPr>
          <w:p>
            <w:pPr>
              <w:pStyle w:val="Compact"/>
              <w:jc w:val="left"/>
            </w:pPr>
            <w:r>
              <w:rPr>
                <w:sz w:val="24"/>
                <w:szCs w:val="24"/>
                <w:lang w:val="en-US" w:eastAsia="en-US" w:bidi="ar-SA"/>
              </w:rPr>
              <w:t>USD 9,000 per hour</w:t>
            </w:r>
          </w:p>
        </w:tc>
        <w:tc>
          <w:tcPr>
            <w:tcW w:w="2640" w:type="dxa"/>
          </w:tcPr>
          <w:p>
            <w:pPr>
              <w:pStyle w:val="Compact"/>
              <w:jc w:val="left"/>
            </w:pPr>
            <w:r>
              <w:rPr>
                <w:sz w:val="24"/>
                <w:szCs w:val="24"/>
                <w:lang w:val="en-US" w:eastAsia="en-US" w:bidi="ar-SA"/>
              </w:rPr>
              <w:t>Regional tug tariff median</w:t>
            </w:r>
          </w:p>
        </w:tc>
      </w:tr>
      <w:tr>
        <w:tc>
          <w:tcPr>
            <w:tcW w:w="2640" w:type="dxa"/>
          </w:tcPr>
          <w:p>
            <w:pPr>
              <w:pStyle w:val="Compact"/>
              <w:jc w:val="left"/>
            </w:pPr>
            <w:r>
              <w:rPr>
                <w:sz w:val="24"/>
                <w:szCs w:val="24"/>
                <w:lang w:val="en-US" w:eastAsia="en-US" w:bidi="ar-SA"/>
              </w:rPr>
              <w:t>Lead-escort augmentation (dedicated escort on request)</w:t>
            </w:r>
          </w:p>
        </w:tc>
        <w:tc>
          <w:tcPr>
            <w:tcW w:w="2640" w:type="dxa"/>
          </w:tcPr>
          <w:p>
            <w:pPr>
              <w:pStyle w:val="Compact"/>
              <w:jc w:val="left"/>
            </w:pPr>
            <w:r>
              <w:rPr>
                <w:sz w:val="24"/>
                <w:szCs w:val="24"/>
                <w:lang w:val="en-US" w:eastAsia="en-US" w:bidi="ar-SA"/>
              </w:rPr>
              <w:t>USD 6,000 per transit</w:t>
            </w:r>
          </w:p>
        </w:tc>
        <w:tc>
          <w:tcPr>
            <w:tcW w:w="2640" w:type="dxa"/>
          </w:tcPr>
          <w:p>
            <w:pPr>
              <w:pStyle w:val="Compact"/>
              <w:jc w:val="left"/>
            </w:pPr>
            <w:r>
              <w:rPr>
                <w:sz w:val="24"/>
                <w:szCs w:val="24"/>
                <w:lang w:val="en-US" w:eastAsia="en-US" w:bidi="ar-SA"/>
              </w:rPr>
              <w:t>Operating cost recovery</w:t>
            </w:r>
          </w:p>
        </w:tc>
      </w:tr>
      <w:tr>
        <w:tc>
          <w:tcPr>
            <w:tcW w:w="2640" w:type="dxa"/>
          </w:tcPr>
          <w:p>
            <w:pPr>
              <w:pStyle w:val="Compact"/>
              <w:jc w:val="left"/>
            </w:pPr>
            <w:r>
              <w:rPr>
                <w:sz w:val="24"/>
                <w:szCs w:val="24"/>
                <w:lang w:val="en-US" w:eastAsia="en-US" w:bidi="ar-SA"/>
              </w:rPr>
              <w:t>Hydrographic data product, per chart cell</w:t>
            </w:r>
          </w:p>
        </w:tc>
        <w:tc>
          <w:tcPr>
            <w:tcW w:w="2640" w:type="dxa"/>
          </w:tcPr>
          <w:p>
            <w:pPr>
              <w:pStyle w:val="Compact"/>
              <w:jc w:val="left"/>
            </w:pPr>
            <w:r>
              <w:rPr>
                <w:sz w:val="24"/>
                <w:szCs w:val="24"/>
                <w:lang w:val="en-US" w:eastAsia="en-US" w:bidi="ar-SA"/>
              </w:rPr>
              <w:t>USD 2,000 per cell</w:t>
            </w:r>
          </w:p>
        </w:tc>
        <w:tc>
          <w:tcPr>
            <w:tcW w:w="2640" w:type="dxa"/>
          </w:tcPr>
          <w:p>
            <w:pPr>
              <w:pStyle w:val="Compact"/>
              <w:jc w:val="left"/>
            </w:pPr>
            <w:r>
              <w:rPr>
                <w:sz w:val="24"/>
                <w:szCs w:val="24"/>
                <w:lang w:val="en-US" w:eastAsia="en-US" w:bidi="ar-SA"/>
              </w:rPr>
              <w:t>Survey cost amortization</w:t>
            </w:r>
          </w:p>
        </w:tc>
      </w:tr>
      <w:tr>
        <w:tc>
          <w:tcPr>
            <w:tcW w:w="2640" w:type="dxa"/>
          </w:tcPr>
          <w:p>
            <w:pPr>
              <w:pStyle w:val="Compact"/>
              <w:jc w:val="left"/>
            </w:pPr>
            <w:r>
              <w:rPr>
                <w:sz w:val="24"/>
                <w:szCs w:val="24"/>
                <w:lang w:val="en-US" w:eastAsia="en-US" w:bidi="ar-SA"/>
              </w:rPr>
              <w:t>Special-cargo expedited window</w:t>
            </w:r>
          </w:p>
        </w:tc>
        <w:tc>
          <w:tcPr>
            <w:tcW w:w="2640" w:type="dxa"/>
          </w:tcPr>
          <w:p>
            <w:pPr>
              <w:pStyle w:val="Compact"/>
              <w:jc w:val="left"/>
            </w:pPr>
            <w:r>
              <w:rPr>
                <w:sz w:val="24"/>
                <w:szCs w:val="24"/>
                <w:lang w:val="en-US" w:eastAsia="en-US" w:bidi="ar-SA"/>
              </w:rPr>
              <w:t>USD 15,000 per window</w:t>
            </w:r>
          </w:p>
        </w:tc>
        <w:tc>
          <w:tcPr>
            <w:tcW w:w="2640" w:type="dxa"/>
          </w:tcPr>
          <w:p>
            <w:pPr>
              <w:pStyle w:val="Compact"/>
              <w:jc w:val="left"/>
            </w:pPr>
            <w:r>
              <w:rPr>
                <w:sz w:val="24"/>
                <w:szCs w:val="24"/>
                <w:lang w:val="en-US" w:eastAsia="en-US" w:bidi="ar-SA"/>
              </w:rPr>
              <w:t>Scheduling and SAR augmentation cost</w:t>
            </w:r>
          </w:p>
        </w:tc>
      </w:tr>
    </w:tbl>
    <w:bookmarkEnd w:id="374"/>
    <w:bookmarkStart w:id="375" w:name="f.3-live-rate-card"/>
    <w:p>
      <w:pPr>
        <w:pStyle w:val="Heading2"/>
      </w:pPr>
      <w:r>
        <w:rPr>
          <w:lang w:val="en-US" w:eastAsia="en-US" w:bidi="ar-SA"/>
          <w:rFonts w:asciiTheme="majorHAnsi" w:cstheme="majorBidi" w:eastAsiaTheme="majorEastAsia" w:hAnsiTheme="majorHAnsi"/>
          <w:b/>
          <w:color w:themeColor="accent1"/>
          <w:sz w:val="28"/>
          <w:szCs w:val="28"/>
        </w:rPr>
        <w:t>F.3 Live Rate Card</w:t>
      </w:r>
    </w:p>
    <w:p>
      <w:pPr>
        <w:pStyle w:val="FirstParagraph"/>
      </w:pPr>
      <w:r>
        <w:rPr>
          <w:sz w:val="24"/>
          <w:szCs w:val="24"/>
          <w:lang w:val="en-US" w:eastAsia="en-US" w:bidi="ar-SA"/>
        </w:rPr>
        <w:t>The live rate card equals the simulation card at Gate G-3, unaltered, per Article 34.4. Subsequent adjustments follow the cost-standard rule of F.4 and publish 60 days in advance.</w:t>
      </w:r>
    </w:p>
    <w:bookmarkEnd w:id="375"/>
    <w:bookmarkStart w:id="376" w:name="f.4-the-cost-standard"/>
    <w:p>
      <w:pPr>
        <w:pStyle w:val="Heading2"/>
      </w:pPr>
      <w:r>
        <w:rPr>
          <w:lang w:val="en-US" w:eastAsia="en-US" w:bidi="ar-SA"/>
          <w:rFonts w:asciiTheme="majorHAnsi" w:cstheme="majorBidi" w:eastAsiaTheme="majorEastAsia" w:hAnsiTheme="majorHAnsi"/>
          <w:b/>
          <w:color w:themeColor="accent1"/>
          <w:sz w:val="28"/>
          <w:szCs w:val="28"/>
        </w:rPr>
        <w:t>F.4 The Cost Standard</w:t>
      </w:r>
    </w:p>
    <w:p>
      <w:pPr>
        <w:pStyle w:val="FirstParagraph"/>
      </w:pPr>
      <w:r>
        <w:rPr>
          <w:sz w:val="24"/>
          <w:szCs w:val="24"/>
          <w:lang w:val="en-US" w:eastAsia="en-US" w:bidi="ar-SA"/>
        </w:rPr>
        <w:t>Every rate bears a published relationship to cost: direct operating cost plus a published margin not exceeding 20 percent, except subscription products priced per fleet with the cap of F.2. The Neutral Administrator audits cost bases annually and publishes the audit.</w:t>
      </w:r>
    </w:p>
    <w:bookmarkEnd w:id="376"/>
    <w:bookmarkStart w:id="377" w:name="f.5-service-standards-article-23.2"/>
    <w:p>
      <w:pPr>
        <w:pStyle w:val="Heading2"/>
      </w:pPr>
      <w:r>
        <w:rPr>
          <w:lang w:val="en-US" w:eastAsia="en-US" w:bidi="ar-SA"/>
          <w:rFonts w:asciiTheme="majorHAnsi" w:cstheme="majorBidi" w:eastAsiaTheme="majorEastAsia" w:hAnsiTheme="majorHAnsi"/>
          <w:b/>
          <w:color w:themeColor="accent1"/>
          <w:sz w:val="28"/>
          <w:szCs w:val="28"/>
        </w:rPr>
        <w:t>F.5 Service Standards (Article 23.2)</w:t>
      </w:r>
    </w:p>
    <w:p>
      <w:pPr>
        <w:pStyle w:val="FirstParagraph"/>
      </w:pPr>
      <w:r>
        <w:rPr>
          <w:sz w:val="24"/>
          <w:szCs w:val="24"/>
          <w:lang w:val="en-US" w:eastAsia="en-US" w:bidi="ar-SA"/>
        </w:rPr>
        <w:t>Reporting-point acknowledgment within 60 seconds; hazard advisory issuance within 15 minutes of detection; aid-to-navigation availability at 99.5 percent monthly; escort response within 45 minutes of request; pilot availability within 60 minutes inside published windows; tug dispatch within 30 minutes of request.</w:t>
      </w:r>
    </w:p>
    <w:bookmarkEnd w:id="377"/>
    <w:bookmarkStart w:id="378" w:name="f.6-interim-operating-cost-article-34.6"/>
    <w:p>
      <w:pPr>
        <w:pStyle w:val="Heading2"/>
      </w:pPr>
      <w:r>
        <w:rPr>
          <w:lang w:val="en-US" w:eastAsia="en-US" w:bidi="ar-SA"/>
          <w:rFonts w:asciiTheme="majorHAnsi" w:cstheme="majorBidi" w:eastAsiaTheme="majorEastAsia" w:hAnsiTheme="majorHAnsi"/>
          <w:b/>
          <w:color w:themeColor="accent1"/>
          <w:sz w:val="28"/>
          <w:szCs w:val="28"/>
        </w:rPr>
        <w:t>F.6 Interim Operating Cost (Article 34.6)</w:t>
      </w:r>
    </w:p>
    <w:p>
      <w:pPr>
        <w:pStyle w:val="FirstParagraph"/>
      </w:pPr>
      <w:r>
        <w:rPr>
          <w:sz w:val="24"/>
          <w:szCs w:val="24"/>
          <w:lang w:val="en-US" w:eastAsia="en-US" w:bidi="ar-SA"/>
        </w:rPr>
        <w:t>During the interim fee suspension, the Transit Services Fund absorbs corridor operating costs from: the voluntary contributions of the littoral and user states of Table N.4; the Neutral Administrator’s bridging facility, repayable from first revenues; and the framework’s simulation-period reserves. The interim accounts publish monthly.</w:t>
      </w:r>
    </w:p>
    <w:bookmarkEnd w:id="378"/>
    <w:bookmarkStart w:id="379" w:name="f.7-fund-audit"/>
    <w:p>
      <w:pPr>
        <w:pStyle w:val="Heading2"/>
      </w:pPr>
      <w:r>
        <w:rPr>
          <w:lang w:val="en-US" w:eastAsia="en-US" w:bidi="ar-SA"/>
          <w:rFonts w:asciiTheme="majorHAnsi" w:cstheme="majorBidi" w:eastAsiaTheme="majorEastAsia" w:hAnsiTheme="majorHAnsi"/>
          <w:b/>
          <w:color w:themeColor="accent1"/>
          <w:sz w:val="28"/>
          <w:szCs w:val="28"/>
        </w:rPr>
        <w:t>F.7 Fund Audit</w:t>
      </w:r>
    </w:p>
    <w:p>
      <w:pPr>
        <w:pStyle w:val="FirstParagraph"/>
      </w:pPr>
      <w:r>
        <w:t xml:space="preserve">The Neutral Administrator’s independent auditor audits the Fund quarterly and annually, against international public-sector accounting standards, and publishes every audit in full. The 12 percent administrative cap of Article 38.5 measures against gross revenue on the annual audit.</w:t>
      </w:r>
    </w:p>
    <w:bookmarkEnd w:id="379"/>
    <w:bookmarkStart w:id="380" w:name="f.8-payment-protocol"/>
    <w:p>
      <w:pPr>
        <w:pStyle w:val="Heading2"/>
      </w:pPr>
      <w:r>
        <w:rPr>
          <w:lang w:val="en-US" w:eastAsia="en-US" w:bidi="ar-SA"/>
          <w:rFonts w:asciiTheme="majorHAnsi" w:cstheme="majorBidi" w:eastAsiaTheme="majorEastAsia" w:hAnsiTheme="majorHAnsi"/>
          <w:b/>
          <w:color w:themeColor="accent1"/>
          <w:sz w:val="28"/>
          <w:szCs w:val="28"/>
        </w:rPr>
        <w:t>F.8 Payment Protocol</w:t>
      </w:r>
    </w:p>
    <w:p>
      <w:pPr>
        <w:pStyle w:val="FirstParagraph"/>
      </w:pPr>
      <w:r>
        <w:rPr>
          <w:sz w:val="24"/>
          <w:szCs w:val="24"/>
          <w:lang w:val="en-US" w:eastAsia="en-US" w:bidi="ar-SA"/>
        </w:rPr>
        <w:t>Payments route: operator’s bank to the Escrow’s designated neutral accounts (in Swiss francs, euros, or the designated settlement currency of the period); Escrow certification against the service record; disbursement to the Fund; distribution under Article 38. Documentation follows the reliance pack of F.9. No transaction routes through, to, or in the name of any Party.</w:t>
      </w:r>
    </w:p>
    <w:bookmarkEnd w:id="380"/>
    <w:bookmarkStart w:id="381" w:name="f.9-the-reliance-pack"/>
    <w:p>
      <w:pPr>
        <w:pStyle w:val="Heading2"/>
      </w:pPr>
      <w:r>
        <w:rPr>
          <w:lang w:val="en-US" w:eastAsia="en-US" w:bidi="ar-SA"/>
          <w:rFonts w:asciiTheme="majorHAnsi" w:cstheme="majorBidi" w:eastAsiaTheme="majorEastAsia" w:hAnsiTheme="majorHAnsi"/>
          <w:b/>
          <w:color w:themeColor="accent1"/>
          <w:sz w:val="28"/>
          <w:szCs w:val="28"/>
        </w:rPr>
        <w:t>F.9 The Reliance Pack</w:t>
      </w:r>
    </w:p>
    <w:p>
      <w:pPr>
        <w:pStyle w:val="FirstParagraph"/>
      </w:pPr>
      <w:r>
        <w:rPr>
          <w:sz w:val="24"/>
          <w:szCs w:val="24"/>
          <w:lang w:val="en-US" w:eastAsia="en-US" w:bidi="ar-SA"/>
        </w:rPr>
        <w:t>The reliance pack contains: the license references and authorization texts; the Escrow account attestations; the payment message formats; the screening standards; and the contact points of the Neutral Administrator’s compliance desk. The pack updates with every regulatory change and versions publicly.</w:t>
      </w:r>
    </w:p>
    <w:bookmarkEnd w:id="381"/>
    <w:bookmarkStart w:id="382" w:name="f.10-the-share-table-article-38.1"/>
    <w:p>
      <w:pPr>
        <w:pStyle w:val="Heading2"/>
      </w:pPr>
      <w:r>
        <w:rPr>
          <w:lang w:val="en-US" w:eastAsia="en-US" w:bidi="ar-SA"/>
          <w:rFonts w:asciiTheme="majorHAnsi" w:cstheme="majorBidi" w:eastAsiaTheme="majorEastAsia" w:hAnsiTheme="majorHAnsi"/>
          <w:b/>
          <w:color w:themeColor="accent1"/>
          <w:sz w:val="28"/>
          <w:szCs w:val="28"/>
        </w:rPr>
        <w:t>F.10 The Share Table (Article 38.1)</w:t>
      </w:r>
    </w:p>
    <w:p>
      <w:pPr>
        <w:pStyle w:val="FirstParagraph"/>
      </w:pPr>
      <w:r>
        <w:rPr>
          <w:sz w:val="24"/>
          <w:szCs w:val="24"/>
          <w:lang w:val="en-US" w:eastAsia="en-US" w:bidi="ar-SA"/>
        </w:rPr>
        <w:t>Net distributable revenue allocates per the Escalator-linked table of Annex E.1 (column: Revenue Share). Before distribution, each administrator draws its audited direct corridor costs under Article 38.2. Upon UAE accession, 10 percent draws equally from the Principal Parties’ shares under Article 38.3. The Permanent Floor caps Iran’s share at 60 percent; Oman’s share never falls below 30 percent; the residual funds the accession shares and the Facility allocation of Article 47.3.</w:t>
      </w:r>
    </w:p>
    <w:p>
      <w:pPr>
        <w:pStyle w:val="Heading2"/>
      </w:pPr>
      <w:r>
        <w:rPr>
          <w:lang w:val="en-US" w:eastAsia="en-US" w:bidi="ar-SA"/>
          <w:rFonts w:asciiTheme="majorHAnsi" w:cstheme="majorBidi" w:eastAsiaTheme="majorEastAsia" w:hAnsiTheme="majorHAnsi"/>
          <w:b/>
          <w:color w:themeColor="accent1"/>
          <w:sz w:val="28"/>
          <w:szCs w:val="28"/>
        </w:rPr>
        <w:t>F.11 The Currency Stabilization Mechanism</w:t>
      </w:r>
    </w:p>
    <w:p>
      <w:pPr>
        <w:pStyle w:val="FirstParagraph"/>
      </w:pPr>
      <w:r>
        <w:rPr>
          <w:sz w:val="24"/>
          <w:szCs w:val="24"/>
          <w:lang w:val="en-US" w:eastAsia="en-US" w:bidi="ar-SA"/>
        </w:rPr>
        <w:t>F.11.1 The Fund holds a currency stabilization reserve equal to 5 percent of annual net distributable revenue, denominated in the settlement basket of the Payment Protocol.</w:t>
      </w:r>
    </w:p>
    <w:p>
      <w:pPr>
        <w:pStyle w:val="FirstParagraph"/>
      </w:pPr>
      <w:r>
        <w:rPr>
          <w:sz w:val="24"/>
          <w:szCs w:val="24"/>
          <w:lang w:val="en-US" w:eastAsia="en-US" w:bidi="ar-SA"/>
        </w:rPr>
        <w:t>F.11.2 A movement exceeding 10 percent in the value of any basket component against the basket average, sustained across 30 consecutive days, triggers the mechanism.</w:t>
      </w:r>
    </w:p>
    <w:p>
      <w:pPr>
        <w:pStyle w:val="FirstParagraph"/>
      </w:pPr>
      <w:r>
        <w:rPr>
          <w:sz w:val="24"/>
          <w:szCs w:val="24"/>
          <w:lang w:val="en-US" w:eastAsia="en-US" w:bidi="ar-SA"/>
        </w:rPr>
        <w:t>F.11.3 Upon trigger, the Neutral Administrator automatically adjusts settlement weights and publishes the adjustment within 30 days. The adjustment stabilizes distributions; it touches no rate in the Rate Cards and no share in the Share Table.</w:t>
      </w:r>
    </w:p>
    <w:bookmarkEnd w:id="382"/>
    <w:bookmarkEnd w:id="383"/>
    <w:bookmarkStart w:id="384" w:name="X7c20e71b6a0d6ed1d4362897a9ac4f5af25b05b"/>
    <w:p>
      <w:pPr>
        <w:pStyle w:val="Heading1"/>
      </w:pPr>
      <w:r>
        <w:rPr>
          <w:lang w:val="en-US" w:eastAsia="en-US" w:bidi="ar-SA"/>
          <w:rFonts w:asciiTheme="majorHAnsi" w:cstheme="majorBidi" w:eastAsiaTheme="majorEastAsia" w:hAnsiTheme="majorHAnsi"/>
          <w:b/>
          <w:color w:themeColor="accent1"/>
          <w:sz w:val="32"/>
          <w:szCs w:val="32"/>
        </w:rPr>
        <w:t>ANNEX G: THE RED LINES REGISTER (FULL OPERATIVE TEXT)</w:t>
      </w:r>
    </w:p>
    <w:p>
      <w:pPr>
        <w:pStyle w:val="FirstParagraph"/>
      </w:pPr>
      <w:r>
        <w:rPr>
          <w:sz w:val="24"/>
          <w:szCs w:val="24"/>
          <w:lang w:val="en-US" w:eastAsia="en-US" w:bidi="ar-SA"/>
        </w:rPr>
        <w:t>This Annex states each red line in neutral terms, names the interest it protects, and identifies the architectural safeguard that holds the line without daily political effort. The Register binds the framework; a public statement outside the Register carries no operative weight. Amendment of this Annex follows Article 53.3 alone.</w:t>
      </w:r>
    </w:p>
    <w:tbl>
      <w:tblPr>
        <w:tblStyle w:val="Table"/>
        <w:tblW w:type="pct" w:w="5000"/>
        <w:tblLook w:firstRow="1" w:lastRow="0" w:firstColumn="0" w:lastColumn="0" w:noHBand="0" w:noVBand="0" w:val="0020"/>
      </w:tblPr>
      <w:tblGrid>
        <w:gridCol w:w="1980"/>
        <w:gridCol w:w="1980"/>
        <w:gridCol w:w="1980"/>
        <w:gridCol w:w="1980"/>
      </w:tblGrid>
      <w:tr>
        <w:trPr>
          <w:tblHeader w:val="1"/>
        </w:trPr>
        <w:tc>
          <w:tcPr>
            <w:tcW w:w="1980" w:type="dxa"/>
          </w:tcPr>
          <w:p>
            <w:pPr>
              <w:pStyle w:val="Compact"/>
              <w:jc w:val="left"/>
            </w:pPr>
            <w:r>
              <w:rPr>
                <w:sz w:val="24"/>
                <w:szCs w:val="24"/>
                <w:lang w:val="en-US" w:eastAsia="en-US" w:bidi="ar-SA"/>
              </w:rPr>
              <w:t>Ref</w:t>
            </w:r>
          </w:p>
        </w:tc>
        <w:tc>
          <w:tcPr>
            <w:tcW w:w="1980" w:type="dxa"/>
          </w:tcPr>
          <w:p>
            <w:pPr>
              <w:pStyle w:val="Compact"/>
              <w:jc w:val="left"/>
            </w:pPr>
            <w:r>
              <w:rPr>
                <w:sz w:val="24"/>
                <w:szCs w:val="24"/>
                <w:lang w:val="en-US" w:eastAsia="en-US" w:bidi="ar-SA"/>
              </w:rPr>
              <w:t>Line (operative text)</w:t>
            </w:r>
          </w:p>
        </w:tc>
        <w:tc>
          <w:tcPr>
            <w:tcW w:w="1980" w:type="dxa"/>
          </w:tcPr>
          <w:p>
            <w:pPr>
              <w:pStyle w:val="Compact"/>
              <w:jc w:val="left"/>
            </w:pPr>
            <w:r>
              <w:rPr>
                <w:sz w:val="24"/>
                <w:szCs w:val="24"/>
                <w:lang w:val="en-US" w:eastAsia="en-US" w:bidi="ar-SA"/>
              </w:rPr>
              <w:t>Protected interest</w:t>
            </w:r>
          </w:p>
        </w:tc>
        <w:tc>
          <w:tcPr>
            <w:tcW w:w="1980" w:type="dxa"/>
          </w:tcPr>
          <w:p>
            <w:pPr>
              <w:pStyle w:val="Compact"/>
              <w:jc w:val="left"/>
            </w:pPr>
            <w:r>
              <w:rPr>
                <w:sz w:val="24"/>
                <w:szCs w:val="24"/>
                <w:lang w:val="en-US" w:eastAsia="en-US" w:bidi="ar-SA"/>
              </w:rPr>
              <w:t>Architectural safeguard</w:t>
            </w:r>
          </w:p>
        </w:tc>
      </w:tr>
      <w:tr>
        <w:tc>
          <w:tcPr>
            <w:tcW w:w="1980" w:type="dxa"/>
          </w:tcPr>
          <w:p>
            <w:pPr>
              <w:pStyle w:val="Compact"/>
              <w:jc w:val="left"/>
            </w:pPr>
            <w:r>
              <w:rPr>
                <w:sz w:val="24"/>
                <w:szCs w:val="24"/>
                <w:lang w:val="en-US" w:eastAsia="en-US" w:bidi="ar-SA"/>
              </w:rPr>
              <w:t>RL-1</w:t>
            </w:r>
          </w:p>
        </w:tc>
        <w:tc>
          <w:tcPr>
            <w:tcW w:w="1980" w:type="dxa"/>
          </w:tcPr>
          <w:p>
            <w:pPr>
              <w:pStyle w:val="Compact"/>
              <w:jc w:val="left"/>
            </w:pPr>
            <w:r>
              <w:rPr>
                <w:sz w:val="24"/>
                <w:szCs w:val="24"/>
                <w:lang w:val="en-US" w:eastAsia="en-US" w:bidi="ar-SA"/>
              </w:rPr>
              <w:t>No charge of any kind attaches to the act of transit</w:t>
            </w:r>
          </w:p>
        </w:tc>
        <w:tc>
          <w:tcPr>
            <w:tcW w:w="1980" w:type="dxa"/>
          </w:tcPr>
          <w:p>
            <w:pPr>
              <w:pStyle w:val="Compact"/>
              <w:jc w:val="left"/>
            </w:pPr>
            <w:r>
              <w:rPr>
                <w:sz w:val="24"/>
                <w:szCs w:val="24"/>
                <w:lang w:val="en-US" w:eastAsia="en-US" w:bidi="ar-SA"/>
              </w:rPr>
              <w:t>User states; market confidence; the United States’ and Oman’s stated positions</w:t>
            </w:r>
          </w:p>
        </w:tc>
        <w:tc>
          <w:tcPr>
            <w:tcW w:w="1980" w:type="dxa"/>
          </w:tcPr>
          <w:p>
            <w:pPr>
              <w:pStyle w:val="Compact"/>
              <w:jc w:val="left"/>
            </w:pPr>
            <w:r>
              <w:rPr>
                <w:sz w:val="24"/>
                <w:szCs w:val="24"/>
                <w:lang w:val="en-US" w:eastAsia="en-US" w:bidi="ar-SA"/>
              </w:rPr>
              <w:t>Zero-Toll Rule, Article 33; Perimeter Test, Article 33.2</w:t>
            </w:r>
          </w:p>
        </w:tc>
      </w:tr>
      <w:tr>
        <w:tc>
          <w:tcPr>
            <w:tcW w:w="1980" w:type="dxa"/>
          </w:tcPr>
          <w:p>
            <w:pPr>
              <w:pStyle w:val="Compact"/>
              <w:jc w:val="left"/>
            </w:pPr>
            <w:r>
              <w:rPr>
                <w:sz w:val="24"/>
                <w:szCs w:val="24"/>
                <w:lang w:val="en-US" w:eastAsia="en-US" w:bidi="ar-SA"/>
              </w:rPr>
              <w:t>RL-2</w:t>
            </w:r>
          </w:p>
        </w:tc>
        <w:tc>
          <w:tcPr>
            <w:tcW w:w="1980" w:type="dxa"/>
          </w:tcPr>
          <w:p>
            <w:pPr>
              <w:pStyle w:val="Compact"/>
              <w:jc w:val="left"/>
            </w:pPr>
            <w:r>
              <w:rPr>
                <w:sz w:val="24"/>
                <w:szCs w:val="24"/>
                <w:lang w:val="en-US" w:eastAsia="en-US" w:bidi="ar-SA"/>
              </w:rPr>
              <w:t>The Southern Assurance Passage transits unconditionally, without any notification layer</w:t>
            </w:r>
          </w:p>
        </w:tc>
        <w:tc>
          <w:tcPr>
            <w:tcW w:w="1980" w:type="dxa"/>
          </w:tcPr>
          <w:p>
            <w:pPr>
              <w:pStyle w:val="Compact"/>
              <w:jc w:val="left"/>
            </w:pPr>
            <w:r>
              <w:rPr>
                <w:sz w:val="24"/>
                <w:szCs w:val="24"/>
                <w:lang w:val="en-US" w:eastAsia="en-US" w:bidi="ar-SA"/>
              </w:rPr>
              <w:t>Free navigation; pre-crisis pattern restored</w:t>
            </w:r>
          </w:p>
        </w:tc>
        <w:tc>
          <w:tcPr>
            <w:tcW w:w="1980" w:type="dxa"/>
          </w:tcPr>
          <w:p>
            <w:pPr>
              <w:pStyle w:val="Compact"/>
              <w:jc w:val="left"/>
            </w:pPr>
            <w:r>
              <w:rPr>
                <w:sz w:val="24"/>
                <w:szCs w:val="24"/>
                <w:lang w:val="en-US" w:eastAsia="en-US" w:bidi="ar-SA"/>
              </w:rPr>
              <w:t>Article 22.3; no approval step by any actor</w:t>
            </w:r>
          </w:p>
        </w:tc>
      </w:tr>
      <w:tr>
        <w:tc>
          <w:tcPr>
            <w:tcW w:w="1980" w:type="dxa"/>
          </w:tcPr>
          <w:p>
            <w:pPr>
              <w:pStyle w:val="Compact"/>
              <w:jc w:val="left"/>
            </w:pPr>
            <w:r>
              <w:rPr>
                <w:sz w:val="24"/>
                <w:szCs w:val="24"/>
                <w:lang w:val="en-US" w:eastAsia="en-US" w:bidi="ar-SA"/>
              </w:rPr>
              <w:t>RL-3</w:t>
            </w:r>
          </w:p>
        </w:tc>
        <w:tc>
          <w:tcPr>
            <w:tcW w:w="1980" w:type="dxa"/>
          </w:tcPr>
          <w:p>
            <w:pPr>
              <w:pStyle w:val="Compact"/>
              <w:jc w:val="left"/>
            </w:pPr>
            <w:r>
              <w:rPr>
                <w:sz w:val="24"/>
                <w:szCs w:val="24"/>
                <w:lang w:val="en-US" w:eastAsia="en-US" w:bidi="ar-SA"/>
              </w:rPr>
              <w:t>The northern littoral holds a recognized, formal, continuous management role</w:t>
            </w:r>
          </w:p>
        </w:tc>
        <w:tc>
          <w:tcPr>
            <w:tcW w:w="1980" w:type="dxa"/>
          </w:tcPr>
          <w:p>
            <w:pPr>
              <w:pStyle w:val="Compact"/>
              <w:jc w:val="left"/>
            </w:pPr>
            <w:r>
              <w:rPr>
                <w:sz w:val="24"/>
                <w:szCs w:val="24"/>
                <w:lang w:val="en-US" w:eastAsia="en-US" w:bidi="ar-SA"/>
              </w:rPr>
              <w:t>Iran’s sovereign role and security picture</w:t>
            </w:r>
          </w:p>
        </w:tc>
        <w:tc>
          <w:tcPr>
            <w:tcW w:w="1980" w:type="dxa"/>
          </w:tcPr>
          <w:p>
            <w:pPr>
              <w:pStyle w:val="Compact"/>
              <w:jc w:val="left"/>
            </w:pPr>
            <w:r>
              <w:rPr>
                <w:sz w:val="24"/>
                <w:szCs w:val="24"/>
                <w:lang w:val="en-US" w:eastAsia="en-US" w:bidi="ar-SA"/>
              </w:rPr>
              <w:t>Article 22.2 administration; the Escalator; co-equal seats everywhere</w:t>
            </w:r>
          </w:p>
        </w:tc>
      </w:tr>
      <w:tr>
        <w:tc>
          <w:tcPr>
            <w:tcW w:w="1980" w:type="dxa"/>
          </w:tcPr>
          <w:p>
            <w:pPr>
              <w:pStyle w:val="Compact"/>
              <w:jc w:val="left"/>
            </w:pPr>
            <w:r>
              <w:rPr>
                <w:sz w:val="24"/>
                <w:szCs w:val="24"/>
                <w:lang w:val="en-US" w:eastAsia="en-US" w:bidi="ar-SA"/>
              </w:rPr>
              <w:t>RL-4</w:t>
            </w:r>
          </w:p>
        </w:tc>
        <w:tc>
          <w:tcPr>
            <w:tcW w:w="1980" w:type="dxa"/>
          </w:tcPr>
          <w:p>
            <w:pPr>
              <w:pStyle w:val="Compact"/>
              <w:jc w:val="left"/>
            </w:pPr>
            <w:r>
              <w:rPr>
                <w:sz w:val="24"/>
                <w:szCs w:val="24"/>
                <w:lang w:val="en-US" w:eastAsia="en-US" w:bidi="ar-SA"/>
              </w:rPr>
              <w:t>No permission regime operates anywhere in this framework</w:t>
            </w:r>
          </w:p>
        </w:tc>
        <w:tc>
          <w:tcPr>
            <w:tcW w:w="1980" w:type="dxa"/>
          </w:tcPr>
          <w:p>
            <w:pPr>
              <w:pStyle w:val="Compact"/>
              <w:jc w:val="left"/>
            </w:pPr>
            <w:r>
              <w:rPr>
                <w:sz w:val="24"/>
                <w:szCs w:val="24"/>
                <w:lang w:val="en-US" w:eastAsia="en-US" w:bidi="ar-SA"/>
              </w:rPr>
              <w:t>Transit passage preserved; no gatekeeping</w:t>
            </w:r>
          </w:p>
        </w:tc>
        <w:tc>
          <w:tcPr>
            <w:tcW w:w="1980" w:type="dxa"/>
          </w:tcPr>
          <w:p>
            <w:pPr>
              <w:pStyle w:val="Compact"/>
              <w:jc w:val="left"/>
            </w:pPr>
            <w:r>
              <w:rPr>
                <w:sz w:val="24"/>
                <w:szCs w:val="24"/>
                <w:lang w:val="en-US" w:eastAsia="en-US" w:bidi="ar-SA"/>
              </w:rPr>
              <w:t>Notification-only rule, Article 25.2; acknowledgment by default</w:t>
            </w:r>
          </w:p>
        </w:tc>
      </w:tr>
      <w:tr>
        <w:tc>
          <w:tcPr>
            <w:tcW w:w="1980" w:type="dxa"/>
          </w:tcPr>
          <w:p>
            <w:pPr>
              <w:pStyle w:val="Compact"/>
              <w:jc w:val="left"/>
            </w:pPr>
            <w:r>
              <w:rPr>
                <w:sz w:val="24"/>
                <w:szCs w:val="24"/>
                <w:lang w:val="en-US" w:eastAsia="en-US" w:bidi="ar-SA"/>
              </w:rPr>
              <w:t>RL-5</w:t>
            </w:r>
          </w:p>
        </w:tc>
        <w:tc>
          <w:tcPr>
            <w:tcW w:w="1980" w:type="dxa"/>
          </w:tcPr>
          <w:p>
            <w:pPr>
              <w:pStyle w:val="Compact"/>
              <w:jc w:val="left"/>
            </w:pPr>
            <w:r>
              <w:rPr>
                <w:sz w:val="24"/>
                <w:szCs w:val="24"/>
                <w:lang w:val="en-US" w:eastAsia="en-US" w:bidi="ar-SA"/>
              </w:rPr>
              <w:t>No boarding, diversion, seizure, or inspection occurs inside a passage</w:t>
            </w:r>
          </w:p>
        </w:tc>
        <w:tc>
          <w:tcPr>
            <w:tcW w:w="1980" w:type="dxa"/>
          </w:tcPr>
          <w:p>
            <w:pPr>
              <w:pStyle w:val="Compact"/>
              <w:jc w:val="left"/>
            </w:pPr>
            <w:r>
              <w:rPr>
                <w:sz w:val="24"/>
                <w:szCs w:val="24"/>
                <w:lang w:val="en-US" w:eastAsia="en-US" w:bidi="ar-SA"/>
              </w:rPr>
              <w:t>Crew safety; commercial certainty</w:t>
            </w:r>
          </w:p>
        </w:tc>
        <w:tc>
          <w:tcPr>
            <w:tcW w:w="1980" w:type="dxa"/>
          </w:tcPr>
          <w:p>
            <w:pPr>
              <w:pStyle w:val="Compact"/>
              <w:jc w:val="left"/>
            </w:pPr>
            <w:r>
              <w:rPr>
                <w:sz w:val="24"/>
                <w:szCs w:val="24"/>
                <w:lang w:val="en-US" w:eastAsia="en-US" w:bidi="ar-SA"/>
              </w:rPr>
              <w:t>Non-Interdiction Protocol, Article 27; Anchor-and-Verify at anchorage only, Article 27.3</w:t>
            </w:r>
          </w:p>
        </w:tc>
      </w:tr>
      <w:tr>
        <w:tc>
          <w:tcPr>
            <w:tcW w:w="1980" w:type="dxa"/>
          </w:tcPr>
          <w:p>
            <w:pPr>
              <w:pStyle w:val="Compact"/>
              <w:jc w:val="left"/>
            </w:pPr>
            <w:r>
              <w:rPr>
                <w:sz w:val="24"/>
                <w:szCs w:val="24"/>
                <w:lang w:val="en-US" w:eastAsia="en-US" w:bidi="ar-SA"/>
              </w:rPr>
              <w:t>RL-6</w:t>
            </w:r>
          </w:p>
        </w:tc>
        <w:tc>
          <w:tcPr>
            <w:tcW w:w="1980" w:type="dxa"/>
          </w:tcPr>
          <w:p>
            <w:pPr>
              <w:pStyle w:val="Compact"/>
              <w:jc w:val="left"/>
            </w:pPr>
            <w:r>
              <w:rPr>
                <w:sz w:val="24"/>
                <w:szCs w:val="24"/>
                <w:lang w:val="en-US" w:eastAsia="en-US" w:bidi="ar-SA"/>
              </w:rPr>
              <w:t>The framework’s operational bodies remain civilian</w:t>
            </w:r>
          </w:p>
        </w:tc>
        <w:tc>
          <w:tcPr>
            <w:tcW w:w="1980" w:type="dxa"/>
          </w:tcPr>
          <w:p>
            <w:pPr>
              <w:pStyle w:val="Compact"/>
              <w:jc w:val="left"/>
            </w:pPr>
            <w:r>
              <w:rPr>
                <w:sz w:val="24"/>
                <w:szCs w:val="24"/>
                <w:lang w:val="en-US" w:eastAsia="en-US" w:bidi="ar-SA"/>
              </w:rPr>
              <w:t>Iran’s assurance against security capture; user-state confidence in neutrality</w:t>
            </w:r>
          </w:p>
        </w:tc>
        <w:tc>
          <w:tcPr>
            <w:tcW w:w="1980" w:type="dxa"/>
          </w:tcPr>
          <w:p>
            <w:pPr>
              <w:pStyle w:val="Compact"/>
              <w:jc w:val="left"/>
            </w:pPr>
            <w:r>
              <w:rPr>
                <w:sz w:val="24"/>
                <w:szCs w:val="24"/>
                <w:lang w:val="en-US" w:eastAsia="en-US" w:bidi="ar-SA"/>
              </w:rPr>
              <w:t>Civilian Character, Articles 3.6 and 41</w:t>
            </w:r>
          </w:p>
        </w:tc>
      </w:tr>
      <w:tr>
        <w:tc>
          <w:tcPr>
            <w:tcW w:w="1980" w:type="dxa"/>
          </w:tcPr>
          <w:p>
            <w:pPr>
              <w:pStyle w:val="Compact"/>
              <w:jc w:val="left"/>
            </w:pPr>
            <w:r>
              <w:rPr>
                <w:sz w:val="24"/>
                <w:szCs w:val="24"/>
                <w:lang w:val="en-US" w:eastAsia="en-US" w:bidi="ar-SA"/>
              </w:rPr>
              <w:t>RL-7</w:t>
            </w:r>
          </w:p>
        </w:tc>
        <w:tc>
          <w:tcPr>
            <w:tcW w:w="1980" w:type="dxa"/>
          </w:tcPr>
          <w:p>
            <w:pPr>
              <w:pStyle w:val="Compact"/>
              <w:jc w:val="left"/>
            </w:pPr>
            <w:r>
              <w:rPr>
                <w:sz w:val="24"/>
                <w:szCs w:val="24"/>
                <w:lang w:val="en-US" w:eastAsia="en-US" w:bidi="ar-SA"/>
              </w:rPr>
              <w:t>No shipper or operator pays any Party directly for anything</w:t>
            </w:r>
          </w:p>
        </w:tc>
        <w:tc>
          <w:tcPr>
            <w:tcW w:w="1980" w:type="dxa"/>
          </w:tcPr>
          <w:p>
            <w:pPr>
              <w:pStyle w:val="Compact"/>
              <w:jc w:val="left"/>
            </w:pPr>
            <w:r>
              <w:rPr>
                <w:sz w:val="24"/>
                <w:szCs w:val="24"/>
                <w:lang w:val="en-US" w:eastAsia="en-US" w:bidi="ar-SA"/>
              </w:rPr>
              <w:t>Sanctions safety for every participant</w:t>
            </w:r>
          </w:p>
        </w:tc>
        <w:tc>
          <w:tcPr>
            <w:tcW w:w="1980" w:type="dxa"/>
          </w:tcPr>
          <w:p>
            <w:pPr>
              <w:pStyle w:val="Compact"/>
              <w:jc w:val="left"/>
            </w:pPr>
            <w:r>
              <w:rPr>
                <w:sz w:val="24"/>
                <w:szCs w:val="24"/>
                <w:lang w:val="en-US" w:eastAsia="en-US" w:bidi="ar-SA"/>
              </w:rPr>
              <w:t>Sanctions-Compliance Firewall, Article 37; Escrow-only routing</w:t>
            </w:r>
          </w:p>
        </w:tc>
      </w:tr>
      <w:tr>
        <w:tc>
          <w:tcPr>
            <w:tcW w:w="1980" w:type="dxa"/>
          </w:tcPr>
          <w:p>
            <w:pPr>
              <w:pStyle w:val="Compact"/>
              <w:jc w:val="left"/>
            </w:pPr>
            <w:r>
              <w:rPr>
                <w:sz w:val="24"/>
                <w:szCs w:val="24"/>
                <w:lang w:val="en-US" w:eastAsia="en-US" w:bidi="ar-SA"/>
              </w:rPr>
              <w:t>RL-8</w:t>
            </w:r>
          </w:p>
        </w:tc>
        <w:tc>
          <w:tcPr>
            <w:tcW w:w="1980" w:type="dxa"/>
          </w:tcPr>
          <w:p>
            <w:pPr>
              <w:pStyle w:val="Compact"/>
              <w:jc w:val="left"/>
            </w:pPr>
            <w:r>
              <w:rPr>
                <w:sz w:val="24"/>
                <w:szCs w:val="24"/>
                <w:lang w:val="en-US" w:eastAsia="en-US" w:bidi="ar-SA"/>
              </w:rPr>
              <w:t>Each Party’s sovereignty over its own waters stands intact</w:t>
            </w:r>
          </w:p>
        </w:tc>
        <w:tc>
          <w:tcPr>
            <w:tcW w:w="1980" w:type="dxa"/>
          </w:tcPr>
          <w:p>
            <w:pPr>
              <w:pStyle w:val="Compact"/>
              <w:jc w:val="left"/>
            </w:pPr>
            <w:r>
              <w:rPr>
                <w:sz w:val="24"/>
                <w:szCs w:val="24"/>
                <w:lang w:val="en-US" w:eastAsia="en-US" w:bidi="ar-SA"/>
              </w:rPr>
              <w:t>All coastal states’ constitutional positions</w:t>
            </w:r>
          </w:p>
        </w:tc>
        <w:tc>
          <w:tcPr>
            <w:tcW w:w="1980" w:type="dxa"/>
          </w:tcPr>
          <w:p>
            <w:pPr>
              <w:pStyle w:val="Compact"/>
              <w:jc w:val="left"/>
            </w:pPr>
            <w:r>
              <w:rPr>
                <w:sz w:val="24"/>
                <w:szCs w:val="24"/>
                <w:lang w:val="en-US" w:eastAsia="en-US" w:bidi="ar-SA"/>
              </w:rPr>
              <w:t>Articles 1.4, 2.8; the non-prejudice rule</w:t>
            </w:r>
          </w:p>
        </w:tc>
      </w:tr>
      <w:tr>
        <w:tc>
          <w:tcPr>
            <w:tcW w:w="1980" w:type="dxa"/>
          </w:tcPr>
          <w:p>
            <w:pPr>
              <w:pStyle w:val="Compact"/>
              <w:jc w:val="left"/>
            </w:pPr>
            <w:r>
              <w:rPr>
                <w:sz w:val="24"/>
                <w:szCs w:val="24"/>
                <w:lang w:val="en-US" w:eastAsia="en-US" w:bidi="ar-SA"/>
              </w:rPr>
              <w:t>RL-9</w:t>
            </w:r>
          </w:p>
        </w:tc>
        <w:tc>
          <w:tcPr>
            <w:tcW w:w="1980" w:type="dxa"/>
          </w:tcPr>
          <w:p>
            <w:pPr>
              <w:pStyle w:val="Compact"/>
              <w:jc w:val="left"/>
            </w:pPr>
            <w:r>
              <w:rPr>
                <w:sz w:val="24"/>
                <w:szCs w:val="24"/>
                <w:lang w:val="en-US" w:eastAsia="en-US" w:bidi="ar-SA"/>
              </w:rPr>
              <w:t>No commitment expires silently</w:t>
            </w:r>
          </w:p>
        </w:tc>
        <w:tc>
          <w:tcPr>
            <w:tcW w:w="1980" w:type="dxa"/>
          </w:tcPr>
          <w:p>
            <w:pPr>
              <w:pStyle w:val="Compact"/>
              <w:jc w:val="left"/>
            </w:pPr>
            <w:r>
              <w:rPr>
                <w:sz w:val="24"/>
                <w:szCs w:val="24"/>
                <w:lang w:val="en-US" w:eastAsia="en-US" w:bidi="ar-SA"/>
              </w:rPr>
              <w:t>Durability against political cycles</w:t>
            </w:r>
          </w:p>
        </w:tc>
        <w:tc>
          <w:tcPr>
            <w:tcW w:w="1980" w:type="dxa"/>
          </w:tcPr>
          <w:p>
            <w:pPr>
              <w:pStyle w:val="Compact"/>
              <w:jc w:val="left"/>
            </w:pPr>
            <w:r>
              <w:rPr>
                <w:sz w:val="24"/>
                <w:szCs w:val="24"/>
                <w:lang w:val="en-US" w:eastAsia="en-US" w:bidi="ar-SA"/>
              </w:rPr>
              <w:t>Nofade Guarantee, Article 6</w:t>
            </w:r>
          </w:p>
        </w:tc>
      </w:tr>
      <w:tr>
        <w:tc>
          <w:tcPr>
            <w:tcW w:w="1980" w:type="dxa"/>
          </w:tcPr>
          <w:p>
            <w:pPr>
              <w:pStyle w:val="Compact"/>
              <w:jc w:val="left"/>
            </w:pPr>
            <w:r>
              <w:rPr>
                <w:sz w:val="24"/>
                <w:szCs w:val="24"/>
                <w:lang w:val="en-US" w:eastAsia="en-US" w:bidi="ar-SA"/>
              </w:rPr>
              <w:t>RL-10</w:t>
            </w:r>
          </w:p>
        </w:tc>
        <w:tc>
          <w:tcPr>
            <w:tcW w:w="1980" w:type="dxa"/>
          </w:tcPr>
          <w:p>
            <w:pPr>
              <w:pStyle w:val="Compact"/>
              <w:jc w:val="left"/>
            </w:pPr>
            <w:r>
              <w:rPr>
                <w:sz w:val="24"/>
                <w:szCs w:val="24"/>
                <w:lang w:val="en-US" w:eastAsia="en-US" w:bidi="ar-SA"/>
              </w:rPr>
              <w:t>Humanitarian traffic moves in every flow state</w:t>
            </w:r>
          </w:p>
        </w:tc>
        <w:tc>
          <w:tcPr>
            <w:tcW w:w="1980" w:type="dxa"/>
          </w:tcPr>
          <w:p>
            <w:pPr>
              <w:pStyle w:val="Compact"/>
              <w:jc w:val="left"/>
            </w:pPr>
            <w:r>
              <w:rPr>
                <w:sz w:val="24"/>
                <w:szCs w:val="24"/>
                <w:lang w:val="en-US" w:eastAsia="en-US" w:bidi="ar-SA"/>
              </w:rPr>
              <w:t>Civilian life; humanitarian norms</w:t>
            </w:r>
          </w:p>
        </w:tc>
        <w:tc>
          <w:tcPr>
            <w:tcW w:w="1980" w:type="dxa"/>
          </w:tcPr>
          <w:p>
            <w:pPr>
              <w:pStyle w:val="Compact"/>
              <w:jc w:val="left"/>
            </w:pPr>
            <w:r>
              <w:rPr>
                <w:sz w:val="24"/>
                <w:szCs w:val="24"/>
                <w:lang w:val="en-US" w:eastAsia="en-US" w:bidi="ar-SA"/>
              </w:rPr>
              <w:t>Article 24.3; distress priority, Article 29.7</w:t>
            </w:r>
          </w:p>
        </w:tc>
      </w:tr>
      <w:tr>
        <w:tc>
          <w:tcPr>
            <w:tcW w:w="1980" w:type="dxa"/>
          </w:tcPr>
          <w:p>
            <w:pPr>
              <w:pStyle w:val="Compact"/>
              <w:jc w:val="left"/>
            </w:pPr>
            <w:r>
              <w:rPr>
                <w:sz w:val="24"/>
                <w:szCs w:val="24"/>
                <w:lang w:val="en-US" w:eastAsia="en-US" w:bidi="ar-SA"/>
              </w:rPr>
              <w:t>RL-11</w:t>
            </w:r>
          </w:p>
        </w:tc>
        <w:tc>
          <w:tcPr>
            <w:tcW w:w="1980" w:type="dxa"/>
          </w:tcPr>
          <w:p>
            <w:pPr>
              <w:pStyle w:val="Compact"/>
              <w:jc w:val="left"/>
            </w:pPr>
            <w:r>
              <w:rPr>
                <w:sz w:val="24"/>
                <w:szCs w:val="24"/>
                <w:lang w:val="en-US" w:eastAsia="en-US" w:bidi="ar-SA"/>
              </w:rPr>
              <w:t>No finding of fact rests on a single input</w:t>
            </w:r>
          </w:p>
        </w:tc>
        <w:tc>
          <w:tcPr>
            <w:tcW w:w="1980" w:type="dxa"/>
          </w:tcPr>
          <w:p>
            <w:pPr>
              <w:pStyle w:val="Compact"/>
              <w:jc w:val="left"/>
            </w:pPr>
            <w:r>
              <w:rPr>
                <w:sz w:val="24"/>
                <w:szCs w:val="24"/>
                <w:lang w:val="en-US" w:eastAsia="en-US" w:bidi="ar-SA"/>
              </w:rPr>
              <w:t>Every Party’s protection from error and manipulation</w:t>
            </w:r>
          </w:p>
        </w:tc>
        <w:tc>
          <w:tcPr>
            <w:tcW w:w="1980" w:type="dxa"/>
          </w:tcPr>
          <w:p>
            <w:pPr>
              <w:pStyle w:val="Compact"/>
              <w:jc w:val="left"/>
            </w:pPr>
            <w:r>
              <w:rPr>
                <w:sz w:val="24"/>
                <w:szCs w:val="24"/>
                <w:lang w:val="en-US" w:eastAsia="en-US" w:bidi="ar-SA"/>
              </w:rPr>
              <w:t>Convergence Standard, Annex D.2</w:t>
            </w:r>
          </w:p>
        </w:tc>
      </w:tr>
      <w:tr>
        <w:tc>
          <w:tcPr>
            <w:tcW w:w="1980" w:type="dxa"/>
          </w:tcPr>
          <w:p>
            <w:pPr>
              <w:pStyle w:val="Compact"/>
              <w:jc w:val="left"/>
            </w:pPr>
            <w:r>
              <w:rPr>
                <w:sz w:val="24"/>
                <w:szCs w:val="24"/>
                <w:lang w:val="en-US" w:eastAsia="en-US" w:bidi="ar-SA"/>
              </w:rPr>
              <w:t>RL-12</w:t>
            </w:r>
          </w:p>
        </w:tc>
        <w:tc>
          <w:tcPr>
            <w:tcW w:w="1980" w:type="dxa"/>
          </w:tcPr>
          <w:p>
            <w:pPr>
              <w:pStyle w:val="Compact"/>
              <w:jc w:val="left"/>
            </w:pPr>
            <w:r>
              <w:rPr>
                <w:sz w:val="24"/>
                <w:szCs w:val="24"/>
                <w:lang w:val="en-US" w:eastAsia="en-US" w:bidi="ar-SA"/>
              </w:rPr>
              <w:t>Framework assets never support kinetic action by any actor</w:t>
            </w:r>
          </w:p>
        </w:tc>
        <w:tc>
          <w:tcPr>
            <w:tcW w:w="1980" w:type="dxa"/>
          </w:tcPr>
          <w:p>
            <w:pPr>
              <w:pStyle w:val="Compact"/>
              <w:jc w:val="left"/>
            </w:pPr>
            <w:r>
              <w:rPr>
                <w:sz w:val="24"/>
                <w:szCs w:val="24"/>
                <w:lang w:val="en-US" w:eastAsia="en-US" w:bidi="ar-SA"/>
              </w:rPr>
              <w:t>Iran’s and the region’s assurance against intelligence misuse</w:t>
            </w:r>
          </w:p>
        </w:tc>
        <w:tc>
          <w:tcPr>
            <w:tcW w:w="1980" w:type="dxa"/>
          </w:tcPr>
          <w:p>
            <w:pPr>
              <w:pStyle w:val="Compact"/>
              <w:jc w:val="left"/>
            </w:pPr>
            <w:r>
              <w:rPr>
                <w:sz w:val="24"/>
                <w:szCs w:val="24"/>
                <w:lang w:val="en-US" w:eastAsia="en-US" w:bidi="ar-SA"/>
              </w:rPr>
              <w:t>Kinetic exclusion, Article 19.2; custody audits, Annex D.6</w:t>
            </w:r>
          </w:p>
        </w:tc>
      </w:tr>
      <w:tr>
        <w:tc>
          <w:tcPr>
            <w:tcW w:w="1980" w:type="dxa"/>
          </w:tcPr>
          <w:p>
            <w:pPr>
              <w:pStyle w:val="Compact"/>
              <w:jc w:val="left"/>
            </w:pPr>
            <w:r>
              <w:rPr>
                <w:sz w:val="24"/>
                <w:szCs w:val="24"/>
                <w:lang w:val="en-US" w:eastAsia="en-US" w:bidi="ar-SA"/>
              </w:rPr>
              <w:t>RL-13</w:t>
            </w:r>
          </w:p>
        </w:tc>
        <w:tc>
          <w:tcPr>
            <w:tcW w:w="1980" w:type="dxa"/>
          </w:tcPr>
          <w:p>
            <w:pPr>
              <w:pStyle w:val="Compact"/>
              <w:jc w:val="left"/>
            </w:pPr>
            <w:r>
              <w:rPr>
                <w:sz w:val="24"/>
                <w:szCs w:val="24"/>
                <w:lang w:val="en-US" w:eastAsia="en-US" w:bidi="ar-SA"/>
              </w:rPr>
              <w:t>No single coastal state governs the strait alone</w:t>
            </w:r>
          </w:p>
        </w:tc>
        <w:tc>
          <w:tcPr>
            <w:tcW w:w="1980" w:type="dxa"/>
          </w:tcPr>
          <w:p>
            <w:pPr>
              <w:pStyle w:val="Compact"/>
              <w:jc w:val="left"/>
            </w:pPr>
            <w:r>
              <w:rPr>
                <w:sz w:val="24"/>
                <w:szCs w:val="24"/>
                <w:lang w:val="en-US" w:eastAsia="en-US" w:bidi="ar-SA"/>
              </w:rPr>
              <w:t>Multilateral legitimacy; accession-state confidence</w:t>
            </w:r>
          </w:p>
        </w:tc>
        <w:tc>
          <w:tcPr>
            <w:tcW w:w="1980" w:type="dxa"/>
          </w:tcPr>
          <w:p>
            <w:pPr>
              <w:pStyle w:val="Compact"/>
              <w:jc w:val="left"/>
            </w:pPr>
            <w:r>
              <w:rPr>
                <w:sz w:val="24"/>
                <w:szCs w:val="24"/>
                <w:lang w:val="en-US" w:eastAsia="en-US" w:bidi="ar-SA"/>
              </w:rPr>
              <w:t>Council composition, Article 40; three-corridor allocation</w:t>
            </w:r>
          </w:p>
        </w:tc>
      </w:tr>
      <w:tr>
        <w:tc>
          <w:tcPr>
            <w:tcW w:w="1980" w:type="dxa"/>
          </w:tcPr>
          <w:p>
            <w:pPr>
              <w:pStyle w:val="Compact"/>
              <w:jc w:val="left"/>
            </w:pPr>
            <w:r>
              <w:rPr>
                <w:sz w:val="24"/>
                <w:szCs w:val="24"/>
                <w:lang w:val="en-US" w:eastAsia="en-US" w:bidi="ar-SA"/>
              </w:rPr>
              <w:t>RL-14</w:t>
            </w:r>
          </w:p>
        </w:tc>
        <w:tc>
          <w:tcPr>
            <w:tcW w:w="1980" w:type="dxa"/>
          </w:tcPr>
          <w:p>
            <w:pPr>
              <w:pStyle w:val="Compact"/>
              <w:jc w:val="left"/>
            </w:pPr>
            <w:r>
              <w:rPr>
                <w:sz w:val="24"/>
                <w:szCs w:val="24"/>
                <w:lang w:val="en-US" w:eastAsia="en-US" w:bidi="ar-SA"/>
              </w:rPr>
              <w:t>No external state commands any element of this framework</w:t>
            </w:r>
          </w:p>
        </w:tc>
        <w:tc>
          <w:tcPr>
            <w:tcW w:w="1980" w:type="dxa"/>
          </w:tcPr>
          <w:p>
            <w:pPr>
              <w:pStyle w:val="Compact"/>
              <w:jc w:val="left"/>
            </w:pPr>
            <w:r>
              <w:rPr>
                <w:sz w:val="24"/>
                <w:szCs w:val="24"/>
                <w:lang w:val="en-US" w:eastAsia="en-US" w:bidi="ar-SA"/>
              </w:rPr>
              <w:t>Regional ownership; Iran’s assurance against foreign control</w:t>
            </w:r>
          </w:p>
        </w:tc>
        <w:tc>
          <w:tcPr>
            <w:tcW w:w="1980" w:type="dxa"/>
          </w:tcPr>
          <w:p>
            <w:pPr>
              <w:pStyle w:val="Compact"/>
              <w:jc w:val="left"/>
            </w:pPr>
            <w:r>
              <w:rPr>
                <w:sz w:val="24"/>
                <w:szCs w:val="24"/>
                <w:lang w:val="en-US" w:eastAsia="en-US" w:bidi="ar-SA"/>
              </w:rPr>
              <w:t>Bounded Guarantor role, Article 40.4</w:t>
            </w:r>
          </w:p>
        </w:tc>
      </w:tr>
      <w:tr>
        <w:tc>
          <w:tcPr>
            <w:tcW w:w="1980" w:type="dxa"/>
          </w:tcPr>
          <w:p>
            <w:pPr>
              <w:pStyle w:val="Compact"/>
              <w:jc w:val="left"/>
            </w:pPr>
            <w:r>
              <w:rPr>
                <w:sz w:val="24"/>
                <w:szCs w:val="24"/>
                <w:lang w:val="en-US" w:eastAsia="en-US" w:bidi="ar-SA"/>
              </w:rPr>
              <w:t>RL-15</w:t>
            </w:r>
          </w:p>
        </w:tc>
        <w:tc>
          <w:tcPr>
            <w:tcW w:w="1980" w:type="dxa"/>
          </w:tcPr>
          <w:p>
            <w:pPr>
              <w:pStyle w:val="Compact"/>
              <w:jc w:val="left"/>
            </w:pPr>
            <w:r>
              <w:rPr>
                <w:sz w:val="24"/>
                <w:szCs w:val="24"/>
                <w:lang w:val="en-US" w:eastAsia="en-US" w:bidi="ar-SA"/>
              </w:rPr>
              <w:t>The nuclear file remains firewalled from this Accord in both directions</w:t>
            </w:r>
          </w:p>
        </w:tc>
        <w:tc>
          <w:tcPr>
            <w:tcW w:w="1980" w:type="dxa"/>
          </w:tcPr>
          <w:p>
            <w:pPr>
              <w:pStyle w:val="Compact"/>
              <w:jc w:val="left"/>
            </w:pPr>
            <w:r>
              <w:rPr>
                <w:sz w:val="24"/>
                <w:szCs w:val="24"/>
                <w:lang w:val="en-US" w:eastAsia="en-US" w:bidi="ar-SA"/>
              </w:rPr>
              <w:t>Both sides’ separation of tracks; negotiation integrity</w:t>
            </w:r>
          </w:p>
        </w:tc>
        <w:tc>
          <w:tcPr>
            <w:tcW w:w="1980" w:type="dxa"/>
          </w:tcPr>
          <w:p>
            <w:pPr>
              <w:pStyle w:val="Compact"/>
              <w:jc w:val="left"/>
            </w:pPr>
            <w:r>
              <w:rPr>
                <w:sz w:val="24"/>
                <w:szCs w:val="24"/>
                <w:lang w:val="en-US" w:eastAsia="en-US" w:bidi="ar-SA"/>
              </w:rPr>
              <w:t>Nuclear Firewall, Article 5</w:t>
            </w:r>
          </w:p>
        </w:tc>
      </w:tr>
      <w:tr>
        <w:tc>
          <w:tcPr>
            <w:tcW w:w="1980" w:type="dxa"/>
          </w:tcPr>
          <w:p>
            <w:pPr>
              <w:pStyle w:val="Compact"/>
              <w:jc w:val="left"/>
            </w:pPr>
            <w:r>
              <w:rPr>
                <w:sz w:val="24"/>
                <w:szCs w:val="24"/>
                <w:lang w:val="en-US" w:eastAsia="en-US" w:bidi="ar-SA"/>
              </w:rPr>
              <w:t>RL-16</w:t>
            </w:r>
          </w:p>
        </w:tc>
        <w:tc>
          <w:tcPr>
            <w:tcW w:w="1980" w:type="dxa"/>
          </w:tcPr>
          <w:p>
            <w:pPr>
              <w:pStyle w:val="Compact"/>
              <w:jc w:val="left"/>
            </w:pPr>
            <w:r>
              <w:rPr>
                <w:sz w:val="24"/>
                <w:szCs w:val="24"/>
                <w:lang w:val="en-US" w:eastAsia="en-US" w:bidi="ar-SA"/>
              </w:rPr>
              <w:t>No commercial vessel faces exclusion by reason of flag or nationality</w:t>
            </w:r>
          </w:p>
        </w:tc>
        <w:tc>
          <w:tcPr>
            <w:tcW w:w="1980" w:type="dxa"/>
          </w:tcPr>
          <w:p>
            <w:pPr>
              <w:pStyle w:val="Compact"/>
              <w:jc w:val="left"/>
            </w:pPr>
            <w:r>
              <w:rPr>
                <w:sz w:val="24"/>
                <w:szCs w:val="24"/>
                <w:lang w:val="en-US" w:eastAsia="en-US" w:bidi="ar-SA"/>
              </w:rPr>
              <w:t>Non-discrimination; customary transit norms</w:t>
            </w:r>
          </w:p>
        </w:tc>
        <w:tc>
          <w:tcPr>
            <w:tcW w:w="1980" w:type="dxa"/>
          </w:tcPr>
          <w:p>
            <w:pPr>
              <w:pStyle w:val="Compact"/>
              <w:jc w:val="left"/>
            </w:pPr>
            <w:r>
              <w:rPr>
                <w:sz w:val="24"/>
                <w:szCs w:val="24"/>
                <w:lang w:val="en-US" w:eastAsia="en-US" w:bidi="ar-SA"/>
              </w:rPr>
              <w:t>No-Blacklist Rule, Article 25.4; equal-treatment audit, Article 26.4</w:t>
            </w:r>
          </w:p>
        </w:tc>
      </w:tr>
      <w:tr>
        <w:tc>
          <w:tcPr>
            <w:tcW w:w="1980" w:type="dxa"/>
          </w:tcPr>
          <w:p>
            <w:pPr>
              <w:pStyle w:val="Compact"/>
              <w:jc w:val="left"/>
            </w:pPr>
            <w:r>
              <w:rPr>
                <w:sz w:val="24"/>
                <w:szCs w:val="24"/>
                <w:lang w:val="en-US" w:eastAsia="en-US" w:bidi="ar-SA"/>
              </w:rPr>
              <w:t>RL-17</w:t>
            </w:r>
          </w:p>
        </w:tc>
        <w:tc>
          <w:tcPr>
            <w:tcW w:w="1980" w:type="dxa"/>
          </w:tcPr>
          <w:p>
            <w:pPr>
              <w:pStyle w:val="Compact"/>
              <w:jc w:val="left"/>
            </w:pPr>
            <w:r>
              <w:rPr>
                <w:sz w:val="24"/>
                <w:szCs w:val="24"/>
                <w:lang w:val="en-US" w:eastAsia="en-US" w:bidi="ar-SA"/>
              </w:rPr>
              <w:t>Every step-back carries a defined, automatic earn-back path</w:t>
            </w:r>
          </w:p>
        </w:tc>
        <w:tc>
          <w:tcPr>
            <w:tcW w:w="1980" w:type="dxa"/>
          </w:tcPr>
          <w:p>
            <w:pPr>
              <w:pStyle w:val="Compact"/>
              <w:jc w:val="left"/>
            </w:pPr>
            <w:r>
              <w:rPr>
                <w:sz w:val="24"/>
                <w:szCs w:val="24"/>
                <w:lang w:val="en-US" w:eastAsia="en-US" w:bidi="ar-SA"/>
              </w:rPr>
              <w:t>Fairness; recoverability after incidents</w:t>
            </w:r>
          </w:p>
        </w:tc>
        <w:tc>
          <w:tcPr>
            <w:tcW w:w="1980" w:type="dxa"/>
          </w:tcPr>
          <w:p>
            <w:pPr>
              <w:pStyle w:val="Compact"/>
              <w:jc w:val="left"/>
            </w:pPr>
            <w:r>
              <w:rPr>
                <w:sz w:val="24"/>
                <w:szCs w:val="24"/>
                <w:lang w:val="en-US" w:eastAsia="en-US" w:bidi="ar-SA"/>
              </w:rPr>
              <w:t>Article 45.3; Annex E schedule</w:t>
            </w:r>
          </w:p>
        </w:tc>
      </w:tr>
      <w:tr>
        <w:tc>
          <w:tcPr>
            <w:tcW w:w="1980" w:type="dxa"/>
          </w:tcPr>
          <w:p>
            <w:pPr>
              <w:pStyle w:val="Compact"/>
              <w:jc w:val="left"/>
            </w:pPr>
            <w:r>
              <w:rPr>
                <w:sz w:val="24"/>
                <w:szCs w:val="24"/>
                <w:lang w:val="en-US" w:eastAsia="en-US" w:bidi="ar-SA"/>
              </w:rPr>
              <w:t>RL-18</w:t>
            </w:r>
          </w:p>
        </w:tc>
        <w:tc>
          <w:tcPr>
            <w:tcW w:w="1980" w:type="dxa"/>
          </w:tcPr>
          <w:p>
            <w:pPr>
              <w:pStyle w:val="Compact"/>
              <w:jc w:val="left"/>
            </w:pPr>
            <w:r>
              <w:rPr>
                <w:sz w:val="24"/>
                <w:szCs w:val="24"/>
                <w:lang w:val="en-US" w:eastAsia="en-US" w:bidi="ar-SA"/>
              </w:rPr>
              <w:t>Every gate certifies by measurement, never by political decision</w:t>
            </w:r>
          </w:p>
        </w:tc>
        <w:tc>
          <w:tcPr>
            <w:tcW w:w="1980" w:type="dxa"/>
          </w:tcPr>
          <w:p>
            <w:pPr>
              <w:pStyle w:val="Compact"/>
              <w:jc w:val="left"/>
            </w:pPr>
            <w:r>
              <w:rPr>
                <w:sz w:val="24"/>
                <w:szCs w:val="24"/>
                <w:lang w:val="en-US" w:eastAsia="en-US" w:bidi="ar-SA"/>
              </w:rPr>
              <w:t>Objectivity; protection from deadlock</w:t>
            </w:r>
          </w:p>
        </w:tc>
        <w:tc>
          <w:tcPr>
            <w:tcW w:w="1980" w:type="dxa"/>
          </w:tcPr>
          <w:p>
            <w:pPr>
              <w:pStyle w:val="Compact"/>
              <w:jc w:val="left"/>
            </w:pPr>
            <w:r>
              <w:rPr>
                <w:sz w:val="24"/>
                <w:szCs w:val="24"/>
                <w:lang w:val="en-US" w:eastAsia="en-US" w:bidi="ar-SA"/>
              </w:rPr>
              <w:t>Automatic certification, Article 7.3; published metrics, Annex J</w:t>
            </w:r>
          </w:p>
        </w:tc>
      </w:tr>
    </w:tbl>
    <w:bookmarkEnd w:id="384"/>
    <w:bookmarkStart w:id="393" w:name="X4faaed806230b7418b50c3af8cc11614f637672"/>
    <w:p>
      <w:pPr>
        <w:pStyle w:val="Heading1"/>
      </w:pPr>
      <w:r>
        <w:rPr>
          <w:lang w:val="en-US" w:eastAsia="en-US" w:bidi="ar-SA"/>
          <w:rFonts w:asciiTheme="majorHAnsi" w:cstheme="majorBidi" w:eastAsiaTheme="majorEastAsia" w:hAnsiTheme="majorHAnsi"/>
          <w:b/>
          <w:color w:themeColor="accent1"/>
          <w:sz w:val="32"/>
          <w:szCs w:val="32"/>
        </w:rPr>
        <w:t>ANNEX H: MINE REMOVAL TASKFORCE CHARTER (MRT-H)</w:t>
      </w:r>
    </w:p>
    <w:bookmarkStart w:id="385" w:name="h.1-establishment-and-mandate"/>
    <w:p>
      <w:pPr>
        <w:pStyle w:val="Heading2"/>
      </w:pPr>
      <w:r>
        <w:rPr>
          <w:lang w:val="en-US" w:eastAsia="en-US" w:bidi="ar-SA"/>
          <w:rFonts w:asciiTheme="majorHAnsi" w:cstheme="majorBidi" w:eastAsiaTheme="majorEastAsia" w:hAnsiTheme="majorHAnsi"/>
          <w:b/>
          <w:color w:themeColor="accent1"/>
          <w:sz w:val="28"/>
          <w:szCs w:val="28"/>
        </w:rPr>
        <w:t>H.1 Establishment and Mandate</w:t>
      </w:r>
    </w:p>
    <w:p>
      <w:pPr>
        <w:pStyle w:val="FirstParagraph"/>
      </w:pPr>
      <w:r>
        <w:rPr>
          <w:sz w:val="24"/>
          <w:szCs w:val="24"/>
          <w:lang w:val="en-US" w:eastAsia="en-US" w:bidi="ar-SA"/>
        </w:rPr>
        <w:t>The Mine Removal Taskforce for the Strait of Hormuz operates as the standing mine-hazard survey, clearance, and certification body of the Accord. MRT-H activates at Layer 2 opening under Article 30 and continues until the Neutral Keel Office verifies full clearance of all designated lanes, and thereafter on the rolling re-survey cycle of Article 30.3. MRT-H functions as a civilian-led, multilateral, neutral, and non-kinetic architecture. It governs: hazard survey; mine-like contact identification; disposal of confirmed mines; clearance of transit lanes; hydrographic charting; certification of safe routes; and publication of mine-related bulletins. The framework excludes from MRT-H: any kinetic action, any offensive posture, any activity outside mine countermeasures, and any data flow inconsistent with Article 19.</w:t>
      </w:r>
    </w:p>
    <w:bookmarkEnd w:id="385"/>
    <w:bookmarkStart w:id="386" w:name="h.2-structure"/>
    <w:p>
      <w:pPr>
        <w:pStyle w:val="Heading2"/>
      </w:pPr>
      <w:r>
        <w:rPr>
          <w:lang w:val="en-US" w:eastAsia="en-US" w:bidi="ar-SA"/>
          <w:rFonts w:asciiTheme="majorHAnsi" w:cstheme="majorBidi" w:eastAsiaTheme="majorEastAsia" w:hAnsiTheme="majorHAnsi"/>
          <w:b/>
          <w:color w:themeColor="accent1"/>
          <w:sz w:val="28"/>
          <w:szCs w:val="28"/>
        </w:rPr>
        <w:t>H.2 Structure</w:t>
      </w:r>
    </w:p>
    <w:p>
      <w:pPr>
        <w:pStyle w:val="FirstParagraph"/>
      </w:pPr>
      <w:r>
        <w:rPr>
          <w:sz w:val="24"/>
          <w:szCs w:val="24"/>
          <w:lang w:val="en-US" w:eastAsia="en-US" w:bidi="ar-SA"/>
        </w:rPr>
        <w:t>MRT-H comprises four pillars. The Mine Countermeasures Group conducts minehunting, sweeping, disposal, and lane clearance with specialized vessels, unmanned surface and underwater vehicles, explosive-ordnance teams, and hydrographic survey units, under civilian operational direction. The Operations Cell at the Center plans, sequences, and deconflicts all mine operations, maintains the operational picture, issues mine bulletins, and manages traffic around clearance zones; its duty officer pair rotates annually between the two largest littoral contributors to the Transit Services Fund. The Neutral Keel Office Verification Team certifies every cleared lane under the Convergence Standard, verifies disposal events, and publishes Safe Route Certifications, seating IMO and IHO technical observers as standing participants. The Assurance Board (the Council, the Neutral Administrator, and the Guarantor Panel) holds the political mandate, reviews disputes, and interfaces with user states and insurers.</w:t>
      </w:r>
    </w:p>
    <w:bookmarkEnd w:id="386"/>
    <w:bookmarkStart w:id="387" w:name="h.3-participation"/>
    <w:p>
      <w:pPr>
        <w:pStyle w:val="Heading2"/>
      </w:pPr>
      <w:r>
        <w:rPr>
          <w:lang w:val="en-US" w:eastAsia="en-US" w:bidi="ar-SA"/>
          <w:rFonts w:asciiTheme="majorHAnsi" w:cstheme="majorBidi" w:eastAsiaTheme="majorEastAsia" w:hAnsiTheme="majorHAnsi"/>
          <w:b/>
          <w:color w:themeColor="accent1"/>
          <w:sz w:val="28"/>
          <w:szCs w:val="28"/>
        </w:rPr>
        <w:t>H.3 Participation</w:t>
      </w:r>
    </w:p>
    <w:p>
      <w:pPr>
        <w:pStyle w:val="FirstParagraph"/>
      </w:pPr>
      <w:r>
        <w:rPr>
          <w:sz w:val="24"/>
          <w:szCs w:val="24"/>
          <w:lang w:val="en-US" w:eastAsia="en-US" w:bidi="ar-SA"/>
        </w:rPr>
        <w:t>Iran surveys and clears the northern sectors, contributes coastal mine-countermeasure units and hydrographic data, and stages at Bandar Abbas. Oman surveys and clears the southern sectors, contributes mine-countermeasure vessels and SAR integration, and stages at Muscat, Sohar, and Duqm. The United Arab Emirates, upon accession, contributes vessels, unmanned vehicles, survey teams, and logistics at Fujairah and Jebel Ali. Saudi Arabia, Qatar, Bahrain, Kuwait, and Iraq accede to contribute units, funding, liaison officers, and regional legitimacy per their instruments. The Swiss Confederation administers finances and contracts commercial providers. The International Maritime Organization certifies technical compliance; the International Hydrographic Organization governs charting. Invited neutral mine-capable states (among them Japan, Norway, the Netherlands, the United Kingdom, France, and India) contribute high-end assets strictly non-kinetic, civilian-directed, and time-bounded. P&amp;I clubs, insurers, shipping associations, and tanker and LNG operators advise on data requirements for premium normalization, without operational roles.</w:t>
      </w:r>
    </w:p>
    <w:bookmarkEnd w:id="387"/>
    <w:bookmarkStart w:id="388" w:name="h.4-operating-sequence"/>
    <w:p>
      <w:pPr>
        <w:pStyle w:val="Heading2"/>
      </w:pPr>
      <w:r>
        <w:rPr>
          <w:lang w:val="en-US" w:eastAsia="en-US" w:bidi="ar-SA"/>
          <w:rFonts w:asciiTheme="majorHAnsi" w:cstheme="majorBidi" w:eastAsiaTheme="majorEastAsia" w:hAnsiTheme="majorHAnsi"/>
          <w:b/>
          <w:color w:themeColor="accent1"/>
          <w:sz w:val="28"/>
          <w:szCs w:val="28"/>
        </w:rPr>
        <w:t>H.4 Operating Sequence</w:t>
      </w:r>
    </w:p>
    <w:p>
      <w:pPr>
        <w:pStyle w:val="FirstParagraph"/>
      </w:pPr>
      <w:r>
        <w:rPr>
          <w:sz w:val="24"/>
          <w:szCs w:val="24"/>
          <w:lang w:val="en-US" w:eastAsia="en-US" w:bidi="ar-SA"/>
        </w:rPr>
        <w:t>Phase one, hazard declaration: the Operations Cell issues the Mine Hazard Area notice for the Governance Area; transit restricts to the corridors and the Interim Middle Route. Phase two, survey and identification: systematic sonar sweeps, unmanned-vehicle runs, and diver inspection along the survey-sector grid, with the Central Deconfliction Band first under the thirty-day commitment of Article 30.2; every mine-like contact marks and publishes immediately. Phase three, clearance and disposal: confirmed mines neutralize by explosive-ordnance teams; cleared lanes reopen sequentially. Phase four, verification and certification: the Neutral Keel Office verifies each lane under the Convergence Standard; IMO and IHO observers certify technical compliance; Safe Route Certifications publish with coordinates, depths, and residual-risk levels. Phase five, normalization: cleared lanes become standard corridors; charts update under IHO standards; insurance markets normalize on the published record.</w:t>
      </w:r>
    </w:p>
    <w:bookmarkEnd w:id="388"/>
    <w:bookmarkStart w:id="389" w:name="h.5-operating-principles"/>
    <w:p>
      <w:pPr>
        <w:pStyle w:val="Heading2"/>
      </w:pPr>
      <w:r>
        <w:rPr>
          <w:lang w:val="en-US" w:eastAsia="en-US" w:bidi="ar-SA"/>
          <w:rFonts w:asciiTheme="majorHAnsi" w:cstheme="majorBidi" w:eastAsiaTheme="majorEastAsia" w:hAnsiTheme="majorHAnsi"/>
          <w:b/>
          <w:color w:themeColor="accent1"/>
          <w:sz w:val="28"/>
          <w:szCs w:val="28"/>
        </w:rPr>
        <w:t>H.5 Operating Principles</w:t>
      </w:r>
    </w:p>
    <w:p>
      <w:pPr>
        <w:pStyle w:val="FirstParagraph"/>
      </w:pPr>
      <w:r>
        <w:rPr>
          <w:sz w:val="24"/>
          <w:szCs w:val="24"/>
          <w:lang w:val="en-US" w:eastAsia="en-US" w:bidi="ar-SA"/>
        </w:rPr>
        <w:t>Civilian lead: all operational direction is civilian; military units act only in mine-countermeasure roles. Neutrality: all verification is independent; all certifications are public. Transparency: every mine-related bulletin publishes to all Parties and user states simultaneously. Symmetry: Iran, Oman, and the UAE hold visible, balanced roles. Non-kinetic: no MRT-H asset supports offensive operations. Continuity: clearance continues through every dispute under H.6.</w:t>
      </w:r>
    </w:p>
    <w:bookmarkEnd w:id="389"/>
    <w:bookmarkStart w:id="390" w:name="h.6-the-silence-clause"/>
    <w:p>
      <w:pPr>
        <w:pStyle w:val="Heading2"/>
      </w:pPr>
      <w:r>
        <w:rPr>
          <w:lang w:val="en-US" w:eastAsia="en-US" w:bidi="ar-SA"/>
          <w:rFonts w:asciiTheme="majorHAnsi" w:cstheme="majorBidi" w:eastAsiaTheme="majorEastAsia" w:hAnsiTheme="majorHAnsi"/>
          <w:b/>
          <w:color w:themeColor="accent1"/>
          <w:sz w:val="28"/>
          <w:szCs w:val="28"/>
        </w:rPr>
        <w:t>H.6 The Silence Clause</w:t>
      </w:r>
    </w:p>
    <w:p>
      <w:pPr>
        <w:pStyle w:val="FirstParagraph"/>
      </w:pPr>
      <w:r>
        <w:rPr>
          <w:sz w:val="24"/>
          <w:szCs w:val="24"/>
          <w:lang w:val="en-US" w:eastAsia="en-US" w:bidi="ar-SA"/>
        </w:rPr>
        <w:t>Mine-clearance operations continue through every dispute, pause, suspension, and escalation. No Party, institution, or event interrupts the taskforce’s work; its survey vessels operate under the framework’s protection in every flow state, and the framework excludes every interference with them.</w:t>
      </w:r>
    </w:p>
    <w:bookmarkEnd w:id="390"/>
    <w:bookmarkStart w:id="391" w:name="h.7-sar-integration"/>
    <w:p>
      <w:pPr>
        <w:pStyle w:val="Heading2"/>
      </w:pPr>
      <w:r>
        <w:rPr>
          <w:lang w:val="en-US" w:eastAsia="en-US" w:bidi="ar-SA"/>
          <w:rFonts w:asciiTheme="majorHAnsi" w:cstheme="majorBidi" w:eastAsiaTheme="majorEastAsia" w:hAnsiTheme="majorHAnsi"/>
          <w:b/>
          <w:color w:themeColor="accent1"/>
          <w:sz w:val="28"/>
          <w:szCs w:val="28"/>
        </w:rPr>
        <w:t>H.7 SAR Integration</w:t>
      </w:r>
    </w:p>
    <w:p>
      <w:pPr>
        <w:pStyle w:val="FirstParagraph"/>
      </w:pPr>
      <w:r>
        <w:rPr>
          <w:sz w:val="24"/>
          <w:szCs w:val="24"/>
          <w:lang w:val="en-US" w:eastAsia="en-US" w:bidi="ar-SA"/>
        </w:rPr>
        <w:t>The taskforce’s vessels integrate with the SAR framework of Article 29.7 as secondary response assets, and their operational picture feeds the Joint Visibility System under the custody rules of Article 19.</w:t>
      </w:r>
    </w:p>
    <w:bookmarkEnd w:id="391"/>
    <w:bookmarkStart w:id="392" w:name="h.8-funding-and-reporting"/>
    <w:p>
      <w:pPr>
        <w:pStyle w:val="Heading2"/>
      </w:pPr>
      <w:r>
        <w:rPr>
          <w:lang w:val="en-US" w:eastAsia="en-US" w:bidi="ar-SA"/>
          <w:rFonts w:asciiTheme="majorHAnsi" w:cstheme="majorBidi" w:eastAsiaTheme="majorEastAsia" w:hAnsiTheme="majorHAnsi"/>
          <w:b/>
          <w:color w:themeColor="accent1"/>
          <w:sz w:val="28"/>
          <w:szCs w:val="28"/>
        </w:rPr>
        <w:t>H.8 Funding and Reporting</w:t>
      </w:r>
    </w:p>
    <w:p>
      <w:pPr>
        <w:pStyle w:val="FirstParagraph"/>
      </w:pPr>
      <w:r>
        <w:rPr>
          <w:sz w:val="24"/>
          <w:szCs w:val="24"/>
          <w:lang w:val="en-US" w:eastAsia="en-US" w:bidi="ar-SA"/>
        </w:rPr>
        <w:t>The Transit Services Fund finances MRT-H under Annex F; the Sanctions-Compliance Firewall governs every flow. The Operations Cell publishes Mine Hazard Bulletins, Clearance Progress Reports, and Safe Route Certifications; the Neutral Keel Office publishes verification records, disposal logs, convergent evidence summaries, and certification decisions; and the Bulletin carries an annual State of the Strait mine-safety chapter.</w:t>
      </w:r>
    </w:p>
    <w:bookmarkEnd w:id="392"/>
    <w:bookmarkEnd w:id="393"/>
    <w:bookmarkStart w:id="399" w:name="X815c82f0c918d4695cf961f137b50074d0e38f5"/>
    <w:p>
      <w:pPr>
        <w:pStyle w:val="Heading1"/>
      </w:pPr>
      <w:r>
        <w:t xml:space="preserve">ANNEX I: SPEED-CRAFT BEHAVIORAL NORMS AND THE LEAD-ESCORT STANDARD OPERATING PROCEDURE</w:t>
      </w:r>
    </w:p>
    <w:bookmarkStart w:id="394" w:name="i.1-purpose"/>
    <w:p>
      <w:pPr>
        <w:pStyle w:val="Heading2"/>
      </w:pPr>
      <w:r>
        <w:t xml:space="preserve">I.1 Purpose</w:t>
      </w:r>
    </w:p>
    <w:p>
      <w:pPr>
        <w:pStyle w:val="FirstParagraph"/>
      </w:pPr>
      <w:r>
        <w:t xml:space="preserve">Speed craft are the highest-risk escalation vector in the strait outside of unmanned systems: commercial vessels misread close approaches as hostile, and naval forces misread swarm behavior as attack preparation. This Annex binds every speed craft of every Party inside the Governance Area to safety-framed, non-political behavioral norms that limit no state’s sovereignty and confer no authority on any foreign force.</w:t>
      </w:r>
    </w:p>
    <w:bookmarkEnd w:id="394"/>
    <w:bookmarkStart w:id="395" w:name="i.2-the-norms"/>
    <w:p>
      <w:pPr>
        <w:pStyle w:val="Heading2"/>
      </w:pPr>
      <w:r>
        <w:t xml:space="preserve">I.2 The Norms</w:t>
      </w:r>
    </w:p>
    <w:p>
      <w:pPr>
        <w:pStyle w:val="FirstParagraph"/>
      </w:pPr>
      <w:r>
        <w:t xml:space="preserve">Norm one, minimum distance: speed craft maintain 1,000 meters lateral distance from any commercial vessel except during search-and-rescue, escort under this Annex, or a lawful act of the coastal state at anchorage under Article 27.3. Norm two, identification: speed craft display visible hull numbers and navigation lights at all times when underway inside the Governance Area. Norm three, approach geometry: approaches run parallel, never intercept-angle, except during SAR or pre-notified escort. Norm four, notification: any approach inside 1,000 meters triggers an automatic hotline notification to the liaison group. Norm five, swarm behavior: multi-vessel close approaches are prohibited except during SAR, escort under this Annex, or operations pre-notified to the watch floors 24 hours in advance. Norm six, unmanned coordination: unmanned systems accompanying speed craft follow the pre-declared corridors and altitude bands of I.5.</w:t>
      </w:r>
    </w:p>
    <w:bookmarkEnd w:id="395"/>
    <w:bookmarkStart w:id="396" w:name="i.3-classification-and-review"/>
    <w:p>
      <w:pPr>
        <w:pStyle w:val="Heading2"/>
      </w:pPr>
      <w:r>
        <w:t xml:space="preserve">I.3 Classification and Review</w:t>
      </w:r>
    </w:p>
    <w:p>
      <w:pPr>
        <w:pStyle w:val="FirstParagraph"/>
      </w:pPr>
      <w:r>
        <w:t xml:space="preserve">A deviation from these norms classifies under Annex E (E-1 for a single inadvertent deviation corrected on hail; E-2 for a pattern; E-3 for a close approach with contact or threat display). The Data Quality Desk reviews every deviation from the Exchange record and publishes its classification.</w:t>
      </w:r>
    </w:p>
    <w:bookmarkEnd w:id="396"/>
    <w:bookmarkStart w:id="397" w:name="X64c5cd9a6ea4d29c6e74523499438e993317600"/>
    <w:p>
      <w:pPr>
        <w:pStyle w:val="Heading2"/>
      </w:pPr>
      <w:r>
        <w:t xml:space="preserve">I.4 Lead-Escort Standard Operating Procedure (Safety-Only Role)</w:t>
      </w:r>
    </w:p>
    <w:p>
      <w:pPr>
        <w:pStyle w:val="FirstParagraph"/>
      </w:pPr>
      <w:r>
        <w:rPr>
          <w:bCs/>
          <w:b/>
        </w:rPr>
        <w:t xml:space="preserve">I.4.1 Mission definition.</w:t>
      </w:r>
      <w:r>
        <w:t xml:space="preserve"> </w:t>
      </w:r>
      <w:r>
        <w:t xml:space="preserve">Lead escort craft operate ahead of merchant vessels transiting the corridors. Their mission is hazard detection, situational awareness, and forward-cone scanning. They do not stop, board, redirect, or interrogate any vessel. They maintain forward standoff geometry at all times.</w:t>
      </w:r>
    </w:p>
    <w:p>
      <w:pPr>
        <w:pStyle w:val="BodyText"/>
      </w:pPr>
      <w:r>
        <w:rPr>
          <w:bCs/>
          <w:b/>
        </w:rPr>
        <w:t xml:space="preserve">I.4.2 Activation criteria.</w:t>
      </w:r>
      <w:r>
        <w:t xml:space="preserve"> </w:t>
      </w:r>
      <w:r>
        <w:t xml:space="preserve">Lead-escort deployment occurs only when: a vessel files a Transit Notice or requests escort through its agent; the corridor assignment is confirmed; weather and visibility meet minimum safety thresholds (visibility above 1,000 meters, sea state below 5); no enforcement or inspection activity is underway in the vicinity; and escort craft are available and cleared for safety duty.</w:t>
      </w:r>
    </w:p>
    <w:p>
      <w:pPr>
        <w:pStyle w:val="FirstParagraph"/>
      </w:pPr>
      <w:r>
        <w:rPr>
          <w:b/>
          <w:sz w:val="24"/>
          <w:szCs w:val="24"/>
          <w:lang w:val="en-US" w:eastAsia="en-US" w:bidi="ar-SA"/>
        </w:rPr>
        <w:t>I.4.3 Pre-departure checklist.</w:t>
      </w:r>
      <w:r>
        <w:rPr>
          <w:sz w:val="24"/>
          <w:szCs w:val="24"/>
          <w:lang w:val="en-US" w:eastAsia="en-US" w:bidi="ar-SA"/>
        </w:rPr>
        <w:t xml:space="preserve"> Each escort craft completes: AIS activation; VHF 16, 72, and 69 monitoring; fuel and propulsion check; navigation lights check; radar and optical systems check; emergency beacon readiness; crew briefing on non-interdiction rules; and confirmation of standoff geometry parameters.</w:t>
      </w:r>
    </w:p>
    <w:p>
      <w:pPr>
        <w:pStyle w:val="FirstParagraph"/>
      </w:pPr>
      <w:r>
        <w:rPr>
          <w:b/>
          <w:sz w:val="24"/>
          <w:szCs w:val="24"/>
          <w:lang w:val="en-US" w:eastAsia="en-US" w:bidi="ar-SA"/>
        </w:rPr>
        <w:t>I.4.4 Forward-geometry positioning.</w:t>
      </w:r>
      <w:r>
        <w:rPr>
          <w:sz w:val="24"/>
          <w:szCs w:val="24"/>
          <w:lang w:val="en-US" w:eastAsia="en-US" w:bidi="ar-SA"/>
        </w:rPr>
        <w:t xml:space="preserve"> Escort craft maintain: 1 to 2 nautical miles ahead of the escorted vessel; a forward observation cone of 20 to 30 degrees; no lateral encroachment into the vessel’s standoff zone; no approach within 0.5 nautical miles; and no trailing position at any time.</w:t>
      </w:r>
    </w:p>
    <w:p>
      <w:pPr>
        <w:pStyle w:val="FirstParagraph"/>
      </w:pPr>
      <w:r>
        <w:rPr>
          <w:b/>
          <w:sz w:val="24"/>
          <w:szCs w:val="24"/>
          <w:lang w:val="en-US" w:eastAsia="en-US" w:bidi="ar-SA"/>
        </w:rPr>
        <w:t>I.4.5 Communications.</w:t>
      </w:r>
      <w:r>
        <w:rPr>
          <w:sz w:val="24"/>
          <w:szCs w:val="24"/>
          <w:lang w:val="en-US" w:eastAsia="en-US" w:bidi="ar-SA"/>
        </w:rPr>
        <w:t xml:space="preserve"> Escort craft use VHF 16 for emergencies, VHF 69 for escort working traffic, and the floor link for hazard reporting. Escort craft do not issue commands, request course or speed changes, hail vessels for identification, or initiate direct vessel communication except in emergency.</w:t>
      </w:r>
    </w:p>
    <w:p>
      <w:pPr>
        <w:pStyle w:val="FirstParagraph"/>
      </w:pPr>
      <w:r>
        <w:rPr>
          <w:b/>
          <w:sz w:val="24"/>
          <w:szCs w:val="24"/>
          <w:lang w:val="en-US" w:eastAsia="en-US" w:bidi="ar-SA"/>
        </w:rPr>
        <w:t>I.4.6 Hazard detection duties.</w:t>
      </w:r>
      <w:r>
        <w:rPr>
          <w:sz w:val="24"/>
          <w:szCs w:val="24"/>
          <w:lang w:val="en-US" w:eastAsia="en-US" w:bidi="ar-SA"/>
        </w:rPr>
        <w:t xml:space="preserve"> Escort craft scan for: small craft crossing the corridor; unlit or drifting vessels; debris; fishing nets or gear; abnormal AIS behavior; wake interference risks; sudden weather changes; visibility drops; navigation hazards; and any vessel deviating from expected corridor geometry. Hazards report to the watch floor, not directly to the merchant vessel.</w:t>
      </w:r>
    </w:p>
    <w:p>
      <w:pPr>
        <w:pStyle w:val="FirstParagraph"/>
      </w:pPr>
      <w:r>
        <w:rPr>
          <w:b/>
          <w:sz w:val="24"/>
          <w:szCs w:val="24"/>
          <w:lang w:val="en-US" w:eastAsia="en-US" w:bidi="ar-SA"/>
        </w:rPr>
        <w:t>I.4.7 Hazard reporting flow.</w:t>
      </w:r>
      <w:r>
        <w:rPr>
          <w:sz w:val="24"/>
          <w:szCs w:val="24"/>
          <w:lang w:val="en-US" w:eastAsia="en-US" w:bidi="ar-SA"/>
        </w:rPr>
        <w:t xml:space="preserve"> Step one: the escort logs the hazard. Step two: the escort transmits a hazard advisory to the watch floor. Step three: the floor evaluates and determines whether a corridor advisory issues. Step four: the merchant vessel receives the advisory from the floor, never from the escort. Step five: the escort continues forward scanning.</w:t>
      </w:r>
    </w:p>
    <w:p>
      <w:pPr>
        <w:pStyle w:val="FirstParagraph"/>
      </w:pPr>
      <w:r>
        <w:rPr>
          <w:b/>
          <w:sz w:val="24"/>
          <w:szCs w:val="24"/>
          <w:lang w:val="en-US" w:eastAsia="en-US" w:bidi="ar-SA"/>
        </w:rPr>
        <w:t>I.4.8 Handover protocol.</w:t>
      </w:r>
      <w:r>
        <w:rPr>
          <w:sz w:val="24"/>
          <w:szCs w:val="24"/>
          <w:lang w:val="en-US" w:eastAsia="en-US" w:bidi="ar-SA"/>
        </w:rPr>
        <w:t xml:space="preserve"> At corridor transition points H-1 (26° 30.5′ N, 056° 30.0′ E) and H-2 (26° 27.0′ N, 056° 55.0′ E), one administrator’s escort hands off to the other’s. The handover occurs at the published coordinate; both escorts maintain forward geometry throughout; the merchant vessel is never approached; and the floor logs the handover.</w:t>
      </w:r>
    </w:p>
    <w:p>
      <w:pPr>
        <w:pStyle w:val="FirstParagraph"/>
      </w:pPr>
      <w:r>
        <w:rPr>
          <w:b/>
          <w:sz w:val="24"/>
          <w:szCs w:val="24"/>
          <w:lang w:val="en-US" w:eastAsia="en-US" w:bidi="ar-SA"/>
        </w:rPr>
        <w:t>I.4.9 Disengagement.</w:t>
      </w:r>
      <w:r>
        <w:rPr>
          <w:sz w:val="24"/>
          <w:szCs w:val="24"/>
          <w:lang w:val="en-US" w:eastAsia="en-US" w:bidi="ar-SA"/>
        </w:rPr>
        <w:t xml:space="preserve"> Escorts disengage when the vessel exits the corridor, when weather drops below thresholds, when another escort takes over, or when the floor issues a disengagement notice. Disengagement is silent: no hail, no signal, no approach.</w:t>
      </w:r>
    </w:p>
    <w:p>
      <w:pPr>
        <w:pStyle w:val="FirstParagraph"/>
      </w:pPr>
      <w:r>
        <w:rPr>
          <w:b/>
          <w:sz w:val="24"/>
          <w:szCs w:val="24"/>
          <w:lang w:val="en-US" w:eastAsia="en-US" w:bidi="ar-SA"/>
        </w:rPr>
        <w:t>I.4.10 Non-interdiction safeguards.</w:t>
      </w:r>
      <w:r>
        <w:rPr>
          <w:sz w:val="24"/>
          <w:szCs w:val="24"/>
          <w:lang w:val="en-US" w:eastAsia="en-US" w:bidi="ar-SA"/>
        </w:rPr>
        <w:t xml:space="preserve"> Escort craft never stop a vessel, board a vessel, request identification, request course or speed changes, activate enforcement protocols, shadow or flank a vessel, enter a vessel’s standoff zone, or transmit any message implying control or permission. A violation triggers immediate floor review and classification under Annex E.</w:t>
      </w:r>
    </w:p>
    <w:p>
      <w:pPr>
        <w:pStyle w:val="FirstParagraph"/>
      </w:pPr>
      <w:r>
        <w:rPr>
          <w:b/>
          <w:sz w:val="24"/>
          <w:szCs w:val="24"/>
          <w:lang w:val="en-US" w:eastAsia="en-US" w:bidi="ar-SA"/>
        </w:rPr>
        <w:t>I.4.11 Emergency protocol.</w:t>
      </w:r>
      <w:r>
        <w:rPr>
          <w:sz w:val="24"/>
          <w:szCs w:val="24"/>
          <w:lang w:val="en-US" w:eastAsia="en-US" w:bidi="ar-SA"/>
        </w:rPr>
        <w:t xml:space="preserve"> Escort craft break forward geometry only upon: a vessel’s distress call; imminent collision risk; a life-saving intervention; or floor-authorized emergency deviation. Even in emergencies, escort craft do not board, inspect, interrogate, or enforce. Their role remains safety-only.</w:t>
      </w:r>
    </w:p>
    <w:p>
      <w:pPr>
        <w:pStyle w:val="FirstParagraph"/>
      </w:pPr>
      <w:r>
        <w:rPr>
          <w:b/>
          <w:sz w:val="24"/>
          <w:szCs w:val="24"/>
          <w:lang w:val="en-US" w:eastAsia="en-US" w:bidi="ar-SA"/>
        </w:rPr>
        <w:t>I.4.12 Post-transit reporting.</w:t>
      </w:r>
      <w:r>
        <w:rPr>
          <w:sz w:val="24"/>
          <w:szCs w:val="24"/>
          <w:lang w:val="en-US" w:eastAsia="en-US" w:bidi="ar-SA"/>
        </w:rPr>
        <w:t xml:space="preserve"> After disengagement, escort craft file: hazard log, weather log, visibility log, corridor conditions report, deviations from protocol, emergency actions taken, fuel and propulsion status, and crew observations. The floor archives every report for corridor optimization.</w:t>
      </w:r>
    </w:p>
    <w:bookmarkEnd w:id="397"/>
    <w:bookmarkStart w:id="398" w:name="i.5-unmanned-systems-corridors"/>
    <w:p>
      <w:pPr>
        <w:pStyle w:val="Heading2"/>
      </w:pPr>
      <w:r>
        <w:rPr>
          <w:lang w:val="en-US" w:eastAsia="en-US" w:bidi="ar-SA"/>
          <w:rFonts w:asciiTheme="majorHAnsi" w:cstheme="majorBidi" w:eastAsiaTheme="majorEastAsia" w:hAnsiTheme="majorHAnsi"/>
          <w:b/>
          <w:color w:themeColor="accent1"/>
          <w:sz w:val="28"/>
          <w:szCs w:val="28"/>
        </w:rPr>
        <w:t>I.5 Unmanned Systems Corridors</w:t>
      </w:r>
    </w:p>
    <w:p>
      <w:pPr>
        <w:pStyle w:val="FirstParagraph"/>
      </w:pPr>
      <w:r>
        <w:rPr>
          <w:sz w:val="24"/>
          <w:szCs w:val="24"/>
          <w:lang w:val="en-US" w:eastAsia="en-US" w:bidi="ar-SA"/>
        </w:rPr>
        <w:t>Unmanned aerial systems of any Party operate inside the Governance Area only within the pre-declared flight corridors notified to the watch floors 24 hours in advance, at altitudes above 500 feet and lateral distances of not less than 2.0 nautical miles from any commercial vessel, with transponder or electronic visibility active. The framework excludes armed unmanned-system operation inside the Governance Area absolutely, and classifies any violation as E-4.</w:t>
      </w:r>
    </w:p>
    <w:bookmarkEnd w:id="398"/>
    <w:bookmarkEnd w:id="399"/>
    <w:bookmarkStart w:id="405" w:name="Xfe1f62ac35db5032c05c8e2dee0e0ad4ff4aa6c"/>
    <w:p>
      <w:pPr>
        <w:pStyle w:val="Heading1"/>
      </w:pPr>
      <w:r>
        <w:rPr>
          <w:lang w:val="en-US" w:eastAsia="en-US" w:bidi="ar-SA"/>
          <w:rFonts w:asciiTheme="majorHAnsi" w:cstheme="majorBidi" w:eastAsiaTheme="majorEastAsia" w:hAnsiTheme="majorHAnsi"/>
          <w:b/>
          <w:color w:themeColor="accent1"/>
          <w:sz w:val="32"/>
          <w:szCs w:val="32"/>
        </w:rPr>
        <w:t>ANNEX J: STABILITY AUDIT METRICS AND GATE CHECKLISTS</w:t>
      </w:r>
    </w:p>
    <w:bookmarkStart w:id="400" w:name="j.1-the-audit-method"/>
    <w:p>
      <w:pPr>
        <w:pStyle w:val="Heading2"/>
      </w:pPr>
      <w:r>
        <w:rPr>
          <w:lang w:val="en-US" w:eastAsia="en-US" w:bidi="ar-SA"/>
          <w:rFonts w:asciiTheme="majorHAnsi" w:cstheme="majorBidi" w:eastAsiaTheme="majorEastAsia" w:hAnsiTheme="majorHAnsi"/>
          <w:b/>
          <w:color w:themeColor="accent1"/>
          <w:sz w:val="28"/>
          <w:szCs w:val="28"/>
        </w:rPr>
        <w:t>J.1 The Audit Method</w:t>
      </w:r>
    </w:p>
    <w:p>
      <w:pPr>
        <w:pStyle w:val="FirstParagraph"/>
      </w:pPr>
      <w:r>
        <w:rPr>
          <w:sz w:val="24"/>
          <w:szCs w:val="24"/>
          <w:lang w:val="en-US" w:eastAsia="en-US" w:bidi="ar-SA"/>
        </w:rPr>
        <w:t>Every gate audit follows the same six-step method: the Neutral Watch Office extracts the metric record from the Exchange and the Reciprocity Ledger; verifies completeness; computes each metric against its threshold; applies the Human Anchor Method to sampled events; issues the determination with the full record; and publishes the certificate or the failure notice with the factual gap.</w:t>
      </w:r>
    </w:p>
    <w:bookmarkEnd w:id="400"/>
    <w:bookmarkStart w:id="401" w:name="Xfb72ff2d89058403c581e257b3cd2a144696efc"/>
    <w:p>
      <w:pPr>
        <w:pStyle w:val="Heading2"/>
      </w:pPr>
      <w:r>
        <w:rPr>
          <w:lang w:val="en-US" w:eastAsia="en-US" w:bidi="ar-SA"/>
          <w:rFonts w:asciiTheme="majorHAnsi" w:cstheme="majorBidi" w:eastAsiaTheme="majorEastAsia" w:hAnsiTheme="majorHAnsi"/>
          <w:b/>
          <w:color w:themeColor="accent1"/>
          <w:sz w:val="28"/>
          <w:szCs w:val="28"/>
        </w:rPr>
        <w:t>J.2 FLOW-AMBER Objective Triggers (Article 24.2)</w:t>
      </w:r>
    </w:p>
    <w:p>
      <w:pPr>
        <w:pStyle w:val="FirstParagraph"/>
      </w:pPr>
      <w:r>
        <w:rPr>
          <w:sz w:val="24"/>
          <w:szCs w:val="24"/>
          <w:lang w:val="en-US" w:eastAsia="en-US" w:bidi="ar-SA"/>
        </w:rPr>
        <w:t>Any of: wind at or above 34 knots sustained; visibility below 1,000 meters; swell at or above 3.0 meters in a corridor sector; traffic density above 12 vessels per corridor hour; active survey operations in an adjacent sector; or a Level-2 incident open in the corridor.</w:t>
      </w:r>
    </w:p>
    <w:bookmarkEnd w:id="401"/>
    <w:bookmarkStart w:id="402" w:name="j.3-gate-checklists"/>
    <w:p>
      <w:pPr>
        <w:pStyle w:val="Heading2"/>
      </w:pPr>
      <w:r>
        <w:rPr>
          <w:lang w:val="en-US" w:eastAsia="en-US" w:bidi="ar-SA"/>
          <w:rFonts w:asciiTheme="majorHAnsi" w:cstheme="majorBidi" w:eastAsiaTheme="majorEastAsia" w:hAnsiTheme="majorHAnsi"/>
          <w:b/>
          <w:color w:themeColor="accent1"/>
          <w:sz w:val="28"/>
          <w:szCs w:val="28"/>
        </w:rPr>
        <w:t>J.3 Gate Checklists</w:t>
      </w:r>
    </w:p>
    <w:p>
      <w:pPr>
        <w:pStyle w:val="FirstParagraph"/>
      </w:pPr>
      <w:r>
        <w:rPr>
          <w:b/>
          <w:sz w:val="24"/>
          <w:szCs w:val="24"/>
          <w:lang w:val="en-US" w:eastAsia="en-US" w:bidi="ar-SA"/>
        </w:rPr>
        <w:t>G-0 checklist:</w:t>
      </w:r>
      <w:r>
        <w:rPr>
          <w:sz w:val="24"/>
          <w:szCs w:val="24"/>
          <w:lang w:val="en-US" w:eastAsia="en-US" w:bidi="ar-SA"/>
        </w:rPr>
        <w:t xml:space="preserve"> 30 consecutive days of lattice operation; at least 40 of 50 exercises activated; zero unresolved Level-2 incidents; Lattice Cell recommendation recorded; Exercise Logbook complete and paired.</w:t>
      </w:r>
    </w:p>
    <w:p>
      <w:pPr>
        <w:pStyle w:val="FirstParagraph"/>
      </w:pPr>
      <w:r>
        <w:rPr>
          <w:b/>
          <w:sz w:val="24"/>
          <w:szCs w:val="24"/>
          <w:lang w:val="en-US" w:eastAsia="en-US" w:bidi="ar-SA"/>
        </w:rPr>
        <w:t>G-1 checklist:</w:t>
      </w:r>
      <w:r>
        <w:rPr>
          <w:sz w:val="24"/>
          <w:szCs w:val="24"/>
          <w:lang w:val="en-US" w:eastAsia="en-US" w:bidi="ar-SA"/>
        </w:rPr>
        <w:t xml:space="preserve"> 21 consecutive days of Exchange operation; parity at 99.5 percent of checksums or better; zero substantiated custody breaches; Bulletin publishing daily; Data Quality Desk notes on record.</w:t>
      </w:r>
    </w:p>
    <w:p>
      <w:pPr>
        <w:pStyle w:val="FirstParagraph"/>
      </w:pPr>
      <w:r>
        <w:rPr>
          <w:b/>
          <w:sz w:val="24"/>
          <w:szCs w:val="24"/>
          <w:lang w:val="en-US" w:eastAsia="en-US" w:bidi="ar-SA"/>
        </w:rPr>
        <w:t>G-2 checklist:</w:t>
      </w:r>
      <w:r>
        <w:rPr>
          <w:sz w:val="24"/>
          <w:szCs w:val="24"/>
          <w:lang w:val="en-US" w:eastAsia="en-US" w:bidi="ar-SA"/>
        </w:rPr>
        <w:t xml:space="preserve"> 28 consecutive days of corridor operation; at least 100 certified transits; zero interdiction events; interim-route mine-clearance certificate issued; service standards at 95 percent; equal-treatment audit within tolerance.</w:t>
      </w:r>
    </w:p>
    <w:p>
      <w:pPr>
        <w:pStyle w:val="FirstParagraph"/>
      </w:pPr>
      <w:r>
        <w:rPr>
          <w:b/>
          <w:sz w:val="24"/>
          <w:szCs w:val="24"/>
          <w:lang w:val="en-US" w:eastAsia="en-US" w:bidi="ar-SA"/>
        </w:rPr>
        <w:t>G-3 checklist:</w:t>
      </w:r>
      <w:r>
        <w:rPr>
          <w:sz w:val="24"/>
          <w:szCs w:val="24"/>
          <w:lang w:val="en-US" w:eastAsia="en-US" w:bidi="ar-SA"/>
        </w:rPr>
        <w:t xml:space="preserve"> 60 consecutive days of clean escrow reconciliation; zero direct-payment findings; service-to-invoice match at 100 percent; share execution matching the published table; simulation-to-live conversion executed unaltered.</w:t>
      </w:r>
    </w:p>
    <w:p>
      <w:pPr>
        <w:pStyle w:val="FirstParagraph"/>
      </w:pPr>
      <w:r>
        <w:rPr>
          <w:b/>
          <w:sz w:val="24"/>
          <w:szCs w:val="24"/>
          <w:lang w:val="en-US" w:eastAsia="en-US" w:bidi="ar-SA"/>
        </w:rPr>
        <w:t>G-4 checklist:</w:t>
      </w:r>
      <w:r>
        <w:rPr>
          <w:sz w:val="24"/>
          <w:szCs w:val="24"/>
          <w:lang w:val="en-US" w:eastAsia="en-US" w:bidi="ar-SA"/>
        </w:rPr>
        <w:t xml:space="preserve"> Full Unlock held 28 consecutive days; Tribunal seated and caseload current; Mutual Claims Commission seated and docket open; two consecutive clean equal-treatment quarters; Reciprocity Map Layer 4 entries executed.</w:t>
      </w:r>
    </w:p>
    <w:p>
      <w:pPr>
        <w:pStyle w:val="FirstParagraph"/>
      </w:pPr>
      <w:r>
        <w:rPr>
          <w:b/>
          <w:sz w:val="24"/>
          <w:szCs w:val="24"/>
          <w:lang w:val="en-US" w:eastAsia="en-US" w:bidi="ar-SA"/>
        </w:rPr>
        <w:t>G-5 checklist:</w:t>
      </w:r>
      <w:r>
        <w:rPr>
          <w:sz w:val="24"/>
          <w:szCs w:val="24"/>
          <w:lang w:val="en-US" w:eastAsia="en-US" w:bidi="ar-SA"/>
        </w:rPr>
        <w:t xml:space="preserve"> Council conversion resolution adopted; depositary confirmation of all instruments; IMO lodgment complete.</w:t>
      </w:r>
    </w:p>
    <w:bookmarkEnd w:id="402"/>
    <w:bookmarkStart w:id="403" w:name="j.4-the-weekly-review-format-mx-48"/>
    <w:p>
      <w:pPr>
        <w:pStyle w:val="Heading2"/>
      </w:pPr>
      <w:r>
        <w:rPr>
          <w:lang w:val="en-US" w:eastAsia="en-US" w:bidi="ar-SA"/>
          <w:rFonts w:asciiTheme="majorHAnsi" w:cstheme="majorBidi" w:eastAsiaTheme="majorEastAsia" w:hAnsiTheme="majorHAnsi"/>
          <w:b/>
          <w:color w:themeColor="accent1"/>
          <w:sz w:val="28"/>
          <w:szCs w:val="28"/>
        </w:rPr>
        <w:t>J.4 The Weekly Review Format (MX-48)</w:t>
      </w:r>
    </w:p>
    <w:p>
      <w:pPr>
        <w:pStyle w:val="FirstParagraph"/>
      </w:pPr>
      <w:r>
        <w:rPr>
          <w:sz w:val="24"/>
          <w:szCs w:val="24"/>
          <w:lang w:val="en-US" w:eastAsia="en-US" w:bidi="ar-SA"/>
        </w:rPr>
        <w:t>The standing review format carries five fields: what functioned; what failed; what each Party experienced; what the data shows; and what the Cell recommends. One page, every week, on the record.</w:t>
      </w:r>
    </w:p>
    <w:bookmarkEnd w:id="403"/>
    <w:bookmarkStart w:id="404" w:name="Xb035a7d1a64816334d8d092382d15b46331196b"/>
    <w:p>
      <w:pPr>
        <w:pStyle w:val="Heading2"/>
      </w:pPr>
      <w:r>
        <w:rPr>
          <w:lang w:val="en-US" w:eastAsia="en-US" w:bidi="ar-SA"/>
          <w:rFonts w:asciiTheme="majorHAnsi" w:cstheme="majorBidi" w:eastAsiaTheme="majorEastAsia" w:hAnsiTheme="majorHAnsi"/>
          <w:b/>
          <w:color w:themeColor="accent1"/>
          <w:sz w:val="28"/>
          <w:szCs w:val="28"/>
        </w:rPr>
        <w:t>J.5 Equal-Treatment Tolerance (Article 26.4)</w:t>
      </w:r>
    </w:p>
    <w:p>
      <w:pPr>
        <w:pStyle w:val="FirstParagraph"/>
      </w:pPr>
      <w:r>
        <w:rPr>
          <w:sz w:val="24"/>
          <w:szCs w:val="24"/>
          <w:lang w:val="en-US" w:eastAsia="en-US" w:bidi="ar-SA"/>
        </w:rPr>
        <w:t>The audit compares flag-group means for acknowledgment time, transit time, escort provision, and incident rate. Divergence beyond 15 percent on any measure, sustained across two consecutive quarters, triggers the remediation review. The audit publishes its full methodology and data.</w:t>
      </w:r>
    </w:p>
    <w:p>
      <w:pPr>
        <w:pStyle w:val="Heading2"/>
      </w:pPr>
      <w:r>
        <w:rPr>
          <w:lang w:val="en-US" w:eastAsia="en-US" w:bidi="ar-SA"/>
          <w:rFonts w:asciiTheme="majorHAnsi" w:cstheme="majorBidi" w:eastAsiaTheme="majorEastAsia" w:hAnsiTheme="majorHAnsi"/>
          <w:b/>
          <w:color w:themeColor="accent1"/>
          <w:sz w:val="28"/>
          <w:szCs w:val="28"/>
        </w:rPr>
        <w:t>J.6 The Mariners’ Confidence Index</w:t>
      </w:r>
    </w:p>
    <w:p>
      <w:pPr>
        <w:pStyle w:val="FirstParagraph"/>
      </w:pPr>
      <w:r>
        <w:rPr>
          <w:sz w:val="24"/>
          <w:szCs w:val="24"/>
          <w:lang w:val="en-US" w:eastAsia="en-US" w:bidi="ar-SA"/>
        </w:rPr>
        <w:t>J.6.1 Every 90 days, the Neutral Watch Office conducts an anonymous survey of masters and pilots transiting the corridors. The survey carries four questions: Did the framework acknowledge your transit on time? Did the framework keep your declared schedule? Did you experience any interference? Would you transit again under this Accord?</w:t>
      </w:r>
    </w:p>
    <w:p>
      <w:pPr>
        <w:pStyle w:val="FirstParagraph"/>
      </w:pPr>
      <w:r>
        <w:rPr>
          <w:sz w:val="24"/>
          <w:szCs w:val="24"/>
          <w:lang w:val="en-US" w:eastAsia="en-US" w:bidi="ar-SA"/>
        </w:rPr>
        <w:t>J.6.2 The Stability Audit publishes the aggregated results as a supplementary metric alongside the core schedule of this Annex. No response identifies a vessel, a flag, or an individual.</w:t>
      </w:r>
    </w:p>
    <w:p>
      <w:pPr>
        <w:pStyle w:val="FirstParagraph"/>
      </w:pPr>
      <w:r>
        <w:rPr>
          <w:sz w:val="24"/>
          <w:szCs w:val="24"/>
          <w:lang w:val="en-US" w:eastAsia="en-US" w:bidi="ar-SA"/>
        </w:rPr>
        <w:t>J.6.3 A sustained confidence reading below 60 percent across two consecutive surveys triggers a mandatory review by the Solh Council. The Council publishes its findings and corrective measures within 30 days.</w:t>
      </w:r>
    </w:p>
    <w:bookmarkEnd w:id="404"/>
    <w:bookmarkEnd w:id="405"/>
    <w:bookmarkStart w:id="411" w:name="annex-k-implementation-timeline"/>
    <w:p>
      <w:pPr>
        <w:pStyle w:val="Heading1"/>
      </w:pPr>
      <w:r>
        <w:rPr>
          <w:lang w:val="en-US" w:eastAsia="en-US" w:bidi="ar-SA"/>
          <w:rFonts w:asciiTheme="majorHAnsi" w:cstheme="majorBidi" w:eastAsiaTheme="majorEastAsia" w:hAnsiTheme="majorHAnsi"/>
          <w:b/>
          <w:color w:themeColor="accent1"/>
          <w:sz w:val="32"/>
          <w:szCs w:val="32"/>
        </w:rPr>
        <w:t>ANNEX K: IMPLEMENTATION TIMELINE</w:t>
      </w:r>
    </w:p>
    <w:bookmarkStart w:id="406" w:name="k.1-day-by-day-layer-0-days-0-to-45"/>
    <w:p>
      <w:pPr>
        <w:pStyle w:val="Heading2"/>
      </w:pPr>
      <w:r>
        <w:rPr>
          <w:lang w:val="en-US" w:eastAsia="en-US" w:bidi="ar-SA"/>
          <w:rFonts w:asciiTheme="majorHAnsi" w:cstheme="majorBidi" w:eastAsiaTheme="majorEastAsia" w:hAnsiTheme="majorHAnsi"/>
          <w:b/>
          <w:color w:themeColor="accent1"/>
          <w:sz w:val="28"/>
          <w:szCs w:val="28"/>
        </w:rPr>
        <w:t>K.1 Day-by-Day: Layer 0 (Days 0 to 30)</w:t>
      </w:r>
    </w:p>
    <w:tbl>
      <w:tblPr>
        <w:tblStyle w:val="Table"/>
        <w:tblW w:type="pct" w:w="5000"/>
        <w:tblLook w:firstRow="1" w:lastRow="0" w:firstColumn="0" w:lastColumn="0" w:noHBand="0" w:noVBand="0" w:val="0020"/>
      </w:tblPr>
      <w:tblGrid>
        <w:gridCol w:w="3960"/>
        <w:gridCol w:w="3960"/>
      </w:tblGrid>
      <w:tr>
        <w:trPr>
          <w:tblHeader w:val="1"/>
        </w:trPr>
        <w:tc>
          <w:tcPr>
            <w:tcW w:w="3960" w:type="dxa"/>
          </w:tcPr>
          <w:p>
            <w:pPr>
              <w:pStyle w:val="Compact"/>
              <w:jc w:val="left"/>
            </w:pPr>
            <w:r>
              <w:rPr>
                <w:sz w:val="24"/>
                <w:szCs w:val="24"/>
                <w:lang w:val="en-US" w:eastAsia="en-US" w:bidi="ar-SA"/>
              </w:rPr>
              <w:t>Day</w:t>
            </w:r>
          </w:p>
        </w:tc>
        <w:tc>
          <w:tcPr>
            <w:tcW w:w="3960" w:type="dxa"/>
          </w:tcPr>
          <w:p>
            <w:pPr>
              <w:pStyle w:val="Compact"/>
              <w:jc w:val="left"/>
            </w:pPr>
            <w:r>
              <w:rPr>
                <w:sz w:val="24"/>
                <w:szCs w:val="24"/>
                <w:lang w:val="en-US" w:eastAsia="en-US" w:bidi="ar-SA"/>
              </w:rPr>
              <w:t>Action</w:t>
            </w:r>
          </w:p>
        </w:tc>
      </w:tr>
      <w:tr>
        <w:tc>
          <w:tcPr>
            <w:tcW w:w="3960" w:type="dxa"/>
          </w:tcPr>
          <w:p>
            <w:pPr>
              <w:pStyle w:val="Compact"/>
              <w:jc w:val="left"/>
            </w:pPr>
            <w:r>
              <w:rPr>
                <w:sz w:val="24"/>
                <w:szCs w:val="24"/>
                <w:lang w:val="en-US" w:eastAsia="en-US" w:bidi="ar-SA"/>
              </w:rPr>
              <w:t>0</w:t>
            </w:r>
          </w:p>
        </w:tc>
        <w:tc>
          <w:tcPr>
            <w:tcW w:w="3960" w:type="dxa"/>
          </w:tcPr>
          <w:p>
            <w:pPr>
              <w:pStyle w:val="Compact"/>
              <w:jc w:val="left"/>
            </w:pPr>
            <w:r>
              <w:rPr>
                <w:sz w:val="24"/>
                <w:szCs w:val="24"/>
                <w:lang w:val="en-US" w:eastAsia="en-US" w:bidi="ar-SA"/>
              </w:rPr>
              <w:t>Entry into force 00:00 UTC; synchronized opening of Article 7.5; blockade drawdown step one executes; joint readiness declaration publishes; hotline network first full test; Lattice Cell convenes</w:t>
            </w:r>
          </w:p>
        </w:tc>
      </w:tr>
      <w:tr>
        <w:tc>
          <w:tcPr>
            <w:tcW w:w="3960" w:type="dxa"/>
          </w:tcPr>
          <w:p>
            <w:pPr>
              <w:pStyle w:val="Compact"/>
              <w:jc w:val="left"/>
            </w:pPr>
            <w:r>
              <w:rPr>
                <w:sz w:val="24"/>
                <w:szCs w:val="24"/>
                <w:lang w:val="en-US" w:eastAsia="en-US" w:bidi="ar-SA"/>
              </w:rPr>
              <w:t>1 to 5</w:t>
            </w:r>
          </w:p>
        </w:tc>
        <w:tc>
          <w:tcPr>
            <w:tcW w:w="3960" w:type="dxa"/>
          </w:tcPr>
          <w:p>
            <w:pPr>
              <w:pStyle w:val="Compact"/>
              <w:jc w:val="left"/>
            </w:pPr>
            <w:r>
              <w:rPr>
                <w:sz w:val="24"/>
                <w:szCs w:val="24"/>
                <w:lang w:val="en-US" w:eastAsia="en-US" w:bidi="ar-SA"/>
              </w:rPr>
              <w:t>Sub-Layer 0.1 exercises activate individually by joint notice; provisional premises stand up per K.2</w:t>
            </w:r>
          </w:p>
        </w:tc>
      </w:tr>
      <w:tr>
        <w:tc>
          <w:tcPr>
            <w:tcW w:w="3960" w:type="dxa"/>
          </w:tcPr>
          <w:p>
            <w:pPr>
              <w:pStyle w:val="Compact"/>
              <w:jc w:val="left"/>
            </w:pPr>
            <w:r>
              <w:rPr>
                <w:sz w:val="24"/>
                <w:szCs w:val="24"/>
                <w:lang w:val="en-US" w:eastAsia="en-US" w:bidi="ar-SA"/>
              </w:rPr>
              <w:t>5 to 10</w:t>
            </w:r>
          </w:p>
        </w:tc>
        <w:tc>
          <w:tcPr>
            <w:tcW w:w="3960" w:type="dxa"/>
          </w:tcPr>
          <w:p>
            <w:pPr>
              <w:pStyle w:val="Compact"/>
              <w:jc w:val="left"/>
            </w:pPr>
            <w:r>
              <w:rPr>
                <w:sz w:val="24"/>
                <w:szCs w:val="24"/>
                <w:lang w:val="en-US" w:eastAsia="en-US" w:bidi="ar-SA"/>
              </w:rPr>
              <w:t>Sub-Layer 0.2 activates; Bulletin begins daily publication Day 10</w:t>
            </w:r>
          </w:p>
        </w:tc>
      </w:tr>
      <w:tr>
        <w:tc>
          <w:tcPr>
            <w:tcW w:w="3960" w:type="dxa"/>
          </w:tcPr>
          <w:p>
            <w:pPr>
              <w:pStyle w:val="Compact"/>
              <w:jc w:val="left"/>
            </w:pPr>
            <w:r>
              <w:rPr>
                <w:sz w:val="24"/>
                <w:szCs w:val="24"/>
                <w:lang w:val="en-US" w:eastAsia="en-US" w:bidi="ar-SA"/>
              </w:rPr>
              <w:t>10 to 15</w:t>
            </w:r>
          </w:p>
        </w:tc>
        <w:tc>
          <w:tcPr>
            <w:tcW w:w="3960" w:type="dxa"/>
          </w:tcPr>
          <w:p>
            <w:pPr>
              <w:pStyle w:val="Compact"/>
              <w:jc w:val="left"/>
            </w:pPr>
            <w:r>
              <w:rPr>
                <w:sz w:val="24"/>
                <w:szCs w:val="24"/>
                <w:lang w:val="en-US" w:eastAsia="en-US" w:bidi="ar-SA"/>
              </w:rPr>
              <w:t>Sub-Layer 0.3 activates; alert latency baseline begins recording</w:t>
            </w:r>
          </w:p>
        </w:tc>
      </w:tr>
      <w:tr>
        <w:tc>
          <w:tcPr>
            <w:tcW w:w="3960" w:type="dxa"/>
          </w:tcPr>
          <w:p>
            <w:pPr>
              <w:pStyle w:val="Compact"/>
              <w:jc w:val="left"/>
            </w:pPr>
            <w:r>
              <w:rPr>
                <w:sz w:val="24"/>
                <w:szCs w:val="24"/>
                <w:lang w:val="en-US" w:eastAsia="en-US" w:bidi="ar-SA"/>
              </w:rPr>
              <w:t>15 to 20</w:t>
            </w:r>
          </w:p>
        </w:tc>
        <w:tc>
          <w:tcPr>
            <w:tcW w:w="3960" w:type="dxa"/>
          </w:tcPr>
          <w:p>
            <w:pPr>
              <w:pStyle w:val="Compact"/>
              <w:jc w:val="left"/>
            </w:pPr>
            <w:r>
              <w:rPr>
                <w:sz w:val="24"/>
                <w:szCs w:val="24"/>
                <w:lang w:val="en-US" w:eastAsia="en-US" w:bidi="ar-SA"/>
              </w:rPr>
              <w:t>Sub-Layer 0.4 activates; SAR readiness baseline begins recording</w:t>
            </w:r>
          </w:p>
        </w:tc>
      </w:tr>
      <w:tr>
        <w:tc>
          <w:tcPr>
            <w:tcW w:w="3960" w:type="dxa"/>
          </w:tcPr>
          <w:p>
            <w:pPr>
              <w:pStyle w:val="Compact"/>
              <w:jc w:val="left"/>
            </w:pPr>
            <w:r>
              <w:rPr>
                <w:sz w:val="24"/>
                <w:szCs w:val="24"/>
                <w:lang w:val="en-US" w:eastAsia="en-US" w:bidi="ar-SA"/>
              </w:rPr>
              <w:t>20 to 25</w:t>
            </w:r>
          </w:p>
        </w:tc>
        <w:tc>
          <w:tcPr>
            <w:tcW w:w="3960" w:type="dxa"/>
          </w:tcPr>
          <w:p>
            <w:pPr>
              <w:pStyle w:val="Compact"/>
              <w:jc w:val="left"/>
            </w:pPr>
            <w:r>
              <w:rPr>
                <w:sz w:val="24"/>
                <w:szCs w:val="24"/>
                <w:lang w:val="en-US" w:eastAsia="en-US" w:bidi="ar-SA"/>
              </w:rPr>
              <w:t>Sub-Layer 0.5 activates; full lattice stands active by Day 25</w:t>
            </w:r>
          </w:p>
        </w:tc>
      </w:tr>
      <w:tr>
        <w:tc>
          <w:tcPr>
            <w:tcW w:w="3960" w:type="dxa"/>
          </w:tcPr>
          <w:p>
            <w:pPr>
              <w:pStyle w:val="Compact"/>
              <w:jc w:val="left"/>
            </w:pPr>
            <w:r>
              <w:rPr>
                <w:sz w:val="24"/>
                <w:szCs w:val="24"/>
                <w:lang w:val="en-US" w:eastAsia="en-US" w:bidi="ar-SA"/>
              </w:rPr>
              <w:t>25 to 30</w:t>
            </w:r>
          </w:p>
        </w:tc>
        <w:tc>
          <w:tcPr>
            <w:tcW w:w="3960" w:type="dxa"/>
          </w:tcPr>
          <w:p>
            <w:pPr>
              <w:pStyle w:val="Compact"/>
              <w:jc w:val="left"/>
            </w:pPr>
            <w:r>
              <w:rPr>
                <w:sz w:val="24"/>
                <w:szCs w:val="24"/>
                <w:lang w:val="en-US" w:eastAsia="en-US" w:bidi="ar-SA"/>
              </w:rPr>
              <w:t>Full lattice operation; weekly reviews accumulate</w:t>
            </w:r>
          </w:p>
        </w:tc>
      </w:tr>
      <w:tr>
        <w:tc>
          <w:tcPr>
            <w:tcW w:w="3960" w:type="dxa"/>
          </w:tcPr>
          <w:p>
            <w:pPr>
              <w:pStyle w:val="Compact"/>
              <w:jc w:val="left"/>
            </w:pPr>
            <w:r>
              <w:rPr>
                <w:sz w:val="24"/>
                <w:szCs w:val="24"/>
                <w:lang w:val="en-US" w:eastAsia="en-US" w:bidi="ar-SA"/>
              </w:rPr>
              <w:t>30</w:t>
            </w:r>
          </w:p>
        </w:tc>
        <w:tc>
          <w:tcPr>
            <w:tcW w:w="3960" w:type="dxa"/>
          </w:tcPr>
          <w:p>
            <w:pPr>
              <w:pStyle w:val="Compact"/>
              <w:jc w:val="left"/>
            </w:pPr>
            <w:r>
              <w:rPr>
                <w:sz w:val="24"/>
                <w:szCs w:val="24"/>
                <w:lang w:val="en-US" w:eastAsia="en-US" w:bidi="ar-SA"/>
              </w:rPr>
              <w:t>First Gate G-0 audit; certification or seven-day re-audit cycle; upon certification, the Fast-Track Interim Route of Article 22.8 opens and the Early Fee Simulation of Article 18.6 activates</w:t>
            </w:r>
          </w:p>
        </w:tc>
      </w:tr>
      <w:tr>
        <w:tc>
          <w:tcPr>
            <w:tcW w:w="3960" w:type="dxa"/>
          </w:tcPr>
          <w:p>
            <w:pPr>
              <w:pStyle w:val="Compact"/>
              <w:jc w:val="left"/>
            </w:pPr>
            <w:r>
              <w:rPr>
                <w:sz w:val="24"/>
                <w:szCs w:val="24"/>
                <w:lang w:val="en-US" w:eastAsia="en-US" w:bidi="ar-SA"/>
              </w:rPr>
              <w:t>30 to 45</w:t>
            </w:r>
          </w:p>
        </w:tc>
        <w:tc>
          <w:tcPr>
            <w:tcW w:w="3960" w:type="dxa"/>
          </w:tcPr>
          <w:p>
            <w:pPr>
              <w:pStyle w:val="Compact"/>
              <w:jc w:val="left"/>
            </w:pPr>
            <w:r>
              <w:rPr>
                <w:sz w:val="24"/>
                <w:szCs w:val="24"/>
                <w:lang w:val="en-US" w:eastAsia="en-US" w:bidi="ar-SA"/>
              </w:rPr>
              <w:t>Re-audit window; Layer 1 runs concurrently from Day 0 under Article 7.6; Early Fee Simulation interim report publishes at Day 45</w:t>
            </w:r>
          </w:p>
        </w:tc>
      </w:tr>
    </w:tbl>
    <w:bookmarkEnd w:id="406"/>
    <w:bookmarkStart w:id="407" w:name="k.2-provisional-premises"/>
    <w:p>
      <w:pPr>
        <w:pStyle w:val="Heading2"/>
      </w:pPr>
      <w:r>
        <w:rPr>
          <w:lang w:val="en-US" w:eastAsia="en-US" w:bidi="ar-SA"/>
          <w:rFonts w:asciiTheme="majorHAnsi" w:cstheme="majorBidi" w:eastAsiaTheme="majorEastAsia" w:hAnsiTheme="majorHAnsi"/>
          <w:b/>
          <w:color w:themeColor="accent1"/>
          <w:sz w:val="28"/>
          <w:szCs w:val="28"/>
        </w:rPr>
        <w:t>K.2 Provisional Premises</w:t>
      </w:r>
    </w:p>
    <w:p>
      <w:pPr>
        <w:pStyle w:val="FirstParagraph"/>
      </w:pPr>
      <w:r>
        <w:rPr>
          <w:sz w:val="24"/>
          <w:szCs w:val="24"/>
          <w:lang w:val="en-US" w:eastAsia="en-US" w:bidi="ar-SA"/>
        </w:rPr>
        <w:t>The Center operates from interim facilities at the Sultanate’s maritime headquarters in Muscat from Day 0; the Mirror operates from the Ports and Maritime Organization facility at Bandar Abbas; the Neutral Watch Office stands up provisionally with the Swiss-appointed Director and seconded observers from Day 0; and permanent facilities complete by Gate G-2 under the Fund’s first budget.</w:t>
      </w:r>
    </w:p>
    <w:bookmarkEnd w:id="407"/>
    <w:bookmarkStart w:id="408" w:name="k.3-layer-timelines"/>
    <w:p>
      <w:pPr>
        <w:pStyle w:val="Heading2"/>
      </w:pPr>
      <w:r>
        <w:rPr>
          <w:lang w:val="en-US" w:eastAsia="en-US" w:bidi="ar-SA"/>
          <w:rFonts w:asciiTheme="majorHAnsi" w:cstheme="majorBidi" w:eastAsiaTheme="majorEastAsia" w:hAnsiTheme="majorHAnsi"/>
          <w:b/>
          <w:color w:themeColor="accent1"/>
          <w:sz w:val="28"/>
          <w:szCs w:val="28"/>
        </w:rPr>
        <w:t>K.3 Layer Timelines</w:t>
      </w:r>
    </w:p>
    <w:tbl>
      <w:tblPr>
        <w:tblStyle w:val="Table"/>
        <w:tblW w:type="pct" w:w="5000"/>
        <w:tblLook w:firstRow="1" w:lastRow="0" w:firstColumn="0" w:lastColumn="0" w:noHBand="0" w:noVBand="0" w:val="0020"/>
      </w:tblPr>
      <w:tblGrid>
        <w:gridCol w:w="2640"/>
        <w:gridCol w:w="2640"/>
        <w:gridCol w:w="2640"/>
      </w:tblGrid>
      <w:tr>
        <w:trPr>
          <w:tblHeader w:val="1"/>
        </w:trPr>
        <w:tc>
          <w:tcPr>
            <w:tcW w:w="2640" w:type="dxa"/>
          </w:tcPr>
          <w:p>
            <w:pPr>
              <w:pStyle w:val="Compact"/>
              <w:jc w:val="left"/>
            </w:pPr>
            <w:r>
              <w:rPr>
                <w:sz w:val="24"/>
                <w:szCs w:val="24"/>
                <w:lang w:val="en-US" w:eastAsia="en-US" w:bidi="ar-SA"/>
              </w:rPr>
              <w:t>Layer</w:t>
            </w:r>
          </w:p>
        </w:tc>
        <w:tc>
          <w:tcPr>
            <w:tcW w:w="2640" w:type="dxa"/>
          </w:tcPr>
          <w:p>
            <w:pPr>
              <w:pStyle w:val="Compact"/>
              <w:jc w:val="left"/>
            </w:pPr>
            <w:r>
              <w:rPr>
                <w:sz w:val="24"/>
                <w:szCs w:val="24"/>
                <w:lang w:val="en-US" w:eastAsia="en-US" w:bidi="ar-SA"/>
              </w:rPr>
              <w:t>Window</w:t>
            </w:r>
          </w:p>
        </w:tc>
        <w:tc>
          <w:tcPr>
            <w:tcW w:w="2640" w:type="dxa"/>
          </w:tcPr>
          <w:p>
            <w:pPr>
              <w:pStyle w:val="Compact"/>
              <w:jc w:val="left"/>
            </w:pPr>
            <w:r>
              <w:rPr>
                <w:sz w:val="24"/>
                <w:szCs w:val="24"/>
                <w:lang w:val="en-US" w:eastAsia="en-US" w:bidi="ar-SA"/>
              </w:rPr>
              <w:t>Key milestones</w:t>
            </w:r>
          </w:p>
        </w:tc>
      </w:tr>
      <w:tr>
        <w:tc>
          <w:tcPr>
            <w:tcW w:w="2640" w:type="dxa"/>
          </w:tcPr>
          <w:p>
            <w:pPr>
              <w:pStyle w:val="Compact"/>
              <w:jc w:val="left"/>
            </w:pPr>
            <w:r>
              <w:rPr>
                <w:sz w:val="24"/>
                <w:szCs w:val="24"/>
                <w:lang w:val="en-US" w:eastAsia="en-US" w:bidi="ar-SA"/>
              </w:rPr>
              <w:t>L-1</w:t>
            </w:r>
          </w:p>
        </w:tc>
        <w:tc>
          <w:tcPr>
            <w:tcW w:w="2640" w:type="dxa"/>
          </w:tcPr>
          <w:p>
            <w:pPr>
              <w:pStyle w:val="Compact"/>
              <w:jc w:val="left"/>
            </w:pPr>
            <w:r>
              <w:rPr>
                <w:sz w:val="24"/>
                <w:szCs w:val="24"/>
                <w:lang w:val="en-US" w:eastAsia="en-US" w:bidi="ar-SA"/>
              </w:rPr>
              <w:t>Days 0 to 45</w:t>
            </w:r>
          </w:p>
        </w:tc>
        <w:tc>
          <w:tcPr>
            <w:tcW w:w="2640" w:type="dxa"/>
          </w:tcPr>
          <w:p>
            <w:pPr>
              <w:pStyle w:val="Compact"/>
              <w:jc w:val="left"/>
            </w:pPr>
            <w:r>
              <w:rPr>
                <w:sz w:val="24"/>
                <w:szCs w:val="24"/>
                <w:lang w:val="en-US" w:eastAsia="en-US" w:bidi="ar-SA"/>
              </w:rPr>
              <w:t>Exchange live Day 0 to 5; parity tracking begins; G-1 audit concurrent with G-0 at Day 30; Fast-Track Interim Route opens at Day 30; Early Fee Simulation runs Days 30 to 75</w:t>
            </w:r>
          </w:p>
        </w:tc>
      </w:tr>
      <w:tr>
        <w:tc>
          <w:tcPr>
            <w:tcW w:w="2640" w:type="dxa"/>
          </w:tcPr>
          <w:p>
            <w:pPr>
              <w:pStyle w:val="Compact"/>
              <w:jc w:val="left"/>
            </w:pPr>
            <w:r>
              <w:rPr>
                <w:sz w:val="24"/>
                <w:szCs w:val="24"/>
                <w:lang w:val="en-US" w:eastAsia="en-US" w:bidi="ar-SA"/>
              </w:rPr>
              <w:t>L-2</w:t>
            </w:r>
          </w:p>
        </w:tc>
        <w:tc>
          <w:tcPr>
            <w:tcW w:w="2640" w:type="dxa"/>
          </w:tcPr>
          <w:p>
            <w:pPr>
              <w:pStyle w:val="Compact"/>
              <w:jc w:val="left"/>
            </w:pPr>
            <w:r>
              <w:rPr>
                <w:sz w:val="24"/>
                <w:szCs w:val="24"/>
                <w:lang w:val="en-US" w:eastAsia="en-US" w:bidi="ar-SA"/>
              </w:rPr>
              <w:t>Days 15 to 60</w:t>
            </w:r>
          </w:p>
        </w:tc>
        <w:tc>
          <w:tcPr>
            <w:tcW w:w="2640" w:type="dxa"/>
          </w:tcPr>
          <w:p>
            <w:pPr>
              <w:pStyle w:val="Compact"/>
              <w:jc w:val="left"/>
            </w:pPr>
            <w:r>
              <w:rPr>
                <w:sz w:val="24"/>
                <w:szCs w:val="24"/>
                <w:lang w:val="en-US" w:eastAsia="en-US" w:bidi="ar-SA"/>
              </w:rPr>
              <w:t>Corridors activate Day 15; Interim Middle Route operates as the Fast-Track Route from Day 30; MRT-H activates; median cleared by Day 45; three-corridor system complete at G-2; blockade drawdown completes at G-2</w:t>
            </w:r>
          </w:p>
        </w:tc>
      </w:tr>
      <w:tr>
        <w:tc>
          <w:tcPr>
            <w:tcW w:w="2640" w:type="dxa"/>
          </w:tcPr>
          <w:p>
            <w:pPr>
              <w:pStyle w:val="Compact"/>
              <w:jc w:val="left"/>
            </w:pPr>
            <w:r>
              <w:rPr>
                <w:sz w:val="24"/>
                <w:szCs w:val="24"/>
                <w:lang w:val="en-US" w:eastAsia="en-US" w:bidi="ar-SA"/>
              </w:rPr>
              <w:t>L-3</w:t>
            </w:r>
          </w:p>
        </w:tc>
        <w:tc>
          <w:tcPr>
            <w:tcW w:w="2640" w:type="dxa"/>
          </w:tcPr>
          <w:p>
            <w:pPr>
              <w:pStyle w:val="Compact"/>
              <w:jc w:val="left"/>
            </w:pPr>
            <w:r>
              <w:rPr>
                <w:sz w:val="24"/>
                <w:szCs w:val="24"/>
                <w:lang w:val="en-US" w:eastAsia="en-US" w:bidi="ar-SA"/>
              </w:rPr>
              <w:t>Days 30 to 90</w:t>
            </w:r>
          </w:p>
        </w:tc>
        <w:tc>
          <w:tcPr>
            <w:tcW w:w="2640" w:type="dxa"/>
          </w:tcPr>
          <w:p>
            <w:pPr>
              <w:pStyle w:val="Compact"/>
              <w:jc w:val="left"/>
            </w:pPr>
            <w:r>
              <w:rPr>
                <w:sz w:val="24"/>
                <w:szCs w:val="24"/>
                <w:lang w:val="en-US" w:eastAsia="en-US" w:bidi="ar-SA"/>
              </w:rPr>
              <w:t>Fee suspension continues; Full Simulation at full scale Days 60 to 90; Escrow live in shadow mode Day 30; live charging at G-3</w:t>
            </w:r>
          </w:p>
        </w:tc>
      </w:tr>
      <w:tr>
        <w:tc>
          <w:tcPr>
            <w:tcW w:w="2640" w:type="dxa"/>
          </w:tcPr>
          <w:p>
            <w:pPr>
              <w:pStyle w:val="Compact"/>
              <w:jc w:val="left"/>
            </w:pPr>
            <w:r>
              <w:rPr>
                <w:sz w:val="24"/>
                <w:szCs w:val="24"/>
                <w:lang w:val="en-US" w:eastAsia="en-US" w:bidi="ar-SA"/>
              </w:rPr>
              <w:t>L-4</w:t>
            </w:r>
          </w:p>
        </w:tc>
        <w:tc>
          <w:tcPr>
            <w:tcW w:w="2640" w:type="dxa"/>
          </w:tcPr>
          <w:p>
            <w:pPr>
              <w:pStyle w:val="Compact"/>
              <w:jc w:val="left"/>
            </w:pPr>
            <w:r>
              <w:rPr>
                <w:sz w:val="24"/>
                <w:szCs w:val="24"/>
                <w:lang w:val="en-US" w:eastAsia="en-US" w:bidi="ar-SA"/>
              </w:rPr>
              <w:t>Days 45 to 105</w:t>
            </w:r>
          </w:p>
        </w:tc>
        <w:tc>
          <w:tcPr>
            <w:tcW w:w="2640" w:type="dxa"/>
          </w:tcPr>
          <w:p>
            <w:pPr>
              <w:pStyle w:val="Compact"/>
              <w:jc w:val="left"/>
            </w:pPr>
            <w:r>
              <w:rPr>
                <w:sz w:val="24"/>
                <w:szCs w:val="24"/>
                <w:lang w:val="en-US" w:eastAsia="en-US" w:bidi="ar-SA"/>
              </w:rPr>
              <w:t>Institutions seat Day 45; Escalator clock runs from G-2 certification; Full Unlock earliest Day 102 under the Accelerator; Tribunal and Commission seat Day 45; G-4 audit at Day 105</w:t>
            </w:r>
          </w:p>
        </w:tc>
      </w:tr>
      <w:tr>
        <w:tc>
          <w:tcPr>
            <w:tcW w:w="2640" w:type="dxa"/>
          </w:tcPr>
          <w:p>
            <w:pPr>
              <w:pStyle w:val="Compact"/>
              <w:jc w:val="left"/>
            </w:pPr>
            <w:r>
              <w:rPr>
                <w:sz w:val="24"/>
                <w:szCs w:val="24"/>
                <w:lang w:val="en-US" w:eastAsia="en-US" w:bidi="ar-SA"/>
              </w:rPr>
              <w:t>L-5</w:t>
            </w:r>
          </w:p>
        </w:tc>
        <w:tc>
          <w:tcPr>
            <w:tcW w:w="2640" w:type="dxa"/>
          </w:tcPr>
          <w:p>
            <w:pPr>
              <w:pStyle w:val="Compact"/>
              <w:jc w:val="left"/>
            </w:pPr>
            <w:r>
              <w:rPr>
                <w:sz w:val="24"/>
                <w:szCs w:val="24"/>
                <w:lang w:val="en-US" w:eastAsia="en-US" w:bidi="ar-SA"/>
              </w:rPr>
              <w:t>Days 90 to 120</w:t>
            </w:r>
          </w:p>
        </w:tc>
        <w:tc>
          <w:tcPr>
            <w:tcW w:w="2640" w:type="dxa"/>
          </w:tcPr>
          <w:p>
            <w:pPr>
              <w:pStyle w:val="Compact"/>
              <w:jc w:val="left"/>
            </w:pPr>
            <w:r>
              <w:rPr>
                <w:sz w:val="24"/>
                <w:szCs w:val="24"/>
                <w:lang w:val="en-US" w:eastAsia="en-US" w:bidi="ar-SA"/>
              </w:rPr>
              <w:t>Conversion resolution within 60 days of G-4; instruments deposit; Charter signature-ready by Day 120; IMO lodgment</w:t>
            </w:r>
          </w:p>
        </w:tc>
      </w:tr>
    </w:tbl>
    <w:bookmarkEnd w:id="408"/>
    <w:bookmarkStart w:id="409" w:name="k.4-the-escalator-calendar"/>
    <w:p>
      <w:pPr>
        <w:pStyle w:val="Heading2"/>
      </w:pPr>
      <w:r>
        <w:rPr>
          <w:lang w:val="en-US" w:eastAsia="en-US" w:bidi="ar-SA"/>
          <w:rFonts w:asciiTheme="majorHAnsi" w:cstheme="majorBidi" w:eastAsiaTheme="majorEastAsia" w:hAnsiTheme="majorHAnsi"/>
          <w:b/>
          <w:color w:themeColor="accent1"/>
          <w:sz w:val="28"/>
          <w:szCs w:val="28"/>
        </w:rPr>
        <w:t>K.4 The Escalator Calendar</w:t>
      </w:r>
    </w:p>
    <w:p>
      <w:pPr>
        <w:pStyle w:val="FirstParagraph"/>
      </w:pPr>
      <w:r>
        <w:rPr>
          <w:sz w:val="24"/>
          <w:szCs w:val="24"/>
          <w:lang w:val="en-US" w:eastAsia="en-US" w:bidi="ar-SA"/>
        </w:rPr>
        <w:t>The first Verification Period opens at Gate G-2 certification. Under the Good Performance Accelerator of Article 43.9, Full Unlock arrives no earlier than 42 days after G-2. Pauses extend the calendar; they never reset it.</w:t>
      </w:r>
    </w:p>
    <w:bookmarkEnd w:id="409"/>
    <w:bookmarkStart w:id="410" w:name="k.5-the-capacity-plan"/>
    <w:p>
      <w:pPr>
        <w:pStyle w:val="Heading2"/>
      </w:pPr>
      <w:r>
        <w:rPr>
          <w:lang w:val="en-US" w:eastAsia="en-US" w:bidi="ar-SA"/>
          <w:rFonts w:asciiTheme="majorHAnsi" w:cstheme="majorBidi" w:eastAsiaTheme="majorEastAsia" w:hAnsiTheme="majorHAnsi"/>
          <w:b/>
          <w:color w:themeColor="accent1"/>
          <w:sz w:val="28"/>
          <w:szCs w:val="28"/>
        </w:rPr>
        <w:t>K.5 The Capacity Plan</w:t>
      </w:r>
    </w:p>
    <w:p>
      <w:pPr>
        <w:pStyle w:val="FirstParagraph"/>
      </w:pPr>
      <w:r>
        <w:rPr>
          <w:sz w:val="24"/>
          <w:szCs w:val="24"/>
          <w:lang w:val="en-US" w:eastAsia="en-US" w:bidi="ar-SA"/>
        </w:rPr>
        <w:t>The corridor system targets: pilot throughput of 20 transits daily by G-2; 40 daily by G-3; pre-war throughput of roughly 110 transits daily by G-4; and growth capacity above pre-war levels through window scheduling and anchorage management at permanence.</w:t>
      </w:r>
    </w:p>
    <w:bookmarkEnd w:id="410"/>
    <w:bookmarkEnd w:id="411"/>
    <w:bookmarkStart w:id="418" w:name="annex-l-model-forms-and-certificates"/>
    <w:p>
      <w:pPr>
        <w:pStyle w:val="Heading1"/>
      </w:pPr>
      <w:r>
        <w:rPr>
          <w:lang w:val="en-US" w:eastAsia="en-US" w:bidi="ar-SA"/>
          <w:rFonts w:asciiTheme="majorHAnsi" w:cstheme="majorBidi" w:eastAsiaTheme="majorEastAsia" w:hAnsiTheme="majorHAnsi"/>
          <w:b/>
          <w:color w:themeColor="accent1"/>
          <w:sz w:val="32"/>
          <w:szCs w:val="32"/>
        </w:rPr>
        <w:t>ANNEX L: MODEL FORMS AND CERTIFICATES</w:t>
      </w:r>
    </w:p>
    <w:bookmarkStart w:id="412" w:name="Xed1332443e4cd5b4a441bfd0f526269119e66e5"/>
    <w:p>
      <w:pPr>
        <w:pStyle w:val="Heading2"/>
      </w:pPr>
      <w:r>
        <w:rPr>
          <w:lang w:val="en-US" w:eastAsia="en-US" w:bidi="ar-SA"/>
          <w:rFonts w:asciiTheme="majorHAnsi" w:cstheme="majorBidi" w:eastAsiaTheme="majorEastAsia" w:hAnsiTheme="majorHAnsi"/>
          <w:b/>
          <w:color w:themeColor="accent1"/>
          <w:sz w:val="28"/>
          <w:szCs w:val="28"/>
        </w:rPr>
        <w:t>L.1 The Twelve-Field Transit Notice (Model Form)</w:t>
      </w:r>
    </w:p>
    <w:p>
      <w:pPr>
        <w:pStyle w:val="FirstParagraph"/>
      </w:pPr>
      <w:r>
        <w:rPr>
          <w:sz w:val="24"/>
          <w:szCs w:val="24"/>
          <w:lang w:val="en-US" w:eastAsia="en-US" w:bidi="ar-SA"/>
        </w:rPr>
        <w:t>Fields: (1) vessel name; (2) IMO number; (3) flag; (4) call sign; (5) vessel class under Article 26; (6) gross tonnage; (7) draft in meters; (8) cargo class; (9) last port; (10) next port; (11) planned entry time, UTC; (12) requested services from the Verified Services Catalog, if any. Filing channels: the Transit Desk web portal, agent filing, or the corridor working channel for vessels without connectivity. Acknowledgment: automatic reference number within 60 minutes.</w:t>
      </w:r>
    </w:p>
    <w:bookmarkEnd w:id="412"/>
    <w:bookmarkStart w:id="413" w:name="l.2-hazard-advisory-model-form"/>
    <w:p>
      <w:pPr>
        <w:pStyle w:val="Heading2"/>
      </w:pPr>
      <w:r>
        <w:rPr>
          <w:lang w:val="en-US" w:eastAsia="en-US" w:bidi="ar-SA"/>
          <w:rFonts w:asciiTheme="majorHAnsi" w:cstheme="majorBidi" w:eastAsiaTheme="majorEastAsia" w:hAnsiTheme="majorHAnsi"/>
          <w:b/>
          <w:color w:themeColor="accent1"/>
          <w:sz w:val="28"/>
          <w:szCs w:val="28"/>
        </w:rPr>
        <w:t>L.2 Hazard Advisory (Model Form)</w:t>
      </w:r>
    </w:p>
    <w:p>
      <w:pPr>
        <w:pStyle w:val="FirstParagraph"/>
      </w:pPr>
      <w:r>
        <w:rPr>
          <w:sz w:val="24"/>
          <w:szCs w:val="24"/>
          <w:lang w:val="en-US" w:eastAsia="en-US" w:bidi="ar-SA"/>
        </w:rPr>
        <w:t>Fields: advisory number; issuing floor; UTC time; hazard class from Annex C.6; position; affected sector; recommended mariner action; expected duration; next update time. One page, plain language, three languages.</w:t>
      </w:r>
    </w:p>
    <w:bookmarkEnd w:id="413"/>
    <w:bookmarkStart w:id="414" w:name="l.3-vessel-intent-form-voluntary-mx-45"/>
    <w:p>
      <w:pPr>
        <w:pStyle w:val="Heading2"/>
      </w:pPr>
      <w:r>
        <w:rPr>
          <w:lang w:val="en-US" w:eastAsia="en-US" w:bidi="ar-SA"/>
          <w:rFonts w:asciiTheme="majorHAnsi" w:cstheme="majorBidi" w:eastAsiaTheme="majorEastAsia" w:hAnsiTheme="majorHAnsi"/>
          <w:b/>
          <w:color w:themeColor="accent1"/>
          <w:sz w:val="28"/>
          <w:szCs w:val="28"/>
        </w:rPr>
        <w:t>L.3 Vessel-Intent Form (Voluntary, MX-45)</w:t>
      </w:r>
    </w:p>
    <w:p>
      <w:pPr>
        <w:pStyle w:val="FirstParagraph"/>
      </w:pPr>
      <w:r>
        <w:rPr>
          <w:sz w:val="24"/>
          <w:szCs w:val="24"/>
          <w:lang w:val="en-US" w:eastAsia="en-US" w:bidi="ar-SA"/>
        </w:rPr>
        <w:t>Fields: vessel name; planned route; planned speed; planned entry window; contact channel. Marked across the top: voluntary, non-binding, without acknowledgment duty.</w:t>
      </w:r>
    </w:p>
    <w:bookmarkEnd w:id="414"/>
    <w:bookmarkStart w:id="415" w:name="l.4-incident-log-entry-model-form"/>
    <w:p>
      <w:pPr>
        <w:pStyle w:val="Heading2"/>
      </w:pPr>
      <w:r>
        <w:rPr>
          <w:lang w:val="en-US" w:eastAsia="en-US" w:bidi="ar-SA"/>
          <w:rFonts w:asciiTheme="majorHAnsi" w:cstheme="majorBidi" w:eastAsiaTheme="majorEastAsia" w:hAnsiTheme="majorHAnsi"/>
          <w:b/>
          <w:color w:themeColor="accent1"/>
          <w:sz w:val="28"/>
          <w:szCs w:val="28"/>
        </w:rPr>
        <w:t>L.4 Incident Log Entry (Model Form)</w:t>
      </w:r>
    </w:p>
    <w:p>
      <w:pPr>
        <w:pStyle w:val="FirstParagraph"/>
      </w:pPr>
      <w:r>
        <w:rPr>
          <w:sz w:val="24"/>
          <w:szCs w:val="24"/>
          <w:lang w:val="en-US" w:eastAsia="en-US" w:bidi="ar-SA"/>
        </w:rPr>
        <w:t>Fields: incident number; classification level; UTC time; position; event class from Annex C.7; inputs converged; actions taken; resolution; duty officers’ initials both floors.</w:t>
      </w:r>
    </w:p>
    <w:bookmarkEnd w:id="415"/>
    <w:bookmarkStart w:id="416" w:name="l.5-clean-week-certificate-model-form"/>
    <w:p>
      <w:pPr>
        <w:pStyle w:val="Heading2"/>
      </w:pPr>
      <w:r>
        <w:rPr>
          <w:lang w:val="en-US" w:eastAsia="en-US" w:bidi="ar-SA"/>
          <w:rFonts w:asciiTheme="majorHAnsi" w:cstheme="majorBidi" w:eastAsiaTheme="majorEastAsia" w:hAnsiTheme="majorHAnsi"/>
          <w:b/>
          <w:color w:themeColor="accent1"/>
          <w:sz w:val="28"/>
          <w:szCs w:val="28"/>
        </w:rPr>
        <w:t>L.5 Clean Week Certificate (Model Form)</w:t>
      </w:r>
    </w:p>
    <w:p>
      <w:pPr>
        <w:pStyle w:val="FirstParagraph"/>
      </w:pPr>
      <w:r>
        <w:rPr>
          <w:sz w:val="24"/>
          <w:szCs w:val="24"/>
          <w:lang w:val="en-US" w:eastAsia="en-US" w:bidi="ar-SA"/>
        </w:rPr>
        <w:t>Fields: Verification Period dates; the four test results of Annex D.3 with their records; the determination; the resulting Trust Level; the Neutral Watch Office Director’s signature. One page, published.</w:t>
      </w:r>
    </w:p>
    <w:bookmarkEnd w:id="416"/>
    <w:bookmarkStart w:id="417" w:name="l.6-the-framework-oath-standing-officers"/>
    <w:p>
      <w:pPr>
        <w:pStyle w:val="Heading2"/>
      </w:pPr>
      <w:r>
        <w:rPr>
          <w:lang w:val="en-US" w:eastAsia="en-US" w:bidi="ar-SA"/>
          <w:rFonts w:asciiTheme="majorHAnsi" w:cstheme="majorBidi" w:eastAsiaTheme="majorEastAsia" w:hAnsiTheme="majorHAnsi"/>
          <w:b/>
          <w:color w:themeColor="accent1"/>
          <w:sz w:val="28"/>
          <w:szCs w:val="28"/>
        </w:rPr>
        <w:t>L.6 The Framework Oath (Standing Officers)</w:t>
      </w:r>
    </w:p>
    <w:p>
      <w:pPr>
        <w:pStyle w:val="FirstParagraph"/>
      </w:pPr>
      <w:r>
        <w:rPr>
          <w:sz w:val="24"/>
          <w:szCs w:val="24"/>
          <w:lang w:val="en-US" w:eastAsia="en-US" w:bidi="ar-SA"/>
        </w:rPr>
        <w:t>I serve the Solh-e Tadriji Accord and no other master in my framework duties. I hold the corridors open, the record honest, and the red lines intact. I take no national instruction on framework matters. I measure, I publish, and I protect every mariner of every flag equally.</w:t>
      </w:r>
    </w:p>
    <w:bookmarkEnd w:id="417"/>
    <w:bookmarkEnd w:id="418"/>
    <w:bookmarkStart w:id="423" w:name="Xc6f14b900006dc4754ff8a0274396fc0d1c7c9d"/>
    <w:p>
      <w:pPr>
        <w:pStyle w:val="Heading1"/>
      </w:pPr>
      <w:r>
        <w:rPr>
          <w:lang w:val="en-US" w:eastAsia="en-US" w:bidi="ar-SA"/>
          <w:rFonts w:asciiTheme="majorHAnsi" w:cstheme="majorBidi" w:eastAsiaTheme="majorEastAsia" w:hAnsiTheme="majorHAnsi"/>
          <w:b/>
          <w:color w:themeColor="accent1"/>
          <w:sz w:val="32"/>
          <w:szCs w:val="32"/>
        </w:rPr>
        <w:t>ANNEX M: TERMINOLOGY, DEFINITIONS, AND NARRATIVE SYMMETRY</w:t>
      </w:r>
    </w:p>
    <w:bookmarkStart w:id="419" w:name="m.1-the-authorized-terminology-registry"/>
    <w:p>
      <w:pPr>
        <w:pStyle w:val="Heading2"/>
      </w:pPr>
      <w:r>
        <w:rPr>
          <w:lang w:val="en-US" w:eastAsia="en-US" w:bidi="ar-SA"/>
          <w:rFonts w:asciiTheme="majorHAnsi" w:cstheme="majorBidi" w:eastAsiaTheme="majorEastAsia" w:hAnsiTheme="majorHAnsi"/>
          <w:b/>
          <w:color w:themeColor="accent1"/>
          <w:sz w:val="28"/>
          <w:szCs w:val="28"/>
        </w:rPr>
        <w:t>M.1 The Authorized Terminology Registry</w:t>
      </w:r>
    </w:p>
    <w:p>
      <w:pPr>
        <w:pStyle w:val="FirstParagraph"/>
      </w:pPr>
      <w:r>
        <w:rPr>
          <w:sz w:val="24"/>
          <w:szCs w:val="24"/>
          <w:lang w:val="en-US" w:eastAsia="en-US" w:bidi="ar-SA"/>
        </w:rPr>
        <w:t>The framework’s public language uses these terms and no others for the concepts named: “administration” for corridor functions (never “control” of the strait); “notification” for the transit process (never “permission” or “authorization”); “service charge” for catalog payments (never “toll” or “fee on passage”); “safety craft” for escorts (never “escort warship”); “step-back” and “earn-back” for compliance events (never “penalty” or “punishment”); “management role” for Iran’s recognized function (never “sovereignty over the strait” and never “internationalization”); “stewardship” for the coastal states’ collective role.</w:t>
      </w:r>
    </w:p>
    <w:bookmarkEnd w:id="419"/>
    <w:bookmarkStart w:id="420" w:name="m.2-the-narrative-symmetry-note"/>
    <w:p>
      <w:pPr>
        <w:pStyle w:val="Heading2"/>
      </w:pPr>
      <w:r>
        <w:rPr>
          <w:lang w:val="en-US" w:eastAsia="en-US" w:bidi="ar-SA"/>
          <w:rFonts w:asciiTheme="majorHAnsi" w:cstheme="majorBidi" w:eastAsiaTheme="majorEastAsia" w:hAnsiTheme="majorHAnsi"/>
          <w:b/>
          <w:color w:themeColor="accent1"/>
          <w:sz w:val="28"/>
          <w:szCs w:val="28"/>
        </w:rPr>
        <w:t>M.2 The Narrative Symmetry Note</w:t>
      </w:r>
    </w:p>
    <w:p>
      <w:pPr>
        <w:pStyle w:val="FirstParagraph"/>
      </w:pPr>
      <w:r>
        <w:rPr>
          <w:sz w:val="24"/>
          <w:szCs w:val="24"/>
          <w:lang w:val="en-US" w:eastAsia="en-US" w:bidi="ar-SA"/>
        </w:rPr>
        <w:t>Every participant presents this Accord truthfully at home, and the architecture supplies each a symmetric framing. Tehran presents: a recognized, formal, continuous management role; revenue for services genuinely rendered; compensation claims heard on an equal docket; sanctions relief synchronized to verified progress; and not one Iranian concession that performance did not earn. Washington presents: zero tolls on passage, guaranteed forever; restored free navigation in both directions; a verified end to ship attacks; no direct payment to Iran by anyone; counter-claims heard on the same docket; and not one dollar of United States state investment. Muscat presents: Omani administration of the unconditional southern lane; Omani seat at the center of every institution; cost recovery for Omani services; and the strait’s stability anchored in Omani stewardship. The GCC capitals present: their shipping moving, their insurers normalizing, their states seated in the architecture. No presentation contradicts another, and every presentation matches the text.</w:t>
      </w:r>
    </w:p>
    <w:bookmarkEnd w:id="420"/>
    <w:bookmarkStart w:id="421" w:name="m.3-definitions-register"/>
    <w:p>
      <w:pPr>
        <w:pStyle w:val="Heading2"/>
      </w:pPr>
      <w:r>
        <w:rPr>
          <w:lang w:val="en-US" w:eastAsia="en-US" w:bidi="ar-SA"/>
          <w:rFonts w:asciiTheme="majorHAnsi" w:cstheme="majorBidi" w:eastAsiaTheme="majorEastAsia" w:hAnsiTheme="majorHAnsi"/>
          <w:b/>
          <w:color w:themeColor="accent1"/>
          <w:sz w:val="28"/>
          <w:szCs w:val="28"/>
        </w:rPr>
        <w:t>M.3 Definitions Register</w:t>
      </w:r>
    </w:p>
    <w:p>
      <w:pPr>
        <w:pStyle w:val="FirstParagraph"/>
      </w:pPr>
      <w:r>
        <w:rPr>
          <w:sz w:val="24"/>
          <w:szCs w:val="24"/>
          <w:lang w:val="en-US" w:eastAsia="en-US" w:bidi="ar-SA"/>
        </w:rPr>
        <w:t>Accord: this instrument and its annexes. Clean Week: a Verification Period passing the four tests of Annex D.3. Trust Level: the escalator quantity of Article 43, functional, earned, and conditional, never sovereign. Corridor: a defined passage of the three-corridor system. Full Unlock: Trust Level of 100 percent under Article 43.4. Governance Area: the polygon of Table A.1. Lattice Cell: the four-person body of Article 10. Level-2 incident: an incident of Annex D.4 requiring liaison engagement. Micro-Exercise: an exercise of Annex B. Permanent Floor: the irrevocable attainment of Article 43.7. Reciprocity Ledger: the published record of paired actions. Transit Desk: the notice-processing function of Article 25. Verification Period: a seven-day measurement window of Article 43.3.</w:t>
      </w:r>
    </w:p>
    <w:bookmarkEnd w:id="421"/>
    <w:bookmarkStart w:id="422" w:name="m.4-the-language-reconciliation-protocol"/>
    <w:p>
      <w:pPr>
        <w:pStyle w:val="Heading2"/>
      </w:pPr>
      <w:r>
        <w:rPr>
          <w:lang w:val="en-US" w:eastAsia="en-US" w:bidi="ar-SA"/>
          <w:rFonts w:asciiTheme="majorHAnsi" w:cstheme="majorBidi" w:eastAsiaTheme="majorEastAsia" w:hAnsiTheme="majorHAnsi"/>
          <w:b/>
          <w:color w:themeColor="accent1"/>
          <w:sz w:val="28"/>
          <w:szCs w:val="28"/>
        </w:rPr>
        <w:t>M.4 The Language Reconciliation Protocol</w:t>
      </w:r>
    </w:p>
    <w:p>
      <w:pPr>
        <w:pStyle w:val="FirstParagraph"/>
      </w:pPr>
      <w:r>
        <w:rPr>
          <w:sz w:val="24"/>
          <w:szCs w:val="24"/>
          <w:lang w:val="en-US" w:eastAsia="en-US" w:bidi="ar-SA"/>
        </w:rPr>
        <w:t>The three authentic texts reconcile as follows: the depositary holds the master reconciliation table; a divergence between texts resolves first by the drafting record, second by the interpretation rules of Article 8.2, and third by the Tribunal; and the English text prevails for the technical annexes per Article 55.2.</w:t>
      </w:r>
    </w:p>
    <w:bookmarkEnd w:id="422"/>
    <w:bookmarkEnd w:id="423"/>
    <w:bookmarkStart w:id="430" w:name="Xb0ef31f5329f7bf36e18318606bef70e669c349"/>
    <w:p>
      <w:pPr>
        <w:pStyle w:val="Heading1"/>
      </w:pPr>
      <w:r>
        <w:rPr>
          <w:lang w:val="en-US" w:eastAsia="en-US" w:bidi="ar-SA"/>
          <w:rFonts w:asciiTheme="majorHAnsi" w:cstheme="majorBidi" w:eastAsiaTheme="majorEastAsia" w:hAnsiTheme="majorHAnsi"/>
          <w:b/>
          <w:color w:themeColor="accent1"/>
          <w:sz w:val="32"/>
          <w:szCs w:val="32"/>
        </w:rPr>
        <w:t>ANNEX N: THE RECIPROCITY MAP AND THE DEMANDS COVERAGE MATRIX</w:t>
      </w:r>
    </w:p>
    <w:bookmarkStart w:id="424" w:name="n.1-the-reciprocity-principle"/>
    <w:p>
      <w:pPr>
        <w:pStyle w:val="Heading2"/>
      </w:pPr>
      <w:r>
        <w:rPr>
          <w:lang w:val="en-US" w:eastAsia="en-US" w:bidi="ar-SA"/>
          <w:rFonts w:asciiTheme="majorHAnsi" w:cstheme="majorBidi" w:eastAsiaTheme="majorEastAsia" w:hAnsiTheme="majorHAnsi"/>
          <w:b/>
          <w:color w:themeColor="accent1"/>
          <w:sz w:val="28"/>
          <w:szCs w:val="28"/>
        </w:rPr>
        <w:t>N.1 The Reciprocity Principle</w:t>
      </w:r>
    </w:p>
    <w:p>
      <w:pPr>
        <w:pStyle w:val="FirstParagraph"/>
      </w:pPr>
      <w:r>
        <w:rPr>
          <w:sz w:val="24"/>
          <w:szCs w:val="24"/>
          <w:lang w:val="en-US" w:eastAsia="en-US" w:bidi="ar-SA"/>
        </w:rPr>
        <w:t>Every paired action of this Accord registers in the Reciprocity Ledger with both sides of the pair on the same page. No entry executes alone; no Party moves first.</w:t>
      </w:r>
    </w:p>
    <w:bookmarkEnd w:id="424"/>
    <w:bookmarkStart w:id="425" w:name="n.2-table-n.2-the-synchronized-schedule"/>
    <w:p>
      <w:pPr>
        <w:pStyle w:val="Heading2"/>
      </w:pPr>
      <w:r>
        <w:rPr>
          <w:lang w:val="en-US" w:eastAsia="en-US" w:bidi="ar-SA"/>
          <w:rFonts w:asciiTheme="majorHAnsi" w:cstheme="majorBidi" w:eastAsiaTheme="majorEastAsia" w:hAnsiTheme="majorHAnsi"/>
          <w:b/>
          <w:color w:themeColor="accent1"/>
          <w:sz w:val="28"/>
          <w:szCs w:val="28"/>
        </w:rPr>
        <w:t>N.2 Table N.2: The Synchronized Schedule</w:t>
      </w:r>
    </w:p>
    <w:tbl>
      <w:tblPr>
        <w:tblStyle w:val="Table"/>
        <w:tblW w:type="pct" w:w="5000"/>
        <w:tblLook w:firstRow="1" w:lastRow="0" w:firstColumn="0" w:lastColumn="0" w:noHBand="0" w:noVBand="0" w:val="0020"/>
      </w:tblPr>
      <w:tblGrid>
        <w:gridCol w:w="1980"/>
        <w:gridCol w:w="1980"/>
        <w:gridCol w:w="1980"/>
        <w:gridCol w:w="1980"/>
      </w:tblGrid>
      <w:tr>
        <w:trPr>
          <w:tblHeader w:val="1"/>
        </w:trPr>
        <w:tc>
          <w:tcPr>
            <w:tcW w:w="1980" w:type="dxa"/>
          </w:tcPr>
          <w:p>
            <w:pPr>
              <w:pStyle w:val="Compact"/>
              <w:jc w:val="left"/>
            </w:pPr>
            <w:r>
              <w:rPr>
                <w:sz w:val="24"/>
                <w:szCs w:val="24"/>
                <w:lang w:val="en-US" w:eastAsia="en-US" w:bidi="ar-SA"/>
              </w:rPr>
              <w:t>Step</w:t>
            </w:r>
          </w:p>
        </w:tc>
        <w:tc>
          <w:tcPr>
            <w:tcW w:w="1980" w:type="dxa"/>
          </w:tcPr>
          <w:p>
            <w:pPr>
              <w:pStyle w:val="Compact"/>
              <w:jc w:val="left"/>
            </w:pPr>
            <w:r>
              <w:rPr>
                <w:sz w:val="24"/>
                <w:szCs w:val="24"/>
                <w:lang w:val="en-US" w:eastAsia="en-US" w:bidi="ar-SA"/>
              </w:rPr>
              <w:t>Maritime action</w:t>
            </w:r>
          </w:p>
        </w:tc>
        <w:tc>
          <w:tcPr>
            <w:tcW w:w="1980" w:type="dxa"/>
          </w:tcPr>
          <w:p>
            <w:pPr>
              <w:pStyle w:val="Compact"/>
              <w:jc w:val="left"/>
            </w:pPr>
            <w:r>
              <w:rPr>
                <w:sz w:val="24"/>
                <w:szCs w:val="24"/>
                <w:lang w:val="en-US" w:eastAsia="en-US" w:bidi="ar-SA"/>
              </w:rPr>
              <w:t>United States action</w:t>
            </w:r>
          </w:p>
        </w:tc>
        <w:tc>
          <w:tcPr>
            <w:tcW w:w="1980" w:type="dxa"/>
          </w:tcPr>
          <w:p>
            <w:pPr>
              <w:pStyle w:val="Compact"/>
              <w:jc w:val="left"/>
            </w:pPr>
            <w:r>
              <w:rPr>
                <w:sz w:val="24"/>
                <w:szCs w:val="24"/>
                <w:lang w:val="en-US" w:eastAsia="en-US" w:bidi="ar-SA"/>
              </w:rPr>
              <w:t>Timing</w:t>
            </w:r>
          </w:p>
        </w:tc>
      </w:tr>
      <w:tr>
        <w:tc>
          <w:tcPr>
            <w:tcW w:w="1980" w:type="dxa"/>
          </w:tcPr>
          <w:p>
            <w:pPr>
              <w:pStyle w:val="Compact"/>
              <w:jc w:val="left"/>
            </w:pPr>
            <w:r>
              <w:rPr>
                <w:sz w:val="24"/>
                <w:szCs w:val="24"/>
                <w:lang w:val="en-US" w:eastAsia="en-US" w:bidi="ar-SA"/>
              </w:rPr>
              <w:t>1</w:t>
            </w:r>
          </w:p>
        </w:tc>
        <w:tc>
          <w:tcPr>
            <w:tcW w:w="1980" w:type="dxa"/>
          </w:tcPr>
          <w:p>
            <w:pPr>
              <w:pStyle w:val="Compact"/>
              <w:jc w:val="left"/>
            </w:pPr>
            <w:r>
              <w:rPr>
                <w:sz w:val="24"/>
                <w:szCs w:val="24"/>
                <w:lang w:val="en-US" w:eastAsia="en-US" w:bidi="ar-SA"/>
              </w:rPr>
              <w:t>Entry into force; Layer 0 opens; wartime routing designations stand down in the Governance Area</w:t>
            </w:r>
          </w:p>
        </w:tc>
        <w:tc>
          <w:tcPr>
            <w:tcW w:w="1980" w:type="dxa"/>
          </w:tcPr>
          <w:p>
            <w:pPr>
              <w:pStyle w:val="Compact"/>
              <w:jc w:val="left"/>
            </w:pPr>
            <w:r>
              <w:rPr>
                <w:sz w:val="24"/>
                <w:szCs w:val="24"/>
                <w:lang w:val="en-US" w:eastAsia="en-US" w:bidi="ar-SA"/>
              </w:rPr>
              <w:t>Blockade drawdown commences: intercept posture reduces to monitoring for vessels not calling at Iranian ports</w:t>
            </w:r>
          </w:p>
        </w:tc>
        <w:tc>
          <w:tcPr>
            <w:tcW w:w="1980" w:type="dxa"/>
          </w:tcPr>
          <w:p>
            <w:pPr>
              <w:pStyle w:val="Compact"/>
              <w:jc w:val="left"/>
            </w:pPr>
            <w:r>
              <w:rPr>
                <w:sz w:val="24"/>
                <w:szCs w:val="24"/>
                <w:lang w:val="en-US" w:eastAsia="en-US" w:bidi="ar-SA"/>
              </w:rPr>
              <w:t>Day 0</w:t>
            </w:r>
          </w:p>
        </w:tc>
      </w:tr>
      <w:tr>
        <w:tc>
          <w:tcPr>
            <w:tcW w:w="1980" w:type="dxa"/>
          </w:tcPr>
          <w:p>
            <w:pPr>
              <w:pStyle w:val="Compact"/>
              <w:jc w:val="left"/>
            </w:pPr>
            <w:r>
              <w:rPr>
                <w:sz w:val="24"/>
                <w:szCs w:val="24"/>
                <w:lang w:val="en-US" w:eastAsia="en-US" w:bidi="ar-SA"/>
              </w:rPr>
              <w:t>2</w:t>
            </w:r>
          </w:p>
        </w:tc>
        <w:tc>
          <w:tcPr>
            <w:tcW w:w="1980" w:type="dxa"/>
          </w:tcPr>
          <w:p>
            <w:pPr>
              <w:pStyle w:val="Compact"/>
              <w:jc w:val="left"/>
            </w:pPr>
            <w:r>
              <w:rPr>
                <w:sz w:val="24"/>
                <w:szCs w:val="24"/>
                <w:lang w:val="en-US" w:eastAsia="en-US" w:bidi="ar-SA"/>
              </w:rPr>
              <w:t>Gate G-0 certified</w:t>
            </w:r>
          </w:p>
        </w:tc>
        <w:tc>
          <w:tcPr>
            <w:tcW w:w="1980" w:type="dxa"/>
          </w:tcPr>
          <w:p>
            <w:pPr>
              <w:pStyle w:val="Compact"/>
              <w:jc w:val="left"/>
            </w:pPr>
            <w:r>
              <w:rPr>
                <w:sz w:val="24"/>
                <w:szCs w:val="24"/>
                <w:lang w:val="en-US" w:eastAsia="en-US" w:bidi="ar-SA"/>
              </w:rPr>
              <w:t>Humanitarian and food-medicine channels formalized through the Escrow</w:t>
            </w:r>
          </w:p>
        </w:tc>
        <w:tc>
          <w:tcPr>
            <w:tcW w:w="1980" w:type="dxa"/>
          </w:tcPr>
          <w:p>
            <w:pPr>
              <w:pStyle w:val="Compact"/>
              <w:jc w:val="left"/>
            </w:pPr>
            <w:r>
              <w:rPr>
                <w:sz w:val="24"/>
                <w:szCs w:val="24"/>
                <w:lang w:val="en-US" w:eastAsia="en-US" w:bidi="ar-SA"/>
              </w:rPr>
              <w:t>G-0</w:t>
            </w:r>
          </w:p>
        </w:tc>
      </w:tr>
      <w:tr>
        <w:tc>
          <w:tcPr>
            <w:tcW w:w="1980" w:type="dxa"/>
          </w:tcPr>
          <w:p>
            <w:pPr>
              <w:pStyle w:val="Compact"/>
              <w:jc w:val="left"/>
            </w:pPr>
            <w:r>
              <w:rPr>
                <w:sz w:val="24"/>
                <w:szCs w:val="24"/>
                <w:lang w:val="en-US" w:eastAsia="en-US" w:bidi="ar-SA"/>
              </w:rPr>
              <w:t>3</w:t>
            </w:r>
          </w:p>
        </w:tc>
        <w:tc>
          <w:tcPr>
            <w:tcW w:w="1980" w:type="dxa"/>
          </w:tcPr>
          <w:p>
            <w:pPr>
              <w:pStyle w:val="Compact"/>
              <w:jc w:val="left"/>
            </w:pPr>
            <w:r>
              <w:rPr>
                <w:sz w:val="24"/>
                <w:szCs w:val="24"/>
                <w:lang w:val="en-US" w:eastAsia="en-US" w:bidi="ar-SA"/>
              </w:rPr>
              <w:t>Gate G-1 certified</w:t>
            </w:r>
          </w:p>
        </w:tc>
        <w:tc>
          <w:tcPr>
            <w:tcW w:w="1980" w:type="dxa"/>
          </w:tcPr>
          <w:p>
            <w:pPr>
              <w:pStyle w:val="Compact"/>
              <w:jc w:val="left"/>
            </w:pPr>
            <w:r>
              <w:rPr>
                <w:sz w:val="24"/>
                <w:szCs w:val="24"/>
                <w:lang w:val="en-US" w:eastAsia="en-US" w:bidi="ar-SA"/>
              </w:rPr>
              <w:t>Blockade drawdown step two: redirect rate reduces by half from the Day 0 baseline</w:t>
            </w:r>
          </w:p>
        </w:tc>
        <w:tc>
          <w:tcPr>
            <w:tcW w:w="1980" w:type="dxa"/>
          </w:tcPr>
          <w:p>
            <w:pPr>
              <w:pStyle w:val="Compact"/>
              <w:jc w:val="left"/>
            </w:pPr>
            <w:r>
              <w:rPr>
                <w:sz w:val="24"/>
                <w:szCs w:val="24"/>
                <w:lang w:val="en-US" w:eastAsia="en-US" w:bidi="ar-SA"/>
              </w:rPr>
              <w:t>G-1</w:t>
            </w:r>
          </w:p>
        </w:tc>
      </w:tr>
      <w:tr>
        <w:tc>
          <w:tcPr>
            <w:tcW w:w="1980" w:type="dxa"/>
          </w:tcPr>
          <w:p>
            <w:pPr>
              <w:pStyle w:val="Compact"/>
              <w:jc w:val="left"/>
            </w:pPr>
            <w:r>
              <w:rPr>
                <w:sz w:val="24"/>
                <w:szCs w:val="24"/>
                <w:lang w:val="en-US" w:eastAsia="en-US" w:bidi="ar-SA"/>
              </w:rPr>
              <w:t>4</w:t>
            </w:r>
          </w:p>
        </w:tc>
        <w:tc>
          <w:tcPr>
            <w:tcW w:w="1980" w:type="dxa"/>
          </w:tcPr>
          <w:p>
            <w:pPr>
              <w:pStyle w:val="Compact"/>
              <w:jc w:val="left"/>
            </w:pPr>
            <w:r>
              <w:rPr>
                <w:sz w:val="24"/>
                <w:szCs w:val="24"/>
                <w:lang w:val="en-US" w:eastAsia="en-US" w:bidi="ar-SA"/>
              </w:rPr>
              <w:t>Corridors activate; Interim Middle Route operates</w:t>
            </w:r>
          </w:p>
        </w:tc>
        <w:tc>
          <w:tcPr>
            <w:tcW w:w="1980" w:type="dxa"/>
          </w:tcPr>
          <w:p>
            <w:pPr>
              <w:pStyle w:val="Compact"/>
              <w:jc w:val="left"/>
            </w:pPr>
            <w:r>
              <w:rPr>
                <w:sz w:val="24"/>
                <w:szCs w:val="24"/>
                <w:lang w:val="en-US" w:eastAsia="en-US" w:bidi="ar-SA"/>
              </w:rPr>
              <w:t>Interim financial authorizations issue for the shadow Escrow</w:t>
            </w:r>
          </w:p>
        </w:tc>
        <w:tc>
          <w:tcPr>
            <w:tcW w:w="1980" w:type="dxa"/>
          </w:tcPr>
          <w:p>
            <w:pPr>
              <w:pStyle w:val="Compact"/>
              <w:jc w:val="left"/>
            </w:pPr>
            <w:r>
              <w:rPr>
                <w:sz w:val="24"/>
                <w:szCs w:val="24"/>
                <w:lang w:val="en-US" w:eastAsia="en-US" w:bidi="ar-SA"/>
              </w:rPr>
              <w:t>Layer 2 opening</w:t>
            </w:r>
          </w:p>
        </w:tc>
      </w:tr>
      <w:tr>
        <w:tc>
          <w:tcPr>
            <w:tcW w:w="1980" w:type="dxa"/>
          </w:tcPr>
          <w:p>
            <w:pPr>
              <w:pStyle w:val="Compact"/>
              <w:jc w:val="left"/>
            </w:pPr>
            <w:r>
              <w:rPr>
                <w:sz w:val="24"/>
                <w:szCs w:val="24"/>
                <w:lang w:val="en-US" w:eastAsia="en-US" w:bidi="ar-SA"/>
              </w:rPr>
              <w:t>5</w:t>
            </w:r>
          </w:p>
        </w:tc>
        <w:tc>
          <w:tcPr>
            <w:tcW w:w="1980" w:type="dxa"/>
          </w:tcPr>
          <w:p>
            <w:pPr>
              <w:pStyle w:val="Compact"/>
              <w:jc w:val="left"/>
            </w:pPr>
            <w:r>
              <w:rPr>
                <w:sz w:val="24"/>
                <w:szCs w:val="24"/>
                <w:lang w:val="en-US" w:eastAsia="en-US" w:bidi="ar-SA"/>
              </w:rPr>
              <w:t>Gate G-2 certified</w:t>
            </w:r>
          </w:p>
        </w:tc>
        <w:tc>
          <w:tcPr>
            <w:tcW w:w="1980" w:type="dxa"/>
          </w:tcPr>
          <w:p>
            <w:pPr>
              <w:pStyle w:val="Compact"/>
              <w:jc w:val="left"/>
            </w:pPr>
            <w:r>
              <w:rPr>
                <w:sz w:val="24"/>
                <w:szCs w:val="24"/>
                <w:lang w:val="en-US" w:eastAsia="en-US" w:bidi="ar-SA"/>
              </w:rPr>
              <w:t>Blockade drawdown completes: the measure stands down for all commercial traffic; first sanctions-relief tranche takes effect</w:t>
            </w:r>
          </w:p>
        </w:tc>
        <w:tc>
          <w:tcPr>
            <w:tcW w:w="1980" w:type="dxa"/>
          </w:tcPr>
          <w:p>
            <w:pPr>
              <w:pStyle w:val="Compact"/>
              <w:jc w:val="left"/>
            </w:pPr>
            <w:r>
              <w:rPr>
                <w:sz w:val="24"/>
                <w:szCs w:val="24"/>
                <w:lang w:val="en-US" w:eastAsia="en-US" w:bidi="ar-SA"/>
              </w:rPr>
              <w:t>G-2</w:t>
            </w:r>
          </w:p>
        </w:tc>
      </w:tr>
      <w:tr>
        <w:tc>
          <w:tcPr>
            <w:tcW w:w="1980" w:type="dxa"/>
          </w:tcPr>
          <w:p>
            <w:pPr>
              <w:pStyle w:val="Compact"/>
              <w:jc w:val="left"/>
            </w:pPr>
            <w:r>
              <w:rPr>
                <w:sz w:val="24"/>
                <w:szCs w:val="24"/>
                <w:lang w:val="en-US" w:eastAsia="en-US" w:bidi="ar-SA"/>
              </w:rPr>
              <w:t>6</w:t>
            </w:r>
          </w:p>
        </w:tc>
        <w:tc>
          <w:tcPr>
            <w:tcW w:w="1980" w:type="dxa"/>
          </w:tcPr>
          <w:p>
            <w:pPr>
              <w:pStyle w:val="Compact"/>
              <w:jc w:val="left"/>
            </w:pPr>
            <w:r>
              <w:rPr>
                <w:sz w:val="24"/>
                <w:szCs w:val="24"/>
                <w:lang w:val="en-US" w:eastAsia="en-US" w:bidi="ar-SA"/>
              </w:rPr>
              <w:t>Gate G-3 certified</w:t>
            </w:r>
          </w:p>
        </w:tc>
        <w:tc>
          <w:tcPr>
            <w:tcW w:w="1980" w:type="dxa"/>
          </w:tcPr>
          <w:p>
            <w:pPr>
              <w:pStyle w:val="Compact"/>
              <w:jc w:val="left"/>
            </w:pPr>
            <w:r>
              <w:rPr>
                <w:sz w:val="24"/>
                <w:szCs w:val="24"/>
                <w:lang w:val="en-US" w:eastAsia="en-US" w:bidi="ar-SA"/>
              </w:rPr>
              <w:t>Standing financial authorizations issue; second sanctions-relief tranche takes effect</w:t>
            </w:r>
          </w:p>
        </w:tc>
        <w:tc>
          <w:tcPr>
            <w:tcW w:w="1980" w:type="dxa"/>
          </w:tcPr>
          <w:p>
            <w:pPr>
              <w:pStyle w:val="Compact"/>
              <w:jc w:val="left"/>
            </w:pPr>
            <w:r>
              <w:rPr>
                <w:sz w:val="24"/>
                <w:szCs w:val="24"/>
                <w:lang w:val="en-US" w:eastAsia="en-US" w:bidi="ar-SA"/>
              </w:rPr>
              <w:t>G-3</w:t>
            </w:r>
          </w:p>
        </w:tc>
      </w:tr>
      <w:tr>
        <w:tc>
          <w:tcPr>
            <w:tcW w:w="1980" w:type="dxa"/>
          </w:tcPr>
          <w:p>
            <w:pPr>
              <w:pStyle w:val="Compact"/>
              <w:jc w:val="left"/>
            </w:pPr>
            <w:r>
              <w:rPr>
                <w:sz w:val="24"/>
                <w:szCs w:val="24"/>
                <w:lang w:val="en-US" w:eastAsia="en-US" w:bidi="ar-SA"/>
              </w:rPr>
              <w:t>7</w:t>
            </w:r>
          </w:p>
        </w:tc>
        <w:tc>
          <w:tcPr>
            <w:tcW w:w="1980" w:type="dxa"/>
          </w:tcPr>
          <w:p>
            <w:pPr>
              <w:pStyle w:val="Compact"/>
              <w:jc w:val="left"/>
            </w:pPr>
            <w:r>
              <w:rPr>
                <w:sz w:val="24"/>
                <w:szCs w:val="24"/>
                <w:lang w:val="en-US" w:eastAsia="en-US" w:bidi="ar-SA"/>
              </w:rPr>
              <w:t>Gate G-4 certified</w:t>
            </w:r>
          </w:p>
        </w:tc>
        <w:tc>
          <w:tcPr>
            <w:tcW w:w="1980" w:type="dxa"/>
          </w:tcPr>
          <w:p>
            <w:pPr>
              <w:pStyle w:val="Compact"/>
              <w:jc w:val="left"/>
            </w:pPr>
            <w:r>
              <w:rPr>
                <w:sz w:val="24"/>
                <w:szCs w:val="24"/>
                <w:lang w:val="en-US" w:eastAsia="en-US" w:bidi="ar-SA"/>
              </w:rPr>
              <w:t>Blockade terminates permanently; comprehensive relief package takes effect; frozen-asset release schedule begins through the Neutral Administrator</w:t>
            </w:r>
          </w:p>
        </w:tc>
        <w:tc>
          <w:tcPr>
            <w:tcW w:w="1980" w:type="dxa"/>
          </w:tcPr>
          <w:p>
            <w:pPr>
              <w:pStyle w:val="Compact"/>
              <w:jc w:val="left"/>
            </w:pPr>
            <w:r>
              <w:rPr>
                <w:sz w:val="24"/>
                <w:szCs w:val="24"/>
                <w:lang w:val="en-US" w:eastAsia="en-US" w:bidi="ar-SA"/>
              </w:rPr>
              <w:t>G-4</w:t>
            </w:r>
          </w:p>
        </w:tc>
      </w:tr>
      <w:tr>
        <w:tc>
          <w:tcPr>
            <w:tcW w:w="1980" w:type="dxa"/>
          </w:tcPr>
          <w:p>
            <w:pPr>
              <w:pStyle w:val="Compact"/>
              <w:jc w:val="left"/>
            </w:pPr>
            <w:r>
              <w:rPr>
                <w:sz w:val="24"/>
                <w:szCs w:val="24"/>
                <w:lang w:val="en-US" w:eastAsia="en-US" w:bidi="ar-SA"/>
              </w:rPr>
              <w:t>8</w:t>
            </w:r>
          </w:p>
        </w:tc>
        <w:tc>
          <w:tcPr>
            <w:tcW w:w="1980" w:type="dxa"/>
          </w:tcPr>
          <w:p>
            <w:pPr>
              <w:pStyle w:val="Compact"/>
              <w:jc w:val="left"/>
            </w:pPr>
            <w:r>
              <w:rPr>
                <w:sz w:val="24"/>
                <w:szCs w:val="24"/>
                <w:lang w:val="en-US" w:eastAsia="en-US" w:bidi="ar-SA"/>
              </w:rPr>
              <w:t>Charter Conversion</w:t>
            </w:r>
          </w:p>
        </w:tc>
        <w:tc>
          <w:tcPr>
            <w:tcW w:w="1980" w:type="dxa"/>
          </w:tcPr>
          <w:p>
            <w:pPr>
              <w:pStyle w:val="Compact"/>
              <w:jc w:val="left"/>
            </w:pPr>
            <w:r>
              <w:rPr>
                <w:sz w:val="24"/>
                <w:szCs w:val="24"/>
                <w:lang w:val="en-US" w:eastAsia="en-US" w:bidi="ar-SA"/>
              </w:rPr>
              <w:t>Residual-items review; full normalization of commercial relations</w:t>
            </w:r>
          </w:p>
        </w:tc>
        <w:tc>
          <w:tcPr>
            <w:tcW w:w="1980" w:type="dxa"/>
          </w:tcPr>
          <w:p>
            <w:pPr>
              <w:pStyle w:val="Compact"/>
              <w:jc w:val="left"/>
            </w:pPr>
            <w:r>
              <w:rPr>
                <w:sz w:val="24"/>
                <w:szCs w:val="24"/>
                <w:lang w:val="en-US" w:eastAsia="en-US" w:bidi="ar-SA"/>
              </w:rPr>
              <w:t>G-5</w:t>
            </w:r>
          </w:p>
        </w:tc>
      </w:tr>
    </w:tbl>
    <w:bookmarkEnd w:id="425"/>
    <w:bookmarkStart w:id="426" w:name="n.3-table-n.3-force-posture-drawdown"/>
    <w:p>
      <w:pPr>
        <w:pStyle w:val="Heading2"/>
      </w:pPr>
      <w:r>
        <w:rPr>
          <w:lang w:val="en-US" w:eastAsia="en-US" w:bidi="ar-SA"/>
          <w:rFonts w:asciiTheme="majorHAnsi" w:cstheme="majorBidi" w:eastAsiaTheme="majorEastAsia" w:hAnsiTheme="majorHAnsi"/>
          <w:b/>
          <w:color w:themeColor="accent1"/>
          <w:sz w:val="28"/>
          <w:szCs w:val="28"/>
        </w:rPr>
        <w:t>N.3 Table N.3: Force Posture Drawdown</w:t>
      </w:r>
    </w:p>
    <w:p>
      <w:pPr>
        <w:pStyle w:val="FirstParagraph"/>
      </w:pPr>
      <w:r>
        <w:rPr>
          <w:sz w:val="24"/>
          <w:szCs w:val="24"/>
          <w:lang w:val="en-US" w:eastAsia="en-US" w:bidi="ar-SA"/>
        </w:rPr>
        <w:t>Paired steps: at G-1, alert postures on both sides step down one published level; at G-2, the United States surge presence reduces by one carrier strike group equivalent and Iranian coastal alert postures step down correspondingly; at G-4, United States regional presence moves toward the pre-2026 steady state and Iranian postures mirror; at G-5, the standoff geometry of Annex C.11 stands as the permanent peacetime rule. The Neutral Watch Office verifies each step from the published record.</w:t>
      </w:r>
    </w:p>
    <w:bookmarkEnd w:id="426"/>
    <w:bookmarkStart w:id="427" w:name="Xa293551aeab6d7272a3047511e50040862fad08"/>
    <w:p>
      <w:pPr>
        <w:pStyle w:val="Heading2"/>
      </w:pPr>
      <w:r>
        <w:rPr>
          <w:lang w:val="en-US" w:eastAsia="en-US" w:bidi="ar-SA"/>
          <w:rFonts w:asciiTheme="majorHAnsi" w:cstheme="majorBidi" w:eastAsiaTheme="majorEastAsia" w:hAnsiTheme="majorHAnsi"/>
          <w:b/>
          <w:color w:themeColor="accent1"/>
          <w:sz w:val="28"/>
          <w:szCs w:val="28"/>
        </w:rPr>
        <w:t>N.4 Table N.4: Voluntary Interim Contributions (Article F.6)</w:t>
      </w:r>
    </w:p>
    <w:p>
      <w:pPr>
        <w:pStyle w:val="FirstParagraph"/>
      </w:pPr>
      <w:r>
        <w:rPr>
          <w:sz w:val="24"/>
          <w:szCs w:val="24"/>
          <w:lang w:val="en-US" w:eastAsia="en-US" w:bidi="ar-SA"/>
        </w:rPr>
        <w:t>The Gulf states, the European maritime community, and the major Asian user states contribute to the interim operating cost of the Transit Services Fund per the contribution schedule the depositary publishes at Layer 2 opening, in proportion to their transiting tonnage, capped at cost.</w:t>
      </w:r>
    </w:p>
    <w:bookmarkEnd w:id="427"/>
    <w:bookmarkStart w:id="428" w:name="n.5-the-demands-coverage-matrix"/>
    <w:p>
      <w:pPr>
        <w:pStyle w:val="Heading2"/>
      </w:pPr>
      <w:r>
        <w:rPr>
          <w:lang w:val="en-US" w:eastAsia="en-US" w:bidi="ar-SA"/>
          <w:rFonts w:asciiTheme="majorHAnsi" w:cstheme="majorBidi" w:eastAsiaTheme="majorEastAsia" w:hAnsiTheme="majorHAnsi"/>
          <w:b/>
          <w:color w:themeColor="accent1"/>
          <w:sz w:val="28"/>
          <w:szCs w:val="28"/>
        </w:rPr>
        <w:t>N.5 The Demands Coverage Matrix</w:t>
      </w:r>
    </w:p>
    <w:p>
      <w:pPr>
        <w:pStyle w:val="FirstParagraph"/>
      </w:pPr>
      <w:r>
        <w:rPr>
          <w:sz w:val="24"/>
          <w:szCs w:val="24"/>
          <w:lang w:val="en-US" w:eastAsia="en-US" w:bidi="ar-SA"/>
        </w:rPr>
        <w:t>Every substantive, non-threat demand recorded in the negotiating record of June through August 2026 finds its mechanism in this Accord:</w:t>
      </w:r>
    </w:p>
    <w:tbl>
      <w:tblPr>
        <w:tblStyle w:val="Table"/>
        <w:tblW w:type="pct" w:w="5000"/>
        <w:tblLook w:firstRow="1" w:lastRow="0" w:firstColumn="0" w:lastColumn="0" w:noHBand="0" w:noVBand="0" w:val="0020"/>
      </w:tblPr>
      <w:tblGrid>
        <w:gridCol w:w="3960"/>
        <w:gridCol w:w="3960"/>
      </w:tblGrid>
      <w:tr>
        <w:trPr>
          <w:tblHeader w:val="1"/>
        </w:trPr>
        <w:tc>
          <w:tcPr>
            <w:tcW w:w="3960" w:type="dxa"/>
          </w:tcPr>
          <w:p>
            <w:pPr>
              <w:pStyle w:val="Compact"/>
              <w:jc w:val="left"/>
            </w:pPr>
            <w:r>
              <w:rPr>
                <w:sz w:val="24"/>
                <w:szCs w:val="24"/>
                <w:lang w:val="en-US" w:eastAsia="en-US" w:bidi="ar-SA"/>
              </w:rPr>
              <w:t>Stated demand (source)</w:t>
            </w:r>
          </w:p>
        </w:tc>
        <w:tc>
          <w:tcPr>
            <w:tcW w:w="3960" w:type="dxa"/>
          </w:tcPr>
          <w:p>
            <w:pPr>
              <w:pStyle w:val="Compact"/>
              <w:jc w:val="left"/>
            </w:pPr>
            <w:r>
              <w:rPr>
                <w:sz w:val="24"/>
                <w:szCs w:val="24"/>
                <w:lang w:val="en-US" w:eastAsia="en-US" w:bidi="ar-SA"/>
              </w:rPr>
              <w:t>Accord mechanism</w:t>
            </w:r>
          </w:p>
        </w:tc>
      </w:tr>
      <w:tr>
        <w:tc>
          <w:tcPr>
            <w:tcW w:w="3960" w:type="dxa"/>
          </w:tcPr>
          <w:p>
            <w:pPr>
              <w:pStyle w:val="Compact"/>
              <w:jc w:val="left"/>
            </w:pPr>
            <w:r>
              <w:rPr>
                <w:sz w:val="24"/>
                <w:szCs w:val="24"/>
                <w:lang w:val="en-US" w:eastAsia="en-US" w:bidi="ar-SA"/>
              </w:rPr>
              <w:t>Free, safe, toll-free navigation (United States)</w:t>
            </w:r>
          </w:p>
        </w:tc>
        <w:tc>
          <w:tcPr>
            <w:tcW w:w="3960" w:type="dxa"/>
          </w:tcPr>
          <w:p>
            <w:pPr>
              <w:pStyle w:val="Compact"/>
              <w:jc w:val="left"/>
            </w:pPr>
            <w:r>
              <w:rPr>
                <w:sz w:val="24"/>
                <w:szCs w:val="24"/>
                <w:lang w:val="en-US" w:eastAsia="en-US" w:bidi="ar-SA"/>
              </w:rPr>
              <w:t>Articles 22, 27, 33; RL-1, RL-2, RL-5</w:t>
            </w:r>
          </w:p>
        </w:tc>
      </w:tr>
      <w:tr>
        <w:tc>
          <w:tcPr>
            <w:tcW w:w="3960" w:type="dxa"/>
          </w:tcPr>
          <w:p>
            <w:pPr>
              <w:pStyle w:val="Compact"/>
              <w:jc w:val="left"/>
            </w:pPr>
            <w:r>
              <w:rPr>
                <w:sz w:val="24"/>
                <w:szCs w:val="24"/>
                <w:lang w:val="en-US" w:eastAsia="en-US" w:bidi="ar-SA"/>
              </w:rPr>
              <w:t>Public commitment ending ship attacks (United States)</w:t>
            </w:r>
          </w:p>
        </w:tc>
        <w:tc>
          <w:tcPr>
            <w:tcW w:w="3960" w:type="dxa"/>
          </w:tcPr>
          <w:p>
            <w:pPr>
              <w:pStyle w:val="Compact"/>
              <w:jc w:val="left"/>
            </w:pPr>
            <w:r>
              <w:rPr>
                <w:sz w:val="24"/>
                <w:szCs w:val="24"/>
                <w:lang w:val="en-US" w:eastAsia="en-US" w:bidi="ar-SA"/>
              </w:rPr>
              <w:t>Article 27; Annex E classification; Reciprocity Ledger transparency</w:t>
            </w:r>
          </w:p>
        </w:tc>
      </w:tr>
      <w:tr>
        <w:tc>
          <w:tcPr>
            <w:tcW w:w="3960" w:type="dxa"/>
          </w:tcPr>
          <w:p>
            <w:pPr>
              <w:pStyle w:val="Compact"/>
              <w:jc w:val="left"/>
            </w:pPr>
            <w:r>
              <w:rPr>
                <w:sz w:val="24"/>
                <w:szCs w:val="24"/>
                <w:lang w:val="en-US" w:eastAsia="en-US" w:bidi="ar-SA"/>
              </w:rPr>
              <w:t>Adherence to the June memorandum (both)</w:t>
            </w:r>
          </w:p>
        </w:tc>
        <w:tc>
          <w:tcPr>
            <w:tcW w:w="3960" w:type="dxa"/>
          </w:tcPr>
          <w:p>
            <w:pPr>
              <w:pStyle w:val="Compact"/>
              <w:jc w:val="left"/>
            </w:pPr>
            <w:r>
              <w:rPr>
                <w:sz w:val="24"/>
                <w:szCs w:val="24"/>
                <w:lang w:val="en-US" w:eastAsia="en-US" w:bidi="ar-SA"/>
              </w:rPr>
              <w:t>Article 2.4; Annex N.2</w:t>
            </w:r>
          </w:p>
        </w:tc>
      </w:tr>
      <w:tr>
        <w:tc>
          <w:tcPr>
            <w:tcW w:w="3960" w:type="dxa"/>
          </w:tcPr>
          <w:p>
            <w:pPr>
              <w:pStyle w:val="Compact"/>
              <w:jc w:val="left"/>
            </w:pPr>
            <w:r>
              <w:rPr>
                <w:sz w:val="24"/>
                <w:szCs w:val="24"/>
                <w:lang w:val="en-US" w:eastAsia="en-US" w:bidi="ar-SA"/>
              </w:rPr>
              <w:t>Safe-passage mechanisms negotiated with Oman (United States)</w:t>
            </w:r>
          </w:p>
        </w:tc>
        <w:tc>
          <w:tcPr>
            <w:tcW w:w="3960" w:type="dxa"/>
          </w:tcPr>
          <w:p>
            <w:pPr>
              <w:pStyle w:val="Compact"/>
              <w:jc w:val="left"/>
            </w:pPr>
            <w:r>
              <w:rPr>
                <w:sz w:val="24"/>
                <w:szCs w:val="24"/>
                <w:lang w:val="en-US" w:eastAsia="en-US" w:bidi="ar-SA"/>
              </w:rPr>
              <w:t>Article 2.5; Annex A geometry</w:t>
            </w:r>
          </w:p>
        </w:tc>
      </w:tr>
      <w:tr>
        <w:tc>
          <w:tcPr>
            <w:tcW w:w="3960" w:type="dxa"/>
          </w:tcPr>
          <w:p>
            <w:pPr>
              <w:pStyle w:val="Compact"/>
              <w:jc w:val="left"/>
            </w:pPr>
            <w:r>
              <w:rPr>
                <w:sz w:val="24"/>
                <w:szCs w:val="24"/>
                <w:lang w:val="en-US" w:eastAsia="en-US" w:bidi="ar-SA"/>
              </w:rPr>
              <w:t>Continuation of diplomacy (both)</w:t>
            </w:r>
          </w:p>
        </w:tc>
        <w:tc>
          <w:tcPr>
            <w:tcW w:w="3960" w:type="dxa"/>
          </w:tcPr>
          <w:p>
            <w:pPr>
              <w:pStyle w:val="Compact"/>
              <w:jc w:val="left"/>
            </w:pPr>
            <w:r>
              <w:rPr>
                <w:sz w:val="24"/>
                <w:szCs w:val="24"/>
                <w:lang w:val="en-US" w:eastAsia="en-US" w:bidi="ar-SA"/>
              </w:rPr>
              <w:t>Article 46; the gates’ automaticity</w:t>
            </w:r>
          </w:p>
        </w:tc>
      </w:tr>
      <w:tr>
        <w:tc>
          <w:tcPr>
            <w:tcW w:w="3960" w:type="dxa"/>
          </w:tcPr>
          <w:p>
            <w:pPr>
              <w:pStyle w:val="Compact"/>
              <w:jc w:val="left"/>
            </w:pPr>
            <w:r>
              <w:rPr>
                <w:sz w:val="24"/>
                <w:szCs w:val="24"/>
                <w:lang w:val="en-US" w:eastAsia="en-US" w:bidi="ar-SA"/>
              </w:rPr>
              <w:t>End of the blockade and strikes (Iran)</w:t>
            </w:r>
          </w:p>
        </w:tc>
        <w:tc>
          <w:tcPr>
            <w:tcW w:w="3960" w:type="dxa"/>
          </w:tcPr>
          <w:p>
            <w:pPr>
              <w:pStyle w:val="Compact"/>
              <w:jc w:val="left"/>
            </w:pPr>
            <w:r>
              <w:rPr>
                <w:sz w:val="24"/>
                <w:szCs w:val="24"/>
                <w:lang w:val="en-US" w:eastAsia="en-US" w:bidi="ar-SA"/>
              </w:rPr>
              <w:t>Table N.2 steps 1, 3, 5, 7; Article 51.2</w:t>
            </w:r>
          </w:p>
        </w:tc>
      </w:tr>
      <w:tr>
        <w:tc>
          <w:tcPr>
            <w:tcW w:w="3960" w:type="dxa"/>
          </w:tcPr>
          <w:p>
            <w:pPr>
              <w:pStyle w:val="Compact"/>
              <w:jc w:val="left"/>
            </w:pPr>
            <w:r>
              <w:rPr>
                <w:sz w:val="24"/>
                <w:szCs w:val="24"/>
                <w:lang w:val="en-US" w:eastAsia="en-US" w:bidi="ar-SA"/>
              </w:rPr>
              <w:t>Respect for sovereignty and infrastructure (Iran)</w:t>
            </w:r>
          </w:p>
        </w:tc>
        <w:tc>
          <w:tcPr>
            <w:tcW w:w="3960" w:type="dxa"/>
          </w:tcPr>
          <w:p>
            <w:pPr>
              <w:pStyle w:val="Compact"/>
              <w:jc w:val="left"/>
            </w:pPr>
            <w:r>
              <w:rPr>
                <w:sz w:val="24"/>
                <w:szCs w:val="24"/>
                <w:lang w:val="en-US" w:eastAsia="en-US" w:bidi="ar-SA"/>
              </w:rPr>
              <w:t>Articles 1.4, 2.8; RL-8; the freeze rule</w:t>
            </w:r>
          </w:p>
        </w:tc>
      </w:tr>
      <w:tr>
        <w:tc>
          <w:tcPr>
            <w:tcW w:w="3960" w:type="dxa"/>
          </w:tcPr>
          <w:p>
            <w:pPr>
              <w:pStyle w:val="Compact"/>
              <w:jc w:val="left"/>
            </w:pPr>
            <w:r>
              <w:rPr>
                <w:sz w:val="24"/>
                <w:szCs w:val="24"/>
                <w:lang w:val="en-US" w:eastAsia="en-US" w:bidi="ar-SA"/>
              </w:rPr>
              <w:t>Recognition of Iran’s management role (Iran)</w:t>
            </w:r>
          </w:p>
        </w:tc>
        <w:tc>
          <w:tcPr>
            <w:tcW w:w="3960" w:type="dxa"/>
          </w:tcPr>
          <w:p>
            <w:pPr>
              <w:pStyle w:val="Compact"/>
              <w:jc w:val="left"/>
            </w:pPr>
            <w:r>
              <w:rPr>
                <w:sz w:val="24"/>
                <w:szCs w:val="24"/>
                <w:lang w:val="en-US" w:eastAsia="en-US" w:bidi="ar-SA"/>
              </w:rPr>
              <w:t>Article 22.2; RL-3; the Escalator; Article 50.1</w:t>
            </w:r>
          </w:p>
        </w:tc>
      </w:tr>
      <w:tr>
        <w:tc>
          <w:tcPr>
            <w:tcW w:w="3960" w:type="dxa"/>
          </w:tcPr>
          <w:p>
            <w:pPr>
              <w:pStyle w:val="Compact"/>
              <w:jc w:val="left"/>
            </w:pPr>
            <w:r>
              <w:rPr>
                <w:sz w:val="24"/>
                <w:szCs w:val="24"/>
                <w:lang w:val="en-US" w:eastAsia="en-US" w:bidi="ar-SA"/>
              </w:rPr>
              <w:t>Service charges after the interim period (Iran)</w:t>
            </w:r>
          </w:p>
        </w:tc>
        <w:tc>
          <w:tcPr>
            <w:tcW w:w="3960" w:type="dxa"/>
          </w:tcPr>
          <w:p>
            <w:pPr>
              <w:pStyle w:val="Compact"/>
              <w:jc w:val="left"/>
            </w:pPr>
            <w:r>
              <w:rPr>
                <w:sz w:val="24"/>
                <w:szCs w:val="24"/>
                <w:lang w:val="en-US" w:eastAsia="en-US" w:bidi="ar-SA"/>
              </w:rPr>
              <w:t>Articles 34 to 38; Annex F</w:t>
            </w:r>
          </w:p>
        </w:tc>
      </w:tr>
      <w:tr>
        <w:tc>
          <w:tcPr>
            <w:tcW w:w="3960" w:type="dxa"/>
          </w:tcPr>
          <w:p>
            <w:pPr>
              <w:pStyle w:val="Compact"/>
              <w:jc w:val="left"/>
            </w:pPr>
            <w:r>
              <w:rPr>
                <w:sz w:val="24"/>
                <w:szCs w:val="24"/>
                <w:lang w:val="en-US" w:eastAsia="en-US" w:bidi="ar-SA"/>
              </w:rPr>
              <w:t>Compensation (Iran) and counter-compensation (United States)</w:t>
            </w:r>
          </w:p>
        </w:tc>
        <w:tc>
          <w:tcPr>
            <w:tcW w:w="3960" w:type="dxa"/>
          </w:tcPr>
          <w:p>
            <w:pPr>
              <w:pStyle w:val="Compact"/>
              <w:jc w:val="left"/>
            </w:pPr>
            <w:r>
              <w:rPr>
                <w:sz w:val="24"/>
                <w:szCs w:val="24"/>
                <w:lang w:val="en-US" w:eastAsia="en-US" w:bidi="ar-SA"/>
              </w:rPr>
              <w:t>Article 47; the common docket; the Facility</w:t>
            </w:r>
          </w:p>
        </w:tc>
      </w:tr>
      <w:tr>
        <w:tc>
          <w:tcPr>
            <w:tcW w:w="3960" w:type="dxa"/>
          </w:tcPr>
          <w:p>
            <w:pPr>
              <w:pStyle w:val="Compact"/>
              <w:jc w:val="left"/>
            </w:pPr>
            <w:r>
              <w:rPr>
                <w:sz w:val="24"/>
                <w:szCs w:val="24"/>
                <w:lang w:val="en-US" w:eastAsia="en-US" w:bidi="ar-SA"/>
              </w:rPr>
              <w:t>Sanctions relief and frozen assets (Iran)</w:t>
            </w:r>
          </w:p>
        </w:tc>
        <w:tc>
          <w:tcPr>
            <w:tcW w:w="3960" w:type="dxa"/>
          </w:tcPr>
          <w:p>
            <w:pPr>
              <w:pStyle w:val="Compact"/>
              <w:jc w:val="left"/>
            </w:pPr>
            <w:r>
              <w:rPr>
                <w:sz w:val="24"/>
                <w:szCs w:val="24"/>
                <w:lang w:val="en-US" w:eastAsia="en-US" w:bidi="ar-SA"/>
              </w:rPr>
              <w:t>Article 51.1; Table N.2 steps 6 to 8</w:t>
            </w:r>
          </w:p>
        </w:tc>
      </w:tr>
      <w:tr>
        <w:tc>
          <w:tcPr>
            <w:tcW w:w="3960" w:type="dxa"/>
          </w:tcPr>
          <w:p>
            <w:pPr>
              <w:pStyle w:val="Compact"/>
              <w:jc w:val="left"/>
            </w:pPr>
            <w:r>
              <w:rPr>
                <w:sz w:val="24"/>
                <w:szCs w:val="24"/>
                <w:lang w:val="en-US" w:eastAsia="en-US" w:bidi="ar-SA"/>
              </w:rPr>
              <w:t>No tolls and no Iranian veto over transit (United States, Oman)</w:t>
            </w:r>
          </w:p>
        </w:tc>
        <w:tc>
          <w:tcPr>
            <w:tcW w:w="3960" w:type="dxa"/>
          </w:tcPr>
          <w:p>
            <w:pPr>
              <w:pStyle w:val="Compact"/>
              <w:jc w:val="left"/>
            </w:pPr>
            <w:r>
              <w:rPr>
                <w:sz w:val="24"/>
                <w:szCs w:val="24"/>
                <w:lang w:val="en-US" w:eastAsia="en-US" w:bidi="ar-SA"/>
              </w:rPr>
              <w:t>Articles 25, 33; RL-1, RL-4, RL-16</w:t>
            </w:r>
          </w:p>
        </w:tc>
      </w:tr>
      <w:tr>
        <w:tc>
          <w:tcPr>
            <w:tcW w:w="3960" w:type="dxa"/>
          </w:tcPr>
          <w:p>
            <w:pPr>
              <w:pStyle w:val="Compact"/>
              <w:jc w:val="left"/>
            </w:pPr>
            <w:r>
              <w:rPr>
                <w:sz w:val="24"/>
                <w:szCs w:val="24"/>
                <w:lang w:val="en-US" w:eastAsia="en-US" w:bidi="ar-SA"/>
              </w:rPr>
              <w:t>Consultation of littoral states and the IMO (Oman)</w:t>
            </w:r>
          </w:p>
        </w:tc>
        <w:tc>
          <w:tcPr>
            <w:tcW w:w="3960" w:type="dxa"/>
          </w:tcPr>
          <w:p>
            <w:pPr>
              <w:pStyle w:val="Compact"/>
              <w:jc w:val="left"/>
            </w:pPr>
            <w:r>
              <w:rPr>
                <w:sz w:val="24"/>
                <w:szCs w:val="24"/>
                <w:lang w:val="en-US" w:eastAsia="en-US" w:bidi="ar-SA"/>
              </w:rPr>
              <w:t>Articles 40, 41.5, 52; Annex H.3</w:t>
            </w:r>
          </w:p>
        </w:tc>
      </w:tr>
      <w:tr>
        <w:tc>
          <w:tcPr>
            <w:tcW w:w="3960" w:type="dxa"/>
          </w:tcPr>
          <w:p>
            <w:pPr>
              <w:pStyle w:val="Compact"/>
              <w:jc w:val="left"/>
            </w:pPr>
            <w:r>
              <w:rPr>
                <w:sz w:val="24"/>
                <w:szCs w:val="24"/>
                <w:lang w:val="en-US" w:eastAsia="en-US" w:bidi="ar-SA"/>
              </w:rPr>
              <w:t>No external command of the framework (Iran)</w:t>
            </w:r>
          </w:p>
        </w:tc>
        <w:tc>
          <w:tcPr>
            <w:tcW w:w="3960" w:type="dxa"/>
          </w:tcPr>
          <w:p>
            <w:pPr>
              <w:pStyle w:val="Compact"/>
              <w:jc w:val="left"/>
            </w:pPr>
            <w:r>
              <w:rPr>
                <w:sz w:val="24"/>
                <w:szCs w:val="24"/>
                <w:lang w:val="en-US" w:eastAsia="en-US" w:bidi="ar-SA"/>
              </w:rPr>
              <w:t>Article 40.4; RL-14</w:t>
            </w:r>
          </w:p>
        </w:tc>
      </w:tr>
      <w:tr>
        <w:tc>
          <w:tcPr>
            <w:tcW w:w="3960" w:type="dxa"/>
          </w:tcPr>
          <w:p>
            <w:pPr>
              <w:pStyle w:val="Compact"/>
              <w:jc w:val="left"/>
            </w:pPr>
            <w:r>
              <w:rPr>
                <w:sz w:val="24"/>
                <w:szCs w:val="24"/>
                <w:lang w:val="en-US" w:eastAsia="en-US" w:bidi="ar-SA"/>
              </w:rPr>
              <w:t>Reconstruction financing without direct United States cash (both)</w:t>
            </w:r>
          </w:p>
        </w:tc>
        <w:tc>
          <w:tcPr>
            <w:tcW w:w="3960" w:type="dxa"/>
          </w:tcPr>
          <w:p>
            <w:pPr>
              <w:pStyle w:val="Compact"/>
              <w:jc w:val="left"/>
            </w:pPr>
            <w:r>
              <w:rPr>
                <w:sz w:val="24"/>
                <w:szCs w:val="24"/>
                <w:lang w:val="en-US" w:eastAsia="en-US" w:bidi="ar-SA"/>
              </w:rPr>
              <w:t>Article 47.7; Annex O</w:t>
            </w:r>
          </w:p>
        </w:tc>
      </w:tr>
      <w:tr>
        <w:tc>
          <w:tcPr>
            <w:tcW w:w="3960" w:type="dxa"/>
          </w:tcPr>
          <w:p>
            <w:pPr>
              <w:pStyle w:val="Compact"/>
              <w:jc w:val="left"/>
            </w:pPr>
            <w:r>
              <w:rPr>
                <w:sz w:val="24"/>
                <w:szCs w:val="24"/>
                <w:lang w:val="en-US" w:eastAsia="en-US" w:bidi="ar-SA"/>
              </w:rPr>
              <w:t>Fee and cargo-value charge concepts on the record (Iran, Oman)</w:t>
            </w:r>
          </w:p>
        </w:tc>
        <w:tc>
          <w:tcPr>
            <w:tcW w:w="3960" w:type="dxa"/>
          </w:tcPr>
          <w:p>
            <w:pPr>
              <w:pStyle w:val="Compact"/>
              <w:jc w:val="left"/>
            </w:pPr>
            <w:r>
              <w:rPr>
                <w:sz w:val="24"/>
                <w:szCs w:val="24"/>
                <w:lang w:val="en-US" w:eastAsia="en-US" w:bidi="ar-SA"/>
              </w:rPr>
              <w:t>Article 18.6; Article 34.1; Annex F</w:t>
            </w:r>
          </w:p>
        </w:tc>
      </w:tr>
      <w:tr>
        <w:tc>
          <w:tcPr>
            <w:tcW w:w="3960" w:type="dxa"/>
          </w:tcPr>
          <w:p>
            <w:pPr>
              <w:pStyle w:val="Compact"/>
              <w:jc w:val="left"/>
            </w:pPr>
            <w:r>
              <w:rPr>
                <w:sz w:val="24"/>
                <w:szCs w:val="24"/>
                <w:lang w:val="en-US" w:eastAsia="en-US" w:bidi="ar-SA"/>
              </w:rPr>
              <w:t>Equal treatment of flags, including flags of states in dispute (Iran parliamentary record)</w:t>
            </w:r>
          </w:p>
        </w:tc>
        <w:tc>
          <w:tcPr>
            <w:tcW w:w="3960" w:type="dxa"/>
          </w:tcPr>
          <w:p>
            <w:pPr>
              <w:pStyle w:val="Compact"/>
              <w:jc w:val="left"/>
            </w:pPr>
            <w:r>
              <w:rPr>
                <w:sz w:val="24"/>
                <w:szCs w:val="24"/>
                <w:lang w:val="en-US" w:eastAsia="en-US" w:bidi="ar-SA"/>
              </w:rPr>
              <w:t>Article 26; Article 47 docket; RL-16</w:t>
            </w:r>
          </w:p>
        </w:tc>
      </w:tr>
      <w:tr>
        <w:tc>
          <w:tcPr>
            <w:tcW w:w="3960" w:type="dxa"/>
          </w:tcPr>
          <w:p>
            <w:pPr>
              <w:pStyle w:val="Compact"/>
              <w:jc w:val="left"/>
            </w:pPr>
            <w:r>
              <w:rPr>
                <w:sz w:val="24"/>
                <w:szCs w:val="24"/>
                <w:lang w:val="en-US" w:eastAsia="en-US" w:bidi="ar-SA"/>
              </w:rPr>
              <w:t>Regional de-escalation linkage, Lebanon and Gaza (Iran, August 2026)</w:t>
            </w:r>
          </w:p>
        </w:tc>
        <w:tc>
          <w:tcPr>
            <w:tcW w:w="3960" w:type="dxa"/>
          </w:tcPr>
          <w:p>
            <w:pPr>
              <w:pStyle w:val="Compact"/>
              <w:jc w:val="left"/>
            </w:pPr>
            <w:r>
              <w:rPr>
                <w:sz w:val="24"/>
                <w:szCs w:val="24"/>
                <w:lang w:val="en-US" w:eastAsia="en-US" w:bidi="ar-SA"/>
              </w:rPr>
              <w:t>Article 51.7; the theater firewall</w:t>
            </w:r>
          </w:p>
        </w:tc>
      </w:tr>
      <w:tr>
        <w:tc>
          <w:tcPr>
            <w:tcW w:w="3960" w:type="dxa"/>
          </w:tcPr>
          <w:p>
            <w:pPr>
              <w:pStyle w:val="Compact"/>
              <w:jc w:val="left"/>
            </w:pPr>
            <w:r>
              <w:rPr>
                <w:sz w:val="24"/>
                <w:szCs w:val="24"/>
                <w:lang w:val="en-US" w:eastAsia="en-US" w:bidi="ar-SA"/>
              </w:rPr>
              <w:t>An early, predictable schedule (both)</w:t>
            </w:r>
          </w:p>
        </w:tc>
        <w:tc>
          <w:tcPr>
            <w:tcW w:w="3960" w:type="dxa"/>
          </w:tcPr>
          <w:p>
            <w:pPr>
              <w:pStyle w:val="Compact"/>
              <w:jc w:val="left"/>
            </w:pPr>
            <w:r>
              <w:rPr>
                <w:sz w:val="24"/>
                <w:szCs w:val="24"/>
                <w:lang w:val="en-US" w:eastAsia="en-US" w:bidi="ar-SA"/>
              </w:rPr>
              <w:t>Article 6.5; Article 7.6; Article 22.8; Article 43.9</w:t>
            </w:r>
          </w:p>
        </w:tc>
      </w:tr>
      <w:tr>
        <w:tc>
          <w:tcPr>
            <w:tcW w:w="3960" w:type="dxa"/>
          </w:tcPr>
          <w:p>
            <w:pPr>
              <w:pStyle w:val="Compact"/>
              <w:jc w:val="left"/>
            </w:pPr>
            <w:r>
              <w:rPr>
                <w:sz w:val="24"/>
                <w:szCs w:val="24"/>
                <w:lang w:val="en-US" w:eastAsia="en-US" w:bidi="ar-SA"/>
              </w:rPr>
              <w:t>Revenue stability across currency swings (Oman, facility users)</w:t>
            </w:r>
          </w:p>
        </w:tc>
        <w:tc>
          <w:tcPr>
            <w:tcW w:w="3960" w:type="dxa"/>
          </w:tcPr>
          <w:p>
            <w:pPr>
              <w:pStyle w:val="Compact"/>
              <w:jc w:val="left"/>
            </w:pPr>
            <w:r>
              <w:rPr>
                <w:sz w:val="24"/>
                <w:szCs w:val="24"/>
                <w:lang w:val="en-US" w:eastAsia="en-US" w:bidi="ar-SA"/>
              </w:rPr>
              <w:t>Annex F.11</w:t>
            </w:r>
          </w:p>
        </w:tc>
      </w:tr>
    </w:tbl>
    <w:bookmarkEnd w:id="428"/>
    <w:bookmarkStart w:id="429" w:name="n.6-the-final-pair"/>
    <w:p>
      <w:pPr>
        <w:pStyle w:val="Heading2"/>
      </w:pPr>
      <w:r>
        <w:rPr>
          <w:lang w:val="en-US" w:eastAsia="en-US" w:bidi="ar-SA"/>
          <w:rFonts w:asciiTheme="majorHAnsi" w:cstheme="majorBidi" w:eastAsiaTheme="majorEastAsia" w:hAnsiTheme="majorHAnsi"/>
          <w:b/>
          <w:color w:themeColor="accent1"/>
          <w:sz w:val="28"/>
          <w:szCs w:val="28"/>
        </w:rPr>
        <w:t>N.6 The Final Pair</w:t>
      </w:r>
    </w:p>
    <w:p>
      <w:pPr>
        <w:pStyle w:val="FirstParagraph"/>
      </w:pPr>
      <w:r>
        <w:rPr>
          <w:sz w:val="24"/>
          <w:szCs w:val="24"/>
          <w:lang w:val="en-US" w:eastAsia="en-US" w:bidi="ar-SA"/>
        </w:rPr>
        <w:t>The Accord’s last reciprocity is its simplest: the strait opens, and stays open, because every side’s core interest stands registered, safeguarded, and measured inside one architecture. Nothing fades. Nothing trades. Everything builds.</w:t>
      </w:r>
    </w:p>
    <w:p>
      <w:pPr>
        <w:pStyle w:val="Heading1"/>
      </w:pPr>
      <w:r>
        <w:rPr>
          <w:lang w:val="en-US" w:eastAsia="en-US" w:bidi="ar-SA"/>
          <w:rFonts w:asciiTheme="majorHAnsi" w:cstheme="majorBidi" w:eastAsiaTheme="majorEastAsia" w:hAnsiTheme="majorHAnsi" w:ascii="Georgia" w:hAnsi="Georgia" w:eastAsia="Georgia" w:cs="Georgia"/>
          <w:b/>
          <w:color w:themeColor="accent1"/>
          <w:sz w:val="32"/>
          <w:szCs w:val="32"/>
        </w:rPr>
        <w:t>ANNEX O: THE RECONSTRUCTION AND DEVELOPMENT FUND INTERFACE</w:t>
      </w:r>
    </w:p>
    <w:p>
      <w:pPr>
        <w:pStyle w:val="FirstParagraph"/>
      </w:pPr>
      <w:r>
        <w:rPr>
          <w:sz w:val="24"/>
          <w:szCs w:val="24"/>
          <w:lang w:val="en-US" w:eastAsia="en-US" w:bidi="ar-SA"/>
        </w:rPr>
        <w:t>This Annex incorporates the Reconstruction and Development Fund Protocol as this Accord’s interface with civilian reconstruction financing. Article 47.7 anchors the interface; this Annex states the operative machinery. The Fund addresses civilian reconstruction alone: it touches no maritime gate, no nuclear question, and no security file, and no element of this Accord’s maritime machinery touches it.</w:t>
      </w:r>
    </w:p>
    <w:p>
      <w:pPr>
        <w:pStyle w:val="Heading2"/>
      </w:pPr>
      <w:r>
        <w:rPr>
          <w:lang w:val="en-US" w:eastAsia="en-US" w:bidi="ar-SA"/>
          <w:rFonts w:asciiTheme="majorHAnsi" w:cstheme="majorBidi" w:eastAsiaTheme="majorEastAsia" w:hAnsiTheme="majorHAnsi"/>
          <w:b/>
          <w:color w:themeColor="accent1"/>
          <w:sz w:val="28"/>
          <w:szCs w:val="28"/>
        </w:rPr>
        <w:t>O.1 Purpose</w:t>
      </w:r>
    </w:p>
    <w:p>
      <w:pPr>
        <w:pStyle w:val="FirstParagraph"/>
      </w:pPr>
      <w:r>
        <w:rPr>
          <w:sz w:val="24"/>
          <w:szCs w:val="24"/>
          <w:lang w:val="en-US" w:eastAsia="en-US" w:bidi="ar-SA"/>
        </w:rPr>
        <w:t>The Fund aggregates third-party capital for the reconstruction of Iranian civilian infrastructure damaged in the 2026 conflict. The Iranian authorities estimate total reconstruction costs at approximately 270 billion United States dollars across a ten-year horizon, spanning energy, water, transport, health, education, housing, and agriculture. Iran retains full sovereign authority over reconstruction priorities and project selection: Iran proposes, prioritizes, and sequences every project.</w:t>
      </w:r>
    </w:p>
    <w:p>
      <w:pPr>
        <w:pStyle w:val="Heading2"/>
      </w:pPr>
      <w:r>
        <w:rPr>
          <w:lang w:val="en-US" w:eastAsia="en-US" w:bidi="ar-SA"/>
          <w:rFonts w:asciiTheme="majorHAnsi" w:cstheme="majorBidi" w:eastAsiaTheme="majorEastAsia" w:hAnsiTheme="majorHAnsi"/>
          <w:b/>
          <w:color w:themeColor="accent1"/>
          <w:sz w:val="28"/>
          <w:szCs w:val="28"/>
        </w:rPr>
        <w:t>O.2 The Sub-Fund Architecture</w:t>
      </w:r>
    </w:p>
    <w:p>
      <w:pPr>
        <w:pStyle w:val="FirstParagraph"/>
      </w:pPr>
      <w:r>
        <w:rPr>
          <w:sz w:val="24"/>
          <w:szCs w:val="24"/>
          <w:lang w:val="en-US" w:eastAsia="en-US" w:bidi="ar-SA"/>
        </w:rPr>
        <w:t>The Fund divides into seven independent sub-funds, each with its own governance, project pipeline, and disbursement schedule. Failure or delay in one sub-fund touches no other.</w:t>
      </w:r>
    </w:p>
    <w:tbl>
      <w:tblPr>
        <w:tblStyle w:val="Table"/>
        <w:tblW w:type="pct" w:w="5000"/>
        <w:tblLook w:firstRow="1" w:lastRow="0" w:firstColumn="0" w:lastColumn="0" w:noHBand="0" w:noVBand="0" w:val="0020"/>
      </w:tblPr>
      <w:tblGrid>
        <w:gridCol w:w="3960"/>
        <w:gridCol w:w="3960"/>
      </w:tblGrid>
      <w:tr>
        <w:trPr>
          <w:tblHeader w:val="1"/>
        </w:trPr>
        <w:tc>
          <w:tcPr>
            <w:tcW w:w="3960" w:type="dxa"/>
          </w:tcPr>
          <w:p>
            <w:pPr>
              <w:pStyle w:val="Compact"/>
              <w:jc w:val="left"/>
            </w:pPr>
            <w:r>
              <w:rPr>
                <w:sz w:val="24"/>
                <w:szCs w:val="24"/>
                <w:lang w:val="en-US" w:eastAsia="en-US" w:bidi="ar-SA"/>
              </w:rPr>
              <w:t>Sub-Fund (sector)</w:t>
            </w:r>
          </w:p>
        </w:tc>
        <w:tc>
          <w:tcPr>
            <w:tcW w:w="3960" w:type="dxa"/>
          </w:tcPr>
          <w:p>
            <w:pPr>
              <w:pStyle w:val="Compact"/>
              <w:jc w:val="left"/>
            </w:pPr>
            <w:r>
              <w:rPr>
                <w:sz w:val="24"/>
                <w:szCs w:val="24"/>
                <w:lang w:val="en-US" w:eastAsia="en-US" w:bidi="ar-SA"/>
              </w:rPr>
              <w:t>Target capitalization (10-year)</w:t>
            </w:r>
          </w:p>
        </w:tc>
      </w:tr>
      <w:tr>
        <w:trPr>
          <w:tblHeader w:val="1"/>
        </w:trPr>
        <w:tc>
          <w:tcPr>
            <w:tcW w:w="3960" w:type="dxa"/>
          </w:tcPr>
          <w:p>
            <w:pPr>
              <w:pStyle w:val="Compact"/>
              <w:jc w:val="left"/>
            </w:pPr>
            <w:r>
              <w:rPr>
                <w:sz w:val="24"/>
                <w:szCs w:val="24"/>
                <w:lang w:val="en-US" w:eastAsia="en-US" w:bidi="ar-SA"/>
              </w:rPr>
              <w:t>MRF-Energy: power plants, refineries, renewable energy, grid modernization</w:t>
            </w:r>
          </w:p>
        </w:tc>
        <w:tc>
          <w:tcPr>
            <w:tcW w:w="3960" w:type="dxa"/>
          </w:tcPr>
          <w:p>
            <w:pPr>
              <w:pStyle w:val="Compact"/>
              <w:jc w:val="left"/>
            </w:pPr>
            <w:r>
              <w:rPr>
                <w:sz w:val="24"/>
                <w:szCs w:val="24"/>
                <w:lang w:val="en-US" w:eastAsia="en-US" w:bidi="ar-SA"/>
              </w:rPr>
              <w:t>80 billion dollars</w:t>
            </w:r>
          </w:p>
        </w:tc>
      </w:tr>
      <w:tr>
        <w:trPr>
          <w:tblHeader w:val="1"/>
        </w:trPr>
        <w:tc>
          <w:tcPr>
            <w:tcW w:w="3960" w:type="dxa"/>
          </w:tcPr>
          <w:p>
            <w:pPr>
              <w:pStyle w:val="Compact"/>
              <w:jc w:val="left"/>
            </w:pPr>
            <w:r>
              <w:rPr>
                <w:sz w:val="24"/>
                <w:szCs w:val="24"/>
                <w:lang w:val="en-US" w:eastAsia="en-US" w:bidi="ar-SA"/>
              </w:rPr>
              <w:t>MRF-Water: treatment, desalination, irrigation, sanitation</w:t>
            </w:r>
          </w:p>
        </w:tc>
        <w:tc>
          <w:tcPr>
            <w:tcW w:w="3960" w:type="dxa"/>
          </w:tcPr>
          <w:p>
            <w:pPr>
              <w:pStyle w:val="Compact"/>
              <w:jc w:val="left"/>
            </w:pPr>
            <w:r>
              <w:rPr>
                <w:sz w:val="24"/>
                <w:szCs w:val="24"/>
                <w:lang w:val="en-US" w:eastAsia="en-US" w:bidi="ar-SA"/>
              </w:rPr>
              <w:t>40 billion dollars</w:t>
            </w:r>
          </w:p>
        </w:tc>
      </w:tr>
      <w:tr>
        <w:trPr>
          <w:tblHeader w:val="1"/>
        </w:trPr>
        <w:tc>
          <w:tcPr>
            <w:tcW w:w="3960" w:type="dxa"/>
          </w:tcPr>
          <w:p>
            <w:pPr>
              <w:pStyle w:val="Compact"/>
              <w:jc w:val="left"/>
            </w:pPr>
            <w:r>
              <w:rPr>
                <w:sz w:val="24"/>
                <w:szCs w:val="24"/>
                <w:lang w:val="en-US" w:eastAsia="en-US" w:bidi="ar-SA"/>
              </w:rPr>
              <w:t>MRF-Transport: roads, railways, ports, airports, urban transit</w:t>
            </w:r>
          </w:p>
        </w:tc>
        <w:tc>
          <w:tcPr>
            <w:tcW w:w="3960" w:type="dxa"/>
          </w:tcPr>
          <w:p>
            <w:pPr>
              <w:pStyle w:val="Compact"/>
              <w:jc w:val="left"/>
            </w:pPr>
            <w:r>
              <w:rPr>
                <w:sz w:val="24"/>
                <w:szCs w:val="24"/>
                <w:lang w:val="en-US" w:eastAsia="en-US" w:bidi="ar-SA"/>
              </w:rPr>
              <w:t>50 billion dollars</w:t>
            </w:r>
          </w:p>
        </w:tc>
      </w:tr>
      <w:tr>
        <w:trPr>
          <w:tblHeader w:val="1"/>
        </w:trPr>
        <w:tc>
          <w:tcPr>
            <w:tcW w:w="3960" w:type="dxa"/>
          </w:tcPr>
          <w:p>
            <w:pPr>
              <w:pStyle w:val="Compact"/>
              <w:jc w:val="left"/>
            </w:pPr>
            <w:r>
              <w:rPr>
                <w:sz w:val="24"/>
                <w:szCs w:val="24"/>
                <w:lang w:val="en-US" w:eastAsia="en-US" w:bidi="ar-SA"/>
              </w:rPr>
              <w:t>MRF-Health: hospitals, clinics, medical supply chains</w:t>
            </w:r>
          </w:p>
        </w:tc>
        <w:tc>
          <w:tcPr>
            <w:tcW w:w="3960" w:type="dxa"/>
          </w:tcPr>
          <w:p>
            <w:pPr>
              <w:pStyle w:val="Compact"/>
              <w:jc w:val="left"/>
            </w:pPr>
            <w:r>
              <w:rPr>
                <w:sz w:val="24"/>
                <w:szCs w:val="24"/>
                <w:lang w:val="en-US" w:eastAsia="en-US" w:bidi="ar-SA"/>
              </w:rPr>
              <w:t>25 billion dollars</w:t>
            </w:r>
          </w:p>
        </w:tc>
      </w:tr>
      <w:tr>
        <w:trPr>
          <w:tblHeader w:val="1"/>
        </w:trPr>
        <w:tc>
          <w:tcPr>
            <w:tcW w:w="3960" w:type="dxa"/>
          </w:tcPr>
          <w:p>
            <w:pPr>
              <w:pStyle w:val="Compact"/>
              <w:jc w:val="left"/>
            </w:pPr>
            <w:r>
              <w:rPr>
                <w:sz w:val="24"/>
                <w:szCs w:val="24"/>
                <w:lang w:val="en-US" w:eastAsia="en-US" w:bidi="ar-SA"/>
              </w:rPr>
              <w:t>MRF-Education: schools, universities, research centers</w:t>
            </w:r>
          </w:p>
        </w:tc>
        <w:tc>
          <w:tcPr>
            <w:tcW w:w="3960" w:type="dxa"/>
          </w:tcPr>
          <w:p>
            <w:pPr>
              <w:pStyle w:val="Compact"/>
              <w:jc w:val="left"/>
            </w:pPr>
            <w:r>
              <w:rPr>
                <w:sz w:val="24"/>
                <w:szCs w:val="24"/>
                <w:lang w:val="en-US" w:eastAsia="en-US" w:bidi="ar-SA"/>
              </w:rPr>
              <w:t>20 billion dollars</w:t>
            </w:r>
          </w:p>
        </w:tc>
      </w:tr>
      <w:tr>
        <w:trPr>
          <w:tblHeader w:val="1"/>
        </w:trPr>
        <w:tc>
          <w:tcPr>
            <w:tcW w:w="3960" w:type="dxa"/>
          </w:tcPr>
          <w:p>
            <w:pPr>
              <w:pStyle w:val="Compact"/>
              <w:jc w:val="left"/>
            </w:pPr>
            <w:r>
              <w:rPr>
                <w:sz w:val="24"/>
                <w:szCs w:val="24"/>
                <w:lang w:val="en-US" w:eastAsia="en-US" w:bidi="ar-SA"/>
              </w:rPr>
              <w:t>MRF-Housing: urban reconstruction, earthquake-resistant housing</w:t>
            </w:r>
          </w:p>
        </w:tc>
        <w:tc>
          <w:tcPr>
            <w:tcW w:w="3960" w:type="dxa"/>
          </w:tcPr>
          <w:p>
            <w:pPr>
              <w:pStyle w:val="Compact"/>
              <w:jc w:val="left"/>
            </w:pPr>
            <w:r>
              <w:rPr>
                <w:sz w:val="24"/>
                <w:szCs w:val="24"/>
                <w:lang w:val="en-US" w:eastAsia="en-US" w:bidi="ar-SA"/>
              </w:rPr>
              <w:t>35 billion dollars</w:t>
            </w:r>
          </w:p>
        </w:tc>
      </w:tr>
      <w:tr>
        <w:trPr>
          <w:tblHeader w:val="1"/>
        </w:trPr>
        <w:tc>
          <w:tcPr>
            <w:tcW w:w="3960" w:type="dxa"/>
          </w:tcPr>
          <w:p>
            <w:pPr>
              <w:pStyle w:val="Compact"/>
              <w:jc w:val="left"/>
            </w:pPr>
            <w:r>
              <w:rPr>
                <w:sz w:val="24"/>
                <w:szCs w:val="24"/>
                <w:lang w:val="en-US" w:eastAsia="en-US" w:bidi="ar-SA"/>
              </w:rPr>
              <w:t>MRF-Agriculture: food security, irrigation, rural development</w:t>
            </w:r>
          </w:p>
        </w:tc>
        <w:tc>
          <w:tcPr>
            <w:tcW w:w="3960" w:type="dxa"/>
          </w:tcPr>
          <w:p>
            <w:pPr>
              <w:pStyle w:val="Compact"/>
              <w:jc w:val="left"/>
            </w:pPr>
            <w:r>
              <w:rPr>
                <w:sz w:val="24"/>
                <w:szCs w:val="24"/>
                <w:lang w:val="en-US" w:eastAsia="en-US" w:bidi="ar-SA"/>
              </w:rPr>
              <w:t>20 billion dollars</w:t>
            </w:r>
          </w:p>
        </w:tc>
      </w:tr>
      <w:tr>
        <w:trPr>
          <w:tblHeader w:val="1"/>
        </w:trPr>
        <w:tc>
          <w:tcPr>
            <w:tcW w:w="3960" w:type="dxa"/>
          </w:tcPr>
          <w:p>
            <w:pPr>
              <w:pStyle w:val="Compact"/>
              <w:jc w:val="left"/>
            </w:pPr>
            <w:r>
              <w:rPr>
                <w:sz w:val="24"/>
                <w:szCs w:val="24"/>
                <w:lang w:val="en-US" w:eastAsia="en-US" w:bidi="ar-SA"/>
              </w:rPr>
              <w:t>Total, all sectors</w:t>
            </w:r>
          </w:p>
        </w:tc>
        <w:tc>
          <w:tcPr>
            <w:tcW w:w="3960" w:type="dxa"/>
          </w:tcPr>
          <w:p>
            <w:pPr>
              <w:pStyle w:val="Compact"/>
              <w:jc w:val="left"/>
            </w:pPr>
            <w:r>
              <w:rPr>
                <w:sz w:val="24"/>
                <w:szCs w:val="24"/>
                <w:lang w:val="en-US" w:eastAsia="en-US" w:bidi="ar-SA"/>
              </w:rPr>
              <w:t>270 billion dollars</w:t>
            </w:r>
          </w:p>
        </w:tc>
      </w:tr>
    </w:tbl>
    <w:p>
      <w:pPr>
        <w:pStyle w:val="Heading2"/>
      </w:pPr>
      <w:r>
        <w:rPr>
          <w:lang w:val="en-US" w:eastAsia="en-US" w:bidi="ar-SA"/>
          <w:rFonts w:asciiTheme="majorHAnsi" w:cstheme="majorBidi" w:eastAsiaTheme="majorEastAsia" w:hAnsiTheme="majorHAnsi"/>
          <w:b/>
          <w:color w:themeColor="accent1"/>
          <w:sz w:val="28"/>
          <w:szCs w:val="28"/>
        </w:rPr>
        <w:t>O.3 Neutral Channeling and the Escrow</w:t>
      </w:r>
    </w:p>
    <w:p>
      <w:pPr>
        <w:pStyle w:val="FirstParagraph"/>
      </w:pPr>
      <w:r>
        <w:rPr>
          <w:sz w:val="24"/>
          <w:szCs w:val="24"/>
          <w:lang w:val="en-US" w:eastAsia="en-US" w:bidi="ar-SA"/>
        </w:rPr>
        <w:t>Contributors deposit pledged capital directly into the Fund escrow at the Qatar Central Bank. No contribution passes through the United States or any United States-controlled financial institution, and no United States government funds co-mingle with Fund capital. The World Bank exercises a strictly technical fiduciary role: verification and audit only, with no discretion over project selection or disbursement. United States participation takes non-cash form alone: technical assistance, capacity building, regulatory facilitation through the general license of Section O.6, and diplomatic support for third-party contributions.</w:t>
      </w:r>
    </w:p>
    <w:p>
      <w:pPr>
        <w:pStyle w:val="Heading2"/>
      </w:pPr>
      <w:r>
        <w:rPr>
          <w:lang w:val="en-US" w:eastAsia="en-US" w:bidi="ar-SA"/>
          <w:rFonts w:asciiTheme="majorHAnsi" w:cstheme="majorBidi" w:eastAsiaTheme="majorEastAsia" w:hAnsiTheme="majorHAnsi"/>
          <w:b/>
          <w:color w:themeColor="accent1"/>
          <w:sz w:val="28"/>
          <w:szCs w:val="28"/>
        </w:rPr>
        <w:t>O.4 Governance and Transparency</w:t>
      </w:r>
    </w:p>
    <w:p>
      <w:pPr>
        <w:pStyle w:val="FirstParagraph"/>
      </w:pPr>
      <w:r>
        <w:rPr>
          <w:sz w:val="24"/>
          <w:szCs w:val="24"/>
          <w:lang w:val="en-US" w:eastAsia="en-US" w:bidi="ar-SA"/>
        </w:rPr>
        <w:t>A Reconstruction Steering Committee approves proposals, authorizes disbursements, and publishes annual reports. Voting members: Iran (two seats), Qatar as Escrow Agent (one), the World Bank as fiduciary administrator (one), and the Gulf Cooperation Council (one, rotating chair). The United States, China, and the European Union hold observer seats without vote. Decisions require consensus of the voting members. An independent Technical Advisory Group of experts, which the World Bank appoints, reviews feasibility and verifies milestone completion. A public transparency dashboard publishes balances, project status, disbursement history, and audit findings in English, Farsi, and Arabic. An independent audit firm examines all accounts annually and visits active sites quarterly, and a confidential whistleblower channel operates continuously.</w:t>
      </w:r>
    </w:p>
    <w:p>
      <w:pPr>
        <w:pStyle w:val="Heading2"/>
      </w:pPr>
      <w:r>
        <w:rPr>
          <w:lang w:val="en-US" w:eastAsia="en-US" w:bidi="ar-SA"/>
          <w:rFonts w:asciiTheme="majorHAnsi" w:cstheme="majorBidi" w:eastAsiaTheme="majorEastAsia" w:hAnsiTheme="majorHAnsi"/>
          <w:b/>
          <w:color w:themeColor="accent1"/>
          <w:sz w:val="28"/>
          <w:szCs w:val="28"/>
        </w:rPr>
        <w:t>O.5 Milestone Disbursement and the No-Clawback Rule</w:t>
      </w:r>
    </w:p>
    <w:p>
      <w:pPr>
        <w:pStyle w:val="FirstParagraph"/>
      </w:pPr>
      <w:r>
        <w:rPr>
          <w:sz w:val="24"/>
          <w:szCs w:val="24"/>
          <w:lang w:val="en-US" w:eastAsia="en-US" w:bidi="ar-SA"/>
        </w:rPr>
        <w:t>Funds disburse in tranches tied to objectively verifiable milestones. Each tranche release combines Iranian self-certification, World Bank independent audit, Technical Advisory Group assessment, and Steering Committee authorization. Each sub-fund dedicates 5 percent of its allocation to a contingency reserve, and contractors post performance bonds equal to 10 percent of contract value. Funds already disbursed never face clawback, re-freezing, or rescission under any circumstances, including project discontinuation, cost overruns, political disputes, or termination of this Accord.</w:t>
      </w:r>
    </w:p>
    <w:p>
      <w:pPr>
        <w:pStyle w:val="Heading2"/>
      </w:pPr>
      <w:r>
        <w:rPr>
          <w:lang w:val="en-US" w:eastAsia="en-US" w:bidi="ar-SA"/>
          <w:rFonts w:asciiTheme="majorHAnsi" w:cstheme="majorBidi" w:eastAsiaTheme="majorEastAsia" w:hAnsiTheme="majorHAnsi"/>
          <w:b/>
          <w:color w:themeColor="accent1"/>
          <w:sz w:val="28"/>
          <w:szCs w:val="28"/>
        </w:rPr>
        <w:t>O.6 The Sanctions Firewall and the Force Majeure Fallback</w:t>
      </w:r>
    </w:p>
    <w:p>
      <w:pPr>
        <w:pStyle w:val="FirstParagraph"/>
      </w:pPr>
      <w:r>
        <w:rPr>
          <w:sz w:val="24"/>
          <w:szCs w:val="24"/>
          <w:lang w:val="en-US" w:eastAsia="en-US" w:bidi="ar-SA"/>
        </w:rPr>
        <w:t>A general license from the Office of Foreign Assets Control exempts every Fund transaction from secondary sanctions: contributions, disbursements, procurement contracts, and associated banking. Upon a force majeure event, including sanctions reimposition, undisbursed funds remain in segregated trust accounts at the Qatar Central Bank, earn interest, stay free of attachment, and await reactivation; disbursed funds stand protected absolutely.</w:t>
      </w:r>
    </w:p>
    <w:p>
      <w:pPr>
        <w:pStyle w:val="Heading2"/>
      </w:pPr>
      <w:r>
        <w:rPr>
          <w:lang w:val="en-US" w:eastAsia="en-US" w:bidi="ar-SA"/>
          <w:rFonts w:asciiTheme="majorHAnsi" w:cstheme="majorBidi" w:eastAsiaTheme="majorEastAsia" w:hAnsiTheme="majorHAnsi"/>
          <w:b/>
          <w:color w:themeColor="accent1"/>
          <w:sz w:val="28"/>
          <w:szCs w:val="28"/>
        </w:rPr>
        <w:t>O.7 Sovereign Procurement</w:t>
      </w:r>
    </w:p>
    <w:p>
      <w:pPr>
        <w:pStyle w:val="FirstParagraph"/>
      </w:pPr>
      <w:r>
        <w:rPr>
          <w:sz w:val="24"/>
          <w:szCs w:val="24"/>
          <w:lang w:val="en-US" w:eastAsia="en-US" w:bidi="ar-SA"/>
        </w:rPr>
        <w:t>Iran holds no obligation, express or implied, to purchase goods or services from any particular country, currency, or commercial channel. No Party, no Fund organ, and no escrow or fiduciary agent holds approval authority over Iranian procurement decisions. Verification confirms milestone completion alone; it never extends to approving or disapproving procurement.</w:t>
      </w:r>
    </w:p>
    <w:p>
      <w:pPr>
        <w:pStyle w:val="Heading2"/>
      </w:pPr>
      <w:r>
        <w:rPr>
          <w:lang w:val="en-US" w:eastAsia="en-US" w:bidi="ar-SA"/>
          <w:rFonts w:asciiTheme="majorHAnsi" w:cstheme="majorBidi" w:eastAsiaTheme="majorEastAsia" w:hAnsiTheme="majorHAnsi"/>
          <w:b/>
          <w:color w:themeColor="accent1"/>
          <w:sz w:val="28"/>
          <w:szCs w:val="28"/>
        </w:rPr>
        <w:t>O.8 Co-Financing, Conversion, and Insurance</w:t>
      </w:r>
    </w:p>
    <w:p>
      <w:pPr>
        <w:pStyle w:val="FirstParagraph"/>
      </w:pPr>
      <w:r>
        <w:rPr>
          <w:sz w:val="24"/>
          <w:szCs w:val="24"/>
          <w:lang w:val="en-US" w:eastAsia="en-US" w:bidi="ar-SA"/>
        </w:rPr>
        <w:t>Projects above 100 million dollars carry a 20 percent co-financing contribution from Iran’s National Development Fund, which the Fund treats pari passu with Fund capital. A Frozen Asset Conversion Protocol converts frozen Iranian assets abroad into reconstruction contracts through segregated accounts in the holding state’s currency, paying contractors directly without passing through Iranian government channels. The Multilateral Investment Guarantee Agency and the Islamic Corporation for the Insurance of Investment and Export Credit jointly administer a Political Risk Insurance Pool covering war and civil disturbance, expropriation, transfer restriction, and sanctions reimposition. A Hard Currency Facility at the Qatar Central Bank guarantees repatriation of project revenues in hard currency.</w:t>
      </w:r>
    </w:p>
    <w:p>
      <w:pPr>
        <w:pStyle w:val="Heading2"/>
      </w:pPr>
      <w:r>
        <w:rPr>
          <w:lang w:val="en-US" w:eastAsia="en-US" w:bidi="ar-SA"/>
          <w:rFonts w:asciiTheme="majorHAnsi" w:cstheme="majorBidi" w:eastAsiaTheme="majorEastAsia" w:hAnsiTheme="majorHAnsi"/>
          <w:b/>
          <w:color w:themeColor="accent1"/>
          <w:sz w:val="28"/>
          <w:szCs w:val="28"/>
        </w:rPr>
        <w:t>O.9 The Maritime Firewall</w:t>
      </w:r>
    </w:p>
    <w:p>
      <w:pPr>
        <w:pStyle w:val="FirstParagraph"/>
      </w:pPr>
      <w:r>
        <w:rPr>
          <w:sz w:val="24"/>
          <w:szCs w:val="24"/>
          <w:lang w:val="en-US" w:eastAsia="en-US" w:bidi="ar-SA"/>
        </w:rPr>
        <w:t>The firewall runs in both directions. Fund performance never conditions any gate, layer, corridor, or other element of this Accord’s maritime machinery, and no maritime event suspends Fund disbursement. This separation holds Red Line RL-7 and keeps reconstruction finance outside every security file.</w:t>
      </w:r>
    </w:p>
    <w:bookmarkEnd w:id="429"/>
    <w:bookmarkEnd w:id="430"/>
    <w:sectPr>
      <w:footerReference w:type="default" r:id="rId9"/>
      <w:headerReference w:type="default" r:id="rId1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b w:val="0"/>
        <w:i w:val="0"/>
        <w:color w:val="646464"/>
        <w:sz w:val="18"/>
      </w:rPr>
      <w:t xml:space="preserve">Page </w:t>
    </w:r>
    <w:r>
      <w:rPr>
        <w:rFonts w:ascii="Georgia" w:hAnsi="Georgia" w:cs="Georgia"/>
        <w:b w:val="0"/>
        <w:i w:val="0"/>
        <w:color w:val="646464"/>
        <w:sz w:val="18"/>
      </w:rP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Georgia" w:hAnsi="Georgia" w:cs="Georgia"/>
        <w:b w:val="0"/>
        <w:i w:val="0"/>
        <w:color w:val="8C8C8C"/>
        <w:sz w:val="15"/>
        <w:spacing w:val="20"/>
      </w:rPr>
      <w:t>THE SOLH-E TADRIJI ACCORD  ·  A LAYERED, GATED ARCHITECTURE FOR THE STRAIT OF HORMUZ</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1.xml" /><Relationship Id="rId10"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2026-08-11T08:02:30Z</dcterms:created>
  <dcterms:modified xsi:type="dcterms:W3CDTF">2026-08-11T08:02:30Z</dcterms:modified>
</cp:coreProperties>
</file>

<file path=docProps/custom.xml><?xml version="1.0" encoding="utf-8"?>
<Properties xmlns="http://schemas.openxmlformats.org/officeDocument/2006/custom-properties" xmlns:vt="http://schemas.openxmlformats.org/officeDocument/2006/docPropsVTypes"/>
</file>